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rFonts w:ascii="Arial" w:cs="Arial" w:eastAsia="Arial" w:hAnsi="Arial"/>
          <w:sz w:val="18"/>
          <w:szCs w:val="18"/>
          <w:b w:val="1"/>
          <w:bCs w:val="1"/>
          <w:u w:val="single" w:color="auto"/>
          <w:color w:val="0000EE"/>
        </w:rPr>
      </w:pPr>
      <w:hyperlink w:anchor="page3">
        <w:r>
          <w:rPr>
            <w:rFonts w:ascii="Arial" w:cs="Arial" w:eastAsia="Arial" w:hAnsi="Arial"/>
            <w:sz w:val="18"/>
            <w:szCs w:val="18"/>
            <w:b w:val="1"/>
            <w:bCs w:val="1"/>
            <w:u w:val="single" w:color="auto"/>
            <w:color w:val="0000EE"/>
          </w:rPr>
          <w:t>Table of Contents</w:t>
        </w:r>
      </w:hyperlink>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3175</wp:posOffset>
            </wp:positionH>
            <wp:positionV relativeFrom="paragraph">
              <wp:posOffset>203835</wp:posOffset>
            </wp:positionV>
            <wp:extent cx="7250430" cy="2984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250430" cy="29845"/>
                    </a:xfrm>
                    <a:prstGeom prst="rect">
                      <a:avLst/>
                    </a:prstGeom>
                    <a:noFill/>
                  </pic:spPr>
                </pic:pic>
              </a:graphicData>
            </a:graphic>
          </wp:anchor>
        </w:drawing>
      </w:r>
    </w:p>
    <w:p>
      <w:pPr>
        <w:spacing w:after="0" w:line="200" w:lineRule="exact"/>
        <w:rPr>
          <w:sz w:val="24"/>
          <w:szCs w:val="24"/>
          <w:color w:val="auto"/>
        </w:rPr>
      </w:pPr>
    </w:p>
    <w:p>
      <w:pPr>
        <w:spacing w:after="0" w:line="211" w:lineRule="exact"/>
        <w:rPr>
          <w:sz w:val="24"/>
          <w:szCs w:val="24"/>
          <w:color w:val="auto"/>
        </w:rPr>
      </w:pPr>
    </w:p>
    <w:p>
      <w:pPr>
        <w:jc w:val="center"/>
        <w:spacing w:after="0"/>
        <w:rPr>
          <w:sz w:val="20"/>
          <w:szCs w:val="20"/>
          <w:color w:val="auto"/>
        </w:rPr>
      </w:pPr>
      <w:r>
        <w:rPr>
          <w:rFonts w:ascii="Arial" w:cs="Arial" w:eastAsia="Arial" w:hAnsi="Arial"/>
          <w:sz w:val="32"/>
          <w:szCs w:val="32"/>
          <w:b w:val="1"/>
          <w:bCs w:val="1"/>
          <w:color w:val="auto"/>
        </w:rPr>
        <w:t>SECURITIES AND EXCHANGE COMMISSION</w:t>
      </w:r>
    </w:p>
    <w:p>
      <w:pPr>
        <w:spacing w:after="0" w:line="34" w:lineRule="exact"/>
        <w:rPr>
          <w:sz w:val="24"/>
          <w:szCs w:val="24"/>
          <w:color w:val="auto"/>
        </w:rPr>
      </w:pPr>
    </w:p>
    <w:p>
      <w:pPr>
        <w:jc w:val="center"/>
        <w:spacing w:after="0"/>
        <w:rPr>
          <w:sz w:val="20"/>
          <w:szCs w:val="20"/>
          <w:color w:val="auto"/>
        </w:rPr>
      </w:pPr>
      <w:r>
        <w:rPr>
          <w:rFonts w:ascii="Arial" w:cs="Arial" w:eastAsia="Arial" w:hAnsi="Arial"/>
          <w:sz w:val="22"/>
          <w:szCs w:val="22"/>
          <w:b w:val="1"/>
          <w:bCs w:val="1"/>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2963545</wp:posOffset>
            </wp:positionH>
            <wp:positionV relativeFrom="paragraph">
              <wp:posOffset>99060</wp:posOffset>
            </wp:positionV>
            <wp:extent cx="1329055" cy="88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1329055" cy="8890"/>
                    </a:xfrm>
                    <a:prstGeom prst="rect">
                      <a:avLst/>
                    </a:prstGeom>
                    <a:noFill/>
                  </pic:spPr>
                </pic:pic>
              </a:graphicData>
            </a:graphic>
          </wp:anchor>
        </w:drawing>
      </w:r>
    </w:p>
    <w:p>
      <w:pPr>
        <w:spacing w:after="0" w:line="216" w:lineRule="exact"/>
        <w:rPr>
          <w:sz w:val="24"/>
          <w:szCs w:val="24"/>
          <w:color w:val="auto"/>
        </w:rPr>
      </w:pPr>
    </w:p>
    <w:p>
      <w:pPr>
        <w:jc w:val="center"/>
        <w:spacing w:after="0"/>
        <w:rPr>
          <w:sz w:val="20"/>
          <w:szCs w:val="20"/>
          <w:color w:val="auto"/>
        </w:rPr>
      </w:pPr>
      <w:r>
        <w:rPr>
          <w:rFonts w:ascii="Arial" w:cs="Arial" w:eastAsia="Arial" w:hAnsi="Arial"/>
          <w:sz w:val="32"/>
          <w:szCs w:val="32"/>
          <w:b w:val="1"/>
          <w:bCs w:val="1"/>
          <w:color w:val="auto"/>
        </w:rPr>
        <w:t>FORM 10-K</w:t>
      </w:r>
    </w:p>
    <w:p>
      <w:pPr>
        <w:spacing w:after="0" w:line="108" w:lineRule="exact"/>
        <w:rPr>
          <w:sz w:val="24"/>
          <w:szCs w:val="24"/>
          <w:color w:val="auto"/>
        </w:rPr>
      </w:pPr>
    </w:p>
    <w:p>
      <w:pPr>
        <w:spacing w:after="0"/>
        <w:rPr>
          <w:sz w:val="20"/>
          <w:szCs w:val="20"/>
          <w:color w:val="auto"/>
        </w:rPr>
      </w:pPr>
      <w:r>
        <w:rPr>
          <w:rFonts w:ascii="Arial" w:cs="Arial" w:eastAsia="Arial" w:hAnsi="Arial"/>
          <w:sz w:val="14"/>
          <w:szCs w:val="14"/>
          <w:color w:val="auto"/>
        </w:rPr>
        <w:t>(Mark One)</w:t>
      </w:r>
    </w:p>
    <w:p>
      <w:pPr>
        <w:spacing w:after="0" w:line="52" w:lineRule="exact"/>
        <w:rPr>
          <w:sz w:val="24"/>
          <w:szCs w:val="24"/>
          <w:color w:val="auto"/>
        </w:rPr>
      </w:pPr>
    </w:p>
    <w:p>
      <w:pPr>
        <w:ind w:left="580" w:hanging="572"/>
        <w:spacing w:after="0"/>
        <w:tabs>
          <w:tab w:leader="none" w:pos="580" w:val="left"/>
        </w:tabs>
        <w:numPr>
          <w:ilvl w:val="0"/>
          <w:numId w:val="1"/>
        </w:numPr>
        <w:rPr>
          <w:rFonts w:ascii="MS PGothic" w:cs="MS PGothic" w:eastAsia="MS PGothic" w:hAnsi="MS PGothic"/>
          <w:sz w:val="21"/>
          <w:szCs w:val="21"/>
          <w:color w:val="auto"/>
          <w:highlight w:val="black"/>
        </w:rPr>
      </w:pPr>
      <w:r>
        <w:rPr>
          <w:rFonts w:ascii="Arial" w:cs="Arial" w:eastAsia="Arial" w:hAnsi="Arial"/>
          <w:sz w:val="21"/>
          <w:szCs w:val="21"/>
          <w:b w:val="1"/>
          <w:bCs w:val="1"/>
          <w:color w:val="auto"/>
        </w:rPr>
        <w:t>ANNUAL REPORT PURSUANT TO SECTION 13 OR 15(d) OF THE SECURITIES EXCHANGE ACT OF 1934</w:t>
      </w:r>
    </w:p>
    <w:p>
      <w:pPr>
        <w:spacing w:after="0" w:line="115" w:lineRule="exact"/>
        <w:rPr>
          <w:sz w:val="24"/>
          <w:szCs w:val="24"/>
          <w:color w:val="auto"/>
        </w:rPr>
      </w:pPr>
    </w:p>
    <w:p>
      <w:pPr>
        <w:jc w:val="center"/>
        <w:spacing w:after="0"/>
        <w:rPr>
          <w:sz w:val="20"/>
          <w:szCs w:val="20"/>
          <w:color w:val="auto"/>
        </w:rPr>
      </w:pPr>
      <w:r>
        <w:rPr>
          <w:rFonts w:ascii="Arial" w:cs="Arial" w:eastAsia="Arial" w:hAnsi="Arial"/>
          <w:sz w:val="18"/>
          <w:szCs w:val="18"/>
          <w:color w:val="auto"/>
        </w:rPr>
        <w:t>FOR THE FISCAL YEAR ENDED DECEMBER 31, 2006</w:t>
      </w:r>
    </w:p>
    <w:p>
      <w:pPr>
        <w:spacing w:after="0" w:line="90" w:lineRule="exact"/>
        <w:rPr>
          <w:sz w:val="24"/>
          <w:szCs w:val="24"/>
          <w:color w:val="auto"/>
        </w:rPr>
      </w:pPr>
    </w:p>
    <w:p>
      <w:pPr>
        <w:jc w:val="center"/>
        <w:spacing w:after="0"/>
        <w:rPr>
          <w:sz w:val="20"/>
          <w:szCs w:val="20"/>
          <w:color w:val="auto"/>
        </w:rPr>
      </w:pPr>
      <w:r>
        <w:rPr>
          <w:rFonts w:ascii="Arial" w:cs="Arial" w:eastAsia="Arial" w:hAnsi="Arial"/>
          <w:sz w:val="18"/>
          <w:szCs w:val="18"/>
          <w:color w:val="auto"/>
        </w:rPr>
        <w:t>OR</w:t>
      </w:r>
    </w:p>
    <w:p>
      <w:pPr>
        <w:spacing w:after="0" w:line="71" w:lineRule="exact"/>
        <w:rPr>
          <w:sz w:val="24"/>
          <w:szCs w:val="24"/>
          <w:color w:val="auto"/>
        </w:rPr>
      </w:pPr>
    </w:p>
    <w:p>
      <w:pPr>
        <w:ind w:left="580" w:right="340" w:hanging="572"/>
        <w:spacing w:after="0" w:line="256" w:lineRule="auto"/>
        <w:tabs>
          <w:tab w:leader="none" w:pos="580" w:val="left"/>
        </w:tabs>
        <w:numPr>
          <w:ilvl w:val="0"/>
          <w:numId w:val="2"/>
        </w:numPr>
        <w:rPr>
          <w:rFonts w:ascii="MS PGothic" w:cs="MS PGothic" w:eastAsia="MS PGothic" w:hAnsi="MS PGothic"/>
          <w:sz w:val="22"/>
          <w:szCs w:val="22"/>
          <w:color w:val="auto"/>
        </w:rPr>
      </w:pPr>
      <w:r>
        <w:rPr>
          <w:rFonts w:ascii="Arial" w:cs="Arial" w:eastAsia="Arial" w:hAnsi="Arial"/>
          <w:sz w:val="22"/>
          <w:szCs w:val="22"/>
          <w:b w:val="1"/>
          <w:bCs w:val="1"/>
          <w:color w:val="auto"/>
        </w:rPr>
        <w:t>TRANSITION REPORT PURSUANT TO SECTION 13 OR 15(d) OF THE SECURITIES EXCHANGE ACT OF 1934</w:t>
      </w:r>
    </w:p>
    <w:p>
      <w:pPr>
        <w:spacing w:after="0" w:line="47" w:lineRule="exact"/>
        <w:rPr>
          <w:sz w:val="24"/>
          <w:szCs w:val="24"/>
          <w:color w:val="auto"/>
        </w:rPr>
      </w:pPr>
    </w:p>
    <w:tbl>
      <w:tblPr>
        <w:tblLayout w:type="fixed"/>
        <w:tblInd w:w="3140" w:type="dxa"/>
        <w:tblCellMar>
          <w:top w:w="0" w:type="dxa"/>
          <w:left w:w="0" w:type="dxa"/>
          <w:bottom w:w="0" w:type="dxa"/>
          <w:right w:w="0" w:type="dxa"/>
        </w:tblCellMar>
      </w:tblPr>
      <w:tr>
        <w:trPr>
          <w:trHeight w:val="222"/>
        </w:trPr>
        <w:tc>
          <w:tcPr>
            <w:tcW w:w="3920" w:type="dxa"/>
            <w:vAlign w:val="bottom"/>
            <w:gridSpan w:val="3"/>
          </w:tcPr>
          <w:p>
            <w:pPr>
              <w:spacing w:after="0"/>
              <w:rPr>
                <w:sz w:val="20"/>
                <w:szCs w:val="20"/>
                <w:color w:val="auto"/>
              </w:rPr>
            </w:pPr>
            <w:r>
              <w:rPr>
                <w:rFonts w:ascii="Arial" w:cs="Arial" w:eastAsia="Arial" w:hAnsi="Arial"/>
                <w:sz w:val="18"/>
                <w:szCs w:val="18"/>
                <w:color w:val="auto"/>
              </w:rPr>
              <w:t>FOR THE TRANSITION PERIOD FROM</w:t>
            </w:r>
          </w:p>
        </w:tc>
        <w:tc>
          <w:tcPr>
            <w:tcW w:w="320" w:type="dxa"/>
            <w:vAlign w:val="bottom"/>
          </w:tcPr>
          <w:p>
            <w:pPr>
              <w:ind w:left="80"/>
              <w:spacing w:after="0"/>
              <w:rPr>
                <w:sz w:val="20"/>
                <w:szCs w:val="20"/>
                <w:color w:val="auto"/>
              </w:rPr>
            </w:pPr>
            <w:r>
              <w:rPr>
                <w:rFonts w:ascii="Arial" w:cs="Arial" w:eastAsia="Arial" w:hAnsi="Arial"/>
                <w:sz w:val="18"/>
                <w:szCs w:val="18"/>
                <w:color w:val="auto"/>
                <w:w w:val="87"/>
              </w:rPr>
              <w:t>TO</w:t>
            </w:r>
          </w:p>
        </w:tc>
      </w:tr>
      <w:tr>
        <w:trPr>
          <w:trHeight w:val="297"/>
        </w:trPr>
        <w:tc>
          <w:tcPr>
            <w:tcW w:w="3920" w:type="dxa"/>
            <w:vAlign w:val="bottom"/>
            <w:gridSpan w:val="3"/>
          </w:tcPr>
          <w:p>
            <w:pPr>
              <w:ind w:left="1300"/>
              <w:spacing w:after="0"/>
              <w:rPr>
                <w:sz w:val="20"/>
                <w:szCs w:val="20"/>
                <w:color w:val="auto"/>
              </w:rPr>
            </w:pPr>
            <w:r>
              <w:rPr>
                <w:rFonts w:ascii="Arial" w:cs="Arial" w:eastAsia="Arial" w:hAnsi="Arial"/>
                <w:sz w:val="18"/>
                <w:szCs w:val="18"/>
                <w:color w:val="auto"/>
                <w:w w:val="91"/>
              </w:rPr>
              <w:t>Commission file number 001-32871</w:t>
            </w:r>
          </w:p>
        </w:tc>
        <w:tc>
          <w:tcPr>
            <w:tcW w:w="320" w:type="dxa"/>
            <w:vAlign w:val="bottom"/>
          </w:tcPr>
          <w:p>
            <w:pPr>
              <w:spacing w:after="0"/>
              <w:rPr>
                <w:sz w:val="24"/>
                <w:szCs w:val="24"/>
                <w:color w:val="auto"/>
              </w:rPr>
            </w:pPr>
          </w:p>
        </w:tc>
      </w:tr>
      <w:tr>
        <w:trPr>
          <w:trHeight w:val="164"/>
        </w:trPr>
        <w:tc>
          <w:tcPr>
            <w:tcW w:w="1520" w:type="dxa"/>
            <w:vAlign w:val="bottom"/>
          </w:tcPr>
          <w:p>
            <w:pPr>
              <w:spacing w:after="0"/>
              <w:rPr>
                <w:sz w:val="14"/>
                <w:szCs w:val="14"/>
                <w:color w:val="auto"/>
              </w:rPr>
            </w:pPr>
          </w:p>
        </w:tc>
        <w:tc>
          <w:tcPr>
            <w:tcW w:w="2100" w:type="dxa"/>
            <w:vAlign w:val="bottom"/>
            <w:tcBorders>
              <w:bottom w:val="single" w:sz="8" w:color="auto"/>
            </w:tcBorders>
          </w:tcPr>
          <w:p>
            <w:pPr>
              <w:spacing w:after="0"/>
              <w:rPr>
                <w:sz w:val="14"/>
                <w:szCs w:val="14"/>
                <w:color w:val="auto"/>
              </w:rPr>
            </w:pPr>
          </w:p>
        </w:tc>
        <w:tc>
          <w:tcPr>
            <w:tcW w:w="300" w:type="dxa"/>
            <w:vAlign w:val="bottom"/>
          </w:tcPr>
          <w:p>
            <w:pPr>
              <w:spacing w:after="0"/>
              <w:rPr>
                <w:sz w:val="14"/>
                <w:szCs w:val="14"/>
                <w:color w:val="auto"/>
              </w:rPr>
            </w:pPr>
          </w:p>
        </w:tc>
        <w:tc>
          <w:tcPr>
            <w:tcW w:w="320" w:type="dxa"/>
            <w:vAlign w:val="bottom"/>
          </w:tcPr>
          <w:p>
            <w:pPr>
              <w:spacing w:after="0"/>
              <w:rPr>
                <w:sz w:val="14"/>
                <w:szCs w:val="14"/>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2980690</wp:posOffset>
            </wp:positionH>
            <wp:positionV relativeFrom="paragraph">
              <wp:posOffset>68580</wp:posOffset>
            </wp:positionV>
            <wp:extent cx="1294765" cy="33464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294765" cy="334645"/>
                    </a:xfrm>
                    <a:prstGeom prst="rect">
                      <a:avLst/>
                    </a:prstGeom>
                    <a:noFill/>
                  </pic:spPr>
                </pic:pic>
              </a:graphicData>
            </a:graphic>
          </wp:anchor>
        </w:drawing>
      </w:r>
    </w:p>
    <w:p>
      <w:pPr>
        <w:spacing w:after="0" w:line="200" w:lineRule="exact"/>
        <w:rPr>
          <w:sz w:val="24"/>
          <w:szCs w:val="24"/>
          <w:color w:val="auto"/>
        </w:rPr>
      </w:pPr>
    </w:p>
    <w:p>
      <w:pPr>
        <w:spacing w:after="0" w:line="385" w:lineRule="exact"/>
        <w:rPr>
          <w:sz w:val="24"/>
          <w:szCs w:val="24"/>
          <w:color w:val="auto"/>
        </w:rPr>
      </w:pPr>
    </w:p>
    <w:p>
      <w:pPr>
        <w:jc w:val="center"/>
        <w:spacing w:after="0"/>
        <w:rPr>
          <w:sz w:val="20"/>
          <w:szCs w:val="20"/>
          <w:color w:val="auto"/>
        </w:rPr>
      </w:pPr>
      <w:r>
        <w:rPr>
          <w:rFonts w:ascii="Arial" w:cs="Arial" w:eastAsia="Arial" w:hAnsi="Arial"/>
          <w:sz w:val="43"/>
          <w:szCs w:val="43"/>
          <w:b w:val="1"/>
          <w:bCs w:val="1"/>
          <w:color w:val="auto"/>
        </w:rPr>
        <w:t>COMCAST CORPORATION</w:t>
      </w:r>
    </w:p>
    <w:p>
      <w:pPr>
        <w:spacing w:after="0" w:line="49" w:lineRule="exact"/>
        <w:rPr>
          <w:sz w:val="24"/>
          <w:szCs w:val="24"/>
          <w:color w:val="auto"/>
        </w:rPr>
      </w:pPr>
    </w:p>
    <w:p>
      <w:pPr>
        <w:jc w:val="center"/>
        <w:spacing w:after="0"/>
        <w:rPr>
          <w:sz w:val="20"/>
          <w:szCs w:val="20"/>
          <w:color w:val="auto"/>
        </w:rPr>
      </w:pPr>
      <w:r>
        <w:rPr>
          <w:rFonts w:ascii="Arial" w:cs="Arial" w:eastAsia="Arial" w:hAnsi="Arial"/>
          <w:sz w:val="14"/>
          <w:szCs w:val="14"/>
          <w:b w:val="1"/>
          <w:bCs w:val="1"/>
          <w:color w:val="auto"/>
        </w:rPr>
        <w:t>(Exact name of registrant as specified in its charter)</w:t>
      </w:r>
    </w:p>
    <w:p>
      <w:pPr>
        <w:spacing w:after="0" w:line="54" w:lineRule="exact"/>
        <w:rPr>
          <w:sz w:val="24"/>
          <w:szCs w:val="24"/>
          <w:color w:val="auto"/>
        </w:rPr>
      </w:pPr>
    </w:p>
    <w:tbl>
      <w:tblPr>
        <w:tblLayout w:type="fixed"/>
        <w:tblInd w:w="0" w:type="dxa"/>
        <w:tblCellMar>
          <w:top w:w="0" w:type="dxa"/>
          <w:left w:w="0" w:type="dxa"/>
          <w:bottom w:w="0" w:type="dxa"/>
          <w:right w:w="0" w:type="dxa"/>
        </w:tblCellMar>
      </w:tblPr>
      <w:tr>
        <w:trPr>
          <w:trHeight w:val="218"/>
        </w:trPr>
        <w:tc>
          <w:tcPr>
            <w:tcW w:w="6760" w:type="dxa"/>
            <w:vAlign w:val="bottom"/>
            <w:gridSpan w:val="4"/>
          </w:tcPr>
          <w:p>
            <w:pPr>
              <w:jc w:val="center"/>
              <w:ind w:right="1040"/>
              <w:spacing w:after="0"/>
              <w:rPr>
                <w:sz w:val="20"/>
                <w:szCs w:val="20"/>
                <w:color w:val="auto"/>
              </w:rPr>
            </w:pPr>
            <w:r>
              <w:rPr>
                <w:rFonts w:ascii="Arial" w:cs="Arial" w:eastAsia="Arial" w:hAnsi="Arial"/>
                <w:sz w:val="18"/>
                <w:szCs w:val="18"/>
                <w:b w:val="1"/>
                <w:bCs w:val="1"/>
                <w:color w:val="auto"/>
                <w:w w:val="96"/>
              </w:rPr>
              <w:t>PENNSYLVANIA</w:t>
            </w:r>
          </w:p>
        </w:tc>
        <w:tc>
          <w:tcPr>
            <w:tcW w:w="4660" w:type="dxa"/>
            <w:vAlign w:val="bottom"/>
          </w:tcPr>
          <w:p>
            <w:pPr>
              <w:jc w:val="center"/>
              <w:ind w:right="737"/>
              <w:spacing w:after="0"/>
              <w:rPr>
                <w:sz w:val="20"/>
                <w:szCs w:val="20"/>
                <w:color w:val="auto"/>
              </w:rPr>
            </w:pPr>
            <w:r>
              <w:rPr>
                <w:rFonts w:ascii="Arial" w:cs="Arial" w:eastAsia="Arial" w:hAnsi="Arial"/>
                <w:sz w:val="18"/>
                <w:szCs w:val="18"/>
                <w:b w:val="1"/>
                <w:bCs w:val="1"/>
                <w:color w:val="auto"/>
                <w:w w:val="87"/>
              </w:rPr>
              <w:t>27-0000798</w:t>
            </w:r>
          </w:p>
        </w:tc>
      </w:tr>
      <w:tr>
        <w:trPr>
          <w:trHeight w:val="174"/>
        </w:trPr>
        <w:tc>
          <w:tcPr>
            <w:tcW w:w="6760" w:type="dxa"/>
            <w:vAlign w:val="bottom"/>
            <w:gridSpan w:val="4"/>
          </w:tcPr>
          <w:p>
            <w:pPr>
              <w:jc w:val="center"/>
              <w:ind w:right="1040"/>
              <w:spacing w:after="0"/>
              <w:rPr>
                <w:sz w:val="20"/>
                <w:szCs w:val="20"/>
                <w:color w:val="auto"/>
              </w:rPr>
            </w:pPr>
            <w:r>
              <w:rPr>
                <w:rFonts w:ascii="Arial" w:cs="Arial" w:eastAsia="Arial" w:hAnsi="Arial"/>
                <w:sz w:val="14"/>
                <w:szCs w:val="14"/>
                <w:b w:val="1"/>
                <w:bCs w:val="1"/>
                <w:color w:val="auto"/>
                <w:w w:val="87"/>
              </w:rPr>
              <w:t>(State or other jurisdiction of incorporation or organization)</w:t>
            </w:r>
          </w:p>
        </w:tc>
        <w:tc>
          <w:tcPr>
            <w:tcW w:w="4660" w:type="dxa"/>
            <w:vAlign w:val="bottom"/>
          </w:tcPr>
          <w:p>
            <w:pPr>
              <w:jc w:val="center"/>
              <w:ind w:right="717"/>
              <w:spacing w:after="0"/>
              <w:rPr>
                <w:sz w:val="20"/>
                <w:szCs w:val="20"/>
                <w:color w:val="auto"/>
              </w:rPr>
            </w:pPr>
            <w:r>
              <w:rPr>
                <w:rFonts w:ascii="Arial" w:cs="Arial" w:eastAsia="Arial" w:hAnsi="Arial"/>
                <w:sz w:val="14"/>
                <w:szCs w:val="14"/>
                <w:b w:val="1"/>
                <w:bCs w:val="1"/>
                <w:color w:val="auto"/>
                <w:w w:val="89"/>
              </w:rPr>
              <w:t>(I.R.S. Employer Identification No.)</w:t>
            </w:r>
          </w:p>
        </w:tc>
      </w:tr>
      <w:tr>
        <w:trPr>
          <w:trHeight w:val="298"/>
        </w:trPr>
        <w:tc>
          <w:tcPr>
            <w:tcW w:w="6760" w:type="dxa"/>
            <w:vAlign w:val="bottom"/>
            <w:gridSpan w:val="4"/>
          </w:tcPr>
          <w:p>
            <w:pPr>
              <w:jc w:val="center"/>
              <w:ind w:right="1040"/>
              <w:spacing w:after="0"/>
              <w:rPr>
                <w:sz w:val="20"/>
                <w:szCs w:val="20"/>
                <w:color w:val="auto"/>
              </w:rPr>
            </w:pPr>
            <w:r>
              <w:rPr>
                <w:rFonts w:ascii="Arial" w:cs="Arial" w:eastAsia="Arial" w:hAnsi="Arial"/>
                <w:sz w:val="18"/>
                <w:szCs w:val="18"/>
                <w:b w:val="1"/>
                <w:bCs w:val="1"/>
                <w:color w:val="auto"/>
                <w:w w:val="90"/>
              </w:rPr>
              <w:t>1500 Market Street, Philadelphia, PA</w:t>
            </w:r>
          </w:p>
        </w:tc>
        <w:tc>
          <w:tcPr>
            <w:tcW w:w="4660" w:type="dxa"/>
            <w:vAlign w:val="bottom"/>
          </w:tcPr>
          <w:p>
            <w:pPr>
              <w:jc w:val="center"/>
              <w:ind w:right="737"/>
              <w:spacing w:after="0"/>
              <w:rPr>
                <w:sz w:val="20"/>
                <w:szCs w:val="20"/>
                <w:color w:val="auto"/>
              </w:rPr>
            </w:pPr>
            <w:r>
              <w:rPr>
                <w:rFonts w:ascii="Arial" w:cs="Arial" w:eastAsia="Arial" w:hAnsi="Arial"/>
                <w:sz w:val="18"/>
                <w:szCs w:val="18"/>
                <w:b w:val="1"/>
                <w:bCs w:val="1"/>
                <w:color w:val="auto"/>
                <w:w w:val="87"/>
              </w:rPr>
              <w:t>19102-2148</w:t>
            </w:r>
          </w:p>
        </w:tc>
      </w:tr>
      <w:tr>
        <w:trPr>
          <w:trHeight w:val="174"/>
        </w:trPr>
        <w:tc>
          <w:tcPr>
            <w:tcW w:w="6760" w:type="dxa"/>
            <w:vAlign w:val="bottom"/>
            <w:gridSpan w:val="4"/>
          </w:tcPr>
          <w:p>
            <w:pPr>
              <w:jc w:val="center"/>
              <w:ind w:right="1040"/>
              <w:spacing w:after="0"/>
              <w:rPr>
                <w:sz w:val="20"/>
                <w:szCs w:val="20"/>
                <w:color w:val="auto"/>
              </w:rPr>
            </w:pPr>
            <w:r>
              <w:rPr>
                <w:rFonts w:ascii="Arial" w:cs="Arial" w:eastAsia="Arial" w:hAnsi="Arial"/>
                <w:sz w:val="14"/>
                <w:szCs w:val="14"/>
                <w:b w:val="1"/>
                <w:bCs w:val="1"/>
                <w:color w:val="auto"/>
                <w:w w:val="85"/>
              </w:rPr>
              <w:t>(Address of principal executive offices)</w:t>
            </w:r>
          </w:p>
        </w:tc>
        <w:tc>
          <w:tcPr>
            <w:tcW w:w="4660" w:type="dxa"/>
            <w:vAlign w:val="bottom"/>
          </w:tcPr>
          <w:p>
            <w:pPr>
              <w:jc w:val="center"/>
              <w:ind w:right="717"/>
              <w:spacing w:after="0"/>
              <w:rPr>
                <w:sz w:val="20"/>
                <w:szCs w:val="20"/>
                <w:color w:val="auto"/>
              </w:rPr>
            </w:pPr>
            <w:r>
              <w:rPr>
                <w:rFonts w:ascii="Arial" w:cs="Arial" w:eastAsia="Arial" w:hAnsi="Arial"/>
                <w:sz w:val="14"/>
                <w:szCs w:val="14"/>
                <w:b w:val="1"/>
                <w:bCs w:val="1"/>
                <w:color w:val="auto"/>
                <w:w w:val="89"/>
              </w:rPr>
              <w:t>(Zip Code)</w:t>
            </w:r>
          </w:p>
        </w:tc>
      </w:tr>
      <w:tr>
        <w:trPr>
          <w:trHeight w:val="282"/>
        </w:trPr>
        <w:tc>
          <w:tcPr>
            <w:tcW w:w="11420" w:type="dxa"/>
            <w:vAlign w:val="bottom"/>
            <w:gridSpan w:val="5"/>
          </w:tcPr>
          <w:p>
            <w:pPr>
              <w:jc w:val="center"/>
              <w:spacing w:after="0"/>
              <w:rPr>
                <w:sz w:val="20"/>
                <w:szCs w:val="20"/>
                <w:color w:val="auto"/>
              </w:rPr>
            </w:pPr>
            <w:r>
              <w:rPr>
                <w:rFonts w:ascii="Arial" w:cs="Arial" w:eastAsia="Arial" w:hAnsi="Arial"/>
                <w:sz w:val="18"/>
                <w:szCs w:val="18"/>
                <w:b w:val="1"/>
                <w:bCs w:val="1"/>
                <w:color w:val="auto"/>
                <w:w w:val="87"/>
              </w:rPr>
              <w:t>Registrant’s telephone number, including area code: (215) 665-1700</w:t>
            </w:r>
          </w:p>
        </w:tc>
      </w:tr>
      <w:tr>
        <w:trPr>
          <w:trHeight w:val="164"/>
        </w:trPr>
        <w:tc>
          <w:tcPr>
            <w:tcW w:w="4660" w:type="dxa"/>
            <w:vAlign w:val="bottom"/>
          </w:tcPr>
          <w:p>
            <w:pPr>
              <w:spacing w:after="0"/>
              <w:rPr>
                <w:sz w:val="14"/>
                <w:szCs w:val="14"/>
                <w:color w:val="auto"/>
              </w:rPr>
            </w:pPr>
          </w:p>
        </w:tc>
        <w:tc>
          <w:tcPr>
            <w:tcW w:w="1160" w:type="dxa"/>
            <w:vAlign w:val="bottom"/>
            <w:tcBorders>
              <w:bottom w:val="single" w:sz="8" w:color="auto"/>
            </w:tcBorders>
          </w:tcPr>
          <w:p>
            <w:pPr>
              <w:spacing w:after="0"/>
              <w:rPr>
                <w:sz w:val="14"/>
                <w:szCs w:val="14"/>
                <w:color w:val="auto"/>
              </w:rPr>
            </w:pPr>
          </w:p>
        </w:tc>
        <w:tc>
          <w:tcPr>
            <w:tcW w:w="240" w:type="dxa"/>
            <w:vAlign w:val="bottom"/>
            <w:tcBorders>
              <w:bottom w:val="single" w:sz="8" w:color="auto"/>
            </w:tcBorders>
          </w:tcPr>
          <w:p>
            <w:pPr>
              <w:spacing w:after="0"/>
              <w:rPr>
                <w:sz w:val="14"/>
                <w:szCs w:val="14"/>
                <w:color w:val="auto"/>
              </w:rPr>
            </w:pPr>
          </w:p>
        </w:tc>
        <w:tc>
          <w:tcPr>
            <w:tcW w:w="700" w:type="dxa"/>
            <w:vAlign w:val="bottom"/>
            <w:tcBorders>
              <w:bottom w:val="single" w:sz="8" w:color="auto"/>
            </w:tcBorders>
          </w:tcPr>
          <w:p>
            <w:pPr>
              <w:spacing w:after="0"/>
              <w:rPr>
                <w:sz w:val="14"/>
                <w:szCs w:val="14"/>
                <w:color w:val="auto"/>
              </w:rPr>
            </w:pPr>
          </w:p>
        </w:tc>
        <w:tc>
          <w:tcPr>
            <w:tcW w:w="4660" w:type="dxa"/>
            <w:vAlign w:val="bottom"/>
          </w:tcPr>
          <w:p>
            <w:pPr>
              <w:spacing w:after="0"/>
              <w:rPr>
                <w:sz w:val="14"/>
                <w:szCs w:val="14"/>
                <w:color w:val="auto"/>
              </w:rPr>
            </w:pPr>
          </w:p>
        </w:tc>
      </w:tr>
      <w:tr>
        <w:trPr>
          <w:trHeight w:val="316"/>
        </w:trPr>
        <w:tc>
          <w:tcPr>
            <w:tcW w:w="11420" w:type="dxa"/>
            <w:vAlign w:val="bottom"/>
            <w:gridSpan w:val="5"/>
          </w:tcPr>
          <w:p>
            <w:pPr>
              <w:jc w:val="center"/>
              <w:spacing w:after="0"/>
              <w:rPr>
                <w:sz w:val="20"/>
                <w:szCs w:val="20"/>
                <w:color w:val="auto"/>
              </w:rPr>
            </w:pPr>
            <w:r>
              <w:rPr>
                <w:rFonts w:ascii="Arial" w:cs="Arial" w:eastAsia="Arial" w:hAnsi="Arial"/>
                <w:sz w:val="18"/>
                <w:szCs w:val="18"/>
                <w:b w:val="1"/>
                <w:bCs w:val="1"/>
                <w:color w:val="auto"/>
                <w:w w:val="96"/>
              </w:rPr>
              <w:t>SECURITIES REGISTERED PURSUANT TO SECTION 12(b) OF THE ACT:</w:t>
            </w:r>
          </w:p>
        </w:tc>
      </w:tr>
      <w:tr>
        <w:trPr>
          <w:trHeight w:val="353"/>
        </w:trPr>
        <w:tc>
          <w:tcPr>
            <w:tcW w:w="5820" w:type="dxa"/>
            <w:vAlign w:val="bottom"/>
            <w:tcBorders>
              <w:bottom w:val="single" w:sz="8" w:color="auto"/>
            </w:tcBorders>
            <w:gridSpan w:val="2"/>
          </w:tcPr>
          <w:p>
            <w:pPr>
              <w:jc w:val="center"/>
              <w:spacing w:after="0"/>
              <w:rPr>
                <w:sz w:val="20"/>
                <w:szCs w:val="20"/>
                <w:color w:val="auto"/>
              </w:rPr>
            </w:pPr>
            <w:r>
              <w:rPr>
                <w:rFonts w:ascii="Arial" w:cs="Arial" w:eastAsia="Arial" w:hAnsi="Arial"/>
                <w:sz w:val="14"/>
                <w:szCs w:val="14"/>
                <w:b w:val="1"/>
                <w:bCs w:val="1"/>
                <w:color w:val="auto"/>
                <w:w w:val="86"/>
              </w:rPr>
              <w:t>Title of Each Class</w:t>
            </w:r>
          </w:p>
        </w:tc>
        <w:tc>
          <w:tcPr>
            <w:tcW w:w="240" w:type="dxa"/>
            <w:vAlign w:val="bottom"/>
          </w:tcPr>
          <w:p>
            <w:pPr>
              <w:spacing w:after="0"/>
              <w:rPr>
                <w:sz w:val="24"/>
                <w:szCs w:val="24"/>
                <w:color w:val="auto"/>
              </w:rPr>
            </w:pPr>
          </w:p>
        </w:tc>
        <w:tc>
          <w:tcPr>
            <w:tcW w:w="700" w:type="dxa"/>
            <w:vAlign w:val="bottom"/>
            <w:tcBorders>
              <w:bottom w:val="single" w:sz="8" w:color="auto"/>
            </w:tcBorders>
          </w:tcPr>
          <w:p>
            <w:pPr>
              <w:spacing w:after="0"/>
              <w:rPr>
                <w:sz w:val="24"/>
                <w:szCs w:val="24"/>
                <w:color w:val="auto"/>
              </w:rPr>
            </w:pPr>
          </w:p>
        </w:tc>
        <w:tc>
          <w:tcPr>
            <w:tcW w:w="4660" w:type="dxa"/>
            <w:vAlign w:val="bottom"/>
            <w:tcBorders>
              <w:bottom w:val="single" w:sz="8" w:color="auto"/>
            </w:tcBorders>
          </w:tcPr>
          <w:p>
            <w:pPr>
              <w:jc w:val="center"/>
              <w:ind w:right="617"/>
              <w:spacing w:after="0"/>
              <w:rPr>
                <w:sz w:val="20"/>
                <w:szCs w:val="20"/>
                <w:color w:val="auto"/>
              </w:rPr>
            </w:pPr>
            <w:r>
              <w:rPr>
                <w:rFonts w:ascii="Arial" w:cs="Arial" w:eastAsia="Arial" w:hAnsi="Arial"/>
                <w:sz w:val="14"/>
                <w:szCs w:val="14"/>
                <w:b w:val="1"/>
                <w:bCs w:val="1"/>
                <w:color w:val="auto"/>
                <w:w w:val="85"/>
              </w:rPr>
              <w:t>Name of Each Exchange on which Registered</w:t>
            </w:r>
          </w:p>
        </w:tc>
      </w:tr>
      <w:tr>
        <w:trPr>
          <w:trHeight w:val="215"/>
        </w:trPr>
        <w:tc>
          <w:tcPr>
            <w:tcW w:w="6760" w:type="dxa"/>
            <w:vAlign w:val="bottom"/>
            <w:gridSpan w:val="4"/>
          </w:tcPr>
          <w:p>
            <w:pPr>
              <w:jc w:val="center"/>
              <w:ind w:right="940"/>
              <w:spacing w:after="0"/>
              <w:rPr>
                <w:sz w:val="20"/>
                <w:szCs w:val="20"/>
                <w:color w:val="auto"/>
              </w:rPr>
            </w:pPr>
            <w:r>
              <w:rPr>
                <w:rFonts w:ascii="Arial" w:cs="Arial" w:eastAsia="Arial" w:hAnsi="Arial"/>
                <w:sz w:val="18"/>
                <w:szCs w:val="18"/>
                <w:color w:val="auto"/>
                <w:w w:val="88"/>
              </w:rPr>
              <w:t>Class A Common Stock, $0.01 par value</w:t>
            </w:r>
          </w:p>
        </w:tc>
        <w:tc>
          <w:tcPr>
            <w:tcW w:w="4660" w:type="dxa"/>
            <w:vAlign w:val="bottom"/>
          </w:tcPr>
          <w:p>
            <w:pPr>
              <w:jc w:val="center"/>
              <w:ind w:right="617"/>
              <w:spacing w:after="0"/>
              <w:rPr>
                <w:sz w:val="20"/>
                <w:szCs w:val="20"/>
                <w:color w:val="auto"/>
              </w:rPr>
            </w:pPr>
            <w:r>
              <w:rPr>
                <w:rFonts w:ascii="Arial" w:cs="Arial" w:eastAsia="Arial" w:hAnsi="Arial"/>
                <w:sz w:val="18"/>
                <w:szCs w:val="18"/>
                <w:color w:val="auto"/>
                <w:w w:val="88"/>
              </w:rPr>
              <w:t>Nasdaq Global Select Market</w:t>
            </w:r>
          </w:p>
        </w:tc>
      </w:tr>
      <w:tr>
        <w:trPr>
          <w:trHeight w:val="216"/>
        </w:trPr>
        <w:tc>
          <w:tcPr>
            <w:tcW w:w="6760" w:type="dxa"/>
            <w:vAlign w:val="bottom"/>
            <w:gridSpan w:val="4"/>
          </w:tcPr>
          <w:p>
            <w:pPr>
              <w:jc w:val="center"/>
              <w:ind w:right="940"/>
              <w:spacing w:after="0"/>
              <w:rPr>
                <w:sz w:val="20"/>
                <w:szCs w:val="20"/>
                <w:color w:val="auto"/>
              </w:rPr>
            </w:pPr>
            <w:r>
              <w:rPr>
                <w:rFonts w:ascii="Arial" w:cs="Arial" w:eastAsia="Arial" w:hAnsi="Arial"/>
                <w:sz w:val="18"/>
                <w:szCs w:val="18"/>
                <w:color w:val="auto"/>
                <w:w w:val="88"/>
              </w:rPr>
              <w:t>Class A Special Common Stock, $0.01 par value</w:t>
            </w:r>
          </w:p>
        </w:tc>
        <w:tc>
          <w:tcPr>
            <w:tcW w:w="4660" w:type="dxa"/>
            <w:vAlign w:val="bottom"/>
          </w:tcPr>
          <w:p>
            <w:pPr>
              <w:jc w:val="center"/>
              <w:ind w:right="617"/>
              <w:spacing w:after="0"/>
              <w:rPr>
                <w:sz w:val="20"/>
                <w:szCs w:val="20"/>
                <w:color w:val="auto"/>
              </w:rPr>
            </w:pPr>
            <w:r>
              <w:rPr>
                <w:rFonts w:ascii="Arial" w:cs="Arial" w:eastAsia="Arial" w:hAnsi="Arial"/>
                <w:sz w:val="18"/>
                <w:szCs w:val="18"/>
                <w:color w:val="auto"/>
                <w:w w:val="88"/>
              </w:rPr>
              <w:t>Nasdaq Global Select Market</w:t>
            </w:r>
          </w:p>
        </w:tc>
      </w:tr>
      <w:tr>
        <w:trPr>
          <w:trHeight w:val="216"/>
        </w:trPr>
        <w:tc>
          <w:tcPr>
            <w:tcW w:w="6760" w:type="dxa"/>
            <w:vAlign w:val="bottom"/>
            <w:gridSpan w:val="4"/>
          </w:tcPr>
          <w:p>
            <w:pPr>
              <w:jc w:val="center"/>
              <w:ind w:right="920"/>
              <w:spacing w:after="0"/>
              <w:rPr>
                <w:sz w:val="20"/>
                <w:szCs w:val="20"/>
                <w:color w:val="auto"/>
              </w:rPr>
            </w:pPr>
            <w:r>
              <w:rPr>
                <w:rFonts w:ascii="Arial" w:cs="Arial" w:eastAsia="Arial" w:hAnsi="Arial"/>
                <w:sz w:val="18"/>
                <w:szCs w:val="18"/>
                <w:color w:val="auto"/>
                <w:w w:val="87"/>
              </w:rPr>
              <w:t>2.0% Exchangeable Subordinated Debentures due 2029</w:t>
            </w:r>
          </w:p>
        </w:tc>
        <w:tc>
          <w:tcPr>
            <w:tcW w:w="4660" w:type="dxa"/>
            <w:vAlign w:val="bottom"/>
          </w:tcPr>
          <w:p>
            <w:pPr>
              <w:jc w:val="center"/>
              <w:ind w:right="617"/>
              <w:spacing w:after="0"/>
              <w:rPr>
                <w:sz w:val="20"/>
                <w:szCs w:val="20"/>
                <w:color w:val="auto"/>
              </w:rPr>
            </w:pPr>
            <w:r>
              <w:rPr>
                <w:rFonts w:ascii="Arial" w:cs="Arial" w:eastAsia="Arial" w:hAnsi="Arial"/>
                <w:sz w:val="18"/>
                <w:szCs w:val="18"/>
                <w:color w:val="auto"/>
                <w:w w:val="88"/>
              </w:rPr>
              <w:t>New York Stock Exchange</w:t>
            </w:r>
          </w:p>
        </w:tc>
      </w:tr>
      <w:tr>
        <w:trPr>
          <w:trHeight w:val="216"/>
        </w:trPr>
        <w:tc>
          <w:tcPr>
            <w:tcW w:w="6760" w:type="dxa"/>
            <w:vAlign w:val="bottom"/>
            <w:gridSpan w:val="4"/>
          </w:tcPr>
          <w:p>
            <w:pPr>
              <w:jc w:val="center"/>
              <w:ind w:right="920"/>
              <w:spacing w:after="0"/>
              <w:rPr>
                <w:sz w:val="20"/>
                <w:szCs w:val="20"/>
                <w:color w:val="auto"/>
              </w:rPr>
            </w:pPr>
            <w:r>
              <w:rPr>
                <w:rFonts w:ascii="Arial" w:cs="Arial" w:eastAsia="Arial" w:hAnsi="Arial"/>
                <w:sz w:val="18"/>
                <w:szCs w:val="18"/>
                <w:color w:val="auto"/>
                <w:w w:val="87"/>
              </w:rPr>
              <w:t>7.00% Notes due 2055</w:t>
            </w:r>
          </w:p>
        </w:tc>
        <w:tc>
          <w:tcPr>
            <w:tcW w:w="4660" w:type="dxa"/>
            <w:vAlign w:val="bottom"/>
          </w:tcPr>
          <w:p>
            <w:pPr>
              <w:jc w:val="center"/>
              <w:ind w:right="617"/>
              <w:spacing w:after="0"/>
              <w:rPr>
                <w:sz w:val="20"/>
                <w:szCs w:val="20"/>
                <w:color w:val="auto"/>
              </w:rPr>
            </w:pPr>
            <w:r>
              <w:rPr>
                <w:rFonts w:ascii="Arial" w:cs="Arial" w:eastAsia="Arial" w:hAnsi="Arial"/>
                <w:sz w:val="18"/>
                <w:szCs w:val="18"/>
                <w:color w:val="auto"/>
                <w:w w:val="88"/>
              </w:rPr>
              <w:t>New York Stock Exchange</w:t>
            </w:r>
          </w:p>
        </w:tc>
      </w:tr>
      <w:tr>
        <w:trPr>
          <w:trHeight w:val="216"/>
        </w:trPr>
        <w:tc>
          <w:tcPr>
            <w:tcW w:w="6760" w:type="dxa"/>
            <w:vAlign w:val="bottom"/>
            <w:gridSpan w:val="4"/>
          </w:tcPr>
          <w:p>
            <w:pPr>
              <w:jc w:val="center"/>
              <w:ind w:right="920"/>
              <w:spacing w:after="0"/>
              <w:rPr>
                <w:sz w:val="20"/>
                <w:szCs w:val="20"/>
                <w:color w:val="auto"/>
              </w:rPr>
            </w:pPr>
            <w:r>
              <w:rPr>
                <w:rFonts w:ascii="Arial" w:cs="Arial" w:eastAsia="Arial" w:hAnsi="Arial"/>
                <w:sz w:val="18"/>
                <w:szCs w:val="18"/>
                <w:color w:val="auto"/>
                <w:w w:val="87"/>
              </w:rPr>
              <w:t>7.00% Notes due 2055, Series B</w:t>
            </w:r>
          </w:p>
        </w:tc>
        <w:tc>
          <w:tcPr>
            <w:tcW w:w="4660" w:type="dxa"/>
            <w:vAlign w:val="bottom"/>
          </w:tcPr>
          <w:p>
            <w:pPr>
              <w:jc w:val="center"/>
              <w:ind w:right="617"/>
              <w:spacing w:after="0"/>
              <w:rPr>
                <w:sz w:val="20"/>
                <w:szCs w:val="20"/>
                <w:color w:val="auto"/>
              </w:rPr>
            </w:pPr>
            <w:r>
              <w:rPr>
                <w:rFonts w:ascii="Arial" w:cs="Arial" w:eastAsia="Arial" w:hAnsi="Arial"/>
                <w:sz w:val="18"/>
                <w:szCs w:val="18"/>
                <w:color w:val="auto"/>
                <w:w w:val="88"/>
              </w:rPr>
              <w:t>New York Stock Exchange</w:t>
            </w:r>
          </w:p>
        </w:tc>
      </w:tr>
      <w:tr>
        <w:trPr>
          <w:trHeight w:val="216"/>
        </w:trPr>
        <w:tc>
          <w:tcPr>
            <w:tcW w:w="6760" w:type="dxa"/>
            <w:vAlign w:val="bottom"/>
            <w:gridSpan w:val="4"/>
          </w:tcPr>
          <w:p>
            <w:pPr>
              <w:jc w:val="center"/>
              <w:ind w:right="940"/>
              <w:spacing w:after="0"/>
              <w:rPr>
                <w:sz w:val="20"/>
                <w:szCs w:val="20"/>
                <w:color w:val="auto"/>
              </w:rPr>
            </w:pPr>
            <w:r>
              <w:rPr>
                <w:rFonts w:ascii="Arial" w:cs="Arial" w:eastAsia="Arial" w:hAnsi="Arial"/>
                <w:sz w:val="18"/>
                <w:szCs w:val="18"/>
                <w:color w:val="auto"/>
                <w:w w:val="86"/>
              </w:rPr>
              <w:t>8.375% Guaranteed Notes due 2013</w:t>
            </w:r>
          </w:p>
        </w:tc>
        <w:tc>
          <w:tcPr>
            <w:tcW w:w="4660" w:type="dxa"/>
            <w:vAlign w:val="bottom"/>
          </w:tcPr>
          <w:p>
            <w:pPr>
              <w:jc w:val="center"/>
              <w:ind w:right="617"/>
              <w:spacing w:after="0"/>
              <w:rPr>
                <w:sz w:val="20"/>
                <w:szCs w:val="20"/>
                <w:color w:val="auto"/>
              </w:rPr>
            </w:pPr>
            <w:r>
              <w:rPr>
                <w:rFonts w:ascii="Arial" w:cs="Arial" w:eastAsia="Arial" w:hAnsi="Arial"/>
                <w:sz w:val="18"/>
                <w:szCs w:val="18"/>
                <w:color w:val="auto"/>
                <w:w w:val="88"/>
              </w:rPr>
              <w:t>New York Stock Exchange</w:t>
            </w:r>
          </w:p>
        </w:tc>
      </w:tr>
      <w:tr>
        <w:trPr>
          <w:trHeight w:val="222"/>
        </w:trPr>
        <w:tc>
          <w:tcPr>
            <w:tcW w:w="6760" w:type="dxa"/>
            <w:vAlign w:val="bottom"/>
            <w:gridSpan w:val="4"/>
          </w:tcPr>
          <w:p>
            <w:pPr>
              <w:jc w:val="center"/>
              <w:ind w:right="940"/>
              <w:spacing w:after="0"/>
              <w:rPr>
                <w:sz w:val="20"/>
                <w:szCs w:val="20"/>
                <w:color w:val="auto"/>
              </w:rPr>
            </w:pPr>
            <w:r>
              <w:rPr>
                <w:rFonts w:ascii="Arial" w:cs="Arial" w:eastAsia="Arial" w:hAnsi="Arial"/>
                <w:sz w:val="18"/>
                <w:szCs w:val="18"/>
                <w:color w:val="auto"/>
                <w:w w:val="86"/>
              </w:rPr>
              <w:t>9.455% Guaranteed Notes due 2022</w:t>
            </w:r>
          </w:p>
        </w:tc>
        <w:tc>
          <w:tcPr>
            <w:tcW w:w="4660" w:type="dxa"/>
            <w:vAlign w:val="bottom"/>
          </w:tcPr>
          <w:p>
            <w:pPr>
              <w:jc w:val="center"/>
              <w:ind w:right="617"/>
              <w:spacing w:after="0"/>
              <w:rPr>
                <w:sz w:val="20"/>
                <w:szCs w:val="20"/>
                <w:color w:val="auto"/>
              </w:rPr>
            </w:pPr>
            <w:r>
              <w:rPr>
                <w:rFonts w:ascii="Arial" w:cs="Arial" w:eastAsia="Arial" w:hAnsi="Arial"/>
                <w:sz w:val="18"/>
                <w:szCs w:val="18"/>
                <w:color w:val="auto"/>
                <w:w w:val="88"/>
              </w:rPr>
              <w:t>New York Stock Exchange</w:t>
            </w: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2963545</wp:posOffset>
            </wp:positionH>
            <wp:positionV relativeFrom="paragraph">
              <wp:posOffset>104140</wp:posOffset>
            </wp:positionV>
            <wp:extent cx="1329055" cy="889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329055" cy="8890"/>
                    </a:xfrm>
                    <a:prstGeom prst="rect">
                      <a:avLst/>
                    </a:prstGeom>
                    <a:noFill/>
                  </pic:spPr>
                </pic:pic>
              </a:graphicData>
            </a:graphic>
          </wp:anchor>
        </w:drawing>
      </w:r>
    </w:p>
    <w:p>
      <w:pPr>
        <w:spacing w:after="0" w:line="251"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SECURITIES REGISTERED PURSUANT TO SECTION 12(g) OF THE ACT:</w:t>
      </w:r>
    </w:p>
    <w:p>
      <w:pPr>
        <w:spacing w:after="0" w:line="21" w:lineRule="exact"/>
        <w:rPr>
          <w:sz w:val="24"/>
          <w:szCs w:val="24"/>
          <w:color w:val="auto"/>
        </w:rPr>
      </w:pPr>
    </w:p>
    <w:p>
      <w:pPr>
        <w:jc w:val="center"/>
        <w:spacing w:after="0"/>
        <w:rPr>
          <w:sz w:val="20"/>
          <w:szCs w:val="20"/>
          <w:color w:val="auto"/>
        </w:rPr>
      </w:pPr>
      <w:r>
        <w:rPr>
          <w:rFonts w:ascii="Arial" w:cs="Arial" w:eastAsia="Arial" w:hAnsi="Arial"/>
          <w:sz w:val="18"/>
          <w:szCs w:val="18"/>
          <w:color w:val="auto"/>
        </w:rPr>
        <w:t>NONE</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2963545</wp:posOffset>
            </wp:positionH>
            <wp:positionV relativeFrom="paragraph">
              <wp:posOffset>109855</wp:posOffset>
            </wp:positionV>
            <wp:extent cx="1329055" cy="88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1329055" cy="8890"/>
                    </a:xfrm>
                    <a:prstGeom prst="rect">
                      <a:avLst/>
                    </a:prstGeom>
                    <a:noFill/>
                  </pic:spPr>
                </pic:pic>
              </a:graphicData>
            </a:graphic>
          </wp:anchor>
        </w:drawing>
      </w:r>
    </w:p>
    <w:p>
      <w:pPr>
        <w:spacing w:after="0" w:line="266" w:lineRule="exact"/>
        <w:rPr>
          <w:sz w:val="24"/>
          <w:szCs w:val="24"/>
          <w:color w:val="auto"/>
        </w:rPr>
      </w:pPr>
    </w:p>
    <w:p>
      <w:pPr>
        <w:ind w:left="360"/>
        <w:spacing w:after="0"/>
        <w:rPr>
          <w:sz w:val="20"/>
          <w:szCs w:val="20"/>
          <w:color w:val="auto"/>
        </w:rPr>
      </w:pPr>
      <w:r>
        <w:rPr>
          <w:rFonts w:ascii="Arial" w:cs="Arial" w:eastAsia="Arial" w:hAnsi="Arial"/>
          <w:sz w:val="18"/>
          <w:szCs w:val="18"/>
          <w:color w:val="auto"/>
        </w:rPr>
        <w:t>Indicate by check mark if the Registrant is a well-known seasoned issuer, as defined in Rule 405 of the Securities Act.</w:t>
      </w:r>
    </w:p>
    <w:p>
      <w:pPr>
        <w:spacing w:after="0" w:line="64" w:lineRule="exact"/>
        <w:rPr>
          <w:sz w:val="24"/>
          <w:szCs w:val="24"/>
          <w:color w:val="auto"/>
        </w:rPr>
      </w:pPr>
    </w:p>
    <w:p>
      <w:pPr>
        <w:ind w:left="5140"/>
        <w:spacing w:after="0" w:line="207" w:lineRule="exact"/>
        <w:tabs>
          <w:tab w:leader="none" w:pos="5800" w:val="left"/>
        </w:tabs>
        <w:rPr>
          <w:sz w:val="20"/>
          <w:szCs w:val="20"/>
          <w:color w:val="auto"/>
        </w:rPr>
      </w:pPr>
      <w:r>
        <w:rPr>
          <w:rFonts w:ascii="Arial" w:cs="Arial" w:eastAsia="Arial" w:hAnsi="Arial"/>
          <w:sz w:val="18"/>
          <w:szCs w:val="18"/>
          <w:color w:val="auto"/>
        </w:rPr>
        <w:t xml:space="preserve">Yes </w:t>
      </w:r>
      <w:r>
        <w:rPr>
          <w:rFonts w:ascii="MS PGothic" w:cs="MS PGothic" w:eastAsia="MS PGothic" w:hAnsi="MS PGothic"/>
          <w:sz w:val="18"/>
          <w:szCs w:val="18"/>
          <w:color w:val="auto"/>
        </w:rPr>
        <w:t>☒</w:t>
      </w:r>
      <w:r>
        <w:rPr>
          <w:sz w:val="20"/>
          <w:szCs w:val="20"/>
          <w:color w:val="auto"/>
        </w:rPr>
        <w:tab/>
      </w:r>
      <w:r>
        <w:rPr>
          <w:rFonts w:ascii="Arial" w:cs="Arial" w:eastAsia="Arial" w:hAnsi="Arial"/>
          <w:sz w:val="16"/>
          <w:szCs w:val="16"/>
          <w:color w:val="auto"/>
        </w:rPr>
        <w:t xml:space="preserve">No </w:t>
      </w:r>
      <w:r>
        <w:rPr>
          <w:rFonts w:ascii="MS PGothic" w:cs="MS PGothic" w:eastAsia="MS PGothic" w:hAnsi="MS PGothic"/>
          <w:sz w:val="16"/>
          <w:szCs w:val="16"/>
          <w:color w:val="auto"/>
        </w:rPr>
        <w:t>☐</w:t>
      </w:r>
    </w:p>
    <w:p>
      <w:pPr>
        <w:spacing w:after="0" w:line="116" w:lineRule="exact"/>
        <w:rPr>
          <w:sz w:val="24"/>
          <w:szCs w:val="24"/>
          <w:color w:val="auto"/>
        </w:rPr>
      </w:pPr>
    </w:p>
    <w:p>
      <w:pPr>
        <w:ind w:left="360"/>
        <w:spacing w:after="0"/>
        <w:rPr>
          <w:sz w:val="20"/>
          <w:szCs w:val="20"/>
          <w:color w:val="auto"/>
        </w:rPr>
      </w:pPr>
      <w:r>
        <w:rPr>
          <w:rFonts w:ascii="Arial" w:cs="Arial" w:eastAsia="Arial" w:hAnsi="Arial"/>
          <w:sz w:val="18"/>
          <w:szCs w:val="18"/>
          <w:color w:val="auto"/>
        </w:rPr>
        <w:t>Indicate by check mark if the Registrant is not required to file reports pursuant to Section 13 or Section 15(d) of the Act.</w:t>
      </w:r>
    </w:p>
    <w:p>
      <w:pPr>
        <w:spacing w:after="0" w:line="64" w:lineRule="exact"/>
        <w:rPr>
          <w:sz w:val="24"/>
          <w:szCs w:val="24"/>
          <w:color w:val="auto"/>
        </w:rPr>
      </w:pPr>
    </w:p>
    <w:p>
      <w:pPr>
        <w:ind w:left="5140"/>
        <w:spacing w:after="0" w:line="207" w:lineRule="exact"/>
        <w:tabs>
          <w:tab w:leader="none" w:pos="5800" w:val="left"/>
        </w:tabs>
        <w:rPr>
          <w:sz w:val="20"/>
          <w:szCs w:val="20"/>
          <w:color w:val="auto"/>
        </w:rPr>
      </w:pPr>
      <w:r>
        <w:rPr>
          <w:rFonts w:ascii="Arial" w:cs="Arial" w:eastAsia="Arial" w:hAnsi="Arial"/>
          <w:sz w:val="18"/>
          <w:szCs w:val="18"/>
          <w:color w:val="auto"/>
        </w:rPr>
        <w:t xml:space="preserve">Yes </w:t>
      </w:r>
      <w:r>
        <w:rPr>
          <w:rFonts w:ascii="MS PGothic" w:cs="MS PGothic" w:eastAsia="MS PGothic" w:hAnsi="MS PGothic"/>
          <w:sz w:val="18"/>
          <w:szCs w:val="18"/>
          <w:color w:val="auto"/>
        </w:rPr>
        <w:t>☐</w:t>
      </w:r>
      <w:r>
        <w:rPr>
          <w:sz w:val="20"/>
          <w:szCs w:val="20"/>
          <w:color w:val="auto"/>
        </w:rPr>
        <w:tab/>
      </w:r>
      <w:r>
        <w:rPr>
          <w:rFonts w:ascii="Arial" w:cs="Arial" w:eastAsia="Arial" w:hAnsi="Arial"/>
          <w:sz w:val="16"/>
          <w:szCs w:val="16"/>
          <w:color w:val="auto"/>
        </w:rPr>
        <w:t xml:space="preserve">No </w:t>
      </w:r>
      <w:r>
        <w:rPr>
          <w:rFonts w:ascii="MS PGothic" w:cs="MS PGothic" w:eastAsia="MS PGothic" w:hAnsi="MS PGothic"/>
          <w:sz w:val="16"/>
          <w:szCs w:val="16"/>
          <w:color w:val="auto"/>
        </w:rPr>
        <w:t>☒</w:t>
      </w:r>
    </w:p>
    <w:p>
      <w:pPr>
        <w:spacing w:after="0" w:line="116" w:lineRule="exact"/>
        <w:rPr>
          <w:sz w:val="24"/>
          <w:szCs w:val="24"/>
          <w:color w:val="auto"/>
        </w:rPr>
      </w:pPr>
    </w:p>
    <w:p>
      <w:pPr>
        <w:ind w:right="340" w:firstLine="342"/>
        <w:spacing w:after="0" w:line="259" w:lineRule="auto"/>
        <w:rPr>
          <w:sz w:val="20"/>
          <w:szCs w:val="20"/>
          <w:color w:val="auto"/>
        </w:rPr>
      </w:pPr>
      <w:r>
        <w:rPr>
          <w:rFonts w:ascii="Arial" w:cs="Arial" w:eastAsia="Arial" w:hAnsi="Arial"/>
          <w:sz w:val="18"/>
          <w:szCs w:val="18"/>
          <w:color w:val="auto"/>
        </w:rPr>
        <w:t>Indicate by check mark whether the Registrant (1) has filed all reports required to be filed by Section 13 or 15(d) of the Securities Exchange Act of 1934 during the preceding 12 months (or for such shorter period that the Registrant was required to file such reports) and (2) has been subject to such filing requirements for the past 90 days.</w:t>
      </w:r>
    </w:p>
    <w:p>
      <w:pPr>
        <w:spacing w:after="0" w:line="27" w:lineRule="exact"/>
        <w:rPr>
          <w:sz w:val="24"/>
          <w:szCs w:val="24"/>
          <w:color w:val="auto"/>
        </w:rPr>
      </w:pPr>
    </w:p>
    <w:p>
      <w:pPr>
        <w:jc w:val="center"/>
        <w:spacing w:after="0" w:line="207" w:lineRule="exact"/>
        <w:tabs>
          <w:tab w:leader="none" w:pos="160" w:val="left"/>
        </w:tabs>
        <w:rPr>
          <w:sz w:val="20"/>
          <w:szCs w:val="20"/>
          <w:color w:val="auto"/>
        </w:rPr>
      </w:pPr>
      <w:r>
        <w:rPr>
          <w:rFonts w:ascii="Arial" w:cs="Arial" w:eastAsia="Arial" w:hAnsi="Arial"/>
          <w:sz w:val="18"/>
          <w:szCs w:val="18"/>
          <w:color w:val="auto"/>
        </w:rPr>
        <w:t xml:space="preserve">Yes </w:t>
      </w:r>
      <w:r>
        <w:rPr>
          <w:rFonts w:ascii="MS PGothic" w:cs="MS PGothic" w:eastAsia="MS PGothic" w:hAnsi="MS PGothic"/>
          <w:sz w:val="18"/>
          <w:szCs w:val="18"/>
          <w:color w:val="auto"/>
        </w:rPr>
        <w:t>☒</w:t>
      </w:r>
      <w:r>
        <w:rPr>
          <w:sz w:val="20"/>
          <w:szCs w:val="20"/>
          <w:color w:val="auto"/>
        </w:rPr>
        <w:tab/>
      </w:r>
      <w:r>
        <w:rPr>
          <w:rFonts w:ascii="Arial" w:cs="Arial" w:eastAsia="Arial" w:hAnsi="Arial"/>
          <w:sz w:val="16"/>
          <w:szCs w:val="16"/>
          <w:color w:val="auto"/>
        </w:rPr>
        <w:t xml:space="preserve">No </w:t>
      </w:r>
      <w:r>
        <w:rPr>
          <w:rFonts w:ascii="MS PGothic" w:cs="MS PGothic" w:eastAsia="MS PGothic" w:hAnsi="MS PGothic"/>
          <w:sz w:val="16"/>
          <w:szCs w:val="16"/>
          <w:color w:val="auto"/>
        </w:rPr>
        <w:t>☐</w:t>
      </w:r>
    </w:p>
    <w:p>
      <w:pPr>
        <w:spacing w:after="0" w:line="123" w:lineRule="exact"/>
        <w:rPr>
          <w:sz w:val="24"/>
          <w:szCs w:val="24"/>
          <w:color w:val="auto"/>
        </w:rPr>
      </w:pPr>
    </w:p>
    <w:p>
      <w:pPr>
        <w:ind w:right="220" w:firstLine="342"/>
        <w:spacing w:after="0" w:line="225" w:lineRule="exact"/>
        <w:rPr>
          <w:sz w:val="20"/>
          <w:szCs w:val="20"/>
          <w:color w:val="auto"/>
        </w:rPr>
      </w:pPr>
      <w:r>
        <w:rPr>
          <w:rFonts w:ascii="Arial" w:cs="Arial" w:eastAsia="Arial" w:hAnsi="Arial"/>
          <w:sz w:val="18"/>
          <w:szCs w:val="18"/>
          <w:color w:val="auto"/>
        </w:rPr>
        <w:t xml:space="preserve">Indicate by check mark if disclosure of delinquent filers pursuant to Item 405 of Regulation S-K is not contained herein, and will not be contained, to the best of Registrant’s knowledge, in definitive proxy or information statements incorporated by reference in Part III of this Form 10-K or any amendments to this Form 10-K. </w:t>
      </w:r>
      <w:r>
        <w:rPr>
          <w:rFonts w:ascii="MS PGothic" w:cs="MS PGothic" w:eastAsia="MS PGothic" w:hAnsi="MS PGothic"/>
          <w:sz w:val="18"/>
          <w:szCs w:val="18"/>
          <w:color w:val="auto"/>
        </w:rPr>
        <w:t>☐</w:t>
      </w:r>
    </w:p>
    <w:p>
      <w:pPr>
        <w:spacing w:after="0" w:line="57" w:lineRule="exact"/>
        <w:rPr>
          <w:sz w:val="24"/>
          <w:szCs w:val="24"/>
          <w:color w:val="auto"/>
        </w:rPr>
      </w:pPr>
    </w:p>
    <w:p>
      <w:pPr>
        <w:ind w:right="200" w:firstLine="342"/>
        <w:spacing w:after="0" w:line="268" w:lineRule="auto"/>
        <w:rPr>
          <w:sz w:val="20"/>
          <w:szCs w:val="20"/>
          <w:color w:val="auto"/>
        </w:rPr>
      </w:pPr>
      <w:r>
        <w:rPr>
          <w:rFonts w:ascii="Arial" w:cs="Arial" w:eastAsia="Arial" w:hAnsi="Arial"/>
          <w:sz w:val="18"/>
          <w:szCs w:val="18"/>
          <w:color w:val="auto"/>
        </w:rPr>
        <w:t>Indicate by check mark whether the Registrant is a large accelerated filer, an accelerated filer, or a non-accelerated filer. See definition of “accelerated filer and large accelerated filer” in Rule 12b-2 of the Exchange Act. (Check one):</w:t>
      </w:r>
    </w:p>
    <w:p>
      <w:pPr>
        <w:spacing w:after="0" w:line="18" w:lineRule="exact"/>
        <w:rPr>
          <w:sz w:val="24"/>
          <w:szCs w:val="24"/>
          <w:color w:val="auto"/>
        </w:rPr>
      </w:pPr>
    </w:p>
    <w:p>
      <w:pPr>
        <w:ind w:left="360" w:right="2340" w:firstLine="1998"/>
        <w:spacing w:after="0" w:line="276" w:lineRule="exact"/>
        <w:rPr>
          <w:sz w:val="20"/>
          <w:szCs w:val="20"/>
          <w:color w:val="auto"/>
        </w:rPr>
      </w:pPr>
      <w:r>
        <w:rPr>
          <w:rFonts w:ascii="Arial" w:cs="Arial" w:eastAsia="Arial" w:hAnsi="Arial"/>
          <w:sz w:val="18"/>
          <w:szCs w:val="18"/>
          <w:color w:val="auto"/>
        </w:rPr>
        <w:t xml:space="preserve">Large accelerated filer </w:t>
      </w:r>
      <w:r>
        <w:rPr>
          <w:rFonts w:ascii="MS PGothic" w:cs="MS PGothic" w:eastAsia="MS PGothic" w:hAnsi="MS PGothic"/>
          <w:sz w:val="18"/>
          <w:szCs w:val="18"/>
          <w:color w:val="auto"/>
        </w:rPr>
        <w:t>☒</w:t>
      </w:r>
      <w:r>
        <w:rPr>
          <w:rFonts w:ascii="Arial" w:cs="Arial" w:eastAsia="Arial" w:hAnsi="Arial"/>
          <w:sz w:val="18"/>
          <w:szCs w:val="18"/>
          <w:color w:val="auto"/>
        </w:rPr>
        <w:t xml:space="preserve"> Accelerated filer </w:t>
      </w:r>
      <w:r>
        <w:rPr>
          <w:rFonts w:ascii="MS PGothic" w:cs="MS PGothic" w:eastAsia="MS PGothic" w:hAnsi="MS PGothic"/>
          <w:sz w:val="18"/>
          <w:szCs w:val="18"/>
          <w:color w:val="auto"/>
        </w:rPr>
        <w:t>☐</w:t>
      </w:r>
      <w:r>
        <w:rPr>
          <w:rFonts w:ascii="Arial" w:cs="Arial" w:eastAsia="Arial" w:hAnsi="Arial"/>
          <w:sz w:val="18"/>
          <w:szCs w:val="18"/>
          <w:color w:val="auto"/>
        </w:rPr>
        <w:t xml:space="preserve"> Non-accelerated filer </w:t>
      </w:r>
      <w:r>
        <w:rPr>
          <w:rFonts w:ascii="MS PGothic" w:cs="MS PGothic" w:eastAsia="MS PGothic" w:hAnsi="MS PGothic"/>
          <w:sz w:val="18"/>
          <w:szCs w:val="18"/>
          <w:color w:val="auto"/>
        </w:rPr>
        <w:t>☐</w:t>
      </w:r>
      <w:r>
        <w:rPr>
          <w:rFonts w:ascii="Arial" w:cs="Arial" w:eastAsia="Arial" w:hAnsi="Arial"/>
          <w:sz w:val="18"/>
          <w:szCs w:val="18"/>
          <w:color w:val="auto"/>
        </w:rPr>
        <w:t xml:space="preserve"> Indicate by check mark whether the Registrant is a shell company (as defined in Rule 12b-2 of the Act).</w:t>
      </w:r>
    </w:p>
    <w:p>
      <w:pPr>
        <w:spacing w:after="0" w:line="42" w:lineRule="exact"/>
        <w:rPr>
          <w:sz w:val="24"/>
          <w:szCs w:val="24"/>
          <w:color w:val="auto"/>
        </w:rPr>
      </w:pPr>
    </w:p>
    <w:p>
      <w:pPr>
        <w:jc w:val="center"/>
        <w:spacing w:after="0" w:line="207" w:lineRule="exact"/>
        <w:tabs>
          <w:tab w:leader="none" w:pos="160" w:val="left"/>
        </w:tabs>
        <w:rPr>
          <w:sz w:val="20"/>
          <w:szCs w:val="20"/>
          <w:color w:val="auto"/>
        </w:rPr>
      </w:pPr>
      <w:r>
        <w:rPr>
          <w:rFonts w:ascii="Arial" w:cs="Arial" w:eastAsia="Arial" w:hAnsi="Arial"/>
          <w:sz w:val="18"/>
          <w:szCs w:val="18"/>
          <w:color w:val="auto"/>
        </w:rPr>
        <w:t xml:space="preserve">Yes </w:t>
      </w:r>
      <w:r>
        <w:rPr>
          <w:rFonts w:ascii="MS PGothic" w:cs="MS PGothic" w:eastAsia="MS PGothic" w:hAnsi="MS PGothic"/>
          <w:sz w:val="18"/>
          <w:szCs w:val="18"/>
          <w:color w:val="auto"/>
        </w:rPr>
        <w:t>☐</w:t>
      </w:r>
      <w:r>
        <w:rPr>
          <w:sz w:val="20"/>
          <w:szCs w:val="20"/>
          <w:color w:val="auto"/>
        </w:rPr>
        <w:tab/>
      </w:r>
      <w:r>
        <w:rPr>
          <w:rFonts w:ascii="Arial" w:cs="Arial" w:eastAsia="Arial" w:hAnsi="Arial"/>
          <w:sz w:val="16"/>
          <w:szCs w:val="16"/>
          <w:color w:val="auto"/>
        </w:rPr>
        <w:t xml:space="preserve">No </w:t>
      </w:r>
      <w:r>
        <w:rPr>
          <w:rFonts w:ascii="MS PGothic" w:cs="MS PGothic" w:eastAsia="MS PGothic" w:hAnsi="MS PGothic"/>
          <w:sz w:val="16"/>
          <w:szCs w:val="16"/>
          <w:color w:val="auto"/>
        </w:rPr>
        <w:t>☒</w:t>
      </w:r>
    </w:p>
    <w:p>
      <w:pPr>
        <w:spacing w:after="0" w:line="123" w:lineRule="exact"/>
        <w:rPr>
          <w:sz w:val="24"/>
          <w:szCs w:val="24"/>
          <w:color w:val="auto"/>
        </w:rPr>
      </w:pPr>
    </w:p>
    <w:p>
      <w:pPr>
        <w:ind w:right="300" w:firstLine="342"/>
        <w:spacing w:after="0" w:line="268" w:lineRule="auto"/>
        <w:rPr>
          <w:sz w:val="20"/>
          <w:szCs w:val="20"/>
          <w:color w:val="auto"/>
        </w:rPr>
      </w:pPr>
      <w:r>
        <w:rPr>
          <w:rFonts w:ascii="Arial" w:cs="Arial" w:eastAsia="Arial" w:hAnsi="Arial"/>
          <w:sz w:val="18"/>
          <w:szCs w:val="18"/>
          <w:color w:val="auto"/>
        </w:rPr>
        <w:t>As of June 30, 2006, the aggregate market value of the Class A common stock and Class A Special common stock held by non-affiliates of the Registrant was $44.708 billion and $23.300 billion, respectively.</w:t>
      </w:r>
    </w:p>
    <w:p>
      <w:pPr>
        <w:spacing w:after="0" w:line="51" w:lineRule="exact"/>
        <w:rPr>
          <w:sz w:val="24"/>
          <w:szCs w:val="24"/>
          <w:color w:val="auto"/>
        </w:rPr>
      </w:pPr>
    </w:p>
    <w:p>
      <w:pPr>
        <w:ind w:right="1380" w:firstLine="342"/>
        <w:spacing w:after="0" w:line="332" w:lineRule="auto"/>
        <w:rPr>
          <w:sz w:val="20"/>
          <w:szCs w:val="20"/>
          <w:color w:val="auto"/>
        </w:rPr>
      </w:pPr>
      <w:r>
        <w:rPr>
          <w:rFonts w:ascii="Arial" w:cs="Arial" w:eastAsia="Arial" w:hAnsi="Arial"/>
          <w:sz w:val="16"/>
          <w:szCs w:val="16"/>
          <w:color w:val="auto"/>
        </w:rPr>
        <w:t>As of December 31, 2006, after giving effect to our February 2007 stock split, there were 2,060,357,960 shares of Class A common stock, 1,049,725,007 shares of Class A Special common stock and 9,444,375 shares of Class B common stock outstanding.</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2963545</wp:posOffset>
            </wp:positionH>
            <wp:positionV relativeFrom="paragraph">
              <wp:posOffset>42545</wp:posOffset>
            </wp:positionV>
            <wp:extent cx="1329055" cy="889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1329055" cy="8890"/>
                    </a:xfrm>
                    <a:prstGeom prst="rect">
                      <a:avLst/>
                    </a:prstGeom>
                    <a:noFill/>
                  </pic:spPr>
                </pic:pic>
              </a:graphicData>
            </a:graphic>
          </wp:anchor>
        </w:drawing>
      </w:r>
    </w:p>
    <w:p>
      <w:pPr>
        <w:spacing w:after="0" w:line="154" w:lineRule="exact"/>
        <w:rPr>
          <w:sz w:val="24"/>
          <w:szCs w:val="24"/>
          <w:color w:val="auto"/>
        </w:rPr>
      </w:pPr>
    </w:p>
    <w:p>
      <w:pPr>
        <w:ind w:left="3700"/>
        <w:spacing w:after="0"/>
        <w:rPr>
          <w:sz w:val="20"/>
          <w:szCs w:val="20"/>
          <w:color w:val="auto"/>
        </w:rPr>
      </w:pPr>
      <w:r>
        <w:rPr>
          <w:rFonts w:ascii="Arial" w:cs="Arial" w:eastAsia="Arial" w:hAnsi="Arial"/>
          <w:sz w:val="18"/>
          <w:szCs w:val="18"/>
          <w:b w:val="1"/>
          <w:bCs w:val="1"/>
          <w:color w:val="auto"/>
        </w:rPr>
        <w:t>DOCUMENTS INCORPORATED BY REFERENCE</w:t>
      </w:r>
    </w:p>
    <w:p>
      <w:pPr>
        <w:spacing w:after="0" w:line="96" w:lineRule="exact"/>
        <w:rPr>
          <w:sz w:val="24"/>
          <w:szCs w:val="24"/>
          <w:color w:val="auto"/>
        </w:rPr>
      </w:pPr>
    </w:p>
    <w:p>
      <w:pPr>
        <w:ind w:left="360"/>
        <w:spacing w:after="0"/>
        <w:rPr>
          <w:sz w:val="20"/>
          <w:szCs w:val="20"/>
          <w:color w:val="auto"/>
        </w:rPr>
      </w:pPr>
      <w:r>
        <w:rPr>
          <w:rFonts w:ascii="Arial" w:cs="Arial" w:eastAsia="Arial" w:hAnsi="Arial"/>
          <w:sz w:val="18"/>
          <w:szCs w:val="18"/>
          <w:color w:val="auto"/>
        </w:rPr>
        <w:t>Part II and IV—Portions of the Registrant’s Annual Report to Shareholders for the year ended December 31, 2006.</w:t>
      </w:r>
    </w:p>
    <w:p>
      <w:pPr>
        <w:sectPr>
          <w:pgSz w:w="11900" w:h="16838" w:orient="portrait"/>
          <w:cols w:equalWidth="0" w:num="1">
            <w:col w:w="11420"/>
          </w:cols>
          <w:pgMar w:left="240" w:top="230" w:right="239" w:bottom="0" w:gutter="0" w:footer="0" w:header="0"/>
        </w:sectPr>
      </w:pPr>
    </w:p>
    <w:bookmarkStart w:id="1" w:name="page2"/>
    <w:bookmarkEnd w:id="1"/>
    <w:p>
      <w:pPr>
        <w:spacing w:after="0"/>
        <w:rPr>
          <w:sz w:val="20"/>
          <w:szCs w:val="20"/>
          <w:color w:val="auto"/>
        </w:rPr>
      </w:pPr>
      <w:r>
        <w:rPr>
          <w:rFonts w:ascii="Arial" w:cs="Arial" w:eastAsia="Arial" w:hAnsi="Arial"/>
          <w:sz w:val="16"/>
          <w:szCs w:val="16"/>
          <w:color w:val="auto"/>
        </w:rPr>
        <w:t>Part III—The Registrant’s definitive Proxy Statement for its Annual Meeting of Shareholders presently scheduled to be held in May 2007.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-224790</wp:posOffset>
            </wp:positionH>
            <wp:positionV relativeFrom="paragraph">
              <wp:posOffset>169545</wp:posOffset>
            </wp:positionV>
            <wp:extent cx="7250430" cy="2984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250430" cy="29845"/>
                    </a:xfrm>
                    <a:prstGeom prst="rect">
                      <a:avLst/>
                    </a:prstGeom>
                    <a:noFill/>
                  </pic:spPr>
                </pic:pic>
              </a:graphicData>
            </a:graphic>
          </wp:anchor>
        </w:drawing>
      </w:r>
    </w:p>
    <w:p>
      <w:pPr>
        <w:sectPr>
          <w:pgSz w:w="11900" w:h="16838" w:orient="portrait"/>
          <w:cols w:equalWidth="0" w:num="1">
            <w:col w:w="9859"/>
          </w:cols>
          <w:pgMar w:left="600" w:top="131" w:right="1440" w:bottom="1440" w:gutter="0" w:footer="0" w:header="0"/>
        </w:sectPr>
      </w:pPr>
    </w:p>
    <w:bookmarkStart w:id="2" w:name="page3"/>
    <w:bookmarkEnd w:id="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108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5660" w:type="dxa"/>
            <w:vAlign w:val="bottom"/>
            <w:gridSpan w:val="7"/>
          </w:tcPr>
          <w:p>
            <w:pPr>
              <w:jc w:val="center"/>
              <w:ind w:right="3320"/>
              <w:spacing w:after="0"/>
              <w:rPr>
                <w:sz w:val="20"/>
                <w:szCs w:val="20"/>
                <w:color w:val="auto"/>
              </w:rPr>
            </w:pPr>
            <w:r>
              <w:rPr>
                <w:rFonts w:ascii="Arial" w:cs="Arial" w:eastAsia="Arial" w:hAnsi="Arial"/>
                <w:sz w:val="18"/>
                <w:szCs w:val="18"/>
                <w:b w:val="1"/>
                <w:bCs w:val="1"/>
                <w:color w:val="auto"/>
                <w:w w:val="97"/>
              </w:rPr>
              <w:t>COMCAST CORPORATION</w:t>
            </w:r>
          </w:p>
        </w:tc>
        <w:tc>
          <w:tcPr>
            <w:tcW w:w="1220" w:type="dxa"/>
            <w:vAlign w:val="bottom"/>
          </w:tcPr>
          <w:p>
            <w:pPr>
              <w:spacing w:after="0"/>
              <w:rPr>
                <w:sz w:val="18"/>
                <w:szCs w:val="18"/>
                <w:color w:val="auto"/>
              </w:rPr>
            </w:pPr>
          </w:p>
        </w:tc>
      </w:tr>
      <w:tr>
        <w:trPr>
          <w:trHeight w:val="228"/>
        </w:trPr>
        <w:tc>
          <w:tcPr>
            <w:tcW w:w="1080" w:type="dxa"/>
            <w:vAlign w:val="bottom"/>
          </w:tcPr>
          <w:p>
            <w:pPr>
              <w:spacing w:after="0"/>
              <w:rPr>
                <w:sz w:val="19"/>
                <w:szCs w:val="19"/>
                <w:color w:val="auto"/>
              </w:rPr>
            </w:pPr>
          </w:p>
        </w:tc>
        <w:tc>
          <w:tcPr>
            <w:tcW w:w="5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54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6100" w:type="dxa"/>
            <w:vAlign w:val="bottom"/>
            <w:gridSpan w:val="10"/>
          </w:tcPr>
          <w:p>
            <w:pPr>
              <w:jc w:val="center"/>
              <w:ind w:right="2880"/>
              <w:spacing w:after="0"/>
              <w:rPr>
                <w:sz w:val="20"/>
                <w:szCs w:val="20"/>
                <w:color w:val="auto"/>
              </w:rPr>
            </w:pPr>
            <w:r>
              <w:rPr>
                <w:rFonts w:ascii="Arial" w:cs="Arial" w:eastAsia="Arial" w:hAnsi="Arial"/>
                <w:sz w:val="18"/>
                <w:szCs w:val="18"/>
                <w:b w:val="1"/>
                <w:bCs w:val="1"/>
                <w:color w:val="auto"/>
                <w:w w:val="96"/>
              </w:rPr>
              <w:t>2006 ANNUAL REPORT ON FORM 10-K</w:t>
            </w:r>
          </w:p>
        </w:tc>
        <w:tc>
          <w:tcPr>
            <w:tcW w:w="1220" w:type="dxa"/>
            <w:vAlign w:val="bottom"/>
          </w:tcPr>
          <w:p>
            <w:pPr>
              <w:spacing w:after="0"/>
              <w:rPr>
                <w:sz w:val="19"/>
                <w:szCs w:val="19"/>
                <w:color w:val="auto"/>
              </w:rPr>
            </w:pPr>
          </w:p>
        </w:tc>
      </w:tr>
      <w:tr>
        <w:trPr>
          <w:trHeight w:val="297"/>
        </w:trPr>
        <w:tc>
          <w:tcPr>
            <w:tcW w:w="108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5500" w:type="dxa"/>
            <w:vAlign w:val="bottom"/>
            <w:gridSpan w:val="6"/>
          </w:tcPr>
          <w:p>
            <w:pPr>
              <w:jc w:val="center"/>
              <w:ind w:right="3460"/>
              <w:spacing w:after="0"/>
              <w:rPr>
                <w:sz w:val="20"/>
                <w:szCs w:val="20"/>
                <w:color w:val="auto"/>
              </w:rPr>
            </w:pPr>
            <w:r>
              <w:rPr>
                <w:rFonts w:ascii="Arial" w:cs="Arial" w:eastAsia="Arial" w:hAnsi="Arial"/>
                <w:sz w:val="18"/>
                <w:szCs w:val="18"/>
                <w:b w:val="1"/>
                <w:bCs w:val="1"/>
                <w:color w:val="auto"/>
                <w:w w:val="96"/>
              </w:rPr>
              <w:t>TABLE OF CONTENTS</w:t>
            </w:r>
          </w:p>
        </w:tc>
        <w:tc>
          <w:tcPr>
            <w:tcW w:w="1220" w:type="dxa"/>
            <w:vAlign w:val="bottom"/>
          </w:tcPr>
          <w:p>
            <w:pPr>
              <w:spacing w:after="0"/>
              <w:rPr>
                <w:sz w:val="24"/>
                <w:szCs w:val="24"/>
                <w:color w:val="auto"/>
              </w:rPr>
            </w:pPr>
          </w:p>
        </w:tc>
      </w:tr>
      <w:tr>
        <w:trPr>
          <w:trHeight w:val="412"/>
        </w:trPr>
        <w:tc>
          <w:tcPr>
            <w:tcW w:w="108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4920" w:type="dxa"/>
            <w:vAlign w:val="bottom"/>
            <w:gridSpan w:val="5"/>
          </w:tcPr>
          <w:p>
            <w:pPr>
              <w:jc w:val="center"/>
              <w:ind w:right="4060"/>
              <w:spacing w:after="0"/>
              <w:rPr>
                <w:sz w:val="20"/>
                <w:szCs w:val="20"/>
                <w:color w:val="auto"/>
              </w:rPr>
            </w:pPr>
            <w:r>
              <w:rPr>
                <w:rFonts w:ascii="Arial" w:cs="Arial" w:eastAsia="Arial" w:hAnsi="Arial"/>
                <w:sz w:val="18"/>
                <w:szCs w:val="18"/>
                <w:b w:val="1"/>
                <w:bCs w:val="1"/>
                <w:color w:val="auto"/>
                <w:w w:val="98"/>
              </w:rPr>
              <w:t>PART I</w:t>
            </w:r>
          </w:p>
        </w:tc>
        <w:tc>
          <w:tcPr>
            <w:tcW w:w="1220" w:type="dxa"/>
            <w:vAlign w:val="bottom"/>
          </w:tcPr>
          <w:p>
            <w:pPr>
              <w:spacing w:after="0"/>
              <w:rPr>
                <w:sz w:val="24"/>
                <w:szCs w:val="24"/>
                <w:color w:val="auto"/>
              </w:rPr>
            </w:pPr>
          </w:p>
        </w:tc>
      </w:tr>
      <w:tr>
        <w:trPr>
          <w:trHeight w:val="184"/>
        </w:trPr>
        <w:tc>
          <w:tcPr>
            <w:tcW w:w="1080" w:type="dxa"/>
            <w:vAlign w:val="bottom"/>
          </w:tcPr>
          <w:p>
            <w:pPr>
              <w:spacing w:after="0" w:line="184" w:lineRule="exact"/>
              <w:rPr>
                <w:sz w:val="20"/>
                <w:szCs w:val="20"/>
                <w:color w:val="auto"/>
              </w:rPr>
            </w:pPr>
            <w:r>
              <w:rPr>
                <w:rFonts w:ascii="Arial" w:cs="Arial" w:eastAsia="Arial" w:hAnsi="Arial"/>
                <w:sz w:val="18"/>
                <w:szCs w:val="18"/>
                <w:color w:val="auto"/>
              </w:rPr>
              <w:t>Item 1</w:t>
            </w:r>
          </w:p>
        </w:tc>
        <w:tc>
          <w:tcPr>
            <w:tcW w:w="9120" w:type="dxa"/>
            <w:vAlign w:val="bottom"/>
            <w:gridSpan w:val="21"/>
          </w:tcPr>
          <w:p>
            <w:pPr>
              <w:spacing w:after="0" w:line="184" w:lineRule="exact"/>
              <w:rPr>
                <w:rFonts w:ascii="Arial" w:cs="Arial" w:eastAsia="Arial" w:hAnsi="Arial"/>
                <w:sz w:val="18"/>
                <w:szCs w:val="18"/>
                <w:color w:val="0000EE"/>
              </w:rPr>
            </w:pPr>
            <w:hyperlink w:anchor="page4">
              <w:r>
                <w:rPr>
                  <w:rFonts w:ascii="Arial" w:cs="Arial" w:eastAsia="Arial" w:hAnsi="Arial"/>
                  <w:sz w:val="18"/>
                  <w:szCs w:val="18"/>
                  <w:color w:val="0000EE"/>
                </w:rPr>
                <w:t>Business</w:t>
              </w:r>
            </w:hyperlink>
          </w:p>
        </w:tc>
        <w:tc>
          <w:tcPr>
            <w:tcW w:w="1220" w:type="dxa"/>
            <w:vAlign w:val="bottom"/>
          </w:tcPr>
          <w:p>
            <w:pPr>
              <w:jc w:val="right"/>
              <w:spacing w:after="0" w:line="184" w:lineRule="exact"/>
              <w:rPr>
                <w:sz w:val="20"/>
                <w:szCs w:val="20"/>
                <w:color w:val="auto"/>
              </w:rPr>
            </w:pPr>
            <w:r>
              <w:rPr>
                <w:rFonts w:ascii="Arial" w:cs="Arial" w:eastAsia="Arial" w:hAnsi="Arial"/>
                <w:sz w:val="18"/>
                <w:szCs w:val="18"/>
                <w:color w:val="auto"/>
              </w:rPr>
              <w:t>1</w:t>
            </w:r>
          </w:p>
        </w:tc>
      </w:tr>
      <w:tr>
        <w:trPr>
          <w:trHeight w:val="20"/>
        </w:trPr>
        <w:tc>
          <w:tcPr>
            <w:tcW w:w="1080" w:type="dxa"/>
            <w:vAlign w:val="bottom"/>
            <w:tcBorders>
              <w:right w:val="single" w:sz="8" w:color="0000EE"/>
            </w:tcBorders>
          </w:tcPr>
          <w:p>
            <w:pPr>
              <w:spacing w:after="0" w:line="20" w:lineRule="exact"/>
              <w:rPr>
                <w:sz w:val="1"/>
                <w:szCs w:val="1"/>
                <w:color w:val="auto"/>
              </w:rPr>
            </w:pPr>
          </w:p>
        </w:tc>
        <w:tc>
          <w:tcPr>
            <w:tcW w:w="560" w:type="dxa"/>
            <w:vAlign w:val="bottom"/>
            <w:shd w:val="clear" w:color="auto" w:fill="0000EE"/>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15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820" w:type="dxa"/>
            <w:vAlign w:val="bottom"/>
          </w:tcPr>
          <w:p>
            <w:pPr>
              <w:spacing w:after="0" w:line="20" w:lineRule="exact"/>
              <w:rPr>
                <w:sz w:val="1"/>
                <w:szCs w:val="1"/>
                <w:color w:val="auto"/>
              </w:rPr>
            </w:pPr>
          </w:p>
        </w:tc>
        <w:tc>
          <w:tcPr>
            <w:tcW w:w="1040" w:type="dxa"/>
            <w:vAlign w:val="bottom"/>
          </w:tcPr>
          <w:p>
            <w:pPr>
              <w:spacing w:after="0" w:line="20" w:lineRule="exact"/>
              <w:rPr>
                <w:sz w:val="1"/>
                <w:szCs w:val="1"/>
                <w:color w:val="auto"/>
              </w:rPr>
            </w:pPr>
          </w:p>
        </w:tc>
        <w:tc>
          <w:tcPr>
            <w:tcW w:w="1220" w:type="dxa"/>
            <w:vAlign w:val="bottom"/>
          </w:tcPr>
          <w:p>
            <w:pPr>
              <w:spacing w:after="0" w:line="20" w:lineRule="exact"/>
              <w:rPr>
                <w:sz w:val="1"/>
                <w:szCs w:val="1"/>
                <w:color w:val="auto"/>
              </w:rPr>
            </w:pPr>
          </w:p>
        </w:tc>
      </w:tr>
      <w:tr>
        <w:trPr>
          <w:trHeight w:val="196"/>
        </w:trPr>
        <w:tc>
          <w:tcPr>
            <w:tcW w:w="1080" w:type="dxa"/>
            <w:vAlign w:val="bottom"/>
          </w:tcPr>
          <w:p>
            <w:pPr>
              <w:spacing w:after="0" w:line="196" w:lineRule="exact"/>
              <w:rPr>
                <w:sz w:val="20"/>
                <w:szCs w:val="20"/>
                <w:color w:val="auto"/>
              </w:rPr>
            </w:pPr>
            <w:r>
              <w:rPr>
                <w:rFonts w:ascii="Arial" w:cs="Arial" w:eastAsia="Arial" w:hAnsi="Arial"/>
                <w:sz w:val="18"/>
                <w:szCs w:val="18"/>
                <w:color w:val="auto"/>
              </w:rPr>
              <w:t>Item 1A</w:t>
            </w:r>
          </w:p>
        </w:tc>
        <w:tc>
          <w:tcPr>
            <w:tcW w:w="9120" w:type="dxa"/>
            <w:vAlign w:val="bottom"/>
            <w:gridSpan w:val="21"/>
          </w:tcPr>
          <w:p>
            <w:pPr>
              <w:spacing w:after="0" w:line="196" w:lineRule="exact"/>
              <w:rPr>
                <w:rFonts w:ascii="Arial" w:cs="Arial" w:eastAsia="Arial" w:hAnsi="Arial"/>
                <w:sz w:val="18"/>
                <w:szCs w:val="18"/>
                <w:color w:val="0000EE"/>
              </w:rPr>
            </w:pPr>
            <w:hyperlink w:anchor="page20">
              <w:r>
                <w:rPr>
                  <w:rFonts w:ascii="Arial" w:cs="Arial" w:eastAsia="Arial" w:hAnsi="Arial"/>
                  <w:sz w:val="18"/>
                  <w:szCs w:val="18"/>
                  <w:color w:val="0000EE"/>
                </w:rPr>
                <w:t>Risk Factors</w:t>
              </w:r>
            </w:hyperlink>
          </w:p>
        </w:tc>
        <w:tc>
          <w:tcPr>
            <w:tcW w:w="1220" w:type="dxa"/>
            <w:vAlign w:val="bottom"/>
          </w:tcPr>
          <w:p>
            <w:pPr>
              <w:jc w:val="right"/>
              <w:spacing w:after="0" w:line="196" w:lineRule="exact"/>
              <w:rPr>
                <w:sz w:val="20"/>
                <w:szCs w:val="20"/>
                <w:color w:val="auto"/>
              </w:rPr>
            </w:pPr>
            <w:r>
              <w:rPr>
                <w:rFonts w:ascii="Arial" w:cs="Arial" w:eastAsia="Arial" w:hAnsi="Arial"/>
                <w:sz w:val="18"/>
                <w:szCs w:val="18"/>
                <w:color w:val="auto"/>
              </w:rPr>
              <w:t>17</w:t>
            </w:r>
          </w:p>
        </w:tc>
      </w:tr>
      <w:tr>
        <w:trPr>
          <w:trHeight w:val="20"/>
        </w:trPr>
        <w:tc>
          <w:tcPr>
            <w:tcW w:w="1080" w:type="dxa"/>
            <w:vAlign w:val="bottom"/>
            <w:tcBorders>
              <w:right w:val="single" w:sz="8" w:color="0000EE"/>
            </w:tcBorders>
          </w:tcPr>
          <w:p>
            <w:pPr>
              <w:spacing w:after="0" w:line="20" w:lineRule="exact"/>
              <w:rPr>
                <w:sz w:val="1"/>
                <w:szCs w:val="1"/>
                <w:color w:val="auto"/>
              </w:rPr>
            </w:pPr>
          </w:p>
        </w:tc>
        <w:tc>
          <w:tcPr>
            <w:tcW w:w="660" w:type="dxa"/>
            <w:vAlign w:val="bottom"/>
            <w:gridSpan w:val="2"/>
            <w:shd w:val="clear" w:color="auto" w:fill="0000EE"/>
          </w:tcPr>
          <w:p>
            <w:pPr>
              <w:spacing w:after="0" w:line="20" w:lineRule="exact"/>
              <w:rPr>
                <w:sz w:val="1"/>
                <w:szCs w:val="1"/>
                <w:color w:val="auto"/>
              </w:rPr>
            </w:pPr>
          </w:p>
        </w:tc>
        <w:tc>
          <w:tcPr>
            <w:tcW w:w="160" w:type="dxa"/>
            <w:vAlign w:val="bottom"/>
            <w:shd w:val="clear" w:color="auto" w:fill="0000EE"/>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15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820" w:type="dxa"/>
            <w:vAlign w:val="bottom"/>
          </w:tcPr>
          <w:p>
            <w:pPr>
              <w:spacing w:after="0" w:line="20" w:lineRule="exact"/>
              <w:rPr>
                <w:sz w:val="1"/>
                <w:szCs w:val="1"/>
                <w:color w:val="auto"/>
              </w:rPr>
            </w:pPr>
          </w:p>
        </w:tc>
        <w:tc>
          <w:tcPr>
            <w:tcW w:w="1040" w:type="dxa"/>
            <w:vAlign w:val="bottom"/>
          </w:tcPr>
          <w:p>
            <w:pPr>
              <w:spacing w:after="0" w:line="20" w:lineRule="exact"/>
              <w:rPr>
                <w:sz w:val="1"/>
                <w:szCs w:val="1"/>
                <w:color w:val="auto"/>
              </w:rPr>
            </w:pPr>
          </w:p>
        </w:tc>
        <w:tc>
          <w:tcPr>
            <w:tcW w:w="1220" w:type="dxa"/>
            <w:vAlign w:val="bottom"/>
          </w:tcPr>
          <w:p>
            <w:pPr>
              <w:spacing w:after="0" w:line="20" w:lineRule="exact"/>
              <w:rPr>
                <w:sz w:val="1"/>
                <w:szCs w:val="1"/>
                <w:color w:val="auto"/>
              </w:rPr>
            </w:pPr>
          </w:p>
        </w:tc>
      </w:tr>
      <w:tr>
        <w:trPr>
          <w:trHeight w:val="196"/>
        </w:trPr>
        <w:tc>
          <w:tcPr>
            <w:tcW w:w="1080" w:type="dxa"/>
            <w:vAlign w:val="bottom"/>
          </w:tcPr>
          <w:p>
            <w:pPr>
              <w:spacing w:after="0" w:line="196" w:lineRule="exact"/>
              <w:rPr>
                <w:sz w:val="20"/>
                <w:szCs w:val="20"/>
                <w:color w:val="auto"/>
              </w:rPr>
            </w:pPr>
            <w:r>
              <w:rPr>
                <w:rFonts w:ascii="Arial" w:cs="Arial" w:eastAsia="Arial" w:hAnsi="Arial"/>
                <w:sz w:val="18"/>
                <w:szCs w:val="18"/>
                <w:color w:val="auto"/>
              </w:rPr>
              <w:t>Item 1B</w:t>
            </w:r>
          </w:p>
        </w:tc>
        <w:tc>
          <w:tcPr>
            <w:tcW w:w="1940" w:type="dxa"/>
            <w:vAlign w:val="bottom"/>
            <w:tcBorders>
              <w:bottom w:val="single" w:sz="8" w:color="0000EE"/>
            </w:tcBorders>
            <w:gridSpan w:val="8"/>
          </w:tcPr>
          <w:p>
            <w:pPr>
              <w:spacing w:after="0" w:line="196" w:lineRule="exact"/>
              <w:rPr>
                <w:rFonts w:ascii="Arial" w:cs="Arial" w:eastAsia="Arial" w:hAnsi="Arial"/>
                <w:sz w:val="18"/>
                <w:szCs w:val="18"/>
                <w:color w:val="0000EE"/>
                <w:w w:val="85"/>
              </w:rPr>
            </w:pPr>
            <w:hyperlink w:anchor="page21">
              <w:r>
                <w:rPr>
                  <w:rFonts w:ascii="Arial" w:cs="Arial" w:eastAsia="Arial" w:hAnsi="Arial"/>
                  <w:sz w:val="18"/>
                  <w:szCs w:val="18"/>
                  <w:color w:val="0000EE"/>
                  <w:w w:val="85"/>
                </w:rPr>
                <w:t>Unresolved Staff Comments</w:t>
              </w:r>
            </w:hyperlink>
          </w:p>
        </w:tc>
        <w:tc>
          <w:tcPr>
            <w:tcW w:w="7180" w:type="dxa"/>
            <w:vAlign w:val="bottom"/>
            <w:gridSpan w:val="13"/>
          </w:tcPr>
          <w:p>
            <w:pPr>
              <w:spacing w:after="0"/>
              <w:rPr>
                <w:sz w:val="17"/>
                <w:szCs w:val="17"/>
                <w:color w:val="auto"/>
              </w:rPr>
            </w:pPr>
          </w:p>
        </w:tc>
        <w:tc>
          <w:tcPr>
            <w:tcW w:w="1220" w:type="dxa"/>
            <w:vAlign w:val="bottom"/>
          </w:tcPr>
          <w:p>
            <w:pPr>
              <w:jc w:val="right"/>
              <w:spacing w:after="0" w:line="196" w:lineRule="exact"/>
              <w:rPr>
                <w:sz w:val="20"/>
                <w:szCs w:val="20"/>
                <w:color w:val="auto"/>
              </w:rPr>
            </w:pPr>
            <w:r>
              <w:rPr>
                <w:rFonts w:ascii="Arial" w:cs="Arial" w:eastAsia="Arial" w:hAnsi="Arial"/>
                <w:sz w:val="18"/>
                <w:szCs w:val="18"/>
                <w:color w:val="auto"/>
              </w:rPr>
              <w:t>18</w:t>
            </w:r>
          </w:p>
        </w:tc>
      </w:tr>
      <w:tr>
        <w:trPr>
          <w:trHeight w:val="196"/>
        </w:trPr>
        <w:tc>
          <w:tcPr>
            <w:tcW w:w="1080" w:type="dxa"/>
            <w:vAlign w:val="bottom"/>
          </w:tcPr>
          <w:p>
            <w:pPr>
              <w:spacing w:after="0" w:line="196" w:lineRule="exact"/>
              <w:rPr>
                <w:sz w:val="20"/>
                <w:szCs w:val="20"/>
                <w:color w:val="auto"/>
              </w:rPr>
            </w:pPr>
            <w:r>
              <w:rPr>
                <w:rFonts w:ascii="Arial" w:cs="Arial" w:eastAsia="Arial" w:hAnsi="Arial"/>
                <w:sz w:val="18"/>
                <w:szCs w:val="18"/>
                <w:color w:val="auto"/>
              </w:rPr>
              <w:t>Item 2</w:t>
            </w:r>
          </w:p>
        </w:tc>
        <w:tc>
          <w:tcPr>
            <w:tcW w:w="660" w:type="dxa"/>
            <w:vAlign w:val="bottom"/>
            <w:tcBorders>
              <w:bottom w:val="single" w:sz="8" w:color="0000EE"/>
            </w:tcBorders>
            <w:gridSpan w:val="2"/>
          </w:tcPr>
          <w:p>
            <w:pPr>
              <w:spacing w:after="0" w:line="196" w:lineRule="exact"/>
              <w:rPr>
                <w:rFonts w:ascii="Arial" w:cs="Arial" w:eastAsia="Arial" w:hAnsi="Arial"/>
                <w:sz w:val="18"/>
                <w:szCs w:val="18"/>
                <w:color w:val="0000EE"/>
                <w:w w:val="77"/>
              </w:rPr>
            </w:pPr>
            <w:hyperlink w:anchor="page22">
              <w:r>
                <w:rPr>
                  <w:rFonts w:ascii="Arial" w:cs="Arial" w:eastAsia="Arial" w:hAnsi="Arial"/>
                  <w:sz w:val="18"/>
                  <w:szCs w:val="18"/>
                  <w:color w:val="0000EE"/>
                  <w:w w:val="77"/>
                </w:rPr>
                <w:t>Properties</w:t>
              </w:r>
            </w:hyperlink>
          </w:p>
        </w:tc>
        <w:tc>
          <w:tcPr>
            <w:tcW w:w="8460" w:type="dxa"/>
            <w:vAlign w:val="bottom"/>
            <w:gridSpan w:val="19"/>
          </w:tcPr>
          <w:p>
            <w:pPr>
              <w:spacing w:after="0"/>
              <w:rPr>
                <w:sz w:val="17"/>
                <w:szCs w:val="17"/>
                <w:color w:val="auto"/>
              </w:rPr>
            </w:pPr>
          </w:p>
        </w:tc>
        <w:tc>
          <w:tcPr>
            <w:tcW w:w="1220" w:type="dxa"/>
            <w:vAlign w:val="bottom"/>
          </w:tcPr>
          <w:p>
            <w:pPr>
              <w:jc w:val="right"/>
              <w:spacing w:after="0" w:line="196" w:lineRule="exact"/>
              <w:rPr>
                <w:sz w:val="20"/>
                <w:szCs w:val="20"/>
                <w:color w:val="auto"/>
              </w:rPr>
            </w:pPr>
            <w:r>
              <w:rPr>
                <w:rFonts w:ascii="Arial" w:cs="Arial" w:eastAsia="Arial" w:hAnsi="Arial"/>
                <w:sz w:val="18"/>
                <w:szCs w:val="18"/>
                <w:color w:val="auto"/>
              </w:rPr>
              <w:t>19</w:t>
            </w:r>
          </w:p>
        </w:tc>
      </w:tr>
      <w:tr>
        <w:trPr>
          <w:trHeight w:val="196"/>
        </w:trPr>
        <w:tc>
          <w:tcPr>
            <w:tcW w:w="1080" w:type="dxa"/>
            <w:vAlign w:val="bottom"/>
          </w:tcPr>
          <w:p>
            <w:pPr>
              <w:spacing w:after="0" w:line="196" w:lineRule="exact"/>
              <w:rPr>
                <w:sz w:val="20"/>
                <w:szCs w:val="20"/>
                <w:color w:val="auto"/>
              </w:rPr>
            </w:pPr>
            <w:r>
              <w:rPr>
                <w:rFonts w:ascii="Arial" w:cs="Arial" w:eastAsia="Arial" w:hAnsi="Arial"/>
                <w:sz w:val="18"/>
                <w:szCs w:val="18"/>
                <w:color w:val="auto"/>
              </w:rPr>
              <w:t>Item 3</w:t>
            </w:r>
          </w:p>
        </w:tc>
        <w:tc>
          <w:tcPr>
            <w:tcW w:w="9120" w:type="dxa"/>
            <w:vAlign w:val="bottom"/>
            <w:gridSpan w:val="21"/>
          </w:tcPr>
          <w:p>
            <w:pPr>
              <w:spacing w:after="0" w:line="196" w:lineRule="exact"/>
              <w:rPr>
                <w:rFonts w:ascii="Arial" w:cs="Arial" w:eastAsia="Arial" w:hAnsi="Arial"/>
                <w:sz w:val="18"/>
                <w:szCs w:val="18"/>
                <w:color w:val="0000EE"/>
              </w:rPr>
            </w:pPr>
            <w:hyperlink w:anchor="page22">
              <w:r>
                <w:rPr>
                  <w:rFonts w:ascii="Arial" w:cs="Arial" w:eastAsia="Arial" w:hAnsi="Arial"/>
                  <w:sz w:val="18"/>
                  <w:szCs w:val="18"/>
                  <w:color w:val="0000EE"/>
                </w:rPr>
                <w:t>Legal Proceedings</w:t>
              </w:r>
            </w:hyperlink>
          </w:p>
        </w:tc>
        <w:tc>
          <w:tcPr>
            <w:tcW w:w="1220" w:type="dxa"/>
            <w:vAlign w:val="bottom"/>
          </w:tcPr>
          <w:p>
            <w:pPr>
              <w:jc w:val="right"/>
              <w:spacing w:after="0" w:line="196" w:lineRule="exact"/>
              <w:rPr>
                <w:sz w:val="20"/>
                <w:szCs w:val="20"/>
                <w:color w:val="auto"/>
              </w:rPr>
            </w:pPr>
            <w:r>
              <w:rPr>
                <w:rFonts w:ascii="Arial" w:cs="Arial" w:eastAsia="Arial" w:hAnsi="Arial"/>
                <w:sz w:val="18"/>
                <w:szCs w:val="18"/>
                <w:color w:val="auto"/>
              </w:rPr>
              <w:t>19</w:t>
            </w:r>
          </w:p>
        </w:tc>
      </w:tr>
      <w:tr>
        <w:trPr>
          <w:trHeight w:val="20"/>
        </w:trPr>
        <w:tc>
          <w:tcPr>
            <w:tcW w:w="1080" w:type="dxa"/>
            <w:vAlign w:val="bottom"/>
            <w:tcBorders>
              <w:right w:val="single" w:sz="8" w:color="0000EE"/>
            </w:tcBorders>
          </w:tcPr>
          <w:p>
            <w:pPr>
              <w:spacing w:after="0" w:line="20" w:lineRule="exact"/>
              <w:rPr>
                <w:sz w:val="1"/>
                <w:szCs w:val="1"/>
                <w:color w:val="auto"/>
              </w:rPr>
            </w:pPr>
          </w:p>
        </w:tc>
        <w:tc>
          <w:tcPr>
            <w:tcW w:w="1240" w:type="dxa"/>
            <w:vAlign w:val="bottom"/>
            <w:tcBorders>
              <w:right w:val="single" w:sz="8" w:color="0000EE"/>
            </w:tcBorders>
            <w:gridSpan w:val="4"/>
            <w:shd w:val="clear" w:color="auto" w:fill="0000EE"/>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780" w:type="dxa"/>
            <w:vAlign w:val="bottom"/>
            <w:gridSpan w:val="2"/>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15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820" w:type="dxa"/>
            <w:vAlign w:val="bottom"/>
          </w:tcPr>
          <w:p>
            <w:pPr>
              <w:spacing w:after="0" w:line="20" w:lineRule="exact"/>
              <w:rPr>
                <w:sz w:val="1"/>
                <w:szCs w:val="1"/>
                <w:color w:val="auto"/>
              </w:rPr>
            </w:pPr>
          </w:p>
        </w:tc>
        <w:tc>
          <w:tcPr>
            <w:tcW w:w="1040" w:type="dxa"/>
            <w:vAlign w:val="bottom"/>
          </w:tcPr>
          <w:p>
            <w:pPr>
              <w:spacing w:after="0" w:line="20" w:lineRule="exact"/>
              <w:rPr>
                <w:sz w:val="1"/>
                <w:szCs w:val="1"/>
                <w:color w:val="auto"/>
              </w:rPr>
            </w:pPr>
          </w:p>
        </w:tc>
        <w:tc>
          <w:tcPr>
            <w:tcW w:w="1220" w:type="dxa"/>
            <w:vAlign w:val="bottom"/>
          </w:tcPr>
          <w:p>
            <w:pPr>
              <w:spacing w:after="0" w:line="20" w:lineRule="exact"/>
              <w:rPr>
                <w:sz w:val="1"/>
                <w:szCs w:val="1"/>
                <w:color w:val="auto"/>
              </w:rPr>
            </w:pPr>
          </w:p>
        </w:tc>
      </w:tr>
      <w:tr>
        <w:trPr>
          <w:trHeight w:val="196"/>
        </w:trPr>
        <w:tc>
          <w:tcPr>
            <w:tcW w:w="1080" w:type="dxa"/>
            <w:vAlign w:val="bottom"/>
          </w:tcPr>
          <w:p>
            <w:pPr>
              <w:spacing w:after="0" w:line="196" w:lineRule="exact"/>
              <w:rPr>
                <w:sz w:val="20"/>
                <w:szCs w:val="20"/>
                <w:color w:val="auto"/>
              </w:rPr>
            </w:pPr>
            <w:r>
              <w:rPr>
                <w:rFonts w:ascii="Arial" w:cs="Arial" w:eastAsia="Arial" w:hAnsi="Arial"/>
                <w:sz w:val="18"/>
                <w:szCs w:val="18"/>
                <w:color w:val="auto"/>
              </w:rPr>
              <w:t>Item 4</w:t>
            </w:r>
          </w:p>
        </w:tc>
        <w:tc>
          <w:tcPr>
            <w:tcW w:w="3620" w:type="dxa"/>
            <w:vAlign w:val="bottom"/>
            <w:tcBorders>
              <w:bottom w:val="single" w:sz="8" w:color="0000EE"/>
            </w:tcBorders>
            <w:gridSpan w:val="15"/>
          </w:tcPr>
          <w:p>
            <w:pPr>
              <w:spacing w:after="0" w:line="196" w:lineRule="exact"/>
              <w:rPr>
                <w:rFonts w:ascii="Arial" w:cs="Arial" w:eastAsia="Arial" w:hAnsi="Arial"/>
                <w:sz w:val="18"/>
                <w:szCs w:val="18"/>
                <w:color w:val="0000EE"/>
                <w:w w:val="87"/>
              </w:rPr>
            </w:pPr>
            <w:hyperlink w:anchor="page24">
              <w:r>
                <w:rPr>
                  <w:rFonts w:ascii="Arial" w:cs="Arial" w:eastAsia="Arial" w:hAnsi="Arial"/>
                  <w:sz w:val="18"/>
                  <w:szCs w:val="18"/>
                  <w:color w:val="0000EE"/>
                  <w:w w:val="87"/>
                </w:rPr>
                <w:t>Submission of Matters to a Vote of Security Holders</w:t>
              </w:r>
            </w:hyperlink>
          </w:p>
        </w:tc>
        <w:tc>
          <w:tcPr>
            <w:tcW w:w="5500" w:type="dxa"/>
            <w:vAlign w:val="bottom"/>
            <w:gridSpan w:val="6"/>
          </w:tcPr>
          <w:p>
            <w:pPr>
              <w:spacing w:after="0"/>
              <w:rPr>
                <w:sz w:val="17"/>
                <w:szCs w:val="17"/>
                <w:color w:val="auto"/>
              </w:rPr>
            </w:pPr>
          </w:p>
        </w:tc>
        <w:tc>
          <w:tcPr>
            <w:tcW w:w="1220" w:type="dxa"/>
            <w:vAlign w:val="bottom"/>
          </w:tcPr>
          <w:p>
            <w:pPr>
              <w:jc w:val="right"/>
              <w:spacing w:after="0" w:line="196" w:lineRule="exact"/>
              <w:rPr>
                <w:sz w:val="20"/>
                <w:szCs w:val="20"/>
                <w:color w:val="auto"/>
              </w:rPr>
            </w:pPr>
            <w:r>
              <w:rPr>
                <w:rFonts w:ascii="Arial" w:cs="Arial" w:eastAsia="Arial" w:hAnsi="Arial"/>
                <w:sz w:val="18"/>
                <w:szCs w:val="18"/>
                <w:color w:val="auto"/>
              </w:rPr>
              <w:t>21</w:t>
            </w:r>
          </w:p>
        </w:tc>
      </w:tr>
      <w:tr>
        <w:trPr>
          <w:trHeight w:val="196"/>
        </w:trPr>
        <w:tc>
          <w:tcPr>
            <w:tcW w:w="1080" w:type="dxa"/>
            <w:vAlign w:val="bottom"/>
          </w:tcPr>
          <w:p>
            <w:pPr>
              <w:spacing w:after="0" w:line="196" w:lineRule="exact"/>
              <w:rPr>
                <w:sz w:val="20"/>
                <w:szCs w:val="20"/>
                <w:color w:val="auto"/>
              </w:rPr>
            </w:pPr>
            <w:r>
              <w:rPr>
                <w:rFonts w:ascii="Arial" w:cs="Arial" w:eastAsia="Arial" w:hAnsi="Arial"/>
                <w:sz w:val="18"/>
                <w:szCs w:val="18"/>
                <w:color w:val="auto"/>
              </w:rPr>
              <w:t>Item 4A</w:t>
            </w:r>
          </w:p>
        </w:tc>
        <w:tc>
          <w:tcPr>
            <w:tcW w:w="9120" w:type="dxa"/>
            <w:vAlign w:val="bottom"/>
            <w:gridSpan w:val="21"/>
          </w:tcPr>
          <w:p>
            <w:pPr>
              <w:spacing w:after="0" w:line="196" w:lineRule="exact"/>
              <w:rPr>
                <w:rFonts w:ascii="Arial" w:cs="Arial" w:eastAsia="Arial" w:hAnsi="Arial"/>
                <w:sz w:val="18"/>
                <w:szCs w:val="18"/>
                <w:color w:val="0000EE"/>
              </w:rPr>
            </w:pPr>
            <w:hyperlink w:anchor="page24">
              <w:r>
                <w:rPr>
                  <w:rFonts w:ascii="Arial" w:cs="Arial" w:eastAsia="Arial" w:hAnsi="Arial"/>
                  <w:sz w:val="18"/>
                  <w:szCs w:val="18"/>
                  <w:color w:val="0000EE"/>
                </w:rPr>
                <w:t>Executive Officers of the Registrant</w:t>
              </w:r>
            </w:hyperlink>
          </w:p>
        </w:tc>
        <w:tc>
          <w:tcPr>
            <w:tcW w:w="1220" w:type="dxa"/>
            <w:vAlign w:val="bottom"/>
          </w:tcPr>
          <w:p>
            <w:pPr>
              <w:jc w:val="right"/>
              <w:spacing w:after="0" w:line="196" w:lineRule="exact"/>
              <w:rPr>
                <w:sz w:val="20"/>
                <w:szCs w:val="20"/>
                <w:color w:val="auto"/>
              </w:rPr>
            </w:pPr>
            <w:r>
              <w:rPr>
                <w:rFonts w:ascii="Arial" w:cs="Arial" w:eastAsia="Arial" w:hAnsi="Arial"/>
                <w:sz w:val="18"/>
                <w:szCs w:val="18"/>
                <w:color w:val="auto"/>
              </w:rPr>
              <w:t>21</w:t>
            </w:r>
          </w:p>
        </w:tc>
      </w:tr>
      <w:tr>
        <w:trPr>
          <w:trHeight w:val="296"/>
        </w:trPr>
        <w:tc>
          <w:tcPr>
            <w:tcW w:w="1080" w:type="dxa"/>
            <w:vAlign w:val="bottom"/>
          </w:tcPr>
          <w:p>
            <w:pPr>
              <w:spacing w:after="0"/>
              <w:rPr>
                <w:sz w:val="24"/>
                <w:szCs w:val="24"/>
                <w:color w:val="auto"/>
              </w:rPr>
            </w:pPr>
          </w:p>
        </w:tc>
        <w:tc>
          <w:tcPr>
            <w:tcW w:w="560" w:type="dxa"/>
            <w:vAlign w:val="bottom"/>
            <w:tcBorders>
              <w:top w:val="single" w:sz="8" w:color="0000EE"/>
            </w:tcBorders>
          </w:tcPr>
          <w:p>
            <w:pPr>
              <w:spacing w:after="0"/>
              <w:rPr>
                <w:sz w:val="24"/>
                <w:szCs w:val="24"/>
                <w:color w:val="auto"/>
              </w:rPr>
            </w:pPr>
          </w:p>
        </w:tc>
        <w:tc>
          <w:tcPr>
            <w:tcW w:w="100" w:type="dxa"/>
            <w:vAlign w:val="bottom"/>
            <w:tcBorders>
              <w:top w:val="single" w:sz="8" w:color="0000EE"/>
            </w:tcBorders>
          </w:tcPr>
          <w:p>
            <w:pPr>
              <w:spacing w:after="0"/>
              <w:rPr>
                <w:sz w:val="24"/>
                <w:szCs w:val="24"/>
                <w:color w:val="auto"/>
              </w:rPr>
            </w:pPr>
          </w:p>
        </w:tc>
        <w:tc>
          <w:tcPr>
            <w:tcW w:w="160" w:type="dxa"/>
            <w:vAlign w:val="bottom"/>
            <w:tcBorders>
              <w:top w:val="single" w:sz="8" w:color="0000EE"/>
            </w:tcBorders>
          </w:tcPr>
          <w:p>
            <w:pPr>
              <w:spacing w:after="0"/>
              <w:rPr>
                <w:sz w:val="24"/>
                <w:szCs w:val="24"/>
                <w:color w:val="auto"/>
              </w:rPr>
            </w:pPr>
          </w:p>
        </w:tc>
        <w:tc>
          <w:tcPr>
            <w:tcW w:w="420" w:type="dxa"/>
            <w:vAlign w:val="bottom"/>
            <w:tcBorders>
              <w:top w:val="single" w:sz="8" w:color="0000EE"/>
            </w:tcBorders>
          </w:tcPr>
          <w:p>
            <w:pPr>
              <w:spacing w:after="0"/>
              <w:rPr>
                <w:sz w:val="24"/>
                <w:szCs w:val="24"/>
                <w:color w:val="auto"/>
              </w:rPr>
            </w:pPr>
          </w:p>
        </w:tc>
        <w:tc>
          <w:tcPr>
            <w:tcW w:w="360" w:type="dxa"/>
            <w:vAlign w:val="bottom"/>
            <w:tcBorders>
              <w:top w:val="single" w:sz="8" w:color="0000EE"/>
            </w:tcBorders>
          </w:tcPr>
          <w:p>
            <w:pPr>
              <w:spacing w:after="0"/>
              <w:rPr>
                <w:sz w:val="24"/>
                <w:szCs w:val="24"/>
                <w:color w:val="auto"/>
              </w:rPr>
            </w:pPr>
          </w:p>
        </w:tc>
        <w:tc>
          <w:tcPr>
            <w:tcW w:w="60" w:type="dxa"/>
            <w:vAlign w:val="bottom"/>
            <w:tcBorders>
              <w:top w:val="single" w:sz="8" w:color="0000EE"/>
            </w:tcBorders>
          </w:tcPr>
          <w:p>
            <w:pPr>
              <w:spacing w:after="0"/>
              <w:rPr>
                <w:sz w:val="24"/>
                <w:szCs w:val="24"/>
                <w:color w:val="auto"/>
              </w:rPr>
            </w:pPr>
          </w:p>
        </w:tc>
        <w:tc>
          <w:tcPr>
            <w:tcW w:w="40" w:type="dxa"/>
            <w:vAlign w:val="bottom"/>
            <w:tcBorders>
              <w:top w:val="single" w:sz="8" w:color="0000EE"/>
            </w:tcBorders>
          </w:tcPr>
          <w:p>
            <w:pPr>
              <w:spacing w:after="0"/>
              <w:rPr>
                <w:sz w:val="24"/>
                <w:szCs w:val="24"/>
                <w:color w:val="auto"/>
              </w:rPr>
            </w:pPr>
          </w:p>
        </w:tc>
        <w:tc>
          <w:tcPr>
            <w:tcW w:w="240" w:type="dxa"/>
            <w:vAlign w:val="bottom"/>
            <w:tcBorders>
              <w:top w:val="single" w:sz="8" w:color="0000EE"/>
            </w:tcBorders>
          </w:tcPr>
          <w:p>
            <w:pPr>
              <w:spacing w:after="0"/>
              <w:rPr>
                <w:sz w:val="24"/>
                <w:szCs w:val="24"/>
                <w:color w:val="auto"/>
              </w:rPr>
            </w:pPr>
          </w:p>
        </w:tc>
        <w:tc>
          <w:tcPr>
            <w:tcW w:w="540" w:type="dxa"/>
            <w:vAlign w:val="bottom"/>
            <w:tcBorders>
              <w:top w:val="single" w:sz="8" w:color="0000EE"/>
            </w:tcBorders>
          </w:tcPr>
          <w:p>
            <w:pPr>
              <w:spacing w:after="0"/>
              <w:rPr>
                <w:sz w:val="24"/>
                <w:szCs w:val="24"/>
                <w:color w:val="auto"/>
              </w:rPr>
            </w:pPr>
          </w:p>
        </w:tc>
        <w:tc>
          <w:tcPr>
            <w:tcW w:w="24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4920" w:type="dxa"/>
            <w:vAlign w:val="bottom"/>
            <w:gridSpan w:val="5"/>
          </w:tcPr>
          <w:p>
            <w:pPr>
              <w:jc w:val="center"/>
              <w:ind w:right="4040"/>
              <w:spacing w:after="0"/>
              <w:rPr>
                <w:sz w:val="20"/>
                <w:szCs w:val="20"/>
                <w:color w:val="auto"/>
              </w:rPr>
            </w:pPr>
            <w:r>
              <w:rPr>
                <w:rFonts w:ascii="Arial" w:cs="Arial" w:eastAsia="Arial" w:hAnsi="Arial"/>
                <w:sz w:val="18"/>
                <w:szCs w:val="18"/>
                <w:b w:val="1"/>
                <w:bCs w:val="1"/>
                <w:color w:val="auto"/>
                <w:w w:val="99"/>
              </w:rPr>
              <w:t>PART II</w:t>
            </w:r>
          </w:p>
        </w:tc>
        <w:tc>
          <w:tcPr>
            <w:tcW w:w="1220" w:type="dxa"/>
            <w:vAlign w:val="bottom"/>
          </w:tcPr>
          <w:p>
            <w:pPr>
              <w:spacing w:after="0"/>
              <w:rPr>
                <w:sz w:val="24"/>
                <w:szCs w:val="24"/>
                <w:color w:val="auto"/>
              </w:rPr>
            </w:pPr>
          </w:p>
        </w:tc>
      </w:tr>
      <w:tr>
        <w:trPr>
          <w:trHeight w:val="184"/>
        </w:trPr>
        <w:tc>
          <w:tcPr>
            <w:tcW w:w="1080" w:type="dxa"/>
            <w:vAlign w:val="bottom"/>
          </w:tcPr>
          <w:p>
            <w:pPr>
              <w:spacing w:after="0" w:line="184" w:lineRule="exact"/>
              <w:rPr>
                <w:sz w:val="20"/>
                <w:szCs w:val="20"/>
                <w:color w:val="auto"/>
              </w:rPr>
            </w:pPr>
            <w:r>
              <w:rPr>
                <w:rFonts w:ascii="Arial" w:cs="Arial" w:eastAsia="Arial" w:hAnsi="Arial"/>
                <w:sz w:val="18"/>
                <w:szCs w:val="18"/>
                <w:color w:val="auto"/>
              </w:rPr>
              <w:t>Item 5</w:t>
            </w:r>
          </w:p>
        </w:tc>
        <w:tc>
          <w:tcPr>
            <w:tcW w:w="8080" w:type="dxa"/>
            <w:vAlign w:val="bottom"/>
            <w:tcBorders>
              <w:bottom w:val="single" w:sz="8" w:color="0000EE"/>
            </w:tcBorders>
            <w:gridSpan w:val="20"/>
          </w:tcPr>
          <w:p>
            <w:pPr>
              <w:spacing w:after="0" w:line="184" w:lineRule="exact"/>
              <w:rPr>
                <w:rFonts w:ascii="Arial" w:cs="Arial" w:eastAsia="Arial" w:hAnsi="Arial"/>
                <w:sz w:val="18"/>
                <w:szCs w:val="18"/>
                <w:color w:val="0000EE"/>
                <w:w w:val="87"/>
              </w:rPr>
            </w:pPr>
            <w:hyperlink w:anchor="page26">
              <w:r>
                <w:rPr>
                  <w:rFonts w:ascii="Arial" w:cs="Arial" w:eastAsia="Arial" w:hAnsi="Arial"/>
                  <w:sz w:val="18"/>
                  <w:szCs w:val="18"/>
                  <w:color w:val="0000EE"/>
                  <w:w w:val="87"/>
                </w:rPr>
                <w:t>Market for the Registrant’s Common Equity, Related Stockholder Matters and Issuer Purchases of Equity Securities</w:t>
              </w:r>
            </w:hyperlink>
          </w:p>
        </w:tc>
        <w:tc>
          <w:tcPr>
            <w:tcW w:w="1040" w:type="dxa"/>
            <w:vAlign w:val="bottom"/>
          </w:tcPr>
          <w:p>
            <w:pPr>
              <w:spacing w:after="0"/>
              <w:rPr>
                <w:sz w:val="15"/>
                <w:szCs w:val="15"/>
                <w:color w:val="auto"/>
              </w:rPr>
            </w:pPr>
          </w:p>
        </w:tc>
        <w:tc>
          <w:tcPr>
            <w:tcW w:w="1220" w:type="dxa"/>
            <w:vAlign w:val="bottom"/>
          </w:tcPr>
          <w:p>
            <w:pPr>
              <w:jc w:val="right"/>
              <w:spacing w:after="0" w:line="184" w:lineRule="exact"/>
              <w:rPr>
                <w:sz w:val="20"/>
                <w:szCs w:val="20"/>
                <w:color w:val="auto"/>
              </w:rPr>
            </w:pPr>
            <w:r>
              <w:rPr>
                <w:rFonts w:ascii="Arial" w:cs="Arial" w:eastAsia="Arial" w:hAnsi="Arial"/>
                <w:sz w:val="18"/>
                <w:szCs w:val="18"/>
                <w:color w:val="auto"/>
              </w:rPr>
              <w:t>23</w:t>
            </w:r>
          </w:p>
        </w:tc>
      </w:tr>
      <w:tr>
        <w:trPr>
          <w:trHeight w:val="196"/>
        </w:trPr>
        <w:tc>
          <w:tcPr>
            <w:tcW w:w="1080" w:type="dxa"/>
            <w:vAlign w:val="bottom"/>
          </w:tcPr>
          <w:p>
            <w:pPr>
              <w:spacing w:after="0" w:line="196" w:lineRule="exact"/>
              <w:rPr>
                <w:sz w:val="20"/>
                <w:szCs w:val="20"/>
                <w:color w:val="auto"/>
              </w:rPr>
            </w:pPr>
            <w:r>
              <w:rPr>
                <w:rFonts w:ascii="Arial" w:cs="Arial" w:eastAsia="Arial" w:hAnsi="Arial"/>
                <w:sz w:val="18"/>
                <w:szCs w:val="18"/>
                <w:color w:val="auto"/>
              </w:rPr>
              <w:t>Item 6</w:t>
            </w:r>
          </w:p>
        </w:tc>
        <w:tc>
          <w:tcPr>
            <w:tcW w:w="9120" w:type="dxa"/>
            <w:vAlign w:val="bottom"/>
            <w:gridSpan w:val="21"/>
          </w:tcPr>
          <w:p>
            <w:pPr>
              <w:spacing w:after="0" w:line="196" w:lineRule="exact"/>
              <w:rPr>
                <w:rFonts w:ascii="Arial" w:cs="Arial" w:eastAsia="Arial" w:hAnsi="Arial"/>
                <w:sz w:val="18"/>
                <w:szCs w:val="18"/>
                <w:color w:val="0000EE"/>
              </w:rPr>
            </w:pPr>
            <w:hyperlink w:anchor="page27">
              <w:r>
                <w:rPr>
                  <w:rFonts w:ascii="Arial" w:cs="Arial" w:eastAsia="Arial" w:hAnsi="Arial"/>
                  <w:sz w:val="18"/>
                  <w:szCs w:val="18"/>
                  <w:color w:val="0000EE"/>
                </w:rPr>
                <w:t>Selected Financial Data</w:t>
              </w:r>
            </w:hyperlink>
          </w:p>
        </w:tc>
        <w:tc>
          <w:tcPr>
            <w:tcW w:w="1220" w:type="dxa"/>
            <w:vAlign w:val="bottom"/>
          </w:tcPr>
          <w:p>
            <w:pPr>
              <w:jc w:val="right"/>
              <w:spacing w:after="0" w:line="196" w:lineRule="exact"/>
              <w:rPr>
                <w:sz w:val="20"/>
                <w:szCs w:val="20"/>
                <w:color w:val="auto"/>
              </w:rPr>
            </w:pPr>
            <w:r>
              <w:rPr>
                <w:rFonts w:ascii="Arial" w:cs="Arial" w:eastAsia="Arial" w:hAnsi="Arial"/>
                <w:sz w:val="18"/>
                <w:szCs w:val="18"/>
                <w:color w:val="auto"/>
              </w:rPr>
              <w:t>24</w:t>
            </w:r>
          </w:p>
        </w:tc>
      </w:tr>
      <w:tr>
        <w:trPr>
          <w:trHeight w:val="20"/>
        </w:trPr>
        <w:tc>
          <w:tcPr>
            <w:tcW w:w="1080" w:type="dxa"/>
            <w:vAlign w:val="bottom"/>
            <w:tcBorders>
              <w:right w:val="single" w:sz="8" w:color="0000EE"/>
            </w:tcBorders>
          </w:tcPr>
          <w:p>
            <w:pPr>
              <w:spacing w:after="0" w:line="20" w:lineRule="exact"/>
              <w:rPr>
                <w:sz w:val="1"/>
                <w:szCs w:val="1"/>
                <w:color w:val="auto"/>
              </w:rPr>
            </w:pPr>
          </w:p>
        </w:tc>
        <w:tc>
          <w:tcPr>
            <w:tcW w:w="1240" w:type="dxa"/>
            <w:vAlign w:val="bottom"/>
            <w:tcBorders>
              <w:right w:val="single" w:sz="8" w:color="0000EE"/>
            </w:tcBorders>
            <w:gridSpan w:val="4"/>
            <w:shd w:val="clear" w:color="auto" w:fill="0000EE"/>
          </w:tcPr>
          <w:p>
            <w:pPr>
              <w:spacing w:after="0" w:line="20" w:lineRule="exact"/>
              <w:rPr>
                <w:sz w:val="1"/>
                <w:szCs w:val="1"/>
                <w:color w:val="auto"/>
              </w:rPr>
            </w:pPr>
          </w:p>
        </w:tc>
        <w:tc>
          <w:tcPr>
            <w:tcW w:w="360" w:type="dxa"/>
            <w:vAlign w:val="bottom"/>
            <w:shd w:val="clear" w:color="auto" w:fill="0000EE"/>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020" w:type="dxa"/>
            <w:vAlign w:val="bottom"/>
            <w:gridSpan w:val="3"/>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740" w:type="dxa"/>
            <w:vAlign w:val="bottom"/>
            <w:gridSpan w:val="2"/>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15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860" w:type="dxa"/>
            <w:vAlign w:val="bottom"/>
            <w:gridSpan w:val="2"/>
          </w:tcPr>
          <w:p>
            <w:pPr>
              <w:spacing w:after="0" w:line="20" w:lineRule="exact"/>
              <w:rPr>
                <w:sz w:val="1"/>
                <w:szCs w:val="1"/>
                <w:color w:val="auto"/>
              </w:rPr>
            </w:pPr>
          </w:p>
        </w:tc>
        <w:tc>
          <w:tcPr>
            <w:tcW w:w="1220" w:type="dxa"/>
            <w:vAlign w:val="bottom"/>
          </w:tcPr>
          <w:p>
            <w:pPr>
              <w:spacing w:after="0" w:line="20" w:lineRule="exact"/>
              <w:rPr>
                <w:sz w:val="1"/>
                <w:szCs w:val="1"/>
                <w:color w:val="auto"/>
              </w:rPr>
            </w:pPr>
          </w:p>
        </w:tc>
      </w:tr>
      <w:tr>
        <w:trPr>
          <w:trHeight w:val="196"/>
        </w:trPr>
        <w:tc>
          <w:tcPr>
            <w:tcW w:w="1080" w:type="dxa"/>
            <w:vAlign w:val="bottom"/>
          </w:tcPr>
          <w:p>
            <w:pPr>
              <w:spacing w:after="0" w:line="196" w:lineRule="exact"/>
              <w:rPr>
                <w:sz w:val="20"/>
                <w:szCs w:val="20"/>
                <w:color w:val="auto"/>
              </w:rPr>
            </w:pPr>
            <w:r>
              <w:rPr>
                <w:rFonts w:ascii="Arial" w:cs="Arial" w:eastAsia="Arial" w:hAnsi="Arial"/>
                <w:sz w:val="18"/>
                <w:szCs w:val="18"/>
                <w:color w:val="auto"/>
              </w:rPr>
              <w:t>Item 7</w:t>
            </w:r>
          </w:p>
        </w:tc>
        <w:tc>
          <w:tcPr>
            <w:tcW w:w="9120" w:type="dxa"/>
            <w:vAlign w:val="bottom"/>
            <w:gridSpan w:val="21"/>
          </w:tcPr>
          <w:p>
            <w:pPr>
              <w:spacing w:after="0" w:line="196" w:lineRule="exact"/>
              <w:rPr>
                <w:rFonts w:ascii="Arial" w:cs="Arial" w:eastAsia="Arial" w:hAnsi="Arial"/>
                <w:sz w:val="18"/>
                <w:szCs w:val="18"/>
                <w:color w:val="0000EE"/>
              </w:rPr>
            </w:pPr>
            <w:hyperlink w:anchor="page27">
              <w:r>
                <w:rPr>
                  <w:rFonts w:ascii="Arial" w:cs="Arial" w:eastAsia="Arial" w:hAnsi="Arial"/>
                  <w:sz w:val="18"/>
                  <w:szCs w:val="18"/>
                  <w:color w:val="0000EE"/>
                </w:rPr>
                <w:t>Management’s Discussion and Analysis of Financial Condition and Results of Operations</w:t>
              </w:r>
            </w:hyperlink>
          </w:p>
        </w:tc>
        <w:tc>
          <w:tcPr>
            <w:tcW w:w="1220" w:type="dxa"/>
            <w:vAlign w:val="bottom"/>
          </w:tcPr>
          <w:p>
            <w:pPr>
              <w:jc w:val="right"/>
              <w:spacing w:after="0" w:line="196" w:lineRule="exact"/>
              <w:rPr>
                <w:sz w:val="20"/>
                <w:szCs w:val="20"/>
                <w:color w:val="auto"/>
              </w:rPr>
            </w:pPr>
            <w:r>
              <w:rPr>
                <w:rFonts w:ascii="Arial" w:cs="Arial" w:eastAsia="Arial" w:hAnsi="Arial"/>
                <w:sz w:val="18"/>
                <w:szCs w:val="18"/>
                <w:color w:val="auto"/>
              </w:rPr>
              <w:t>24</w:t>
            </w:r>
          </w:p>
        </w:tc>
      </w:tr>
      <w:tr>
        <w:trPr>
          <w:trHeight w:val="196"/>
        </w:trPr>
        <w:tc>
          <w:tcPr>
            <w:tcW w:w="1080" w:type="dxa"/>
            <w:vAlign w:val="bottom"/>
          </w:tcPr>
          <w:p>
            <w:pPr>
              <w:spacing w:after="0" w:line="196" w:lineRule="exact"/>
              <w:rPr>
                <w:sz w:val="20"/>
                <w:szCs w:val="20"/>
                <w:color w:val="auto"/>
              </w:rPr>
            </w:pPr>
            <w:r>
              <w:rPr>
                <w:rFonts w:ascii="Arial" w:cs="Arial" w:eastAsia="Arial" w:hAnsi="Arial"/>
                <w:sz w:val="18"/>
                <w:szCs w:val="18"/>
                <w:color w:val="auto"/>
              </w:rPr>
              <w:t>Item 7A</w:t>
            </w:r>
          </w:p>
        </w:tc>
        <w:tc>
          <w:tcPr>
            <w:tcW w:w="4200" w:type="dxa"/>
            <w:vAlign w:val="bottom"/>
            <w:tcBorders>
              <w:top w:val="single" w:sz="8" w:color="0000EE"/>
              <w:bottom w:val="single" w:sz="8" w:color="0000EE"/>
            </w:tcBorders>
            <w:gridSpan w:val="16"/>
          </w:tcPr>
          <w:p>
            <w:pPr>
              <w:spacing w:after="0" w:line="196" w:lineRule="exact"/>
              <w:rPr>
                <w:rFonts w:ascii="Arial" w:cs="Arial" w:eastAsia="Arial" w:hAnsi="Arial"/>
                <w:sz w:val="18"/>
                <w:szCs w:val="18"/>
                <w:color w:val="0000EE"/>
                <w:w w:val="88"/>
              </w:rPr>
            </w:pPr>
            <w:hyperlink w:anchor="page27">
              <w:r>
                <w:rPr>
                  <w:rFonts w:ascii="Arial" w:cs="Arial" w:eastAsia="Arial" w:hAnsi="Arial"/>
                  <w:sz w:val="18"/>
                  <w:szCs w:val="18"/>
                  <w:color w:val="0000EE"/>
                  <w:w w:val="88"/>
                </w:rPr>
                <w:t>Quantitative and Qualitative Disclosures About Market Risk</w:t>
              </w:r>
            </w:hyperlink>
          </w:p>
        </w:tc>
        <w:tc>
          <w:tcPr>
            <w:tcW w:w="2040" w:type="dxa"/>
            <w:vAlign w:val="bottom"/>
            <w:tcBorders>
              <w:top w:val="single" w:sz="8" w:color="0000EE"/>
            </w:tcBorders>
            <w:gridSpan w:val="2"/>
          </w:tcPr>
          <w:p>
            <w:pPr>
              <w:spacing w:after="0"/>
              <w:rPr>
                <w:sz w:val="17"/>
                <w:szCs w:val="17"/>
                <w:color w:val="auto"/>
              </w:rPr>
            </w:pPr>
          </w:p>
        </w:tc>
        <w:tc>
          <w:tcPr>
            <w:tcW w:w="2880" w:type="dxa"/>
            <w:vAlign w:val="bottom"/>
            <w:gridSpan w:val="3"/>
          </w:tcPr>
          <w:p>
            <w:pPr>
              <w:spacing w:after="0"/>
              <w:rPr>
                <w:sz w:val="17"/>
                <w:szCs w:val="17"/>
                <w:color w:val="auto"/>
              </w:rPr>
            </w:pPr>
          </w:p>
        </w:tc>
        <w:tc>
          <w:tcPr>
            <w:tcW w:w="1220" w:type="dxa"/>
            <w:vAlign w:val="bottom"/>
          </w:tcPr>
          <w:p>
            <w:pPr>
              <w:jc w:val="right"/>
              <w:spacing w:after="0" w:line="196" w:lineRule="exact"/>
              <w:rPr>
                <w:sz w:val="20"/>
                <w:szCs w:val="20"/>
                <w:color w:val="auto"/>
              </w:rPr>
            </w:pPr>
            <w:r>
              <w:rPr>
                <w:rFonts w:ascii="Arial" w:cs="Arial" w:eastAsia="Arial" w:hAnsi="Arial"/>
                <w:sz w:val="18"/>
                <w:szCs w:val="18"/>
                <w:color w:val="auto"/>
              </w:rPr>
              <w:t>24</w:t>
            </w:r>
          </w:p>
        </w:tc>
      </w:tr>
      <w:tr>
        <w:trPr>
          <w:trHeight w:val="196"/>
        </w:trPr>
        <w:tc>
          <w:tcPr>
            <w:tcW w:w="1080" w:type="dxa"/>
            <w:vAlign w:val="bottom"/>
          </w:tcPr>
          <w:p>
            <w:pPr>
              <w:spacing w:after="0" w:line="196" w:lineRule="exact"/>
              <w:rPr>
                <w:sz w:val="20"/>
                <w:szCs w:val="20"/>
                <w:color w:val="auto"/>
              </w:rPr>
            </w:pPr>
            <w:r>
              <w:rPr>
                <w:rFonts w:ascii="Arial" w:cs="Arial" w:eastAsia="Arial" w:hAnsi="Arial"/>
                <w:sz w:val="18"/>
                <w:szCs w:val="18"/>
                <w:color w:val="auto"/>
              </w:rPr>
              <w:t>Item 8</w:t>
            </w:r>
          </w:p>
        </w:tc>
        <w:tc>
          <w:tcPr>
            <w:tcW w:w="9120" w:type="dxa"/>
            <w:vAlign w:val="bottom"/>
            <w:gridSpan w:val="21"/>
          </w:tcPr>
          <w:p>
            <w:pPr>
              <w:spacing w:after="0" w:line="196" w:lineRule="exact"/>
              <w:rPr>
                <w:rFonts w:ascii="Arial" w:cs="Arial" w:eastAsia="Arial" w:hAnsi="Arial"/>
                <w:sz w:val="18"/>
                <w:szCs w:val="18"/>
                <w:color w:val="0000EE"/>
              </w:rPr>
            </w:pPr>
            <w:hyperlink w:anchor="page27">
              <w:r>
                <w:rPr>
                  <w:rFonts w:ascii="Arial" w:cs="Arial" w:eastAsia="Arial" w:hAnsi="Arial"/>
                  <w:sz w:val="18"/>
                  <w:szCs w:val="18"/>
                  <w:color w:val="0000EE"/>
                </w:rPr>
                <w:t>Financial Statements and Supplementary Data</w:t>
              </w:r>
            </w:hyperlink>
          </w:p>
        </w:tc>
        <w:tc>
          <w:tcPr>
            <w:tcW w:w="1220" w:type="dxa"/>
            <w:vAlign w:val="bottom"/>
          </w:tcPr>
          <w:p>
            <w:pPr>
              <w:jc w:val="right"/>
              <w:spacing w:after="0" w:line="196" w:lineRule="exact"/>
              <w:rPr>
                <w:sz w:val="20"/>
                <w:szCs w:val="20"/>
                <w:color w:val="auto"/>
              </w:rPr>
            </w:pPr>
            <w:r>
              <w:rPr>
                <w:rFonts w:ascii="Arial" w:cs="Arial" w:eastAsia="Arial" w:hAnsi="Arial"/>
                <w:sz w:val="18"/>
                <w:szCs w:val="18"/>
                <w:color w:val="auto"/>
              </w:rPr>
              <w:t>24</w:t>
            </w:r>
          </w:p>
        </w:tc>
      </w:tr>
      <w:tr>
        <w:trPr>
          <w:trHeight w:val="20"/>
        </w:trPr>
        <w:tc>
          <w:tcPr>
            <w:tcW w:w="1080" w:type="dxa"/>
            <w:vAlign w:val="bottom"/>
            <w:tcBorders>
              <w:right w:val="single" w:sz="8" w:color="0000EE"/>
            </w:tcBorders>
          </w:tcPr>
          <w:p>
            <w:pPr>
              <w:spacing w:after="0" w:line="20" w:lineRule="exact"/>
              <w:rPr>
                <w:sz w:val="1"/>
                <w:szCs w:val="1"/>
                <w:color w:val="auto"/>
              </w:rPr>
            </w:pPr>
          </w:p>
        </w:tc>
        <w:tc>
          <w:tcPr>
            <w:tcW w:w="1240" w:type="dxa"/>
            <w:vAlign w:val="bottom"/>
            <w:tcBorders>
              <w:right w:val="single" w:sz="8" w:color="0000EE"/>
            </w:tcBorders>
            <w:gridSpan w:val="4"/>
            <w:shd w:val="clear" w:color="auto" w:fill="0000EE"/>
          </w:tcPr>
          <w:p>
            <w:pPr>
              <w:spacing w:after="0" w:line="20" w:lineRule="exact"/>
              <w:rPr>
                <w:sz w:val="1"/>
                <w:szCs w:val="1"/>
                <w:color w:val="auto"/>
              </w:rPr>
            </w:pPr>
          </w:p>
        </w:tc>
        <w:tc>
          <w:tcPr>
            <w:tcW w:w="420" w:type="dxa"/>
            <w:vAlign w:val="bottom"/>
            <w:gridSpan w:val="2"/>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1020" w:type="dxa"/>
            <w:vAlign w:val="bottom"/>
            <w:gridSpan w:val="3"/>
            <w:shd w:val="clear" w:color="auto" w:fill="0000EE"/>
          </w:tcPr>
          <w:p>
            <w:pPr>
              <w:spacing w:after="0" w:line="20" w:lineRule="exact"/>
              <w:rPr>
                <w:sz w:val="1"/>
                <w:szCs w:val="1"/>
                <w:color w:val="auto"/>
              </w:rPr>
            </w:pPr>
          </w:p>
        </w:tc>
        <w:tc>
          <w:tcPr>
            <w:tcW w:w="300" w:type="dxa"/>
            <w:vAlign w:val="bottom"/>
            <w:shd w:val="clear" w:color="auto" w:fill="0000EE"/>
          </w:tcPr>
          <w:p>
            <w:pPr>
              <w:spacing w:after="0" w:line="20" w:lineRule="exact"/>
              <w:rPr>
                <w:sz w:val="1"/>
                <w:szCs w:val="1"/>
                <w:color w:val="auto"/>
              </w:rPr>
            </w:pPr>
          </w:p>
        </w:tc>
        <w:tc>
          <w:tcPr>
            <w:tcW w:w="160" w:type="dxa"/>
            <w:vAlign w:val="bottom"/>
            <w:shd w:val="clear" w:color="auto" w:fill="0000EE"/>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240" w:type="dxa"/>
            <w:vAlign w:val="bottom"/>
            <w:gridSpan w:val="3"/>
          </w:tcPr>
          <w:p>
            <w:pPr>
              <w:spacing w:after="0" w:line="20" w:lineRule="exact"/>
              <w:rPr>
                <w:sz w:val="1"/>
                <w:szCs w:val="1"/>
                <w:color w:val="auto"/>
              </w:rPr>
            </w:pPr>
          </w:p>
        </w:tc>
        <w:tc>
          <w:tcPr>
            <w:tcW w:w="1560" w:type="dxa"/>
            <w:vAlign w:val="bottom"/>
            <w:gridSpan w:val="2"/>
          </w:tcPr>
          <w:p>
            <w:pPr>
              <w:spacing w:after="0" w:line="20" w:lineRule="exact"/>
              <w:rPr>
                <w:sz w:val="1"/>
                <w:szCs w:val="1"/>
                <w:color w:val="auto"/>
              </w:rPr>
            </w:pPr>
          </w:p>
        </w:tc>
        <w:tc>
          <w:tcPr>
            <w:tcW w:w="2860" w:type="dxa"/>
            <w:vAlign w:val="bottom"/>
            <w:gridSpan w:val="2"/>
          </w:tcPr>
          <w:p>
            <w:pPr>
              <w:spacing w:after="0" w:line="20" w:lineRule="exact"/>
              <w:rPr>
                <w:sz w:val="1"/>
                <w:szCs w:val="1"/>
                <w:color w:val="auto"/>
              </w:rPr>
            </w:pPr>
          </w:p>
        </w:tc>
        <w:tc>
          <w:tcPr>
            <w:tcW w:w="1220" w:type="dxa"/>
            <w:vAlign w:val="bottom"/>
          </w:tcPr>
          <w:p>
            <w:pPr>
              <w:spacing w:after="0" w:line="20" w:lineRule="exact"/>
              <w:rPr>
                <w:sz w:val="1"/>
                <w:szCs w:val="1"/>
                <w:color w:val="auto"/>
              </w:rPr>
            </w:pPr>
          </w:p>
        </w:tc>
      </w:tr>
      <w:tr>
        <w:trPr>
          <w:trHeight w:val="196"/>
        </w:trPr>
        <w:tc>
          <w:tcPr>
            <w:tcW w:w="1080" w:type="dxa"/>
            <w:vAlign w:val="bottom"/>
          </w:tcPr>
          <w:p>
            <w:pPr>
              <w:spacing w:after="0" w:line="196" w:lineRule="exact"/>
              <w:rPr>
                <w:sz w:val="20"/>
                <w:szCs w:val="20"/>
                <w:color w:val="auto"/>
              </w:rPr>
            </w:pPr>
            <w:r>
              <w:rPr>
                <w:rFonts w:ascii="Arial" w:cs="Arial" w:eastAsia="Arial" w:hAnsi="Arial"/>
                <w:sz w:val="18"/>
                <w:szCs w:val="18"/>
                <w:color w:val="auto"/>
              </w:rPr>
              <w:t>Item 9</w:t>
            </w:r>
          </w:p>
        </w:tc>
        <w:tc>
          <w:tcPr>
            <w:tcW w:w="9120" w:type="dxa"/>
            <w:vAlign w:val="bottom"/>
            <w:gridSpan w:val="21"/>
          </w:tcPr>
          <w:p>
            <w:pPr>
              <w:spacing w:after="0" w:line="196" w:lineRule="exact"/>
              <w:rPr>
                <w:rFonts w:ascii="Arial" w:cs="Arial" w:eastAsia="Arial" w:hAnsi="Arial"/>
                <w:sz w:val="18"/>
                <w:szCs w:val="18"/>
                <w:color w:val="0000EE"/>
              </w:rPr>
            </w:pPr>
            <w:hyperlink w:anchor="page27">
              <w:r>
                <w:rPr>
                  <w:rFonts w:ascii="Arial" w:cs="Arial" w:eastAsia="Arial" w:hAnsi="Arial"/>
                  <w:sz w:val="18"/>
                  <w:szCs w:val="18"/>
                  <w:color w:val="0000EE"/>
                </w:rPr>
                <w:t>Changes in and Disagreements with Accountants on Accounting and Financial Disclosure</w:t>
              </w:r>
            </w:hyperlink>
          </w:p>
        </w:tc>
        <w:tc>
          <w:tcPr>
            <w:tcW w:w="1220" w:type="dxa"/>
            <w:vAlign w:val="bottom"/>
          </w:tcPr>
          <w:p>
            <w:pPr>
              <w:jc w:val="right"/>
              <w:spacing w:after="0" w:line="196" w:lineRule="exact"/>
              <w:rPr>
                <w:sz w:val="20"/>
                <w:szCs w:val="20"/>
                <w:color w:val="auto"/>
              </w:rPr>
            </w:pPr>
            <w:r>
              <w:rPr>
                <w:rFonts w:ascii="Arial" w:cs="Arial" w:eastAsia="Arial" w:hAnsi="Arial"/>
                <w:sz w:val="18"/>
                <w:szCs w:val="18"/>
                <w:color w:val="auto"/>
              </w:rPr>
              <w:t>24</w:t>
            </w:r>
          </w:p>
        </w:tc>
      </w:tr>
      <w:tr>
        <w:trPr>
          <w:trHeight w:val="196"/>
        </w:trPr>
        <w:tc>
          <w:tcPr>
            <w:tcW w:w="1080" w:type="dxa"/>
            <w:vAlign w:val="bottom"/>
          </w:tcPr>
          <w:p>
            <w:pPr>
              <w:spacing w:after="0" w:line="196" w:lineRule="exact"/>
              <w:rPr>
                <w:sz w:val="20"/>
                <w:szCs w:val="20"/>
                <w:color w:val="auto"/>
              </w:rPr>
            </w:pPr>
            <w:r>
              <w:rPr>
                <w:rFonts w:ascii="Arial" w:cs="Arial" w:eastAsia="Arial" w:hAnsi="Arial"/>
                <w:sz w:val="18"/>
                <w:szCs w:val="18"/>
                <w:color w:val="auto"/>
              </w:rPr>
              <w:t>Item 9A</w:t>
            </w:r>
          </w:p>
        </w:tc>
        <w:tc>
          <w:tcPr>
            <w:tcW w:w="6260" w:type="dxa"/>
            <w:vAlign w:val="bottom"/>
            <w:tcBorders>
              <w:top w:val="single" w:sz="8" w:color="0000EE"/>
            </w:tcBorders>
            <w:gridSpan w:val="19"/>
          </w:tcPr>
          <w:p>
            <w:pPr>
              <w:spacing w:after="0" w:line="196" w:lineRule="exact"/>
              <w:rPr>
                <w:rFonts w:ascii="Arial" w:cs="Arial" w:eastAsia="Arial" w:hAnsi="Arial"/>
                <w:sz w:val="18"/>
                <w:szCs w:val="18"/>
                <w:color w:val="0000EE"/>
              </w:rPr>
            </w:pPr>
            <w:hyperlink w:anchor="page27">
              <w:r>
                <w:rPr>
                  <w:rFonts w:ascii="Arial" w:cs="Arial" w:eastAsia="Arial" w:hAnsi="Arial"/>
                  <w:sz w:val="18"/>
                  <w:szCs w:val="18"/>
                  <w:color w:val="0000EE"/>
                </w:rPr>
                <w:t>Controls and Procedures</w:t>
              </w:r>
            </w:hyperlink>
          </w:p>
        </w:tc>
        <w:tc>
          <w:tcPr>
            <w:tcW w:w="2860" w:type="dxa"/>
            <w:vAlign w:val="bottom"/>
            <w:gridSpan w:val="2"/>
          </w:tcPr>
          <w:p>
            <w:pPr>
              <w:spacing w:after="0"/>
              <w:rPr>
                <w:sz w:val="17"/>
                <w:szCs w:val="17"/>
                <w:color w:val="auto"/>
              </w:rPr>
            </w:pPr>
          </w:p>
        </w:tc>
        <w:tc>
          <w:tcPr>
            <w:tcW w:w="1220" w:type="dxa"/>
            <w:vAlign w:val="bottom"/>
          </w:tcPr>
          <w:p>
            <w:pPr>
              <w:jc w:val="right"/>
              <w:spacing w:after="0" w:line="196" w:lineRule="exact"/>
              <w:rPr>
                <w:sz w:val="20"/>
                <w:szCs w:val="20"/>
                <w:color w:val="auto"/>
              </w:rPr>
            </w:pPr>
            <w:r>
              <w:rPr>
                <w:rFonts w:ascii="Arial" w:cs="Arial" w:eastAsia="Arial" w:hAnsi="Arial"/>
                <w:sz w:val="18"/>
                <w:szCs w:val="18"/>
                <w:color w:val="auto"/>
              </w:rPr>
              <w:t>24</w:t>
            </w:r>
          </w:p>
        </w:tc>
      </w:tr>
      <w:tr>
        <w:trPr>
          <w:trHeight w:val="196"/>
        </w:trPr>
        <w:tc>
          <w:tcPr>
            <w:tcW w:w="1080" w:type="dxa"/>
            <w:vAlign w:val="bottom"/>
          </w:tcPr>
          <w:p>
            <w:pPr>
              <w:spacing w:after="0" w:line="196" w:lineRule="exact"/>
              <w:rPr>
                <w:sz w:val="20"/>
                <w:szCs w:val="20"/>
                <w:color w:val="auto"/>
              </w:rPr>
            </w:pPr>
            <w:r>
              <w:rPr>
                <w:rFonts w:ascii="Arial" w:cs="Arial" w:eastAsia="Arial" w:hAnsi="Arial"/>
                <w:sz w:val="18"/>
                <w:szCs w:val="18"/>
                <w:color w:val="auto"/>
              </w:rPr>
              <w:t>Item 9B</w:t>
            </w:r>
          </w:p>
        </w:tc>
        <w:tc>
          <w:tcPr>
            <w:tcW w:w="1660" w:type="dxa"/>
            <w:vAlign w:val="bottom"/>
            <w:tcBorders>
              <w:top w:val="single" w:sz="8" w:color="0000EE"/>
            </w:tcBorders>
            <w:gridSpan w:val="6"/>
          </w:tcPr>
          <w:p>
            <w:pPr>
              <w:spacing w:after="0" w:line="196" w:lineRule="exact"/>
              <w:rPr>
                <w:rFonts w:ascii="Arial" w:cs="Arial" w:eastAsia="Arial" w:hAnsi="Arial"/>
                <w:sz w:val="18"/>
                <w:szCs w:val="18"/>
                <w:color w:val="0000EE"/>
              </w:rPr>
            </w:pPr>
            <w:hyperlink w:anchor="page28">
              <w:r>
                <w:rPr>
                  <w:rFonts w:ascii="Arial" w:cs="Arial" w:eastAsia="Arial" w:hAnsi="Arial"/>
                  <w:sz w:val="18"/>
                  <w:szCs w:val="18"/>
                  <w:color w:val="0000EE"/>
                </w:rPr>
                <w:t>Other Information</w:t>
              </w:r>
            </w:hyperlink>
          </w:p>
        </w:tc>
        <w:tc>
          <w:tcPr>
            <w:tcW w:w="7460" w:type="dxa"/>
            <w:vAlign w:val="bottom"/>
            <w:gridSpan w:val="15"/>
          </w:tcPr>
          <w:p>
            <w:pPr>
              <w:spacing w:after="0"/>
              <w:rPr>
                <w:sz w:val="17"/>
                <w:szCs w:val="17"/>
                <w:color w:val="auto"/>
              </w:rPr>
            </w:pPr>
          </w:p>
        </w:tc>
        <w:tc>
          <w:tcPr>
            <w:tcW w:w="1220" w:type="dxa"/>
            <w:vAlign w:val="bottom"/>
          </w:tcPr>
          <w:p>
            <w:pPr>
              <w:jc w:val="right"/>
              <w:spacing w:after="0" w:line="196" w:lineRule="exact"/>
              <w:rPr>
                <w:sz w:val="20"/>
                <w:szCs w:val="20"/>
                <w:color w:val="auto"/>
              </w:rPr>
            </w:pPr>
            <w:r>
              <w:rPr>
                <w:rFonts w:ascii="Arial" w:cs="Arial" w:eastAsia="Arial" w:hAnsi="Arial"/>
                <w:sz w:val="18"/>
                <w:szCs w:val="18"/>
                <w:color w:val="auto"/>
              </w:rPr>
              <w:t>25</w:t>
            </w:r>
          </w:p>
        </w:tc>
      </w:tr>
      <w:tr>
        <w:trPr>
          <w:trHeight w:val="296"/>
        </w:trPr>
        <w:tc>
          <w:tcPr>
            <w:tcW w:w="1080" w:type="dxa"/>
            <w:vAlign w:val="bottom"/>
          </w:tcPr>
          <w:p>
            <w:pPr>
              <w:spacing w:after="0"/>
              <w:rPr>
                <w:sz w:val="24"/>
                <w:szCs w:val="24"/>
                <w:color w:val="auto"/>
              </w:rPr>
            </w:pPr>
          </w:p>
        </w:tc>
        <w:tc>
          <w:tcPr>
            <w:tcW w:w="560" w:type="dxa"/>
            <w:vAlign w:val="bottom"/>
            <w:tcBorders>
              <w:top w:val="single" w:sz="8" w:color="0000EE"/>
            </w:tcBorders>
          </w:tcPr>
          <w:p>
            <w:pPr>
              <w:spacing w:after="0"/>
              <w:rPr>
                <w:sz w:val="24"/>
                <w:szCs w:val="24"/>
                <w:color w:val="auto"/>
              </w:rPr>
            </w:pPr>
          </w:p>
        </w:tc>
        <w:tc>
          <w:tcPr>
            <w:tcW w:w="100" w:type="dxa"/>
            <w:vAlign w:val="bottom"/>
            <w:tcBorders>
              <w:top w:val="single" w:sz="8" w:color="0000EE"/>
            </w:tcBorders>
          </w:tcPr>
          <w:p>
            <w:pPr>
              <w:spacing w:after="0"/>
              <w:rPr>
                <w:sz w:val="24"/>
                <w:szCs w:val="24"/>
                <w:color w:val="auto"/>
              </w:rPr>
            </w:pPr>
          </w:p>
        </w:tc>
        <w:tc>
          <w:tcPr>
            <w:tcW w:w="160" w:type="dxa"/>
            <w:vAlign w:val="bottom"/>
            <w:tcBorders>
              <w:top w:val="single" w:sz="8" w:color="0000EE"/>
            </w:tcBorders>
          </w:tcPr>
          <w:p>
            <w:pPr>
              <w:spacing w:after="0"/>
              <w:rPr>
                <w:sz w:val="24"/>
                <w:szCs w:val="24"/>
                <w:color w:val="auto"/>
              </w:rPr>
            </w:pPr>
          </w:p>
        </w:tc>
        <w:tc>
          <w:tcPr>
            <w:tcW w:w="420" w:type="dxa"/>
            <w:vAlign w:val="bottom"/>
            <w:tcBorders>
              <w:top w:val="single" w:sz="8" w:color="0000EE"/>
            </w:tcBorders>
          </w:tcPr>
          <w:p>
            <w:pPr>
              <w:spacing w:after="0"/>
              <w:rPr>
                <w:sz w:val="24"/>
                <w:szCs w:val="24"/>
                <w:color w:val="auto"/>
              </w:rPr>
            </w:pPr>
          </w:p>
        </w:tc>
        <w:tc>
          <w:tcPr>
            <w:tcW w:w="3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4920" w:type="dxa"/>
            <w:vAlign w:val="bottom"/>
            <w:gridSpan w:val="5"/>
          </w:tcPr>
          <w:p>
            <w:pPr>
              <w:jc w:val="center"/>
              <w:ind w:right="4060"/>
              <w:spacing w:after="0"/>
              <w:rPr>
                <w:sz w:val="20"/>
                <w:szCs w:val="20"/>
                <w:color w:val="auto"/>
              </w:rPr>
            </w:pPr>
            <w:r>
              <w:rPr>
                <w:rFonts w:ascii="Arial" w:cs="Arial" w:eastAsia="Arial" w:hAnsi="Arial"/>
                <w:sz w:val="18"/>
                <w:szCs w:val="18"/>
                <w:b w:val="1"/>
                <w:bCs w:val="1"/>
                <w:color w:val="auto"/>
              </w:rPr>
              <w:t>PART III</w:t>
            </w:r>
          </w:p>
        </w:tc>
        <w:tc>
          <w:tcPr>
            <w:tcW w:w="1220" w:type="dxa"/>
            <w:vAlign w:val="bottom"/>
          </w:tcPr>
          <w:p>
            <w:pPr>
              <w:spacing w:after="0"/>
              <w:rPr>
                <w:sz w:val="24"/>
                <w:szCs w:val="24"/>
                <w:color w:val="auto"/>
              </w:rPr>
            </w:pPr>
          </w:p>
        </w:tc>
      </w:tr>
      <w:tr>
        <w:trPr>
          <w:trHeight w:val="184"/>
        </w:trPr>
        <w:tc>
          <w:tcPr>
            <w:tcW w:w="1080" w:type="dxa"/>
            <w:vAlign w:val="bottom"/>
          </w:tcPr>
          <w:p>
            <w:pPr>
              <w:spacing w:after="0" w:line="184" w:lineRule="exact"/>
              <w:rPr>
                <w:sz w:val="20"/>
                <w:szCs w:val="20"/>
                <w:color w:val="auto"/>
              </w:rPr>
            </w:pPr>
            <w:r>
              <w:rPr>
                <w:rFonts w:ascii="Arial" w:cs="Arial" w:eastAsia="Arial" w:hAnsi="Arial"/>
                <w:sz w:val="18"/>
                <w:szCs w:val="18"/>
                <w:color w:val="auto"/>
              </w:rPr>
              <w:t>Item 10</w:t>
            </w:r>
          </w:p>
        </w:tc>
        <w:tc>
          <w:tcPr>
            <w:tcW w:w="9120" w:type="dxa"/>
            <w:vAlign w:val="bottom"/>
            <w:gridSpan w:val="21"/>
          </w:tcPr>
          <w:p>
            <w:pPr>
              <w:spacing w:after="0" w:line="184" w:lineRule="exact"/>
              <w:rPr>
                <w:rFonts w:ascii="Arial" w:cs="Arial" w:eastAsia="Arial" w:hAnsi="Arial"/>
                <w:sz w:val="18"/>
                <w:szCs w:val="18"/>
                <w:color w:val="0000EE"/>
              </w:rPr>
            </w:pPr>
            <w:hyperlink w:anchor="page28">
              <w:r>
                <w:rPr>
                  <w:rFonts w:ascii="Arial" w:cs="Arial" w:eastAsia="Arial" w:hAnsi="Arial"/>
                  <w:sz w:val="18"/>
                  <w:szCs w:val="18"/>
                  <w:color w:val="0000EE"/>
                </w:rPr>
                <w:t>Directors and Executive Officers of the Registrant</w:t>
              </w:r>
            </w:hyperlink>
          </w:p>
        </w:tc>
        <w:tc>
          <w:tcPr>
            <w:tcW w:w="1220" w:type="dxa"/>
            <w:vAlign w:val="bottom"/>
          </w:tcPr>
          <w:p>
            <w:pPr>
              <w:jc w:val="right"/>
              <w:spacing w:after="0" w:line="184" w:lineRule="exact"/>
              <w:rPr>
                <w:sz w:val="20"/>
                <w:szCs w:val="20"/>
                <w:color w:val="auto"/>
              </w:rPr>
            </w:pPr>
            <w:r>
              <w:rPr>
                <w:rFonts w:ascii="Arial" w:cs="Arial" w:eastAsia="Arial" w:hAnsi="Arial"/>
                <w:sz w:val="18"/>
                <w:szCs w:val="18"/>
                <w:color w:val="auto"/>
              </w:rPr>
              <w:t>25</w:t>
            </w:r>
          </w:p>
        </w:tc>
      </w:tr>
      <w:tr>
        <w:trPr>
          <w:trHeight w:val="196"/>
        </w:trPr>
        <w:tc>
          <w:tcPr>
            <w:tcW w:w="1080" w:type="dxa"/>
            <w:vAlign w:val="bottom"/>
          </w:tcPr>
          <w:p>
            <w:pPr>
              <w:spacing w:after="0" w:line="196" w:lineRule="exact"/>
              <w:rPr>
                <w:sz w:val="20"/>
                <w:szCs w:val="20"/>
                <w:color w:val="auto"/>
              </w:rPr>
            </w:pPr>
            <w:r>
              <w:rPr>
                <w:rFonts w:ascii="Arial" w:cs="Arial" w:eastAsia="Arial" w:hAnsi="Arial"/>
                <w:sz w:val="18"/>
                <w:szCs w:val="18"/>
                <w:color w:val="auto"/>
              </w:rPr>
              <w:t>Item 11</w:t>
            </w:r>
          </w:p>
        </w:tc>
        <w:tc>
          <w:tcPr>
            <w:tcW w:w="3460" w:type="dxa"/>
            <w:vAlign w:val="bottom"/>
            <w:tcBorders>
              <w:top w:val="single" w:sz="8" w:color="0000EE"/>
            </w:tcBorders>
            <w:gridSpan w:val="14"/>
          </w:tcPr>
          <w:p>
            <w:pPr>
              <w:spacing w:after="0" w:line="196" w:lineRule="exact"/>
              <w:rPr>
                <w:rFonts w:ascii="Arial" w:cs="Arial" w:eastAsia="Arial" w:hAnsi="Arial"/>
                <w:sz w:val="18"/>
                <w:szCs w:val="18"/>
                <w:color w:val="0000EE"/>
              </w:rPr>
            </w:pPr>
            <w:hyperlink w:anchor="page28">
              <w:r>
                <w:rPr>
                  <w:rFonts w:ascii="Arial" w:cs="Arial" w:eastAsia="Arial" w:hAnsi="Arial"/>
                  <w:sz w:val="18"/>
                  <w:szCs w:val="18"/>
                  <w:color w:val="0000EE"/>
                </w:rPr>
                <w:t>Executive Compensation</w:t>
              </w:r>
            </w:hyperlink>
          </w:p>
        </w:tc>
        <w:tc>
          <w:tcPr>
            <w:tcW w:w="5660" w:type="dxa"/>
            <w:vAlign w:val="bottom"/>
            <w:gridSpan w:val="7"/>
          </w:tcPr>
          <w:p>
            <w:pPr>
              <w:spacing w:after="0"/>
              <w:rPr>
                <w:sz w:val="17"/>
                <w:szCs w:val="17"/>
                <w:color w:val="auto"/>
              </w:rPr>
            </w:pPr>
          </w:p>
        </w:tc>
        <w:tc>
          <w:tcPr>
            <w:tcW w:w="1220" w:type="dxa"/>
            <w:vAlign w:val="bottom"/>
          </w:tcPr>
          <w:p>
            <w:pPr>
              <w:jc w:val="right"/>
              <w:spacing w:after="0" w:line="196" w:lineRule="exact"/>
              <w:rPr>
                <w:sz w:val="20"/>
                <w:szCs w:val="20"/>
                <w:color w:val="auto"/>
              </w:rPr>
            </w:pPr>
            <w:r>
              <w:rPr>
                <w:rFonts w:ascii="Arial" w:cs="Arial" w:eastAsia="Arial" w:hAnsi="Arial"/>
                <w:sz w:val="18"/>
                <w:szCs w:val="18"/>
                <w:color w:val="auto"/>
              </w:rPr>
              <w:t>25</w:t>
            </w:r>
          </w:p>
        </w:tc>
      </w:tr>
      <w:tr>
        <w:trPr>
          <w:trHeight w:val="20"/>
        </w:trPr>
        <w:tc>
          <w:tcPr>
            <w:tcW w:w="1080" w:type="dxa"/>
            <w:vAlign w:val="bottom"/>
            <w:tcBorders>
              <w:right w:val="single" w:sz="8" w:color="0000EE"/>
            </w:tcBorders>
          </w:tcPr>
          <w:p>
            <w:pPr>
              <w:spacing w:after="0" w:line="20" w:lineRule="exact"/>
              <w:rPr>
                <w:sz w:val="1"/>
                <w:szCs w:val="1"/>
                <w:color w:val="auto"/>
              </w:rPr>
            </w:pPr>
          </w:p>
        </w:tc>
        <w:tc>
          <w:tcPr>
            <w:tcW w:w="1700" w:type="dxa"/>
            <w:vAlign w:val="bottom"/>
            <w:gridSpan w:val="7"/>
            <w:shd w:val="clear" w:color="auto" w:fill="0000EE"/>
          </w:tcPr>
          <w:p>
            <w:pPr>
              <w:spacing w:after="0" w:line="20" w:lineRule="exact"/>
              <w:rPr>
                <w:sz w:val="1"/>
                <w:szCs w:val="1"/>
                <w:color w:val="auto"/>
              </w:rPr>
            </w:pPr>
          </w:p>
        </w:tc>
        <w:tc>
          <w:tcPr>
            <w:tcW w:w="1020" w:type="dxa"/>
            <w:vAlign w:val="bottom"/>
            <w:gridSpan w:val="3"/>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40" w:type="dxa"/>
            <w:vAlign w:val="bottom"/>
            <w:gridSpan w:val="2"/>
          </w:tcPr>
          <w:p>
            <w:pPr>
              <w:spacing w:after="0" w:line="20" w:lineRule="exact"/>
              <w:rPr>
                <w:sz w:val="1"/>
                <w:szCs w:val="1"/>
                <w:color w:val="auto"/>
              </w:rPr>
            </w:pPr>
          </w:p>
        </w:tc>
        <w:tc>
          <w:tcPr>
            <w:tcW w:w="1440" w:type="dxa"/>
            <w:vAlign w:val="bottom"/>
            <w:gridSpan w:val="4"/>
          </w:tcPr>
          <w:p>
            <w:pPr>
              <w:spacing w:after="0" w:line="20" w:lineRule="exact"/>
              <w:rPr>
                <w:sz w:val="1"/>
                <w:szCs w:val="1"/>
                <w:color w:val="auto"/>
              </w:rPr>
            </w:pPr>
          </w:p>
        </w:tc>
        <w:tc>
          <w:tcPr>
            <w:tcW w:w="4420" w:type="dxa"/>
            <w:vAlign w:val="bottom"/>
            <w:gridSpan w:val="4"/>
          </w:tcPr>
          <w:p>
            <w:pPr>
              <w:spacing w:after="0" w:line="20" w:lineRule="exact"/>
              <w:rPr>
                <w:sz w:val="1"/>
                <w:szCs w:val="1"/>
                <w:color w:val="auto"/>
              </w:rPr>
            </w:pPr>
          </w:p>
        </w:tc>
        <w:tc>
          <w:tcPr>
            <w:tcW w:w="1220" w:type="dxa"/>
            <w:vAlign w:val="bottom"/>
          </w:tcPr>
          <w:p>
            <w:pPr>
              <w:spacing w:after="0" w:line="20" w:lineRule="exact"/>
              <w:rPr>
                <w:sz w:val="1"/>
                <w:szCs w:val="1"/>
                <w:color w:val="auto"/>
              </w:rPr>
            </w:pPr>
          </w:p>
        </w:tc>
      </w:tr>
      <w:tr>
        <w:trPr>
          <w:trHeight w:val="196"/>
        </w:trPr>
        <w:tc>
          <w:tcPr>
            <w:tcW w:w="1080" w:type="dxa"/>
            <w:vAlign w:val="bottom"/>
          </w:tcPr>
          <w:p>
            <w:pPr>
              <w:spacing w:after="0" w:line="196" w:lineRule="exact"/>
              <w:rPr>
                <w:sz w:val="20"/>
                <w:szCs w:val="20"/>
                <w:color w:val="auto"/>
              </w:rPr>
            </w:pPr>
            <w:r>
              <w:rPr>
                <w:rFonts w:ascii="Arial" w:cs="Arial" w:eastAsia="Arial" w:hAnsi="Arial"/>
                <w:sz w:val="18"/>
                <w:szCs w:val="18"/>
                <w:color w:val="auto"/>
              </w:rPr>
              <w:t>Item 12</w:t>
            </w:r>
          </w:p>
        </w:tc>
        <w:tc>
          <w:tcPr>
            <w:tcW w:w="9120" w:type="dxa"/>
            <w:vAlign w:val="bottom"/>
            <w:gridSpan w:val="21"/>
          </w:tcPr>
          <w:p>
            <w:pPr>
              <w:spacing w:after="0" w:line="196" w:lineRule="exact"/>
              <w:rPr>
                <w:rFonts w:ascii="Arial" w:cs="Arial" w:eastAsia="Arial" w:hAnsi="Arial"/>
                <w:sz w:val="18"/>
                <w:szCs w:val="18"/>
                <w:color w:val="0000EE"/>
              </w:rPr>
            </w:pPr>
            <w:hyperlink w:anchor="page28">
              <w:r>
                <w:rPr>
                  <w:rFonts w:ascii="Arial" w:cs="Arial" w:eastAsia="Arial" w:hAnsi="Arial"/>
                  <w:sz w:val="18"/>
                  <w:szCs w:val="18"/>
                  <w:color w:val="0000EE"/>
                </w:rPr>
                <w:t>Security Ownership of Certain Beneficial Owners and Management</w:t>
              </w:r>
            </w:hyperlink>
          </w:p>
        </w:tc>
        <w:tc>
          <w:tcPr>
            <w:tcW w:w="1220" w:type="dxa"/>
            <w:vAlign w:val="bottom"/>
          </w:tcPr>
          <w:p>
            <w:pPr>
              <w:jc w:val="right"/>
              <w:spacing w:after="0" w:line="196" w:lineRule="exact"/>
              <w:rPr>
                <w:sz w:val="20"/>
                <w:szCs w:val="20"/>
                <w:color w:val="auto"/>
              </w:rPr>
            </w:pPr>
            <w:r>
              <w:rPr>
                <w:rFonts w:ascii="Arial" w:cs="Arial" w:eastAsia="Arial" w:hAnsi="Arial"/>
                <w:sz w:val="18"/>
                <w:szCs w:val="18"/>
                <w:color w:val="auto"/>
              </w:rPr>
              <w:t>25</w:t>
            </w:r>
          </w:p>
        </w:tc>
      </w:tr>
      <w:tr>
        <w:trPr>
          <w:trHeight w:val="196"/>
        </w:trPr>
        <w:tc>
          <w:tcPr>
            <w:tcW w:w="1080" w:type="dxa"/>
            <w:vAlign w:val="bottom"/>
          </w:tcPr>
          <w:p>
            <w:pPr>
              <w:spacing w:after="0" w:line="196" w:lineRule="exact"/>
              <w:rPr>
                <w:sz w:val="20"/>
                <w:szCs w:val="20"/>
                <w:color w:val="auto"/>
              </w:rPr>
            </w:pPr>
            <w:r>
              <w:rPr>
                <w:rFonts w:ascii="Arial" w:cs="Arial" w:eastAsia="Arial" w:hAnsi="Arial"/>
                <w:sz w:val="18"/>
                <w:szCs w:val="18"/>
                <w:color w:val="auto"/>
              </w:rPr>
              <w:t>Item 13</w:t>
            </w:r>
          </w:p>
        </w:tc>
        <w:tc>
          <w:tcPr>
            <w:tcW w:w="4700" w:type="dxa"/>
            <w:vAlign w:val="bottom"/>
            <w:tcBorders>
              <w:top w:val="single" w:sz="8" w:color="0000EE"/>
            </w:tcBorders>
            <w:gridSpan w:val="17"/>
          </w:tcPr>
          <w:p>
            <w:pPr>
              <w:spacing w:after="0" w:line="196" w:lineRule="exact"/>
              <w:rPr>
                <w:rFonts w:ascii="Arial" w:cs="Arial" w:eastAsia="Arial" w:hAnsi="Arial"/>
                <w:sz w:val="18"/>
                <w:szCs w:val="18"/>
                <w:color w:val="0000EE"/>
              </w:rPr>
            </w:pPr>
            <w:hyperlink w:anchor="page28">
              <w:r>
                <w:rPr>
                  <w:rFonts w:ascii="Arial" w:cs="Arial" w:eastAsia="Arial" w:hAnsi="Arial"/>
                  <w:sz w:val="18"/>
                  <w:szCs w:val="18"/>
                  <w:color w:val="0000EE"/>
                </w:rPr>
                <w:t>Certain Relationships and Related Transactions</w:t>
              </w:r>
            </w:hyperlink>
          </w:p>
        </w:tc>
        <w:tc>
          <w:tcPr>
            <w:tcW w:w="4420" w:type="dxa"/>
            <w:vAlign w:val="bottom"/>
            <w:gridSpan w:val="4"/>
          </w:tcPr>
          <w:p>
            <w:pPr>
              <w:spacing w:after="0"/>
              <w:rPr>
                <w:sz w:val="17"/>
                <w:szCs w:val="17"/>
                <w:color w:val="auto"/>
              </w:rPr>
            </w:pPr>
          </w:p>
        </w:tc>
        <w:tc>
          <w:tcPr>
            <w:tcW w:w="1220" w:type="dxa"/>
            <w:vAlign w:val="bottom"/>
          </w:tcPr>
          <w:p>
            <w:pPr>
              <w:jc w:val="right"/>
              <w:spacing w:after="0" w:line="196" w:lineRule="exact"/>
              <w:rPr>
                <w:sz w:val="20"/>
                <w:szCs w:val="20"/>
                <w:color w:val="auto"/>
              </w:rPr>
            </w:pPr>
            <w:r>
              <w:rPr>
                <w:rFonts w:ascii="Arial" w:cs="Arial" w:eastAsia="Arial" w:hAnsi="Arial"/>
                <w:sz w:val="18"/>
                <w:szCs w:val="18"/>
                <w:color w:val="auto"/>
              </w:rPr>
              <w:t>25</w:t>
            </w:r>
          </w:p>
        </w:tc>
      </w:tr>
      <w:tr>
        <w:trPr>
          <w:trHeight w:val="196"/>
        </w:trPr>
        <w:tc>
          <w:tcPr>
            <w:tcW w:w="1080" w:type="dxa"/>
            <w:vAlign w:val="bottom"/>
          </w:tcPr>
          <w:p>
            <w:pPr>
              <w:spacing w:after="0" w:line="196" w:lineRule="exact"/>
              <w:rPr>
                <w:sz w:val="20"/>
                <w:szCs w:val="20"/>
                <w:color w:val="auto"/>
              </w:rPr>
            </w:pPr>
            <w:r>
              <w:rPr>
                <w:rFonts w:ascii="Arial" w:cs="Arial" w:eastAsia="Arial" w:hAnsi="Arial"/>
                <w:sz w:val="18"/>
                <w:szCs w:val="18"/>
                <w:color w:val="auto"/>
              </w:rPr>
              <w:t>Item 14</w:t>
            </w:r>
          </w:p>
        </w:tc>
        <w:tc>
          <w:tcPr>
            <w:tcW w:w="3260" w:type="dxa"/>
            <w:vAlign w:val="bottom"/>
            <w:tcBorders>
              <w:top w:val="single" w:sz="8" w:color="0000EE"/>
            </w:tcBorders>
            <w:gridSpan w:val="13"/>
          </w:tcPr>
          <w:p>
            <w:pPr>
              <w:spacing w:after="0" w:line="196" w:lineRule="exact"/>
              <w:rPr>
                <w:rFonts w:ascii="Arial" w:cs="Arial" w:eastAsia="Arial" w:hAnsi="Arial"/>
                <w:sz w:val="18"/>
                <w:szCs w:val="18"/>
                <w:color w:val="0000EE"/>
              </w:rPr>
            </w:pPr>
            <w:hyperlink w:anchor="page28">
              <w:r>
                <w:rPr>
                  <w:rFonts w:ascii="Arial" w:cs="Arial" w:eastAsia="Arial" w:hAnsi="Arial"/>
                  <w:sz w:val="18"/>
                  <w:szCs w:val="18"/>
                  <w:color w:val="0000EE"/>
                </w:rPr>
                <w:t>Principal Accountant Fees and Services</w:t>
              </w:r>
            </w:hyperlink>
          </w:p>
        </w:tc>
        <w:tc>
          <w:tcPr>
            <w:tcW w:w="5860" w:type="dxa"/>
            <w:vAlign w:val="bottom"/>
            <w:gridSpan w:val="8"/>
          </w:tcPr>
          <w:p>
            <w:pPr>
              <w:spacing w:after="0"/>
              <w:rPr>
                <w:sz w:val="17"/>
                <w:szCs w:val="17"/>
                <w:color w:val="auto"/>
              </w:rPr>
            </w:pPr>
          </w:p>
        </w:tc>
        <w:tc>
          <w:tcPr>
            <w:tcW w:w="1220" w:type="dxa"/>
            <w:vAlign w:val="bottom"/>
          </w:tcPr>
          <w:p>
            <w:pPr>
              <w:jc w:val="right"/>
              <w:spacing w:after="0" w:line="196" w:lineRule="exact"/>
              <w:rPr>
                <w:sz w:val="20"/>
                <w:szCs w:val="20"/>
                <w:color w:val="auto"/>
              </w:rPr>
            </w:pPr>
            <w:r>
              <w:rPr>
                <w:rFonts w:ascii="Arial" w:cs="Arial" w:eastAsia="Arial" w:hAnsi="Arial"/>
                <w:sz w:val="18"/>
                <w:szCs w:val="18"/>
                <w:color w:val="auto"/>
              </w:rPr>
              <w:t>25</w:t>
            </w:r>
          </w:p>
        </w:tc>
      </w:tr>
      <w:tr>
        <w:trPr>
          <w:trHeight w:val="296"/>
        </w:trPr>
        <w:tc>
          <w:tcPr>
            <w:tcW w:w="1080" w:type="dxa"/>
            <w:vAlign w:val="bottom"/>
          </w:tcPr>
          <w:p>
            <w:pPr>
              <w:spacing w:after="0"/>
              <w:rPr>
                <w:sz w:val="24"/>
                <w:szCs w:val="24"/>
                <w:color w:val="auto"/>
              </w:rPr>
            </w:pPr>
          </w:p>
        </w:tc>
        <w:tc>
          <w:tcPr>
            <w:tcW w:w="560" w:type="dxa"/>
            <w:vAlign w:val="bottom"/>
            <w:tcBorders>
              <w:top w:val="single" w:sz="8" w:color="0000EE"/>
            </w:tcBorders>
          </w:tcPr>
          <w:p>
            <w:pPr>
              <w:spacing w:after="0"/>
              <w:rPr>
                <w:sz w:val="24"/>
                <w:szCs w:val="24"/>
                <w:color w:val="auto"/>
              </w:rPr>
            </w:pPr>
          </w:p>
        </w:tc>
        <w:tc>
          <w:tcPr>
            <w:tcW w:w="100" w:type="dxa"/>
            <w:vAlign w:val="bottom"/>
            <w:tcBorders>
              <w:top w:val="single" w:sz="8" w:color="0000EE"/>
            </w:tcBorders>
          </w:tcPr>
          <w:p>
            <w:pPr>
              <w:spacing w:after="0"/>
              <w:rPr>
                <w:sz w:val="24"/>
                <w:szCs w:val="24"/>
                <w:color w:val="auto"/>
              </w:rPr>
            </w:pPr>
          </w:p>
        </w:tc>
        <w:tc>
          <w:tcPr>
            <w:tcW w:w="160" w:type="dxa"/>
            <w:vAlign w:val="bottom"/>
            <w:tcBorders>
              <w:top w:val="single" w:sz="8" w:color="0000EE"/>
            </w:tcBorders>
          </w:tcPr>
          <w:p>
            <w:pPr>
              <w:spacing w:after="0"/>
              <w:rPr>
                <w:sz w:val="24"/>
                <w:szCs w:val="24"/>
                <w:color w:val="auto"/>
              </w:rPr>
            </w:pPr>
          </w:p>
        </w:tc>
        <w:tc>
          <w:tcPr>
            <w:tcW w:w="420" w:type="dxa"/>
            <w:vAlign w:val="bottom"/>
            <w:tcBorders>
              <w:top w:val="single" w:sz="8" w:color="0000EE"/>
            </w:tcBorders>
          </w:tcPr>
          <w:p>
            <w:pPr>
              <w:spacing w:after="0"/>
              <w:rPr>
                <w:sz w:val="24"/>
                <w:szCs w:val="24"/>
                <w:color w:val="auto"/>
              </w:rPr>
            </w:pPr>
          </w:p>
        </w:tc>
        <w:tc>
          <w:tcPr>
            <w:tcW w:w="360" w:type="dxa"/>
            <w:vAlign w:val="bottom"/>
            <w:tcBorders>
              <w:top w:val="single" w:sz="8" w:color="0000EE"/>
            </w:tcBorders>
          </w:tcPr>
          <w:p>
            <w:pPr>
              <w:spacing w:after="0"/>
              <w:rPr>
                <w:sz w:val="24"/>
                <w:szCs w:val="24"/>
                <w:color w:val="auto"/>
              </w:rPr>
            </w:pPr>
          </w:p>
        </w:tc>
        <w:tc>
          <w:tcPr>
            <w:tcW w:w="60" w:type="dxa"/>
            <w:vAlign w:val="bottom"/>
            <w:tcBorders>
              <w:top w:val="single" w:sz="8" w:color="0000EE"/>
            </w:tcBorders>
          </w:tcPr>
          <w:p>
            <w:pPr>
              <w:spacing w:after="0"/>
              <w:rPr>
                <w:sz w:val="24"/>
                <w:szCs w:val="24"/>
                <w:color w:val="auto"/>
              </w:rPr>
            </w:pPr>
          </w:p>
        </w:tc>
        <w:tc>
          <w:tcPr>
            <w:tcW w:w="40" w:type="dxa"/>
            <w:vAlign w:val="bottom"/>
            <w:tcBorders>
              <w:top w:val="single" w:sz="8" w:color="0000EE"/>
            </w:tcBorders>
          </w:tcPr>
          <w:p>
            <w:pPr>
              <w:spacing w:after="0"/>
              <w:rPr>
                <w:sz w:val="24"/>
                <w:szCs w:val="24"/>
                <w:color w:val="auto"/>
              </w:rPr>
            </w:pPr>
          </w:p>
        </w:tc>
        <w:tc>
          <w:tcPr>
            <w:tcW w:w="240" w:type="dxa"/>
            <w:vAlign w:val="bottom"/>
            <w:tcBorders>
              <w:top w:val="single" w:sz="8" w:color="0000EE"/>
            </w:tcBorders>
          </w:tcPr>
          <w:p>
            <w:pPr>
              <w:spacing w:after="0"/>
              <w:rPr>
                <w:sz w:val="24"/>
                <w:szCs w:val="24"/>
                <w:color w:val="auto"/>
              </w:rPr>
            </w:pPr>
          </w:p>
        </w:tc>
        <w:tc>
          <w:tcPr>
            <w:tcW w:w="540" w:type="dxa"/>
            <w:vAlign w:val="bottom"/>
            <w:tcBorders>
              <w:top w:val="single" w:sz="8" w:color="0000EE"/>
            </w:tcBorders>
          </w:tcPr>
          <w:p>
            <w:pPr>
              <w:spacing w:after="0"/>
              <w:rPr>
                <w:sz w:val="24"/>
                <w:szCs w:val="24"/>
                <w:color w:val="auto"/>
              </w:rPr>
            </w:pPr>
          </w:p>
        </w:tc>
        <w:tc>
          <w:tcPr>
            <w:tcW w:w="240" w:type="dxa"/>
            <w:vAlign w:val="bottom"/>
            <w:tcBorders>
              <w:top w:val="single" w:sz="8" w:color="0000EE"/>
            </w:tcBorders>
          </w:tcPr>
          <w:p>
            <w:pPr>
              <w:spacing w:after="0"/>
              <w:rPr>
                <w:sz w:val="24"/>
                <w:szCs w:val="24"/>
                <w:color w:val="auto"/>
              </w:rPr>
            </w:pPr>
          </w:p>
        </w:tc>
        <w:tc>
          <w:tcPr>
            <w:tcW w:w="3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4920" w:type="dxa"/>
            <w:vAlign w:val="bottom"/>
            <w:gridSpan w:val="5"/>
          </w:tcPr>
          <w:p>
            <w:pPr>
              <w:jc w:val="center"/>
              <w:ind w:right="4060"/>
              <w:spacing w:after="0"/>
              <w:rPr>
                <w:sz w:val="20"/>
                <w:szCs w:val="20"/>
                <w:color w:val="auto"/>
              </w:rPr>
            </w:pPr>
            <w:r>
              <w:rPr>
                <w:rFonts w:ascii="Arial" w:cs="Arial" w:eastAsia="Arial" w:hAnsi="Arial"/>
                <w:sz w:val="18"/>
                <w:szCs w:val="18"/>
                <w:b w:val="1"/>
                <w:bCs w:val="1"/>
                <w:color w:val="auto"/>
                <w:w w:val="98"/>
              </w:rPr>
              <w:t>PART IV</w:t>
            </w:r>
          </w:p>
        </w:tc>
        <w:tc>
          <w:tcPr>
            <w:tcW w:w="1220" w:type="dxa"/>
            <w:vAlign w:val="bottom"/>
          </w:tcPr>
          <w:p>
            <w:pPr>
              <w:spacing w:after="0"/>
              <w:rPr>
                <w:sz w:val="24"/>
                <w:szCs w:val="24"/>
                <w:color w:val="auto"/>
              </w:rPr>
            </w:pPr>
          </w:p>
        </w:tc>
      </w:tr>
      <w:tr>
        <w:trPr>
          <w:trHeight w:val="184"/>
        </w:trPr>
        <w:tc>
          <w:tcPr>
            <w:tcW w:w="1080" w:type="dxa"/>
            <w:vAlign w:val="bottom"/>
          </w:tcPr>
          <w:p>
            <w:pPr>
              <w:spacing w:after="0" w:line="184" w:lineRule="exact"/>
              <w:rPr>
                <w:sz w:val="20"/>
                <w:szCs w:val="20"/>
                <w:color w:val="auto"/>
              </w:rPr>
            </w:pPr>
            <w:r>
              <w:rPr>
                <w:rFonts w:ascii="Arial" w:cs="Arial" w:eastAsia="Arial" w:hAnsi="Arial"/>
                <w:sz w:val="18"/>
                <w:szCs w:val="18"/>
                <w:color w:val="auto"/>
              </w:rPr>
              <w:t>Item 15</w:t>
            </w:r>
          </w:p>
        </w:tc>
        <w:tc>
          <w:tcPr>
            <w:tcW w:w="9120" w:type="dxa"/>
            <w:vAlign w:val="bottom"/>
            <w:gridSpan w:val="21"/>
          </w:tcPr>
          <w:p>
            <w:pPr>
              <w:spacing w:after="0" w:line="184" w:lineRule="exact"/>
              <w:rPr>
                <w:rFonts w:ascii="Arial" w:cs="Arial" w:eastAsia="Arial" w:hAnsi="Arial"/>
                <w:sz w:val="18"/>
                <w:szCs w:val="18"/>
                <w:color w:val="0000EE"/>
              </w:rPr>
            </w:pPr>
            <w:hyperlink w:anchor="page29">
              <w:r>
                <w:rPr>
                  <w:rFonts w:ascii="Arial" w:cs="Arial" w:eastAsia="Arial" w:hAnsi="Arial"/>
                  <w:sz w:val="18"/>
                  <w:szCs w:val="18"/>
                  <w:color w:val="0000EE"/>
                </w:rPr>
                <w:t>Exhibits and Financial Statement Schedules</w:t>
              </w:r>
            </w:hyperlink>
          </w:p>
        </w:tc>
        <w:tc>
          <w:tcPr>
            <w:tcW w:w="1220" w:type="dxa"/>
            <w:vAlign w:val="bottom"/>
          </w:tcPr>
          <w:p>
            <w:pPr>
              <w:jc w:val="right"/>
              <w:spacing w:after="0" w:line="184" w:lineRule="exact"/>
              <w:rPr>
                <w:sz w:val="20"/>
                <w:szCs w:val="20"/>
                <w:color w:val="auto"/>
              </w:rPr>
            </w:pPr>
            <w:r>
              <w:rPr>
                <w:rFonts w:ascii="Arial" w:cs="Arial" w:eastAsia="Arial" w:hAnsi="Arial"/>
                <w:sz w:val="18"/>
                <w:szCs w:val="18"/>
                <w:color w:val="auto"/>
              </w:rPr>
              <w:t>26</w:t>
            </w:r>
          </w:p>
        </w:tc>
      </w:tr>
      <w:tr>
        <w:trPr>
          <w:trHeight w:val="20"/>
        </w:trPr>
        <w:tc>
          <w:tcPr>
            <w:tcW w:w="1080" w:type="dxa"/>
            <w:vAlign w:val="bottom"/>
            <w:tcBorders>
              <w:right w:val="single" w:sz="8" w:color="0000EE"/>
            </w:tcBorders>
          </w:tcPr>
          <w:p>
            <w:pPr>
              <w:spacing w:after="0" w:line="20" w:lineRule="exact"/>
              <w:rPr>
                <w:sz w:val="1"/>
                <w:szCs w:val="1"/>
                <w:color w:val="auto"/>
              </w:rPr>
            </w:pPr>
          </w:p>
        </w:tc>
        <w:tc>
          <w:tcPr>
            <w:tcW w:w="3020" w:type="dxa"/>
            <w:vAlign w:val="bottom"/>
            <w:gridSpan w:val="11"/>
            <w:shd w:val="clear" w:color="auto" w:fill="0000EE"/>
          </w:tcPr>
          <w:p>
            <w:pPr>
              <w:spacing w:after="0" w:line="20" w:lineRule="exact"/>
              <w:rPr>
                <w:sz w:val="1"/>
                <w:szCs w:val="1"/>
                <w:color w:val="auto"/>
              </w:rPr>
            </w:pPr>
          </w:p>
        </w:tc>
        <w:tc>
          <w:tcPr>
            <w:tcW w:w="6100" w:type="dxa"/>
            <w:vAlign w:val="bottom"/>
            <w:gridSpan w:val="10"/>
          </w:tcPr>
          <w:p>
            <w:pPr>
              <w:spacing w:after="0" w:line="20" w:lineRule="exact"/>
              <w:rPr>
                <w:sz w:val="1"/>
                <w:szCs w:val="1"/>
                <w:color w:val="auto"/>
              </w:rPr>
            </w:pPr>
          </w:p>
        </w:tc>
        <w:tc>
          <w:tcPr>
            <w:tcW w:w="1220" w:type="dxa"/>
            <w:vAlign w:val="bottom"/>
          </w:tcPr>
          <w:p>
            <w:pPr>
              <w:spacing w:after="0" w:line="20" w:lineRule="exact"/>
              <w:rPr>
                <w:sz w:val="1"/>
                <w:szCs w:val="1"/>
                <w:color w:val="auto"/>
              </w:rPr>
            </w:pPr>
          </w:p>
        </w:tc>
      </w:tr>
      <w:tr>
        <w:trPr>
          <w:trHeight w:val="196"/>
        </w:trPr>
        <w:tc>
          <w:tcPr>
            <w:tcW w:w="10200" w:type="dxa"/>
            <w:vAlign w:val="bottom"/>
            <w:gridSpan w:val="22"/>
          </w:tcPr>
          <w:p>
            <w:pPr>
              <w:spacing w:after="0" w:line="196" w:lineRule="exact"/>
              <w:rPr>
                <w:rFonts w:ascii="Arial" w:cs="Arial" w:eastAsia="Arial" w:hAnsi="Arial"/>
                <w:sz w:val="18"/>
                <w:szCs w:val="18"/>
                <w:color w:val="0000EE"/>
              </w:rPr>
            </w:pPr>
            <w:hyperlink w:anchor="page34">
              <w:r>
                <w:rPr>
                  <w:rFonts w:ascii="Arial" w:cs="Arial" w:eastAsia="Arial" w:hAnsi="Arial"/>
                  <w:sz w:val="18"/>
                  <w:szCs w:val="18"/>
                  <w:color w:val="0000EE"/>
                </w:rPr>
                <w:t>SIGNATURES</w:t>
              </w:r>
            </w:hyperlink>
          </w:p>
        </w:tc>
        <w:tc>
          <w:tcPr>
            <w:tcW w:w="1220" w:type="dxa"/>
            <w:vAlign w:val="bottom"/>
          </w:tcPr>
          <w:p>
            <w:pPr>
              <w:jc w:val="right"/>
              <w:spacing w:after="0" w:line="196" w:lineRule="exact"/>
              <w:rPr>
                <w:sz w:val="20"/>
                <w:szCs w:val="20"/>
                <w:color w:val="auto"/>
              </w:rPr>
            </w:pPr>
            <w:r>
              <w:rPr>
                <w:rFonts w:ascii="Arial" w:cs="Arial" w:eastAsia="Arial" w:hAnsi="Arial"/>
                <w:sz w:val="18"/>
                <w:szCs w:val="18"/>
                <w:color w:val="auto"/>
              </w:rPr>
              <w:t>31</w:t>
            </w:r>
          </w:p>
        </w:tc>
      </w:tr>
      <w:tr>
        <w:trPr>
          <w:trHeight w:val="20"/>
        </w:trPr>
        <w:tc>
          <w:tcPr>
            <w:tcW w:w="1080" w:type="dxa"/>
            <w:vAlign w:val="bottom"/>
            <w:tcBorders>
              <w:right w:val="single" w:sz="8" w:color="0000EE"/>
            </w:tcBorders>
            <w:shd w:val="clear" w:color="auto" w:fill="0000EE"/>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15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820" w:type="dxa"/>
            <w:vAlign w:val="bottom"/>
          </w:tcPr>
          <w:p>
            <w:pPr>
              <w:spacing w:after="0" w:line="20" w:lineRule="exact"/>
              <w:rPr>
                <w:sz w:val="1"/>
                <w:szCs w:val="1"/>
                <w:color w:val="auto"/>
              </w:rPr>
            </w:pPr>
          </w:p>
        </w:tc>
        <w:tc>
          <w:tcPr>
            <w:tcW w:w="1040" w:type="dxa"/>
            <w:vAlign w:val="bottom"/>
          </w:tcPr>
          <w:p>
            <w:pPr>
              <w:spacing w:after="0" w:line="20" w:lineRule="exact"/>
              <w:rPr>
                <w:sz w:val="1"/>
                <w:szCs w:val="1"/>
                <w:color w:val="auto"/>
              </w:rPr>
            </w:pPr>
          </w:p>
        </w:tc>
        <w:tc>
          <w:tcPr>
            <w:tcW w:w="122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2860675</wp:posOffset>
            </wp:positionH>
            <wp:positionV relativeFrom="paragraph">
              <wp:posOffset>137160</wp:posOffset>
            </wp:positionV>
            <wp:extent cx="1534795" cy="889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1534795" cy="8890"/>
                    </a:xfrm>
                    <a:prstGeom prst="rect">
                      <a:avLst/>
                    </a:prstGeom>
                    <a:noFill/>
                  </pic:spPr>
                </pic:pic>
              </a:graphicData>
            </a:graphic>
          </wp:anchor>
        </w:drawing>
      </w:r>
    </w:p>
    <w:p>
      <w:pPr>
        <w:spacing w:after="0" w:line="309" w:lineRule="exact"/>
        <w:rPr>
          <w:sz w:val="20"/>
          <w:szCs w:val="20"/>
          <w:color w:val="auto"/>
        </w:rPr>
      </w:pPr>
    </w:p>
    <w:p>
      <w:pPr>
        <w:ind w:right="140" w:firstLine="456"/>
        <w:spacing w:after="0" w:line="291" w:lineRule="auto"/>
        <w:rPr>
          <w:sz w:val="20"/>
          <w:szCs w:val="20"/>
          <w:color w:val="auto"/>
        </w:rPr>
      </w:pPr>
      <w:r>
        <w:rPr>
          <w:rFonts w:ascii="Arial" w:cs="Arial" w:eastAsia="Arial" w:hAnsi="Arial"/>
          <w:sz w:val="16"/>
          <w:szCs w:val="16"/>
          <w:color w:val="auto"/>
        </w:rPr>
        <w:t>This Annual Report on Form 10-K is for the year ended December 31, 2006. This Annual Report on Form 10-K modifies and supersedes documents filed prior to it. The Securities and Exchange Commission (“SEC”) allows us to “incorporate by reference” information that we file with them, which means that we can disclose important information to you by referring you directly to those documents. Information incorporated by reference is considered to be part of this Annual Report on Form 10-K. In addition, information that we file with the SEC in the future will automatically update and supersede information contained in this Annual Report on Form 10-K. Throughout this Annual Report on Form 10-K, we refer to Comcast Corporation as “Comcast”; Comcast and its consolidated subsidiaries as “we,” “us” and “our;” and Comcast Holdings Corporation as “Comcast Holdings.”</w:t>
      </w:r>
    </w:p>
    <w:p>
      <w:pPr>
        <w:spacing w:after="0" w:line="10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i</w:t>
      </w:r>
    </w:p>
    <w:p>
      <w:pPr>
        <w:sectPr>
          <w:pgSz w:w="11900" w:h="16838" w:orient="portrait"/>
          <w:cols w:equalWidth="0" w:num="1">
            <w:col w:w="11420"/>
          </w:cols>
          <w:pgMar w:left="240" w:top="459" w:right="239" w:bottom="1440" w:gutter="0" w:footer="0" w:header="0"/>
        </w:sectPr>
      </w:pPr>
    </w:p>
    <w:bookmarkStart w:id="3" w:name="page4"/>
    <w:bookmarkEnd w:id="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center"/>
        <w:ind w:right="-99"/>
        <w:spacing w:after="0"/>
        <w:rPr>
          <w:sz w:val="20"/>
          <w:szCs w:val="20"/>
          <w:color w:val="auto"/>
        </w:rPr>
      </w:pPr>
      <w:r>
        <w:rPr>
          <w:rFonts w:ascii="Arial" w:cs="Arial" w:eastAsia="Arial" w:hAnsi="Arial"/>
          <w:sz w:val="18"/>
          <w:szCs w:val="18"/>
          <w:b w:val="1"/>
          <w:bCs w:val="1"/>
          <w:color w:val="auto"/>
        </w:rPr>
        <w:t>PART I</w:t>
      </w:r>
    </w:p>
    <w:p>
      <w:pPr>
        <w:spacing w:after="0" w:line="212" w:lineRule="exact"/>
        <w:rPr>
          <w:sz w:val="20"/>
          <w:szCs w:val="20"/>
          <w:color w:val="auto"/>
        </w:rPr>
      </w:pPr>
    </w:p>
    <w:p>
      <w:pPr>
        <w:spacing w:after="0"/>
        <w:tabs>
          <w:tab w:leader="none" w:pos="1020" w:val="left"/>
        </w:tabs>
        <w:rPr>
          <w:sz w:val="20"/>
          <w:szCs w:val="20"/>
          <w:color w:val="auto"/>
        </w:rPr>
      </w:pPr>
      <w:r>
        <w:rPr>
          <w:rFonts w:ascii="Arial" w:cs="Arial" w:eastAsia="Arial" w:hAnsi="Arial"/>
          <w:sz w:val="18"/>
          <w:szCs w:val="18"/>
          <w:b w:val="1"/>
          <w:bCs w:val="1"/>
          <w:color w:val="auto"/>
        </w:rPr>
        <w:t>ITEM 1:</w:t>
      </w:r>
      <w:r>
        <w:rPr>
          <w:sz w:val="20"/>
          <w:szCs w:val="20"/>
          <w:color w:val="auto"/>
        </w:rPr>
        <w:tab/>
      </w:r>
      <w:r>
        <w:rPr>
          <w:rFonts w:ascii="Arial" w:cs="Arial" w:eastAsia="Arial" w:hAnsi="Arial"/>
          <w:sz w:val="16"/>
          <w:szCs w:val="16"/>
          <w:b w:val="1"/>
          <w:bCs w:val="1"/>
          <w:color w:val="auto"/>
        </w:rPr>
        <w:t>BUSINESS</w:t>
      </w:r>
    </w:p>
    <w:p>
      <w:pPr>
        <w:spacing w:after="0" w:line="96" w:lineRule="exact"/>
        <w:rPr>
          <w:sz w:val="20"/>
          <w:szCs w:val="20"/>
          <w:color w:val="auto"/>
        </w:rPr>
      </w:pPr>
    </w:p>
    <w:p>
      <w:pPr>
        <w:ind w:right="40" w:firstLine="456"/>
        <w:spacing w:after="0" w:line="255" w:lineRule="auto"/>
        <w:rPr>
          <w:sz w:val="20"/>
          <w:szCs w:val="20"/>
          <w:color w:val="auto"/>
        </w:rPr>
      </w:pPr>
      <w:r>
        <w:rPr>
          <w:rFonts w:ascii="Arial" w:cs="Arial" w:eastAsia="Arial" w:hAnsi="Arial"/>
          <w:sz w:val="18"/>
          <w:szCs w:val="18"/>
          <w:color w:val="auto"/>
        </w:rPr>
        <w:t>We are the largest cable operator in the United States and offer a variety of consumer entertainment and communication products and services. As of December 31, 2006, our cable systems served approximately 23.4 million video subscribers, 11 million high-speed Internet subscribers and 2.4 million phone subscribers and passed approximately 45.7 million homes in 39 states and the District of Columbia. We were incorporated under the laws of Pennsylvania in December 2001. Through our predecessors (including our immediate predecessor, Comcast Holdings), we have developed, managed and operated cable systems since 1963.</w:t>
      </w:r>
    </w:p>
    <w:p>
      <w:pPr>
        <w:spacing w:after="0" w:line="143" w:lineRule="exact"/>
        <w:rPr>
          <w:sz w:val="20"/>
          <w:szCs w:val="20"/>
          <w:color w:val="auto"/>
        </w:rPr>
      </w:pPr>
    </w:p>
    <w:p>
      <w:pPr>
        <w:ind w:right="500" w:firstLine="456"/>
        <w:spacing w:after="0" w:line="259" w:lineRule="auto"/>
        <w:rPr>
          <w:sz w:val="20"/>
          <w:szCs w:val="20"/>
          <w:color w:val="auto"/>
        </w:rPr>
      </w:pPr>
      <w:r>
        <w:rPr>
          <w:rFonts w:ascii="Arial" w:cs="Arial" w:eastAsia="Arial" w:hAnsi="Arial"/>
          <w:sz w:val="18"/>
          <w:szCs w:val="18"/>
          <w:color w:val="auto"/>
        </w:rPr>
        <w:t>We classify our operations in two reportable segments: Cable and Programming. Our Cable segment, which generates approximately 95% of our consolidated revenues, manages and operates our cable systems, including video, high-speed Internet and phone services (“cable services”), as well as our regional sports and news networks.</w:t>
      </w:r>
    </w:p>
    <w:p>
      <w:pPr>
        <w:spacing w:after="0" w:line="140" w:lineRule="exact"/>
        <w:rPr>
          <w:sz w:val="20"/>
          <w:szCs w:val="20"/>
          <w:color w:val="auto"/>
        </w:rPr>
      </w:pPr>
    </w:p>
    <w:p>
      <w:pPr>
        <w:ind w:right="160" w:firstLine="456"/>
        <w:spacing w:after="0" w:line="268" w:lineRule="auto"/>
        <w:rPr>
          <w:sz w:val="20"/>
          <w:szCs w:val="20"/>
          <w:color w:val="auto"/>
        </w:rPr>
      </w:pPr>
      <w:r>
        <w:rPr>
          <w:rFonts w:ascii="Arial" w:cs="Arial" w:eastAsia="Arial" w:hAnsi="Arial"/>
          <w:sz w:val="18"/>
          <w:szCs w:val="18"/>
          <w:color w:val="auto"/>
        </w:rPr>
        <w:t>Our Programming segment consists of our six consolidated national programming networks: E!, Style, The Golf Channel, VERSUS (formerly known as OLN), G4 and AZN Television.</w:t>
      </w:r>
    </w:p>
    <w:p>
      <w:pPr>
        <w:spacing w:after="0" w:line="132" w:lineRule="exact"/>
        <w:rPr>
          <w:sz w:val="20"/>
          <w:szCs w:val="20"/>
          <w:color w:val="auto"/>
        </w:rPr>
      </w:pPr>
    </w:p>
    <w:p>
      <w:pPr>
        <w:jc w:val="both"/>
        <w:ind w:right="40" w:firstLine="456"/>
        <w:spacing w:after="0" w:line="259" w:lineRule="auto"/>
        <w:rPr>
          <w:sz w:val="20"/>
          <w:szCs w:val="20"/>
          <w:color w:val="auto"/>
        </w:rPr>
      </w:pPr>
      <w:r>
        <w:rPr>
          <w:rFonts w:ascii="Arial" w:cs="Arial" w:eastAsia="Arial" w:hAnsi="Arial"/>
          <w:sz w:val="18"/>
          <w:szCs w:val="18"/>
          <w:color w:val="auto"/>
        </w:rPr>
        <w:t>Our other business interests include Comcast Spectacor, which owns the Philadelphia Flyers, the Philadelphia 76ers and two large multipurpose arenas in Philadelphia and manages other facilities for sporting events, concerts and other events. Comcast Spectacor and all other consolidated businesses not included in our Cable or Programming segment are included in “Corporate and Other” activities.</w:t>
      </w:r>
    </w:p>
    <w:p>
      <w:pPr>
        <w:spacing w:after="0" w:line="140" w:lineRule="exact"/>
        <w:rPr>
          <w:sz w:val="20"/>
          <w:szCs w:val="20"/>
          <w:color w:val="auto"/>
        </w:rPr>
      </w:pPr>
    </w:p>
    <w:p>
      <w:pPr>
        <w:ind w:right="220" w:firstLine="456"/>
        <w:spacing w:after="0" w:line="259" w:lineRule="auto"/>
        <w:rPr>
          <w:sz w:val="20"/>
          <w:szCs w:val="20"/>
          <w:color w:val="auto"/>
        </w:rPr>
      </w:pPr>
      <w:r>
        <w:rPr>
          <w:rFonts w:ascii="Arial" w:cs="Arial" w:eastAsia="Arial" w:hAnsi="Arial"/>
          <w:sz w:val="18"/>
          <w:szCs w:val="18"/>
          <w:color w:val="auto"/>
        </w:rPr>
        <w:t>On January 31, 2007, our Board of Directors approved a three-for-two stock split in the form of a 50% stock dividend (the “Stock Split”) payable on February 21, 2007, to shareholders of record on February 14, 2007. The number of shares outstanding and related amounts presented in this Annual Report on Form 10-K have been adjusted to reflect the Stock Split for all periods presented.</w:t>
      </w:r>
    </w:p>
    <w:p>
      <w:pPr>
        <w:spacing w:after="0" w:line="140" w:lineRule="exact"/>
        <w:rPr>
          <w:sz w:val="20"/>
          <w:szCs w:val="20"/>
          <w:color w:val="auto"/>
        </w:rPr>
      </w:pPr>
    </w:p>
    <w:p>
      <w:pPr>
        <w:ind w:right="400" w:firstLine="456"/>
        <w:spacing w:after="0" w:line="332" w:lineRule="auto"/>
        <w:rPr>
          <w:sz w:val="20"/>
          <w:szCs w:val="20"/>
          <w:color w:val="auto"/>
        </w:rPr>
      </w:pPr>
      <w:r>
        <w:rPr>
          <w:rFonts w:ascii="Arial" w:cs="Arial" w:eastAsia="Arial" w:hAnsi="Arial"/>
          <w:sz w:val="16"/>
          <w:szCs w:val="16"/>
          <w:color w:val="auto"/>
        </w:rPr>
        <w:t>For financial and other information on our segments, refer to Note 14 to our consolidated financial statements included in our 2006 Annual Report to Shareholders, which is filed as Exhibit 13.1 to, and portions of which are incorporated by reference in, this Annual Report on Form 10-K.</w:t>
      </w:r>
    </w:p>
    <w:p>
      <w:pPr>
        <w:spacing w:after="0" w:line="241" w:lineRule="exact"/>
        <w:rPr>
          <w:sz w:val="20"/>
          <w:szCs w:val="20"/>
          <w:color w:val="auto"/>
        </w:rPr>
      </w:pPr>
    </w:p>
    <w:p>
      <w:pPr>
        <w:jc w:val="center"/>
        <w:ind w:right="-99"/>
        <w:spacing w:after="0"/>
        <w:rPr>
          <w:sz w:val="20"/>
          <w:szCs w:val="20"/>
          <w:color w:val="auto"/>
        </w:rPr>
      </w:pPr>
      <w:r>
        <w:rPr>
          <w:rFonts w:ascii="Arial" w:cs="Arial" w:eastAsia="Arial" w:hAnsi="Arial"/>
          <w:sz w:val="18"/>
          <w:szCs w:val="18"/>
          <w:b w:val="1"/>
          <w:bCs w:val="1"/>
          <w:color w:val="auto"/>
        </w:rPr>
        <w:t>AVAILABLE INFORMATION AND WEB SITES</w:t>
      </w:r>
    </w:p>
    <w:p>
      <w:pPr>
        <w:spacing w:after="0" w:line="177" w:lineRule="exact"/>
        <w:rPr>
          <w:sz w:val="20"/>
          <w:szCs w:val="20"/>
          <w:color w:val="auto"/>
        </w:rPr>
      </w:pPr>
    </w:p>
    <w:p>
      <w:pPr>
        <w:ind w:firstLine="456"/>
        <w:spacing w:after="0" w:line="290" w:lineRule="auto"/>
        <w:rPr>
          <w:sz w:val="20"/>
          <w:szCs w:val="20"/>
          <w:color w:val="auto"/>
        </w:rPr>
      </w:pPr>
      <w:r>
        <w:rPr>
          <w:rFonts w:ascii="Arial" w:cs="Arial" w:eastAsia="Arial" w:hAnsi="Arial"/>
          <w:sz w:val="16"/>
          <w:szCs w:val="16"/>
          <w:color w:val="auto"/>
        </w:rPr>
        <w:t xml:space="preserve">Our phone number is (215) 665-1700, and our principal executive offices are located at 1500 Market Street, Philadelphia, PA 19102-2148. The public may read and copy any materials we file with the SEC at the SEC’s Public Reference Room at 100 F Street, NE, Washington, DC 20549. The public may obtain information on the operation of the Public Reference Room by calling the SEC at 1-800-SEC-0330. Our annual reports on Form 10-K, quarterly reports on Form 10-Q, current reports on Form 8-K and any amendments to such reports filed with or furnished to the SEC pursuant to Sections 13(a) or 15(d) of the Securities Exchange Act of 1934, as amended (the “Exchange Act”) are available free of charge on the SEC’s Web site at </w:t>
      </w:r>
      <w:r>
        <w:rPr>
          <w:rFonts w:ascii="Arial" w:cs="Arial" w:eastAsia="Arial" w:hAnsi="Arial"/>
          <w:sz w:val="16"/>
          <w:szCs w:val="16"/>
          <w:i w:val="1"/>
          <w:iCs w:val="1"/>
          <w:u w:val="single" w:color="auto"/>
          <w:color w:val="auto"/>
        </w:rPr>
        <w:t>www.sec.gov</w:t>
      </w:r>
      <w:r>
        <w:rPr>
          <w:rFonts w:ascii="Arial" w:cs="Arial" w:eastAsia="Arial" w:hAnsi="Arial"/>
          <w:sz w:val="16"/>
          <w:szCs w:val="16"/>
          <w:color w:val="auto"/>
        </w:rPr>
        <w:t xml:space="preserve"> and on our Web site at </w:t>
      </w:r>
      <w:r>
        <w:rPr>
          <w:rFonts w:ascii="Arial" w:cs="Arial" w:eastAsia="Arial" w:hAnsi="Arial"/>
          <w:sz w:val="16"/>
          <w:szCs w:val="16"/>
          <w:i w:val="1"/>
          <w:iCs w:val="1"/>
          <w:u w:val="single" w:color="auto"/>
          <w:color w:val="auto"/>
        </w:rPr>
        <w:t>www.comcast.com</w:t>
      </w:r>
      <w:r>
        <w:rPr>
          <w:rFonts w:ascii="Arial" w:cs="Arial" w:eastAsia="Arial" w:hAnsi="Arial"/>
          <w:sz w:val="16"/>
          <w:szCs w:val="16"/>
          <w:i w:val="1"/>
          <w:iCs w:val="1"/>
          <w:color w:val="auto"/>
        </w:rPr>
        <w:t xml:space="preserve"> </w:t>
      </w:r>
      <w:r>
        <w:rPr>
          <w:rFonts w:ascii="Arial" w:cs="Arial" w:eastAsia="Arial" w:hAnsi="Arial"/>
          <w:sz w:val="16"/>
          <w:szCs w:val="16"/>
          <w:color w:val="auto"/>
        </w:rPr>
        <w:t>as soon as reasonably practicable after such reports are electronically filed with the SEC. The information posted on our Web site is not</w:t>
      </w:r>
      <w:r>
        <w:rPr>
          <w:rFonts w:ascii="Arial" w:cs="Arial" w:eastAsia="Arial" w:hAnsi="Arial"/>
          <w:sz w:val="16"/>
          <w:szCs w:val="16"/>
          <w:i w:val="1"/>
          <w:iCs w:val="1"/>
          <w:color w:val="auto"/>
        </w:rPr>
        <w:t xml:space="preserve"> </w:t>
      </w:r>
      <w:r>
        <w:rPr>
          <w:rFonts w:ascii="Arial" w:cs="Arial" w:eastAsia="Arial" w:hAnsi="Arial"/>
          <w:sz w:val="16"/>
          <w:szCs w:val="16"/>
          <w:color w:val="auto"/>
        </w:rPr>
        <w:t>incorporated into our SEC filings.</w:t>
      </w:r>
    </w:p>
    <w:p>
      <w:pPr>
        <w:spacing w:after="0" w:line="105" w:lineRule="exact"/>
        <w:rPr>
          <w:sz w:val="20"/>
          <w:szCs w:val="20"/>
          <w:color w:val="auto"/>
        </w:rPr>
      </w:pPr>
    </w:p>
    <w:p>
      <w:pPr>
        <w:jc w:val="center"/>
        <w:ind w:right="-99"/>
        <w:spacing w:after="0"/>
        <w:rPr>
          <w:sz w:val="20"/>
          <w:szCs w:val="20"/>
          <w:color w:val="auto"/>
        </w:rPr>
      </w:pPr>
      <w:r>
        <w:rPr>
          <w:rFonts w:ascii="Arial" w:cs="Arial" w:eastAsia="Arial" w:hAnsi="Arial"/>
          <w:sz w:val="18"/>
          <w:szCs w:val="18"/>
          <w:color w:val="auto"/>
        </w:rPr>
        <w:t>1</w:t>
      </w:r>
    </w:p>
    <w:p>
      <w:pPr>
        <w:sectPr>
          <w:pgSz w:w="11900" w:h="16838" w:orient="portrait"/>
          <w:cols w:equalWidth="0" w:num="1">
            <w:col w:w="11340"/>
          </w:cols>
          <w:pgMar w:left="240" w:top="459" w:right="319" w:bottom="1440" w:gutter="0" w:footer="0" w:header="0"/>
        </w:sectPr>
      </w:pPr>
    </w:p>
    <w:bookmarkStart w:id="4" w:name="page5"/>
    <w:bookmarkEnd w:id="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center"/>
        <w:ind w:right="-79"/>
        <w:spacing w:after="0"/>
        <w:rPr>
          <w:sz w:val="20"/>
          <w:szCs w:val="20"/>
          <w:color w:val="auto"/>
        </w:rPr>
      </w:pPr>
      <w:r>
        <w:rPr>
          <w:rFonts w:ascii="Arial" w:cs="Arial" w:eastAsia="Arial" w:hAnsi="Arial"/>
          <w:sz w:val="18"/>
          <w:szCs w:val="18"/>
          <w:b w:val="1"/>
          <w:bCs w:val="1"/>
          <w:color w:val="auto"/>
        </w:rPr>
        <w:t>GENERAL DEVELOPMENTS OF OUR BUSINESSES</w:t>
      </w:r>
    </w:p>
    <w:p>
      <w:pPr>
        <w:spacing w:after="0" w:line="177" w:lineRule="exact"/>
        <w:rPr>
          <w:sz w:val="20"/>
          <w:szCs w:val="20"/>
          <w:color w:val="auto"/>
        </w:rPr>
      </w:pPr>
    </w:p>
    <w:p>
      <w:pPr>
        <w:ind w:firstLine="456"/>
        <w:spacing w:after="0" w:line="298" w:lineRule="auto"/>
        <w:rPr>
          <w:sz w:val="20"/>
          <w:szCs w:val="20"/>
          <w:color w:val="auto"/>
        </w:rPr>
      </w:pPr>
      <w:r>
        <w:rPr>
          <w:rFonts w:ascii="Arial" w:cs="Arial" w:eastAsia="Arial" w:hAnsi="Arial"/>
          <w:sz w:val="16"/>
          <w:szCs w:val="16"/>
          <w:color w:val="auto"/>
        </w:rPr>
        <w:t>We operate our businesses in an increasingly competitive, highly regulated and technologically complex environment. During 2006, we continued to focus on our strategy of growth in subscribers for our products and services. Our Cable business continued the deployment and marketing of our digital phone service (“Comcast Digital Voice”) and additional digital cable services, such as video on demand, which we refer to as “ON DEMAND,” Digital Video Recorder (“DVR”) and High Definition Television (“HDTV”). Our Programming business expanded its ownership and management of programming businesses.</w:t>
      </w:r>
    </w:p>
    <w:p>
      <w:pPr>
        <w:spacing w:after="0" w:line="113" w:lineRule="exact"/>
        <w:rPr>
          <w:sz w:val="20"/>
          <w:szCs w:val="20"/>
          <w:color w:val="auto"/>
        </w:rPr>
      </w:pPr>
    </w:p>
    <w:p>
      <w:pPr>
        <w:ind w:left="460"/>
        <w:spacing w:after="0"/>
        <w:rPr>
          <w:sz w:val="20"/>
          <w:szCs w:val="20"/>
          <w:color w:val="auto"/>
        </w:rPr>
      </w:pPr>
      <w:r>
        <w:rPr>
          <w:rFonts w:ascii="Arial" w:cs="Arial" w:eastAsia="Arial" w:hAnsi="Arial"/>
          <w:sz w:val="18"/>
          <w:szCs w:val="18"/>
          <w:color w:val="auto"/>
        </w:rPr>
        <w:t>The following are the more significant developments during 2006:</w:t>
      </w:r>
    </w:p>
    <w:p>
      <w:pPr>
        <w:spacing w:after="0" w:line="90" w:lineRule="exact"/>
        <w:rPr>
          <w:sz w:val="20"/>
          <w:szCs w:val="20"/>
          <w:color w:val="auto"/>
        </w:rPr>
      </w:pPr>
    </w:p>
    <w:p>
      <w:pPr>
        <w:ind w:left="900" w:right="120" w:hanging="446"/>
        <w:spacing w:after="0" w:line="298" w:lineRule="auto"/>
        <w:tabs>
          <w:tab w:leader="none" w:pos="900" w:val="left"/>
        </w:tabs>
        <w:numPr>
          <w:ilvl w:val="0"/>
          <w:numId w:val="3"/>
        </w:numPr>
        <w:rPr>
          <w:rFonts w:ascii="Arial" w:cs="Arial" w:eastAsia="Arial" w:hAnsi="Arial"/>
          <w:sz w:val="16"/>
          <w:szCs w:val="16"/>
          <w:color w:val="auto"/>
        </w:rPr>
      </w:pPr>
      <w:r>
        <w:rPr>
          <w:rFonts w:ascii="Arial" w:cs="Arial" w:eastAsia="Arial" w:hAnsi="Arial"/>
          <w:sz w:val="16"/>
          <w:szCs w:val="16"/>
          <w:color w:val="auto"/>
        </w:rPr>
        <w:t>completed transactions with Adelphia and Time Warner that resulted in a net increase of 1.7 million video subscribers, a net cash payment by us of approximately $1.5 billion and the disposition of our ownership interest in Time Warner Cable Inc. (“TWC”) and Time Warner Entertainment Company, L.P. (“TWE”), the assets of two cable system partnerships and the transfer of our previously owned cable systems in Los Angeles, Cleveland and Dallas. We collectively refer to these transactions as the “Adelphia and Time Warner transactions.”</w:t>
      </w:r>
    </w:p>
    <w:p>
      <w:pPr>
        <w:spacing w:after="0" w:line="31" w:lineRule="exact"/>
        <w:rPr>
          <w:rFonts w:ascii="Arial" w:cs="Arial" w:eastAsia="Arial" w:hAnsi="Arial"/>
          <w:sz w:val="16"/>
          <w:szCs w:val="16"/>
          <w:color w:val="auto"/>
        </w:rPr>
      </w:pPr>
    </w:p>
    <w:p>
      <w:pPr>
        <w:ind w:left="900" w:right="580" w:hanging="446"/>
        <w:spacing w:after="0" w:line="268" w:lineRule="auto"/>
        <w:tabs>
          <w:tab w:leader="none" w:pos="900" w:val="left"/>
        </w:tabs>
        <w:numPr>
          <w:ilvl w:val="0"/>
          <w:numId w:val="3"/>
        </w:numPr>
        <w:rPr>
          <w:rFonts w:ascii="Arial" w:cs="Arial" w:eastAsia="Arial" w:hAnsi="Arial"/>
          <w:sz w:val="18"/>
          <w:szCs w:val="18"/>
          <w:color w:val="auto"/>
        </w:rPr>
      </w:pPr>
      <w:r>
        <w:rPr>
          <w:rFonts w:ascii="Arial" w:cs="Arial" w:eastAsia="Arial" w:hAnsi="Arial"/>
          <w:sz w:val="18"/>
          <w:szCs w:val="18"/>
          <w:color w:val="auto"/>
        </w:rPr>
        <w:t>initiated the dissolution of the Texas and Kansas City Cable Partnership (“TKCCP”) that resulted in our acquisition of cable systems serving Houston, Texas (approximately 700,000 video subscribers) in January 2007</w:t>
      </w:r>
    </w:p>
    <w:p>
      <w:pPr>
        <w:spacing w:after="0" w:line="50" w:lineRule="exact"/>
        <w:rPr>
          <w:rFonts w:ascii="Arial" w:cs="Arial" w:eastAsia="Arial" w:hAnsi="Arial"/>
          <w:sz w:val="18"/>
          <w:szCs w:val="18"/>
          <w:color w:val="auto"/>
        </w:rPr>
      </w:pPr>
    </w:p>
    <w:p>
      <w:pPr>
        <w:ind w:left="900" w:hanging="446"/>
        <w:spacing w:after="0"/>
        <w:tabs>
          <w:tab w:leader="none" w:pos="900" w:val="left"/>
        </w:tabs>
        <w:numPr>
          <w:ilvl w:val="0"/>
          <w:numId w:val="3"/>
        </w:numPr>
        <w:rPr>
          <w:rFonts w:ascii="Arial" w:cs="Arial" w:eastAsia="Arial" w:hAnsi="Arial"/>
          <w:sz w:val="16"/>
          <w:szCs w:val="16"/>
          <w:color w:val="auto"/>
        </w:rPr>
      </w:pPr>
      <w:r>
        <w:rPr>
          <w:rFonts w:ascii="Arial" w:cs="Arial" w:eastAsia="Arial" w:hAnsi="Arial"/>
          <w:sz w:val="16"/>
          <w:szCs w:val="16"/>
          <w:color w:val="auto"/>
        </w:rPr>
        <w:t>acquired the cable systems of Susquehanna Communications serving approximately 200,000 video subscribers for approximately $775 million</w:t>
      </w:r>
    </w:p>
    <w:p>
      <w:pPr>
        <w:spacing w:after="0" w:line="113" w:lineRule="exact"/>
        <w:rPr>
          <w:rFonts w:ascii="Arial" w:cs="Arial" w:eastAsia="Arial" w:hAnsi="Arial"/>
          <w:sz w:val="16"/>
          <w:szCs w:val="16"/>
          <w:color w:val="auto"/>
        </w:rPr>
      </w:pPr>
    </w:p>
    <w:p>
      <w:pPr>
        <w:ind w:left="900" w:hanging="446"/>
        <w:spacing w:after="0" w:line="268" w:lineRule="auto"/>
        <w:tabs>
          <w:tab w:leader="none" w:pos="900" w:val="left"/>
        </w:tabs>
        <w:numPr>
          <w:ilvl w:val="0"/>
          <w:numId w:val="3"/>
        </w:numPr>
        <w:rPr>
          <w:rFonts w:ascii="Arial" w:cs="Arial" w:eastAsia="Arial" w:hAnsi="Arial"/>
          <w:sz w:val="18"/>
          <w:szCs w:val="18"/>
          <w:color w:val="auto"/>
        </w:rPr>
      </w:pPr>
      <w:r>
        <w:rPr>
          <w:rFonts w:ascii="Arial" w:cs="Arial" w:eastAsia="Arial" w:hAnsi="Arial"/>
          <w:sz w:val="18"/>
          <w:szCs w:val="18"/>
          <w:color w:val="auto"/>
        </w:rPr>
        <w:t>acquired the 39.5% interest in E! Entertainment Television (which operates the E! and Style programming networks) that we did not already own for approximately $1.2 billion</w:t>
      </w:r>
    </w:p>
    <w:p>
      <w:pPr>
        <w:spacing w:after="0" w:line="50" w:lineRule="exact"/>
        <w:rPr>
          <w:rFonts w:ascii="Arial" w:cs="Arial" w:eastAsia="Arial" w:hAnsi="Arial"/>
          <w:sz w:val="18"/>
          <w:szCs w:val="18"/>
          <w:color w:val="auto"/>
        </w:rPr>
      </w:pPr>
    </w:p>
    <w:p>
      <w:pPr>
        <w:ind w:left="900" w:right="40" w:hanging="446"/>
        <w:spacing w:after="0" w:line="268" w:lineRule="auto"/>
        <w:tabs>
          <w:tab w:leader="none" w:pos="900" w:val="left"/>
        </w:tabs>
        <w:numPr>
          <w:ilvl w:val="0"/>
          <w:numId w:val="3"/>
        </w:numPr>
        <w:rPr>
          <w:rFonts w:ascii="Arial" w:cs="Arial" w:eastAsia="Arial" w:hAnsi="Arial"/>
          <w:sz w:val="18"/>
          <w:szCs w:val="18"/>
          <w:color w:val="auto"/>
        </w:rPr>
      </w:pPr>
      <w:r>
        <w:rPr>
          <w:rFonts w:ascii="Arial" w:cs="Arial" w:eastAsia="Arial" w:hAnsi="Arial"/>
          <w:sz w:val="18"/>
          <w:szCs w:val="18"/>
          <w:color w:val="auto"/>
        </w:rPr>
        <w:t>participated in a consortium of investors (“SpectrumCo”) that acquired wireless spectrum licenses covering approximately 91% of the population in the United States for approximately $2.4 billion (our portion was $1.3 billion)</w:t>
      </w:r>
    </w:p>
    <w:p>
      <w:pPr>
        <w:spacing w:after="0" w:line="50" w:lineRule="exact"/>
        <w:rPr>
          <w:rFonts w:ascii="Arial" w:cs="Arial" w:eastAsia="Arial" w:hAnsi="Arial"/>
          <w:sz w:val="18"/>
          <w:szCs w:val="18"/>
          <w:color w:val="auto"/>
        </w:rPr>
      </w:pPr>
    </w:p>
    <w:p>
      <w:pPr>
        <w:ind w:left="900" w:right="380" w:hanging="446"/>
        <w:spacing w:after="0" w:line="268" w:lineRule="auto"/>
        <w:tabs>
          <w:tab w:leader="none" w:pos="900" w:val="left"/>
        </w:tabs>
        <w:numPr>
          <w:ilvl w:val="0"/>
          <w:numId w:val="3"/>
        </w:numPr>
        <w:rPr>
          <w:rFonts w:ascii="Arial" w:cs="Arial" w:eastAsia="Arial" w:hAnsi="Arial"/>
          <w:sz w:val="18"/>
          <w:szCs w:val="18"/>
          <w:color w:val="auto"/>
        </w:rPr>
      </w:pPr>
      <w:r>
        <w:rPr>
          <w:rFonts w:ascii="Arial" w:cs="Arial" w:eastAsia="Arial" w:hAnsi="Arial"/>
          <w:sz w:val="18"/>
          <w:szCs w:val="18"/>
          <w:color w:val="auto"/>
        </w:rPr>
        <w:t>repurchased approximately 113 million shares (adjusted to reflect the Stock Split) of our Class A Special common stock pursuant to our Board-authorized share repurchase program for approximately $2.3 billion</w:t>
      </w:r>
    </w:p>
    <w:p>
      <w:pPr>
        <w:spacing w:after="0" w:line="118" w:lineRule="exact"/>
        <w:rPr>
          <w:sz w:val="20"/>
          <w:szCs w:val="20"/>
          <w:color w:val="auto"/>
        </w:rPr>
      </w:pPr>
    </w:p>
    <w:p>
      <w:pPr>
        <w:jc w:val="center"/>
        <w:ind w:right="-79"/>
        <w:spacing w:after="0"/>
        <w:rPr>
          <w:sz w:val="20"/>
          <w:szCs w:val="20"/>
          <w:color w:val="auto"/>
        </w:rPr>
      </w:pPr>
      <w:r>
        <w:rPr>
          <w:rFonts w:ascii="Arial" w:cs="Arial" w:eastAsia="Arial" w:hAnsi="Arial"/>
          <w:sz w:val="18"/>
          <w:szCs w:val="18"/>
          <w:color w:val="auto"/>
        </w:rPr>
        <w:t>2</w:t>
      </w:r>
    </w:p>
    <w:p>
      <w:pPr>
        <w:sectPr>
          <w:pgSz w:w="11900" w:h="16838" w:orient="portrait"/>
          <w:cols w:equalWidth="0" w:num="1">
            <w:col w:w="11340"/>
          </w:cols>
          <w:pgMar w:left="240" w:top="459" w:right="319" w:bottom="1440" w:gutter="0" w:footer="0" w:header="0"/>
        </w:sectPr>
      </w:pPr>
    </w:p>
    <w:bookmarkStart w:id="5" w:name="page6"/>
    <w:bookmarkEnd w:id="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DESCRIPTION OF OUR BUSINESSES</w:t>
      </w:r>
    </w:p>
    <w:p>
      <w:pPr>
        <w:spacing w:after="0" w:line="17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Cable Segment</w:t>
      </w:r>
    </w:p>
    <w:p>
      <w:pPr>
        <w:spacing w:after="0" w:line="96" w:lineRule="exact"/>
        <w:rPr>
          <w:sz w:val="20"/>
          <w:szCs w:val="20"/>
          <w:color w:val="auto"/>
        </w:rPr>
      </w:pPr>
    </w:p>
    <w:p>
      <w:pPr>
        <w:ind w:right="420" w:firstLine="456"/>
        <w:spacing w:after="0" w:line="259" w:lineRule="auto"/>
        <w:rPr>
          <w:sz w:val="20"/>
          <w:szCs w:val="20"/>
          <w:color w:val="auto"/>
        </w:rPr>
      </w:pPr>
      <w:r>
        <w:rPr>
          <w:rFonts w:ascii="Arial" w:cs="Arial" w:eastAsia="Arial" w:hAnsi="Arial"/>
          <w:sz w:val="18"/>
          <w:szCs w:val="18"/>
          <w:color w:val="auto"/>
        </w:rPr>
        <w:t>The table below summarizes certain information for our cable operations as of December 31. In July 2006, we transferred our previously owned cable systems located in Los Angeles, Cleveland and Dallas (“Comcast Exchange Systems”) to Time Warner Cable. The information provided in the table below excludes the Comcast Exchange Systems for all dates presented.</w:t>
      </w:r>
    </w:p>
    <w:p>
      <w:pPr>
        <w:spacing w:after="0" w:line="176"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7540" w:type="dxa"/>
            <w:vAlign w:val="bottom"/>
          </w:tcPr>
          <w:p>
            <w:pPr>
              <w:spacing w:after="0"/>
              <w:rPr>
                <w:sz w:val="14"/>
                <w:szCs w:val="14"/>
                <w:color w:val="auto"/>
              </w:rPr>
            </w:pPr>
          </w:p>
        </w:tc>
        <w:tc>
          <w:tcPr>
            <w:tcW w:w="30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w w:val="83"/>
              </w:rPr>
              <w:t>2006</w:t>
            </w:r>
          </w:p>
        </w:tc>
        <w:tc>
          <w:tcPr>
            <w:tcW w:w="560" w:type="dxa"/>
            <w:vAlign w:val="bottom"/>
          </w:tcPr>
          <w:p>
            <w:pPr>
              <w:spacing w:after="0"/>
              <w:rPr>
                <w:sz w:val="14"/>
                <w:szCs w:val="14"/>
                <w:color w:val="auto"/>
              </w:rPr>
            </w:pPr>
          </w:p>
        </w:tc>
        <w:tc>
          <w:tcPr>
            <w:tcW w:w="32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w w:val="89"/>
              </w:rPr>
              <w:t>2005</w:t>
            </w:r>
          </w:p>
        </w:tc>
        <w:tc>
          <w:tcPr>
            <w:tcW w:w="540" w:type="dxa"/>
            <w:vAlign w:val="bottom"/>
          </w:tcPr>
          <w:p>
            <w:pPr>
              <w:spacing w:after="0"/>
              <w:rPr>
                <w:sz w:val="14"/>
                <w:szCs w:val="14"/>
                <w:color w:val="auto"/>
              </w:rPr>
            </w:pPr>
          </w:p>
        </w:tc>
        <w:tc>
          <w:tcPr>
            <w:tcW w:w="30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w w:val="83"/>
              </w:rPr>
              <w:t>2004</w:t>
            </w:r>
          </w:p>
        </w:tc>
        <w:tc>
          <w:tcPr>
            <w:tcW w:w="540" w:type="dxa"/>
            <w:vAlign w:val="bottom"/>
          </w:tcPr>
          <w:p>
            <w:pPr>
              <w:spacing w:after="0"/>
              <w:rPr>
                <w:sz w:val="14"/>
                <w:szCs w:val="14"/>
                <w:color w:val="auto"/>
              </w:rPr>
            </w:pPr>
          </w:p>
        </w:tc>
        <w:tc>
          <w:tcPr>
            <w:tcW w:w="32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w w:val="89"/>
              </w:rPr>
              <w:t>2003</w:t>
            </w:r>
          </w:p>
        </w:tc>
        <w:tc>
          <w:tcPr>
            <w:tcW w:w="540" w:type="dxa"/>
            <w:vAlign w:val="bottom"/>
          </w:tcPr>
          <w:p>
            <w:pPr>
              <w:spacing w:after="0"/>
              <w:rPr>
                <w:sz w:val="14"/>
                <w:szCs w:val="14"/>
                <w:color w:val="auto"/>
              </w:rPr>
            </w:pPr>
          </w:p>
        </w:tc>
        <w:tc>
          <w:tcPr>
            <w:tcW w:w="32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w w:val="89"/>
              </w:rPr>
              <w:t>2002</w:t>
            </w:r>
          </w:p>
        </w:tc>
        <w:tc>
          <w:tcPr>
            <w:tcW w:w="140" w:type="dxa"/>
            <w:vAlign w:val="bottom"/>
          </w:tcPr>
          <w:p>
            <w:pPr>
              <w:spacing w:after="0"/>
              <w:rPr>
                <w:sz w:val="14"/>
                <w:szCs w:val="14"/>
                <w:color w:val="auto"/>
              </w:rPr>
            </w:pPr>
          </w:p>
        </w:tc>
      </w:tr>
      <w:tr>
        <w:trPr>
          <w:trHeight w:val="210"/>
        </w:trPr>
        <w:tc>
          <w:tcPr>
            <w:tcW w:w="7540" w:type="dxa"/>
            <w:vAlign w:val="bottom"/>
            <w:shd w:val="clear" w:color="auto" w:fill="CCEEFF"/>
          </w:tcPr>
          <w:p>
            <w:pPr>
              <w:spacing w:after="0"/>
              <w:rPr>
                <w:sz w:val="20"/>
                <w:szCs w:val="20"/>
                <w:color w:val="auto"/>
              </w:rPr>
            </w:pPr>
            <w:r>
              <w:rPr>
                <w:rFonts w:ascii="Arial" w:cs="Arial" w:eastAsia="Arial" w:hAnsi="Arial"/>
                <w:sz w:val="18"/>
                <w:szCs w:val="18"/>
                <w:color w:val="auto"/>
              </w:rPr>
              <w:t>Homes and subscribers in millions:</w:t>
            </w:r>
          </w:p>
        </w:tc>
        <w:tc>
          <w:tcPr>
            <w:tcW w:w="30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r>
      <w:tr>
        <w:trPr>
          <w:trHeight w:val="216"/>
        </w:trPr>
        <w:tc>
          <w:tcPr>
            <w:tcW w:w="7540" w:type="dxa"/>
            <w:vAlign w:val="bottom"/>
          </w:tcPr>
          <w:p>
            <w:pPr>
              <w:spacing w:after="0"/>
              <w:rPr>
                <w:sz w:val="20"/>
                <w:szCs w:val="20"/>
                <w:color w:val="auto"/>
              </w:rPr>
            </w:pPr>
            <w:r>
              <w:rPr>
                <w:rFonts w:ascii="Arial" w:cs="Arial" w:eastAsia="Arial" w:hAnsi="Arial"/>
                <w:sz w:val="18"/>
                <w:szCs w:val="18"/>
                <w:color w:val="auto"/>
              </w:rPr>
              <w:t>Video</w:t>
            </w:r>
          </w:p>
        </w:tc>
        <w:tc>
          <w:tcPr>
            <w:tcW w:w="30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40" w:type="dxa"/>
            <w:vAlign w:val="bottom"/>
          </w:tcPr>
          <w:p>
            <w:pPr>
              <w:spacing w:after="0"/>
              <w:rPr>
                <w:sz w:val="18"/>
                <w:szCs w:val="18"/>
                <w:color w:val="auto"/>
              </w:rPr>
            </w:pPr>
          </w:p>
        </w:tc>
      </w:tr>
      <w:tr>
        <w:trPr>
          <w:trHeight w:val="216"/>
        </w:trPr>
        <w:tc>
          <w:tcPr>
            <w:tcW w:w="7540" w:type="dxa"/>
            <w:vAlign w:val="bottom"/>
            <w:shd w:val="clear" w:color="auto" w:fill="CCEEFF"/>
          </w:tcPr>
          <w:p>
            <w:pPr>
              <w:ind w:left="440"/>
              <w:spacing w:after="0" w:line="217" w:lineRule="exact"/>
              <w:rPr>
                <w:sz w:val="20"/>
                <w:szCs w:val="20"/>
                <w:color w:val="auto"/>
              </w:rPr>
            </w:pPr>
            <w:r>
              <w:rPr>
                <w:rFonts w:ascii="Arial" w:cs="Arial" w:eastAsia="Arial" w:hAnsi="Arial"/>
                <w:sz w:val="18"/>
                <w:szCs w:val="18"/>
                <w:color w:val="auto"/>
              </w:rPr>
              <w:t>Homes Passed</w:t>
            </w:r>
            <w:r>
              <w:rPr>
                <w:rFonts w:ascii="Arial" w:cs="Arial" w:eastAsia="Arial" w:hAnsi="Arial"/>
                <w:sz w:val="22"/>
                <w:szCs w:val="22"/>
                <w:color w:val="auto"/>
                <w:vertAlign w:val="superscript"/>
              </w:rPr>
              <w:t>(a)</w:t>
            </w:r>
          </w:p>
        </w:tc>
        <w:tc>
          <w:tcPr>
            <w:tcW w:w="30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w w:val="79"/>
              </w:rPr>
              <w:t>45.7</w:t>
            </w:r>
          </w:p>
        </w:tc>
        <w:tc>
          <w:tcPr>
            <w:tcW w:w="56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ind w:right="540"/>
              <w:spacing w:after="0"/>
              <w:rPr>
                <w:sz w:val="20"/>
                <w:szCs w:val="20"/>
                <w:color w:val="auto"/>
              </w:rPr>
            </w:pPr>
            <w:r>
              <w:rPr>
                <w:rFonts w:ascii="Arial" w:cs="Arial" w:eastAsia="Arial" w:hAnsi="Arial"/>
                <w:sz w:val="18"/>
                <w:szCs w:val="18"/>
                <w:color w:val="auto"/>
                <w:w w:val="85"/>
              </w:rPr>
              <w:t>38.6</w:t>
            </w:r>
          </w:p>
        </w:tc>
        <w:tc>
          <w:tcPr>
            <w:tcW w:w="840" w:type="dxa"/>
            <w:vAlign w:val="bottom"/>
            <w:gridSpan w:val="2"/>
            <w:shd w:val="clear" w:color="auto" w:fill="CCEEFF"/>
          </w:tcPr>
          <w:p>
            <w:pPr>
              <w:jc w:val="right"/>
              <w:ind w:right="540"/>
              <w:spacing w:after="0"/>
              <w:rPr>
                <w:sz w:val="20"/>
                <w:szCs w:val="20"/>
                <w:color w:val="auto"/>
              </w:rPr>
            </w:pPr>
            <w:r>
              <w:rPr>
                <w:rFonts w:ascii="Arial" w:cs="Arial" w:eastAsia="Arial" w:hAnsi="Arial"/>
                <w:sz w:val="18"/>
                <w:szCs w:val="18"/>
                <w:color w:val="auto"/>
                <w:w w:val="79"/>
              </w:rPr>
              <w:t>37.8</w:t>
            </w:r>
          </w:p>
        </w:tc>
        <w:tc>
          <w:tcPr>
            <w:tcW w:w="860" w:type="dxa"/>
            <w:vAlign w:val="bottom"/>
            <w:gridSpan w:val="2"/>
            <w:shd w:val="clear" w:color="auto" w:fill="CCEEFF"/>
          </w:tcPr>
          <w:p>
            <w:pPr>
              <w:jc w:val="right"/>
              <w:ind w:right="540"/>
              <w:spacing w:after="0"/>
              <w:rPr>
                <w:sz w:val="20"/>
                <w:szCs w:val="20"/>
                <w:color w:val="auto"/>
              </w:rPr>
            </w:pPr>
            <w:r>
              <w:rPr>
                <w:rFonts w:ascii="Arial" w:cs="Arial" w:eastAsia="Arial" w:hAnsi="Arial"/>
                <w:sz w:val="18"/>
                <w:szCs w:val="18"/>
                <w:color w:val="auto"/>
                <w:w w:val="85"/>
              </w:rPr>
              <w:t>36.9</w:t>
            </w:r>
          </w:p>
        </w:tc>
        <w:tc>
          <w:tcPr>
            <w:tcW w:w="46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w w:val="85"/>
              </w:rPr>
              <w:t>36.2</w:t>
            </w:r>
          </w:p>
        </w:tc>
      </w:tr>
      <w:tr>
        <w:trPr>
          <w:trHeight w:val="216"/>
        </w:trPr>
        <w:tc>
          <w:tcPr>
            <w:tcW w:w="7540" w:type="dxa"/>
            <w:vAlign w:val="bottom"/>
          </w:tcPr>
          <w:p>
            <w:pPr>
              <w:ind w:left="440"/>
              <w:spacing w:after="0" w:line="217" w:lineRule="exact"/>
              <w:rPr>
                <w:sz w:val="20"/>
                <w:szCs w:val="20"/>
                <w:color w:val="auto"/>
              </w:rPr>
            </w:pPr>
            <w:r>
              <w:rPr>
                <w:rFonts w:ascii="Arial" w:cs="Arial" w:eastAsia="Arial" w:hAnsi="Arial"/>
                <w:sz w:val="18"/>
                <w:szCs w:val="18"/>
                <w:color w:val="auto"/>
              </w:rPr>
              <w:t>Subscribers</w:t>
            </w:r>
            <w:r>
              <w:rPr>
                <w:rFonts w:ascii="Arial" w:cs="Arial" w:eastAsia="Arial" w:hAnsi="Arial"/>
                <w:sz w:val="22"/>
                <w:szCs w:val="22"/>
                <w:color w:val="auto"/>
                <w:vertAlign w:val="superscript"/>
              </w:rPr>
              <w:t>(b)</w:t>
            </w:r>
          </w:p>
        </w:tc>
        <w:tc>
          <w:tcPr>
            <w:tcW w:w="300" w:type="dxa"/>
            <w:vAlign w:val="bottom"/>
          </w:tcPr>
          <w:p>
            <w:pPr>
              <w:jc w:val="right"/>
              <w:spacing w:after="0"/>
              <w:rPr>
                <w:sz w:val="20"/>
                <w:szCs w:val="20"/>
                <w:color w:val="auto"/>
              </w:rPr>
            </w:pPr>
            <w:r>
              <w:rPr>
                <w:rFonts w:ascii="Arial" w:cs="Arial" w:eastAsia="Arial" w:hAnsi="Arial"/>
                <w:sz w:val="18"/>
                <w:szCs w:val="18"/>
                <w:b w:val="1"/>
                <w:bCs w:val="1"/>
                <w:color w:val="auto"/>
                <w:w w:val="79"/>
              </w:rPr>
              <w:t>23.4</w:t>
            </w:r>
          </w:p>
        </w:tc>
        <w:tc>
          <w:tcPr>
            <w:tcW w:w="560" w:type="dxa"/>
            <w:vAlign w:val="bottom"/>
          </w:tcPr>
          <w:p>
            <w:pPr>
              <w:spacing w:after="0"/>
              <w:rPr>
                <w:sz w:val="18"/>
                <w:szCs w:val="18"/>
                <w:color w:val="auto"/>
              </w:rPr>
            </w:pPr>
          </w:p>
        </w:tc>
        <w:tc>
          <w:tcPr>
            <w:tcW w:w="860" w:type="dxa"/>
            <w:vAlign w:val="bottom"/>
            <w:gridSpan w:val="2"/>
          </w:tcPr>
          <w:p>
            <w:pPr>
              <w:jc w:val="right"/>
              <w:ind w:right="540"/>
              <w:spacing w:after="0"/>
              <w:rPr>
                <w:sz w:val="20"/>
                <w:szCs w:val="20"/>
                <w:color w:val="auto"/>
              </w:rPr>
            </w:pPr>
            <w:r>
              <w:rPr>
                <w:rFonts w:ascii="Arial" w:cs="Arial" w:eastAsia="Arial" w:hAnsi="Arial"/>
                <w:sz w:val="18"/>
                <w:szCs w:val="18"/>
                <w:color w:val="auto"/>
                <w:w w:val="85"/>
              </w:rPr>
              <w:t>20.3</w:t>
            </w:r>
          </w:p>
        </w:tc>
        <w:tc>
          <w:tcPr>
            <w:tcW w:w="840" w:type="dxa"/>
            <w:vAlign w:val="bottom"/>
            <w:gridSpan w:val="2"/>
          </w:tcPr>
          <w:p>
            <w:pPr>
              <w:jc w:val="right"/>
              <w:ind w:right="540"/>
              <w:spacing w:after="0"/>
              <w:rPr>
                <w:sz w:val="20"/>
                <w:szCs w:val="20"/>
                <w:color w:val="auto"/>
              </w:rPr>
            </w:pPr>
            <w:r>
              <w:rPr>
                <w:rFonts w:ascii="Arial" w:cs="Arial" w:eastAsia="Arial" w:hAnsi="Arial"/>
                <w:sz w:val="18"/>
                <w:szCs w:val="18"/>
                <w:color w:val="auto"/>
                <w:w w:val="79"/>
              </w:rPr>
              <w:t>20.5</w:t>
            </w:r>
          </w:p>
        </w:tc>
        <w:tc>
          <w:tcPr>
            <w:tcW w:w="860" w:type="dxa"/>
            <w:vAlign w:val="bottom"/>
            <w:gridSpan w:val="2"/>
          </w:tcPr>
          <w:p>
            <w:pPr>
              <w:jc w:val="right"/>
              <w:ind w:right="540"/>
              <w:spacing w:after="0"/>
              <w:rPr>
                <w:sz w:val="20"/>
                <w:szCs w:val="20"/>
                <w:color w:val="auto"/>
              </w:rPr>
            </w:pPr>
            <w:r>
              <w:rPr>
                <w:rFonts w:ascii="Arial" w:cs="Arial" w:eastAsia="Arial" w:hAnsi="Arial"/>
                <w:sz w:val="18"/>
                <w:szCs w:val="18"/>
                <w:color w:val="auto"/>
                <w:w w:val="85"/>
              </w:rPr>
              <w:t>20.4</w:t>
            </w:r>
          </w:p>
        </w:tc>
        <w:tc>
          <w:tcPr>
            <w:tcW w:w="460" w:type="dxa"/>
            <w:vAlign w:val="bottom"/>
            <w:gridSpan w:val="2"/>
          </w:tcPr>
          <w:p>
            <w:pPr>
              <w:jc w:val="right"/>
              <w:ind w:right="140"/>
              <w:spacing w:after="0"/>
              <w:rPr>
                <w:sz w:val="20"/>
                <w:szCs w:val="20"/>
                <w:color w:val="auto"/>
              </w:rPr>
            </w:pPr>
            <w:r>
              <w:rPr>
                <w:rFonts w:ascii="Arial" w:cs="Arial" w:eastAsia="Arial" w:hAnsi="Arial"/>
                <w:sz w:val="18"/>
                <w:szCs w:val="18"/>
                <w:color w:val="auto"/>
                <w:w w:val="85"/>
              </w:rPr>
              <w:t>20.2</w:t>
            </w:r>
          </w:p>
        </w:tc>
      </w:tr>
      <w:tr>
        <w:trPr>
          <w:trHeight w:val="216"/>
        </w:trPr>
        <w:tc>
          <w:tcPr>
            <w:tcW w:w="7540" w:type="dxa"/>
            <w:vAlign w:val="bottom"/>
            <w:shd w:val="clear" w:color="auto" w:fill="CCEEFF"/>
          </w:tcPr>
          <w:p>
            <w:pPr>
              <w:ind w:left="440"/>
              <w:spacing w:after="0"/>
              <w:rPr>
                <w:sz w:val="20"/>
                <w:szCs w:val="20"/>
                <w:color w:val="auto"/>
              </w:rPr>
            </w:pPr>
            <w:r>
              <w:rPr>
                <w:rFonts w:ascii="Arial" w:cs="Arial" w:eastAsia="Arial" w:hAnsi="Arial"/>
                <w:sz w:val="18"/>
                <w:szCs w:val="18"/>
                <w:color w:val="auto"/>
              </w:rPr>
              <w:t>Penetration</w:t>
            </w:r>
          </w:p>
        </w:tc>
        <w:tc>
          <w:tcPr>
            <w:tcW w:w="860" w:type="dxa"/>
            <w:vAlign w:val="bottom"/>
            <w:gridSpan w:val="2"/>
            <w:shd w:val="clear" w:color="auto" w:fill="CCEEFF"/>
          </w:tcPr>
          <w:p>
            <w:pPr>
              <w:jc w:val="right"/>
              <w:ind w:right="380"/>
              <w:spacing w:after="0"/>
              <w:rPr>
                <w:sz w:val="20"/>
                <w:szCs w:val="20"/>
                <w:color w:val="auto"/>
              </w:rPr>
            </w:pPr>
            <w:r>
              <w:rPr>
                <w:rFonts w:ascii="Arial" w:cs="Arial" w:eastAsia="Arial" w:hAnsi="Arial"/>
                <w:sz w:val="18"/>
                <w:szCs w:val="18"/>
                <w:b w:val="1"/>
                <w:bCs w:val="1"/>
                <w:color w:val="auto"/>
                <w:w w:val="90"/>
              </w:rPr>
              <w:t>51.3%</w:t>
            </w:r>
          </w:p>
        </w:tc>
        <w:tc>
          <w:tcPr>
            <w:tcW w:w="860" w:type="dxa"/>
            <w:vAlign w:val="bottom"/>
            <w:gridSpan w:val="2"/>
            <w:shd w:val="clear" w:color="auto" w:fill="CCEEFF"/>
          </w:tcPr>
          <w:p>
            <w:pPr>
              <w:jc w:val="right"/>
              <w:ind w:right="400"/>
              <w:spacing w:after="0"/>
              <w:rPr>
                <w:sz w:val="20"/>
                <w:szCs w:val="20"/>
                <w:color w:val="auto"/>
              </w:rPr>
            </w:pPr>
            <w:r>
              <w:rPr>
                <w:rFonts w:ascii="Arial" w:cs="Arial" w:eastAsia="Arial" w:hAnsi="Arial"/>
                <w:sz w:val="18"/>
                <w:szCs w:val="18"/>
                <w:color w:val="auto"/>
                <w:w w:val="86"/>
              </w:rPr>
              <w:t>52.7%</w:t>
            </w:r>
          </w:p>
        </w:tc>
        <w:tc>
          <w:tcPr>
            <w:tcW w:w="840" w:type="dxa"/>
            <w:vAlign w:val="bottom"/>
            <w:gridSpan w:val="2"/>
            <w:shd w:val="clear" w:color="auto" w:fill="CCEEFF"/>
          </w:tcPr>
          <w:p>
            <w:pPr>
              <w:jc w:val="right"/>
              <w:ind w:right="380"/>
              <w:spacing w:after="0"/>
              <w:rPr>
                <w:sz w:val="20"/>
                <w:szCs w:val="20"/>
                <w:color w:val="auto"/>
              </w:rPr>
            </w:pPr>
            <w:r>
              <w:rPr>
                <w:rFonts w:ascii="Arial" w:cs="Arial" w:eastAsia="Arial" w:hAnsi="Arial"/>
                <w:sz w:val="18"/>
                <w:szCs w:val="18"/>
                <w:color w:val="auto"/>
                <w:w w:val="86"/>
              </w:rPr>
              <w:t>54.1%</w:t>
            </w:r>
          </w:p>
        </w:tc>
        <w:tc>
          <w:tcPr>
            <w:tcW w:w="860" w:type="dxa"/>
            <w:vAlign w:val="bottom"/>
            <w:gridSpan w:val="2"/>
            <w:shd w:val="clear" w:color="auto" w:fill="CCEEFF"/>
          </w:tcPr>
          <w:p>
            <w:pPr>
              <w:jc w:val="right"/>
              <w:ind w:right="400"/>
              <w:spacing w:after="0"/>
              <w:rPr>
                <w:sz w:val="20"/>
                <w:szCs w:val="20"/>
                <w:color w:val="auto"/>
              </w:rPr>
            </w:pPr>
            <w:r>
              <w:rPr>
                <w:rFonts w:ascii="Arial" w:cs="Arial" w:eastAsia="Arial" w:hAnsi="Arial"/>
                <w:sz w:val="18"/>
                <w:szCs w:val="18"/>
                <w:color w:val="auto"/>
                <w:w w:val="86"/>
              </w:rPr>
              <w:t>55.1%</w:t>
            </w:r>
          </w:p>
        </w:tc>
        <w:tc>
          <w:tcPr>
            <w:tcW w:w="4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w w:val="86"/>
              </w:rPr>
              <w:t>55.9%</w:t>
            </w:r>
          </w:p>
        </w:tc>
      </w:tr>
      <w:tr>
        <w:trPr>
          <w:trHeight w:val="216"/>
        </w:trPr>
        <w:tc>
          <w:tcPr>
            <w:tcW w:w="7540" w:type="dxa"/>
            <w:vAlign w:val="bottom"/>
          </w:tcPr>
          <w:p>
            <w:pPr>
              <w:spacing w:after="0"/>
              <w:rPr>
                <w:sz w:val="20"/>
                <w:szCs w:val="20"/>
                <w:color w:val="auto"/>
              </w:rPr>
            </w:pPr>
            <w:r>
              <w:rPr>
                <w:rFonts w:ascii="Arial" w:cs="Arial" w:eastAsia="Arial" w:hAnsi="Arial"/>
                <w:sz w:val="18"/>
                <w:szCs w:val="18"/>
                <w:color w:val="auto"/>
              </w:rPr>
              <w:t>Digital Cable</w:t>
            </w:r>
          </w:p>
        </w:tc>
        <w:tc>
          <w:tcPr>
            <w:tcW w:w="30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40" w:type="dxa"/>
            <w:vAlign w:val="bottom"/>
          </w:tcPr>
          <w:p>
            <w:pPr>
              <w:spacing w:after="0"/>
              <w:rPr>
                <w:sz w:val="18"/>
                <w:szCs w:val="18"/>
                <w:color w:val="auto"/>
              </w:rPr>
            </w:pPr>
          </w:p>
        </w:tc>
      </w:tr>
      <w:tr>
        <w:trPr>
          <w:trHeight w:val="216"/>
        </w:trPr>
        <w:tc>
          <w:tcPr>
            <w:tcW w:w="7540" w:type="dxa"/>
            <w:vAlign w:val="bottom"/>
            <w:shd w:val="clear" w:color="auto" w:fill="CCEEFF"/>
          </w:tcPr>
          <w:p>
            <w:pPr>
              <w:ind w:left="440"/>
              <w:spacing w:after="0" w:line="217" w:lineRule="exact"/>
              <w:rPr>
                <w:sz w:val="20"/>
                <w:szCs w:val="20"/>
                <w:color w:val="auto"/>
              </w:rPr>
            </w:pPr>
            <w:r>
              <w:rPr>
                <w:rFonts w:ascii="Arial" w:cs="Arial" w:eastAsia="Arial" w:hAnsi="Arial"/>
                <w:sz w:val="18"/>
                <w:szCs w:val="18"/>
                <w:color w:val="auto"/>
              </w:rPr>
              <w:t>Subscribers</w:t>
            </w:r>
            <w:r>
              <w:rPr>
                <w:rFonts w:ascii="Arial" w:cs="Arial" w:eastAsia="Arial" w:hAnsi="Arial"/>
                <w:sz w:val="22"/>
                <w:szCs w:val="22"/>
                <w:color w:val="auto"/>
                <w:vertAlign w:val="superscript"/>
              </w:rPr>
              <w:t>(c)</w:t>
            </w:r>
          </w:p>
        </w:tc>
        <w:tc>
          <w:tcPr>
            <w:tcW w:w="30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w w:val="79"/>
              </w:rPr>
              <w:t>12.1</w:t>
            </w:r>
          </w:p>
        </w:tc>
        <w:tc>
          <w:tcPr>
            <w:tcW w:w="56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ind w:right="540"/>
              <w:spacing w:after="0"/>
              <w:rPr>
                <w:sz w:val="20"/>
                <w:szCs w:val="20"/>
                <w:color w:val="auto"/>
              </w:rPr>
            </w:pPr>
            <w:r>
              <w:rPr>
                <w:rFonts w:ascii="Arial" w:cs="Arial" w:eastAsia="Arial" w:hAnsi="Arial"/>
                <w:sz w:val="18"/>
                <w:szCs w:val="18"/>
                <w:color w:val="auto"/>
              </w:rPr>
              <w:t>9.1</w:t>
            </w:r>
          </w:p>
        </w:tc>
        <w:tc>
          <w:tcPr>
            <w:tcW w:w="840" w:type="dxa"/>
            <w:vAlign w:val="bottom"/>
            <w:gridSpan w:val="2"/>
            <w:shd w:val="clear" w:color="auto" w:fill="CCEEFF"/>
          </w:tcPr>
          <w:p>
            <w:pPr>
              <w:jc w:val="right"/>
              <w:ind w:right="540"/>
              <w:spacing w:after="0"/>
              <w:rPr>
                <w:sz w:val="20"/>
                <w:szCs w:val="20"/>
                <w:color w:val="auto"/>
              </w:rPr>
            </w:pPr>
            <w:r>
              <w:rPr>
                <w:rFonts w:ascii="Arial" w:cs="Arial" w:eastAsia="Arial" w:hAnsi="Arial"/>
                <w:sz w:val="18"/>
                <w:szCs w:val="18"/>
                <w:color w:val="auto"/>
              </w:rPr>
              <w:t>8.1</w:t>
            </w:r>
          </w:p>
        </w:tc>
        <w:tc>
          <w:tcPr>
            <w:tcW w:w="860" w:type="dxa"/>
            <w:vAlign w:val="bottom"/>
            <w:gridSpan w:val="2"/>
            <w:shd w:val="clear" w:color="auto" w:fill="CCEEFF"/>
          </w:tcPr>
          <w:p>
            <w:pPr>
              <w:jc w:val="right"/>
              <w:ind w:right="540"/>
              <w:spacing w:after="0"/>
              <w:rPr>
                <w:sz w:val="20"/>
                <w:szCs w:val="20"/>
                <w:color w:val="auto"/>
              </w:rPr>
            </w:pPr>
            <w:r>
              <w:rPr>
                <w:rFonts w:ascii="Arial" w:cs="Arial" w:eastAsia="Arial" w:hAnsi="Arial"/>
                <w:sz w:val="18"/>
                <w:szCs w:val="18"/>
                <w:color w:val="auto"/>
              </w:rPr>
              <w:t>7.1</w:t>
            </w:r>
          </w:p>
        </w:tc>
        <w:tc>
          <w:tcPr>
            <w:tcW w:w="46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6.2</w:t>
            </w:r>
          </w:p>
        </w:tc>
      </w:tr>
      <w:tr>
        <w:trPr>
          <w:trHeight w:val="216"/>
        </w:trPr>
        <w:tc>
          <w:tcPr>
            <w:tcW w:w="7540" w:type="dxa"/>
            <w:vAlign w:val="bottom"/>
          </w:tcPr>
          <w:p>
            <w:pPr>
              <w:ind w:left="440"/>
              <w:spacing w:after="0"/>
              <w:rPr>
                <w:sz w:val="20"/>
                <w:szCs w:val="20"/>
                <w:color w:val="auto"/>
              </w:rPr>
            </w:pPr>
            <w:r>
              <w:rPr>
                <w:rFonts w:ascii="Arial" w:cs="Arial" w:eastAsia="Arial" w:hAnsi="Arial"/>
                <w:sz w:val="18"/>
                <w:szCs w:val="18"/>
                <w:color w:val="auto"/>
              </w:rPr>
              <w:t>Penetration</w:t>
            </w:r>
          </w:p>
        </w:tc>
        <w:tc>
          <w:tcPr>
            <w:tcW w:w="860" w:type="dxa"/>
            <w:vAlign w:val="bottom"/>
            <w:gridSpan w:val="2"/>
          </w:tcPr>
          <w:p>
            <w:pPr>
              <w:jc w:val="right"/>
              <w:ind w:right="380"/>
              <w:spacing w:after="0"/>
              <w:rPr>
                <w:sz w:val="20"/>
                <w:szCs w:val="20"/>
                <w:color w:val="auto"/>
              </w:rPr>
            </w:pPr>
            <w:r>
              <w:rPr>
                <w:rFonts w:ascii="Arial" w:cs="Arial" w:eastAsia="Arial" w:hAnsi="Arial"/>
                <w:sz w:val="18"/>
                <w:szCs w:val="18"/>
                <w:b w:val="1"/>
                <w:bCs w:val="1"/>
                <w:color w:val="auto"/>
                <w:w w:val="90"/>
              </w:rPr>
              <w:t>51.9%</w:t>
            </w:r>
          </w:p>
        </w:tc>
        <w:tc>
          <w:tcPr>
            <w:tcW w:w="860" w:type="dxa"/>
            <w:vAlign w:val="bottom"/>
            <w:gridSpan w:val="2"/>
          </w:tcPr>
          <w:p>
            <w:pPr>
              <w:jc w:val="right"/>
              <w:ind w:right="400"/>
              <w:spacing w:after="0"/>
              <w:rPr>
                <w:sz w:val="20"/>
                <w:szCs w:val="20"/>
                <w:color w:val="auto"/>
              </w:rPr>
            </w:pPr>
            <w:r>
              <w:rPr>
                <w:rFonts w:ascii="Arial" w:cs="Arial" w:eastAsia="Arial" w:hAnsi="Arial"/>
                <w:sz w:val="18"/>
                <w:szCs w:val="18"/>
                <w:color w:val="auto"/>
                <w:w w:val="86"/>
              </w:rPr>
              <w:t>44.8%</w:t>
            </w:r>
          </w:p>
        </w:tc>
        <w:tc>
          <w:tcPr>
            <w:tcW w:w="840" w:type="dxa"/>
            <w:vAlign w:val="bottom"/>
            <w:gridSpan w:val="2"/>
          </w:tcPr>
          <w:p>
            <w:pPr>
              <w:jc w:val="right"/>
              <w:ind w:right="380"/>
              <w:spacing w:after="0"/>
              <w:rPr>
                <w:sz w:val="20"/>
                <w:szCs w:val="20"/>
                <w:color w:val="auto"/>
              </w:rPr>
            </w:pPr>
            <w:r>
              <w:rPr>
                <w:rFonts w:ascii="Arial" w:cs="Arial" w:eastAsia="Arial" w:hAnsi="Arial"/>
                <w:sz w:val="18"/>
                <w:szCs w:val="18"/>
                <w:color w:val="auto"/>
                <w:w w:val="86"/>
              </w:rPr>
              <w:t>39.4%</w:t>
            </w:r>
          </w:p>
        </w:tc>
        <w:tc>
          <w:tcPr>
            <w:tcW w:w="860" w:type="dxa"/>
            <w:vAlign w:val="bottom"/>
            <w:gridSpan w:val="2"/>
          </w:tcPr>
          <w:p>
            <w:pPr>
              <w:jc w:val="right"/>
              <w:ind w:right="400"/>
              <w:spacing w:after="0"/>
              <w:rPr>
                <w:sz w:val="20"/>
                <w:szCs w:val="20"/>
                <w:color w:val="auto"/>
              </w:rPr>
            </w:pPr>
            <w:r>
              <w:rPr>
                <w:rFonts w:ascii="Arial" w:cs="Arial" w:eastAsia="Arial" w:hAnsi="Arial"/>
                <w:sz w:val="18"/>
                <w:szCs w:val="18"/>
                <w:color w:val="auto"/>
                <w:w w:val="86"/>
              </w:rPr>
              <w:t>35.1%</w:t>
            </w:r>
          </w:p>
        </w:tc>
        <w:tc>
          <w:tcPr>
            <w:tcW w:w="460" w:type="dxa"/>
            <w:vAlign w:val="bottom"/>
            <w:gridSpan w:val="2"/>
          </w:tcPr>
          <w:p>
            <w:pPr>
              <w:jc w:val="right"/>
              <w:spacing w:after="0"/>
              <w:rPr>
                <w:sz w:val="20"/>
                <w:szCs w:val="20"/>
                <w:color w:val="auto"/>
              </w:rPr>
            </w:pPr>
            <w:r>
              <w:rPr>
                <w:rFonts w:ascii="Arial" w:cs="Arial" w:eastAsia="Arial" w:hAnsi="Arial"/>
                <w:sz w:val="18"/>
                <w:szCs w:val="18"/>
                <w:color w:val="auto"/>
                <w:w w:val="86"/>
              </w:rPr>
              <w:t>30.6%</w:t>
            </w:r>
          </w:p>
        </w:tc>
      </w:tr>
      <w:tr>
        <w:trPr>
          <w:trHeight w:val="216"/>
        </w:trPr>
        <w:tc>
          <w:tcPr>
            <w:tcW w:w="7540" w:type="dxa"/>
            <w:vAlign w:val="bottom"/>
            <w:shd w:val="clear" w:color="auto" w:fill="CCEEFF"/>
          </w:tcPr>
          <w:p>
            <w:pPr>
              <w:spacing w:after="0"/>
              <w:rPr>
                <w:sz w:val="20"/>
                <w:szCs w:val="20"/>
                <w:color w:val="auto"/>
              </w:rPr>
            </w:pPr>
            <w:r>
              <w:rPr>
                <w:rFonts w:ascii="Arial" w:cs="Arial" w:eastAsia="Arial" w:hAnsi="Arial"/>
                <w:sz w:val="18"/>
                <w:szCs w:val="18"/>
                <w:color w:val="auto"/>
              </w:rPr>
              <w:t>High-Speed Internet</w:t>
            </w:r>
          </w:p>
        </w:tc>
        <w:tc>
          <w:tcPr>
            <w:tcW w:w="30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r>
      <w:tr>
        <w:trPr>
          <w:trHeight w:val="216"/>
        </w:trPr>
        <w:tc>
          <w:tcPr>
            <w:tcW w:w="7540" w:type="dxa"/>
            <w:vAlign w:val="bottom"/>
          </w:tcPr>
          <w:p>
            <w:pPr>
              <w:ind w:left="440"/>
              <w:spacing w:after="0" w:line="217" w:lineRule="exact"/>
              <w:rPr>
                <w:sz w:val="20"/>
                <w:szCs w:val="20"/>
                <w:color w:val="auto"/>
              </w:rPr>
            </w:pPr>
            <w:r>
              <w:rPr>
                <w:rFonts w:ascii="Arial" w:cs="Arial" w:eastAsia="Arial" w:hAnsi="Arial"/>
                <w:sz w:val="18"/>
                <w:szCs w:val="18"/>
                <w:color w:val="auto"/>
              </w:rPr>
              <w:t>“Available” Homes</w:t>
            </w:r>
            <w:r>
              <w:rPr>
                <w:rFonts w:ascii="Arial" w:cs="Arial" w:eastAsia="Arial" w:hAnsi="Arial"/>
                <w:sz w:val="22"/>
                <w:szCs w:val="22"/>
                <w:color w:val="auto"/>
                <w:vertAlign w:val="superscript"/>
              </w:rPr>
              <w:t>(d)</w:t>
            </w:r>
          </w:p>
        </w:tc>
        <w:tc>
          <w:tcPr>
            <w:tcW w:w="300" w:type="dxa"/>
            <w:vAlign w:val="bottom"/>
          </w:tcPr>
          <w:p>
            <w:pPr>
              <w:jc w:val="right"/>
              <w:spacing w:after="0"/>
              <w:rPr>
                <w:sz w:val="20"/>
                <w:szCs w:val="20"/>
                <w:color w:val="auto"/>
              </w:rPr>
            </w:pPr>
            <w:r>
              <w:rPr>
                <w:rFonts w:ascii="Arial" w:cs="Arial" w:eastAsia="Arial" w:hAnsi="Arial"/>
                <w:sz w:val="18"/>
                <w:szCs w:val="18"/>
                <w:b w:val="1"/>
                <w:bCs w:val="1"/>
                <w:color w:val="auto"/>
                <w:w w:val="79"/>
              </w:rPr>
              <w:t>45.2</w:t>
            </w:r>
          </w:p>
        </w:tc>
        <w:tc>
          <w:tcPr>
            <w:tcW w:w="560" w:type="dxa"/>
            <w:vAlign w:val="bottom"/>
          </w:tcPr>
          <w:p>
            <w:pPr>
              <w:spacing w:after="0"/>
              <w:rPr>
                <w:sz w:val="18"/>
                <w:szCs w:val="18"/>
                <w:color w:val="auto"/>
              </w:rPr>
            </w:pPr>
          </w:p>
        </w:tc>
        <w:tc>
          <w:tcPr>
            <w:tcW w:w="860" w:type="dxa"/>
            <w:vAlign w:val="bottom"/>
            <w:gridSpan w:val="2"/>
          </w:tcPr>
          <w:p>
            <w:pPr>
              <w:jc w:val="right"/>
              <w:ind w:right="540"/>
              <w:spacing w:after="0"/>
              <w:rPr>
                <w:sz w:val="20"/>
                <w:szCs w:val="20"/>
                <w:color w:val="auto"/>
              </w:rPr>
            </w:pPr>
            <w:r>
              <w:rPr>
                <w:rFonts w:ascii="Arial" w:cs="Arial" w:eastAsia="Arial" w:hAnsi="Arial"/>
                <w:sz w:val="18"/>
                <w:szCs w:val="18"/>
                <w:color w:val="auto"/>
                <w:w w:val="85"/>
              </w:rPr>
              <w:t>38.2</w:t>
            </w:r>
          </w:p>
        </w:tc>
        <w:tc>
          <w:tcPr>
            <w:tcW w:w="840" w:type="dxa"/>
            <w:vAlign w:val="bottom"/>
            <w:gridSpan w:val="2"/>
          </w:tcPr>
          <w:p>
            <w:pPr>
              <w:jc w:val="right"/>
              <w:ind w:right="540"/>
              <w:spacing w:after="0"/>
              <w:rPr>
                <w:sz w:val="20"/>
                <w:szCs w:val="20"/>
                <w:color w:val="auto"/>
              </w:rPr>
            </w:pPr>
            <w:r>
              <w:rPr>
                <w:rFonts w:ascii="Arial" w:cs="Arial" w:eastAsia="Arial" w:hAnsi="Arial"/>
                <w:sz w:val="18"/>
                <w:szCs w:val="18"/>
                <w:color w:val="auto"/>
                <w:w w:val="79"/>
              </w:rPr>
              <w:t>37.1</w:t>
            </w:r>
          </w:p>
        </w:tc>
        <w:tc>
          <w:tcPr>
            <w:tcW w:w="860" w:type="dxa"/>
            <w:vAlign w:val="bottom"/>
            <w:gridSpan w:val="2"/>
          </w:tcPr>
          <w:p>
            <w:pPr>
              <w:jc w:val="right"/>
              <w:ind w:right="540"/>
              <w:spacing w:after="0"/>
              <w:rPr>
                <w:sz w:val="20"/>
                <w:szCs w:val="20"/>
                <w:color w:val="auto"/>
              </w:rPr>
            </w:pPr>
            <w:r>
              <w:rPr>
                <w:rFonts w:ascii="Arial" w:cs="Arial" w:eastAsia="Arial" w:hAnsi="Arial"/>
                <w:sz w:val="18"/>
                <w:szCs w:val="18"/>
                <w:color w:val="auto"/>
                <w:w w:val="85"/>
              </w:rPr>
              <w:t>32.2</w:t>
            </w:r>
          </w:p>
        </w:tc>
        <w:tc>
          <w:tcPr>
            <w:tcW w:w="460" w:type="dxa"/>
            <w:vAlign w:val="bottom"/>
            <w:gridSpan w:val="2"/>
          </w:tcPr>
          <w:p>
            <w:pPr>
              <w:jc w:val="right"/>
              <w:ind w:right="140"/>
              <w:spacing w:after="0"/>
              <w:rPr>
                <w:sz w:val="20"/>
                <w:szCs w:val="20"/>
                <w:color w:val="auto"/>
              </w:rPr>
            </w:pPr>
            <w:r>
              <w:rPr>
                <w:rFonts w:ascii="Arial" w:cs="Arial" w:eastAsia="Arial" w:hAnsi="Arial"/>
                <w:sz w:val="18"/>
                <w:szCs w:val="18"/>
                <w:color w:val="auto"/>
                <w:w w:val="85"/>
              </w:rPr>
              <w:t>30.1</w:t>
            </w:r>
          </w:p>
        </w:tc>
      </w:tr>
      <w:tr>
        <w:trPr>
          <w:trHeight w:val="216"/>
        </w:trPr>
        <w:tc>
          <w:tcPr>
            <w:tcW w:w="7540" w:type="dxa"/>
            <w:vAlign w:val="bottom"/>
            <w:shd w:val="clear" w:color="auto" w:fill="CCEEFF"/>
          </w:tcPr>
          <w:p>
            <w:pPr>
              <w:ind w:left="440"/>
              <w:spacing w:after="0"/>
              <w:rPr>
                <w:sz w:val="20"/>
                <w:szCs w:val="20"/>
                <w:color w:val="auto"/>
              </w:rPr>
            </w:pPr>
            <w:r>
              <w:rPr>
                <w:rFonts w:ascii="Arial" w:cs="Arial" w:eastAsia="Arial" w:hAnsi="Arial"/>
                <w:sz w:val="18"/>
                <w:szCs w:val="18"/>
                <w:color w:val="auto"/>
              </w:rPr>
              <w:t>Subscribers</w:t>
            </w:r>
          </w:p>
        </w:tc>
        <w:tc>
          <w:tcPr>
            <w:tcW w:w="30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w w:val="79"/>
              </w:rPr>
              <w:t>11.0</w:t>
            </w:r>
          </w:p>
        </w:tc>
        <w:tc>
          <w:tcPr>
            <w:tcW w:w="56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ind w:right="540"/>
              <w:spacing w:after="0"/>
              <w:rPr>
                <w:sz w:val="20"/>
                <w:szCs w:val="20"/>
                <w:color w:val="auto"/>
              </w:rPr>
            </w:pPr>
            <w:r>
              <w:rPr>
                <w:rFonts w:ascii="Arial" w:cs="Arial" w:eastAsia="Arial" w:hAnsi="Arial"/>
                <w:sz w:val="18"/>
                <w:szCs w:val="18"/>
                <w:color w:val="auto"/>
              </w:rPr>
              <w:t>8.1</w:t>
            </w:r>
          </w:p>
        </w:tc>
        <w:tc>
          <w:tcPr>
            <w:tcW w:w="840" w:type="dxa"/>
            <w:vAlign w:val="bottom"/>
            <w:gridSpan w:val="2"/>
            <w:shd w:val="clear" w:color="auto" w:fill="CCEEFF"/>
          </w:tcPr>
          <w:p>
            <w:pPr>
              <w:jc w:val="right"/>
              <w:ind w:right="540"/>
              <w:spacing w:after="0"/>
              <w:rPr>
                <w:sz w:val="20"/>
                <w:szCs w:val="20"/>
                <w:color w:val="auto"/>
              </w:rPr>
            </w:pPr>
            <w:r>
              <w:rPr>
                <w:rFonts w:ascii="Arial" w:cs="Arial" w:eastAsia="Arial" w:hAnsi="Arial"/>
                <w:sz w:val="18"/>
                <w:szCs w:val="18"/>
                <w:color w:val="auto"/>
              </w:rPr>
              <w:t>6.6</w:t>
            </w:r>
          </w:p>
        </w:tc>
        <w:tc>
          <w:tcPr>
            <w:tcW w:w="860" w:type="dxa"/>
            <w:vAlign w:val="bottom"/>
            <w:gridSpan w:val="2"/>
            <w:shd w:val="clear" w:color="auto" w:fill="CCEEFF"/>
          </w:tcPr>
          <w:p>
            <w:pPr>
              <w:jc w:val="right"/>
              <w:ind w:right="540"/>
              <w:spacing w:after="0"/>
              <w:rPr>
                <w:sz w:val="20"/>
                <w:szCs w:val="20"/>
                <w:color w:val="auto"/>
              </w:rPr>
            </w:pPr>
            <w:r>
              <w:rPr>
                <w:rFonts w:ascii="Arial" w:cs="Arial" w:eastAsia="Arial" w:hAnsi="Arial"/>
                <w:sz w:val="18"/>
                <w:szCs w:val="18"/>
                <w:color w:val="auto"/>
              </w:rPr>
              <w:t>5.0</w:t>
            </w:r>
          </w:p>
        </w:tc>
        <w:tc>
          <w:tcPr>
            <w:tcW w:w="46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3.4</w:t>
            </w:r>
          </w:p>
        </w:tc>
      </w:tr>
      <w:tr>
        <w:trPr>
          <w:trHeight w:val="216"/>
        </w:trPr>
        <w:tc>
          <w:tcPr>
            <w:tcW w:w="7540" w:type="dxa"/>
            <w:vAlign w:val="bottom"/>
          </w:tcPr>
          <w:p>
            <w:pPr>
              <w:ind w:left="440"/>
              <w:spacing w:after="0"/>
              <w:rPr>
                <w:sz w:val="20"/>
                <w:szCs w:val="20"/>
                <w:color w:val="auto"/>
              </w:rPr>
            </w:pPr>
            <w:r>
              <w:rPr>
                <w:rFonts w:ascii="Arial" w:cs="Arial" w:eastAsia="Arial" w:hAnsi="Arial"/>
                <w:sz w:val="18"/>
                <w:szCs w:val="18"/>
                <w:color w:val="auto"/>
              </w:rPr>
              <w:t>Penetration</w:t>
            </w:r>
          </w:p>
        </w:tc>
        <w:tc>
          <w:tcPr>
            <w:tcW w:w="860" w:type="dxa"/>
            <w:vAlign w:val="bottom"/>
            <w:gridSpan w:val="2"/>
          </w:tcPr>
          <w:p>
            <w:pPr>
              <w:jc w:val="right"/>
              <w:ind w:right="380"/>
              <w:spacing w:after="0"/>
              <w:rPr>
                <w:sz w:val="20"/>
                <w:szCs w:val="20"/>
                <w:color w:val="auto"/>
              </w:rPr>
            </w:pPr>
            <w:r>
              <w:rPr>
                <w:rFonts w:ascii="Arial" w:cs="Arial" w:eastAsia="Arial" w:hAnsi="Arial"/>
                <w:sz w:val="18"/>
                <w:szCs w:val="18"/>
                <w:b w:val="1"/>
                <w:bCs w:val="1"/>
                <w:color w:val="auto"/>
                <w:w w:val="90"/>
              </w:rPr>
              <w:t>24.4%</w:t>
            </w:r>
          </w:p>
        </w:tc>
        <w:tc>
          <w:tcPr>
            <w:tcW w:w="860" w:type="dxa"/>
            <w:vAlign w:val="bottom"/>
            <w:gridSpan w:val="2"/>
          </w:tcPr>
          <w:p>
            <w:pPr>
              <w:jc w:val="right"/>
              <w:ind w:right="400"/>
              <w:spacing w:after="0"/>
              <w:rPr>
                <w:sz w:val="20"/>
                <w:szCs w:val="20"/>
                <w:color w:val="auto"/>
              </w:rPr>
            </w:pPr>
            <w:r>
              <w:rPr>
                <w:rFonts w:ascii="Arial" w:cs="Arial" w:eastAsia="Arial" w:hAnsi="Arial"/>
                <w:sz w:val="18"/>
                <w:szCs w:val="18"/>
                <w:color w:val="auto"/>
                <w:w w:val="86"/>
              </w:rPr>
              <w:t>21.1%</w:t>
            </w:r>
          </w:p>
        </w:tc>
        <w:tc>
          <w:tcPr>
            <w:tcW w:w="840" w:type="dxa"/>
            <w:vAlign w:val="bottom"/>
            <w:gridSpan w:val="2"/>
          </w:tcPr>
          <w:p>
            <w:pPr>
              <w:jc w:val="right"/>
              <w:ind w:right="380"/>
              <w:spacing w:after="0"/>
              <w:rPr>
                <w:sz w:val="20"/>
                <w:szCs w:val="20"/>
                <w:color w:val="auto"/>
              </w:rPr>
            </w:pPr>
            <w:r>
              <w:rPr>
                <w:rFonts w:ascii="Arial" w:cs="Arial" w:eastAsia="Arial" w:hAnsi="Arial"/>
                <w:sz w:val="18"/>
                <w:szCs w:val="18"/>
                <w:color w:val="auto"/>
                <w:w w:val="86"/>
              </w:rPr>
              <w:t>17.8%</w:t>
            </w:r>
          </w:p>
        </w:tc>
        <w:tc>
          <w:tcPr>
            <w:tcW w:w="860" w:type="dxa"/>
            <w:vAlign w:val="bottom"/>
            <w:gridSpan w:val="2"/>
          </w:tcPr>
          <w:p>
            <w:pPr>
              <w:jc w:val="right"/>
              <w:ind w:right="400"/>
              <w:spacing w:after="0"/>
              <w:rPr>
                <w:sz w:val="20"/>
                <w:szCs w:val="20"/>
                <w:color w:val="auto"/>
              </w:rPr>
            </w:pPr>
            <w:r>
              <w:rPr>
                <w:rFonts w:ascii="Arial" w:cs="Arial" w:eastAsia="Arial" w:hAnsi="Arial"/>
                <w:sz w:val="18"/>
                <w:szCs w:val="18"/>
                <w:color w:val="auto"/>
                <w:w w:val="86"/>
              </w:rPr>
              <w:t>15.4%</w:t>
            </w:r>
          </w:p>
        </w:tc>
        <w:tc>
          <w:tcPr>
            <w:tcW w:w="460" w:type="dxa"/>
            <w:vAlign w:val="bottom"/>
            <w:gridSpan w:val="2"/>
          </w:tcPr>
          <w:p>
            <w:pPr>
              <w:jc w:val="right"/>
              <w:spacing w:after="0"/>
              <w:rPr>
                <w:sz w:val="20"/>
                <w:szCs w:val="20"/>
                <w:color w:val="auto"/>
              </w:rPr>
            </w:pPr>
            <w:r>
              <w:rPr>
                <w:rFonts w:ascii="Arial" w:cs="Arial" w:eastAsia="Arial" w:hAnsi="Arial"/>
                <w:sz w:val="18"/>
                <w:szCs w:val="18"/>
                <w:color w:val="auto"/>
                <w:w w:val="86"/>
              </w:rPr>
              <w:t>11.2%</w:t>
            </w:r>
          </w:p>
        </w:tc>
      </w:tr>
      <w:tr>
        <w:trPr>
          <w:trHeight w:val="216"/>
        </w:trPr>
        <w:tc>
          <w:tcPr>
            <w:tcW w:w="7540" w:type="dxa"/>
            <w:vAlign w:val="bottom"/>
            <w:shd w:val="clear" w:color="auto" w:fill="CCEEFF"/>
          </w:tcPr>
          <w:p>
            <w:pPr>
              <w:spacing w:after="0"/>
              <w:rPr>
                <w:sz w:val="20"/>
                <w:szCs w:val="20"/>
                <w:color w:val="auto"/>
              </w:rPr>
            </w:pPr>
            <w:r>
              <w:rPr>
                <w:rFonts w:ascii="Arial" w:cs="Arial" w:eastAsia="Arial" w:hAnsi="Arial"/>
                <w:sz w:val="18"/>
                <w:szCs w:val="18"/>
                <w:color w:val="auto"/>
              </w:rPr>
              <w:t>Phone</w:t>
            </w:r>
          </w:p>
        </w:tc>
        <w:tc>
          <w:tcPr>
            <w:tcW w:w="30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r>
      <w:tr>
        <w:trPr>
          <w:trHeight w:val="216"/>
        </w:trPr>
        <w:tc>
          <w:tcPr>
            <w:tcW w:w="7540" w:type="dxa"/>
            <w:vAlign w:val="bottom"/>
          </w:tcPr>
          <w:p>
            <w:pPr>
              <w:ind w:left="440"/>
              <w:spacing w:after="0" w:line="217" w:lineRule="exact"/>
              <w:rPr>
                <w:sz w:val="20"/>
                <w:szCs w:val="20"/>
                <w:color w:val="auto"/>
              </w:rPr>
            </w:pPr>
            <w:r>
              <w:rPr>
                <w:rFonts w:ascii="Arial" w:cs="Arial" w:eastAsia="Arial" w:hAnsi="Arial"/>
                <w:sz w:val="18"/>
                <w:szCs w:val="18"/>
                <w:color w:val="auto"/>
              </w:rPr>
              <w:t>“Available” Homes</w:t>
            </w:r>
            <w:r>
              <w:rPr>
                <w:rFonts w:ascii="Arial" w:cs="Arial" w:eastAsia="Arial" w:hAnsi="Arial"/>
                <w:sz w:val="22"/>
                <w:szCs w:val="22"/>
                <w:color w:val="auto"/>
                <w:vertAlign w:val="superscript"/>
              </w:rPr>
              <w:t>(d)</w:t>
            </w:r>
          </w:p>
        </w:tc>
        <w:tc>
          <w:tcPr>
            <w:tcW w:w="300" w:type="dxa"/>
            <w:vAlign w:val="bottom"/>
          </w:tcPr>
          <w:p>
            <w:pPr>
              <w:jc w:val="right"/>
              <w:spacing w:after="0"/>
              <w:rPr>
                <w:sz w:val="20"/>
                <w:szCs w:val="20"/>
                <w:color w:val="auto"/>
              </w:rPr>
            </w:pPr>
            <w:r>
              <w:rPr>
                <w:rFonts w:ascii="Arial" w:cs="Arial" w:eastAsia="Arial" w:hAnsi="Arial"/>
                <w:sz w:val="18"/>
                <w:szCs w:val="18"/>
                <w:b w:val="1"/>
                <w:bCs w:val="1"/>
                <w:color w:val="auto"/>
                <w:w w:val="79"/>
              </w:rPr>
              <w:t>31.5</w:t>
            </w:r>
          </w:p>
        </w:tc>
        <w:tc>
          <w:tcPr>
            <w:tcW w:w="560" w:type="dxa"/>
            <w:vAlign w:val="bottom"/>
          </w:tcPr>
          <w:p>
            <w:pPr>
              <w:spacing w:after="0"/>
              <w:rPr>
                <w:sz w:val="18"/>
                <w:szCs w:val="18"/>
                <w:color w:val="auto"/>
              </w:rPr>
            </w:pPr>
          </w:p>
        </w:tc>
        <w:tc>
          <w:tcPr>
            <w:tcW w:w="860" w:type="dxa"/>
            <w:vAlign w:val="bottom"/>
            <w:gridSpan w:val="2"/>
          </w:tcPr>
          <w:p>
            <w:pPr>
              <w:jc w:val="right"/>
              <w:ind w:right="540"/>
              <w:spacing w:after="0"/>
              <w:rPr>
                <w:sz w:val="20"/>
                <w:szCs w:val="20"/>
                <w:color w:val="auto"/>
              </w:rPr>
            </w:pPr>
            <w:r>
              <w:rPr>
                <w:rFonts w:ascii="Arial" w:cs="Arial" w:eastAsia="Arial" w:hAnsi="Arial"/>
                <w:sz w:val="18"/>
                <w:szCs w:val="18"/>
                <w:color w:val="auto"/>
                <w:w w:val="85"/>
              </w:rPr>
              <w:t>19.6</w:t>
            </w:r>
          </w:p>
        </w:tc>
        <w:tc>
          <w:tcPr>
            <w:tcW w:w="840" w:type="dxa"/>
            <w:vAlign w:val="bottom"/>
            <w:gridSpan w:val="2"/>
          </w:tcPr>
          <w:p>
            <w:pPr>
              <w:jc w:val="right"/>
              <w:ind w:right="540"/>
              <w:spacing w:after="0"/>
              <w:rPr>
                <w:sz w:val="20"/>
                <w:szCs w:val="20"/>
                <w:color w:val="auto"/>
              </w:rPr>
            </w:pPr>
            <w:r>
              <w:rPr>
                <w:rFonts w:ascii="Arial" w:cs="Arial" w:eastAsia="Arial" w:hAnsi="Arial"/>
                <w:sz w:val="18"/>
                <w:szCs w:val="18"/>
                <w:color w:val="auto"/>
              </w:rPr>
              <w:t>8.9</w:t>
            </w:r>
          </w:p>
        </w:tc>
        <w:tc>
          <w:tcPr>
            <w:tcW w:w="860" w:type="dxa"/>
            <w:vAlign w:val="bottom"/>
            <w:gridSpan w:val="2"/>
          </w:tcPr>
          <w:p>
            <w:pPr>
              <w:jc w:val="right"/>
              <w:ind w:right="540"/>
              <w:spacing w:after="0"/>
              <w:rPr>
                <w:sz w:val="20"/>
                <w:szCs w:val="20"/>
                <w:color w:val="auto"/>
              </w:rPr>
            </w:pPr>
            <w:r>
              <w:rPr>
                <w:rFonts w:ascii="Arial" w:cs="Arial" w:eastAsia="Arial" w:hAnsi="Arial"/>
                <w:sz w:val="18"/>
                <w:szCs w:val="18"/>
                <w:color w:val="auto"/>
              </w:rPr>
              <w:t>7.9</w:t>
            </w:r>
          </w:p>
        </w:tc>
        <w:tc>
          <w:tcPr>
            <w:tcW w:w="460" w:type="dxa"/>
            <w:vAlign w:val="bottom"/>
            <w:gridSpan w:val="2"/>
          </w:tcPr>
          <w:p>
            <w:pPr>
              <w:jc w:val="right"/>
              <w:ind w:right="140"/>
              <w:spacing w:after="0"/>
              <w:rPr>
                <w:sz w:val="20"/>
                <w:szCs w:val="20"/>
                <w:color w:val="auto"/>
              </w:rPr>
            </w:pPr>
            <w:r>
              <w:rPr>
                <w:rFonts w:ascii="Arial" w:cs="Arial" w:eastAsia="Arial" w:hAnsi="Arial"/>
                <w:sz w:val="18"/>
                <w:szCs w:val="18"/>
                <w:color w:val="auto"/>
              </w:rPr>
              <w:t>8.1</w:t>
            </w:r>
          </w:p>
        </w:tc>
      </w:tr>
      <w:tr>
        <w:trPr>
          <w:trHeight w:val="216"/>
        </w:trPr>
        <w:tc>
          <w:tcPr>
            <w:tcW w:w="7540" w:type="dxa"/>
            <w:vAlign w:val="bottom"/>
            <w:shd w:val="clear" w:color="auto" w:fill="CCEEFF"/>
          </w:tcPr>
          <w:p>
            <w:pPr>
              <w:ind w:left="440"/>
              <w:spacing w:after="0"/>
              <w:rPr>
                <w:sz w:val="20"/>
                <w:szCs w:val="20"/>
                <w:color w:val="auto"/>
              </w:rPr>
            </w:pPr>
            <w:r>
              <w:rPr>
                <w:rFonts w:ascii="Arial" w:cs="Arial" w:eastAsia="Arial" w:hAnsi="Arial"/>
                <w:sz w:val="18"/>
                <w:szCs w:val="18"/>
                <w:color w:val="auto"/>
              </w:rPr>
              <w:t>Subscribers</w:t>
            </w:r>
          </w:p>
        </w:tc>
        <w:tc>
          <w:tcPr>
            <w:tcW w:w="30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2.4</w:t>
            </w:r>
          </w:p>
        </w:tc>
        <w:tc>
          <w:tcPr>
            <w:tcW w:w="56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ind w:right="540"/>
              <w:spacing w:after="0"/>
              <w:rPr>
                <w:sz w:val="20"/>
                <w:szCs w:val="20"/>
                <w:color w:val="auto"/>
              </w:rPr>
            </w:pPr>
            <w:r>
              <w:rPr>
                <w:rFonts w:ascii="Arial" w:cs="Arial" w:eastAsia="Arial" w:hAnsi="Arial"/>
                <w:sz w:val="18"/>
                <w:szCs w:val="18"/>
                <w:color w:val="auto"/>
              </w:rPr>
              <w:t>1.2</w:t>
            </w:r>
          </w:p>
        </w:tc>
        <w:tc>
          <w:tcPr>
            <w:tcW w:w="840" w:type="dxa"/>
            <w:vAlign w:val="bottom"/>
            <w:gridSpan w:val="2"/>
            <w:shd w:val="clear" w:color="auto" w:fill="CCEEFF"/>
          </w:tcPr>
          <w:p>
            <w:pPr>
              <w:jc w:val="right"/>
              <w:ind w:right="540"/>
              <w:spacing w:after="0"/>
              <w:rPr>
                <w:sz w:val="20"/>
                <w:szCs w:val="20"/>
                <w:color w:val="auto"/>
              </w:rPr>
            </w:pPr>
            <w:r>
              <w:rPr>
                <w:rFonts w:ascii="Arial" w:cs="Arial" w:eastAsia="Arial" w:hAnsi="Arial"/>
                <w:sz w:val="18"/>
                <w:szCs w:val="18"/>
                <w:color w:val="auto"/>
              </w:rPr>
              <w:t>1.1</w:t>
            </w:r>
          </w:p>
        </w:tc>
        <w:tc>
          <w:tcPr>
            <w:tcW w:w="860" w:type="dxa"/>
            <w:vAlign w:val="bottom"/>
            <w:gridSpan w:val="2"/>
            <w:shd w:val="clear" w:color="auto" w:fill="CCEEFF"/>
          </w:tcPr>
          <w:p>
            <w:pPr>
              <w:jc w:val="right"/>
              <w:ind w:right="540"/>
              <w:spacing w:after="0"/>
              <w:rPr>
                <w:sz w:val="20"/>
                <w:szCs w:val="20"/>
                <w:color w:val="auto"/>
              </w:rPr>
            </w:pPr>
            <w:r>
              <w:rPr>
                <w:rFonts w:ascii="Arial" w:cs="Arial" w:eastAsia="Arial" w:hAnsi="Arial"/>
                <w:sz w:val="18"/>
                <w:szCs w:val="18"/>
                <w:color w:val="auto"/>
              </w:rPr>
              <w:t>1.1</w:t>
            </w:r>
          </w:p>
        </w:tc>
        <w:tc>
          <w:tcPr>
            <w:tcW w:w="46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1.2</w:t>
            </w:r>
          </w:p>
        </w:tc>
      </w:tr>
      <w:tr>
        <w:trPr>
          <w:trHeight w:val="228"/>
        </w:trPr>
        <w:tc>
          <w:tcPr>
            <w:tcW w:w="7540" w:type="dxa"/>
            <w:vAlign w:val="bottom"/>
          </w:tcPr>
          <w:p>
            <w:pPr>
              <w:ind w:left="440"/>
              <w:spacing w:after="0"/>
              <w:rPr>
                <w:sz w:val="20"/>
                <w:szCs w:val="20"/>
                <w:color w:val="auto"/>
              </w:rPr>
            </w:pPr>
            <w:r>
              <w:rPr>
                <w:rFonts w:ascii="Arial" w:cs="Arial" w:eastAsia="Arial" w:hAnsi="Arial"/>
                <w:sz w:val="18"/>
                <w:szCs w:val="18"/>
                <w:color w:val="auto"/>
              </w:rPr>
              <w:t>Penetration</w:t>
            </w:r>
          </w:p>
        </w:tc>
        <w:tc>
          <w:tcPr>
            <w:tcW w:w="860" w:type="dxa"/>
            <w:vAlign w:val="bottom"/>
            <w:gridSpan w:val="2"/>
          </w:tcPr>
          <w:p>
            <w:pPr>
              <w:jc w:val="right"/>
              <w:ind w:right="380"/>
              <w:spacing w:after="0"/>
              <w:rPr>
                <w:sz w:val="20"/>
                <w:szCs w:val="20"/>
                <w:color w:val="auto"/>
              </w:rPr>
            </w:pPr>
            <w:r>
              <w:rPr>
                <w:rFonts w:ascii="Arial" w:cs="Arial" w:eastAsia="Arial" w:hAnsi="Arial"/>
                <w:sz w:val="18"/>
                <w:szCs w:val="18"/>
                <w:b w:val="1"/>
                <w:bCs w:val="1"/>
                <w:color w:val="auto"/>
              </w:rPr>
              <w:t>7.6%</w:t>
            </w:r>
          </w:p>
        </w:tc>
        <w:tc>
          <w:tcPr>
            <w:tcW w:w="860" w:type="dxa"/>
            <w:vAlign w:val="bottom"/>
            <w:gridSpan w:val="2"/>
          </w:tcPr>
          <w:p>
            <w:pPr>
              <w:jc w:val="right"/>
              <w:ind w:right="400"/>
              <w:spacing w:after="0"/>
              <w:rPr>
                <w:sz w:val="20"/>
                <w:szCs w:val="20"/>
                <w:color w:val="auto"/>
              </w:rPr>
            </w:pPr>
            <w:r>
              <w:rPr>
                <w:rFonts w:ascii="Arial" w:cs="Arial" w:eastAsia="Arial" w:hAnsi="Arial"/>
                <w:sz w:val="18"/>
                <w:szCs w:val="18"/>
                <w:color w:val="auto"/>
              </w:rPr>
              <w:t>6.0%</w:t>
            </w:r>
          </w:p>
        </w:tc>
        <w:tc>
          <w:tcPr>
            <w:tcW w:w="840" w:type="dxa"/>
            <w:vAlign w:val="bottom"/>
            <w:gridSpan w:val="2"/>
          </w:tcPr>
          <w:p>
            <w:pPr>
              <w:jc w:val="right"/>
              <w:ind w:right="380"/>
              <w:spacing w:after="0"/>
              <w:rPr>
                <w:sz w:val="20"/>
                <w:szCs w:val="20"/>
                <w:color w:val="auto"/>
              </w:rPr>
            </w:pPr>
            <w:r>
              <w:rPr>
                <w:rFonts w:ascii="Arial" w:cs="Arial" w:eastAsia="Arial" w:hAnsi="Arial"/>
                <w:sz w:val="18"/>
                <w:szCs w:val="18"/>
                <w:color w:val="auto"/>
                <w:w w:val="86"/>
              </w:rPr>
              <w:t>12.2%</w:t>
            </w:r>
          </w:p>
        </w:tc>
        <w:tc>
          <w:tcPr>
            <w:tcW w:w="860" w:type="dxa"/>
            <w:vAlign w:val="bottom"/>
            <w:gridSpan w:val="2"/>
          </w:tcPr>
          <w:p>
            <w:pPr>
              <w:jc w:val="right"/>
              <w:ind w:right="400"/>
              <w:spacing w:after="0"/>
              <w:rPr>
                <w:sz w:val="20"/>
                <w:szCs w:val="20"/>
                <w:color w:val="auto"/>
              </w:rPr>
            </w:pPr>
            <w:r>
              <w:rPr>
                <w:rFonts w:ascii="Arial" w:cs="Arial" w:eastAsia="Arial" w:hAnsi="Arial"/>
                <w:sz w:val="18"/>
                <w:szCs w:val="18"/>
                <w:color w:val="auto"/>
                <w:w w:val="86"/>
              </w:rPr>
              <w:t>14.2%</w:t>
            </w:r>
          </w:p>
        </w:tc>
        <w:tc>
          <w:tcPr>
            <w:tcW w:w="460" w:type="dxa"/>
            <w:vAlign w:val="bottom"/>
            <w:gridSpan w:val="2"/>
          </w:tcPr>
          <w:p>
            <w:pPr>
              <w:jc w:val="right"/>
              <w:spacing w:after="0"/>
              <w:rPr>
                <w:sz w:val="20"/>
                <w:szCs w:val="20"/>
                <w:color w:val="auto"/>
              </w:rPr>
            </w:pPr>
            <w:r>
              <w:rPr>
                <w:rFonts w:ascii="Arial" w:cs="Arial" w:eastAsia="Arial" w:hAnsi="Arial"/>
                <w:sz w:val="18"/>
                <w:szCs w:val="18"/>
                <w:color w:val="auto"/>
                <w:w w:val="86"/>
              </w:rPr>
              <w:t>14.9%</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60960</wp:posOffset>
            </wp:positionV>
            <wp:extent cx="746125" cy="8890"/>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46125" cy="8890"/>
                    </a:xfrm>
                    <a:prstGeom prst="rect">
                      <a:avLst/>
                    </a:prstGeom>
                    <a:noFill/>
                  </pic:spPr>
                </pic:pic>
              </a:graphicData>
            </a:graphic>
          </wp:anchor>
        </w:drawing>
      </w:r>
    </w:p>
    <w:p>
      <w:pPr>
        <w:spacing w:after="0" w:line="189" w:lineRule="exact"/>
        <w:rPr>
          <w:sz w:val="20"/>
          <w:szCs w:val="20"/>
          <w:color w:val="auto"/>
        </w:rPr>
      </w:pPr>
    </w:p>
    <w:p>
      <w:pPr>
        <w:spacing w:after="0"/>
        <w:rPr>
          <w:sz w:val="20"/>
          <w:szCs w:val="20"/>
          <w:color w:val="auto"/>
        </w:rPr>
      </w:pPr>
      <w:r>
        <w:rPr>
          <w:rFonts w:ascii="Arial" w:cs="Arial" w:eastAsia="Arial" w:hAnsi="Arial"/>
          <w:sz w:val="18"/>
          <w:szCs w:val="18"/>
          <w:color w:val="auto"/>
        </w:rPr>
        <w:t>All percentages are calculated based on actual amounts. Minor differences may exist due to rounding.</w:t>
      </w:r>
    </w:p>
    <w:p>
      <w:pPr>
        <w:spacing w:after="0" w:line="90" w:lineRule="exact"/>
        <w:rPr>
          <w:sz w:val="20"/>
          <w:szCs w:val="20"/>
          <w:color w:val="auto"/>
        </w:rPr>
      </w:pPr>
    </w:p>
    <w:p>
      <w:pPr>
        <w:jc w:val="both"/>
        <w:ind w:left="460" w:right="200" w:hanging="452"/>
        <w:spacing w:after="0" w:line="200" w:lineRule="auto"/>
        <w:tabs>
          <w:tab w:leader="none" w:pos="460" w:val="left"/>
        </w:tabs>
        <w:numPr>
          <w:ilvl w:val="0"/>
          <w:numId w:val="4"/>
        </w:numPr>
        <w:rPr>
          <w:rFonts w:ascii="Arial" w:cs="Arial" w:eastAsia="Arial" w:hAnsi="Arial"/>
          <w:sz w:val="22"/>
          <w:szCs w:val="22"/>
          <w:color w:val="auto"/>
          <w:vertAlign w:val="superscript"/>
        </w:rPr>
      </w:pPr>
      <w:r>
        <w:rPr>
          <w:rFonts w:ascii="Arial" w:cs="Arial" w:eastAsia="Arial" w:hAnsi="Arial"/>
          <w:sz w:val="18"/>
          <w:szCs w:val="18"/>
          <w:color w:val="auto"/>
        </w:rPr>
        <w:t xml:space="preserve">A home is “passed” if we can connect it to our distribution system without further extending the transmission lines. As described in Note </w:t>
      </w:r>
      <w:r>
        <w:rPr>
          <w:rFonts w:ascii="Arial" w:cs="Arial" w:eastAsia="Arial" w:hAnsi="Arial"/>
          <w:sz w:val="22"/>
          <w:szCs w:val="22"/>
          <w:color w:val="auto"/>
          <w:vertAlign w:val="superscript"/>
        </w:rPr>
        <w:t>(b)</w:t>
      </w:r>
      <w:r>
        <w:rPr>
          <w:rFonts w:ascii="Arial" w:cs="Arial" w:eastAsia="Arial" w:hAnsi="Arial"/>
          <w:sz w:val="18"/>
          <w:szCs w:val="18"/>
          <w:color w:val="auto"/>
        </w:rPr>
        <w:t xml:space="preserve"> below, in the case of certain multiple dwelling units (“MDUs”), such as apartment buildings and condominium complexes, homes “passed” are counted on an adjusted basis. “Homes passed” is an estimate based on the best available information.</w:t>
      </w:r>
    </w:p>
    <w:p>
      <w:pPr>
        <w:jc w:val="both"/>
        <w:ind w:left="460" w:right="40" w:hanging="452"/>
        <w:spacing w:after="0" w:line="224" w:lineRule="auto"/>
        <w:tabs>
          <w:tab w:leader="none" w:pos="460" w:val="left"/>
        </w:tabs>
        <w:numPr>
          <w:ilvl w:val="0"/>
          <w:numId w:val="4"/>
        </w:numPr>
        <w:rPr>
          <w:rFonts w:ascii="Arial" w:cs="Arial" w:eastAsia="Arial" w:hAnsi="Arial"/>
          <w:sz w:val="11"/>
          <w:szCs w:val="11"/>
          <w:color w:val="auto"/>
        </w:rPr>
      </w:pPr>
      <w:r>
        <w:rPr>
          <w:rFonts w:ascii="Arial" w:cs="Arial" w:eastAsia="Arial" w:hAnsi="Arial"/>
          <w:sz w:val="18"/>
          <w:szCs w:val="18"/>
          <w:color w:val="auto"/>
        </w:rPr>
        <w:t>Generally, a dwelling or commercial unit with one or more television sets connected to a system counts as one cable subscriber. In the case of some MDUs, we count homes passed and cable subscribers on a Federal Communications Commission (“FCC”) equivalent basis by dividing total revenue received from a contract with an MDU by the standard residential rate where the specific MDU is located.</w:t>
      </w:r>
    </w:p>
    <w:p>
      <w:pPr>
        <w:spacing w:after="0" w:line="1" w:lineRule="exact"/>
        <w:rPr>
          <w:rFonts w:ascii="Arial" w:cs="Arial" w:eastAsia="Arial" w:hAnsi="Arial"/>
          <w:sz w:val="11"/>
          <w:szCs w:val="11"/>
          <w:color w:val="auto"/>
        </w:rPr>
      </w:pPr>
    </w:p>
    <w:p>
      <w:pPr>
        <w:ind w:left="460" w:right="760" w:hanging="452"/>
        <w:spacing w:after="0" w:line="219" w:lineRule="auto"/>
        <w:tabs>
          <w:tab w:leader="none" w:pos="460" w:val="left"/>
        </w:tabs>
        <w:numPr>
          <w:ilvl w:val="0"/>
          <w:numId w:val="4"/>
        </w:numPr>
        <w:rPr>
          <w:rFonts w:ascii="Arial" w:cs="Arial" w:eastAsia="Arial" w:hAnsi="Arial"/>
          <w:sz w:val="11"/>
          <w:szCs w:val="11"/>
          <w:color w:val="auto"/>
        </w:rPr>
      </w:pPr>
      <w:r>
        <w:rPr>
          <w:rFonts w:ascii="Arial" w:cs="Arial" w:eastAsia="Arial" w:hAnsi="Arial"/>
          <w:sz w:val="18"/>
          <w:szCs w:val="18"/>
          <w:color w:val="auto"/>
        </w:rPr>
        <w:t>A dwelling with one or more digital set-top boxes counts as one digital cable subscriber. On average, as of December 31, 2006, each digital cable subscriber had 1.5 digital set-top boxes.</w:t>
      </w:r>
    </w:p>
    <w:p>
      <w:pPr>
        <w:ind w:left="460" w:right="160" w:hanging="452"/>
        <w:spacing w:after="0" w:line="238" w:lineRule="auto"/>
        <w:tabs>
          <w:tab w:leader="none" w:pos="460" w:val="left"/>
        </w:tabs>
        <w:numPr>
          <w:ilvl w:val="0"/>
          <w:numId w:val="4"/>
        </w:numPr>
        <w:rPr>
          <w:rFonts w:ascii="Arial" w:cs="Arial" w:eastAsia="Arial" w:hAnsi="Arial"/>
          <w:sz w:val="11"/>
          <w:szCs w:val="11"/>
          <w:color w:val="auto"/>
        </w:rPr>
      </w:pPr>
      <w:r>
        <w:rPr>
          <w:rFonts w:ascii="Arial" w:cs="Arial" w:eastAsia="Arial" w:hAnsi="Arial"/>
          <w:sz w:val="18"/>
          <w:szCs w:val="18"/>
          <w:color w:val="auto"/>
        </w:rPr>
        <w:t>A home passed is “available” if we can connect it to our distribution system without further upgrading the transmission lines and if we offer the service in that area. Available homes for phone include digital phone and circuit-switched homes.</w:t>
      </w:r>
    </w:p>
    <w:p>
      <w:pPr>
        <w:spacing w:after="0" w:line="22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Cable Services</w:t>
      </w:r>
    </w:p>
    <w:p>
      <w:pPr>
        <w:spacing w:after="0" w:line="90" w:lineRule="exact"/>
        <w:rPr>
          <w:sz w:val="20"/>
          <w:szCs w:val="20"/>
          <w:color w:val="auto"/>
        </w:rPr>
      </w:pPr>
    </w:p>
    <w:p>
      <w:pPr>
        <w:ind w:left="460"/>
        <w:spacing w:after="0"/>
        <w:rPr>
          <w:sz w:val="20"/>
          <w:szCs w:val="20"/>
          <w:color w:val="auto"/>
        </w:rPr>
      </w:pPr>
      <w:r>
        <w:rPr>
          <w:rFonts w:ascii="Arial" w:cs="Arial" w:eastAsia="Arial" w:hAnsi="Arial"/>
          <w:sz w:val="18"/>
          <w:szCs w:val="18"/>
          <w:color w:val="auto"/>
        </w:rPr>
        <w:t>We offer a variety of services over our cable systems, including video, high-speed Internet and phone.</w:t>
      </w:r>
    </w:p>
    <w:p>
      <w:pPr>
        <w:spacing w:after="0" w:line="90" w:lineRule="exact"/>
        <w:rPr>
          <w:sz w:val="20"/>
          <w:szCs w:val="20"/>
          <w:color w:val="auto"/>
        </w:rPr>
      </w:pPr>
    </w:p>
    <w:p>
      <w:pPr>
        <w:ind w:right="40" w:firstLine="456"/>
        <w:spacing w:after="0" w:line="306" w:lineRule="auto"/>
        <w:rPr>
          <w:sz w:val="20"/>
          <w:szCs w:val="20"/>
          <w:color w:val="auto"/>
        </w:rPr>
      </w:pPr>
      <w:r>
        <w:rPr>
          <w:rFonts w:ascii="Arial" w:cs="Arial" w:eastAsia="Arial" w:hAnsi="Arial"/>
          <w:sz w:val="16"/>
          <w:szCs w:val="16"/>
          <w:color w:val="auto"/>
        </w:rPr>
        <w:t>With our cable system upgrade substantially complete, we are now focusing our technology investments on extending the reach and capacity of our networks, improving network efficiency, increasing the capacity and improving the functionality of advanced set-top boxes, developing cross-service features and functionality, developing interactive services and integrating phone features with our high-speed Internet service and our advanced set-top boxes.</w:t>
      </w:r>
    </w:p>
    <w:p>
      <w:pPr>
        <w:spacing w:after="0" w:line="107" w:lineRule="exact"/>
        <w:rPr>
          <w:sz w:val="20"/>
          <w:szCs w:val="20"/>
          <w:color w:val="auto"/>
        </w:rPr>
      </w:pPr>
    </w:p>
    <w:p>
      <w:pPr>
        <w:ind w:right="300" w:firstLine="456"/>
        <w:spacing w:after="0" w:line="332" w:lineRule="auto"/>
        <w:rPr>
          <w:sz w:val="20"/>
          <w:szCs w:val="20"/>
          <w:color w:val="auto"/>
        </w:rPr>
      </w:pPr>
      <w:r>
        <w:rPr>
          <w:rFonts w:ascii="Arial" w:cs="Arial" w:eastAsia="Arial" w:hAnsi="Arial"/>
          <w:sz w:val="16"/>
          <w:szCs w:val="16"/>
          <w:color w:val="auto"/>
        </w:rPr>
        <w:t>Substantially all of our subscribers are residential customers. We also tailor our cable services to the needs of businesses, such as restaurants, hotels and small businesses. We expect the number of business services subscribers to grow substantially over the next several years.</w:t>
      </w:r>
    </w:p>
    <w:p>
      <w:pPr>
        <w:spacing w:after="0" w:line="7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w:t>
      </w:r>
    </w:p>
    <w:p>
      <w:pPr>
        <w:sectPr>
          <w:pgSz w:w="11900" w:h="16838" w:orient="portrait"/>
          <w:cols w:equalWidth="0" w:num="1">
            <w:col w:w="11420"/>
          </w:cols>
          <w:pgMar w:left="240" w:top="459" w:right="239" w:bottom="1440" w:gutter="0" w:footer="0" w:header="0"/>
        </w:sectPr>
      </w:pPr>
    </w:p>
    <w:bookmarkStart w:id="6" w:name="page7"/>
    <w:bookmarkEnd w:id="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left="240"/>
        <w:spacing w:after="0"/>
        <w:rPr>
          <w:sz w:val="20"/>
          <w:szCs w:val="20"/>
          <w:color w:val="auto"/>
        </w:rPr>
      </w:pPr>
      <w:r>
        <w:rPr>
          <w:rFonts w:ascii="Arial" w:cs="Arial" w:eastAsia="Arial" w:hAnsi="Arial"/>
          <w:sz w:val="18"/>
          <w:szCs w:val="18"/>
          <w:i w:val="1"/>
          <w:iCs w:val="1"/>
          <w:color w:val="auto"/>
        </w:rPr>
        <w:t>Video Services</w:t>
      </w:r>
    </w:p>
    <w:p>
      <w:pPr>
        <w:spacing w:after="0" w:line="90" w:lineRule="exact"/>
        <w:rPr>
          <w:sz w:val="20"/>
          <w:szCs w:val="20"/>
          <w:color w:val="auto"/>
        </w:rPr>
      </w:pPr>
    </w:p>
    <w:p>
      <w:pPr>
        <w:ind w:firstLine="456"/>
        <w:spacing w:after="0" w:line="256" w:lineRule="auto"/>
        <w:rPr>
          <w:sz w:val="20"/>
          <w:szCs w:val="20"/>
          <w:color w:val="auto"/>
        </w:rPr>
      </w:pPr>
      <w:r>
        <w:rPr>
          <w:rFonts w:ascii="Arial" w:cs="Arial" w:eastAsia="Arial" w:hAnsi="Arial"/>
          <w:sz w:val="18"/>
          <w:szCs w:val="18"/>
          <w:color w:val="auto"/>
        </w:rPr>
        <w:t>We offer a full range of video services. We tailor our channel offerings for each system serving a particular geographic area according to applicable local and federal regulatory requirements, programming preferences and demographics. Subscribers typically pay us on a monthly basis and generally may discontinue services at any time. Monthly subscription rates and related charges vary according to the type of service selected and the type of equipment the subscriber uses. Our video service offerings include the following:</w:t>
      </w:r>
    </w:p>
    <w:p>
      <w:pPr>
        <w:spacing w:after="0" w:line="62" w:lineRule="exact"/>
        <w:rPr>
          <w:sz w:val="20"/>
          <w:szCs w:val="20"/>
          <w:color w:val="auto"/>
        </w:rPr>
      </w:pPr>
    </w:p>
    <w:p>
      <w:pPr>
        <w:jc w:val="both"/>
        <w:ind w:left="460" w:right="40" w:firstLine="438"/>
        <w:spacing w:after="0" w:line="306" w:lineRule="auto"/>
        <w:rPr>
          <w:sz w:val="20"/>
          <w:szCs w:val="20"/>
          <w:color w:val="auto"/>
        </w:rPr>
      </w:pPr>
      <w:r>
        <w:rPr>
          <w:rFonts w:ascii="Arial" w:cs="Arial" w:eastAsia="Arial" w:hAnsi="Arial"/>
          <w:sz w:val="16"/>
          <w:szCs w:val="16"/>
          <w:i w:val="1"/>
          <w:iCs w:val="1"/>
          <w:color w:val="auto"/>
        </w:rPr>
        <w:t xml:space="preserve">Basic cable. </w:t>
      </w:r>
      <w:r>
        <w:rPr>
          <w:rFonts w:ascii="Arial" w:cs="Arial" w:eastAsia="Arial" w:hAnsi="Arial"/>
          <w:sz w:val="16"/>
          <w:szCs w:val="16"/>
          <w:color w:val="auto"/>
        </w:rPr>
        <w:t>Our basic cable services consist of a limited basic service with access to between 10 and 20 channels of programming and an expanded</w:t>
      </w:r>
      <w:r>
        <w:rPr>
          <w:rFonts w:ascii="Arial" w:cs="Arial" w:eastAsia="Arial" w:hAnsi="Arial"/>
          <w:sz w:val="16"/>
          <w:szCs w:val="16"/>
          <w:i w:val="1"/>
          <w:iCs w:val="1"/>
          <w:color w:val="auto"/>
        </w:rPr>
        <w:t xml:space="preserve"> </w:t>
      </w:r>
      <w:r>
        <w:rPr>
          <w:rFonts w:ascii="Arial" w:cs="Arial" w:eastAsia="Arial" w:hAnsi="Arial"/>
          <w:sz w:val="16"/>
          <w:szCs w:val="16"/>
          <w:color w:val="auto"/>
        </w:rPr>
        <w:t>basic service with access to between 60 and 80 channels of programming. These services generally consist of programming provided by national and local broadcast networks, national and regional cable networks, and governmental and public access programming.</w:t>
      </w:r>
    </w:p>
    <w:p>
      <w:pPr>
        <w:spacing w:after="0" w:line="26" w:lineRule="exact"/>
        <w:rPr>
          <w:sz w:val="20"/>
          <w:szCs w:val="20"/>
          <w:color w:val="auto"/>
        </w:rPr>
      </w:pPr>
    </w:p>
    <w:p>
      <w:pPr>
        <w:ind w:left="460" w:right="60" w:firstLine="438"/>
        <w:spacing w:after="0" w:line="294" w:lineRule="auto"/>
        <w:rPr>
          <w:sz w:val="20"/>
          <w:szCs w:val="20"/>
          <w:color w:val="auto"/>
        </w:rPr>
      </w:pPr>
      <w:r>
        <w:rPr>
          <w:rFonts w:ascii="Arial" w:cs="Arial" w:eastAsia="Arial" w:hAnsi="Arial"/>
          <w:sz w:val="16"/>
          <w:szCs w:val="16"/>
          <w:i w:val="1"/>
          <w:iCs w:val="1"/>
          <w:color w:val="auto"/>
        </w:rPr>
        <w:t xml:space="preserve">Digital cable. </w:t>
      </w:r>
      <w:r>
        <w:rPr>
          <w:rFonts w:ascii="Arial" w:cs="Arial" w:eastAsia="Arial" w:hAnsi="Arial"/>
          <w:sz w:val="16"/>
          <w:szCs w:val="16"/>
          <w:color w:val="auto"/>
        </w:rPr>
        <w:t>Our digital cable services consist of a digital starter cable service, a full digital cable service, and some specialty tiers with sports,</w:t>
      </w:r>
      <w:r>
        <w:rPr>
          <w:rFonts w:ascii="Arial" w:cs="Arial" w:eastAsia="Arial" w:hAnsi="Arial"/>
          <w:sz w:val="16"/>
          <w:szCs w:val="16"/>
          <w:i w:val="1"/>
          <w:iCs w:val="1"/>
          <w:color w:val="auto"/>
        </w:rPr>
        <w:t xml:space="preserve"> </w:t>
      </w:r>
      <w:r>
        <w:rPr>
          <w:rFonts w:ascii="Arial" w:cs="Arial" w:eastAsia="Arial" w:hAnsi="Arial"/>
          <w:sz w:val="16"/>
          <w:szCs w:val="16"/>
          <w:color w:val="auto"/>
        </w:rPr>
        <w:t>family or ethnic themes. The digital starter cable service uses a digital set-top box to deliver between 60 and 80 channels of video programming, multiple music channels, an interactive program guide and a partial ON DEMAND library. Full digital cable services also use a digital set-top box to deliver over 250 channels of video programming, multiple music channels, an interactive program guide, access to a full ON DEMAND library, and multiple offerings from any premium channel programming purchased by the subscriber (including programming that varies as to time of broadcast and theme of content).</w:t>
      </w:r>
    </w:p>
    <w:p>
      <w:pPr>
        <w:spacing w:after="0" w:line="35" w:lineRule="exact"/>
        <w:rPr>
          <w:sz w:val="20"/>
          <w:szCs w:val="20"/>
          <w:color w:val="auto"/>
        </w:rPr>
      </w:pPr>
    </w:p>
    <w:p>
      <w:pPr>
        <w:ind w:left="460" w:right="100" w:firstLine="438"/>
        <w:spacing w:after="0" w:line="306" w:lineRule="auto"/>
        <w:rPr>
          <w:sz w:val="20"/>
          <w:szCs w:val="20"/>
          <w:color w:val="auto"/>
        </w:rPr>
      </w:pPr>
      <w:r>
        <w:rPr>
          <w:rFonts w:ascii="Arial" w:cs="Arial" w:eastAsia="Arial" w:hAnsi="Arial"/>
          <w:sz w:val="16"/>
          <w:szCs w:val="16"/>
          <w:i w:val="1"/>
          <w:iCs w:val="1"/>
          <w:color w:val="auto"/>
        </w:rPr>
        <w:t xml:space="preserve">Video on demand. </w:t>
      </w:r>
      <w:r>
        <w:rPr>
          <w:rFonts w:ascii="Arial" w:cs="Arial" w:eastAsia="Arial" w:hAnsi="Arial"/>
          <w:sz w:val="16"/>
          <w:szCs w:val="16"/>
          <w:color w:val="auto"/>
        </w:rPr>
        <w:t>Our video on demand service, which we refer to as ON DEMAND, allows our digital starter cable and full digital cable</w:t>
      </w:r>
      <w:r>
        <w:rPr>
          <w:rFonts w:ascii="Arial" w:cs="Arial" w:eastAsia="Arial" w:hAnsi="Arial"/>
          <w:sz w:val="16"/>
          <w:szCs w:val="16"/>
          <w:i w:val="1"/>
          <w:iCs w:val="1"/>
          <w:color w:val="auto"/>
        </w:rPr>
        <w:t xml:space="preserve"> </w:t>
      </w:r>
      <w:r>
        <w:rPr>
          <w:rFonts w:ascii="Arial" w:cs="Arial" w:eastAsia="Arial" w:hAnsi="Arial"/>
          <w:sz w:val="16"/>
          <w:szCs w:val="16"/>
          <w:color w:val="auto"/>
        </w:rPr>
        <w:t>subscribers the opportunity to choose from a library of programs, start the programs at whatever time is convenient, and pause, rewind or fast-forward the programs. A substantial portion of our ON DEMAND content is available to our digital cable subscribers at no additional charge.</w:t>
      </w:r>
    </w:p>
    <w:p>
      <w:pPr>
        <w:spacing w:after="0" w:line="26" w:lineRule="exact"/>
        <w:rPr>
          <w:sz w:val="20"/>
          <w:szCs w:val="20"/>
          <w:color w:val="auto"/>
        </w:rPr>
      </w:pPr>
    </w:p>
    <w:p>
      <w:pPr>
        <w:ind w:left="460" w:right="400" w:firstLine="438"/>
        <w:spacing w:after="0" w:line="306" w:lineRule="auto"/>
        <w:rPr>
          <w:sz w:val="20"/>
          <w:szCs w:val="20"/>
          <w:color w:val="auto"/>
        </w:rPr>
      </w:pPr>
      <w:r>
        <w:rPr>
          <w:rFonts w:ascii="Arial" w:cs="Arial" w:eastAsia="Arial" w:hAnsi="Arial"/>
          <w:sz w:val="16"/>
          <w:szCs w:val="16"/>
          <w:i w:val="1"/>
          <w:iCs w:val="1"/>
          <w:color w:val="auto"/>
        </w:rPr>
        <w:t xml:space="preserve">Subscription video on demand. </w:t>
      </w:r>
      <w:r>
        <w:rPr>
          <w:rFonts w:ascii="Arial" w:cs="Arial" w:eastAsia="Arial" w:hAnsi="Arial"/>
          <w:sz w:val="16"/>
          <w:szCs w:val="16"/>
          <w:color w:val="auto"/>
        </w:rPr>
        <w:t>Our subscription video on demand service provides subscribers with ON DEMAND access to packages of</w:t>
      </w:r>
      <w:r>
        <w:rPr>
          <w:rFonts w:ascii="Arial" w:cs="Arial" w:eastAsia="Arial" w:hAnsi="Arial"/>
          <w:sz w:val="16"/>
          <w:szCs w:val="16"/>
          <w:i w:val="1"/>
          <w:iCs w:val="1"/>
          <w:color w:val="auto"/>
        </w:rPr>
        <w:t xml:space="preserve"> </w:t>
      </w:r>
      <w:r>
        <w:rPr>
          <w:rFonts w:ascii="Arial" w:cs="Arial" w:eastAsia="Arial" w:hAnsi="Arial"/>
          <w:sz w:val="16"/>
          <w:szCs w:val="16"/>
          <w:color w:val="auto"/>
        </w:rPr>
        <w:t>programming that are either associated with a particular premium content provider to which they already subscribe, such as HBO On-Demand, or are otherwise made available on a subscription basis. Certain selected packages of programming are available for an additional fee.</w:t>
      </w:r>
    </w:p>
    <w:p>
      <w:pPr>
        <w:spacing w:after="0" w:line="26" w:lineRule="exact"/>
        <w:rPr>
          <w:sz w:val="20"/>
          <w:szCs w:val="20"/>
          <w:color w:val="auto"/>
        </w:rPr>
      </w:pPr>
    </w:p>
    <w:p>
      <w:pPr>
        <w:ind w:left="460" w:firstLine="438"/>
        <w:spacing w:after="0" w:line="256" w:lineRule="auto"/>
        <w:rPr>
          <w:sz w:val="20"/>
          <w:szCs w:val="20"/>
          <w:color w:val="auto"/>
        </w:rPr>
      </w:pPr>
      <w:r>
        <w:rPr>
          <w:rFonts w:ascii="Arial" w:cs="Arial" w:eastAsia="Arial" w:hAnsi="Arial"/>
          <w:sz w:val="18"/>
          <w:szCs w:val="18"/>
          <w:i w:val="1"/>
          <w:iCs w:val="1"/>
          <w:color w:val="auto"/>
        </w:rPr>
        <w:t xml:space="preserve">High-Definition Television. </w:t>
      </w:r>
      <w:r>
        <w:rPr>
          <w:rFonts w:ascii="Arial" w:cs="Arial" w:eastAsia="Arial" w:hAnsi="Arial"/>
          <w:sz w:val="18"/>
          <w:szCs w:val="18"/>
          <w:color w:val="auto"/>
        </w:rPr>
        <w:t>Our HDTV service provides our digital cable subscribers with improved, high-resolution picture quality, improved audio</w:t>
      </w:r>
      <w:r>
        <w:rPr>
          <w:rFonts w:ascii="Arial" w:cs="Arial" w:eastAsia="Arial" w:hAnsi="Arial"/>
          <w:sz w:val="18"/>
          <w:szCs w:val="18"/>
          <w:i w:val="1"/>
          <w:iCs w:val="1"/>
          <w:color w:val="auto"/>
        </w:rPr>
        <w:t xml:space="preserve"> </w:t>
      </w:r>
      <w:r>
        <w:rPr>
          <w:rFonts w:ascii="Arial" w:cs="Arial" w:eastAsia="Arial" w:hAnsi="Arial"/>
          <w:sz w:val="18"/>
          <w:szCs w:val="18"/>
          <w:color w:val="auto"/>
        </w:rPr>
        <w:t>quality and a wide-screen format. Our HDTV service offers a broad selection of high-definition programming with access up to approximately 20 high-definition channels, including most major broadcast networks, leading national cable networks, premium channels and regional sports networks. In addition, our ON DEMAND service provides more than 150 HDTV programming choices.</w:t>
      </w:r>
    </w:p>
    <w:p>
      <w:pPr>
        <w:spacing w:after="0" w:line="62" w:lineRule="exact"/>
        <w:rPr>
          <w:sz w:val="20"/>
          <w:szCs w:val="20"/>
          <w:color w:val="auto"/>
        </w:rPr>
      </w:pPr>
    </w:p>
    <w:p>
      <w:pPr>
        <w:ind w:left="460" w:right="720" w:firstLine="438"/>
        <w:spacing w:after="0" w:line="268" w:lineRule="auto"/>
        <w:rPr>
          <w:sz w:val="20"/>
          <w:szCs w:val="20"/>
          <w:color w:val="auto"/>
        </w:rPr>
      </w:pPr>
      <w:r>
        <w:rPr>
          <w:rFonts w:ascii="Arial" w:cs="Arial" w:eastAsia="Arial" w:hAnsi="Arial"/>
          <w:sz w:val="18"/>
          <w:szCs w:val="18"/>
          <w:i w:val="1"/>
          <w:iCs w:val="1"/>
          <w:color w:val="auto"/>
        </w:rPr>
        <w:t xml:space="preserve">Digital Video Recorder. </w:t>
      </w:r>
      <w:r>
        <w:rPr>
          <w:rFonts w:ascii="Arial" w:cs="Arial" w:eastAsia="Arial" w:hAnsi="Arial"/>
          <w:sz w:val="18"/>
          <w:szCs w:val="18"/>
          <w:color w:val="auto"/>
        </w:rPr>
        <w:t>Our DVR service lets digital cable subscribers select, record and store programs and play them at whatever time is</w:t>
      </w:r>
      <w:r>
        <w:rPr>
          <w:rFonts w:ascii="Arial" w:cs="Arial" w:eastAsia="Arial" w:hAnsi="Arial"/>
          <w:sz w:val="18"/>
          <w:szCs w:val="18"/>
          <w:i w:val="1"/>
          <w:iCs w:val="1"/>
          <w:color w:val="auto"/>
        </w:rPr>
        <w:t xml:space="preserve"> </w:t>
      </w:r>
      <w:r>
        <w:rPr>
          <w:rFonts w:ascii="Arial" w:cs="Arial" w:eastAsia="Arial" w:hAnsi="Arial"/>
          <w:sz w:val="18"/>
          <w:szCs w:val="18"/>
          <w:color w:val="auto"/>
        </w:rPr>
        <w:t>convenient. DVR service also provides the ability to pause and rewind “live” television.</w:t>
      </w:r>
    </w:p>
    <w:p>
      <w:pPr>
        <w:spacing w:after="0" w:line="51" w:lineRule="exact"/>
        <w:rPr>
          <w:sz w:val="20"/>
          <w:szCs w:val="20"/>
          <w:color w:val="auto"/>
        </w:rPr>
      </w:pPr>
    </w:p>
    <w:p>
      <w:pPr>
        <w:jc w:val="both"/>
        <w:ind w:left="460" w:right="240" w:firstLine="438"/>
        <w:spacing w:after="0" w:line="357" w:lineRule="auto"/>
        <w:rPr>
          <w:sz w:val="20"/>
          <w:szCs w:val="20"/>
          <w:color w:val="auto"/>
        </w:rPr>
      </w:pPr>
      <w:r>
        <w:rPr>
          <w:rFonts w:ascii="Arial" w:cs="Arial" w:eastAsia="Arial" w:hAnsi="Arial"/>
          <w:sz w:val="15"/>
          <w:szCs w:val="15"/>
          <w:i w:val="1"/>
          <w:iCs w:val="1"/>
          <w:color w:val="auto"/>
        </w:rPr>
        <w:t xml:space="preserve">Premium channel programming. </w:t>
      </w:r>
      <w:r>
        <w:rPr>
          <w:rFonts w:ascii="Arial" w:cs="Arial" w:eastAsia="Arial" w:hAnsi="Arial"/>
          <w:sz w:val="15"/>
          <w:szCs w:val="15"/>
          <w:color w:val="auto"/>
        </w:rPr>
        <w:t>Our premium channel programming service, which includes cable networks such as HBO, Showtime, Starz and</w:t>
      </w:r>
      <w:r>
        <w:rPr>
          <w:rFonts w:ascii="Arial" w:cs="Arial" w:eastAsia="Arial" w:hAnsi="Arial"/>
          <w:sz w:val="15"/>
          <w:szCs w:val="15"/>
          <w:i w:val="1"/>
          <w:iCs w:val="1"/>
          <w:color w:val="auto"/>
        </w:rPr>
        <w:t xml:space="preserve"> </w:t>
      </w:r>
      <w:r>
        <w:rPr>
          <w:rFonts w:ascii="Arial" w:cs="Arial" w:eastAsia="Arial" w:hAnsi="Arial"/>
          <w:sz w:val="15"/>
          <w:szCs w:val="15"/>
          <w:color w:val="auto"/>
        </w:rPr>
        <w:t>Cinemax, generally offers, without commercial interruption, feature motion pictures, live and taped sporting events, concerts and other special features.</w:t>
      </w:r>
    </w:p>
    <w:p>
      <w:pPr>
        <w:ind w:left="460" w:right="100" w:firstLine="438"/>
        <w:spacing w:after="0" w:line="268" w:lineRule="auto"/>
        <w:rPr>
          <w:sz w:val="20"/>
          <w:szCs w:val="20"/>
          <w:color w:val="auto"/>
        </w:rPr>
      </w:pPr>
      <w:r>
        <w:rPr>
          <w:rFonts w:ascii="Arial" w:cs="Arial" w:eastAsia="Arial" w:hAnsi="Arial"/>
          <w:sz w:val="18"/>
          <w:szCs w:val="18"/>
          <w:i w:val="1"/>
          <w:iCs w:val="1"/>
          <w:color w:val="auto"/>
        </w:rPr>
        <w:t xml:space="preserve">Pay-per-view programming. </w:t>
      </w:r>
      <w:r>
        <w:rPr>
          <w:rFonts w:ascii="Arial" w:cs="Arial" w:eastAsia="Arial" w:hAnsi="Arial"/>
          <w:sz w:val="18"/>
          <w:szCs w:val="18"/>
          <w:color w:val="auto"/>
        </w:rPr>
        <w:t>Our pay-per-view service allows our cable subscribers to order, for a separate fee, individual movies and special-event</w:t>
      </w:r>
      <w:r>
        <w:rPr>
          <w:rFonts w:ascii="Arial" w:cs="Arial" w:eastAsia="Arial" w:hAnsi="Arial"/>
          <w:sz w:val="18"/>
          <w:szCs w:val="18"/>
          <w:i w:val="1"/>
          <w:iCs w:val="1"/>
          <w:color w:val="auto"/>
        </w:rPr>
        <w:t xml:space="preserve"> </w:t>
      </w:r>
      <w:r>
        <w:rPr>
          <w:rFonts w:ascii="Arial" w:cs="Arial" w:eastAsia="Arial" w:hAnsi="Arial"/>
          <w:sz w:val="18"/>
          <w:szCs w:val="18"/>
          <w:color w:val="auto"/>
        </w:rPr>
        <w:t>programs, such as professional boxing, professional wrestling and concerts, on an unedited, commercial-free basis.</w:t>
      </w:r>
    </w:p>
    <w:p>
      <w:pPr>
        <w:spacing w:after="0" w:line="213" w:lineRule="exact"/>
        <w:rPr>
          <w:sz w:val="20"/>
          <w:szCs w:val="20"/>
          <w:color w:val="auto"/>
        </w:rPr>
      </w:pPr>
    </w:p>
    <w:p>
      <w:pPr>
        <w:ind w:left="240"/>
        <w:spacing w:after="0"/>
        <w:rPr>
          <w:sz w:val="20"/>
          <w:szCs w:val="20"/>
          <w:color w:val="auto"/>
        </w:rPr>
      </w:pPr>
      <w:r>
        <w:rPr>
          <w:rFonts w:ascii="Arial" w:cs="Arial" w:eastAsia="Arial" w:hAnsi="Arial"/>
          <w:sz w:val="18"/>
          <w:szCs w:val="18"/>
          <w:i w:val="1"/>
          <w:iCs w:val="1"/>
          <w:color w:val="auto"/>
        </w:rPr>
        <w:t>High-Speed Internet Services</w:t>
      </w:r>
    </w:p>
    <w:p>
      <w:pPr>
        <w:spacing w:after="0" w:line="90" w:lineRule="exact"/>
        <w:rPr>
          <w:sz w:val="20"/>
          <w:szCs w:val="20"/>
          <w:color w:val="auto"/>
        </w:rPr>
      </w:pPr>
    </w:p>
    <w:p>
      <w:pPr>
        <w:ind w:right="180" w:firstLine="456"/>
        <w:spacing w:after="0" w:line="268" w:lineRule="auto"/>
        <w:rPr>
          <w:sz w:val="20"/>
          <w:szCs w:val="20"/>
          <w:color w:val="auto"/>
        </w:rPr>
      </w:pPr>
      <w:r>
        <w:rPr>
          <w:rFonts w:ascii="Arial" w:cs="Arial" w:eastAsia="Arial" w:hAnsi="Arial"/>
          <w:sz w:val="18"/>
          <w:szCs w:val="18"/>
          <w:color w:val="auto"/>
        </w:rPr>
        <w:t>We offer high-speed Internet service with Internet access at downstream speeds from 6Mbps to 16Mbps, depending on the level of service selected. This service also includes our interactive portal, Comcast.net, which</w:t>
      </w:r>
    </w:p>
    <w:p>
      <w:pPr>
        <w:spacing w:after="0" w:line="118"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4</w:t>
      </w:r>
    </w:p>
    <w:p>
      <w:pPr>
        <w:sectPr>
          <w:pgSz w:w="11900" w:h="16838" w:orient="portrait"/>
          <w:cols w:equalWidth="0" w:num="1">
            <w:col w:w="11360"/>
          </w:cols>
          <w:pgMar w:left="240" w:top="459" w:right="299" w:bottom="1440" w:gutter="0" w:footer="0" w:header="0"/>
        </w:sectPr>
      </w:pPr>
    </w:p>
    <w:bookmarkStart w:id="7" w:name="page8"/>
    <w:bookmarkEnd w:id="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right="80"/>
        <w:spacing w:after="0" w:line="268" w:lineRule="auto"/>
        <w:rPr>
          <w:sz w:val="20"/>
          <w:szCs w:val="20"/>
          <w:color w:val="auto"/>
        </w:rPr>
      </w:pPr>
      <w:r>
        <w:rPr>
          <w:rFonts w:ascii="Arial" w:cs="Arial" w:eastAsia="Arial" w:hAnsi="Arial"/>
          <w:sz w:val="18"/>
          <w:szCs w:val="18"/>
          <w:color w:val="auto"/>
        </w:rPr>
        <w:t>provides multiple e-mail addresses and online storage, as well as a variety of proprietary content and value-added features and enhancements that are designed to take advantage of the speed of the Internet service we provide.</w:t>
      </w:r>
    </w:p>
    <w:p>
      <w:pPr>
        <w:spacing w:after="0" w:line="213"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Phone Services</w:t>
      </w:r>
    </w:p>
    <w:p>
      <w:pPr>
        <w:spacing w:after="0" w:line="90" w:lineRule="exact"/>
        <w:rPr>
          <w:sz w:val="20"/>
          <w:szCs w:val="20"/>
          <w:color w:val="auto"/>
        </w:rPr>
      </w:pPr>
    </w:p>
    <w:p>
      <w:pPr>
        <w:ind w:right="100" w:firstLine="456"/>
        <w:spacing w:after="0" w:line="259" w:lineRule="auto"/>
        <w:rPr>
          <w:sz w:val="20"/>
          <w:szCs w:val="20"/>
          <w:color w:val="auto"/>
        </w:rPr>
      </w:pPr>
      <w:r>
        <w:rPr>
          <w:rFonts w:ascii="Arial" w:cs="Arial" w:eastAsia="Arial" w:hAnsi="Arial"/>
          <w:sz w:val="18"/>
          <w:szCs w:val="18"/>
          <w:color w:val="auto"/>
        </w:rPr>
        <w:t>We offer Comcast Digital Voice, our IP-enabled phone service that provides unlimited local and domestic long-distance calling, including features such as Voice Mail, Caller ID and Call Waiting. As of December 31, 2006, Comcast Digital Voice service was available to 32 million homes. We anticipate that, by the end of 2007, approximately 85% of our homes passed will have access to Comcast Digital Voice.</w:t>
      </w:r>
    </w:p>
    <w:p>
      <w:pPr>
        <w:spacing w:after="0" w:line="140" w:lineRule="exact"/>
        <w:rPr>
          <w:sz w:val="20"/>
          <w:szCs w:val="20"/>
          <w:color w:val="auto"/>
        </w:rPr>
      </w:pPr>
    </w:p>
    <w:p>
      <w:pPr>
        <w:ind w:right="60" w:firstLine="456"/>
        <w:spacing w:after="0" w:line="268" w:lineRule="auto"/>
        <w:rPr>
          <w:sz w:val="20"/>
          <w:szCs w:val="20"/>
          <w:color w:val="auto"/>
        </w:rPr>
      </w:pPr>
      <w:r>
        <w:rPr>
          <w:rFonts w:ascii="Arial" w:cs="Arial" w:eastAsia="Arial" w:hAnsi="Arial"/>
          <w:sz w:val="18"/>
          <w:szCs w:val="18"/>
          <w:color w:val="auto"/>
        </w:rPr>
        <w:t>In some areas, we provide our circuit-switched local phone service. Subscribers to this service have access to a full array of calling features and third-party long-distance services. At this time, we are now focusing our marketing efforts on Comcast Digital Voice.</w:t>
      </w:r>
    </w:p>
    <w:p>
      <w:pPr>
        <w:spacing w:after="0" w:line="213"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Advertising</w:t>
      </w:r>
    </w:p>
    <w:p>
      <w:pPr>
        <w:spacing w:after="0" w:line="90" w:lineRule="exact"/>
        <w:rPr>
          <w:sz w:val="20"/>
          <w:szCs w:val="20"/>
          <w:color w:val="auto"/>
        </w:rPr>
      </w:pPr>
    </w:p>
    <w:p>
      <w:pPr>
        <w:ind w:right="40" w:firstLine="456"/>
        <w:spacing w:after="0" w:line="298" w:lineRule="auto"/>
        <w:rPr>
          <w:sz w:val="20"/>
          <w:szCs w:val="20"/>
          <w:color w:val="auto"/>
        </w:rPr>
      </w:pPr>
      <w:r>
        <w:rPr>
          <w:rFonts w:ascii="Arial" w:cs="Arial" w:eastAsia="Arial" w:hAnsi="Arial"/>
          <w:sz w:val="16"/>
          <w:szCs w:val="16"/>
          <w:color w:val="auto"/>
        </w:rPr>
        <w:t>As part of our programming license agreements with programming networks, we often receive an allocation of scheduled advertising time that we may sell to local, regional and national advertisers. We also coordinate the advertising sales efforts of other cable operators in some markets, and in other markets we have formed and operate advertising interconnects, which establish a physical, direct link between multiple cable systems and provide for the sale of regional and national advertising across larger geographic areas than could be provided by a single cable operator.</w:t>
      </w:r>
    </w:p>
    <w:p>
      <w:pPr>
        <w:spacing w:after="0" w:line="19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Regional Sports and News Networks</w:t>
      </w:r>
    </w:p>
    <w:p>
      <w:pPr>
        <w:spacing w:after="0" w:line="90" w:lineRule="exact"/>
        <w:rPr>
          <w:sz w:val="20"/>
          <w:szCs w:val="20"/>
          <w:color w:val="auto"/>
        </w:rPr>
      </w:pPr>
    </w:p>
    <w:p>
      <w:pPr>
        <w:ind w:right="40" w:firstLine="456"/>
        <w:spacing w:after="0" w:line="256" w:lineRule="auto"/>
        <w:rPr>
          <w:sz w:val="20"/>
          <w:szCs w:val="20"/>
          <w:color w:val="auto"/>
        </w:rPr>
      </w:pPr>
      <w:r>
        <w:rPr>
          <w:rFonts w:ascii="Arial" w:cs="Arial" w:eastAsia="Arial" w:hAnsi="Arial"/>
          <w:sz w:val="18"/>
          <w:szCs w:val="18"/>
          <w:color w:val="auto"/>
        </w:rPr>
        <w:t>Our regional sports and news networks include Comcast SportsNet (Philadelphia), Comcast SportsNet Mid-Atlantic (Baltimore/Washington), Cable Sports Southeast, CN8—The Comcast Network, Comcast SportsNet Chicago, MountainWest Sports Network and Comcast SportsNet West (Sacramento). These networks earn revenue through the sale of advertising time and from monthly per subscriber license fees paid by cable system operators and direct broadcast satellite (“DBS”) companies.</w:t>
      </w:r>
    </w:p>
    <w:p>
      <w:pPr>
        <w:spacing w:after="0" w:line="22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Other Revenue Sources</w:t>
      </w:r>
    </w:p>
    <w:p>
      <w:pPr>
        <w:spacing w:after="0" w:line="90" w:lineRule="exact"/>
        <w:rPr>
          <w:sz w:val="20"/>
          <w:szCs w:val="20"/>
          <w:color w:val="auto"/>
        </w:rPr>
      </w:pPr>
    </w:p>
    <w:p>
      <w:pPr>
        <w:ind w:right="680" w:firstLine="456"/>
        <w:spacing w:after="0" w:line="268" w:lineRule="auto"/>
        <w:rPr>
          <w:sz w:val="20"/>
          <w:szCs w:val="20"/>
          <w:color w:val="auto"/>
        </w:rPr>
      </w:pPr>
      <w:r>
        <w:rPr>
          <w:rFonts w:ascii="Arial" w:cs="Arial" w:eastAsia="Arial" w:hAnsi="Arial"/>
          <w:sz w:val="18"/>
          <w:szCs w:val="18"/>
          <w:color w:val="auto"/>
        </w:rPr>
        <w:t>We also generate revenues from installation services, commissions from third-party electronic retailing and from other services, such as providing businesses with data connectivity and networked applications.</w:t>
      </w:r>
    </w:p>
    <w:p>
      <w:pPr>
        <w:spacing w:after="0" w:line="213"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Sources of Supply</w:t>
      </w:r>
    </w:p>
    <w:p>
      <w:pPr>
        <w:spacing w:after="0" w:line="90" w:lineRule="exact"/>
        <w:rPr>
          <w:sz w:val="20"/>
          <w:szCs w:val="20"/>
          <w:color w:val="auto"/>
        </w:rPr>
      </w:pPr>
    </w:p>
    <w:p>
      <w:pPr>
        <w:ind w:right="300" w:firstLine="456"/>
        <w:spacing w:after="0" w:line="298" w:lineRule="auto"/>
        <w:rPr>
          <w:sz w:val="20"/>
          <w:szCs w:val="20"/>
          <w:color w:val="auto"/>
        </w:rPr>
      </w:pPr>
      <w:r>
        <w:rPr>
          <w:rFonts w:ascii="Arial" w:cs="Arial" w:eastAsia="Arial" w:hAnsi="Arial"/>
          <w:sz w:val="16"/>
          <w:szCs w:val="16"/>
          <w:color w:val="auto"/>
        </w:rPr>
        <w:t>To offer our video services, we license from programming networks the substantial majority of the programming we distribute (both channels and ON DEMAND programs) for which we generally pay a monthly fee on a per video subscriber, per channel basis. We attempt to secure long-term licenses with volume discounts and/or marketing support and incentives for this programming. We also license individual programs or packages of programs from program suppliers for our ON DEMAND service, generally under shorter-term agreements.</w:t>
      </w:r>
    </w:p>
    <w:p>
      <w:pPr>
        <w:spacing w:after="0" w:line="113" w:lineRule="exact"/>
        <w:rPr>
          <w:sz w:val="20"/>
          <w:szCs w:val="20"/>
          <w:color w:val="auto"/>
        </w:rPr>
      </w:pPr>
    </w:p>
    <w:p>
      <w:pPr>
        <w:ind w:right="40" w:firstLine="456"/>
        <w:spacing w:after="0" w:line="298" w:lineRule="auto"/>
        <w:rPr>
          <w:sz w:val="20"/>
          <w:szCs w:val="20"/>
          <w:color w:val="auto"/>
        </w:rPr>
      </w:pPr>
      <w:r>
        <w:rPr>
          <w:rFonts w:ascii="Arial" w:cs="Arial" w:eastAsia="Arial" w:hAnsi="Arial"/>
          <w:sz w:val="16"/>
          <w:szCs w:val="16"/>
          <w:color w:val="auto"/>
        </w:rPr>
        <w:t>Our video programming expenses are increased by the growth in the number of video subscribers, the increase in the number of channels and programs we provide, and increases in license fees. We expect our programming expenses to continue to be our largest single expense item and to increase in the future. In recent years, the cable and satellite television industries have experienced a substantial increase in the cost of programming, particularly sports programming. We anticipate that these increases may be mitigated, to some extent, by volume discounts.</w:t>
      </w:r>
    </w:p>
    <w:p>
      <w:pPr>
        <w:spacing w:after="0" w:line="113" w:lineRule="exact"/>
        <w:rPr>
          <w:sz w:val="20"/>
          <w:szCs w:val="20"/>
          <w:color w:val="auto"/>
        </w:rPr>
      </w:pPr>
    </w:p>
    <w:p>
      <w:pPr>
        <w:ind w:firstLine="456"/>
        <w:spacing w:after="0" w:line="332" w:lineRule="auto"/>
        <w:rPr>
          <w:sz w:val="20"/>
          <w:szCs w:val="20"/>
          <w:color w:val="auto"/>
        </w:rPr>
      </w:pPr>
      <w:r>
        <w:rPr>
          <w:rFonts w:ascii="Arial" w:cs="Arial" w:eastAsia="Arial" w:hAnsi="Arial"/>
          <w:sz w:val="16"/>
          <w:szCs w:val="16"/>
          <w:color w:val="auto"/>
        </w:rPr>
        <w:t>To offer our high-speed Internet portal service, we license the software products (such as e-mail) and content (such as news feeds) that we integrate into our service from a variety of suppliers under multiyear contracts in which we generally pay a monthly fee on a per subscriber or fixed fee basis.</w:t>
      </w:r>
    </w:p>
    <w:p>
      <w:pPr>
        <w:spacing w:after="0" w:line="72"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5</w:t>
      </w:r>
    </w:p>
    <w:p>
      <w:pPr>
        <w:sectPr>
          <w:pgSz w:w="11900" w:h="16838" w:orient="portrait"/>
          <w:cols w:equalWidth="0" w:num="1">
            <w:col w:w="11400"/>
          </w:cols>
          <w:pgMar w:left="240" w:top="459" w:right="259" w:bottom="1440" w:gutter="0" w:footer="0" w:header="0"/>
        </w:sectPr>
      </w:pPr>
    </w:p>
    <w:bookmarkStart w:id="8" w:name="page9"/>
    <w:bookmarkEnd w:id="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right="220" w:firstLine="456"/>
        <w:spacing w:after="0" w:line="268" w:lineRule="auto"/>
        <w:rPr>
          <w:sz w:val="20"/>
          <w:szCs w:val="20"/>
          <w:color w:val="auto"/>
        </w:rPr>
      </w:pPr>
      <w:r>
        <w:rPr>
          <w:rFonts w:ascii="Arial" w:cs="Arial" w:eastAsia="Arial" w:hAnsi="Arial"/>
          <w:sz w:val="18"/>
          <w:szCs w:val="18"/>
          <w:color w:val="auto"/>
        </w:rPr>
        <w:t>To offer Comcast Digital Voice, we license the software products (such as voice mail) that we integrate into our service from a variety of suppliers under multiyear contracts and payment is based upon consumption of the related services.</w:t>
      </w:r>
    </w:p>
    <w:p>
      <w:pPr>
        <w:spacing w:after="0" w:line="213"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Customer and Technical Service</w:t>
      </w:r>
    </w:p>
    <w:p>
      <w:pPr>
        <w:spacing w:after="0" w:line="90" w:lineRule="exact"/>
        <w:rPr>
          <w:sz w:val="20"/>
          <w:szCs w:val="20"/>
          <w:color w:val="auto"/>
        </w:rPr>
      </w:pPr>
    </w:p>
    <w:p>
      <w:pPr>
        <w:jc w:val="both"/>
        <w:ind w:firstLine="456"/>
        <w:spacing w:after="0" w:line="259" w:lineRule="auto"/>
        <w:rPr>
          <w:sz w:val="20"/>
          <w:szCs w:val="20"/>
          <w:color w:val="auto"/>
        </w:rPr>
      </w:pPr>
      <w:r>
        <w:rPr>
          <w:rFonts w:ascii="Arial" w:cs="Arial" w:eastAsia="Arial" w:hAnsi="Arial"/>
          <w:sz w:val="18"/>
          <w:szCs w:val="18"/>
          <w:color w:val="auto"/>
        </w:rPr>
        <w:t>We service our subscribers through local, regional and national call and technical centers. Generally, our call centers provide 24/7 call-answering capability, telemarketing and other services. Our technical services function performs various tasks, including installations, transmission and distribution plant maintenance, plant upgrades and activities related to customer service.</w:t>
      </w:r>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Technology Development</w:t>
      </w:r>
    </w:p>
    <w:p>
      <w:pPr>
        <w:spacing w:after="0" w:line="90" w:lineRule="exact"/>
        <w:rPr>
          <w:sz w:val="20"/>
          <w:szCs w:val="20"/>
          <w:color w:val="auto"/>
        </w:rPr>
      </w:pPr>
    </w:p>
    <w:p>
      <w:pPr>
        <w:ind w:firstLine="456"/>
        <w:spacing w:after="0" w:line="291" w:lineRule="auto"/>
        <w:rPr>
          <w:sz w:val="20"/>
          <w:szCs w:val="20"/>
          <w:color w:val="auto"/>
        </w:rPr>
      </w:pPr>
      <w:r>
        <w:rPr>
          <w:rFonts w:ascii="Arial" w:cs="Arial" w:eastAsia="Arial" w:hAnsi="Arial"/>
          <w:sz w:val="16"/>
          <w:szCs w:val="16"/>
          <w:color w:val="auto"/>
        </w:rPr>
        <w:t>Historically, we have relied on third-party hardware and software vendors for many of the technologies needed for the operation of our businesses, the addition of new features to existing services, and the development and commercialization of new service offerings. In recent years, we have begun developing strategically important software and technologies internally and integrating third-party software to our specifications. We have arranged for long-term access rights to national fiber-based networks that we actively manage to interconnect our local and regional distribution systems and to facilitate the efficient delivery of our services. We expect these efforts to continue and expand in the future. These efforts require greater initial expenditures than would be required if we continued to purchase or license these products and services from third parties.</w:t>
      </w:r>
    </w:p>
    <w:p>
      <w:pPr>
        <w:spacing w:after="0" w:line="120" w:lineRule="exact"/>
        <w:rPr>
          <w:sz w:val="20"/>
          <w:szCs w:val="20"/>
          <w:color w:val="auto"/>
        </w:rPr>
      </w:pPr>
    </w:p>
    <w:p>
      <w:pPr>
        <w:ind w:right="140" w:firstLine="456"/>
        <w:spacing w:after="0" w:line="256" w:lineRule="auto"/>
        <w:rPr>
          <w:sz w:val="20"/>
          <w:szCs w:val="20"/>
          <w:color w:val="auto"/>
        </w:rPr>
      </w:pPr>
      <w:r>
        <w:rPr>
          <w:rFonts w:ascii="Arial" w:cs="Arial" w:eastAsia="Arial" w:hAnsi="Arial"/>
          <w:sz w:val="18"/>
          <w:szCs w:val="18"/>
          <w:color w:val="auto"/>
        </w:rPr>
        <w:t>We have begun to explore various ways to offer wireless services. We have entered into a strategic alliance with a wireless carrier to offer its wireless service integrated with our cable services and to develop technology that facilitates further integration. We have also purchased our own wireless spectrum, both directly and through a consortium. We have not yet built any networks using our spectrum, but we are exploring various strategies to utilize this spectrum to enhance our service offerings and offer new services.</w:t>
      </w:r>
    </w:p>
    <w:p>
      <w:pPr>
        <w:spacing w:after="0" w:line="22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Sales and Marketing</w:t>
      </w:r>
    </w:p>
    <w:p>
      <w:pPr>
        <w:spacing w:after="0" w:line="90" w:lineRule="exact"/>
        <w:rPr>
          <w:sz w:val="20"/>
          <w:szCs w:val="20"/>
          <w:color w:val="auto"/>
        </w:rPr>
      </w:pPr>
    </w:p>
    <w:p>
      <w:pPr>
        <w:ind w:right="420" w:firstLine="456"/>
        <w:spacing w:after="0" w:line="259" w:lineRule="auto"/>
        <w:rPr>
          <w:sz w:val="20"/>
          <w:szCs w:val="20"/>
          <w:color w:val="auto"/>
        </w:rPr>
      </w:pPr>
      <w:r>
        <w:rPr>
          <w:rFonts w:ascii="Arial" w:cs="Arial" w:eastAsia="Arial" w:hAnsi="Arial"/>
          <w:sz w:val="18"/>
          <w:szCs w:val="18"/>
          <w:color w:val="auto"/>
        </w:rPr>
        <w:t>We offer our products and services through direct customer contact through our call centers, door-to-door selling, direct mail advertising, television advertising, local media advertising, telemarketing and retail outlets. In 2006, we began marketing our video, high-speed Internet and Comcast Digital Voice services in a package that we refer to as the “triple play.”</w:t>
      </w:r>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Competition</w:t>
      </w:r>
    </w:p>
    <w:p>
      <w:pPr>
        <w:spacing w:after="0" w:line="90" w:lineRule="exact"/>
        <w:rPr>
          <w:sz w:val="20"/>
          <w:szCs w:val="20"/>
          <w:color w:val="auto"/>
        </w:rPr>
      </w:pPr>
    </w:p>
    <w:p>
      <w:pPr>
        <w:ind w:right="260" w:firstLine="456"/>
        <w:spacing w:after="0" w:line="323" w:lineRule="auto"/>
        <w:rPr>
          <w:sz w:val="20"/>
          <w:szCs w:val="20"/>
          <w:color w:val="auto"/>
        </w:rPr>
      </w:pPr>
      <w:r>
        <w:rPr>
          <w:rFonts w:ascii="Arial" w:cs="Arial" w:eastAsia="Arial" w:hAnsi="Arial"/>
          <w:sz w:val="15"/>
          <w:szCs w:val="15"/>
          <w:color w:val="auto"/>
        </w:rPr>
        <w:t>We operate our businesses in an increasingly competitive environment. We compete with a number of different companies that offer a broad range of services through increasingly diverse means. In addition, we operate in a technologically complex environment where it is likely new technologies will further increase the number of competitors we face for our video, high-speed Internet and phone services, and our advertising business. We expect advances in communications technology to continue in the future and we are unable to predict what effects these developments will have on our businesses and operations.</w:t>
      </w:r>
    </w:p>
    <w:p>
      <w:pPr>
        <w:spacing w:after="0" w:line="179" w:lineRule="exact"/>
        <w:rPr>
          <w:sz w:val="20"/>
          <w:szCs w:val="20"/>
          <w:color w:val="auto"/>
        </w:rPr>
      </w:pPr>
    </w:p>
    <w:p>
      <w:pPr>
        <w:ind w:left="240"/>
        <w:spacing w:after="0"/>
        <w:rPr>
          <w:sz w:val="20"/>
          <w:szCs w:val="20"/>
          <w:color w:val="auto"/>
        </w:rPr>
      </w:pPr>
      <w:r>
        <w:rPr>
          <w:rFonts w:ascii="Arial" w:cs="Arial" w:eastAsia="Arial" w:hAnsi="Arial"/>
          <w:sz w:val="18"/>
          <w:szCs w:val="18"/>
          <w:i w:val="1"/>
          <w:iCs w:val="1"/>
          <w:color w:val="auto"/>
        </w:rPr>
        <w:t>Video Services</w:t>
      </w:r>
    </w:p>
    <w:p>
      <w:pPr>
        <w:spacing w:after="0" w:line="90" w:lineRule="exact"/>
        <w:rPr>
          <w:sz w:val="20"/>
          <w:szCs w:val="20"/>
          <w:color w:val="auto"/>
        </w:rPr>
      </w:pPr>
    </w:p>
    <w:p>
      <w:pPr>
        <w:ind w:left="460"/>
        <w:spacing w:after="0"/>
        <w:rPr>
          <w:sz w:val="20"/>
          <w:szCs w:val="20"/>
          <w:color w:val="auto"/>
        </w:rPr>
      </w:pPr>
      <w:r>
        <w:rPr>
          <w:rFonts w:ascii="Arial" w:cs="Arial" w:eastAsia="Arial" w:hAnsi="Arial"/>
          <w:sz w:val="18"/>
          <w:szCs w:val="18"/>
          <w:color w:val="auto"/>
        </w:rPr>
        <w:t>We compete with a number of different sources that provide news, information and entertainment programming to consumers, including:</w:t>
      </w:r>
    </w:p>
    <w:p>
      <w:pPr>
        <w:spacing w:after="0" w:line="90" w:lineRule="exact"/>
        <w:rPr>
          <w:sz w:val="20"/>
          <w:szCs w:val="20"/>
          <w:color w:val="auto"/>
        </w:rPr>
      </w:pPr>
    </w:p>
    <w:p>
      <w:pPr>
        <w:ind w:left="900" w:right="860" w:hanging="446"/>
        <w:spacing w:after="0" w:line="268" w:lineRule="auto"/>
        <w:tabs>
          <w:tab w:leader="none" w:pos="900" w:val="left"/>
        </w:tabs>
        <w:numPr>
          <w:ilvl w:val="0"/>
          <w:numId w:val="5"/>
        </w:numPr>
        <w:rPr>
          <w:rFonts w:ascii="Arial" w:cs="Arial" w:eastAsia="Arial" w:hAnsi="Arial"/>
          <w:sz w:val="18"/>
          <w:szCs w:val="18"/>
          <w:color w:val="auto"/>
        </w:rPr>
      </w:pPr>
      <w:r>
        <w:rPr>
          <w:rFonts w:ascii="Arial" w:cs="Arial" w:eastAsia="Arial" w:hAnsi="Arial"/>
          <w:sz w:val="18"/>
          <w:szCs w:val="18"/>
          <w:color w:val="auto"/>
        </w:rPr>
        <w:t>DBS providers that transmit satellite signals containing video programming, data and other information to receiving dishes located on the subscriber’s premises</w:t>
      </w:r>
    </w:p>
    <w:p>
      <w:pPr>
        <w:spacing w:after="0" w:line="50" w:lineRule="exact"/>
        <w:rPr>
          <w:rFonts w:ascii="Arial" w:cs="Arial" w:eastAsia="Arial" w:hAnsi="Arial"/>
          <w:sz w:val="18"/>
          <w:szCs w:val="18"/>
          <w:color w:val="auto"/>
        </w:rPr>
      </w:pPr>
    </w:p>
    <w:p>
      <w:pPr>
        <w:ind w:left="900" w:right="20" w:hanging="446"/>
        <w:spacing w:after="0" w:line="259" w:lineRule="auto"/>
        <w:tabs>
          <w:tab w:leader="none" w:pos="900" w:val="left"/>
        </w:tabs>
        <w:numPr>
          <w:ilvl w:val="0"/>
          <w:numId w:val="5"/>
        </w:numPr>
        <w:rPr>
          <w:rFonts w:ascii="Arial" w:cs="Arial" w:eastAsia="Arial" w:hAnsi="Arial"/>
          <w:sz w:val="18"/>
          <w:szCs w:val="18"/>
          <w:color w:val="auto"/>
        </w:rPr>
      </w:pPr>
      <w:r>
        <w:rPr>
          <w:rFonts w:ascii="Arial" w:cs="Arial" w:eastAsia="Arial" w:hAnsi="Arial"/>
          <w:sz w:val="18"/>
          <w:szCs w:val="18"/>
          <w:color w:val="auto"/>
        </w:rPr>
        <w:t>incumbent local exchange carriers (“ILECs”) that are building wireline fiber-optic networks, and in some cases using Internet protocol technology, to provide video services in substantial portions of their service areas and have begun to offer this service in several of our markets, in addition to marketing DBS service in certain areas</w:t>
      </w:r>
    </w:p>
    <w:p>
      <w:pPr>
        <w:spacing w:after="0" w:line="12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6</w:t>
      </w:r>
    </w:p>
    <w:p>
      <w:pPr>
        <w:sectPr>
          <w:pgSz w:w="11900" w:h="16838" w:orient="portrait"/>
          <w:cols w:equalWidth="0" w:num="1">
            <w:col w:w="11420"/>
          </w:cols>
          <w:pgMar w:left="240" w:top="459" w:right="239" w:bottom="1440" w:gutter="0" w:footer="0" w:header="0"/>
        </w:sectPr>
      </w:pPr>
    </w:p>
    <w:bookmarkStart w:id="9" w:name="page10"/>
    <w:bookmarkEnd w:id="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left="900" w:right="120" w:hanging="446"/>
        <w:spacing w:after="0" w:line="332" w:lineRule="auto"/>
        <w:tabs>
          <w:tab w:leader="none" w:pos="900" w:val="left"/>
        </w:tabs>
        <w:numPr>
          <w:ilvl w:val="0"/>
          <w:numId w:val="6"/>
        </w:numPr>
        <w:rPr>
          <w:rFonts w:ascii="Arial" w:cs="Arial" w:eastAsia="Arial" w:hAnsi="Arial"/>
          <w:sz w:val="16"/>
          <w:szCs w:val="16"/>
          <w:color w:val="auto"/>
        </w:rPr>
      </w:pPr>
      <w:r>
        <w:rPr>
          <w:rFonts w:ascii="Arial" w:cs="Arial" w:eastAsia="Arial" w:hAnsi="Arial"/>
          <w:sz w:val="16"/>
          <w:szCs w:val="16"/>
          <w:color w:val="auto"/>
        </w:rPr>
        <w:t>other wireline communications providers that build and operate wireline communications systems in the same communities that we serve, including those operating as franchised cable operators or under an alternative regulatory scheme known as open video systems (“OVS”)</w:t>
      </w:r>
    </w:p>
    <w:p>
      <w:pPr>
        <w:spacing w:after="0" w:line="4" w:lineRule="exact"/>
        <w:rPr>
          <w:rFonts w:ascii="Arial" w:cs="Arial" w:eastAsia="Arial" w:hAnsi="Arial"/>
          <w:sz w:val="16"/>
          <w:szCs w:val="16"/>
          <w:color w:val="auto"/>
        </w:rPr>
      </w:pPr>
    </w:p>
    <w:p>
      <w:pPr>
        <w:ind w:left="900" w:hanging="446"/>
        <w:spacing w:after="0"/>
        <w:tabs>
          <w:tab w:leader="none" w:pos="900" w:val="left"/>
        </w:tabs>
        <w:numPr>
          <w:ilvl w:val="0"/>
          <w:numId w:val="6"/>
        </w:numPr>
        <w:rPr>
          <w:rFonts w:ascii="Arial" w:cs="Arial" w:eastAsia="Arial" w:hAnsi="Arial"/>
          <w:sz w:val="16"/>
          <w:szCs w:val="16"/>
          <w:color w:val="auto"/>
        </w:rPr>
      </w:pPr>
      <w:r>
        <w:rPr>
          <w:rFonts w:ascii="Arial" w:cs="Arial" w:eastAsia="Arial" w:hAnsi="Arial"/>
          <w:sz w:val="16"/>
          <w:szCs w:val="16"/>
          <w:color w:val="auto"/>
        </w:rPr>
        <w:t>online services that offer Internet video streaming, downloading and distribution of movies, television shows and other video programming</w:t>
      </w:r>
    </w:p>
    <w:p>
      <w:pPr>
        <w:spacing w:after="0" w:line="113" w:lineRule="exact"/>
        <w:rPr>
          <w:rFonts w:ascii="Arial" w:cs="Arial" w:eastAsia="Arial" w:hAnsi="Arial"/>
          <w:sz w:val="16"/>
          <w:szCs w:val="16"/>
          <w:color w:val="auto"/>
        </w:rPr>
      </w:pPr>
    </w:p>
    <w:p>
      <w:pPr>
        <w:ind w:left="900" w:right="80" w:hanging="446"/>
        <w:spacing w:after="0" w:line="268" w:lineRule="auto"/>
        <w:tabs>
          <w:tab w:leader="none" w:pos="900" w:val="left"/>
        </w:tabs>
        <w:numPr>
          <w:ilvl w:val="0"/>
          <w:numId w:val="6"/>
        </w:numPr>
        <w:rPr>
          <w:rFonts w:ascii="Arial" w:cs="Arial" w:eastAsia="Arial" w:hAnsi="Arial"/>
          <w:sz w:val="18"/>
          <w:szCs w:val="18"/>
          <w:color w:val="auto"/>
        </w:rPr>
      </w:pPr>
      <w:r>
        <w:rPr>
          <w:rFonts w:ascii="Arial" w:cs="Arial" w:eastAsia="Arial" w:hAnsi="Arial"/>
          <w:sz w:val="18"/>
          <w:szCs w:val="18"/>
          <w:color w:val="auto"/>
        </w:rPr>
        <w:t>satellite master antenna television systems, known as SMATVs, that generally serve condominiums, apartment and office complexes, and residential developments</w:t>
      </w:r>
    </w:p>
    <w:p>
      <w:pPr>
        <w:spacing w:after="0" w:line="50" w:lineRule="exact"/>
        <w:rPr>
          <w:rFonts w:ascii="Arial" w:cs="Arial" w:eastAsia="Arial" w:hAnsi="Arial"/>
          <w:sz w:val="18"/>
          <w:szCs w:val="18"/>
          <w:color w:val="auto"/>
        </w:rPr>
      </w:pPr>
    </w:p>
    <w:p>
      <w:pPr>
        <w:ind w:left="900" w:hanging="446"/>
        <w:spacing w:after="0"/>
        <w:tabs>
          <w:tab w:leader="none" w:pos="900" w:val="left"/>
        </w:tabs>
        <w:numPr>
          <w:ilvl w:val="0"/>
          <w:numId w:val="6"/>
        </w:numPr>
        <w:rPr>
          <w:rFonts w:ascii="Arial" w:cs="Arial" w:eastAsia="Arial" w:hAnsi="Arial"/>
          <w:sz w:val="16"/>
          <w:szCs w:val="16"/>
          <w:color w:val="auto"/>
        </w:rPr>
      </w:pPr>
      <w:r>
        <w:rPr>
          <w:rFonts w:ascii="Arial" w:cs="Arial" w:eastAsia="Arial" w:hAnsi="Arial"/>
          <w:sz w:val="16"/>
          <w:szCs w:val="16"/>
          <w:color w:val="auto"/>
        </w:rPr>
        <w:t>local television broadcast stations that provide free over-the-air programming which can be received using an antenna and a television set</w:t>
      </w:r>
    </w:p>
    <w:p>
      <w:pPr>
        <w:spacing w:after="0" w:line="113" w:lineRule="exact"/>
        <w:rPr>
          <w:rFonts w:ascii="Arial" w:cs="Arial" w:eastAsia="Arial" w:hAnsi="Arial"/>
          <w:sz w:val="16"/>
          <w:szCs w:val="16"/>
          <w:color w:val="auto"/>
        </w:rPr>
      </w:pPr>
    </w:p>
    <w:p>
      <w:pPr>
        <w:ind w:left="900" w:hanging="446"/>
        <w:spacing w:after="0"/>
        <w:tabs>
          <w:tab w:leader="none" w:pos="900" w:val="left"/>
        </w:tabs>
        <w:numPr>
          <w:ilvl w:val="0"/>
          <w:numId w:val="6"/>
        </w:numPr>
        <w:rPr>
          <w:rFonts w:ascii="Arial" w:cs="Arial" w:eastAsia="Arial" w:hAnsi="Arial"/>
          <w:sz w:val="18"/>
          <w:szCs w:val="18"/>
          <w:color w:val="auto"/>
        </w:rPr>
      </w:pPr>
      <w:r>
        <w:rPr>
          <w:rFonts w:ascii="Arial" w:cs="Arial" w:eastAsia="Arial" w:hAnsi="Arial"/>
          <w:sz w:val="18"/>
          <w:szCs w:val="18"/>
          <w:color w:val="auto"/>
        </w:rPr>
        <w:t>digital subscription services transmitted over local television broadcast stations that can be received by a special set-top box</w:t>
      </w:r>
    </w:p>
    <w:p>
      <w:pPr>
        <w:spacing w:after="0" w:line="90" w:lineRule="exact"/>
        <w:rPr>
          <w:rFonts w:ascii="Arial" w:cs="Arial" w:eastAsia="Arial" w:hAnsi="Arial"/>
          <w:sz w:val="18"/>
          <w:szCs w:val="18"/>
          <w:color w:val="auto"/>
        </w:rPr>
      </w:pPr>
    </w:p>
    <w:p>
      <w:pPr>
        <w:ind w:left="900" w:hanging="446"/>
        <w:spacing w:after="0"/>
        <w:tabs>
          <w:tab w:leader="none" w:pos="900" w:val="left"/>
        </w:tabs>
        <w:numPr>
          <w:ilvl w:val="0"/>
          <w:numId w:val="6"/>
        </w:numPr>
        <w:rPr>
          <w:rFonts w:ascii="Arial" w:cs="Arial" w:eastAsia="Arial" w:hAnsi="Arial"/>
          <w:sz w:val="18"/>
          <w:szCs w:val="18"/>
          <w:color w:val="auto"/>
        </w:rPr>
      </w:pPr>
      <w:r>
        <w:rPr>
          <w:rFonts w:ascii="Arial" w:cs="Arial" w:eastAsia="Arial" w:hAnsi="Arial"/>
          <w:sz w:val="18"/>
          <w:szCs w:val="18"/>
          <w:color w:val="auto"/>
        </w:rPr>
        <w:t>wireless and other emerging mobile technologies that provide for the distribution and viewing of video programming</w:t>
      </w:r>
    </w:p>
    <w:p>
      <w:pPr>
        <w:spacing w:after="0" w:line="90" w:lineRule="exact"/>
        <w:rPr>
          <w:rFonts w:ascii="Arial" w:cs="Arial" w:eastAsia="Arial" w:hAnsi="Arial"/>
          <w:sz w:val="18"/>
          <w:szCs w:val="18"/>
          <w:color w:val="auto"/>
        </w:rPr>
      </w:pPr>
    </w:p>
    <w:p>
      <w:pPr>
        <w:ind w:left="900" w:hanging="446"/>
        <w:spacing w:after="0"/>
        <w:tabs>
          <w:tab w:leader="none" w:pos="900" w:val="left"/>
        </w:tabs>
        <w:numPr>
          <w:ilvl w:val="0"/>
          <w:numId w:val="6"/>
        </w:numPr>
        <w:rPr>
          <w:rFonts w:ascii="Arial" w:cs="Arial" w:eastAsia="Arial" w:hAnsi="Arial"/>
          <w:sz w:val="18"/>
          <w:szCs w:val="18"/>
          <w:color w:val="auto"/>
        </w:rPr>
      </w:pPr>
      <w:r>
        <w:rPr>
          <w:rFonts w:ascii="Arial" w:cs="Arial" w:eastAsia="Arial" w:hAnsi="Arial"/>
          <w:sz w:val="18"/>
          <w:szCs w:val="18"/>
          <w:color w:val="auto"/>
        </w:rPr>
        <w:t>video stores and home video products</w:t>
      </w:r>
    </w:p>
    <w:p>
      <w:pPr>
        <w:spacing w:after="0" w:line="90" w:lineRule="exact"/>
        <w:rPr>
          <w:rFonts w:ascii="Arial" w:cs="Arial" w:eastAsia="Arial" w:hAnsi="Arial"/>
          <w:sz w:val="18"/>
          <w:szCs w:val="18"/>
          <w:color w:val="auto"/>
        </w:rPr>
      </w:pPr>
    </w:p>
    <w:p>
      <w:pPr>
        <w:ind w:left="900" w:hanging="446"/>
        <w:spacing w:after="0"/>
        <w:tabs>
          <w:tab w:leader="none" w:pos="900" w:val="left"/>
        </w:tabs>
        <w:numPr>
          <w:ilvl w:val="0"/>
          <w:numId w:val="6"/>
        </w:numPr>
        <w:rPr>
          <w:rFonts w:ascii="Arial" w:cs="Arial" w:eastAsia="Arial" w:hAnsi="Arial"/>
          <w:sz w:val="18"/>
          <w:szCs w:val="18"/>
          <w:color w:val="auto"/>
        </w:rPr>
      </w:pPr>
      <w:r>
        <w:rPr>
          <w:rFonts w:ascii="Arial" w:cs="Arial" w:eastAsia="Arial" w:hAnsi="Arial"/>
          <w:sz w:val="18"/>
          <w:szCs w:val="18"/>
          <w:color w:val="auto"/>
        </w:rPr>
        <w:t>movie theaters</w:t>
      </w:r>
    </w:p>
    <w:p>
      <w:pPr>
        <w:spacing w:after="0" w:line="90" w:lineRule="exact"/>
        <w:rPr>
          <w:rFonts w:ascii="Arial" w:cs="Arial" w:eastAsia="Arial" w:hAnsi="Arial"/>
          <w:sz w:val="18"/>
          <w:szCs w:val="18"/>
          <w:color w:val="auto"/>
        </w:rPr>
      </w:pPr>
    </w:p>
    <w:p>
      <w:pPr>
        <w:ind w:left="900" w:hanging="446"/>
        <w:spacing w:after="0"/>
        <w:tabs>
          <w:tab w:leader="none" w:pos="900" w:val="left"/>
        </w:tabs>
        <w:numPr>
          <w:ilvl w:val="0"/>
          <w:numId w:val="6"/>
        </w:numPr>
        <w:rPr>
          <w:rFonts w:ascii="Arial" w:cs="Arial" w:eastAsia="Arial" w:hAnsi="Arial"/>
          <w:sz w:val="18"/>
          <w:szCs w:val="18"/>
          <w:color w:val="auto"/>
        </w:rPr>
      </w:pPr>
      <w:r>
        <w:rPr>
          <w:rFonts w:ascii="Arial" w:cs="Arial" w:eastAsia="Arial" w:hAnsi="Arial"/>
          <w:sz w:val="18"/>
          <w:szCs w:val="18"/>
          <w:color w:val="auto"/>
        </w:rPr>
        <w:t>newspapers, magazines and books</w:t>
      </w:r>
    </w:p>
    <w:p>
      <w:pPr>
        <w:spacing w:after="0" w:line="90" w:lineRule="exact"/>
        <w:rPr>
          <w:rFonts w:ascii="Arial" w:cs="Arial" w:eastAsia="Arial" w:hAnsi="Arial"/>
          <w:sz w:val="18"/>
          <w:szCs w:val="18"/>
          <w:color w:val="auto"/>
        </w:rPr>
      </w:pPr>
    </w:p>
    <w:p>
      <w:pPr>
        <w:ind w:left="900" w:hanging="446"/>
        <w:spacing w:after="0"/>
        <w:tabs>
          <w:tab w:leader="none" w:pos="900" w:val="left"/>
        </w:tabs>
        <w:numPr>
          <w:ilvl w:val="0"/>
          <w:numId w:val="6"/>
        </w:numPr>
        <w:rPr>
          <w:rFonts w:ascii="Arial" w:cs="Arial" w:eastAsia="Arial" w:hAnsi="Arial"/>
          <w:sz w:val="18"/>
          <w:szCs w:val="18"/>
          <w:color w:val="auto"/>
        </w:rPr>
      </w:pPr>
      <w:r>
        <w:rPr>
          <w:rFonts w:ascii="Arial" w:cs="Arial" w:eastAsia="Arial" w:hAnsi="Arial"/>
          <w:sz w:val="18"/>
          <w:szCs w:val="18"/>
          <w:color w:val="auto"/>
        </w:rPr>
        <w:t>live concerts and sporting events</w:t>
      </w:r>
    </w:p>
    <w:p>
      <w:pPr>
        <w:spacing w:after="0" w:line="171" w:lineRule="exact"/>
        <w:rPr>
          <w:sz w:val="20"/>
          <w:szCs w:val="20"/>
          <w:color w:val="auto"/>
        </w:rPr>
      </w:pPr>
    </w:p>
    <w:p>
      <w:pPr>
        <w:ind w:right="120" w:firstLine="456"/>
        <w:spacing w:after="0" w:line="290" w:lineRule="auto"/>
        <w:rPr>
          <w:sz w:val="20"/>
          <w:szCs w:val="20"/>
          <w:color w:val="auto"/>
        </w:rPr>
      </w:pPr>
      <w:r>
        <w:rPr>
          <w:rFonts w:ascii="Arial" w:cs="Arial" w:eastAsia="Arial" w:hAnsi="Arial"/>
          <w:sz w:val="16"/>
          <w:szCs w:val="16"/>
          <w:color w:val="auto"/>
        </w:rPr>
        <w:t>In recent years, Congress has enacted legislation and the FCC has adopted regulatory policies intended to provide a favorable operating environment for existing competitors and for potential new competitors to our cable systems. The FCC adopted rules favoring new investment by ILECs in fiber-optic networks capable of distributing video programming and rules allocating and auctioning spectrum for new wireless services that may compete with our video service offerings. Furthermore, Congress and various state governments are considering measures that would reduce or eliminate local franchising requirements for new entrants into the multichannel video marketplace, including ILECs</w:t>
      </w:r>
      <w:r>
        <w:rPr>
          <w:rFonts w:ascii="Arial" w:cs="Arial" w:eastAsia="Arial" w:hAnsi="Arial"/>
          <w:sz w:val="16"/>
          <w:szCs w:val="16"/>
          <w:b w:val="1"/>
          <w:bCs w:val="1"/>
          <w:color w:val="auto"/>
        </w:rPr>
        <w:t>.</w:t>
      </w:r>
      <w:r>
        <w:rPr>
          <w:rFonts w:ascii="Arial" w:cs="Arial" w:eastAsia="Arial" w:hAnsi="Arial"/>
          <w:sz w:val="16"/>
          <w:szCs w:val="16"/>
          <w:color w:val="auto"/>
        </w:rPr>
        <w:t xml:space="preserve"> Certain of such franchising entry measures have already been adopted by the FCC and nine states. We could be significantly disadvantaged if proposals to change franchising rules for our competitors, but not for cable operators, are approved and implemented (see “Legislation and Regulation” below).</w:t>
      </w:r>
    </w:p>
    <w:p>
      <w:pPr>
        <w:spacing w:after="0" w:line="118" w:lineRule="exact"/>
        <w:rPr>
          <w:sz w:val="20"/>
          <w:szCs w:val="20"/>
          <w:color w:val="auto"/>
        </w:rPr>
      </w:pPr>
    </w:p>
    <w:p>
      <w:pPr>
        <w:ind w:firstLine="456"/>
        <w:spacing w:after="0" w:line="256" w:lineRule="auto"/>
        <w:rPr>
          <w:sz w:val="20"/>
          <w:szCs w:val="20"/>
          <w:color w:val="auto"/>
        </w:rPr>
      </w:pPr>
      <w:r>
        <w:rPr>
          <w:rFonts w:ascii="Arial" w:cs="Arial" w:eastAsia="Arial" w:hAnsi="Arial"/>
          <w:sz w:val="18"/>
          <w:szCs w:val="18"/>
          <w:i w:val="1"/>
          <w:iCs w:val="1"/>
          <w:color w:val="auto"/>
        </w:rPr>
        <w:t xml:space="preserve">DBS Systems. </w:t>
      </w:r>
      <w:r>
        <w:rPr>
          <w:rFonts w:ascii="Arial" w:cs="Arial" w:eastAsia="Arial" w:hAnsi="Arial"/>
          <w:sz w:val="18"/>
          <w:szCs w:val="18"/>
          <w:color w:val="auto"/>
        </w:rPr>
        <w:t>According to recent government and industry reports, conventional, medium- and high-power satellites currently provide video programming</w:t>
      </w:r>
      <w:r>
        <w:rPr>
          <w:rFonts w:ascii="Arial" w:cs="Arial" w:eastAsia="Arial" w:hAnsi="Arial"/>
          <w:sz w:val="18"/>
          <w:szCs w:val="18"/>
          <w:i w:val="1"/>
          <w:iCs w:val="1"/>
          <w:color w:val="auto"/>
        </w:rPr>
        <w:t xml:space="preserve"> </w:t>
      </w:r>
      <w:r>
        <w:rPr>
          <w:rFonts w:ascii="Arial" w:cs="Arial" w:eastAsia="Arial" w:hAnsi="Arial"/>
          <w:sz w:val="18"/>
          <w:szCs w:val="18"/>
          <w:color w:val="auto"/>
        </w:rPr>
        <w:t>to over 29 million subscribers in the United States. DBS providers with high-power satellites typically offer more than 300 channels of programming, including programming services substantially similar to those our cable systems provide. Two companies, DirecTV and EchoStar, provide service to substantially all of these DBS subscribers.</w:t>
      </w:r>
    </w:p>
    <w:p>
      <w:pPr>
        <w:spacing w:after="0" w:line="143" w:lineRule="exact"/>
        <w:rPr>
          <w:sz w:val="20"/>
          <w:szCs w:val="20"/>
          <w:color w:val="auto"/>
        </w:rPr>
      </w:pPr>
    </w:p>
    <w:p>
      <w:pPr>
        <w:ind w:right="240" w:firstLine="456"/>
        <w:spacing w:after="0" w:line="256" w:lineRule="auto"/>
        <w:rPr>
          <w:sz w:val="20"/>
          <w:szCs w:val="20"/>
          <w:color w:val="auto"/>
        </w:rPr>
      </w:pPr>
      <w:r>
        <w:rPr>
          <w:rFonts w:ascii="Arial" w:cs="Arial" w:eastAsia="Arial" w:hAnsi="Arial"/>
          <w:sz w:val="18"/>
          <w:szCs w:val="18"/>
          <w:color w:val="auto"/>
        </w:rPr>
        <w:t>High-power satellite service can be received throughout the continental United States through small rooftop or side-mounted outside antennas. Satellite systems use video compression technology to increase channel capacity and digital technology to improve the quality and quantity of the signals transmitted to their subscribers. Our digital cable service is competitive with the programming, channel capacity and quality of signals currently delivered to subscribers by DBS.</w:t>
      </w:r>
    </w:p>
    <w:p>
      <w:pPr>
        <w:spacing w:after="0" w:line="143" w:lineRule="exact"/>
        <w:rPr>
          <w:sz w:val="20"/>
          <w:szCs w:val="20"/>
          <w:color w:val="auto"/>
        </w:rPr>
      </w:pPr>
    </w:p>
    <w:p>
      <w:pPr>
        <w:ind w:right="160" w:firstLine="456"/>
        <w:spacing w:after="0" w:line="291" w:lineRule="auto"/>
        <w:rPr>
          <w:sz w:val="20"/>
          <w:szCs w:val="20"/>
          <w:color w:val="auto"/>
        </w:rPr>
      </w:pPr>
      <w:r>
        <w:rPr>
          <w:rFonts w:ascii="Arial" w:cs="Arial" w:eastAsia="Arial" w:hAnsi="Arial"/>
          <w:sz w:val="16"/>
          <w:szCs w:val="16"/>
          <w:color w:val="auto"/>
        </w:rPr>
        <w:t>Federal legislation establishes, among other things, a compulsory copyright license that permits satellite systems to retransmit local broadcast television signals to subscribers who reside in the local television station’s market. These companies are currently transmitting local broadcast signals in most markets that we serve. Additionally, federal law generally provides satellite systems with access to cable-affiliated video programming services delivered by satellite. DBS providers are competitive with cable operators like us because they offer programming that closely resembles what we offer. These DBS providers are also attempting to expand their service offerings to include, among other things, high-speed Internet service and have entered into marketing arrangements in which their service is promoted and sold by ILECs.</w:t>
      </w:r>
    </w:p>
    <w:p>
      <w:pPr>
        <w:spacing w:after="0" w:line="10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7</w:t>
      </w:r>
    </w:p>
    <w:p>
      <w:pPr>
        <w:sectPr>
          <w:pgSz w:w="11900" w:h="16838" w:orient="portrait"/>
          <w:cols w:equalWidth="0" w:num="1">
            <w:col w:w="11420"/>
          </w:cols>
          <w:pgMar w:left="240" w:top="459" w:right="239" w:bottom="1440" w:gutter="0" w:footer="0" w:header="0"/>
        </w:sectPr>
      </w:pPr>
    </w:p>
    <w:bookmarkStart w:id="10" w:name="page11"/>
    <w:bookmarkEnd w:id="10"/>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right="20" w:firstLine="456"/>
        <w:spacing w:after="0" w:line="254" w:lineRule="auto"/>
        <w:rPr>
          <w:sz w:val="20"/>
          <w:szCs w:val="20"/>
          <w:color w:val="auto"/>
        </w:rPr>
      </w:pPr>
      <w:r>
        <w:rPr>
          <w:rFonts w:ascii="Arial" w:cs="Arial" w:eastAsia="Arial" w:hAnsi="Arial"/>
          <w:sz w:val="18"/>
          <w:szCs w:val="18"/>
          <w:i w:val="1"/>
          <w:iCs w:val="1"/>
          <w:color w:val="auto"/>
        </w:rPr>
        <w:t xml:space="preserve">ILECs. </w:t>
      </w:r>
      <w:r>
        <w:rPr>
          <w:rFonts w:ascii="Arial" w:cs="Arial" w:eastAsia="Arial" w:hAnsi="Arial"/>
          <w:sz w:val="18"/>
          <w:szCs w:val="18"/>
          <w:color w:val="auto"/>
        </w:rPr>
        <w:t>ILECs, in particular AT&amp;T and Verizon, are building fiber-optic networks to provide video services in substantial portions of their service areas and</w:t>
      </w:r>
      <w:r>
        <w:rPr>
          <w:rFonts w:ascii="Arial" w:cs="Arial" w:eastAsia="Arial" w:hAnsi="Arial"/>
          <w:sz w:val="18"/>
          <w:szCs w:val="18"/>
          <w:i w:val="1"/>
          <w:iCs w:val="1"/>
          <w:color w:val="auto"/>
        </w:rPr>
        <w:t xml:space="preserve"> </w:t>
      </w:r>
      <w:r>
        <w:rPr>
          <w:rFonts w:ascii="Arial" w:cs="Arial" w:eastAsia="Arial" w:hAnsi="Arial"/>
          <w:sz w:val="18"/>
          <w:szCs w:val="18"/>
          <w:color w:val="auto"/>
        </w:rPr>
        <w:t>have begun to offer this service in several of our service areas, in addition to entering into joint marketing arrangements with DBS providers in certain areas. The ILECs have taken various positions on the question of whether they need a local cable television franchise to provide video services. Some, like Verizon, have applied for local cable franchises while others, like AT&amp;T, claim that they can provide their video services without a local cable franchise. Notwithstanding their positions, both AT&amp;T and Verizon have filed for video service franchise certificates pursuant to recent state franchising legislation (see “Legislation and Regulation” below).</w:t>
      </w:r>
    </w:p>
    <w:p>
      <w:pPr>
        <w:spacing w:after="0" w:line="144" w:lineRule="exact"/>
        <w:rPr>
          <w:sz w:val="20"/>
          <w:szCs w:val="20"/>
          <w:color w:val="auto"/>
        </w:rPr>
      </w:pPr>
    </w:p>
    <w:p>
      <w:pPr>
        <w:ind w:firstLine="456"/>
        <w:spacing w:after="0" w:line="290" w:lineRule="auto"/>
        <w:rPr>
          <w:sz w:val="20"/>
          <w:szCs w:val="20"/>
          <w:color w:val="auto"/>
        </w:rPr>
      </w:pPr>
      <w:r>
        <w:rPr>
          <w:rFonts w:ascii="Arial" w:cs="Arial" w:eastAsia="Arial" w:hAnsi="Arial"/>
          <w:sz w:val="16"/>
          <w:szCs w:val="16"/>
          <w:i w:val="1"/>
          <w:iCs w:val="1"/>
          <w:color w:val="auto"/>
        </w:rPr>
        <w:t xml:space="preserve">Other Wireline Providers. </w:t>
      </w:r>
      <w:r>
        <w:rPr>
          <w:rFonts w:ascii="Arial" w:cs="Arial" w:eastAsia="Arial" w:hAnsi="Arial"/>
          <w:sz w:val="16"/>
          <w:szCs w:val="16"/>
          <w:color w:val="auto"/>
        </w:rPr>
        <w:t>We operate our cable systems pursuant to nonexclusive franchises that are issued by a local community governing body, such as</w:t>
      </w:r>
      <w:r>
        <w:rPr>
          <w:rFonts w:ascii="Arial" w:cs="Arial" w:eastAsia="Arial" w:hAnsi="Arial"/>
          <w:sz w:val="16"/>
          <w:szCs w:val="16"/>
          <w:i w:val="1"/>
          <w:iCs w:val="1"/>
          <w:color w:val="auto"/>
        </w:rPr>
        <w:t xml:space="preserve"> </w:t>
      </w:r>
      <w:r>
        <w:rPr>
          <w:rFonts w:ascii="Arial" w:cs="Arial" w:eastAsia="Arial" w:hAnsi="Arial"/>
          <w:sz w:val="16"/>
          <w:szCs w:val="16"/>
          <w:color w:val="auto"/>
        </w:rPr>
        <w:t>a city council or county board of supervisors or, in some cases, by a state regulatory agency. Federal law prohibits franchising authorities from unreasonably denying requests for additional franchises, and it permits franchising authorities to operate cable systems. In addition to ILECs, various companies, including those that traditionally have not provided cable services and have substantial financial resources (such as public utilities, including those that own some of the poles to which our cables are attached), have obtained cable franchises and provide competing communications services. These and other wireline communications systems offer video and other communications services in various areas where we hold franchises. We anticipate that facilities-based competitors will emerge in other franchise areas that we serve.</w:t>
      </w:r>
    </w:p>
    <w:p>
      <w:pPr>
        <w:spacing w:after="0" w:line="118" w:lineRule="exact"/>
        <w:rPr>
          <w:sz w:val="20"/>
          <w:szCs w:val="20"/>
          <w:color w:val="auto"/>
        </w:rPr>
      </w:pPr>
    </w:p>
    <w:p>
      <w:pPr>
        <w:ind w:right="120" w:firstLine="456"/>
        <w:spacing w:after="0" w:line="256" w:lineRule="auto"/>
        <w:rPr>
          <w:sz w:val="20"/>
          <w:szCs w:val="20"/>
          <w:color w:val="auto"/>
        </w:rPr>
      </w:pPr>
      <w:r>
        <w:rPr>
          <w:rFonts w:ascii="Arial" w:cs="Arial" w:eastAsia="Arial" w:hAnsi="Arial"/>
          <w:sz w:val="18"/>
          <w:szCs w:val="18"/>
          <w:i w:val="1"/>
          <w:iCs w:val="1"/>
          <w:color w:val="auto"/>
        </w:rPr>
        <w:t>SMATV</w:t>
      </w:r>
      <w:r>
        <w:rPr>
          <w:rFonts w:ascii="Arial" w:cs="Arial" w:eastAsia="Arial" w:hAnsi="Arial"/>
          <w:sz w:val="18"/>
          <w:szCs w:val="18"/>
          <w:color w:val="auto"/>
        </w:rPr>
        <w:t>. Our cable systems also compete for subscribers with SMATV systems. SMATV system operators typically are not subject to regulation like local</w:t>
      </w:r>
      <w:r>
        <w:rPr>
          <w:rFonts w:ascii="Arial" w:cs="Arial" w:eastAsia="Arial" w:hAnsi="Arial"/>
          <w:sz w:val="18"/>
          <w:szCs w:val="18"/>
          <w:i w:val="1"/>
          <w:iCs w:val="1"/>
          <w:color w:val="auto"/>
        </w:rPr>
        <w:t xml:space="preserve"> </w:t>
      </w:r>
      <w:r>
        <w:rPr>
          <w:rFonts w:ascii="Arial" w:cs="Arial" w:eastAsia="Arial" w:hAnsi="Arial"/>
          <w:sz w:val="18"/>
          <w:szCs w:val="18"/>
          <w:color w:val="auto"/>
        </w:rPr>
        <w:t>franchised cable system operators. SMATV systems offer subscribers both improved reception of local television stations and much of the programming offered by our cable systems. In addition, some SMATV operators are offering packages of phone, Internet access and video services to residential and commercial developments.</w:t>
      </w:r>
    </w:p>
    <w:p>
      <w:pPr>
        <w:spacing w:after="0" w:line="143" w:lineRule="exact"/>
        <w:rPr>
          <w:sz w:val="20"/>
          <w:szCs w:val="20"/>
          <w:color w:val="auto"/>
        </w:rPr>
      </w:pPr>
    </w:p>
    <w:p>
      <w:pPr>
        <w:ind w:right="20" w:firstLine="456"/>
        <w:spacing w:after="0" w:line="268" w:lineRule="auto"/>
        <w:rPr>
          <w:sz w:val="20"/>
          <w:szCs w:val="20"/>
          <w:color w:val="auto"/>
        </w:rPr>
      </w:pPr>
      <w:r>
        <w:rPr>
          <w:rFonts w:ascii="Arial" w:cs="Arial" w:eastAsia="Arial" w:hAnsi="Arial"/>
          <w:sz w:val="18"/>
          <w:szCs w:val="18"/>
          <w:i w:val="1"/>
          <w:iCs w:val="1"/>
          <w:color w:val="auto"/>
        </w:rPr>
        <w:t xml:space="preserve">Broadcast Subscription Services. </w:t>
      </w:r>
      <w:r>
        <w:rPr>
          <w:rFonts w:ascii="Arial" w:cs="Arial" w:eastAsia="Arial" w:hAnsi="Arial"/>
          <w:sz w:val="18"/>
          <w:szCs w:val="18"/>
          <w:color w:val="auto"/>
        </w:rPr>
        <w:t>Local television broadcasters in a few markets sell digital subscription services. These services typically contain a limited</w:t>
      </w:r>
      <w:r>
        <w:rPr>
          <w:rFonts w:ascii="Arial" w:cs="Arial" w:eastAsia="Arial" w:hAnsi="Arial"/>
          <w:sz w:val="18"/>
          <w:szCs w:val="18"/>
          <w:i w:val="1"/>
          <w:iCs w:val="1"/>
          <w:color w:val="auto"/>
        </w:rPr>
        <w:t xml:space="preserve"> </w:t>
      </w:r>
      <w:r>
        <w:rPr>
          <w:rFonts w:ascii="Arial" w:cs="Arial" w:eastAsia="Arial" w:hAnsi="Arial"/>
          <w:sz w:val="18"/>
          <w:szCs w:val="18"/>
          <w:color w:val="auto"/>
        </w:rPr>
        <w:t>number of cable programming services at a price of approximately $20 per month.</w:t>
      </w:r>
    </w:p>
    <w:p>
      <w:pPr>
        <w:spacing w:after="0" w:line="213" w:lineRule="exact"/>
        <w:rPr>
          <w:sz w:val="20"/>
          <w:szCs w:val="20"/>
          <w:color w:val="auto"/>
        </w:rPr>
      </w:pPr>
    </w:p>
    <w:p>
      <w:pPr>
        <w:ind w:left="240"/>
        <w:spacing w:after="0"/>
        <w:rPr>
          <w:sz w:val="20"/>
          <w:szCs w:val="20"/>
          <w:color w:val="auto"/>
        </w:rPr>
      </w:pPr>
      <w:r>
        <w:rPr>
          <w:rFonts w:ascii="Arial" w:cs="Arial" w:eastAsia="Arial" w:hAnsi="Arial"/>
          <w:sz w:val="18"/>
          <w:szCs w:val="18"/>
          <w:i w:val="1"/>
          <w:iCs w:val="1"/>
          <w:color w:val="auto"/>
        </w:rPr>
        <w:t>High-Speed Internet Services</w:t>
      </w:r>
    </w:p>
    <w:p>
      <w:pPr>
        <w:spacing w:after="0" w:line="90" w:lineRule="exact"/>
        <w:rPr>
          <w:sz w:val="20"/>
          <w:szCs w:val="20"/>
          <w:color w:val="auto"/>
        </w:rPr>
      </w:pPr>
    </w:p>
    <w:p>
      <w:pPr>
        <w:ind w:left="460"/>
        <w:spacing w:after="0"/>
        <w:rPr>
          <w:sz w:val="20"/>
          <w:szCs w:val="20"/>
          <w:color w:val="auto"/>
        </w:rPr>
      </w:pPr>
      <w:r>
        <w:rPr>
          <w:rFonts w:ascii="Arial" w:cs="Arial" w:eastAsia="Arial" w:hAnsi="Arial"/>
          <w:sz w:val="18"/>
          <w:szCs w:val="18"/>
          <w:color w:val="auto"/>
        </w:rPr>
        <w:t>We compete with a number of other companies, many of which have substantial resources, including:</w:t>
      </w:r>
    </w:p>
    <w:p>
      <w:pPr>
        <w:spacing w:after="0" w:line="90" w:lineRule="exact"/>
        <w:rPr>
          <w:sz w:val="20"/>
          <w:szCs w:val="20"/>
          <w:color w:val="auto"/>
        </w:rPr>
      </w:pPr>
    </w:p>
    <w:p>
      <w:pPr>
        <w:ind w:left="900" w:hanging="446"/>
        <w:spacing w:after="0"/>
        <w:tabs>
          <w:tab w:leader="none" w:pos="900" w:val="left"/>
        </w:tabs>
        <w:numPr>
          <w:ilvl w:val="0"/>
          <w:numId w:val="7"/>
        </w:numPr>
        <w:rPr>
          <w:rFonts w:ascii="Arial" w:cs="Arial" w:eastAsia="Arial" w:hAnsi="Arial"/>
          <w:sz w:val="18"/>
          <w:szCs w:val="18"/>
          <w:color w:val="auto"/>
        </w:rPr>
      </w:pPr>
      <w:r>
        <w:rPr>
          <w:rFonts w:ascii="Arial" w:cs="Arial" w:eastAsia="Arial" w:hAnsi="Arial"/>
          <w:sz w:val="18"/>
          <w:szCs w:val="18"/>
          <w:color w:val="auto"/>
        </w:rPr>
        <w:t>ILECs and other telephone companies</w:t>
      </w:r>
    </w:p>
    <w:p>
      <w:pPr>
        <w:spacing w:after="0" w:line="90" w:lineRule="exact"/>
        <w:rPr>
          <w:rFonts w:ascii="Arial" w:cs="Arial" w:eastAsia="Arial" w:hAnsi="Arial"/>
          <w:sz w:val="18"/>
          <w:szCs w:val="18"/>
          <w:color w:val="auto"/>
        </w:rPr>
      </w:pPr>
    </w:p>
    <w:p>
      <w:pPr>
        <w:ind w:left="900" w:hanging="446"/>
        <w:spacing w:after="0"/>
        <w:tabs>
          <w:tab w:leader="none" w:pos="900" w:val="left"/>
        </w:tabs>
        <w:numPr>
          <w:ilvl w:val="0"/>
          <w:numId w:val="7"/>
        </w:numPr>
        <w:rPr>
          <w:rFonts w:ascii="Arial" w:cs="Arial" w:eastAsia="Arial" w:hAnsi="Arial"/>
          <w:sz w:val="18"/>
          <w:szCs w:val="18"/>
          <w:color w:val="auto"/>
        </w:rPr>
      </w:pPr>
      <w:r>
        <w:rPr>
          <w:rFonts w:ascii="Arial" w:cs="Arial" w:eastAsia="Arial" w:hAnsi="Arial"/>
          <w:sz w:val="18"/>
          <w:szCs w:val="18"/>
          <w:color w:val="auto"/>
        </w:rPr>
        <w:t>Internet service providers (“ISPs”), such as AOL, Earthlink and Microsoft</w:t>
      </w:r>
    </w:p>
    <w:p>
      <w:pPr>
        <w:spacing w:after="0" w:line="90" w:lineRule="exact"/>
        <w:rPr>
          <w:rFonts w:ascii="Arial" w:cs="Arial" w:eastAsia="Arial" w:hAnsi="Arial"/>
          <w:sz w:val="18"/>
          <w:szCs w:val="18"/>
          <w:color w:val="auto"/>
        </w:rPr>
      </w:pPr>
    </w:p>
    <w:p>
      <w:pPr>
        <w:ind w:left="900" w:hanging="446"/>
        <w:spacing w:after="0"/>
        <w:tabs>
          <w:tab w:leader="none" w:pos="900" w:val="left"/>
        </w:tabs>
        <w:numPr>
          <w:ilvl w:val="0"/>
          <w:numId w:val="7"/>
        </w:numPr>
        <w:rPr>
          <w:rFonts w:ascii="Arial" w:cs="Arial" w:eastAsia="Arial" w:hAnsi="Arial"/>
          <w:sz w:val="18"/>
          <w:szCs w:val="18"/>
          <w:color w:val="auto"/>
        </w:rPr>
      </w:pPr>
      <w:r>
        <w:rPr>
          <w:rFonts w:ascii="Arial" w:cs="Arial" w:eastAsia="Arial" w:hAnsi="Arial"/>
          <w:sz w:val="18"/>
          <w:szCs w:val="18"/>
          <w:color w:val="auto"/>
        </w:rPr>
        <w:t>wireless phone companies and other providers of wireless Internet services</w:t>
      </w:r>
    </w:p>
    <w:p>
      <w:pPr>
        <w:spacing w:after="0" w:line="90" w:lineRule="exact"/>
        <w:rPr>
          <w:rFonts w:ascii="Arial" w:cs="Arial" w:eastAsia="Arial" w:hAnsi="Arial"/>
          <w:sz w:val="18"/>
          <w:szCs w:val="18"/>
          <w:color w:val="auto"/>
        </w:rPr>
      </w:pPr>
    </w:p>
    <w:p>
      <w:pPr>
        <w:ind w:left="900" w:hanging="446"/>
        <w:spacing w:after="0"/>
        <w:tabs>
          <w:tab w:leader="none" w:pos="900" w:val="left"/>
        </w:tabs>
        <w:numPr>
          <w:ilvl w:val="0"/>
          <w:numId w:val="7"/>
        </w:numPr>
        <w:rPr>
          <w:rFonts w:ascii="Arial" w:cs="Arial" w:eastAsia="Arial" w:hAnsi="Arial"/>
          <w:sz w:val="18"/>
          <w:szCs w:val="18"/>
          <w:color w:val="auto"/>
        </w:rPr>
      </w:pPr>
      <w:r>
        <w:rPr>
          <w:rFonts w:ascii="Arial" w:cs="Arial" w:eastAsia="Arial" w:hAnsi="Arial"/>
          <w:sz w:val="18"/>
          <w:szCs w:val="18"/>
          <w:color w:val="auto"/>
        </w:rPr>
        <w:t>power companies</w:t>
      </w:r>
    </w:p>
    <w:p>
      <w:pPr>
        <w:spacing w:after="0" w:line="171" w:lineRule="exact"/>
        <w:rPr>
          <w:sz w:val="20"/>
          <w:szCs w:val="20"/>
          <w:color w:val="auto"/>
        </w:rPr>
      </w:pPr>
    </w:p>
    <w:p>
      <w:pPr>
        <w:ind w:firstLine="456"/>
        <w:spacing w:after="0" w:line="254" w:lineRule="auto"/>
        <w:rPr>
          <w:sz w:val="20"/>
          <w:szCs w:val="20"/>
          <w:color w:val="auto"/>
        </w:rPr>
      </w:pPr>
      <w:r>
        <w:rPr>
          <w:rFonts w:ascii="Arial" w:cs="Arial" w:eastAsia="Arial" w:hAnsi="Arial"/>
          <w:sz w:val="18"/>
          <w:szCs w:val="18"/>
          <w:color w:val="auto"/>
        </w:rPr>
        <w:t>The deployment of digital subscriber line (“DSL”) technology allows Internet access to be provided to subscribers over telephone lines at data transmission speeds substantially greater than those of conventional modems. ILECs and other companies offer DSL service, and several of them have increased transmission speeds, lowered prices or created bundled service packages. In addition, some ILECs, such as Verizon and AT&amp;T, are constructing fiber-optic networks that allow them to provide data transmission speeds that exceed those that can be provided with DSL technology and are now offering such higher speed service in numerous markets. The FCC has reduced the obligations of ILECs to offer their broadband facilities on a wholesale or retail basis to competitors, and it has freed their DSL services of common carrier regulation.</w:t>
      </w:r>
    </w:p>
    <w:p>
      <w:pPr>
        <w:spacing w:after="0" w:line="144" w:lineRule="exact"/>
        <w:rPr>
          <w:sz w:val="20"/>
          <w:szCs w:val="20"/>
          <w:color w:val="auto"/>
        </w:rPr>
      </w:pPr>
    </w:p>
    <w:p>
      <w:pPr>
        <w:ind w:firstLine="456"/>
        <w:spacing w:after="0" w:line="259" w:lineRule="auto"/>
        <w:rPr>
          <w:sz w:val="20"/>
          <w:szCs w:val="20"/>
          <w:color w:val="auto"/>
        </w:rPr>
      </w:pPr>
      <w:r>
        <w:rPr>
          <w:rFonts w:ascii="Arial" w:cs="Arial" w:eastAsia="Arial" w:hAnsi="Arial"/>
          <w:sz w:val="18"/>
          <w:szCs w:val="18"/>
          <w:color w:val="auto"/>
        </w:rPr>
        <w:t>Various wireless phone companies are offering wireless high-speed Internet services. In addition, in a growing number of commercial areas, such as retail malls, restaurants and airports, wireless “WiFi” and “WiMax” Internet access capability is available. Numerous local governments are also considering or actively pursuing publicly subsidized WiFi and WiMax Internet access networks.</w:t>
      </w:r>
    </w:p>
    <w:p>
      <w:pPr>
        <w:spacing w:after="0" w:line="12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8</w:t>
      </w:r>
    </w:p>
    <w:p>
      <w:pPr>
        <w:sectPr>
          <w:pgSz w:w="11900" w:h="16838" w:orient="portrait"/>
          <w:cols w:equalWidth="0" w:num="1">
            <w:col w:w="11400"/>
          </w:cols>
          <w:pgMar w:left="240" w:top="459" w:right="259" w:bottom="1440" w:gutter="0" w:footer="0" w:header="0"/>
        </w:sectPr>
      </w:pPr>
    </w:p>
    <w:bookmarkStart w:id="11" w:name="page12"/>
    <w:bookmarkEnd w:id="1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right="120" w:firstLine="456"/>
        <w:spacing w:after="0" w:line="291" w:lineRule="auto"/>
        <w:rPr>
          <w:sz w:val="20"/>
          <w:szCs w:val="20"/>
          <w:color w:val="auto"/>
        </w:rPr>
      </w:pPr>
      <w:r>
        <w:rPr>
          <w:rFonts w:ascii="Arial" w:cs="Arial" w:eastAsia="Arial" w:hAnsi="Arial"/>
          <w:sz w:val="16"/>
          <w:szCs w:val="16"/>
          <w:color w:val="auto"/>
        </w:rPr>
        <w:t>A number of cable operators have reached agreements to provide unaffiliated ISPs access to their cable systems in the absence of regulatory requirements. We reached access agreements with several national and regional third-party ISPs, although to date these ISPs have made limited use of their rights. We cannot provide any assurance, however, that regulatory authorities will not impose so-called “open access” or similar requirements on us as part of an industry-wide requirement. Additionally, Congress and the FCC are considering creating certain rights for Internet content providers and for users of high-speed Internet services by imposing “network neutrality” requirements upon service providers. These requirements could adversely affect our high-speed Internet services business (see “Legislation and Regulation” below).</w:t>
      </w:r>
    </w:p>
    <w:p>
      <w:pPr>
        <w:spacing w:after="0" w:line="120" w:lineRule="exact"/>
        <w:rPr>
          <w:sz w:val="20"/>
          <w:szCs w:val="20"/>
          <w:color w:val="auto"/>
        </w:rPr>
      </w:pPr>
    </w:p>
    <w:p>
      <w:pPr>
        <w:ind w:right="440" w:firstLine="456"/>
        <w:spacing w:after="0" w:line="268" w:lineRule="auto"/>
        <w:rPr>
          <w:sz w:val="20"/>
          <w:szCs w:val="20"/>
          <w:color w:val="auto"/>
        </w:rPr>
      </w:pPr>
      <w:r>
        <w:rPr>
          <w:rFonts w:ascii="Arial" w:cs="Arial" w:eastAsia="Arial" w:hAnsi="Arial"/>
          <w:sz w:val="18"/>
          <w:szCs w:val="18"/>
          <w:color w:val="auto"/>
        </w:rPr>
        <w:t>We expect competition for high-speed Internet service subscribers to remain intense, with companies competing on service availability, price, product features, customer service, transmission speed and bundled services.</w:t>
      </w:r>
    </w:p>
    <w:p>
      <w:pPr>
        <w:spacing w:after="0" w:line="213" w:lineRule="exact"/>
        <w:rPr>
          <w:sz w:val="20"/>
          <w:szCs w:val="20"/>
          <w:color w:val="auto"/>
        </w:rPr>
      </w:pPr>
    </w:p>
    <w:p>
      <w:pPr>
        <w:ind w:left="240"/>
        <w:spacing w:after="0"/>
        <w:rPr>
          <w:sz w:val="20"/>
          <w:szCs w:val="20"/>
          <w:color w:val="auto"/>
        </w:rPr>
      </w:pPr>
      <w:r>
        <w:rPr>
          <w:rFonts w:ascii="Arial" w:cs="Arial" w:eastAsia="Arial" w:hAnsi="Arial"/>
          <w:sz w:val="18"/>
          <w:szCs w:val="18"/>
          <w:i w:val="1"/>
          <w:iCs w:val="1"/>
          <w:color w:val="auto"/>
        </w:rPr>
        <w:t>Phone Services</w:t>
      </w:r>
    </w:p>
    <w:p>
      <w:pPr>
        <w:spacing w:after="0" w:line="90" w:lineRule="exact"/>
        <w:rPr>
          <w:sz w:val="20"/>
          <w:szCs w:val="20"/>
          <w:color w:val="auto"/>
        </w:rPr>
      </w:pPr>
    </w:p>
    <w:p>
      <w:pPr>
        <w:ind w:right="80" w:firstLine="456"/>
        <w:spacing w:after="0" w:line="335" w:lineRule="auto"/>
        <w:rPr>
          <w:sz w:val="20"/>
          <w:szCs w:val="20"/>
          <w:color w:val="auto"/>
        </w:rPr>
      </w:pPr>
      <w:r>
        <w:rPr>
          <w:rFonts w:ascii="Arial" w:cs="Arial" w:eastAsia="Arial" w:hAnsi="Arial"/>
          <w:sz w:val="15"/>
          <w:szCs w:val="15"/>
          <w:color w:val="auto"/>
        </w:rPr>
        <w:t>Our Comcast Digital Voice service and circuit-switched local phone service compete against ILECs, wireless phone service providers, competitive local exchange carriers (“CLECs”) and other Voice-over-IP (“VoIP”) service providers. The ILECs have substantial capital and other resources, longstanding customer relationships, and extensive existing facilities and network rights-of-way. A few CLECs also have existing local networks and significant financial resources.</w:t>
      </w:r>
    </w:p>
    <w:p>
      <w:pPr>
        <w:spacing w:after="0" w:line="88" w:lineRule="exact"/>
        <w:rPr>
          <w:sz w:val="20"/>
          <w:szCs w:val="20"/>
          <w:color w:val="auto"/>
        </w:rPr>
      </w:pPr>
    </w:p>
    <w:p>
      <w:pPr>
        <w:ind w:right="140" w:firstLine="456"/>
        <w:spacing w:after="0" w:line="259" w:lineRule="auto"/>
        <w:rPr>
          <w:sz w:val="20"/>
          <w:szCs w:val="20"/>
          <w:color w:val="auto"/>
        </w:rPr>
      </w:pPr>
      <w:r>
        <w:rPr>
          <w:rFonts w:ascii="Arial" w:cs="Arial" w:eastAsia="Arial" w:hAnsi="Arial"/>
          <w:sz w:val="18"/>
          <w:szCs w:val="18"/>
          <w:color w:val="auto"/>
        </w:rPr>
        <w:t>We anticipate that by the end of 2007, approximately 85% of our homes passed will have access to Comcast Digital Voice. We expect some of our circuit-switched phone subscribers to migrate to our Comcast Digital Voice service over the next several years. The competitive nature of the phone business may negatively affect demand for and pricing of our phone services.</w:t>
      </w:r>
    </w:p>
    <w:p>
      <w:pPr>
        <w:spacing w:after="0" w:line="221" w:lineRule="exact"/>
        <w:rPr>
          <w:sz w:val="20"/>
          <w:szCs w:val="20"/>
          <w:color w:val="auto"/>
        </w:rPr>
      </w:pPr>
    </w:p>
    <w:p>
      <w:pPr>
        <w:ind w:left="240"/>
        <w:spacing w:after="0"/>
        <w:rPr>
          <w:sz w:val="20"/>
          <w:szCs w:val="20"/>
          <w:color w:val="auto"/>
        </w:rPr>
      </w:pPr>
      <w:r>
        <w:rPr>
          <w:rFonts w:ascii="Arial" w:cs="Arial" w:eastAsia="Arial" w:hAnsi="Arial"/>
          <w:sz w:val="18"/>
          <w:szCs w:val="18"/>
          <w:i w:val="1"/>
          <w:iCs w:val="1"/>
          <w:color w:val="auto"/>
        </w:rPr>
        <w:t>Advertising</w:t>
      </w:r>
    </w:p>
    <w:p>
      <w:pPr>
        <w:spacing w:after="0" w:line="90" w:lineRule="exact"/>
        <w:rPr>
          <w:sz w:val="20"/>
          <w:szCs w:val="20"/>
          <w:color w:val="auto"/>
        </w:rPr>
      </w:pPr>
    </w:p>
    <w:p>
      <w:pPr>
        <w:ind w:right="200" w:firstLine="456"/>
        <w:spacing w:after="0" w:line="332" w:lineRule="auto"/>
        <w:rPr>
          <w:sz w:val="20"/>
          <w:szCs w:val="20"/>
          <w:color w:val="auto"/>
        </w:rPr>
      </w:pPr>
      <w:r>
        <w:rPr>
          <w:rFonts w:ascii="Arial" w:cs="Arial" w:eastAsia="Arial" w:hAnsi="Arial"/>
          <w:sz w:val="16"/>
          <w:szCs w:val="16"/>
          <w:color w:val="auto"/>
        </w:rPr>
        <w:t>We compete against a wide variety of media for sales of advertising, including local television broadcast stations, national television broadcast networks, national and regional cable television networks, local radio broadcast stations, local and regional newspapers, magazines, and Internet sites.</w:t>
      </w:r>
    </w:p>
    <w:p>
      <w:pPr>
        <w:spacing w:after="0" w:line="16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Programming Segment</w:t>
      </w:r>
    </w:p>
    <w:p>
      <w:pPr>
        <w:spacing w:after="0" w:line="96" w:lineRule="exact"/>
        <w:rPr>
          <w:sz w:val="20"/>
          <w:szCs w:val="20"/>
          <w:color w:val="auto"/>
        </w:rPr>
      </w:pPr>
    </w:p>
    <w:p>
      <w:pPr>
        <w:ind w:left="460"/>
        <w:spacing w:after="0"/>
        <w:rPr>
          <w:sz w:val="20"/>
          <w:szCs w:val="20"/>
          <w:color w:val="auto"/>
        </w:rPr>
      </w:pPr>
      <w:r>
        <w:rPr>
          <w:rFonts w:ascii="Arial" w:cs="Arial" w:eastAsia="Arial" w:hAnsi="Arial"/>
          <w:sz w:val="18"/>
          <w:szCs w:val="18"/>
          <w:color w:val="auto"/>
        </w:rPr>
        <w:t>The table below presents information as of December 31, 2006, relating to our consolidated national programming networks:</w:t>
      </w:r>
    </w:p>
    <w:p>
      <w:pPr>
        <w:spacing w:after="0" w:line="195"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348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1420" w:type="dxa"/>
            <w:vAlign w:val="bottom"/>
            <w:gridSpan w:val="2"/>
          </w:tcPr>
          <w:p>
            <w:pPr>
              <w:jc w:val="right"/>
              <w:ind w:right="640"/>
              <w:spacing w:after="0"/>
              <w:rPr>
                <w:sz w:val="20"/>
                <w:szCs w:val="20"/>
                <w:color w:val="auto"/>
              </w:rPr>
            </w:pPr>
            <w:r>
              <w:rPr>
                <w:rFonts w:ascii="Arial" w:cs="Arial" w:eastAsia="Arial" w:hAnsi="Arial"/>
                <w:sz w:val="14"/>
                <w:szCs w:val="14"/>
                <w:b w:val="1"/>
                <w:bCs w:val="1"/>
                <w:color w:val="auto"/>
                <w:w w:val="88"/>
              </w:rPr>
              <w:t>Approximate</w:t>
            </w:r>
          </w:p>
        </w:tc>
        <w:tc>
          <w:tcPr>
            <w:tcW w:w="5880" w:type="dxa"/>
            <w:vAlign w:val="bottom"/>
          </w:tcPr>
          <w:p>
            <w:pPr>
              <w:spacing w:after="0"/>
              <w:rPr>
                <w:sz w:val="14"/>
                <w:szCs w:val="14"/>
                <w:color w:val="auto"/>
              </w:rPr>
            </w:pPr>
          </w:p>
        </w:tc>
      </w:tr>
      <w:tr>
        <w:trPr>
          <w:trHeight w:val="149"/>
        </w:trPr>
        <w:tc>
          <w:tcPr>
            <w:tcW w:w="348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1420" w:type="dxa"/>
            <w:vAlign w:val="bottom"/>
            <w:gridSpan w:val="2"/>
          </w:tcPr>
          <w:p>
            <w:pPr>
              <w:jc w:val="center"/>
              <w:ind w:right="620"/>
              <w:spacing w:after="0" w:line="149" w:lineRule="exact"/>
              <w:rPr>
                <w:sz w:val="20"/>
                <w:szCs w:val="20"/>
                <w:color w:val="auto"/>
              </w:rPr>
            </w:pPr>
            <w:r>
              <w:rPr>
                <w:rFonts w:ascii="Arial" w:cs="Arial" w:eastAsia="Arial" w:hAnsi="Arial"/>
                <w:sz w:val="14"/>
                <w:szCs w:val="14"/>
                <w:b w:val="1"/>
                <w:bCs w:val="1"/>
                <w:color w:val="auto"/>
                <w:w w:val="87"/>
              </w:rPr>
              <w:t>U.S.</w:t>
            </w:r>
          </w:p>
        </w:tc>
        <w:tc>
          <w:tcPr>
            <w:tcW w:w="5880" w:type="dxa"/>
            <w:vAlign w:val="bottom"/>
          </w:tcPr>
          <w:p>
            <w:pPr>
              <w:spacing w:after="0"/>
              <w:rPr>
                <w:sz w:val="12"/>
                <w:szCs w:val="12"/>
                <w:color w:val="auto"/>
              </w:rPr>
            </w:pPr>
          </w:p>
        </w:tc>
      </w:tr>
      <w:tr>
        <w:trPr>
          <w:trHeight w:val="149"/>
        </w:trPr>
        <w:tc>
          <w:tcPr>
            <w:tcW w:w="348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1420" w:type="dxa"/>
            <w:vAlign w:val="bottom"/>
            <w:gridSpan w:val="2"/>
          </w:tcPr>
          <w:p>
            <w:pPr>
              <w:jc w:val="center"/>
              <w:ind w:right="620"/>
              <w:spacing w:after="0" w:line="149" w:lineRule="exact"/>
              <w:rPr>
                <w:sz w:val="20"/>
                <w:szCs w:val="20"/>
                <w:color w:val="auto"/>
              </w:rPr>
            </w:pPr>
            <w:r>
              <w:rPr>
                <w:rFonts w:ascii="Arial" w:cs="Arial" w:eastAsia="Arial" w:hAnsi="Arial"/>
                <w:sz w:val="14"/>
                <w:szCs w:val="14"/>
                <w:b w:val="1"/>
                <w:bCs w:val="1"/>
                <w:color w:val="auto"/>
                <w:w w:val="83"/>
              </w:rPr>
              <w:t>Subscribers</w:t>
            </w:r>
          </w:p>
        </w:tc>
        <w:tc>
          <w:tcPr>
            <w:tcW w:w="5880" w:type="dxa"/>
            <w:vAlign w:val="bottom"/>
          </w:tcPr>
          <w:p>
            <w:pPr>
              <w:spacing w:after="0"/>
              <w:rPr>
                <w:sz w:val="12"/>
                <w:szCs w:val="12"/>
                <w:color w:val="auto"/>
              </w:rPr>
            </w:pPr>
          </w:p>
        </w:tc>
      </w:tr>
      <w:tr>
        <w:trPr>
          <w:trHeight w:val="181"/>
        </w:trPr>
        <w:tc>
          <w:tcPr>
            <w:tcW w:w="3480" w:type="dxa"/>
            <w:vAlign w:val="bottom"/>
            <w:tcBorders>
              <w:bottom w:val="single" w:sz="8" w:color="auto"/>
            </w:tcBorders>
          </w:tcPr>
          <w:p>
            <w:pPr>
              <w:spacing w:after="0"/>
              <w:rPr>
                <w:sz w:val="20"/>
                <w:szCs w:val="20"/>
                <w:color w:val="auto"/>
              </w:rPr>
            </w:pPr>
            <w:r>
              <w:rPr>
                <w:rFonts w:ascii="Arial" w:cs="Arial" w:eastAsia="Arial" w:hAnsi="Arial"/>
                <w:sz w:val="14"/>
                <w:szCs w:val="14"/>
                <w:b w:val="1"/>
                <w:bCs w:val="1"/>
                <w:color w:val="auto"/>
              </w:rPr>
              <w:t>Programming Network</w:t>
            </w:r>
          </w:p>
        </w:tc>
        <w:tc>
          <w:tcPr>
            <w:tcW w:w="640" w:type="dxa"/>
            <w:vAlign w:val="bottom"/>
          </w:tcPr>
          <w:p>
            <w:pPr>
              <w:spacing w:after="0"/>
              <w:rPr>
                <w:sz w:val="15"/>
                <w:szCs w:val="15"/>
                <w:color w:val="auto"/>
              </w:rPr>
            </w:pPr>
          </w:p>
        </w:tc>
        <w:tc>
          <w:tcPr>
            <w:tcW w:w="1420" w:type="dxa"/>
            <w:vAlign w:val="bottom"/>
            <w:gridSpan w:val="2"/>
          </w:tcPr>
          <w:p>
            <w:pPr>
              <w:jc w:val="center"/>
              <w:ind w:right="640"/>
              <w:spacing w:after="0"/>
              <w:rPr>
                <w:sz w:val="20"/>
                <w:szCs w:val="20"/>
                <w:color w:val="auto"/>
              </w:rPr>
            </w:pPr>
            <w:r>
              <w:rPr>
                <w:rFonts w:ascii="Arial" w:cs="Arial" w:eastAsia="Arial" w:hAnsi="Arial"/>
                <w:sz w:val="14"/>
                <w:szCs w:val="14"/>
                <w:b w:val="1"/>
                <w:bCs w:val="1"/>
                <w:color w:val="auto"/>
                <w:w w:val="89"/>
              </w:rPr>
              <w:t>(in millions)</w:t>
            </w:r>
          </w:p>
        </w:tc>
        <w:tc>
          <w:tcPr>
            <w:tcW w:w="5880" w:type="dxa"/>
            <w:vAlign w:val="bottom"/>
          </w:tcPr>
          <w:p>
            <w:pPr>
              <w:spacing w:after="0"/>
              <w:rPr>
                <w:sz w:val="20"/>
                <w:szCs w:val="20"/>
                <w:color w:val="auto"/>
              </w:rPr>
            </w:pPr>
            <w:r>
              <w:rPr>
                <w:rFonts w:ascii="Arial" w:cs="Arial" w:eastAsia="Arial" w:hAnsi="Arial"/>
                <w:sz w:val="14"/>
                <w:szCs w:val="14"/>
                <w:b w:val="1"/>
                <w:bCs w:val="1"/>
                <w:color w:val="auto"/>
              </w:rPr>
              <w:t>Description</w:t>
            </w:r>
          </w:p>
        </w:tc>
      </w:tr>
      <w:tr>
        <w:trPr>
          <w:trHeight w:val="195"/>
        </w:trPr>
        <w:tc>
          <w:tcPr>
            <w:tcW w:w="3480" w:type="dxa"/>
            <w:vAlign w:val="bottom"/>
          </w:tcPr>
          <w:p>
            <w:pPr>
              <w:spacing w:after="0" w:line="195" w:lineRule="exact"/>
              <w:rPr>
                <w:sz w:val="20"/>
                <w:szCs w:val="20"/>
                <w:color w:val="auto"/>
              </w:rPr>
            </w:pPr>
            <w:r>
              <w:rPr>
                <w:rFonts w:ascii="Arial" w:cs="Arial" w:eastAsia="Arial" w:hAnsi="Arial"/>
                <w:sz w:val="18"/>
                <w:szCs w:val="18"/>
                <w:color w:val="auto"/>
              </w:rPr>
              <w:t>E!</w:t>
            </w:r>
          </w:p>
        </w:tc>
        <w:tc>
          <w:tcPr>
            <w:tcW w:w="640" w:type="dxa"/>
            <w:vAlign w:val="bottom"/>
          </w:tcPr>
          <w:p>
            <w:pPr>
              <w:spacing w:after="0"/>
              <w:rPr>
                <w:sz w:val="16"/>
                <w:szCs w:val="16"/>
                <w:color w:val="auto"/>
              </w:rPr>
            </w:pPr>
          </w:p>
        </w:tc>
        <w:tc>
          <w:tcPr>
            <w:tcW w:w="780" w:type="dxa"/>
            <w:vAlign w:val="bottom"/>
            <w:tcBorders>
              <w:top w:val="single" w:sz="8" w:color="auto"/>
            </w:tcBorders>
          </w:tcPr>
          <w:p>
            <w:pPr>
              <w:jc w:val="right"/>
              <w:spacing w:after="0" w:line="195" w:lineRule="exact"/>
              <w:rPr>
                <w:sz w:val="20"/>
                <w:szCs w:val="20"/>
                <w:color w:val="auto"/>
              </w:rPr>
            </w:pPr>
            <w:r>
              <w:rPr>
                <w:rFonts w:ascii="Arial" w:cs="Arial" w:eastAsia="Arial" w:hAnsi="Arial"/>
                <w:sz w:val="18"/>
                <w:szCs w:val="18"/>
                <w:color w:val="auto"/>
              </w:rPr>
              <w:t>81</w:t>
            </w:r>
          </w:p>
        </w:tc>
        <w:tc>
          <w:tcPr>
            <w:tcW w:w="640" w:type="dxa"/>
            <w:vAlign w:val="bottom"/>
          </w:tcPr>
          <w:p>
            <w:pPr>
              <w:spacing w:after="0"/>
              <w:rPr>
                <w:sz w:val="16"/>
                <w:szCs w:val="16"/>
                <w:color w:val="auto"/>
              </w:rPr>
            </w:pPr>
          </w:p>
        </w:tc>
        <w:tc>
          <w:tcPr>
            <w:tcW w:w="5880" w:type="dxa"/>
            <w:vAlign w:val="bottom"/>
            <w:tcBorders>
              <w:top w:val="single" w:sz="8" w:color="auto"/>
            </w:tcBorders>
          </w:tcPr>
          <w:p>
            <w:pPr>
              <w:spacing w:after="0" w:line="195" w:lineRule="exact"/>
              <w:rPr>
                <w:sz w:val="20"/>
                <w:szCs w:val="20"/>
                <w:color w:val="auto"/>
              </w:rPr>
            </w:pPr>
            <w:r>
              <w:rPr>
                <w:rFonts w:ascii="Arial" w:cs="Arial" w:eastAsia="Arial" w:hAnsi="Arial"/>
                <w:sz w:val="18"/>
                <w:szCs w:val="18"/>
                <w:color w:val="auto"/>
              </w:rPr>
              <w:t>Pop culture and entertainment-related programming</w:t>
            </w:r>
          </w:p>
        </w:tc>
      </w:tr>
      <w:tr>
        <w:trPr>
          <w:trHeight w:val="216"/>
        </w:trPr>
        <w:tc>
          <w:tcPr>
            <w:tcW w:w="3480" w:type="dxa"/>
            <w:vAlign w:val="bottom"/>
          </w:tcPr>
          <w:p>
            <w:pPr>
              <w:spacing w:after="0"/>
              <w:rPr>
                <w:sz w:val="20"/>
                <w:szCs w:val="20"/>
                <w:color w:val="auto"/>
              </w:rPr>
            </w:pPr>
            <w:r>
              <w:rPr>
                <w:rFonts w:ascii="Arial" w:cs="Arial" w:eastAsia="Arial" w:hAnsi="Arial"/>
                <w:sz w:val="18"/>
                <w:szCs w:val="18"/>
                <w:color w:val="auto"/>
              </w:rPr>
              <w:t>Style</w:t>
            </w:r>
          </w:p>
        </w:tc>
        <w:tc>
          <w:tcPr>
            <w:tcW w:w="2060" w:type="dxa"/>
            <w:vAlign w:val="bottom"/>
            <w:gridSpan w:val="3"/>
          </w:tcPr>
          <w:p>
            <w:pPr>
              <w:jc w:val="right"/>
              <w:ind w:right="640"/>
              <w:spacing w:after="0"/>
              <w:rPr>
                <w:sz w:val="20"/>
                <w:szCs w:val="20"/>
                <w:color w:val="auto"/>
              </w:rPr>
            </w:pPr>
            <w:r>
              <w:rPr>
                <w:rFonts w:ascii="Arial" w:cs="Arial" w:eastAsia="Arial" w:hAnsi="Arial"/>
                <w:sz w:val="18"/>
                <w:szCs w:val="18"/>
                <w:color w:val="auto"/>
              </w:rPr>
              <w:t>37</w:t>
            </w:r>
          </w:p>
        </w:tc>
        <w:tc>
          <w:tcPr>
            <w:tcW w:w="5880" w:type="dxa"/>
            <w:vAlign w:val="bottom"/>
          </w:tcPr>
          <w:p>
            <w:pPr>
              <w:spacing w:after="0"/>
              <w:rPr>
                <w:sz w:val="20"/>
                <w:szCs w:val="20"/>
                <w:color w:val="auto"/>
              </w:rPr>
            </w:pPr>
            <w:r>
              <w:rPr>
                <w:rFonts w:ascii="Arial" w:cs="Arial" w:eastAsia="Arial" w:hAnsi="Arial"/>
                <w:sz w:val="18"/>
                <w:szCs w:val="18"/>
                <w:color w:val="auto"/>
              </w:rPr>
              <w:t>Lifestyle-related programming</w:t>
            </w:r>
          </w:p>
        </w:tc>
      </w:tr>
      <w:tr>
        <w:trPr>
          <w:trHeight w:val="216"/>
        </w:trPr>
        <w:tc>
          <w:tcPr>
            <w:tcW w:w="3480" w:type="dxa"/>
            <w:vAlign w:val="bottom"/>
          </w:tcPr>
          <w:p>
            <w:pPr>
              <w:spacing w:after="0"/>
              <w:rPr>
                <w:sz w:val="20"/>
                <w:szCs w:val="20"/>
                <w:color w:val="auto"/>
              </w:rPr>
            </w:pPr>
            <w:r>
              <w:rPr>
                <w:rFonts w:ascii="Arial" w:cs="Arial" w:eastAsia="Arial" w:hAnsi="Arial"/>
                <w:sz w:val="18"/>
                <w:szCs w:val="18"/>
                <w:color w:val="auto"/>
              </w:rPr>
              <w:t>The Golf Channel</w:t>
            </w:r>
          </w:p>
        </w:tc>
        <w:tc>
          <w:tcPr>
            <w:tcW w:w="2060" w:type="dxa"/>
            <w:vAlign w:val="bottom"/>
            <w:gridSpan w:val="3"/>
          </w:tcPr>
          <w:p>
            <w:pPr>
              <w:jc w:val="right"/>
              <w:ind w:right="640"/>
              <w:spacing w:after="0"/>
              <w:rPr>
                <w:sz w:val="20"/>
                <w:szCs w:val="20"/>
                <w:color w:val="auto"/>
              </w:rPr>
            </w:pPr>
            <w:r>
              <w:rPr>
                <w:rFonts w:ascii="Arial" w:cs="Arial" w:eastAsia="Arial" w:hAnsi="Arial"/>
                <w:sz w:val="18"/>
                <w:szCs w:val="18"/>
                <w:color w:val="auto"/>
              </w:rPr>
              <w:t>63</w:t>
            </w:r>
          </w:p>
        </w:tc>
        <w:tc>
          <w:tcPr>
            <w:tcW w:w="5880" w:type="dxa"/>
            <w:vAlign w:val="bottom"/>
          </w:tcPr>
          <w:p>
            <w:pPr>
              <w:spacing w:after="0"/>
              <w:rPr>
                <w:sz w:val="20"/>
                <w:szCs w:val="20"/>
                <w:color w:val="auto"/>
              </w:rPr>
            </w:pPr>
            <w:r>
              <w:rPr>
                <w:rFonts w:ascii="Arial" w:cs="Arial" w:eastAsia="Arial" w:hAnsi="Arial"/>
                <w:sz w:val="18"/>
                <w:szCs w:val="18"/>
                <w:color w:val="auto"/>
              </w:rPr>
              <w:t>Golf and golf-related programming</w:t>
            </w:r>
          </w:p>
        </w:tc>
      </w:tr>
      <w:tr>
        <w:trPr>
          <w:trHeight w:val="216"/>
        </w:trPr>
        <w:tc>
          <w:tcPr>
            <w:tcW w:w="3480" w:type="dxa"/>
            <w:vAlign w:val="bottom"/>
          </w:tcPr>
          <w:p>
            <w:pPr>
              <w:spacing w:after="0"/>
              <w:rPr>
                <w:sz w:val="20"/>
                <w:szCs w:val="20"/>
                <w:color w:val="auto"/>
              </w:rPr>
            </w:pPr>
            <w:r>
              <w:rPr>
                <w:rFonts w:ascii="Arial" w:cs="Arial" w:eastAsia="Arial" w:hAnsi="Arial"/>
                <w:sz w:val="18"/>
                <w:szCs w:val="18"/>
                <w:color w:val="auto"/>
              </w:rPr>
              <w:t>VERSUS</w:t>
            </w:r>
          </w:p>
        </w:tc>
        <w:tc>
          <w:tcPr>
            <w:tcW w:w="2060" w:type="dxa"/>
            <w:vAlign w:val="bottom"/>
            <w:gridSpan w:val="3"/>
          </w:tcPr>
          <w:p>
            <w:pPr>
              <w:jc w:val="right"/>
              <w:ind w:right="640"/>
              <w:spacing w:after="0"/>
              <w:rPr>
                <w:sz w:val="20"/>
                <w:szCs w:val="20"/>
                <w:color w:val="auto"/>
              </w:rPr>
            </w:pPr>
            <w:r>
              <w:rPr>
                <w:rFonts w:ascii="Arial" w:cs="Arial" w:eastAsia="Arial" w:hAnsi="Arial"/>
                <w:sz w:val="18"/>
                <w:szCs w:val="18"/>
                <w:color w:val="auto"/>
              </w:rPr>
              <w:t>61</w:t>
            </w:r>
          </w:p>
        </w:tc>
        <w:tc>
          <w:tcPr>
            <w:tcW w:w="5880" w:type="dxa"/>
            <w:vAlign w:val="bottom"/>
          </w:tcPr>
          <w:p>
            <w:pPr>
              <w:spacing w:after="0"/>
              <w:rPr>
                <w:sz w:val="20"/>
                <w:szCs w:val="20"/>
                <w:color w:val="auto"/>
              </w:rPr>
            </w:pPr>
            <w:r>
              <w:rPr>
                <w:rFonts w:ascii="Arial" w:cs="Arial" w:eastAsia="Arial" w:hAnsi="Arial"/>
                <w:sz w:val="18"/>
                <w:szCs w:val="18"/>
                <w:color w:val="auto"/>
              </w:rPr>
              <w:t>Sports and leisure programming</w:t>
            </w:r>
          </w:p>
        </w:tc>
      </w:tr>
      <w:tr>
        <w:trPr>
          <w:trHeight w:val="216"/>
        </w:trPr>
        <w:tc>
          <w:tcPr>
            <w:tcW w:w="3480" w:type="dxa"/>
            <w:vAlign w:val="bottom"/>
          </w:tcPr>
          <w:p>
            <w:pPr>
              <w:spacing w:after="0"/>
              <w:rPr>
                <w:sz w:val="20"/>
                <w:szCs w:val="20"/>
                <w:color w:val="auto"/>
              </w:rPr>
            </w:pPr>
            <w:r>
              <w:rPr>
                <w:rFonts w:ascii="Arial" w:cs="Arial" w:eastAsia="Arial" w:hAnsi="Arial"/>
                <w:sz w:val="18"/>
                <w:szCs w:val="18"/>
                <w:color w:val="auto"/>
              </w:rPr>
              <w:t>G4</w:t>
            </w:r>
          </w:p>
        </w:tc>
        <w:tc>
          <w:tcPr>
            <w:tcW w:w="2060" w:type="dxa"/>
            <w:vAlign w:val="bottom"/>
            <w:gridSpan w:val="3"/>
          </w:tcPr>
          <w:p>
            <w:pPr>
              <w:jc w:val="right"/>
              <w:ind w:right="640"/>
              <w:spacing w:after="0"/>
              <w:rPr>
                <w:sz w:val="20"/>
                <w:szCs w:val="20"/>
                <w:color w:val="auto"/>
              </w:rPr>
            </w:pPr>
            <w:r>
              <w:rPr>
                <w:rFonts w:ascii="Arial" w:cs="Arial" w:eastAsia="Arial" w:hAnsi="Arial"/>
                <w:sz w:val="18"/>
                <w:szCs w:val="18"/>
                <w:color w:val="auto"/>
              </w:rPr>
              <w:t>53</w:t>
            </w:r>
          </w:p>
        </w:tc>
        <w:tc>
          <w:tcPr>
            <w:tcW w:w="5880" w:type="dxa"/>
            <w:vAlign w:val="bottom"/>
          </w:tcPr>
          <w:p>
            <w:pPr>
              <w:spacing w:after="0"/>
              <w:rPr>
                <w:sz w:val="20"/>
                <w:szCs w:val="20"/>
                <w:color w:val="auto"/>
              </w:rPr>
            </w:pPr>
            <w:r>
              <w:rPr>
                <w:rFonts w:ascii="Arial" w:cs="Arial" w:eastAsia="Arial" w:hAnsi="Arial"/>
                <w:sz w:val="18"/>
                <w:szCs w:val="18"/>
                <w:color w:val="auto"/>
              </w:rPr>
              <w:t>Gamer lifestyle programming</w:t>
            </w:r>
          </w:p>
        </w:tc>
      </w:tr>
      <w:tr>
        <w:trPr>
          <w:trHeight w:val="222"/>
        </w:trPr>
        <w:tc>
          <w:tcPr>
            <w:tcW w:w="3480" w:type="dxa"/>
            <w:vAlign w:val="bottom"/>
          </w:tcPr>
          <w:p>
            <w:pPr>
              <w:spacing w:after="0"/>
              <w:rPr>
                <w:sz w:val="20"/>
                <w:szCs w:val="20"/>
                <w:color w:val="auto"/>
              </w:rPr>
            </w:pPr>
            <w:r>
              <w:rPr>
                <w:rFonts w:ascii="Arial" w:cs="Arial" w:eastAsia="Arial" w:hAnsi="Arial"/>
                <w:sz w:val="18"/>
                <w:szCs w:val="18"/>
                <w:color w:val="auto"/>
              </w:rPr>
              <w:t>AZN Television</w:t>
            </w:r>
          </w:p>
        </w:tc>
        <w:tc>
          <w:tcPr>
            <w:tcW w:w="2060" w:type="dxa"/>
            <w:vAlign w:val="bottom"/>
            <w:gridSpan w:val="3"/>
          </w:tcPr>
          <w:p>
            <w:pPr>
              <w:jc w:val="right"/>
              <w:ind w:right="640"/>
              <w:spacing w:after="0"/>
              <w:rPr>
                <w:sz w:val="20"/>
                <w:szCs w:val="20"/>
                <w:color w:val="auto"/>
              </w:rPr>
            </w:pPr>
            <w:r>
              <w:rPr>
                <w:rFonts w:ascii="Arial" w:cs="Arial" w:eastAsia="Arial" w:hAnsi="Arial"/>
                <w:sz w:val="18"/>
                <w:szCs w:val="18"/>
                <w:color w:val="auto"/>
              </w:rPr>
              <w:t>14</w:t>
            </w:r>
          </w:p>
        </w:tc>
        <w:tc>
          <w:tcPr>
            <w:tcW w:w="5880" w:type="dxa"/>
            <w:vAlign w:val="bottom"/>
          </w:tcPr>
          <w:p>
            <w:pPr>
              <w:spacing w:after="0"/>
              <w:rPr>
                <w:sz w:val="20"/>
                <w:szCs w:val="20"/>
                <w:color w:val="auto"/>
              </w:rPr>
            </w:pPr>
            <w:r>
              <w:rPr>
                <w:rFonts w:ascii="Arial" w:cs="Arial" w:eastAsia="Arial" w:hAnsi="Arial"/>
                <w:sz w:val="18"/>
                <w:szCs w:val="18"/>
                <w:color w:val="auto"/>
              </w:rPr>
              <w:t>Asian American programming</w:t>
            </w:r>
          </w:p>
        </w:tc>
      </w:tr>
    </w:tbl>
    <w:p>
      <w:pPr>
        <w:spacing w:after="0" w:line="156" w:lineRule="exact"/>
        <w:rPr>
          <w:sz w:val="20"/>
          <w:szCs w:val="20"/>
          <w:color w:val="auto"/>
        </w:rPr>
      </w:pPr>
    </w:p>
    <w:p>
      <w:pPr>
        <w:ind w:right="60" w:firstLine="456"/>
        <w:spacing w:after="0" w:line="255" w:lineRule="auto"/>
        <w:rPr>
          <w:sz w:val="20"/>
          <w:szCs w:val="20"/>
          <w:color w:val="auto"/>
        </w:rPr>
      </w:pPr>
      <w:r>
        <w:rPr>
          <w:rFonts w:ascii="Arial" w:cs="Arial" w:eastAsia="Arial" w:hAnsi="Arial"/>
          <w:sz w:val="18"/>
          <w:szCs w:val="18"/>
          <w:color w:val="auto"/>
        </w:rPr>
        <w:t>Revenue for our programming networks is principally generated from the sale of advertising and from monthly per subscriber license fees paid by cable system operators, DBS companies and other multichannel video programming distributors (“MVPDs”) that have typically entered into multiyear contracts to distribute our programming networks. To obtain long-term contracts with distributors, we may make cash payments, provide an initial period in which license fee payments are waived or do both. Our programming networks assist distributors with ongoing marketing and promotional activities to retain existing subscribers and acquire new subscribers.</w:t>
      </w:r>
    </w:p>
    <w:p>
      <w:pPr>
        <w:spacing w:after="0" w:line="12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9</w:t>
      </w:r>
    </w:p>
    <w:p>
      <w:pPr>
        <w:sectPr>
          <w:pgSz w:w="11900" w:h="16838" w:orient="portrait"/>
          <w:cols w:equalWidth="0" w:num="1">
            <w:col w:w="11420"/>
          </w:cols>
          <w:pgMar w:left="240" w:top="459" w:right="239" w:bottom="1440" w:gutter="0" w:footer="0" w:header="0"/>
        </w:sectPr>
      </w:pPr>
    </w:p>
    <w:bookmarkStart w:id="12" w:name="page13"/>
    <w:bookmarkEnd w:id="1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right="320"/>
        <w:spacing w:after="0" w:line="268" w:lineRule="auto"/>
        <w:rPr>
          <w:sz w:val="20"/>
          <w:szCs w:val="20"/>
          <w:color w:val="auto"/>
        </w:rPr>
      </w:pPr>
      <w:r>
        <w:rPr>
          <w:rFonts w:ascii="Arial" w:cs="Arial" w:eastAsia="Arial" w:hAnsi="Arial"/>
          <w:sz w:val="18"/>
          <w:szCs w:val="18"/>
          <w:color w:val="auto"/>
        </w:rPr>
        <w:t>Although we believe prospects of continued carriage and marketing of our programming networks by larger distributors are generally good, the loss of one or more of such distributors could have a material effect on our programming networks.</w:t>
      </w:r>
    </w:p>
    <w:p>
      <w:pPr>
        <w:spacing w:after="0" w:line="213"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Sources of Supply</w:t>
      </w:r>
    </w:p>
    <w:p>
      <w:pPr>
        <w:spacing w:after="0" w:line="90" w:lineRule="exact"/>
        <w:rPr>
          <w:sz w:val="20"/>
          <w:szCs w:val="20"/>
          <w:color w:val="auto"/>
        </w:rPr>
      </w:pPr>
    </w:p>
    <w:p>
      <w:pPr>
        <w:jc w:val="both"/>
        <w:ind w:right="240" w:firstLine="456"/>
        <w:spacing w:after="0" w:line="259" w:lineRule="auto"/>
        <w:rPr>
          <w:sz w:val="20"/>
          <w:szCs w:val="20"/>
          <w:color w:val="auto"/>
        </w:rPr>
      </w:pPr>
      <w:r>
        <w:rPr>
          <w:rFonts w:ascii="Arial" w:cs="Arial" w:eastAsia="Arial" w:hAnsi="Arial"/>
          <w:sz w:val="18"/>
          <w:szCs w:val="18"/>
          <w:color w:val="auto"/>
        </w:rPr>
        <w:t>Our programming networks often produce their own television programs and broadcasts of live events. This often requires us to acquire the rights to the content that is used in such productions (such as rights to screenplays or sporting events). In other cases, our programming networks license the cable telecast rights to television programs produced by third parties.</w:t>
      </w:r>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Competition</w:t>
      </w:r>
    </w:p>
    <w:p>
      <w:pPr>
        <w:spacing w:after="0" w:line="90" w:lineRule="exact"/>
        <w:rPr>
          <w:sz w:val="20"/>
          <w:szCs w:val="20"/>
          <w:color w:val="auto"/>
        </w:rPr>
      </w:pPr>
    </w:p>
    <w:p>
      <w:pPr>
        <w:ind w:right="80" w:firstLine="456"/>
        <w:spacing w:after="0" w:line="298" w:lineRule="auto"/>
        <w:rPr>
          <w:sz w:val="20"/>
          <w:szCs w:val="20"/>
          <w:color w:val="auto"/>
        </w:rPr>
      </w:pPr>
      <w:r>
        <w:rPr>
          <w:rFonts w:ascii="Arial" w:cs="Arial" w:eastAsia="Arial" w:hAnsi="Arial"/>
          <w:sz w:val="16"/>
          <w:szCs w:val="16"/>
          <w:color w:val="auto"/>
        </w:rPr>
        <w:t>Our programming networks compete with other television programming services for distribution and programming. In addition, our programming networks compete for audience share with all other forms of programming provided to viewers, including broadcast networks, local broadcast stations, pay and other cable networks, home video, pay-per-view and video on demand services and online activities. Finally, our programming networks compete for advertising revenue with other national and local media, including other television networks, television stations, radio stations, newspapers, Internet sites and direct mail.</w:t>
      </w:r>
    </w:p>
    <w:p>
      <w:pPr>
        <w:spacing w:after="0" w:line="18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Other Businesses</w:t>
      </w:r>
    </w:p>
    <w:p>
      <w:pPr>
        <w:spacing w:after="0" w:line="96" w:lineRule="exact"/>
        <w:rPr>
          <w:sz w:val="20"/>
          <w:szCs w:val="20"/>
          <w:color w:val="auto"/>
        </w:rPr>
      </w:pPr>
    </w:p>
    <w:p>
      <w:pPr>
        <w:ind w:right="20" w:firstLine="456"/>
        <w:spacing w:after="0" w:line="259" w:lineRule="auto"/>
        <w:rPr>
          <w:sz w:val="20"/>
          <w:szCs w:val="20"/>
          <w:color w:val="auto"/>
        </w:rPr>
      </w:pPr>
      <w:r>
        <w:rPr>
          <w:rFonts w:ascii="Arial" w:cs="Arial" w:eastAsia="Arial" w:hAnsi="Arial"/>
          <w:sz w:val="18"/>
          <w:szCs w:val="18"/>
          <w:color w:val="auto"/>
        </w:rPr>
        <w:t>In addition to our controlling interest in Comcast Spectacor, which owns the Philadelphia Flyers, the Philadelphia 76ers and two large multipurpose arenas, we also own noncontrolling interests in MGM, iN DEMAND, TV One, PBS KIDS Sprout, FEARnet, SportsChannel New England, New England Cable News, Pittsburgh Cable News Channel, Music Choice and Sterling Entertainment.</w:t>
      </w:r>
    </w:p>
    <w:p>
      <w:pPr>
        <w:spacing w:after="0" w:line="296"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LEGISLATION AND REGULATION</w:t>
      </w:r>
    </w:p>
    <w:p>
      <w:pPr>
        <w:spacing w:after="0" w:line="177" w:lineRule="exact"/>
        <w:rPr>
          <w:sz w:val="20"/>
          <w:szCs w:val="20"/>
          <w:color w:val="auto"/>
        </w:rPr>
      </w:pPr>
    </w:p>
    <w:p>
      <w:pPr>
        <w:ind w:firstLine="456"/>
        <w:spacing w:after="0" w:line="298" w:lineRule="auto"/>
        <w:rPr>
          <w:sz w:val="20"/>
          <w:szCs w:val="20"/>
          <w:color w:val="auto"/>
        </w:rPr>
      </w:pPr>
      <w:r>
        <w:rPr>
          <w:rFonts w:ascii="Arial" w:cs="Arial" w:eastAsia="Arial" w:hAnsi="Arial"/>
          <w:sz w:val="16"/>
          <w:szCs w:val="16"/>
          <w:color w:val="auto"/>
        </w:rPr>
        <w:t>Our video and phone services are subject to numerous requirements, prohibitions and limitations imposed by various federal and state laws and regulations, local ordinances and our franchise agreements. Our high-speed Internet service, while not currently subject to significant regulation, may be subject to such regulation in the future. Our Programming businesses are, with limited exceptions, not subject to direct governmental regulation. In addition, our video services are subject to compliance with the terms of the FCC’s July 2006 order approving the Adelphia and Time Warner transactions (the “Adelphia Order”).</w:t>
      </w:r>
    </w:p>
    <w:p>
      <w:pPr>
        <w:spacing w:after="0" w:line="113" w:lineRule="exact"/>
        <w:rPr>
          <w:sz w:val="20"/>
          <w:szCs w:val="20"/>
          <w:color w:val="auto"/>
        </w:rPr>
      </w:pPr>
    </w:p>
    <w:p>
      <w:pPr>
        <w:ind w:firstLine="456"/>
        <w:spacing w:after="0" w:line="255" w:lineRule="auto"/>
        <w:rPr>
          <w:sz w:val="20"/>
          <w:szCs w:val="20"/>
          <w:color w:val="auto"/>
        </w:rPr>
      </w:pPr>
      <w:r>
        <w:rPr>
          <w:rFonts w:ascii="Arial" w:cs="Arial" w:eastAsia="Arial" w:hAnsi="Arial"/>
          <w:sz w:val="18"/>
          <w:szCs w:val="18"/>
          <w:color w:val="auto"/>
        </w:rPr>
        <w:t>The most significant federal law affecting our cable business is the Communications Act of 1934, as amended (the “Communications Act”). The Communications Act and the regulations and policies of the FCC affect significant aspects of our cable system video services, including cable system ownership, video subscriber rates, carriage of broadcast television stations, the way we sell our programming packages to subscribers, access to cable system channels by franchising authorities and other third parties, and use of utility poles and conduits. Additionally, the Communications Act and FCC regulations affect the offering of our high-speed Internet services and phone services.</w:t>
      </w:r>
    </w:p>
    <w:p>
      <w:pPr>
        <w:spacing w:after="0" w:line="224"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Video Services</w:t>
      </w:r>
    </w:p>
    <w:p>
      <w:pPr>
        <w:spacing w:after="0" w:line="90" w:lineRule="exact"/>
        <w:rPr>
          <w:sz w:val="20"/>
          <w:szCs w:val="20"/>
          <w:color w:val="auto"/>
        </w:rPr>
      </w:pPr>
    </w:p>
    <w:p>
      <w:pPr>
        <w:ind w:right="160" w:firstLine="456"/>
        <w:spacing w:after="0" w:line="259" w:lineRule="auto"/>
        <w:rPr>
          <w:sz w:val="20"/>
          <w:szCs w:val="20"/>
          <w:color w:val="auto"/>
        </w:rPr>
      </w:pPr>
      <w:r>
        <w:rPr>
          <w:rFonts w:ascii="Arial" w:cs="Arial" w:eastAsia="Arial" w:hAnsi="Arial"/>
          <w:sz w:val="18"/>
          <w:szCs w:val="18"/>
          <w:i w:val="1"/>
          <w:iCs w:val="1"/>
          <w:color w:val="auto"/>
        </w:rPr>
        <w:t xml:space="preserve">Ownership Limits. </w:t>
      </w:r>
      <w:r>
        <w:rPr>
          <w:rFonts w:ascii="Arial" w:cs="Arial" w:eastAsia="Arial" w:hAnsi="Arial"/>
          <w:sz w:val="18"/>
          <w:szCs w:val="18"/>
          <w:color w:val="auto"/>
        </w:rPr>
        <w:t>The FCC is considering imposing “horizontal ownership limits” that would limit the percentage of video subscribers that any single</w:t>
      </w:r>
      <w:r>
        <w:rPr>
          <w:rFonts w:ascii="Arial" w:cs="Arial" w:eastAsia="Arial" w:hAnsi="Arial"/>
          <w:sz w:val="18"/>
          <w:szCs w:val="18"/>
          <w:i w:val="1"/>
          <w:iCs w:val="1"/>
          <w:color w:val="auto"/>
        </w:rPr>
        <w:t xml:space="preserve"> </w:t>
      </w:r>
      <w:r>
        <w:rPr>
          <w:rFonts w:ascii="Arial" w:cs="Arial" w:eastAsia="Arial" w:hAnsi="Arial"/>
          <w:sz w:val="18"/>
          <w:szCs w:val="18"/>
          <w:color w:val="auto"/>
        </w:rPr>
        <w:t>cable provider could serve nationwide. A federal appellate court struck down the previous 30% limit, and the FCC is now considering this issue anew. We serve approximately</w:t>
      </w:r>
    </w:p>
    <w:p>
      <w:pPr>
        <w:spacing w:after="0" w:line="12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10</w:t>
      </w:r>
    </w:p>
    <w:p>
      <w:pPr>
        <w:sectPr>
          <w:pgSz w:w="11900" w:h="16838" w:orient="portrait"/>
          <w:cols w:equalWidth="0" w:num="1">
            <w:col w:w="11400"/>
          </w:cols>
          <w:pgMar w:left="240" w:top="459" w:right="259" w:bottom="1440" w:gutter="0" w:footer="0" w:header="0"/>
        </w:sectPr>
      </w:pPr>
    </w:p>
    <w:bookmarkStart w:id="13" w:name="page14"/>
    <w:bookmarkEnd w:id="1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right="20"/>
        <w:spacing w:after="0" w:line="253" w:lineRule="auto"/>
        <w:rPr>
          <w:sz w:val="20"/>
          <w:szCs w:val="20"/>
          <w:color w:val="auto"/>
        </w:rPr>
      </w:pPr>
      <w:r>
        <w:rPr>
          <w:rFonts w:ascii="Arial" w:cs="Arial" w:eastAsia="Arial" w:hAnsi="Arial"/>
          <w:sz w:val="18"/>
          <w:szCs w:val="18"/>
          <w:color w:val="auto"/>
        </w:rPr>
        <w:t>27% of multichannel video subscribers. If the FCC were to reinstate ownership limits similar to those previously imposed, such limits would restrict our ability to take advantage of future growth opportunities. The FCC is also assessing whether it should reinstate “vertical ownership limits” on the number of affiliated programming networks a cable operator may carry on its cable systems. The previous limit of 40% of the first 75 channels was also invalidated by the federal appellate court. The percentage of affiliated programming networks we currently carry is well below the previous 40% limit, but it is uncertain how any new vertical limits might affect our Programming businesses. In addition, the FCC is considering revisions to its ownership attribution rules that would affect which cable subscribers are counted under any horizontal ownership limit and which programming interests are counted under any vertical ownership limit. It is uncertain when the FCC will rule on these issues.</w:t>
      </w:r>
    </w:p>
    <w:p>
      <w:pPr>
        <w:spacing w:after="0" w:line="147" w:lineRule="exact"/>
        <w:rPr>
          <w:sz w:val="20"/>
          <w:szCs w:val="20"/>
          <w:color w:val="auto"/>
        </w:rPr>
      </w:pPr>
    </w:p>
    <w:p>
      <w:pPr>
        <w:ind w:firstLine="456"/>
        <w:spacing w:after="0" w:line="288" w:lineRule="auto"/>
        <w:rPr>
          <w:sz w:val="20"/>
          <w:szCs w:val="20"/>
          <w:color w:val="auto"/>
        </w:rPr>
      </w:pPr>
      <w:r>
        <w:rPr>
          <w:rFonts w:ascii="Arial" w:cs="Arial" w:eastAsia="Arial" w:hAnsi="Arial"/>
          <w:sz w:val="16"/>
          <w:szCs w:val="16"/>
          <w:i w:val="1"/>
          <w:iCs w:val="1"/>
          <w:color w:val="auto"/>
        </w:rPr>
        <w:t>Pricing and Packaging</w:t>
      </w:r>
      <w:r>
        <w:rPr>
          <w:rFonts w:ascii="Arial" w:cs="Arial" w:eastAsia="Arial" w:hAnsi="Arial"/>
          <w:sz w:val="16"/>
          <w:szCs w:val="16"/>
          <w:color w:val="auto"/>
        </w:rPr>
        <w:t>. The Communications Act and the FCC’s regulations and policies limit the prices that cable systems may charge for limited basic</w:t>
      </w:r>
      <w:r>
        <w:rPr>
          <w:rFonts w:ascii="Arial" w:cs="Arial" w:eastAsia="Arial" w:hAnsi="Arial"/>
          <w:sz w:val="16"/>
          <w:szCs w:val="16"/>
          <w:i w:val="1"/>
          <w:iCs w:val="1"/>
          <w:color w:val="auto"/>
        </w:rPr>
        <w:t xml:space="preserve"> </w:t>
      </w:r>
      <w:r>
        <w:rPr>
          <w:rFonts w:ascii="Arial" w:cs="Arial" w:eastAsia="Arial" w:hAnsi="Arial"/>
          <w:sz w:val="16"/>
          <w:szCs w:val="16"/>
          <w:color w:val="auto"/>
        </w:rPr>
        <w:t>service, equipment and installation as well as the manner in which cable operators may package premium or pay-per-view services with other tiers of service. These rules do not apply to cable systems that are determined by the FCC to be subject to “effective competition,” but these determinations have thus far been made for only a small number of our cable systems. Failure to comply with these rate rules can result in rate reductions and refunds for subscribers. From time to time, Congress and the FCC consider imposing new pricing or packaging regulations on the cable industry, including proposals requiring cable operators to offer programming services on an a la carte or themed-tier basis instead of, or in addition to, our current packaged offerings. It is unclear whether or when Congress, the FCC or any other regulatory agency may adopt any new requirements with respect to the pricing or packaging of video services and how such requirements, if adopted, would affect our Cable and Programming businesses. Additionally, Communications Act uniform pricing requirements may affect our ability to respond to increased competition through offers, promotions or other discounts that aim to retain existing subscribers or regain those we have lost.</w:t>
      </w:r>
    </w:p>
    <w:p>
      <w:pPr>
        <w:spacing w:after="0" w:line="120" w:lineRule="exact"/>
        <w:rPr>
          <w:sz w:val="20"/>
          <w:szCs w:val="20"/>
          <w:color w:val="auto"/>
        </w:rPr>
      </w:pPr>
    </w:p>
    <w:p>
      <w:pPr>
        <w:ind w:right="40" w:firstLine="456"/>
        <w:spacing w:after="0" w:line="286" w:lineRule="auto"/>
        <w:rPr>
          <w:sz w:val="20"/>
          <w:szCs w:val="20"/>
          <w:color w:val="auto"/>
        </w:rPr>
      </w:pPr>
      <w:r>
        <w:rPr>
          <w:rFonts w:ascii="Arial" w:cs="Arial" w:eastAsia="Arial" w:hAnsi="Arial"/>
          <w:sz w:val="16"/>
          <w:szCs w:val="16"/>
          <w:i w:val="1"/>
          <w:iCs w:val="1"/>
          <w:color w:val="auto"/>
        </w:rPr>
        <w:t xml:space="preserve">Must-Carry/Retransmission Consent. </w:t>
      </w:r>
      <w:r>
        <w:rPr>
          <w:rFonts w:ascii="Arial" w:cs="Arial" w:eastAsia="Arial" w:hAnsi="Arial"/>
          <w:sz w:val="16"/>
          <w:szCs w:val="16"/>
          <w:color w:val="auto"/>
        </w:rPr>
        <w:t>Cable operators are currently required to carry, without compensation, the programming transmitted by most local</w:t>
      </w:r>
      <w:r>
        <w:rPr>
          <w:rFonts w:ascii="Arial" w:cs="Arial" w:eastAsia="Arial" w:hAnsi="Arial"/>
          <w:sz w:val="16"/>
          <w:szCs w:val="16"/>
          <w:i w:val="1"/>
          <w:iCs w:val="1"/>
          <w:color w:val="auto"/>
        </w:rPr>
        <w:t xml:space="preserve"> </w:t>
      </w:r>
      <w:r>
        <w:rPr>
          <w:rFonts w:ascii="Arial" w:cs="Arial" w:eastAsia="Arial" w:hAnsi="Arial"/>
          <w:sz w:val="16"/>
          <w:szCs w:val="16"/>
          <w:color w:val="auto"/>
        </w:rPr>
        <w:t>commercial and non-commercial television stations (“must-carry”). Alternatively, local television stations may insist that a cable operator negotiate for “retransmission consent,” which may enable popular stations to demand cash payments or other significant concessions (such as the carriage of, and payment for, other programming networks affiliated with the broadcaster) as a condition of transmitting the TV broadcast signals that cable subscribers expect to receive. As part of the transition from analog to digital broadcast transmission (now scheduled for completion in February 2009), Congress and the FCC gave each local broadcast station a digital channel, capable of carrying multiple programming streams, in addition to its current analog channel. The FCC has to date rejected proposals to require cable operators to: (i) simultaneously carry both the analog and digital signals of each broadcaster during the transition (cable operators currently are obligated to carry only the broadcaster’s analog signal during the transition); and (ii) carry the multiple program streams transmitted within a broadcaster’s digital signal (cable operators currently are obligated to carry only the primary digital video stream of the broadcaster after the broadcaster surrenders its analog channel). However, such proposals may continue to be presented by the FCC. In general, if such expanded carriage requirements were adopted, we would have less freedom and capacity to provide the services that we believe will be of greatest interest to our subscribers.</w:t>
      </w:r>
    </w:p>
    <w:p>
      <w:pPr>
        <w:spacing w:after="0" w:line="127" w:lineRule="exact"/>
        <w:rPr>
          <w:sz w:val="20"/>
          <w:szCs w:val="20"/>
          <w:color w:val="auto"/>
        </w:rPr>
      </w:pPr>
    </w:p>
    <w:p>
      <w:pPr>
        <w:ind w:right="20" w:firstLine="456"/>
        <w:spacing w:after="0" w:line="289" w:lineRule="auto"/>
        <w:rPr>
          <w:sz w:val="20"/>
          <w:szCs w:val="20"/>
          <w:color w:val="auto"/>
        </w:rPr>
      </w:pPr>
      <w:r>
        <w:rPr>
          <w:rFonts w:ascii="Arial" w:cs="Arial" w:eastAsia="Arial" w:hAnsi="Arial"/>
          <w:sz w:val="16"/>
          <w:szCs w:val="16"/>
          <w:i w:val="1"/>
          <w:iCs w:val="1"/>
          <w:color w:val="auto"/>
        </w:rPr>
        <w:t xml:space="preserve">Program Access/Licensee Agreements. </w:t>
      </w:r>
      <w:r>
        <w:rPr>
          <w:rFonts w:ascii="Arial" w:cs="Arial" w:eastAsia="Arial" w:hAnsi="Arial"/>
          <w:sz w:val="16"/>
          <w:szCs w:val="16"/>
          <w:color w:val="auto"/>
        </w:rPr>
        <w:t>The Communications Act and the FCC’s “program access” rules generally prevent satellite video programmers</w:t>
      </w:r>
      <w:r>
        <w:rPr>
          <w:rFonts w:ascii="Arial" w:cs="Arial" w:eastAsia="Arial" w:hAnsi="Arial"/>
          <w:sz w:val="16"/>
          <w:szCs w:val="16"/>
          <w:i w:val="1"/>
          <w:iCs w:val="1"/>
          <w:color w:val="auto"/>
        </w:rPr>
        <w:t xml:space="preserve"> </w:t>
      </w:r>
      <w:r>
        <w:rPr>
          <w:rFonts w:ascii="Arial" w:cs="Arial" w:eastAsia="Arial" w:hAnsi="Arial"/>
          <w:sz w:val="16"/>
          <w:szCs w:val="16"/>
          <w:color w:val="auto"/>
        </w:rPr>
        <w:t>affiliated with cable operators from favoring cable operators over competing MVPDs, such as DBS, and limit the ability of such programmers to offer exclusive programming arrangements to cable operators. The FCC has extended the exclusivity restrictions through October 2007 and is expected to launch a proceeding to consider a further extension of the exclusivity restrictions in the first half of 2007. There is also increased attention at the FCC and in Congress focused on exclusive arrangements involving sports programming. In addition, the Communications Act and the FCC’s “program carriage” rules prohibit cable operators or other MVPDs from requiring a financial interest in any video programming network as a condition of carriage or from unreasonably restraining the ability of an unaffiliated programming network to compete fairly by discriminating against the network on the basis of its nonaffiliation in the selection, terms or conditions for carriage. The FCC is planning to launch a rulemaking aimed at streamlining the complaint processes for program</w:t>
      </w:r>
    </w:p>
    <w:p>
      <w:pPr>
        <w:spacing w:after="0" w:line="10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11</w:t>
      </w:r>
    </w:p>
    <w:p>
      <w:pPr>
        <w:sectPr>
          <w:pgSz w:w="11900" w:h="16838" w:orient="portrait"/>
          <w:cols w:equalWidth="0" w:num="1">
            <w:col w:w="11400"/>
          </w:cols>
          <w:pgMar w:left="240" w:top="459" w:right="259" w:bottom="1440" w:gutter="0" w:footer="0" w:header="0"/>
        </w:sectPr>
      </w:pPr>
    </w:p>
    <w:bookmarkStart w:id="14" w:name="page15"/>
    <w:bookmarkEnd w:id="1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spacing w:after="0" w:line="306" w:lineRule="auto"/>
        <w:rPr>
          <w:sz w:val="20"/>
          <w:szCs w:val="20"/>
          <w:color w:val="auto"/>
        </w:rPr>
      </w:pPr>
      <w:r>
        <w:rPr>
          <w:rFonts w:ascii="Arial" w:cs="Arial" w:eastAsia="Arial" w:hAnsi="Arial"/>
          <w:sz w:val="16"/>
          <w:szCs w:val="16"/>
          <w:color w:val="auto"/>
        </w:rPr>
        <w:t>access and program carriage complaints. Any decision by the FCC or Congress to apply new program access or program carriage regulations to cable operators could have an adverse impact on our businesses. Additionally, the FCC’s Adelphia Order (discussed below) expands the application of the program access rules to Comcast-affiliated regional sports networks (“RSNs”) and establishes an arbitration option for disputes over carriage of unaffiliated RSNs.</w:t>
      </w:r>
    </w:p>
    <w:p>
      <w:pPr>
        <w:spacing w:after="0" w:line="107" w:lineRule="exact"/>
        <w:rPr>
          <w:sz w:val="20"/>
          <w:szCs w:val="20"/>
          <w:color w:val="auto"/>
        </w:rPr>
      </w:pPr>
    </w:p>
    <w:p>
      <w:pPr>
        <w:ind w:right="80" w:firstLine="456"/>
        <w:spacing w:after="0" w:line="286" w:lineRule="auto"/>
        <w:rPr>
          <w:sz w:val="20"/>
          <w:szCs w:val="20"/>
          <w:color w:val="auto"/>
        </w:rPr>
      </w:pPr>
      <w:r>
        <w:rPr>
          <w:rFonts w:ascii="Arial" w:cs="Arial" w:eastAsia="Arial" w:hAnsi="Arial"/>
          <w:sz w:val="16"/>
          <w:szCs w:val="16"/>
          <w:i w:val="1"/>
          <w:iCs w:val="1"/>
          <w:color w:val="auto"/>
        </w:rPr>
        <w:t xml:space="preserve">Cable Equipment Issues. </w:t>
      </w:r>
      <w:r>
        <w:rPr>
          <w:rFonts w:ascii="Arial" w:cs="Arial" w:eastAsia="Arial" w:hAnsi="Arial"/>
          <w:sz w:val="16"/>
          <w:szCs w:val="16"/>
          <w:color w:val="auto"/>
        </w:rPr>
        <w:t>The FCC has adopted regulations aimed at promoting the retail sale of set-top boxes and other equipment that can be used to</w:t>
      </w:r>
      <w:r>
        <w:rPr>
          <w:rFonts w:ascii="Arial" w:cs="Arial" w:eastAsia="Arial" w:hAnsi="Arial"/>
          <w:sz w:val="16"/>
          <w:szCs w:val="16"/>
          <w:i w:val="1"/>
          <w:iCs w:val="1"/>
          <w:color w:val="auto"/>
        </w:rPr>
        <w:t xml:space="preserve"> </w:t>
      </w:r>
      <w:r>
        <w:rPr>
          <w:rFonts w:ascii="Arial" w:cs="Arial" w:eastAsia="Arial" w:hAnsi="Arial"/>
          <w:sz w:val="16"/>
          <w:szCs w:val="16"/>
          <w:color w:val="auto"/>
        </w:rPr>
        <w:t>receive digital video services. Currently, most cable subscribers access these services using a leased set-top box that integrates cable access security with other operating functions. Subscribers may also obtain digital video services through a separate piece of equipment, known as a CableCARD, that connects to digital cable devices purchased at retail. Effective July 2007, cable operators must cease placing into service new set-top boxes with integrated security. At that time, newly deployed leased set-top boxes must use a separate piece of equipment (typically a CableCARD) to provide access to digital video services. A federal court upheld the ban on integrated set-top box security in August 2006, leaving any subsequent relief to the FCC. We and other companies subject to the ban are currently seeking FCC waivers to exempt some limited function set-top boxes from the ban and/or to extend the deadline to accommodate a newer security technology that can be downloaded to leased set-top boxes as well as retail equipment. Our waiver request for limited-function set-top boxes was denied by the FCC’s Media Bureau in January 2007. We have requested a review of that decision by the full FCC, but there is no assurance that our request will be granted. If the FCC does not extend the deadline and does not grant our waiver request, we will be forced to incur added costs in purchasing CableCARD-enabled set-top boxes and the associated CableCARDs.</w:t>
      </w:r>
    </w:p>
    <w:p>
      <w:pPr>
        <w:spacing w:after="0" w:line="127" w:lineRule="exact"/>
        <w:rPr>
          <w:sz w:val="20"/>
          <w:szCs w:val="20"/>
          <w:color w:val="auto"/>
        </w:rPr>
      </w:pPr>
    </w:p>
    <w:p>
      <w:pPr>
        <w:ind w:right="40" w:firstLine="456"/>
        <w:spacing w:after="0" w:line="306" w:lineRule="auto"/>
        <w:rPr>
          <w:sz w:val="20"/>
          <w:szCs w:val="20"/>
          <w:color w:val="auto"/>
        </w:rPr>
      </w:pPr>
      <w:r>
        <w:rPr>
          <w:rFonts w:ascii="Arial" w:cs="Arial" w:eastAsia="Arial" w:hAnsi="Arial"/>
          <w:sz w:val="16"/>
          <w:szCs w:val="16"/>
          <w:color w:val="auto"/>
        </w:rPr>
        <w:t>In addition, the FCC has adopted rules to implement an agreement between the cable and consumer electronics industries aimed at promoting the manufacture of “plug-and-play” TV sets that can connect directly to the cable network and receive one-way analog and digital video services without the need for a set-top box. We believe that we are substantially in compliance with these one-way plug-and-play requirements.</w:t>
      </w:r>
    </w:p>
    <w:p>
      <w:pPr>
        <w:spacing w:after="0" w:line="107" w:lineRule="exact"/>
        <w:rPr>
          <w:sz w:val="20"/>
          <w:szCs w:val="20"/>
          <w:color w:val="auto"/>
        </w:rPr>
      </w:pPr>
    </w:p>
    <w:p>
      <w:pPr>
        <w:ind w:right="20" w:firstLine="456"/>
        <w:spacing w:after="0" w:line="294" w:lineRule="auto"/>
        <w:rPr>
          <w:sz w:val="20"/>
          <w:szCs w:val="20"/>
          <w:color w:val="auto"/>
        </w:rPr>
      </w:pPr>
      <w:r>
        <w:rPr>
          <w:rFonts w:ascii="Arial" w:cs="Arial" w:eastAsia="Arial" w:hAnsi="Arial"/>
          <w:sz w:val="16"/>
          <w:szCs w:val="16"/>
          <w:i w:val="1"/>
          <w:iCs w:val="1"/>
          <w:color w:val="auto"/>
        </w:rPr>
        <w:t xml:space="preserve">Franchise Matters. </w:t>
      </w:r>
      <w:r>
        <w:rPr>
          <w:rFonts w:ascii="Arial" w:cs="Arial" w:eastAsia="Arial" w:hAnsi="Arial"/>
          <w:sz w:val="16"/>
          <w:szCs w:val="16"/>
          <w:color w:val="auto"/>
        </w:rPr>
        <w:t>Cable operators generally operate their cable systems pursuant to non-exclusive franchises granted by local or state franchising</w:t>
      </w:r>
      <w:r>
        <w:rPr>
          <w:rFonts w:ascii="Arial" w:cs="Arial" w:eastAsia="Arial" w:hAnsi="Arial"/>
          <w:sz w:val="16"/>
          <w:szCs w:val="16"/>
          <w:i w:val="1"/>
          <w:iCs w:val="1"/>
          <w:color w:val="auto"/>
        </w:rPr>
        <w:t xml:space="preserve"> </w:t>
      </w:r>
      <w:r>
        <w:rPr>
          <w:rFonts w:ascii="Arial" w:cs="Arial" w:eastAsia="Arial" w:hAnsi="Arial"/>
          <w:sz w:val="16"/>
          <w:szCs w:val="16"/>
          <w:color w:val="auto"/>
        </w:rPr>
        <w:t>authorities. While the terms and conditions of franchises vary materially from jurisdiction to jurisdiction, franchises typically last for a fixed term, obligate the franchisee to pay franchise fees and meet service quality, customer service and other requirements, and are terminable if the franchisee fails to comply with material provisions. The Communications Act contains provisions governing the franchising process, including, among other things, renewal procedures designed to protect incumbent franchisees against arbitrary denials of renewal. We believe that our franchise renewal prospects generally are favorable.</w:t>
      </w:r>
    </w:p>
    <w:p>
      <w:pPr>
        <w:spacing w:after="0" w:line="116" w:lineRule="exact"/>
        <w:rPr>
          <w:sz w:val="20"/>
          <w:szCs w:val="20"/>
          <w:color w:val="auto"/>
        </w:rPr>
      </w:pPr>
    </w:p>
    <w:p>
      <w:pPr>
        <w:ind w:right="20" w:firstLine="456"/>
        <w:spacing w:after="0" w:line="286" w:lineRule="auto"/>
        <w:rPr>
          <w:sz w:val="20"/>
          <w:szCs w:val="20"/>
          <w:color w:val="auto"/>
        </w:rPr>
      </w:pPr>
      <w:r>
        <w:rPr>
          <w:rFonts w:ascii="Arial" w:cs="Arial" w:eastAsia="Arial" w:hAnsi="Arial"/>
          <w:sz w:val="16"/>
          <w:szCs w:val="16"/>
          <w:color w:val="auto"/>
        </w:rPr>
        <w:t>There has been considerable activity at the federal and state level regarding franchise requirements imposed on new entrants. In December 2006, the FCC adopted new rules designed to ease the franchising process and reduce franchising burdens for new entrants. In announcing this decision, the FCC said that it would, among other things, limit the range of financial, construction and other commitments that franchising authorities can request of new entrants, require franchising authorities to act on franchise applications by certain new entrants (such as ILECs) within 90 days, and preempt certain local “level playing field” franchising requirements. However, the FCC has not yet released the text of its order, so the terms are not yet fully known. We expect the order will be subject to a court challenge once it is released. In addition, Congress and various state governments are considering measures that would lessen or eliminate franchising requirements for new entrants, including ILECs. Several states have already enacted legislation to provide statewide franchising or to simplify local franchising requirements for new entrants, thus relieving new entrants of many of the local franchising burdens faced by incumbent operators. Certain of these state statutes allow the incumbent cable operator to “opt into” the new state franchise where a competing state franchise has been issued for the incumbent’s franchise area. However, even in those states where the incumbent cable operator is allowed to opt into a state franchise, the incumbent operator typically retains certain franchise obligations that are more burdensome than the new entrant’s state franchise. We have significant operations in several of the states that have passed state franchising legislation and we anticipate that additional states will pass similar franchising legislation.</w:t>
      </w:r>
    </w:p>
    <w:p>
      <w:pPr>
        <w:spacing w:after="0" w:line="11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12</w:t>
      </w:r>
    </w:p>
    <w:p>
      <w:pPr>
        <w:sectPr>
          <w:pgSz w:w="11900" w:h="16838" w:orient="portrait"/>
          <w:cols w:equalWidth="0" w:num="1">
            <w:col w:w="11420"/>
          </w:cols>
          <w:pgMar w:left="240" w:top="459" w:right="239" w:bottom="1440" w:gutter="0" w:footer="0" w:header="0"/>
        </w:sectPr>
      </w:pPr>
    </w:p>
    <w:bookmarkStart w:id="15" w:name="page16"/>
    <w:bookmarkEnd w:id="1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firstLine="456"/>
        <w:spacing w:after="0" w:line="256" w:lineRule="auto"/>
        <w:rPr>
          <w:sz w:val="20"/>
          <w:szCs w:val="20"/>
          <w:color w:val="auto"/>
        </w:rPr>
      </w:pPr>
      <w:r>
        <w:rPr>
          <w:rFonts w:ascii="Arial" w:cs="Arial" w:eastAsia="Arial" w:hAnsi="Arial"/>
          <w:sz w:val="18"/>
          <w:szCs w:val="18"/>
          <w:color w:val="auto"/>
        </w:rPr>
        <w:t>The FCC has also announced that it will initiate a follow-on rulemaking to consider whether to make similar changes for existing cable operators. We could be materially disadvantaged if rules that provide less burdensome franchising requirements for new entrants, but not existing operators, are implemented. Furthermore, Congress may also consider proposals to eliminate or streamline local franchising requirements for ILECs and other new entrants. If enacted, this legislation could materially disadvantage existing operators.</w:t>
      </w:r>
    </w:p>
    <w:p>
      <w:pPr>
        <w:spacing w:after="0" w:line="143" w:lineRule="exact"/>
        <w:rPr>
          <w:sz w:val="20"/>
          <w:szCs w:val="20"/>
          <w:color w:val="auto"/>
        </w:rPr>
      </w:pPr>
    </w:p>
    <w:p>
      <w:pPr>
        <w:ind w:firstLine="456"/>
        <w:spacing w:after="0" w:line="290" w:lineRule="auto"/>
        <w:rPr>
          <w:sz w:val="20"/>
          <w:szCs w:val="20"/>
          <w:color w:val="auto"/>
        </w:rPr>
      </w:pPr>
      <w:r>
        <w:rPr>
          <w:rFonts w:ascii="Arial" w:cs="Arial" w:eastAsia="Arial" w:hAnsi="Arial"/>
          <w:sz w:val="16"/>
          <w:szCs w:val="16"/>
          <w:i w:val="1"/>
          <w:iCs w:val="1"/>
          <w:color w:val="auto"/>
        </w:rPr>
        <w:t xml:space="preserve">Pole Attachments. </w:t>
      </w:r>
      <w:r>
        <w:rPr>
          <w:rFonts w:ascii="Arial" w:cs="Arial" w:eastAsia="Arial" w:hAnsi="Arial"/>
          <w:sz w:val="16"/>
          <w:szCs w:val="16"/>
          <w:color w:val="auto"/>
        </w:rPr>
        <w:t>The Communications Act requires phone companies and other utilities (other than those owned by municipalities or cooperatives) to</w:t>
      </w:r>
      <w:r>
        <w:rPr>
          <w:rFonts w:ascii="Arial" w:cs="Arial" w:eastAsia="Arial" w:hAnsi="Arial"/>
          <w:sz w:val="16"/>
          <w:szCs w:val="16"/>
          <w:i w:val="1"/>
          <w:iCs w:val="1"/>
          <w:color w:val="auto"/>
        </w:rPr>
        <w:t xml:space="preserve"> </w:t>
      </w:r>
      <w:r>
        <w:rPr>
          <w:rFonts w:ascii="Arial" w:cs="Arial" w:eastAsia="Arial" w:hAnsi="Arial"/>
          <w:sz w:val="16"/>
          <w:szCs w:val="16"/>
          <w:color w:val="auto"/>
        </w:rPr>
        <w:t>provide cable systems with nondiscriminatory access to any pole or right-of-way controlled by the utility. The rates that utilities may charge for such access are regulated by the FCC or, alternatively, by states that certify to the FCC that they regulate such rates. Several states in which we have cable systems have certified that they regulate pole rates. There is always the possibility that the FCC or a state could permit the increase of pole attachment rates paid by cable operators. Additionally, higher pole attachment rates apply to pole attachments that are subject to the FCC’s telecommunications services pole rates. The applicability of and method for calculating those rates for cable systems over which various phone services are transmitted remain unclear, and there is a risk that we will face significantly higher pole attachment costs as our phone business expands.</w:t>
      </w:r>
    </w:p>
    <w:p>
      <w:pPr>
        <w:spacing w:after="0" w:line="118" w:lineRule="exact"/>
        <w:rPr>
          <w:sz w:val="20"/>
          <w:szCs w:val="20"/>
          <w:color w:val="auto"/>
        </w:rPr>
      </w:pPr>
    </w:p>
    <w:p>
      <w:pPr>
        <w:ind w:right="320" w:firstLine="456"/>
        <w:spacing w:after="0" w:line="256" w:lineRule="auto"/>
        <w:rPr>
          <w:sz w:val="20"/>
          <w:szCs w:val="20"/>
          <w:color w:val="auto"/>
        </w:rPr>
      </w:pPr>
      <w:r>
        <w:rPr>
          <w:rFonts w:ascii="Arial" w:cs="Arial" w:eastAsia="Arial" w:hAnsi="Arial"/>
          <w:sz w:val="18"/>
          <w:szCs w:val="18"/>
          <w:i w:val="1"/>
          <w:iCs w:val="1"/>
          <w:color w:val="auto"/>
        </w:rPr>
        <w:t xml:space="preserve">Privacy Regulation. </w:t>
      </w:r>
      <w:r>
        <w:rPr>
          <w:rFonts w:ascii="Arial" w:cs="Arial" w:eastAsia="Arial" w:hAnsi="Arial"/>
          <w:sz w:val="18"/>
          <w:szCs w:val="18"/>
          <w:color w:val="auto"/>
        </w:rPr>
        <w:t>The Communications Act generally restricts the nonconsensual collection and disclosure to third parties of subscribers’ personal</w:t>
      </w:r>
      <w:r>
        <w:rPr>
          <w:rFonts w:ascii="Arial" w:cs="Arial" w:eastAsia="Arial" w:hAnsi="Arial"/>
          <w:sz w:val="18"/>
          <w:szCs w:val="18"/>
          <w:i w:val="1"/>
          <w:iCs w:val="1"/>
          <w:color w:val="auto"/>
        </w:rPr>
        <w:t xml:space="preserve"> </w:t>
      </w:r>
      <w:r>
        <w:rPr>
          <w:rFonts w:ascii="Arial" w:cs="Arial" w:eastAsia="Arial" w:hAnsi="Arial"/>
          <w:sz w:val="18"/>
          <w:szCs w:val="18"/>
          <w:color w:val="auto"/>
        </w:rPr>
        <w:t>information by cable operators and phone providers. Additional requirements may be imposed if and to the extent state or local authorities establish their own privacy standards. In addition, the FCC, the Federal Trade Commission and many states have adopted rules that limit the telemarketing practices of cable operators and other commercial entities.</w:t>
      </w:r>
    </w:p>
    <w:p>
      <w:pPr>
        <w:spacing w:after="0" w:line="143" w:lineRule="exact"/>
        <w:rPr>
          <w:sz w:val="20"/>
          <w:szCs w:val="20"/>
          <w:color w:val="auto"/>
        </w:rPr>
      </w:pPr>
    </w:p>
    <w:p>
      <w:pPr>
        <w:ind w:firstLine="456"/>
        <w:spacing w:after="0" w:line="289" w:lineRule="auto"/>
        <w:rPr>
          <w:sz w:val="20"/>
          <w:szCs w:val="20"/>
          <w:color w:val="auto"/>
        </w:rPr>
      </w:pPr>
      <w:r>
        <w:rPr>
          <w:rFonts w:ascii="Arial" w:cs="Arial" w:eastAsia="Arial" w:hAnsi="Arial"/>
          <w:sz w:val="16"/>
          <w:szCs w:val="16"/>
          <w:i w:val="1"/>
          <w:iCs w:val="1"/>
          <w:color w:val="auto"/>
        </w:rPr>
        <w:t xml:space="preserve">Copyright Regulation. </w:t>
      </w:r>
      <w:r>
        <w:rPr>
          <w:rFonts w:ascii="Arial" w:cs="Arial" w:eastAsia="Arial" w:hAnsi="Arial"/>
          <w:sz w:val="16"/>
          <w:szCs w:val="16"/>
          <w:color w:val="auto"/>
        </w:rPr>
        <w:t>In exchange for filing certain reports and contributing a percentage of revenue to a federal copyright royalty pool, cable operators</w:t>
      </w:r>
      <w:r>
        <w:rPr>
          <w:rFonts w:ascii="Arial" w:cs="Arial" w:eastAsia="Arial" w:hAnsi="Arial"/>
          <w:sz w:val="16"/>
          <w:szCs w:val="16"/>
          <w:i w:val="1"/>
          <w:iCs w:val="1"/>
          <w:color w:val="auto"/>
        </w:rPr>
        <w:t xml:space="preserve"> </w:t>
      </w:r>
      <w:r>
        <w:rPr>
          <w:rFonts w:ascii="Arial" w:cs="Arial" w:eastAsia="Arial" w:hAnsi="Arial"/>
          <w:sz w:val="16"/>
          <w:szCs w:val="16"/>
          <w:color w:val="auto"/>
        </w:rPr>
        <w:t>can obtain blanket permission to retransmit copyrighted material contained in broadcast signals. The possible modification or elimination of this copyright license is the subject of ongoing legislative and administrative review. The elimination or substantial modification of the cable compulsory license could adversely affect our ability to obtain certain programming and substantially increase our programming expenses. Further, the Copyright Office has not yet made any determinations as to how the compulsory license will apply to digital broadcast signals and services. In addition, we pay standard industry licensing fees to use music in the programs we create, including our Cable businesses’ local advertising and local origination programming, and our Programming businesses’ original programs. These licensing fees have been the source of litigation with music performance rights organizations in the past, and we cannot predict with certainty whether license fee disputes may arise in the future.</w:t>
      </w:r>
    </w:p>
    <w:p>
      <w:pPr>
        <w:spacing w:after="0" w:line="118" w:lineRule="exact"/>
        <w:rPr>
          <w:sz w:val="20"/>
          <w:szCs w:val="20"/>
          <w:color w:val="auto"/>
        </w:rPr>
      </w:pPr>
    </w:p>
    <w:p>
      <w:pPr>
        <w:ind w:firstLine="456"/>
        <w:spacing w:after="0" w:line="289" w:lineRule="auto"/>
        <w:rPr>
          <w:sz w:val="20"/>
          <w:szCs w:val="20"/>
          <w:color w:val="auto"/>
        </w:rPr>
      </w:pPr>
      <w:r>
        <w:rPr>
          <w:rFonts w:ascii="Arial" w:cs="Arial" w:eastAsia="Arial" w:hAnsi="Arial"/>
          <w:sz w:val="16"/>
          <w:szCs w:val="16"/>
          <w:i w:val="1"/>
          <w:iCs w:val="1"/>
          <w:color w:val="auto"/>
        </w:rPr>
        <w:t xml:space="preserve">PEG/Leased Access. </w:t>
      </w:r>
      <w:r>
        <w:rPr>
          <w:rFonts w:ascii="Arial" w:cs="Arial" w:eastAsia="Arial" w:hAnsi="Arial"/>
          <w:sz w:val="16"/>
          <w:szCs w:val="16"/>
          <w:color w:val="auto"/>
        </w:rPr>
        <w:t>The Communications Act permits franchising authorities to require cable operators to set aside the use of channels for public,</w:t>
      </w:r>
      <w:r>
        <w:rPr>
          <w:rFonts w:ascii="Arial" w:cs="Arial" w:eastAsia="Arial" w:hAnsi="Arial"/>
          <w:sz w:val="16"/>
          <w:szCs w:val="16"/>
          <w:i w:val="1"/>
          <w:iCs w:val="1"/>
          <w:color w:val="auto"/>
        </w:rPr>
        <w:t xml:space="preserve"> </w:t>
      </w:r>
      <w:r>
        <w:rPr>
          <w:rFonts w:ascii="Arial" w:cs="Arial" w:eastAsia="Arial" w:hAnsi="Arial"/>
          <w:sz w:val="16"/>
          <w:szCs w:val="16"/>
          <w:color w:val="auto"/>
        </w:rPr>
        <w:t>educational and governmental (“PEG”) access programming. Many of our cable systems provide substantial channel capacity and financial support for PEG programming. The Communications Act also requires a cable system with 36 or more channels to make available a portion of its channel capacity for commercial leased access by third parties to provide programming that may compete with services offered directly by the cable operator. To date, we have generally not been required to devote significant channel capacity to leased access. However, the FCC’s Adelphia Order will now permit programmers seeking to obtain commercial leased access carriage on our systems to submit rate and terms disputes to commercial arbitration. Further, the FCC has stated that a new rulemaking will be commenced in an effort to facilitate the use of commercial leased access by potential programmers. New FCC rules that significantly alter the rates or terms for commercial leased access could have an adverse impact on our business.</w:t>
      </w:r>
    </w:p>
    <w:p>
      <w:pPr>
        <w:spacing w:after="0" w:line="199"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High-Speed Internet Services</w:t>
      </w:r>
    </w:p>
    <w:p>
      <w:pPr>
        <w:spacing w:after="0" w:line="90" w:lineRule="exact"/>
        <w:rPr>
          <w:sz w:val="20"/>
          <w:szCs w:val="20"/>
          <w:color w:val="auto"/>
        </w:rPr>
      </w:pPr>
    </w:p>
    <w:p>
      <w:pPr>
        <w:ind w:right="20" w:firstLine="456"/>
        <w:spacing w:after="0" w:line="259" w:lineRule="auto"/>
        <w:rPr>
          <w:sz w:val="20"/>
          <w:szCs w:val="20"/>
          <w:color w:val="auto"/>
        </w:rPr>
      </w:pPr>
      <w:r>
        <w:rPr>
          <w:rFonts w:ascii="Arial" w:cs="Arial" w:eastAsia="Arial" w:hAnsi="Arial"/>
          <w:sz w:val="18"/>
          <w:szCs w:val="18"/>
          <w:color w:val="auto"/>
        </w:rPr>
        <w:t>We provide high-speed Internet service by means of our existing cable systems. In 2002, the FCC ruled that this was an “interstate information service” not subject to federal telecommunications regulation or state or local utility regulation. That ruling was affirmed by the Supreme Court in June 2005. However, our high-speed</w:t>
      </w:r>
    </w:p>
    <w:p>
      <w:pPr>
        <w:spacing w:after="0" w:line="12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13</w:t>
      </w:r>
    </w:p>
    <w:p>
      <w:pPr>
        <w:sectPr>
          <w:pgSz w:w="11900" w:h="16838" w:orient="portrait"/>
          <w:cols w:equalWidth="0" w:num="1">
            <w:col w:w="11400"/>
          </w:cols>
          <w:pgMar w:left="240" w:top="459" w:right="259" w:bottom="1440" w:gutter="0" w:footer="0" w:header="0"/>
        </w:sectPr>
      </w:pPr>
    </w:p>
    <w:bookmarkStart w:id="16" w:name="page17"/>
    <w:bookmarkEnd w:id="1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right="140"/>
        <w:spacing w:after="0" w:line="314" w:lineRule="auto"/>
        <w:rPr>
          <w:sz w:val="20"/>
          <w:szCs w:val="20"/>
          <w:color w:val="auto"/>
        </w:rPr>
      </w:pPr>
      <w:r>
        <w:rPr>
          <w:rFonts w:ascii="Arial" w:cs="Arial" w:eastAsia="Arial" w:hAnsi="Arial"/>
          <w:sz w:val="15"/>
          <w:szCs w:val="15"/>
          <w:color w:val="auto"/>
        </w:rPr>
        <w:t>Internet service is nonetheless subject to certain regulatory obligations. In August 2005, the FCC adopted rules requiring providers of high-speed Internet access service (including cable operators) to comply with the Communications Assistance for Law Enforcement Act (“CALEA”). The FCC required that by May 2007 high-speed Internet service providers must implement certain network capabilities to assist law enforcement in conducting surveillance of persons suspected of criminal activity. We expect that our high-speed Internet services will comply with these new requirements. In addition, Congress is considering proposals that would give the Attorney General authority to require that Internet service providers retain for substantial periods information regarding their customers. We do not know the scope or length of the data retention requirements that may be adopted or how they will affect our operating costs or potential liabilities.</w:t>
      </w:r>
    </w:p>
    <w:p>
      <w:pPr>
        <w:spacing w:after="0" w:line="105" w:lineRule="exact"/>
        <w:rPr>
          <w:sz w:val="20"/>
          <w:szCs w:val="20"/>
          <w:color w:val="auto"/>
        </w:rPr>
      </w:pPr>
    </w:p>
    <w:p>
      <w:pPr>
        <w:ind w:firstLine="456"/>
        <w:spacing w:after="0" w:line="288" w:lineRule="auto"/>
        <w:rPr>
          <w:sz w:val="20"/>
          <w:szCs w:val="20"/>
          <w:color w:val="auto"/>
        </w:rPr>
      </w:pPr>
      <w:r>
        <w:rPr>
          <w:rFonts w:ascii="Arial" w:cs="Arial" w:eastAsia="Arial" w:hAnsi="Arial"/>
          <w:sz w:val="16"/>
          <w:szCs w:val="16"/>
          <w:color w:val="auto"/>
        </w:rPr>
        <w:t>Congress and the FCC are considering defining certain rights for users of high-speed Internet services, and to regulate or restrict certain types of commercial agreements between service providers and providers of Internet content. These proposals are generally referred to as “network neutrality.” In August 2005, the FCC issued a non-binding policy statement stating four principles to guide its policymaking regarding high-speed Internet and other related services. These principles state that consumers are entitled to: (i) access the lawful Internet content of their choice; (ii) run applications and services of their choice, subject to the needs of law enforcement; (iii) connect their choice of legal devices that do not harm the network; and (iv) enjoy competition among network providers, application and service providers, and content providers. Parties are pressing the FCC to adopt these principles as formal rules. Congress is considering legislation that would both codify these principles and impose additional obligations on high-speed Internet providers and some states are considering similar proposals. Any new federal or state rules or statutes could limit our ability to manage our cable systems (including use for other services), to obtain value for use of our cable systems, or to respond to competitive conditions. We cannot predict whether such rules or statutes will be adopted.</w:t>
      </w:r>
    </w:p>
    <w:p>
      <w:pPr>
        <w:spacing w:after="0" w:line="120" w:lineRule="exact"/>
        <w:rPr>
          <w:sz w:val="20"/>
          <w:szCs w:val="20"/>
          <w:color w:val="auto"/>
        </w:rPr>
      </w:pPr>
    </w:p>
    <w:p>
      <w:pPr>
        <w:ind w:right="80" w:firstLine="456"/>
        <w:spacing w:after="0" w:line="312" w:lineRule="auto"/>
        <w:rPr>
          <w:sz w:val="20"/>
          <w:szCs w:val="20"/>
          <w:color w:val="auto"/>
        </w:rPr>
      </w:pPr>
      <w:r>
        <w:rPr>
          <w:rFonts w:ascii="Arial" w:cs="Arial" w:eastAsia="Arial" w:hAnsi="Arial"/>
          <w:sz w:val="15"/>
          <w:szCs w:val="15"/>
          <w:color w:val="auto"/>
        </w:rPr>
        <w:t>A federal program generally applicable to telecommunications services, known as the “Universal Service” program, requires telecommunications service providers to collect and pay a fee based on their revenues (in recent years, roughly 10% of revenues) into a fund used to subsidize the provision of telecommunications services in high-cost areas and Internet access and telecommunications services to schools and libraries and certain health care providers. The FCC and Congress are considering revisions to the Universal Service program that could result in high-speed Internet access services being subject to Universal Service fees. We cannot predict whether or how the Universal Service funding system might be extended to cover high-speed Internet access services or, if that occurs, how it will affect us. Furthermore, Congress, the FCC and certain local governments are also considering proposals to impose customer service, quality of service and privacy standards on high-speed Internet service providers, and it is uncertain whether any of these proposals will be adopted.</w:t>
      </w:r>
    </w:p>
    <w:p>
      <w:pPr>
        <w:spacing w:after="0" w:line="105" w:lineRule="exact"/>
        <w:rPr>
          <w:sz w:val="20"/>
          <w:szCs w:val="20"/>
          <w:color w:val="auto"/>
        </w:rPr>
      </w:pPr>
    </w:p>
    <w:p>
      <w:pPr>
        <w:ind w:right="20" w:firstLine="456"/>
        <w:spacing w:after="0" w:line="255" w:lineRule="auto"/>
        <w:rPr>
          <w:sz w:val="20"/>
          <w:szCs w:val="20"/>
          <w:color w:val="auto"/>
        </w:rPr>
      </w:pPr>
      <w:r>
        <w:rPr>
          <w:rFonts w:ascii="Arial" w:cs="Arial" w:eastAsia="Arial" w:hAnsi="Arial"/>
          <w:sz w:val="18"/>
          <w:szCs w:val="18"/>
          <w:color w:val="auto"/>
        </w:rPr>
        <w:t>Congress and federal regulators have adopted a wide range of measures affecting Internet use, including, for example, consumer privacy, copyright protection, defamation liability, taxation, obscenity and unsolicited commercial e-mail. Further, state and local governments have also adopted Internet-related regulations. Governmental bodies at all levels are also considering additional regulations in these and other areas, such as pricing, service and product quality, and intellectual property ownership. The adoption of new laws or the application of existing laws, including tax laws, to the Internet could have a material effect on our high-speed Internet service.</w:t>
      </w:r>
    </w:p>
    <w:p>
      <w:pPr>
        <w:spacing w:after="0" w:line="224"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Phone Services</w:t>
      </w:r>
    </w:p>
    <w:p>
      <w:pPr>
        <w:spacing w:after="0" w:line="90" w:lineRule="exact"/>
        <w:rPr>
          <w:sz w:val="20"/>
          <w:szCs w:val="20"/>
          <w:color w:val="auto"/>
        </w:rPr>
      </w:pPr>
    </w:p>
    <w:p>
      <w:pPr>
        <w:ind w:right="280" w:firstLine="456"/>
        <w:spacing w:after="0" w:line="318" w:lineRule="auto"/>
        <w:rPr>
          <w:sz w:val="20"/>
          <w:szCs w:val="20"/>
          <w:color w:val="auto"/>
        </w:rPr>
      </w:pPr>
      <w:r>
        <w:rPr>
          <w:rFonts w:ascii="Arial" w:cs="Arial" w:eastAsia="Arial" w:hAnsi="Arial"/>
          <w:sz w:val="15"/>
          <w:szCs w:val="15"/>
          <w:color w:val="auto"/>
        </w:rPr>
        <w:t>We offer phone service using both VoIP and circuit-switched technology. The FCC has adopted a number of orders addressing specific regulatory issues relating to VoIP. In November 2004, the FCC ruled that a particular form of VoIP service is not subject to state or local utility regulation. State regulators and others have challenged that ruling, including specifically its application to cable-delivered VoIP services such as Comcast Digital Voice, and at least one state public utility commission has claimed authority to regulate that service under state law. In May 2005, the FCC adopted rules requiring VoIP service providers having certain characteristics (including our Comcast Digital Voice service) to furnish Enhanced 911 (“E911”) capabilities as a standard feature of their</w:t>
      </w:r>
    </w:p>
    <w:p>
      <w:pPr>
        <w:spacing w:after="0" w:line="86"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14</w:t>
      </w:r>
    </w:p>
    <w:p>
      <w:pPr>
        <w:sectPr>
          <w:pgSz w:w="11900" w:h="16838" w:orient="portrait"/>
          <w:cols w:equalWidth="0" w:num="1">
            <w:col w:w="11420"/>
          </w:cols>
          <w:pgMar w:left="240" w:top="459" w:right="239" w:bottom="1440" w:gutter="0" w:footer="0" w:header="0"/>
        </w:sectPr>
      </w:pPr>
    </w:p>
    <w:bookmarkStart w:id="17" w:name="page18"/>
    <w:bookmarkEnd w:id="1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jc w:val="both"/>
        <w:ind w:right="100"/>
        <w:spacing w:after="0" w:line="254" w:lineRule="auto"/>
        <w:rPr>
          <w:sz w:val="20"/>
          <w:szCs w:val="20"/>
          <w:color w:val="auto"/>
        </w:rPr>
      </w:pPr>
      <w:r>
        <w:rPr>
          <w:rFonts w:ascii="Arial" w:cs="Arial" w:eastAsia="Arial" w:hAnsi="Arial"/>
          <w:sz w:val="18"/>
          <w:szCs w:val="18"/>
          <w:color w:val="auto"/>
        </w:rPr>
        <w:t>services, and to advise their customers of the circumstances under which E911 service may not be available. We believe Comcast Digital Voice service complies with these requirements. Also, in an order issued in September 2005, the FCC imposed CALEA obligations on VoIP service providers. We expect that Comcast Digital Voice will comply with these CALEA rules when they go into effect in May 2007. In June 2006, the FCC ruled that certain VoIP services (including our Comcast Digital Voice service) would be subject to Universal Service payment obligations with respect to the interstate portions of the service. Congress is also considering legislation that, if enacted, would affect the regulatory obligations of VoIP service providers. We cannot predict whether Congress will approve such legislation.</w:t>
      </w:r>
    </w:p>
    <w:p>
      <w:pPr>
        <w:spacing w:after="0" w:line="144" w:lineRule="exact"/>
        <w:rPr>
          <w:sz w:val="20"/>
          <w:szCs w:val="20"/>
          <w:color w:val="auto"/>
        </w:rPr>
      </w:pPr>
    </w:p>
    <w:p>
      <w:pPr>
        <w:ind w:right="220" w:firstLine="456"/>
        <w:spacing w:after="0" w:line="259" w:lineRule="auto"/>
        <w:rPr>
          <w:sz w:val="20"/>
          <w:szCs w:val="20"/>
          <w:color w:val="auto"/>
        </w:rPr>
      </w:pPr>
      <w:r>
        <w:rPr>
          <w:rFonts w:ascii="Arial" w:cs="Arial" w:eastAsia="Arial" w:hAnsi="Arial"/>
          <w:sz w:val="18"/>
          <w:szCs w:val="18"/>
          <w:color w:val="auto"/>
        </w:rPr>
        <w:t>The FCC has initiated other rulemakings to consider whether to impose further regulations on VoIP. For example, in one rulemaking, it is considering whether and how certain types of common carrier regulations should apply to VoIP services, including intercarrier compensation, and the obligation to provide persons with disabilities with access to these services.</w:t>
      </w:r>
    </w:p>
    <w:p>
      <w:pPr>
        <w:spacing w:after="0" w:line="140" w:lineRule="exact"/>
        <w:rPr>
          <w:sz w:val="20"/>
          <w:szCs w:val="20"/>
          <w:color w:val="auto"/>
        </w:rPr>
      </w:pPr>
    </w:p>
    <w:p>
      <w:pPr>
        <w:ind w:right="20" w:firstLine="456"/>
        <w:spacing w:after="0" w:line="291" w:lineRule="auto"/>
        <w:rPr>
          <w:sz w:val="20"/>
          <w:szCs w:val="20"/>
          <w:color w:val="auto"/>
        </w:rPr>
      </w:pPr>
      <w:r>
        <w:rPr>
          <w:rFonts w:ascii="Arial" w:cs="Arial" w:eastAsia="Arial" w:hAnsi="Arial"/>
          <w:sz w:val="16"/>
          <w:szCs w:val="16"/>
          <w:color w:val="auto"/>
        </w:rPr>
        <w:t>The FCC and Congress are also considering how VoIP service should interconnect with ILECs’ phone networks. Since the FCC has never determined whether VoIP service is a “telecommunications service,” the precise scope of ILEC interconnection rules applicable to VoIP providers is not entirely clear. As a result, some ILECs may resist interconnecting directly with VoIP providers. In light of these concerns, VoIP service providers typically either secure CLEC authorization, or obtain interconnection to ILEC networks by contracting with an existing CLEC, whose right to deal with the ILECs is clear. We have arranged for such interconnection rights through our own and through third-party CLECs. It is uncertain whether and when the FCC or Congress will adopt further rules in this area and how such rules would affect our Comcast Digital Voice service.</w:t>
      </w:r>
    </w:p>
    <w:p>
      <w:pPr>
        <w:spacing w:after="0" w:line="120" w:lineRule="exact"/>
        <w:rPr>
          <w:sz w:val="20"/>
          <w:szCs w:val="20"/>
          <w:color w:val="auto"/>
        </w:rPr>
      </w:pPr>
    </w:p>
    <w:p>
      <w:pPr>
        <w:ind w:firstLine="456"/>
        <w:spacing w:after="0" w:line="291" w:lineRule="auto"/>
        <w:rPr>
          <w:sz w:val="20"/>
          <w:szCs w:val="20"/>
          <w:color w:val="auto"/>
        </w:rPr>
      </w:pPr>
      <w:r>
        <w:rPr>
          <w:rFonts w:ascii="Arial" w:cs="Arial" w:eastAsia="Arial" w:hAnsi="Arial"/>
          <w:sz w:val="16"/>
          <w:szCs w:val="16"/>
          <w:color w:val="auto"/>
        </w:rPr>
        <w:t>Our circuit</w:t>
      </w:r>
      <w:r>
        <w:rPr>
          <w:rFonts w:ascii="Arial" w:cs="Arial" w:eastAsia="Arial" w:hAnsi="Arial"/>
          <w:sz w:val="16"/>
          <w:szCs w:val="16"/>
          <w:i w:val="1"/>
          <w:iCs w:val="1"/>
          <w:color w:val="auto"/>
        </w:rPr>
        <w:t>-</w:t>
      </w:r>
      <w:r>
        <w:rPr>
          <w:rFonts w:ascii="Arial" w:cs="Arial" w:eastAsia="Arial" w:hAnsi="Arial"/>
          <w:sz w:val="16"/>
          <w:szCs w:val="16"/>
          <w:color w:val="auto"/>
        </w:rPr>
        <w:t>switched phone services are subject to federal, state and local utility regulation, although the level of regulation imposed on us is generally less than that applied to the incumbent phone companies. The scope of ILEC obligations is, however, being re-evaluated at the FCC and in Congress. The FCC has already adopted measures relieving the ILECs of certain obligations to make elements of their networks available to competitors at cost-based rates. The FCC has also initiated rulemakings on intercarrier compensation, Universal Service and other matters that, in the aggregate, could significantly change the rules that apply to phone competition, including the relationship between wireless and wireline providers, long</w:t>
      </w:r>
      <w:r>
        <w:rPr>
          <w:rFonts w:ascii="Arial" w:cs="Arial" w:eastAsia="Arial" w:hAnsi="Arial"/>
          <w:sz w:val="16"/>
          <w:szCs w:val="16"/>
          <w:i w:val="1"/>
          <w:iCs w:val="1"/>
          <w:color w:val="auto"/>
        </w:rPr>
        <w:t>-</w:t>
      </w:r>
      <w:r>
        <w:rPr>
          <w:rFonts w:ascii="Arial" w:cs="Arial" w:eastAsia="Arial" w:hAnsi="Arial"/>
          <w:sz w:val="16"/>
          <w:szCs w:val="16"/>
          <w:color w:val="auto"/>
        </w:rPr>
        <w:t>distance and local providers, and incumbents and new entrants. It is unclear how these proceedings will affect our phone services.</w:t>
      </w:r>
    </w:p>
    <w:p>
      <w:pPr>
        <w:spacing w:after="0" w:line="201"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Other Areas</w:t>
      </w:r>
    </w:p>
    <w:p>
      <w:pPr>
        <w:spacing w:after="0" w:line="90" w:lineRule="exact"/>
        <w:rPr>
          <w:sz w:val="20"/>
          <w:szCs w:val="20"/>
          <w:color w:val="auto"/>
        </w:rPr>
      </w:pPr>
    </w:p>
    <w:p>
      <w:pPr>
        <w:ind w:right="160" w:firstLine="456"/>
        <w:spacing w:after="0" w:line="290" w:lineRule="auto"/>
        <w:rPr>
          <w:sz w:val="20"/>
          <w:szCs w:val="20"/>
          <w:color w:val="auto"/>
        </w:rPr>
      </w:pPr>
      <w:r>
        <w:rPr>
          <w:rFonts w:ascii="Arial" w:cs="Arial" w:eastAsia="Arial" w:hAnsi="Arial"/>
          <w:sz w:val="16"/>
          <w:szCs w:val="16"/>
          <w:color w:val="auto"/>
        </w:rPr>
        <w:t>The FCC actively regulates other aspects of our Cable business and limited aspects of our Programming business, including the mandatory blackout of syndicated, network and sports programming; customer service standards; political advertising; indecent or obscene programming; Emergency Alert System requirements for analog and digital services; closed captioning requirements for the hearing impaired; competitors’ access to cable wiring inside apartment buildings and other MDUs; commercial restrictions on children’s programming; origination cablecasting (i.e., programming locally originated by and under the control of the cable operator); sponsorship identification; equal employment opportunity; lottery programming; program carriage; recordkeeping and public file access requirements; and technical standards relating to operation of the cable network. We are unable to predict how these regulations might be changed in the future and how any such changes might affect our Cable and Programming businesses.</w:t>
      </w:r>
    </w:p>
    <w:p>
      <w:pPr>
        <w:spacing w:after="0" w:line="199"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State and Local Taxes</w:t>
      </w:r>
    </w:p>
    <w:p>
      <w:pPr>
        <w:spacing w:after="0" w:line="90" w:lineRule="exact"/>
        <w:rPr>
          <w:sz w:val="20"/>
          <w:szCs w:val="20"/>
          <w:color w:val="auto"/>
        </w:rPr>
      </w:pPr>
    </w:p>
    <w:p>
      <w:pPr>
        <w:ind w:right="140" w:firstLine="456"/>
        <w:spacing w:after="0" w:line="268" w:lineRule="auto"/>
        <w:rPr>
          <w:sz w:val="20"/>
          <w:szCs w:val="20"/>
          <w:color w:val="auto"/>
        </w:rPr>
      </w:pPr>
      <w:r>
        <w:rPr>
          <w:rFonts w:ascii="Arial" w:cs="Arial" w:eastAsia="Arial" w:hAnsi="Arial"/>
          <w:sz w:val="18"/>
          <w:szCs w:val="18"/>
          <w:color w:val="auto"/>
        </w:rPr>
        <w:t>Some states and localities are considering imposing new taxes, including sales and property taxes, on the services we offer. We cannot predict at this time whether such taxes will be enacted or what impact they might have on our business.</w:t>
      </w:r>
    </w:p>
    <w:p>
      <w:pPr>
        <w:spacing w:after="0" w:line="118"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15</w:t>
      </w:r>
    </w:p>
    <w:p>
      <w:pPr>
        <w:sectPr>
          <w:pgSz w:w="11900" w:h="16838" w:orient="portrait"/>
          <w:cols w:equalWidth="0" w:num="1">
            <w:col w:w="11380"/>
          </w:cols>
          <w:pgMar w:left="240" w:top="459" w:right="279" w:bottom="1440" w:gutter="0" w:footer="0" w:header="0"/>
        </w:sectPr>
      </w:pPr>
    </w:p>
    <w:bookmarkStart w:id="18" w:name="page19"/>
    <w:bookmarkEnd w:id="1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left="240"/>
        <w:spacing w:after="0"/>
        <w:rPr>
          <w:sz w:val="20"/>
          <w:szCs w:val="20"/>
          <w:color w:val="auto"/>
        </w:rPr>
      </w:pPr>
      <w:r>
        <w:rPr>
          <w:rFonts w:ascii="Arial" w:cs="Arial" w:eastAsia="Arial" w:hAnsi="Arial"/>
          <w:sz w:val="18"/>
          <w:szCs w:val="18"/>
          <w:i w:val="1"/>
          <w:iCs w:val="1"/>
          <w:color w:val="auto"/>
        </w:rPr>
        <w:t>FCC Adelphia Order</w:t>
      </w:r>
    </w:p>
    <w:p>
      <w:pPr>
        <w:spacing w:after="0" w:line="90" w:lineRule="exact"/>
        <w:rPr>
          <w:sz w:val="20"/>
          <w:szCs w:val="20"/>
          <w:color w:val="auto"/>
        </w:rPr>
      </w:pPr>
    </w:p>
    <w:p>
      <w:pPr>
        <w:ind w:left="460"/>
        <w:spacing w:after="0"/>
        <w:rPr>
          <w:sz w:val="20"/>
          <w:szCs w:val="20"/>
          <w:color w:val="auto"/>
        </w:rPr>
      </w:pPr>
      <w:r>
        <w:rPr>
          <w:rFonts w:ascii="Arial" w:cs="Arial" w:eastAsia="Arial" w:hAnsi="Arial"/>
          <w:sz w:val="18"/>
          <w:szCs w:val="18"/>
          <w:color w:val="auto"/>
        </w:rPr>
        <w:t>The Adelphia Order imposed a number of conditions on us and our affiliated programming networks:</w:t>
      </w:r>
    </w:p>
    <w:p>
      <w:pPr>
        <w:spacing w:after="0" w:line="90" w:lineRule="exact"/>
        <w:rPr>
          <w:sz w:val="20"/>
          <w:szCs w:val="20"/>
          <w:color w:val="auto"/>
        </w:rPr>
      </w:pPr>
    </w:p>
    <w:p>
      <w:pPr>
        <w:ind w:left="460" w:right="120" w:firstLine="438"/>
        <w:spacing w:after="0" w:line="291" w:lineRule="auto"/>
        <w:rPr>
          <w:sz w:val="20"/>
          <w:szCs w:val="20"/>
          <w:color w:val="auto"/>
        </w:rPr>
      </w:pPr>
      <w:r>
        <w:rPr>
          <w:rFonts w:ascii="Arial" w:cs="Arial" w:eastAsia="Arial" w:hAnsi="Arial"/>
          <w:sz w:val="16"/>
          <w:szCs w:val="16"/>
          <w:i w:val="1"/>
          <w:iCs w:val="1"/>
          <w:color w:val="auto"/>
        </w:rPr>
        <w:t>Program Access Conditions</w:t>
      </w:r>
      <w:r>
        <w:rPr>
          <w:rFonts w:ascii="Arial" w:cs="Arial" w:eastAsia="Arial" w:hAnsi="Arial"/>
          <w:sz w:val="16"/>
          <w:szCs w:val="16"/>
          <w:color w:val="auto"/>
        </w:rPr>
        <w:t>. Under the Adelphia Order, all RSNs that we manage, control or have an attributable ownership interest in are deemed</w:t>
      </w:r>
      <w:r>
        <w:rPr>
          <w:rFonts w:ascii="Arial" w:cs="Arial" w:eastAsia="Arial" w:hAnsi="Arial"/>
          <w:sz w:val="16"/>
          <w:szCs w:val="16"/>
          <w:i w:val="1"/>
          <w:iCs w:val="1"/>
          <w:color w:val="auto"/>
        </w:rPr>
        <w:t xml:space="preserve"> </w:t>
      </w:r>
      <w:r>
        <w:rPr>
          <w:rFonts w:ascii="Arial" w:cs="Arial" w:eastAsia="Arial" w:hAnsi="Arial"/>
          <w:sz w:val="16"/>
          <w:szCs w:val="16"/>
          <w:color w:val="auto"/>
        </w:rPr>
        <w:t>covered by the program access rules, regardless of the means of delivery. Previously, cable-affiliated RSNs delivered terrestrially were exempt from the rules. However, Comcast SportsNet Philadelphia is not subject to this condition for MVPDs that currently do not carry the network. Further, under the Adelphia Order, an MVPD may, as an alternative to filing a program access complaint, seek to resolve disputes regarding carriage of our RSNs through commercial arbitration. Such arbitration is subject to FCC review. However, such arbitration right is not applicable to Comcast SportsNet Philadelphia for MVPDs that currently do not carry the network. This arbitration condition expires in July 2012.</w:t>
      </w:r>
    </w:p>
    <w:p>
      <w:pPr>
        <w:spacing w:after="0" w:line="39" w:lineRule="exact"/>
        <w:rPr>
          <w:sz w:val="20"/>
          <w:szCs w:val="20"/>
          <w:color w:val="auto"/>
        </w:rPr>
      </w:pPr>
    </w:p>
    <w:p>
      <w:pPr>
        <w:ind w:left="460" w:right="40" w:firstLine="438"/>
        <w:spacing w:after="0" w:line="256" w:lineRule="auto"/>
        <w:rPr>
          <w:sz w:val="20"/>
          <w:szCs w:val="20"/>
          <w:color w:val="auto"/>
        </w:rPr>
      </w:pPr>
      <w:r>
        <w:rPr>
          <w:rFonts w:ascii="Arial" w:cs="Arial" w:eastAsia="Arial" w:hAnsi="Arial"/>
          <w:sz w:val="18"/>
          <w:szCs w:val="18"/>
          <w:i w:val="1"/>
          <w:iCs w:val="1"/>
          <w:color w:val="auto"/>
        </w:rPr>
        <w:t xml:space="preserve">Carriage of Unaffiliated RSNs. </w:t>
      </w:r>
      <w:r>
        <w:rPr>
          <w:rFonts w:ascii="Arial" w:cs="Arial" w:eastAsia="Arial" w:hAnsi="Arial"/>
          <w:sz w:val="18"/>
          <w:szCs w:val="18"/>
          <w:color w:val="auto"/>
        </w:rPr>
        <w:t>The Adelphia Order also imposes conditions regarding the carriage of unaffiliated RSNs on our cable systems.</w:t>
      </w:r>
      <w:r>
        <w:rPr>
          <w:rFonts w:ascii="Arial" w:cs="Arial" w:eastAsia="Arial" w:hAnsi="Arial"/>
          <w:sz w:val="18"/>
          <w:szCs w:val="18"/>
          <w:i w:val="1"/>
          <w:iCs w:val="1"/>
          <w:color w:val="auto"/>
        </w:rPr>
        <w:t xml:space="preserve"> </w:t>
      </w:r>
      <w:r>
        <w:rPr>
          <w:rFonts w:ascii="Arial" w:cs="Arial" w:eastAsia="Arial" w:hAnsi="Arial"/>
          <w:sz w:val="18"/>
          <w:szCs w:val="18"/>
          <w:color w:val="auto"/>
        </w:rPr>
        <w:t>Specifically, if an RSN that is unaffiliated with any MVPD has been denied carriage on one of our cable systems, the RSN may submit its carriage claim to a commercial arbitration process that may result in mandatory carriage of the RSN. The arbitrator’s decision is subject to FCC review. This arbitration condition also expires in July 2012.</w:t>
      </w:r>
    </w:p>
    <w:p>
      <w:pPr>
        <w:spacing w:after="0" w:line="62" w:lineRule="exact"/>
        <w:rPr>
          <w:sz w:val="20"/>
          <w:szCs w:val="20"/>
          <w:color w:val="auto"/>
        </w:rPr>
      </w:pPr>
    </w:p>
    <w:p>
      <w:pPr>
        <w:ind w:left="460" w:right="240" w:firstLine="438"/>
        <w:spacing w:after="0" w:line="268" w:lineRule="auto"/>
        <w:rPr>
          <w:sz w:val="20"/>
          <w:szCs w:val="20"/>
          <w:color w:val="auto"/>
        </w:rPr>
      </w:pPr>
      <w:r>
        <w:rPr>
          <w:rFonts w:ascii="Arial" w:cs="Arial" w:eastAsia="Arial" w:hAnsi="Arial"/>
          <w:sz w:val="18"/>
          <w:szCs w:val="18"/>
          <w:i w:val="1"/>
          <w:iCs w:val="1"/>
          <w:color w:val="auto"/>
        </w:rPr>
        <w:t>Leased Access Conditions</w:t>
      </w:r>
      <w:r>
        <w:rPr>
          <w:rFonts w:ascii="Arial" w:cs="Arial" w:eastAsia="Arial" w:hAnsi="Arial"/>
          <w:sz w:val="18"/>
          <w:szCs w:val="18"/>
          <w:color w:val="auto"/>
        </w:rPr>
        <w:t>. The Adelphia Order permits programmers that cannot reach a leased access agreement with us to submit the dispute to</w:t>
      </w:r>
      <w:r>
        <w:rPr>
          <w:rFonts w:ascii="Arial" w:cs="Arial" w:eastAsia="Arial" w:hAnsi="Arial"/>
          <w:sz w:val="18"/>
          <w:szCs w:val="18"/>
          <w:i w:val="1"/>
          <w:iCs w:val="1"/>
          <w:color w:val="auto"/>
        </w:rPr>
        <w:t xml:space="preserve"> </w:t>
      </w:r>
      <w:r>
        <w:rPr>
          <w:rFonts w:ascii="Arial" w:cs="Arial" w:eastAsia="Arial" w:hAnsi="Arial"/>
          <w:sz w:val="18"/>
          <w:szCs w:val="18"/>
          <w:color w:val="auto"/>
        </w:rPr>
        <w:t>commercial arbitration. This leased access condition expires in July 2012.</w:t>
      </w:r>
    </w:p>
    <w:p>
      <w:pPr>
        <w:spacing w:after="0" w:line="288"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EMPLOYEES</w:t>
      </w:r>
    </w:p>
    <w:p>
      <w:pPr>
        <w:spacing w:after="0" w:line="177" w:lineRule="exact"/>
        <w:rPr>
          <w:sz w:val="20"/>
          <w:szCs w:val="20"/>
          <w:color w:val="auto"/>
        </w:rPr>
      </w:pPr>
    </w:p>
    <w:p>
      <w:pPr>
        <w:ind w:firstLine="456"/>
        <w:spacing w:after="0" w:line="335" w:lineRule="auto"/>
        <w:rPr>
          <w:sz w:val="20"/>
          <w:szCs w:val="20"/>
          <w:color w:val="auto"/>
        </w:rPr>
      </w:pPr>
      <w:r>
        <w:rPr>
          <w:rFonts w:ascii="Arial" w:cs="Arial" w:eastAsia="Arial" w:hAnsi="Arial"/>
          <w:sz w:val="15"/>
          <w:szCs w:val="15"/>
          <w:color w:val="auto"/>
        </w:rPr>
        <w:t>As of December 31, 2006, we employed approximately 90,000 employees, including part-time employees. Of these employees, approximately 75,000 were associated with our cable businesses with the remainder associated with our other businesses. Approximately 5,000 of our employees are covered by collective bargaining agreements or have organized but are not covered by collective bargaining agreements. We believe we have good relationships with our employees.</w:t>
      </w:r>
    </w:p>
    <w:p>
      <w:pPr>
        <w:spacing w:after="0" w:line="244"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CAUTION CONCERNING FORWARD-LOOKING STATEMENTS</w:t>
      </w:r>
    </w:p>
    <w:p>
      <w:pPr>
        <w:spacing w:after="0" w:line="177" w:lineRule="exact"/>
        <w:rPr>
          <w:sz w:val="20"/>
          <w:szCs w:val="20"/>
          <w:color w:val="auto"/>
        </w:rPr>
      </w:pPr>
    </w:p>
    <w:p>
      <w:pPr>
        <w:ind w:firstLine="456"/>
        <w:spacing w:after="0" w:line="291" w:lineRule="auto"/>
        <w:rPr>
          <w:sz w:val="20"/>
          <w:szCs w:val="20"/>
          <w:color w:val="auto"/>
        </w:rPr>
      </w:pPr>
      <w:r>
        <w:rPr>
          <w:rFonts w:ascii="Arial" w:cs="Arial" w:eastAsia="Arial" w:hAnsi="Arial"/>
          <w:sz w:val="16"/>
          <w:szCs w:val="16"/>
          <w:color w:val="auto"/>
        </w:rPr>
        <w:t xml:space="preserve">The SEC encourages companies to disclose forward-looking information so that investors can better understand a company’s future prospects and make informed investment decisions. In this Annual Report on Form 10-K, we state our beliefs of future events and of our future financial performance. In some cases, you can identify these so-called “forward-looking statements” by words such as “may,” “will,” “should,” “expects,” “plans,” “anticipates,” “believes,” “estimates,” “predicts,” “potential,” or “continue,” or the negative of these words, and other comparable words. You should be aware that those statements are only our predictions. In evaluating those statements, you should specifically consider various factors, including the risks and uncertainties listed in </w:t>
      </w:r>
      <w:r>
        <w:rPr>
          <w:rFonts w:ascii="Arial" w:cs="Arial" w:eastAsia="Arial" w:hAnsi="Arial"/>
          <w:sz w:val="16"/>
          <w:szCs w:val="16"/>
          <w:i w:val="1"/>
          <w:iCs w:val="1"/>
          <w:color w:val="auto"/>
        </w:rPr>
        <w:t>“</w:t>
      </w:r>
      <w:r>
        <w:rPr>
          <w:rFonts w:ascii="Arial" w:cs="Arial" w:eastAsia="Arial" w:hAnsi="Arial"/>
          <w:sz w:val="16"/>
          <w:szCs w:val="16"/>
          <w:color w:val="auto"/>
        </w:rPr>
        <w:t>Risk Factors” under Item 1A and in other reports we file with the SEC. Actual events or our actual results may differ materially from any of our forward-looking statements.</w:t>
      </w:r>
    </w:p>
    <w:p>
      <w:pPr>
        <w:spacing w:after="0" w:line="120" w:lineRule="exact"/>
        <w:rPr>
          <w:sz w:val="20"/>
          <w:szCs w:val="20"/>
          <w:color w:val="auto"/>
        </w:rPr>
      </w:pPr>
    </w:p>
    <w:p>
      <w:pPr>
        <w:ind w:right="160" w:firstLine="456"/>
        <w:spacing w:after="0" w:line="294" w:lineRule="auto"/>
        <w:rPr>
          <w:sz w:val="20"/>
          <w:szCs w:val="20"/>
          <w:color w:val="auto"/>
        </w:rPr>
      </w:pPr>
      <w:r>
        <w:rPr>
          <w:rFonts w:ascii="Arial" w:cs="Arial" w:eastAsia="Arial" w:hAnsi="Arial"/>
          <w:sz w:val="16"/>
          <w:szCs w:val="16"/>
          <w:color w:val="auto"/>
        </w:rPr>
        <w:t>Additionally, we operate in a highly competitive, consumer-driven and rapidly changing environment. The environment is affected by government regulation, economic, strategic, political and social conditions, consumer response to new and existing products and services, technological developments and, particularly in view of new technologies, the ability to develop and protect intellectual property rights. Our actual results could differ materially from management’s expectations because of changes in such factors. Other factors and risks could adversely affect our operations, business or financial results of our businesses in the future and could also cause actual results to differ materially from those contained in the forward-looking statements.</w:t>
      </w:r>
    </w:p>
    <w:p>
      <w:pPr>
        <w:spacing w:after="0" w:line="102"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16</w:t>
      </w:r>
    </w:p>
    <w:p>
      <w:pPr>
        <w:sectPr>
          <w:pgSz w:w="11900" w:h="16838" w:orient="portrait"/>
          <w:cols w:equalWidth="0" w:num="1">
            <w:col w:w="11400"/>
          </w:cols>
          <w:pgMar w:left="240" w:top="459" w:right="259" w:bottom="1440" w:gutter="0" w:footer="0" w:header="0"/>
        </w:sectPr>
      </w:pPr>
    </w:p>
    <w:bookmarkStart w:id="19" w:name="page20"/>
    <w:bookmarkEnd w:id="1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spacing w:after="0"/>
        <w:tabs>
          <w:tab w:leader="none" w:pos="1020" w:val="left"/>
        </w:tabs>
        <w:rPr>
          <w:sz w:val="20"/>
          <w:szCs w:val="20"/>
          <w:color w:val="auto"/>
        </w:rPr>
      </w:pPr>
      <w:r>
        <w:rPr>
          <w:rFonts w:ascii="Arial" w:cs="Arial" w:eastAsia="Arial" w:hAnsi="Arial"/>
          <w:sz w:val="18"/>
          <w:szCs w:val="18"/>
          <w:b w:val="1"/>
          <w:bCs w:val="1"/>
          <w:color w:val="auto"/>
        </w:rPr>
        <w:t>ITEM 1A:</w:t>
      </w:r>
      <w:r>
        <w:rPr>
          <w:sz w:val="20"/>
          <w:szCs w:val="20"/>
          <w:color w:val="auto"/>
        </w:rPr>
        <w:tab/>
      </w:r>
      <w:r>
        <w:rPr>
          <w:rFonts w:ascii="Arial" w:cs="Arial" w:eastAsia="Arial" w:hAnsi="Arial"/>
          <w:sz w:val="16"/>
          <w:szCs w:val="16"/>
          <w:b w:val="1"/>
          <w:bCs w:val="1"/>
          <w:color w:val="auto"/>
        </w:rPr>
        <w:t>RISK FACTORS</w:t>
      </w:r>
    </w:p>
    <w:p>
      <w:pPr>
        <w:spacing w:after="0" w:line="90"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All of the services offered by our cable systems face a wide range of competition that could adversely affect our future results of operations.</w:t>
      </w:r>
    </w:p>
    <w:p>
      <w:pPr>
        <w:spacing w:after="0" w:line="119" w:lineRule="exact"/>
        <w:rPr>
          <w:sz w:val="20"/>
          <w:szCs w:val="20"/>
          <w:color w:val="auto"/>
        </w:rPr>
      </w:pPr>
    </w:p>
    <w:p>
      <w:pPr>
        <w:ind w:right="100" w:firstLine="456"/>
        <w:spacing w:after="0" w:line="298" w:lineRule="auto"/>
        <w:rPr>
          <w:sz w:val="20"/>
          <w:szCs w:val="20"/>
          <w:color w:val="auto"/>
        </w:rPr>
      </w:pPr>
      <w:r>
        <w:rPr>
          <w:rFonts w:ascii="Arial" w:cs="Arial" w:eastAsia="Arial" w:hAnsi="Arial"/>
          <w:sz w:val="16"/>
          <w:szCs w:val="16"/>
          <w:color w:val="auto"/>
        </w:rPr>
        <w:t>Our cable systems compete with a number of different sources that provide news, information and entertainment programming to consumers. We compete directly with other programming distributors, including DBS companies, phone companies, companies that build competing cable systems in the same communities we serve, and companies that offer programming and other communications services to our subscribers and potential subscribers, including high-speed Internet and VoIP-enabled phone. This competition may adversely affect our business and operations materially in the future.</w:t>
      </w:r>
    </w:p>
    <w:p>
      <w:pPr>
        <w:spacing w:after="0" w:line="18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Programming expenses are increasing, which could adversely affect our future results of operations.</w:t>
      </w:r>
    </w:p>
    <w:p>
      <w:pPr>
        <w:spacing w:after="0" w:line="96" w:lineRule="exact"/>
        <w:rPr>
          <w:sz w:val="20"/>
          <w:szCs w:val="20"/>
          <w:color w:val="auto"/>
        </w:rPr>
      </w:pPr>
    </w:p>
    <w:p>
      <w:pPr>
        <w:ind w:firstLine="456"/>
        <w:spacing w:after="0" w:line="255" w:lineRule="auto"/>
        <w:rPr>
          <w:sz w:val="20"/>
          <w:szCs w:val="20"/>
          <w:color w:val="auto"/>
        </w:rPr>
      </w:pPr>
      <w:r>
        <w:rPr>
          <w:rFonts w:ascii="Arial" w:cs="Arial" w:eastAsia="Arial" w:hAnsi="Arial"/>
          <w:sz w:val="18"/>
          <w:szCs w:val="18"/>
          <w:color w:val="auto"/>
        </w:rPr>
        <w:t>We expect our programming expenses to continue to be our largest single expense item in the foreseeable future. In recent years, the cable and satellite video industries have experienced a rapid increase in the cost of programming. If we are unable to raise our subscribers’ rates or offset such programming cost increases through the sale of additional services, the increasing cost of programming could have an adverse impact on our operating results. In addition, as we add programming to our video services, we may face increased programming expenses that, in conjunction with the additional pricing constraints, may reduce operating margins.</w:t>
      </w:r>
    </w:p>
    <w:p>
      <w:pPr>
        <w:spacing w:after="0" w:line="143" w:lineRule="exact"/>
        <w:rPr>
          <w:sz w:val="20"/>
          <w:szCs w:val="20"/>
          <w:color w:val="auto"/>
        </w:rPr>
      </w:pPr>
    </w:p>
    <w:p>
      <w:pPr>
        <w:ind w:firstLine="456"/>
        <w:spacing w:after="0" w:line="370" w:lineRule="auto"/>
        <w:rPr>
          <w:sz w:val="20"/>
          <w:szCs w:val="20"/>
          <w:color w:val="auto"/>
        </w:rPr>
      </w:pPr>
      <w:r>
        <w:rPr>
          <w:rFonts w:ascii="Arial" w:cs="Arial" w:eastAsia="Arial" w:hAnsi="Arial"/>
          <w:sz w:val="15"/>
          <w:szCs w:val="15"/>
          <w:color w:val="auto"/>
        </w:rPr>
        <w:t>We also expect to be subject to increasing demands by broadcasters in exchange for their required consent for the retransmission of broadcast programming to our subscribers. We cannot predict the impact of these demands or the effect on our business and operations should we fail to obtain the required consents.</w:t>
      </w:r>
    </w:p>
    <w:p>
      <w:pPr>
        <w:spacing w:after="0" w:line="13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We are subject to regulation by federal, state and local governments, which may impose costs and restrictions.</w:t>
      </w:r>
    </w:p>
    <w:p>
      <w:pPr>
        <w:spacing w:after="0" w:line="96" w:lineRule="exact"/>
        <w:rPr>
          <w:sz w:val="20"/>
          <w:szCs w:val="20"/>
          <w:color w:val="auto"/>
        </w:rPr>
      </w:pPr>
    </w:p>
    <w:p>
      <w:pPr>
        <w:ind w:right="40" w:firstLine="456"/>
        <w:spacing w:after="0" w:line="286" w:lineRule="auto"/>
        <w:rPr>
          <w:sz w:val="20"/>
          <w:szCs w:val="20"/>
          <w:color w:val="auto"/>
        </w:rPr>
      </w:pPr>
      <w:r>
        <w:rPr>
          <w:rFonts w:ascii="Arial" w:cs="Arial" w:eastAsia="Arial" w:hAnsi="Arial"/>
          <w:sz w:val="16"/>
          <w:szCs w:val="16"/>
          <w:color w:val="auto"/>
        </w:rPr>
        <w:t>Federal, state and local governments extensively regulate the cable industry and the circuit-switched phone services industry and may begin regulating the Internet services industry. We expect that legislative enactments, court actions and regulatory proceedings will continue to clarify and in some cases change the rights and obligations of cable operators and other entities under the Communications Act and other laws, possibly in ways that we have not foreseen. Congress considers new legislative requirements potentially affecting our businesses virtually every year, and significant legislation to update the Communications Act is currently pending in Congress. The results of these legislative, judicial and administrative actions may materially affect our business operations. Local authorities grant us franchises that permit us to operate our cable systems. We have to renew or renegotiate these franchises from time to time. Local franchising authorities often demand concessions or other commitments as a condition to renewal or transfer, and such concessions or other commitments could be costly to us in the future. In addition, we could be materially disadvantaged if we remain subject to legal constraints that do not apply equally to our competitors, such as if local phone companies that provide video programming services are not subject to the local franchising requirements and other requirements that apply to us. For example, the FCC has adopted rules and several states have enacted legislation to ease the franchising process and reduce franchising burdens for new entrants. Congress and the FCC are also considering various forms of “network neutrality” regulation. See “Legislation and Regulation—Video Services—Franchise Matters and High-Speed Internet Services” in Item 1 to this Annual Report on Form 10-K.</w:t>
      </w:r>
    </w:p>
    <w:p>
      <w:pPr>
        <w:spacing w:after="0" w:line="199" w:lineRule="exact"/>
        <w:rPr>
          <w:sz w:val="20"/>
          <w:szCs w:val="20"/>
          <w:color w:val="auto"/>
        </w:rPr>
      </w:pPr>
    </w:p>
    <w:p>
      <w:pPr>
        <w:ind w:right="60"/>
        <w:spacing w:after="0" w:line="275" w:lineRule="auto"/>
        <w:rPr>
          <w:sz w:val="20"/>
          <w:szCs w:val="20"/>
          <w:color w:val="auto"/>
        </w:rPr>
      </w:pPr>
      <w:r>
        <w:rPr>
          <w:rFonts w:ascii="Arial" w:cs="Arial" w:eastAsia="Arial" w:hAnsi="Arial"/>
          <w:sz w:val="18"/>
          <w:szCs w:val="18"/>
          <w:b w:val="1"/>
          <w:bCs w:val="1"/>
          <w:color w:val="auto"/>
        </w:rPr>
        <w:t>We may face increased competition because of technological advances and new regulatory requirements, which could adversely affect our future results of operations.</w:t>
      </w:r>
    </w:p>
    <w:p>
      <w:pPr>
        <w:spacing w:after="0" w:line="45" w:lineRule="exact"/>
        <w:rPr>
          <w:sz w:val="20"/>
          <w:szCs w:val="20"/>
          <w:color w:val="auto"/>
        </w:rPr>
      </w:pPr>
    </w:p>
    <w:p>
      <w:pPr>
        <w:jc w:val="both"/>
        <w:ind w:right="120" w:firstLine="456"/>
        <w:spacing w:after="0" w:line="298" w:lineRule="auto"/>
        <w:rPr>
          <w:sz w:val="20"/>
          <w:szCs w:val="20"/>
          <w:color w:val="auto"/>
        </w:rPr>
      </w:pPr>
      <w:r>
        <w:rPr>
          <w:rFonts w:ascii="Arial" w:cs="Arial" w:eastAsia="Arial" w:hAnsi="Arial"/>
          <w:sz w:val="16"/>
          <w:szCs w:val="16"/>
          <w:color w:val="auto"/>
        </w:rPr>
        <w:t>ILECs are building wireline fiber-optic networks and in some case using Internet protocol technology to provide video services in substantial portions of their service areas (and have begun to offer this service in several states), in addition to marketing DBS service in certain areas. ILECs and other companies also offer DSL service, which provides Internet access to subscribers at data transmission speeds substantially greater than that of conventional analog modems. We expect other advances in communications technology, as well as changes in</w:t>
      </w:r>
    </w:p>
    <w:p>
      <w:pPr>
        <w:spacing w:after="0" w:line="9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17</w:t>
      </w:r>
    </w:p>
    <w:p>
      <w:pPr>
        <w:sectPr>
          <w:pgSz w:w="11900" w:h="16838" w:orient="portrait"/>
          <w:cols w:equalWidth="0" w:num="1">
            <w:col w:w="11400"/>
          </w:cols>
          <w:pgMar w:left="240" w:top="459" w:right="259" w:bottom="1440" w:gutter="0" w:footer="0" w:header="0"/>
        </w:sectPr>
      </w:pPr>
    </w:p>
    <w:bookmarkStart w:id="20" w:name="page21"/>
    <w:bookmarkEnd w:id="20"/>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spacing w:after="0" w:line="298" w:lineRule="auto"/>
        <w:rPr>
          <w:sz w:val="20"/>
          <w:szCs w:val="20"/>
          <w:color w:val="auto"/>
        </w:rPr>
      </w:pPr>
      <w:r>
        <w:rPr>
          <w:rFonts w:ascii="Arial" w:cs="Arial" w:eastAsia="Arial" w:hAnsi="Arial"/>
          <w:sz w:val="16"/>
          <w:szCs w:val="16"/>
          <w:color w:val="auto"/>
        </w:rPr>
        <w:t>the marketplace, to occur in the future. New technologies and services may develop that compete with services that cable systems offer, and such services may not be regulated in the same manner or to the same extent as our services. The success of these ongoing and future developments could have an adverse effect on our business operations. Moreover, in recent years, Congress has enacted legislation and the FCC has adopted regulatory policies intended to provide a favorable operating environment for existing competitors and for potential new competitors to our cable systems.</w:t>
      </w:r>
    </w:p>
    <w:p>
      <w:pPr>
        <w:spacing w:after="0" w:line="18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We face risks arising from the outcome of various litigation matters.</w:t>
      </w:r>
    </w:p>
    <w:p>
      <w:pPr>
        <w:spacing w:after="0" w:line="96" w:lineRule="exact"/>
        <w:rPr>
          <w:sz w:val="20"/>
          <w:szCs w:val="20"/>
          <w:color w:val="auto"/>
        </w:rPr>
      </w:pPr>
    </w:p>
    <w:p>
      <w:pPr>
        <w:ind w:right="200" w:firstLine="456"/>
        <w:spacing w:after="0" w:line="298" w:lineRule="auto"/>
        <w:rPr>
          <w:sz w:val="20"/>
          <w:szCs w:val="20"/>
          <w:color w:val="auto"/>
        </w:rPr>
      </w:pPr>
      <w:r>
        <w:rPr>
          <w:rFonts w:ascii="Arial" w:cs="Arial" w:eastAsia="Arial" w:hAnsi="Arial"/>
          <w:sz w:val="16"/>
          <w:szCs w:val="16"/>
          <w:color w:val="auto"/>
        </w:rPr>
        <w:t>We are involved in various litigation matters, including those arising in the ordinary course of business and those described under the caption “Legal Proceedings “ in Item 3 of this Annual Report on Form 10-K. While we do not believe that any of these litigation matters alone or in the aggregate will have a material effect on our consolidated financial position, an adverse outcome in one or more of these matters could be material to our consolidated results of operations for any one period. Further, no assurance can be given that any adverse outcome would not be material to our consolidated financial position.</w:t>
      </w:r>
    </w:p>
    <w:p>
      <w:pPr>
        <w:spacing w:after="0" w:line="188" w:lineRule="exact"/>
        <w:rPr>
          <w:sz w:val="20"/>
          <w:szCs w:val="20"/>
          <w:color w:val="auto"/>
        </w:rPr>
      </w:pPr>
    </w:p>
    <w:p>
      <w:pPr>
        <w:spacing w:after="0" w:line="275" w:lineRule="auto"/>
        <w:rPr>
          <w:sz w:val="20"/>
          <w:szCs w:val="20"/>
          <w:color w:val="auto"/>
        </w:rPr>
      </w:pPr>
      <w:r>
        <w:rPr>
          <w:rFonts w:ascii="Arial" w:cs="Arial" w:eastAsia="Arial" w:hAnsi="Arial"/>
          <w:sz w:val="18"/>
          <w:szCs w:val="18"/>
          <w:b w:val="1"/>
          <w:bCs w:val="1"/>
          <w:color w:val="auto"/>
        </w:rPr>
        <w:t>Acquisitions and other strategic transactions present many risks, and we may not realize the financial and strategic goals that were contemplated at the time of any transaction.</w:t>
      </w:r>
    </w:p>
    <w:p>
      <w:pPr>
        <w:spacing w:after="0" w:line="45" w:lineRule="exact"/>
        <w:rPr>
          <w:sz w:val="20"/>
          <w:szCs w:val="20"/>
          <w:color w:val="auto"/>
        </w:rPr>
      </w:pPr>
    </w:p>
    <w:p>
      <w:pPr>
        <w:ind w:firstLine="456"/>
        <w:spacing w:after="0" w:line="298" w:lineRule="auto"/>
        <w:rPr>
          <w:sz w:val="20"/>
          <w:szCs w:val="20"/>
          <w:color w:val="auto"/>
        </w:rPr>
      </w:pPr>
      <w:r>
        <w:rPr>
          <w:rFonts w:ascii="Arial" w:cs="Arial" w:eastAsia="Arial" w:hAnsi="Arial"/>
          <w:sz w:val="16"/>
          <w:szCs w:val="16"/>
          <w:color w:val="auto"/>
        </w:rPr>
        <w:t>From time to time we have made acquisitions and have entered into other strategic transactions. In connection with acquisitions and other strategic transactions, we may incur unanticipated expenses; fail to realize anticipated benefits; have difficulty incorporating the acquired businesses; disrupt relationships with current and new employees, subscribers and vendors; incur significant indebtedness; or have to delay or not proceed with announced transactions. These factors could have a material effect on our business, results of operations, financial condition or cash flows.</w:t>
      </w:r>
    </w:p>
    <w:p>
      <w:pPr>
        <w:spacing w:after="0" w:line="188" w:lineRule="exact"/>
        <w:rPr>
          <w:sz w:val="20"/>
          <w:szCs w:val="20"/>
          <w:color w:val="auto"/>
        </w:rPr>
      </w:pPr>
    </w:p>
    <w:p>
      <w:pPr>
        <w:ind w:right="80"/>
        <w:spacing w:after="0" w:line="339" w:lineRule="auto"/>
        <w:rPr>
          <w:sz w:val="20"/>
          <w:szCs w:val="20"/>
          <w:color w:val="auto"/>
        </w:rPr>
      </w:pPr>
      <w:r>
        <w:rPr>
          <w:rFonts w:ascii="Arial" w:cs="Arial" w:eastAsia="Arial" w:hAnsi="Arial"/>
          <w:sz w:val="16"/>
          <w:szCs w:val="16"/>
          <w:b w:val="1"/>
          <w:bCs w:val="1"/>
          <w:color w:val="auto"/>
        </w:rPr>
        <w:t>Our Class B common stock has substantial voting rights and separate approval rights over a number of potentially material transactions and, through his beneficial ownership of the Class B common stock, our Chairman and CEO has considerable influence over our operations.</w:t>
      </w:r>
    </w:p>
    <w:p>
      <w:pPr>
        <w:spacing w:after="0" w:line="26" w:lineRule="exact"/>
        <w:rPr>
          <w:sz w:val="20"/>
          <w:szCs w:val="20"/>
          <w:color w:val="auto"/>
        </w:rPr>
      </w:pPr>
    </w:p>
    <w:p>
      <w:pPr>
        <w:ind w:right="80" w:firstLine="456"/>
        <w:spacing w:after="0" w:line="246" w:lineRule="auto"/>
        <w:rPr>
          <w:sz w:val="20"/>
          <w:szCs w:val="20"/>
          <w:color w:val="auto"/>
        </w:rPr>
      </w:pPr>
      <w:r>
        <w:rPr>
          <w:rFonts w:ascii="Arial" w:cs="Arial" w:eastAsia="Arial" w:hAnsi="Arial"/>
          <w:sz w:val="17"/>
          <w:szCs w:val="17"/>
          <w:color w:val="auto"/>
        </w:rPr>
        <w:t xml:space="preserve">Our Class B common stock has a nondilutable 33 </w:t>
      </w:r>
      <w:r>
        <w:rPr>
          <w:rFonts w:ascii="Arial" w:cs="Arial" w:eastAsia="Arial" w:hAnsi="Arial"/>
          <w:sz w:val="21"/>
          <w:szCs w:val="21"/>
          <w:color w:val="auto"/>
          <w:vertAlign w:val="superscript"/>
        </w:rPr>
        <w:t>1</w:t>
      </w:r>
      <w:r>
        <w:rPr>
          <w:rFonts w:ascii="Arial" w:cs="Arial" w:eastAsia="Arial" w:hAnsi="Arial"/>
          <w:sz w:val="17"/>
          <w:szCs w:val="17"/>
          <w:color w:val="auto"/>
        </w:rPr>
        <w:t>/3 % of the combined voting power of our common stock. This nondilutable voting power is subject to proportional decrease to the extent the number of shares of Class B common stock is reduced below 9,444,375, which was the number of shares of Class B common stock outstanding on the date of our 2002 acquisition of AT&amp;T Corp.’s cable business, subject to adjustment in specified situations. Stock dividends payable on the Class B common stock in the form of Class B or Class A Special common stock do not decrease the nondilutable voting power of the Class B common stock. The Class B common stock also has separate approval rights over the following potentially material transactions: mergers or consolidations involving Comcast Corporation, transactions (such as a sale of all or substantially all of our assets) or issuances of securities that require shareholder approval, transactions that result in any person or group owning shares representing more than 10% of the combined voting power of the resulting or surviving corporation, issuances of Class B common stock or securities exercisable or convertible into Class B common stock and amendments to our articles of incorporation or by-laws that would limit the rights of holders of our Class B common stock. Brian L. Roberts beneficially owns of all of the outstanding shares of our Class B common stock and accordingly has considerable influence over our operations and has the ability to transfer potential effective control by selling the Class B common stock. In addition, under our articles of incorporation, Mr. Roberts is entitled to remain as our Chairman, Chief Executive Officer and President until May 26, 2010, unless he is removed by the affirmative vote of at least 75% of the entire Board of Directors or he is no longer willing or able to serve.</w:t>
      </w:r>
    </w:p>
    <w:p>
      <w:pPr>
        <w:spacing w:after="0" w:line="300" w:lineRule="exact"/>
        <w:rPr>
          <w:sz w:val="20"/>
          <w:szCs w:val="20"/>
          <w:color w:val="auto"/>
        </w:rPr>
      </w:pPr>
    </w:p>
    <w:p>
      <w:pPr>
        <w:spacing w:after="0"/>
        <w:tabs>
          <w:tab w:leader="none" w:pos="1020" w:val="left"/>
        </w:tabs>
        <w:rPr>
          <w:sz w:val="20"/>
          <w:szCs w:val="20"/>
          <w:color w:val="auto"/>
        </w:rPr>
      </w:pPr>
      <w:r>
        <w:rPr>
          <w:rFonts w:ascii="Arial" w:cs="Arial" w:eastAsia="Arial" w:hAnsi="Arial"/>
          <w:sz w:val="18"/>
          <w:szCs w:val="18"/>
          <w:b w:val="1"/>
          <w:bCs w:val="1"/>
          <w:color w:val="auto"/>
        </w:rPr>
        <w:t>ITEM 1B:</w:t>
      </w:r>
      <w:r>
        <w:rPr>
          <w:sz w:val="20"/>
          <w:szCs w:val="20"/>
          <w:color w:val="auto"/>
        </w:rPr>
        <w:tab/>
      </w:r>
      <w:r>
        <w:rPr>
          <w:rFonts w:ascii="Arial" w:cs="Arial" w:eastAsia="Arial" w:hAnsi="Arial"/>
          <w:sz w:val="16"/>
          <w:szCs w:val="16"/>
          <w:b w:val="1"/>
          <w:bCs w:val="1"/>
          <w:color w:val="auto"/>
        </w:rPr>
        <w:t>UNRESOLVED STAFF COMMENTS</w:t>
      </w:r>
    </w:p>
    <w:p>
      <w:pPr>
        <w:spacing w:after="0" w:line="96" w:lineRule="exact"/>
        <w:rPr>
          <w:sz w:val="20"/>
          <w:szCs w:val="20"/>
          <w:color w:val="auto"/>
        </w:rPr>
      </w:pPr>
    </w:p>
    <w:p>
      <w:pPr>
        <w:ind w:left="460"/>
        <w:spacing w:after="0"/>
        <w:rPr>
          <w:sz w:val="20"/>
          <w:szCs w:val="20"/>
          <w:color w:val="auto"/>
        </w:rPr>
      </w:pPr>
      <w:r>
        <w:rPr>
          <w:rFonts w:ascii="Arial" w:cs="Arial" w:eastAsia="Arial" w:hAnsi="Arial"/>
          <w:sz w:val="18"/>
          <w:szCs w:val="18"/>
          <w:color w:val="auto"/>
        </w:rPr>
        <w:t>None.</w:t>
      </w:r>
    </w:p>
    <w:p>
      <w:pPr>
        <w:spacing w:after="0" w:line="158" w:lineRule="exact"/>
        <w:rPr>
          <w:sz w:val="20"/>
          <w:szCs w:val="20"/>
          <w:color w:val="auto"/>
        </w:rPr>
      </w:pPr>
    </w:p>
    <w:p>
      <w:pPr>
        <w:jc w:val="center"/>
        <w:ind w:right="-99"/>
        <w:spacing w:after="0"/>
        <w:rPr>
          <w:sz w:val="20"/>
          <w:szCs w:val="20"/>
          <w:color w:val="auto"/>
        </w:rPr>
      </w:pPr>
      <w:r>
        <w:rPr>
          <w:rFonts w:ascii="Arial" w:cs="Arial" w:eastAsia="Arial" w:hAnsi="Arial"/>
          <w:sz w:val="18"/>
          <w:szCs w:val="18"/>
          <w:color w:val="auto"/>
        </w:rPr>
        <w:t>18</w:t>
      </w:r>
    </w:p>
    <w:p>
      <w:pPr>
        <w:sectPr>
          <w:pgSz w:w="11900" w:h="16838" w:orient="portrait"/>
          <w:cols w:equalWidth="0" w:num="1">
            <w:col w:w="11320"/>
          </w:cols>
          <w:pgMar w:left="240" w:top="459" w:right="339" w:bottom="1440" w:gutter="0" w:footer="0" w:header="0"/>
        </w:sectPr>
      </w:pPr>
    </w:p>
    <w:bookmarkStart w:id="21" w:name="page22"/>
    <w:bookmarkEnd w:id="2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spacing w:after="0"/>
        <w:tabs>
          <w:tab w:leader="none" w:pos="1020" w:val="left"/>
        </w:tabs>
        <w:rPr>
          <w:sz w:val="20"/>
          <w:szCs w:val="20"/>
          <w:color w:val="auto"/>
        </w:rPr>
      </w:pPr>
      <w:r>
        <w:rPr>
          <w:rFonts w:ascii="Arial" w:cs="Arial" w:eastAsia="Arial" w:hAnsi="Arial"/>
          <w:sz w:val="18"/>
          <w:szCs w:val="18"/>
          <w:b w:val="1"/>
          <w:bCs w:val="1"/>
          <w:color w:val="auto"/>
        </w:rPr>
        <w:t>ITEM 2:</w:t>
      </w:r>
      <w:r>
        <w:rPr>
          <w:sz w:val="20"/>
          <w:szCs w:val="20"/>
          <w:color w:val="auto"/>
        </w:rPr>
        <w:tab/>
      </w:r>
      <w:r>
        <w:rPr>
          <w:rFonts w:ascii="Arial" w:cs="Arial" w:eastAsia="Arial" w:hAnsi="Arial"/>
          <w:sz w:val="16"/>
          <w:szCs w:val="16"/>
          <w:b w:val="1"/>
          <w:bCs w:val="1"/>
          <w:color w:val="auto"/>
        </w:rPr>
        <w:t>PROPERTIES</w:t>
      </w:r>
    </w:p>
    <w:p>
      <w:pPr>
        <w:spacing w:after="0" w:line="96" w:lineRule="exact"/>
        <w:rPr>
          <w:sz w:val="20"/>
          <w:szCs w:val="20"/>
          <w:color w:val="auto"/>
        </w:rPr>
      </w:pPr>
    </w:p>
    <w:p>
      <w:pPr>
        <w:ind w:left="460"/>
        <w:spacing w:after="0"/>
        <w:rPr>
          <w:sz w:val="20"/>
          <w:szCs w:val="20"/>
          <w:color w:val="auto"/>
        </w:rPr>
      </w:pPr>
      <w:r>
        <w:rPr>
          <w:rFonts w:ascii="Arial" w:cs="Arial" w:eastAsia="Arial" w:hAnsi="Arial"/>
          <w:sz w:val="18"/>
          <w:szCs w:val="18"/>
          <w:color w:val="auto"/>
        </w:rPr>
        <w:t>We believe that substantially all of our physical assets are in good operating condition.</w:t>
      </w:r>
    </w:p>
    <w:p>
      <w:pPr>
        <w:spacing w:after="0" w:line="24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Cable</w:t>
      </w:r>
    </w:p>
    <w:p>
      <w:pPr>
        <w:spacing w:after="0" w:line="96" w:lineRule="exact"/>
        <w:rPr>
          <w:sz w:val="20"/>
          <w:szCs w:val="20"/>
          <w:color w:val="auto"/>
        </w:rPr>
      </w:pPr>
    </w:p>
    <w:p>
      <w:pPr>
        <w:ind w:right="220" w:firstLine="456"/>
        <w:spacing w:after="0" w:line="290" w:lineRule="auto"/>
        <w:rPr>
          <w:sz w:val="20"/>
          <w:szCs w:val="20"/>
          <w:color w:val="auto"/>
        </w:rPr>
      </w:pPr>
      <w:r>
        <w:rPr>
          <w:rFonts w:ascii="Arial" w:cs="Arial" w:eastAsia="Arial" w:hAnsi="Arial"/>
          <w:sz w:val="16"/>
          <w:szCs w:val="16"/>
          <w:color w:val="auto"/>
        </w:rPr>
        <w:t>Our principal physical assets consist of operating plant and equipment, including signal receiving, encoding and decoding devices, headends and distribution systems and equipment at or near subscribers’ homes for each of our cable systems. The signal receiving apparatus typically includes a tower, antenna, ancillary electronic equipment and earth stations for reception of satellite signals. Headends, consisting of electronic equipment necessary for the reception, amplification and modulation of signals, are located near the receiving devices. Our distribution system consists primarily of coaxial and fiber optic cables, lasers, routers, switches and related electronic equipment. Our cable plant and related equipment generally are attached to utility poles under pole rental agreements with local public utilities, although in some areas the distribution cable is buried in underground ducts or trenches. Customer premise equipment consists principally of set-top boxes and cable modems. The physical components of cable systems require periodic maintenance.</w:t>
      </w:r>
    </w:p>
    <w:p>
      <w:pPr>
        <w:spacing w:after="0" w:line="118" w:lineRule="exact"/>
        <w:rPr>
          <w:sz w:val="20"/>
          <w:szCs w:val="20"/>
          <w:color w:val="auto"/>
        </w:rPr>
      </w:pPr>
    </w:p>
    <w:p>
      <w:pPr>
        <w:ind w:right="140" w:firstLine="456"/>
        <w:spacing w:after="0" w:line="268" w:lineRule="auto"/>
        <w:rPr>
          <w:sz w:val="20"/>
          <w:szCs w:val="20"/>
          <w:color w:val="auto"/>
        </w:rPr>
      </w:pPr>
      <w:r>
        <w:rPr>
          <w:rFonts w:ascii="Arial" w:cs="Arial" w:eastAsia="Arial" w:hAnsi="Arial"/>
          <w:sz w:val="18"/>
          <w:szCs w:val="18"/>
          <w:color w:val="auto"/>
        </w:rPr>
        <w:t>Our signal reception sites, primarily antenna towers and headends, and microwave facilities, are located on owned and leased parcels of land, and we own or lease space on the towers on which certain of our equipment is located. We own most of our service vehicles.</w:t>
      </w:r>
    </w:p>
    <w:p>
      <w:pPr>
        <w:spacing w:after="0" w:line="132" w:lineRule="exact"/>
        <w:rPr>
          <w:sz w:val="20"/>
          <w:szCs w:val="20"/>
          <w:color w:val="auto"/>
        </w:rPr>
      </w:pPr>
    </w:p>
    <w:p>
      <w:pPr>
        <w:jc w:val="both"/>
        <w:ind w:firstLine="456"/>
        <w:spacing w:after="0" w:line="306" w:lineRule="auto"/>
        <w:rPr>
          <w:sz w:val="20"/>
          <w:szCs w:val="20"/>
          <w:color w:val="auto"/>
        </w:rPr>
      </w:pPr>
      <w:r>
        <w:rPr>
          <w:rFonts w:ascii="Arial" w:cs="Arial" w:eastAsia="Arial" w:hAnsi="Arial"/>
          <w:sz w:val="16"/>
          <w:szCs w:val="16"/>
          <w:color w:val="auto"/>
        </w:rPr>
        <w:t>Our high-speed Internet backbone consists of fiber owned by us and related equipment. We also operate regional data centers with equipment that is used to provide services (such as e-mail, news and web services) to our high-speed Internet subscribers and Comcast Digital Voice subscribers. In addition, we maintain a network operations center with equipment necessary to monitor and manage the status of our high-speed Internet network.</w:t>
      </w:r>
    </w:p>
    <w:p>
      <w:pPr>
        <w:spacing w:after="0" w:line="107" w:lineRule="exact"/>
        <w:rPr>
          <w:sz w:val="20"/>
          <w:szCs w:val="20"/>
          <w:color w:val="auto"/>
        </w:rPr>
      </w:pPr>
    </w:p>
    <w:p>
      <w:pPr>
        <w:ind w:right="120" w:firstLine="456"/>
        <w:spacing w:after="0" w:line="335" w:lineRule="auto"/>
        <w:rPr>
          <w:sz w:val="20"/>
          <w:szCs w:val="20"/>
          <w:color w:val="auto"/>
        </w:rPr>
      </w:pPr>
      <w:r>
        <w:rPr>
          <w:rFonts w:ascii="Arial" w:cs="Arial" w:eastAsia="Arial" w:hAnsi="Arial"/>
          <w:sz w:val="15"/>
          <w:szCs w:val="15"/>
          <w:color w:val="auto"/>
        </w:rPr>
        <w:t>Throughout the country we own buildings that provide call centers, service centers, warehouses and administrative space. We also own a building that houses our media center. The media center contains equipment that we own or lease, including equipment related to network origination, global transmission via satellite and terrestrial fiber optics, a broadcast studio, mobile and post-production services, interactive television services and streaming distribution services.</w:t>
      </w:r>
    </w:p>
    <w:p>
      <w:pPr>
        <w:spacing w:after="0" w:line="16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Programming</w:t>
      </w:r>
    </w:p>
    <w:p>
      <w:pPr>
        <w:spacing w:after="0" w:line="96" w:lineRule="exact"/>
        <w:rPr>
          <w:sz w:val="20"/>
          <w:szCs w:val="20"/>
          <w:color w:val="auto"/>
        </w:rPr>
      </w:pPr>
    </w:p>
    <w:p>
      <w:pPr>
        <w:ind w:firstLine="456"/>
        <w:spacing w:after="0" w:line="268" w:lineRule="auto"/>
        <w:rPr>
          <w:sz w:val="20"/>
          <w:szCs w:val="20"/>
          <w:color w:val="auto"/>
        </w:rPr>
      </w:pPr>
      <w:r>
        <w:rPr>
          <w:rFonts w:ascii="Arial" w:cs="Arial" w:eastAsia="Arial" w:hAnsi="Arial"/>
          <w:sz w:val="18"/>
          <w:szCs w:val="18"/>
          <w:color w:val="auto"/>
        </w:rPr>
        <w:t>Television studios and business offices are the principal physical assets of our Programming operations. We own or lease the television studios and business offices of our Programming operations.</w:t>
      </w:r>
    </w:p>
    <w:p>
      <w:pPr>
        <w:spacing w:after="0" w:line="20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Other</w:t>
      </w:r>
    </w:p>
    <w:p>
      <w:pPr>
        <w:spacing w:after="0" w:line="96" w:lineRule="exact"/>
        <w:rPr>
          <w:sz w:val="20"/>
          <w:szCs w:val="20"/>
          <w:color w:val="auto"/>
        </w:rPr>
      </w:pPr>
    </w:p>
    <w:p>
      <w:pPr>
        <w:ind w:left="460"/>
        <w:spacing w:after="0"/>
        <w:rPr>
          <w:sz w:val="20"/>
          <w:szCs w:val="20"/>
          <w:color w:val="auto"/>
        </w:rPr>
      </w:pPr>
      <w:r>
        <w:rPr>
          <w:rFonts w:ascii="Arial" w:cs="Arial" w:eastAsia="Arial" w:hAnsi="Arial"/>
          <w:sz w:val="18"/>
          <w:szCs w:val="18"/>
          <w:color w:val="auto"/>
        </w:rPr>
        <w:t>Two large, multi-purpose arenas that we own are the principal physical assets of our other operations.</w:t>
      </w:r>
    </w:p>
    <w:p>
      <w:pPr>
        <w:spacing w:after="0" w:line="171" w:lineRule="exact"/>
        <w:rPr>
          <w:sz w:val="20"/>
          <w:szCs w:val="20"/>
          <w:color w:val="auto"/>
        </w:rPr>
      </w:pPr>
    </w:p>
    <w:p>
      <w:pPr>
        <w:ind w:right="280" w:firstLine="456"/>
        <w:spacing w:after="0" w:line="259" w:lineRule="auto"/>
        <w:rPr>
          <w:sz w:val="20"/>
          <w:szCs w:val="20"/>
          <w:color w:val="auto"/>
        </w:rPr>
      </w:pPr>
      <w:r>
        <w:rPr>
          <w:rFonts w:ascii="Arial" w:cs="Arial" w:eastAsia="Arial" w:hAnsi="Arial"/>
          <w:sz w:val="18"/>
          <w:szCs w:val="18"/>
          <w:color w:val="auto"/>
        </w:rPr>
        <w:t>As of December 31, 2006, we leased locations for our corporate offices in Philadelphia, Pennsylvania as well as numerous business offices, warehouses and properties housing divisional information technology operations throughout the country. We expect to move into a new leased headquarters building in Philadelphia, Pennsylvania beginning in late 2007.</w:t>
      </w:r>
    </w:p>
    <w:p>
      <w:pPr>
        <w:spacing w:after="0" w:line="256" w:lineRule="exact"/>
        <w:rPr>
          <w:sz w:val="20"/>
          <w:szCs w:val="20"/>
          <w:color w:val="auto"/>
        </w:rPr>
      </w:pPr>
    </w:p>
    <w:p>
      <w:pPr>
        <w:spacing w:after="0"/>
        <w:tabs>
          <w:tab w:leader="none" w:pos="1020" w:val="left"/>
        </w:tabs>
        <w:rPr>
          <w:sz w:val="20"/>
          <w:szCs w:val="20"/>
          <w:color w:val="auto"/>
        </w:rPr>
      </w:pPr>
      <w:r>
        <w:rPr>
          <w:rFonts w:ascii="Arial" w:cs="Arial" w:eastAsia="Arial" w:hAnsi="Arial"/>
          <w:sz w:val="18"/>
          <w:szCs w:val="18"/>
          <w:b w:val="1"/>
          <w:bCs w:val="1"/>
          <w:color w:val="auto"/>
        </w:rPr>
        <w:t>ITEM 3:</w:t>
      </w:r>
      <w:r>
        <w:rPr>
          <w:sz w:val="20"/>
          <w:szCs w:val="20"/>
          <w:color w:val="auto"/>
        </w:rPr>
        <w:tab/>
      </w:r>
      <w:r>
        <w:rPr>
          <w:rFonts w:ascii="Arial" w:cs="Arial" w:eastAsia="Arial" w:hAnsi="Arial"/>
          <w:sz w:val="16"/>
          <w:szCs w:val="16"/>
          <w:b w:val="1"/>
          <w:bCs w:val="1"/>
          <w:color w:val="auto"/>
        </w:rPr>
        <w:t>LEGAL PROCEEDINGS</w:t>
      </w:r>
    </w:p>
    <w:p>
      <w:pPr>
        <w:spacing w:after="0" w:line="9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At Home Cases</w:t>
      </w:r>
    </w:p>
    <w:p>
      <w:pPr>
        <w:spacing w:after="0" w:line="90" w:lineRule="exact"/>
        <w:rPr>
          <w:sz w:val="20"/>
          <w:szCs w:val="20"/>
          <w:color w:val="auto"/>
        </w:rPr>
      </w:pPr>
    </w:p>
    <w:p>
      <w:pPr>
        <w:ind w:right="160" w:firstLine="456"/>
        <w:spacing w:after="0" w:line="294" w:lineRule="auto"/>
        <w:rPr>
          <w:sz w:val="20"/>
          <w:szCs w:val="20"/>
          <w:color w:val="auto"/>
        </w:rPr>
      </w:pPr>
      <w:r>
        <w:rPr>
          <w:rFonts w:ascii="Arial" w:cs="Arial" w:eastAsia="Arial" w:hAnsi="Arial"/>
          <w:sz w:val="16"/>
          <w:szCs w:val="16"/>
          <w:color w:val="auto"/>
        </w:rPr>
        <w:t>Litigation has been filed against us as a result of our alleged conduct with respect to our investment in and distribution relationship with At Home Corporation. At Home was a provider of high-speed Internet services that filed for bankruptcy protection in September 2001. Filed actions are: (i) class action lawsuits against us, AT&amp;T (the former controlling shareholder of At Home and also a former distributor of the At Home service) and others in the United States District Court for the Southern District of New York, alleging securities law violations and common law fraud in connection with disclosures made by At Home in 2001; and (ii) a lawsuit brought in the United States District Court for the District of Delaware in the name of At Home by certain At Home</w:t>
      </w:r>
    </w:p>
    <w:p>
      <w:pPr>
        <w:spacing w:after="0" w:line="10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19</w:t>
      </w:r>
    </w:p>
    <w:p>
      <w:pPr>
        <w:sectPr>
          <w:pgSz w:w="11900" w:h="16838" w:orient="portrait"/>
          <w:cols w:equalWidth="0" w:num="1">
            <w:col w:w="11420"/>
          </w:cols>
          <w:pgMar w:left="240" w:top="459" w:right="239" w:bottom="1440" w:gutter="0" w:footer="0" w:header="0"/>
        </w:sectPr>
      </w:pPr>
    </w:p>
    <w:bookmarkStart w:id="22" w:name="page23"/>
    <w:bookmarkEnd w:id="2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right="280"/>
        <w:spacing w:after="0" w:line="298" w:lineRule="auto"/>
        <w:rPr>
          <w:sz w:val="20"/>
          <w:szCs w:val="20"/>
          <w:color w:val="auto"/>
        </w:rPr>
      </w:pPr>
      <w:r>
        <w:rPr>
          <w:rFonts w:ascii="Arial" w:cs="Arial" w:eastAsia="Arial" w:hAnsi="Arial"/>
          <w:sz w:val="16"/>
          <w:szCs w:val="16"/>
          <w:color w:val="auto"/>
        </w:rPr>
        <w:t>bondholders against us, Brian L. Roberts (our Chairman and Chief Executive Officer and a director), Cox (Cox is also an investor in At Home and a former distributor of the At Home service) and others, alleging breaches of fiduciary duty relating to March 2000 agreements (which, among other things, revised the distributor relationships), and seeking recovery of alleged short-swing profits pursuant to Section 16(b) of the Exchange Act (purported to have arisen in connection with certain transactions relating to At Home stock effected pursuant to the March 2000 agreements).</w:t>
      </w:r>
    </w:p>
    <w:p>
      <w:pPr>
        <w:spacing w:after="0" w:line="113" w:lineRule="exact"/>
        <w:rPr>
          <w:sz w:val="20"/>
          <w:szCs w:val="20"/>
          <w:color w:val="auto"/>
        </w:rPr>
      </w:pPr>
    </w:p>
    <w:p>
      <w:pPr>
        <w:ind w:right="20" w:firstLine="456"/>
        <w:spacing w:after="0" w:line="283" w:lineRule="auto"/>
        <w:rPr>
          <w:sz w:val="20"/>
          <w:szCs w:val="20"/>
          <w:color w:val="auto"/>
        </w:rPr>
      </w:pPr>
      <w:r>
        <w:rPr>
          <w:rFonts w:ascii="Arial" w:cs="Arial" w:eastAsia="Arial" w:hAnsi="Arial"/>
          <w:sz w:val="16"/>
          <w:szCs w:val="16"/>
          <w:color w:val="auto"/>
        </w:rPr>
        <w:t>In the Southern District of New York actions (item (i) above), the court dismissed all claims. The plaintiffs’ appealed this decision, and the Court of Appeals for the Second Circuit denied the plaintiffs’ appeal. The plaintiffs petitioned the Court of Appeals for rehearing. The Delaware case (item (ii) above) was transferred to the United States District Court for the Southern District of New York. The court dismissed the Section 16(b) claims, and the breach of fiduciary duty claim for lack of federal jurisdiction. The Court of Appeals for the Second Circuit denied the plaintiffs’ appeal from the decision dismissing the</w:t>
      </w:r>
    </w:p>
    <w:p>
      <w:pPr>
        <w:spacing w:after="0" w:line="3" w:lineRule="exact"/>
        <w:rPr>
          <w:sz w:val="20"/>
          <w:szCs w:val="20"/>
          <w:color w:val="auto"/>
        </w:rPr>
      </w:pPr>
    </w:p>
    <w:p>
      <w:pPr>
        <w:ind w:right="340"/>
        <w:spacing w:after="0" w:line="261" w:lineRule="auto"/>
        <w:rPr>
          <w:sz w:val="20"/>
          <w:szCs w:val="20"/>
          <w:color w:val="auto"/>
        </w:rPr>
      </w:pPr>
      <w:r>
        <w:rPr>
          <w:rFonts w:ascii="Arial" w:cs="Arial" w:eastAsia="Arial" w:hAnsi="Arial"/>
          <w:sz w:val="18"/>
          <w:szCs w:val="18"/>
          <w:color w:val="auto"/>
        </w:rPr>
        <w:t>Section 16(b) claims, and the U.S. Supreme Court denied the plaintiffs’ petition for a further appeal. The plaintiffs recommenced the breach of fiduciary duty claim in Delaware Chancery Court. The Court has set a trial date in October 2007.</w:t>
      </w:r>
    </w:p>
    <w:p>
      <w:pPr>
        <w:spacing w:after="0" w:line="138" w:lineRule="exact"/>
        <w:rPr>
          <w:sz w:val="20"/>
          <w:szCs w:val="20"/>
          <w:color w:val="auto"/>
        </w:rPr>
      </w:pPr>
    </w:p>
    <w:p>
      <w:pPr>
        <w:ind w:right="400" w:firstLine="456"/>
        <w:spacing w:after="0" w:line="268" w:lineRule="auto"/>
        <w:rPr>
          <w:sz w:val="20"/>
          <w:szCs w:val="20"/>
          <w:color w:val="auto"/>
        </w:rPr>
      </w:pPr>
      <w:r>
        <w:rPr>
          <w:rFonts w:ascii="Arial" w:cs="Arial" w:eastAsia="Arial" w:hAnsi="Arial"/>
          <w:sz w:val="18"/>
          <w:szCs w:val="18"/>
          <w:color w:val="auto"/>
        </w:rPr>
        <w:t>Under the terms of our 2002 acquisition of AT&amp;T Corp.’s cable business, we are contractually liable for 50% of any liabilities of AT&amp;T in the actions described in items (i) and (ii) above (in which we are also a defendant).</w:t>
      </w:r>
    </w:p>
    <w:p>
      <w:pPr>
        <w:spacing w:after="0" w:line="132" w:lineRule="exact"/>
        <w:rPr>
          <w:sz w:val="20"/>
          <w:szCs w:val="20"/>
          <w:color w:val="auto"/>
        </w:rPr>
      </w:pPr>
    </w:p>
    <w:p>
      <w:pPr>
        <w:ind w:right="160" w:firstLine="456"/>
        <w:spacing w:after="0" w:line="256" w:lineRule="auto"/>
        <w:rPr>
          <w:sz w:val="20"/>
          <w:szCs w:val="20"/>
          <w:color w:val="auto"/>
        </w:rPr>
      </w:pPr>
      <w:r>
        <w:rPr>
          <w:rFonts w:ascii="Arial" w:cs="Arial" w:eastAsia="Arial" w:hAnsi="Arial"/>
          <w:sz w:val="18"/>
          <w:szCs w:val="18"/>
          <w:color w:val="auto"/>
        </w:rPr>
        <w:t>We deny any wrongdoing in connection with the claims that have been made directly against us, our subsidiaries and Brian L. Roberts, and are defending all of these claims vigorously. The final disposition of these claims is not expected to have a material effect on our consolidated financial position, but could possibly be material adverse to our consolidated results of operations of any one period. Further, no assurance can be given that any adverse outcome would not be material to our consolidated financial position.</w:t>
      </w:r>
    </w:p>
    <w:p>
      <w:pPr>
        <w:spacing w:after="0" w:line="22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AT&amp;T—TCI Cases</w:t>
      </w:r>
    </w:p>
    <w:p>
      <w:pPr>
        <w:spacing w:after="0" w:line="90" w:lineRule="exact"/>
        <w:rPr>
          <w:sz w:val="20"/>
          <w:szCs w:val="20"/>
          <w:color w:val="auto"/>
        </w:rPr>
      </w:pPr>
    </w:p>
    <w:p>
      <w:pPr>
        <w:ind w:right="20" w:firstLine="456"/>
        <w:spacing w:after="0" w:line="256" w:lineRule="auto"/>
        <w:rPr>
          <w:sz w:val="20"/>
          <w:szCs w:val="20"/>
          <w:color w:val="auto"/>
        </w:rPr>
      </w:pPr>
      <w:r>
        <w:rPr>
          <w:rFonts w:ascii="Arial" w:cs="Arial" w:eastAsia="Arial" w:hAnsi="Arial"/>
          <w:sz w:val="18"/>
          <w:szCs w:val="18"/>
          <w:color w:val="auto"/>
        </w:rPr>
        <w:t>In June 1998, class action lawsuits were filed by then-shareholders of Tele-Communications, Inc. (“TCI”) Series A TCI Group Common Stock (“Common A”) against AT&amp;T and the directors of TCI relating to the acquisition of TCI by AT&amp;T, alleging that former members of the TCI board of directors breached their fiduciary duties to Common A shareholders by agreeing to transaction terms whereby holders of the Series B TCI Group Common Stock received a 10% premium over what Common A shareholders received.</w:t>
      </w:r>
    </w:p>
    <w:p>
      <w:pPr>
        <w:spacing w:after="0" w:line="143" w:lineRule="exact"/>
        <w:rPr>
          <w:sz w:val="20"/>
          <w:szCs w:val="20"/>
          <w:color w:val="auto"/>
        </w:rPr>
      </w:pPr>
    </w:p>
    <w:p>
      <w:pPr>
        <w:ind w:right="200" w:firstLine="456"/>
        <w:spacing w:after="0" w:line="298" w:lineRule="auto"/>
        <w:rPr>
          <w:sz w:val="20"/>
          <w:szCs w:val="20"/>
          <w:color w:val="auto"/>
        </w:rPr>
      </w:pPr>
      <w:r>
        <w:rPr>
          <w:rFonts w:ascii="Arial" w:cs="Arial" w:eastAsia="Arial" w:hAnsi="Arial"/>
          <w:sz w:val="16"/>
          <w:szCs w:val="16"/>
          <w:color w:val="auto"/>
        </w:rPr>
        <w:t>In connection with the TCI acquisition (completed in early 1999), AT&amp;T agreed under certain circumstances to indemnify TCI’s former directors for certain liabilities, potentially including those incurred in connection with this action. Under the terms of our acquisition of AT&amp;T Corp.’s cable business, (i) we agreed to indemnify AT&amp;T for certain liabilities, potentially including those incurred by AT&amp;T in connection with this action, and (ii) we assumed certain obligations of TCI to indemnify its former directors, potentially including those incurred in connection with this action.</w:t>
      </w:r>
    </w:p>
    <w:p>
      <w:pPr>
        <w:spacing w:after="0" w:line="113" w:lineRule="exact"/>
        <w:rPr>
          <w:sz w:val="20"/>
          <w:szCs w:val="20"/>
          <w:color w:val="auto"/>
        </w:rPr>
      </w:pPr>
    </w:p>
    <w:p>
      <w:pPr>
        <w:ind w:firstLine="456"/>
        <w:spacing w:after="0" w:line="332" w:lineRule="auto"/>
        <w:rPr>
          <w:sz w:val="20"/>
          <w:szCs w:val="20"/>
          <w:color w:val="auto"/>
        </w:rPr>
      </w:pPr>
      <w:r>
        <w:rPr>
          <w:rFonts w:ascii="Arial" w:cs="Arial" w:eastAsia="Arial" w:hAnsi="Arial"/>
          <w:sz w:val="16"/>
          <w:szCs w:val="16"/>
          <w:color w:val="auto"/>
        </w:rPr>
        <w:t>In October 2006 these lawsuits were settled. We agreed to contribute approximately $44 million to the settlement. This amount was paid in November 2006 and did not have a material impact on our results of operations for the year ended December 31, 2006. The settlement was approved in February 2007.</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Patent Litigation</w:t>
      </w:r>
    </w:p>
    <w:p>
      <w:pPr>
        <w:spacing w:after="0" w:line="90" w:lineRule="exact"/>
        <w:rPr>
          <w:sz w:val="20"/>
          <w:szCs w:val="20"/>
          <w:color w:val="auto"/>
        </w:rPr>
      </w:pPr>
    </w:p>
    <w:p>
      <w:pPr>
        <w:ind w:right="160" w:firstLine="456"/>
        <w:spacing w:after="0" w:line="255" w:lineRule="auto"/>
        <w:rPr>
          <w:sz w:val="20"/>
          <w:szCs w:val="20"/>
          <w:color w:val="auto"/>
        </w:rPr>
      </w:pPr>
      <w:r>
        <w:rPr>
          <w:rFonts w:ascii="Arial" w:cs="Arial" w:eastAsia="Arial" w:hAnsi="Arial"/>
          <w:sz w:val="18"/>
          <w:szCs w:val="18"/>
          <w:color w:val="auto"/>
        </w:rPr>
        <w:t>We are a defendant in several unrelated lawsuits claiming infringement of various patents relating to various aspects of our businesses. In certain of these cases other industry participants are also defendants, and also in certain of these cases we expect that any potential liability would be in part or in whole the responsibility of our equipment vendors pursuant to applicable contractual indemnification provisions. To the extent that the allegations in these lawsuits can be analyzed by us at this stage of their proceedings, we believe the claims are without merit and intend to defend the actions vigorously. The final disposition of these claims is not expected to</w:t>
      </w:r>
    </w:p>
    <w:p>
      <w:pPr>
        <w:spacing w:after="0" w:line="12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20</w:t>
      </w:r>
    </w:p>
    <w:p>
      <w:pPr>
        <w:sectPr>
          <w:pgSz w:w="11900" w:h="16838" w:orient="portrait"/>
          <w:cols w:equalWidth="0" w:num="1">
            <w:col w:w="11400"/>
          </w:cols>
          <w:pgMar w:left="240" w:top="459" w:right="259" w:bottom="1440" w:gutter="0" w:footer="0" w:header="0"/>
        </w:sectPr>
      </w:pPr>
    </w:p>
    <w:bookmarkStart w:id="23" w:name="page24"/>
    <w:bookmarkEnd w:id="2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spacing w:after="0"/>
        <w:rPr>
          <w:sz w:val="20"/>
          <w:szCs w:val="20"/>
          <w:color w:val="auto"/>
        </w:rPr>
      </w:pPr>
      <w:r>
        <w:rPr>
          <w:rFonts w:ascii="Arial" w:cs="Arial" w:eastAsia="Arial" w:hAnsi="Arial"/>
          <w:sz w:val="16"/>
          <w:szCs w:val="16"/>
          <w:color w:val="auto"/>
        </w:rPr>
        <w:t>have a material adverse effect on our consolidated financial position, but could possibly be material to our consolidated results of operations of any one period.</w:t>
      </w:r>
    </w:p>
    <w:p>
      <w:pPr>
        <w:spacing w:after="0" w:line="38" w:lineRule="exact"/>
        <w:rPr>
          <w:sz w:val="20"/>
          <w:szCs w:val="20"/>
          <w:color w:val="auto"/>
        </w:rPr>
      </w:pPr>
    </w:p>
    <w:p>
      <w:pPr>
        <w:spacing w:after="0"/>
        <w:rPr>
          <w:sz w:val="20"/>
          <w:szCs w:val="20"/>
          <w:color w:val="auto"/>
        </w:rPr>
      </w:pPr>
      <w:r>
        <w:rPr>
          <w:rFonts w:ascii="Arial" w:cs="Arial" w:eastAsia="Arial" w:hAnsi="Arial"/>
          <w:sz w:val="18"/>
          <w:szCs w:val="18"/>
          <w:color w:val="auto"/>
        </w:rPr>
        <w:t>Further, no assurance can be given that any adverse outcome would not be material to our consolidated financial position.</w:t>
      </w:r>
    </w:p>
    <w:p>
      <w:pPr>
        <w:spacing w:after="0" w:line="24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Antitrust Cases</w:t>
      </w:r>
    </w:p>
    <w:p>
      <w:pPr>
        <w:spacing w:after="0" w:line="90" w:lineRule="exact"/>
        <w:rPr>
          <w:sz w:val="20"/>
          <w:szCs w:val="20"/>
          <w:color w:val="auto"/>
        </w:rPr>
      </w:pPr>
    </w:p>
    <w:p>
      <w:pPr>
        <w:ind w:right="40" w:firstLine="456"/>
        <w:spacing w:after="0" w:line="255" w:lineRule="auto"/>
        <w:rPr>
          <w:sz w:val="20"/>
          <w:szCs w:val="20"/>
          <w:color w:val="auto"/>
        </w:rPr>
      </w:pPr>
      <w:r>
        <w:rPr>
          <w:rFonts w:ascii="Arial" w:cs="Arial" w:eastAsia="Arial" w:hAnsi="Arial"/>
          <w:sz w:val="18"/>
          <w:szCs w:val="18"/>
          <w:color w:val="auto"/>
        </w:rPr>
        <w:t>We are defendants in two purported class actions originally filed in the United States District Courts for the District of Massachusetts and the Eastern District of Pennsylvania, respectively. The potential class in the Massachusetts case is our subscriber base in the “Boston Cluster” area, and the potential class in the Pennsylvania case is our subscriber base in the “Philadelphia and Chicago clusters,” as those terms are defined in the complaints. In each case, the plaintiffs allege that certain subscriber exchange transactions with other cable providers resulted in unlawful “horizontal market restraints” in those areas and seek damages pursuant to antitrust statutes, including treble damages.</w:t>
      </w:r>
    </w:p>
    <w:p>
      <w:pPr>
        <w:spacing w:after="0" w:line="143" w:lineRule="exact"/>
        <w:rPr>
          <w:sz w:val="20"/>
          <w:szCs w:val="20"/>
          <w:color w:val="auto"/>
        </w:rPr>
      </w:pPr>
    </w:p>
    <w:p>
      <w:pPr>
        <w:ind w:firstLine="456"/>
        <w:spacing w:after="0" w:line="294" w:lineRule="auto"/>
        <w:rPr>
          <w:sz w:val="20"/>
          <w:szCs w:val="20"/>
          <w:color w:val="auto"/>
        </w:rPr>
      </w:pPr>
      <w:r>
        <w:rPr>
          <w:rFonts w:ascii="Arial" w:cs="Arial" w:eastAsia="Arial" w:hAnsi="Arial"/>
          <w:sz w:val="16"/>
          <w:szCs w:val="16"/>
          <w:color w:val="auto"/>
        </w:rPr>
        <w:t>As a result of recent events in both cases relating to the procedural issue of whether the plaintiffs’ claims could proceed in court or, alternatively, whether the plaintiffs should be compelled to arbitrate their claims pursuant to arbitration clauses in their subscriber agreements, it has become more likely that these cases will proceed in court. Our motion to dismiss the Pennsylvania case on the pleadings was denied, and the plaintiffs have moved to certify a class action. We are opposing the plaintiffs’ motion and are proceeding with class discovery. We have moved to dismiss the Massachusetts case. The Massachusetts case was recently transferred to the Eastern District of Pennsylvania and plaintiffs are seeking to consolidate it with the Pennsylvania case.</w:t>
      </w:r>
    </w:p>
    <w:p>
      <w:pPr>
        <w:spacing w:after="0" w:line="116" w:lineRule="exact"/>
        <w:rPr>
          <w:sz w:val="20"/>
          <w:szCs w:val="20"/>
          <w:color w:val="auto"/>
        </w:rPr>
      </w:pPr>
    </w:p>
    <w:p>
      <w:pPr>
        <w:jc w:val="both"/>
        <w:ind w:right="240" w:firstLine="456"/>
        <w:spacing w:after="0" w:line="306" w:lineRule="auto"/>
        <w:rPr>
          <w:sz w:val="20"/>
          <w:szCs w:val="20"/>
          <w:color w:val="auto"/>
        </w:rPr>
      </w:pPr>
      <w:r>
        <w:rPr>
          <w:rFonts w:ascii="Arial" w:cs="Arial" w:eastAsia="Arial" w:hAnsi="Arial"/>
          <w:sz w:val="16"/>
          <w:szCs w:val="16"/>
          <w:color w:val="auto"/>
        </w:rPr>
        <w:t>We believe the claims in these actions are without merit and are defending the actions vigorously. The final disposition of these claims is not expected to have a material adverse effect on our consolidated financial position, but could possibly be material to our consolidated results of operations of any one period. Further, no assurance can be given that any adverse outcome would not be material to our consolidated financial position.</w:t>
      </w:r>
    </w:p>
    <w:p>
      <w:pPr>
        <w:spacing w:after="0" w:line="18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Other</w:t>
      </w:r>
    </w:p>
    <w:p>
      <w:pPr>
        <w:spacing w:after="0" w:line="90" w:lineRule="exact"/>
        <w:rPr>
          <w:sz w:val="20"/>
          <w:szCs w:val="20"/>
          <w:color w:val="auto"/>
        </w:rPr>
      </w:pPr>
    </w:p>
    <w:p>
      <w:pPr>
        <w:ind w:right="120" w:firstLine="456"/>
        <w:spacing w:after="0" w:line="268" w:lineRule="auto"/>
        <w:rPr>
          <w:sz w:val="20"/>
          <w:szCs w:val="20"/>
          <w:color w:val="auto"/>
        </w:rPr>
      </w:pPr>
      <w:r>
        <w:rPr>
          <w:rFonts w:ascii="Arial" w:cs="Arial" w:eastAsia="Arial" w:hAnsi="Arial"/>
          <w:sz w:val="18"/>
          <w:szCs w:val="18"/>
          <w:color w:val="auto"/>
        </w:rPr>
        <w:t>We are subject to other legal proceedings and claims that arise in the ordinary course of our business. The amount of ultimate liability with respect to such actions is not expected to materially affect our financial position, results of operations or liquidity.</w:t>
      </w:r>
    </w:p>
    <w:p>
      <w:pPr>
        <w:spacing w:after="0" w:line="248" w:lineRule="exact"/>
        <w:rPr>
          <w:sz w:val="20"/>
          <w:szCs w:val="20"/>
          <w:color w:val="auto"/>
        </w:rPr>
      </w:pPr>
    </w:p>
    <w:p>
      <w:pPr>
        <w:spacing w:after="0"/>
        <w:tabs>
          <w:tab w:leader="none" w:pos="1020" w:val="left"/>
        </w:tabs>
        <w:rPr>
          <w:sz w:val="20"/>
          <w:szCs w:val="20"/>
          <w:color w:val="auto"/>
        </w:rPr>
      </w:pPr>
      <w:r>
        <w:rPr>
          <w:rFonts w:ascii="Arial" w:cs="Arial" w:eastAsia="Arial" w:hAnsi="Arial"/>
          <w:sz w:val="18"/>
          <w:szCs w:val="18"/>
          <w:b w:val="1"/>
          <w:bCs w:val="1"/>
          <w:color w:val="auto"/>
        </w:rPr>
        <w:t>ITEM 4:</w:t>
      </w:r>
      <w:r>
        <w:rPr>
          <w:sz w:val="20"/>
          <w:szCs w:val="20"/>
          <w:color w:val="auto"/>
        </w:rPr>
        <w:tab/>
      </w:r>
      <w:r>
        <w:rPr>
          <w:rFonts w:ascii="Arial" w:cs="Arial" w:eastAsia="Arial" w:hAnsi="Arial"/>
          <w:sz w:val="16"/>
          <w:szCs w:val="16"/>
          <w:b w:val="1"/>
          <w:bCs w:val="1"/>
          <w:color w:val="auto"/>
        </w:rPr>
        <w:t>SUBMISSION OF MATTERS TO A VOTE OF SECURITY HOLDERS</w:t>
      </w:r>
    </w:p>
    <w:p>
      <w:pPr>
        <w:spacing w:after="0" w:line="96" w:lineRule="exact"/>
        <w:rPr>
          <w:sz w:val="20"/>
          <w:szCs w:val="20"/>
          <w:color w:val="auto"/>
        </w:rPr>
      </w:pPr>
    </w:p>
    <w:p>
      <w:pPr>
        <w:ind w:left="460"/>
        <w:spacing w:after="0"/>
        <w:rPr>
          <w:sz w:val="20"/>
          <w:szCs w:val="20"/>
          <w:color w:val="auto"/>
        </w:rPr>
      </w:pPr>
      <w:r>
        <w:rPr>
          <w:rFonts w:ascii="Arial" w:cs="Arial" w:eastAsia="Arial" w:hAnsi="Arial"/>
          <w:sz w:val="18"/>
          <w:szCs w:val="18"/>
          <w:color w:val="auto"/>
        </w:rPr>
        <w:t>Not applicable.</w:t>
      </w:r>
    </w:p>
    <w:p>
      <w:pPr>
        <w:spacing w:after="0" w:line="287" w:lineRule="exact"/>
        <w:rPr>
          <w:sz w:val="20"/>
          <w:szCs w:val="20"/>
          <w:color w:val="auto"/>
        </w:rPr>
      </w:pPr>
    </w:p>
    <w:p>
      <w:pPr>
        <w:spacing w:after="0"/>
        <w:tabs>
          <w:tab w:leader="none" w:pos="1020" w:val="left"/>
        </w:tabs>
        <w:rPr>
          <w:sz w:val="20"/>
          <w:szCs w:val="20"/>
          <w:color w:val="auto"/>
        </w:rPr>
      </w:pPr>
      <w:r>
        <w:rPr>
          <w:rFonts w:ascii="Arial" w:cs="Arial" w:eastAsia="Arial" w:hAnsi="Arial"/>
          <w:sz w:val="18"/>
          <w:szCs w:val="18"/>
          <w:b w:val="1"/>
          <w:bCs w:val="1"/>
          <w:color w:val="auto"/>
        </w:rPr>
        <w:t>ITEM 4A:</w:t>
      </w:r>
      <w:r>
        <w:rPr>
          <w:sz w:val="20"/>
          <w:szCs w:val="20"/>
          <w:color w:val="auto"/>
        </w:rPr>
        <w:tab/>
      </w:r>
      <w:r>
        <w:rPr>
          <w:rFonts w:ascii="Arial" w:cs="Arial" w:eastAsia="Arial" w:hAnsi="Arial"/>
          <w:sz w:val="16"/>
          <w:szCs w:val="16"/>
          <w:b w:val="1"/>
          <w:bCs w:val="1"/>
          <w:color w:val="auto"/>
        </w:rPr>
        <w:t>EXECUTIVE OFFICERS OF THE REGISTRANT</w:t>
      </w:r>
    </w:p>
    <w:p>
      <w:pPr>
        <w:spacing w:after="0" w:line="96" w:lineRule="exact"/>
        <w:rPr>
          <w:sz w:val="20"/>
          <w:szCs w:val="20"/>
          <w:color w:val="auto"/>
        </w:rPr>
      </w:pPr>
    </w:p>
    <w:p>
      <w:pPr>
        <w:ind w:right="280" w:firstLine="456"/>
        <w:spacing w:after="0" w:line="259" w:lineRule="auto"/>
        <w:rPr>
          <w:sz w:val="20"/>
          <w:szCs w:val="20"/>
          <w:color w:val="auto"/>
        </w:rPr>
      </w:pPr>
      <w:r>
        <w:rPr>
          <w:rFonts w:ascii="Arial" w:cs="Arial" w:eastAsia="Arial" w:hAnsi="Arial"/>
          <w:sz w:val="18"/>
          <w:szCs w:val="18"/>
          <w:color w:val="auto"/>
        </w:rPr>
        <w:t>Except for our Chairman and CEO (who continues in these offices until his death, resignation or removal), the term of office of each of our officers continues until his or her successor is selected and qualified, or until his or her earlier death, resignation or removal. The following table sets forth information concerning our executive officers, including their ages, positions and tenure as of December 31, 2006:</w:t>
      </w:r>
    </w:p>
    <w:p>
      <w:pPr>
        <w:spacing w:after="0" w:line="164"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400" w:type="dxa"/>
            <w:vAlign w:val="bottom"/>
            <w:vMerge w:val="restart"/>
          </w:tcPr>
          <w:p>
            <w:pPr>
              <w:spacing w:after="0"/>
              <w:rPr>
                <w:sz w:val="20"/>
                <w:szCs w:val="20"/>
                <w:color w:val="auto"/>
              </w:rPr>
            </w:pPr>
            <w:r>
              <w:rPr>
                <w:rFonts w:ascii="Arial" w:cs="Arial" w:eastAsia="Arial" w:hAnsi="Arial"/>
                <w:sz w:val="14"/>
                <w:szCs w:val="14"/>
                <w:b w:val="1"/>
                <w:bCs w:val="1"/>
                <w:color w:val="auto"/>
              </w:rPr>
              <w:t>Name</w:t>
            </w:r>
          </w:p>
        </w:tc>
        <w:tc>
          <w:tcPr>
            <w:tcW w:w="10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580" w:type="dxa"/>
            <w:vAlign w:val="bottom"/>
            <w:gridSpan w:val="2"/>
          </w:tcPr>
          <w:p>
            <w:pPr>
              <w:jc w:val="center"/>
              <w:ind w:right="120"/>
              <w:spacing w:after="0"/>
              <w:rPr>
                <w:sz w:val="20"/>
                <w:szCs w:val="20"/>
                <w:color w:val="auto"/>
              </w:rPr>
            </w:pPr>
            <w:r>
              <w:rPr>
                <w:rFonts w:ascii="Arial" w:cs="Arial" w:eastAsia="Arial" w:hAnsi="Arial"/>
                <w:sz w:val="14"/>
                <w:szCs w:val="14"/>
                <w:b w:val="1"/>
                <w:bCs w:val="1"/>
                <w:color w:val="auto"/>
                <w:w w:val="92"/>
              </w:rPr>
              <w:t>Officer</w:t>
            </w:r>
          </w:p>
        </w:tc>
        <w:tc>
          <w:tcPr>
            <w:tcW w:w="7980" w:type="dxa"/>
            <w:vAlign w:val="bottom"/>
            <w:vMerge w:val="restart"/>
          </w:tcPr>
          <w:p>
            <w:pPr>
              <w:spacing w:after="0"/>
              <w:rPr>
                <w:sz w:val="20"/>
                <w:szCs w:val="20"/>
                <w:color w:val="auto"/>
              </w:rPr>
            </w:pPr>
            <w:r>
              <w:rPr>
                <w:rFonts w:ascii="Arial" w:cs="Arial" w:eastAsia="Arial" w:hAnsi="Arial"/>
                <w:sz w:val="14"/>
                <w:szCs w:val="14"/>
                <w:b w:val="1"/>
                <w:bCs w:val="1"/>
                <w:color w:val="auto"/>
              </w:rPr>
              <w:t>Position with Comcast</w:t>
            </w:r>
          </w:p>
        </w:tc>
        <w:tc>
          <w:tcPr>
            <w:tcW w:w="0" w:type="dxa"/>
            <w:vAlign w:val="bottom"/>
          </w:tcPr>
          <w:p>
            <w:pPr>
              <w:spacing w:after="0"/>
              <w:rPr>
                <w:sz w:val="1"/>
                <w:szCs w:val="1"/>
                <w:color w:val="auto"/>
              </w:rPr>
            </w:pPr>
          </w:p>
        </w:tc>
      </w:tr>
      <w:tr>
        <w:trPr>
          <w:trHeight w:val="168"/>
        </w:trPr>
        <w:tc>
          <w:tcPr>
            <w:tcW w:w="2400" w:type="dxa"/>
            <w:vAlign w:val="bottom"/>
            <w:tcBorders>
              <w:bottom w:val="single" w:sz="8" w:color="auto"/>
            </w:tcBorders>
            <w:vMerge w:val="continue"/>
          </w:tcPr>
          <w:p>
            <w:pPr>
              <w:spacing w:after="0"/>
              <w:rPr>
                <w:sz w:val="14"/>
                <w:szCs w:val="14"/>
                <w:color w:val="auto"/>
              </w:rPr>
            </w:pPr>
          </w:p>
        </w:tc>
        <w:tc>
          <w:tcPr>
            <w:tcW w:w="100" w:type="dxa"/>
            <w:vAlign w:val="bottom"/>
          </w:tcPr>
          <w:p>
            <w:pPr>
              <w:spacing w:after="0"/>
              <w:rPr>
                <w:sz w:val="14"/>
                <w:szCs w:val="14"/>
                <w:color w:val="auto"/>
              </w:rPr>
            </w:pPr>
          </w:p>
        </w:tc>
        <w:tc>
          <w:tcPr>
            <w:tcW w:w="240" w:type="dxa"/>
            <w:vAlign w:val="bottom"/>
          </w:tcPr>
          <w:p>
            <w:pPr>
              <w:jc w:val="right"/>
              <w:spacing w:after="0" w:line="148" w:lineRule="exact"/>
              <w:rPr>
                <w:sz w:val="20"/>
                <w:szCs w:val="20"/>
                <w:color w:val="auto"/>
              </w:rPr>
            </w:pPr>
            <w:r>
              <w:rPr>
                <w:rFonts w:ascii="Arial" w:cs="Arial" w:eastAsia="Arial" w:hAnsi="Arial"/>
                <w:sz w:val="14"/>
                <w:szCs w:val="14"/>
                <w:b w:val="1"/>
                <w:bCs w:val="1"/>
                <w:color w:val="auto"/>
                <w:w w:val="83"/>
              </w:rPr>
              <w:t>Age</w:t>
            </w:r>
          </w:p>
        </w:tc>
        <w:tc>
          <w:tcPr>
            <w:tcW w:w="120" w:type="dxa"/>
            <w:vAlign w:val="bottom"/>
          </w:tcPr>
          <w:p>
            <w:pPr>
              <w:spacing w:after="0"/>
              <w:rPr>
                <w:sz w:val="14"/>
                <w:szCs w:val="14"/>
                <w:color w:val="auto"/>
              </w:rPr>
            </w:pPr>
          </w:p>
        </w:tc>
        <w:tc>
          <w:tcPr>
            <w:tcW w:w="580" w:type="dxa"/>
            <w:vAlign w:val="bottom"/>
            <w:gridSpan w:val="2"/>
          </w:tcPr>
          <w:p>
            <w:pPr>
              <w:jc w:val="center"/>
              <w:ind w:right="120"/>
              <w:spacing w:after="0" w:line="148" w:lineRule="exact"/>
              <w:rPr>
                <w:sz w:val="20"/>
                <w:szCs w:val="20"/>
                <w:color w:val="auto"/>
              </w:rPr>
            </w:pPr>
            <w:r>
              <w:rPr>
                <w:rFonts w:ascii="Arial" w:cs="Arial" w:eastAsia="Arial" w:hAnsi="Arial"/>
                <w:sz w:val="14"/>
                <w:szCs w:val="14"/>
                <w:b w:val="1"/>
                <w:bCs w:val="1"/>
                <w:color w:val="auto"/>
                <w:w w:val="80"/>
              </w:rPr>
              <w:t>Since</w:t>
            </w:r>
          </w:p>
        </w:tc>
        <w:tc>
          <w:tcPr>
            <w:tcW w:w="798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95"/>
        </w:trPr>
        <w:tc>
          <w:tcPr>
            <w:tcW w:w="2400" w:type="dxa"/>
            <w:vAlign w:val="bottom"/>
          </w:tcPr>
          <w:p>
            <w:pPr>
              <w:spacing w:after="0" w:line="195" w:lineRule="exact"/>
              <w:rPr>
                <w:sz w:val="20"/>
                <w:szCs w:val="20"/>
                <w:color w:val="auto"/>
              </w:rPr>
            </w:pPr>
            <w:r>
              <w:rPr>
                <w:rFonts w:ascii="Arial" w:cs="Arial" w:eastAsia="Arial" w:hAnsi="Arial"/>
                <w:sz w:val="18"/>
                <w:szCs w:val="18"/>
                <w:color w:val="auto"/>
              </w:rPr>
              <w:t>Brian L. Roberts</w:t>
            </w:r>
          </w:p>
        </w:tc>
        <w:tc>
          <w:tcPr>
            <w:tcW w:w="100" w:type="dxa"/>
            <w:vAlign w:val="bottom"/>
          </w:tcPr>
          <w:p>
            <w:pPr>
              <w:spacing w:after="0"/>
              <w:rPr>
                <w:sz w:val="16"/>
                <w:szCs w:val="16"/>
                <w:color w:val="auto"/>
              </w:rPr>
            </w:pPr>
          </w:p>
        </w:tc>
        <w:tc>
          <w:tcPr>
            <w:tcW w:w="240" w:type="dxa"/>
            <w:vAlign w:val="bottom"/>
            <w:tcBorders>
              <w:top w:val="single" w:sz="8" w:color="auto"/>
            </w:tcBorders>
          </w:tcPr>
          <w:p>
            <w:pPr>
              <w:jc w:val="right"/>
              <w:spacing w:after="0" w:line="195" w:lineRule="exact"/>
              <w:rPr>
                <w:sz w:val="20"/>
                <w:szCs w:val="20"/>
                <w:color w:val="auto"/>
              </w:rPr>
            </w:pPr>
            <w:r>
              <w:rPr>
                <w:rFonts w:ascii="Arial" w:cs="Arial" w:eastAsia="Arial" w:hAnsi="Arial"/>
                <w:sz w:val="18"/>
                <w:szCs w:val="18"/>
                <w:color w:val="auto"/>
              </w:rPr>
              <w:t>47</w:t>
            </w:r>
          </w:p>
        </w:tc>
        <w:tc>
          <w:tcPr>
            <w:tcW w:w="120" w:type="dxa"/>
            <w:vAlign w:val="bottom"/>
          </w:tcPr>
          <w:p>
            <w:pPr>
              <w:spacing w:after="0"/>
              <w:rPr>
                <w:sz w:val="16"/>
                <w:szCs w:val="16"/>
                <w:color w:val="auto"/>
              </w:rPr>
            </w:pPr>
          </w:p>
        </w:tc>
        <w:tc>
          <w:tcPr>
            <w:tcW w:w="480" w:type="dxa"/>
            <w:vAlign w:val="bottom"/>
            <w:tcBorders>
              <w:top w:val="single" w:sz="8" w:color="auto"/>
            </w:tcBorders>
          </w:tcPr>
          <w:p>
            <w:pPr>
              <w:jc w:val="right"/>
              <w:spacing w:after="0" w:line="195" w:lineRule="exact"/>
              <w:rPr>
                <w:sz w:val="20"/>
                <w:szCs w:val="20"/>
                <w:color w:val="auto"/>
              </w:rPr>
            </w:pPr>
            <w:r>
              <w:rPr>
                <w:rFonts w:ascii="Arial" w:cs="Arial" w:eastAsia="Arial" w:hAnsi="Arial"/>
                <w:sz w:val="18"/>
                <w:szCs w:val="18"/>
                <w:color w:val="auto"/>
              </w:rPr>
              <w:t>1986</w:t>
            </w:r>
          </w:p>
        </w:tc>
        <w:tc>
          <w:tcPr>
            <w:tcW w:w="100" w:type="dxa"/>
            <w:vAlign w:val="bottom"/>
          </w:tcPr>
          <w:p>
            <w:pPr>
              <w:spacing w:after="0"/>
              <w:rPr>
                <w:sz w:val="16"/>
                <w:szCs w:val="16"/>
                <w:color w:val="auto"/>
              </w:rPr>
            </w:pPr>
          </w:p>
        </w:tc>
        <w:tc>
          <w:tcPr>
            <w:tcW w:w="7980" w:type="dxa"/>
            <w:vAlign w:val="bottom"/>
            <w:tcBorders>
              <w:top w:val="single" w:sz="8" w:color="auto"/>
            </w:tcBorders>
          </w:tcPr>
          <w:p>
            <w:pPr>
              <w:spacing w:after="0" w:line="195" w:lineRule="exact"/>
              <w:rPr>
                <w:sz w:val="20"/>
                <w:szCs w:val="20"/>
                <w:color w:val="auto"/>
              </w:rPr>
            </w:pPr>
            <w:r>
              <w:rPr>
                <w:rFonts w:ascii="Arial" w:cs="Arial" w:eastAsia="Arial" w:hAnsi="Arial"/>
                <w:sz w:val="18"/>
                <w:szCs w:val="18"/>
                <w:color w:val="auto"/>
              </w:rPr>
              <w:t>Chairman and CEO; Director</w:t>
            </w:r>
          </w:p>
        </w:tc>
        <w:tc>
          <w:tcPr>
            <w:tcW w:w="0" w:type="dxa"/>
            <w:vAlign w:val="bottom"/>
          </w:tcPr>
          <w:p>
            <w:pPr>
              <w:spacing w:after="0"/>
              <w:rPr>
                <w:sz w:val="1"/>
                <w:szCs w:val="1"/>
                <w:color w:val="auto"/>
              </w:rPr>
            </w:pPr>
          </w:p>
        </w:tc>
      </w:tr>
      <w:tr>
        <w:trPr>
          <w:trHeight w:val="216"/>
        </w:trPr>
        <w:tc>
          <w:tcPr>
            <w:tcW w:w="2400" w:type="dxa"/>
            <w:vAlign w:val="bottom"/>
          </w:tcPr>
          <w:p>
            <w:pPr>
              <w:spacing w:after="0"/>
              <w:rPr>
                <w:sz w:val="20"/>
                <w:szCs w:val="20"/>
                <w:color w:val="auto"/>
              </w:rPr>
            </w:pPr>
            <w:r>
              <w:rPr>
                <w:rFonts w:ascii="Arial" w:cs="Arial" w:eastAsia="Arial" w:hAnsi="Arial"/>
                <w:sz w:val="18"/>
                <w:szCs w:val="18"/>
                <w:color w:val="auto"/>
              </w:rPr>
              <w:t>Ralph J. Roberts</w:t>
            </w:r>
          </w:p>
        </w:tc>
        <w:tc>
          <w:tcPr>
            <w:tcW w:w="340" w:type="dxa"/>
            <w:vAlign w:val="bottom"/>
            <w:gridSpan w:val="2"/>
          </w:tcPr>
          <w:p>
            <w:pPr>
              <w:jc w:val="right"/>
              <w:spacing w:after="0"/>
              <w:rPr>
                <w:sz w:val="20"/>
                <w:szCs w:val="20"/>
                <w:color w:val="auto"/>
              </w:rPr>
            </w:pPr>
            <w:r>
              <w:rPr>
                <w:rFonts w:ascii="Arial" w:cs="Arial" w:eastAsia="Arial" w:hAnsi="Arial"/>
                <w:sz w:val="18"/>
                <w:szCs w:val="18"/>
                <w:color w:val="auto"/>
              </w:rPr>
              <w:t>86</w:t>
            </w:r>
          </w:p>
        </w:tc>
        <w:tc>
          <w:tcPr>
            <w:tcW w:w="700" w:type="dxa"/>
            <w:vAlign w:val="bottom"/>
            <w:gridSpan w:val="3"/>
          </w:tcPr>
          <w:p>
            <w:pPr>
              <w:jc w:val="right"/>
              <w:ind w:right="100"/>
              <w:spacing w:after="0"/>
              <w:rPr>
                <w:sz w:val="20"/>
                <w:szCs w:val="20"/>
                <w:color w:val="auto"/>
              </w:rPr>
            </w:pPr>
            <w:r>
              <w:rPr>
                <w:rFonts w:ascii="Arial" w:cs="Arial" w:eastAsia="Arial" w:hAnsi="Arial"/>
                <w:sz w:val="18"/>
                <w:szCs w:val="18"/>
                <w:color w:val="auto"/>
              </w:rPr>
              <w:t>1969</w:t>
            </w:r>
          </w:p>
        </w:tc>
        <w:tc>
          <w:tcPr>
            <w:tcW w:w="7980" w:type="dxa"/>
            <w:vAlign w:val="bottom"/>
          </w:tcPr>
          <w:p>
            <w:pPr>
              <w:spacing w:after="0"/>
              <w:rPr>
                <w:sz w:val="20"/>
                <w:szCs w:val="20"/>
                <w:color w:val="auto"/>
              </w:rPr>
            </w:pPr>
            <w:r>
              <w:rPr>
                <w:rFonts w:ascii="Arial" w:cs="Arial" w:eastAsia="Arial" w:hAnsi="Arial"/>
                <w:sz w:val="18"/>
                <w:szCs w:val="18"/>
                <w:color w:val="auto"/>
              </w:rPr>
              <w:t>Chairman of the Executive and Finance Committee of the Board of Directors; Director</w:t>
            </w:r>
          </w:p>
        </w:tc>
        <w:tc>
          <w:tcPr>
            <w:tcW w:w="0" w:type="dxa"/>
            <w:vAlign w:val="bottom"/>
          </w:tcPr>
          <w:p>
            <w:pPr>
              <w:spacing w:after="0"/>
              <w:rPr>
                <w:sz w:val="1"/>
                <w:szCs w:val="1"/>
                <w:color w:val="auto"/>
              </w:rPr>
            </w:pPr>
          </w:p>
        </w:tc>
      </w:tr>
      <w:tr>
        <w:trPr>
          <w:trHeight w:val="216"/>
        </w:trPr>
        <w:tc>
          <w:tcPr>
            <w:tcW w:w="2400" w:type="dxa"/>
            <w:vAlign w:val="bottom"/>
          </w:tcPr>
          <w:p>
            <w:pPr>
              <w:spacing w:after="0"/>
              <w:rPr>
                <w:sz w:val="20"/>
                <w:szCs w:val="20"/>
                <w:color w:val="auto"/>
              </w:rPr>
            </w:pPr>
            <w:r>
              <w:rPr>
                <w:rFonts w:ascii="Arial" w:cs="Arial" w:eastAsia="Arial" w:hAnsi="Arial"/>
                <w:sz w:val="18"/>
                <w:szCs w:val="18"/>
                <w:color w:val="auto"/>
              </w:rPr>
              <w:t>John R. Alchin</w:t>
            </w:r>
          </w:p>
        </w:tc>
        <w:tc>
          <w:tcPr>
            <w:tcW w:w="340" w:type="dxa"/>
            <w:vAlign w:val="bottom"/>
            <w:gridSpan w:val="2"/>
          </w:tcPr>
          <w:p>
            <w:pPr>
              <w:jc w:val="right"/>
              <w:spacing w:after="0"/>
              <w:rPr>
                <w:sz w:val="20"/>
                <w:szCs w:val="20"/>
                <w:color w:val="auto"/>
              </w:rPr>
            </w:pPr>
            <w:r>
              <w:rPr>
                <w:rFonts w:ascii="Arial" w:cs="Arial" w:eastAsia="Arial" w:hAnsi="Arial"/>
                <w:sz w:val="18"/>
                <w:szCs w:val="18"/>
                <w:color w:val="auto"/>
              </w:rPr>
              <w:t>58</w:t>
            </w:r>
          </w:p>
        </w:tc>
        <w:tc>
          <w:tcPr>
            <w:tcW w:w="700" w:type="dxa"/>
            <w:vAlign w:val="bottom"/>
            <w:gridSpan w:val="3"/>
          </w:tcPr>
          <w:p>
            <w:pPr>
              <w:jc w:val="right"/>
              <w:ind w:right="100"/>
              <w:spacing w:after="0"/>
              <w:rPr>
                <w:sz w:val="20"/>
                <w:szCs w:val="20"/>
                <w:color w:val="auto"/>
              </w:rPr>
            </w:pPr>
            <w:r>
              <w:rPr>
                <w:rFonts w:ascii="Arial" w:cs="Arial" w:eastAsia="Arial" w:hAnsi="Arial"/>
                <w:sz w:val="18"/>
                <w:szCs w:val="18"/>
                <w:color w:val="auto"/>
              </w:rPr>
              <w:t>1990</w:t>
            </w:r>
          </w:p>
        </w:tc>
        <w:tc>
          <w:tcPr>
            <w:tcW w:w="7980" w:type="dxa"/>
            <w:vAlign w:val="bottom"/>
          </w:tcPr>
          <w:p>
            <w:pPr>
              <w:spacing w:after="0"/>
              <w:rPr>
                <w:sz w:val="20"/>
                <w:szCs w:val="20"/>
                <w:color w:val="auto"/>
              </w:rPr>
            </w:pPr>
            <w:r>
              <w:rPr>
                <w:rFonts w:ascii="Arial" w:cs="Arial" w:eastAsia="Arial" w:hAnsi="Arial"/>
                <w:sz w:val="18"/>
                <w:szCs w:val="18"/>
                <w:color w:val="auto"/>
              </w:rPr>
              <w:t>Executive Vice President; Co-Chief Financial Officer; Treasurer</w:t>
            </w:r>
          </w:p>
        </w:tc>
        <w:tc>
          <w:tcPr>
            <w:tcW w:w="0" w:type="dxa"/>
            <w:vAlign w:val="bottom"/>
          </w:tcPr>
          <w:p>
            <w:pPr>
              <w:spacing w:after="0"/>
              <w:rPr>
                <w:sz w:val="1"/>
                <w:szCs w:val="1"/>
                <w:color w:val="auto"/>
              </w:rPr>
            </w:pPr>
          </w:p>
        </w:tc>
      </w:tr>
      <w:tr>
        <w:trPr>
          <w:trHeight w:val="216"/>
        </w:trPr>
        <w:tc>
          <w:tcPr>
            <w:tcW w:w="2400" w:type="dxa"/>
            <w:vAlign w:val="bottom"/>
          </w:tcPr>
          <w:p>
            <w:pPr>
              <w:spacing w:after="0"/>
              <w:rPr>
                <w:sz w:val="20"/>
                <w:szCs w:val="20"/>
                <w:color w:val="auto"/>
              </w:rPr>
            </w:pPr>
            <w:r>
              <w:rPr>
                <w:rFonts w:ascii="Arial" w:cs="Arial" w:eastAsia="Arial" w:hAnsi="Arial"/>
                <w:sz w:val="18"/>
                <w:szCs w:val="18"/>
                <w:color w:val="auto"/>
              </w:rPr>
              <w:t>Stephen B. Burke</w:t>
            </w:r>
          </w:p>
        </w:tc>
        <w:tc>
          <w:tcPr>
            <w:tcW w:w="340" w:type="dxa"/>
            <w:vAlign w:val="bottom"/>
            <w:gridSpan w:val="2"/>
          </w:tcPr>
          <w:p>
            <w:pPr>
              <w:jc w:val="right"/>
              <w:spacing w:after="0"/>
              <w:rPr>
                <w:sz w:val="20"/>
                <w:szCs w:val="20"/>
                <w:color w:val="auto"/>
              </w:rPr>
            </w:pPr>
            <w:r>
              <w:rPr>
                <w:rFonts w:ascii="Arial" w:cs="Arial" w:eastAsia="Arial" w:hAnsi="Arial"/>
                <w:sz w:val="18"/>
                <w:szCs w:val="18"/>
                <w:color w:val="auto"/>
              </w:rPr>
              <w:t>48</w:t>
            </w:r>
          </w:p>
        </w:tc>
        <w:tc>
          <w:tcPr>
            <w:tcW w:w="700" w:type="dxa"/>
            <w:vAlign w:val="bottom"/>
            <w:gridSpan w:val="3"/>
          </w:tcPr>
          <w:p>
            <w:pPr>
              <w:jc w:val="right"/>
              <w:ind w:right="100"/>
              <w:spacing w:after="0"/>
              <w:rPr>
                <w:sz w:val="20"/>
                <w:szCs w:val="20"/>
                <w:color w:val="auto"/>
              </w:rPr>
            </w:pPr>
            <w:r>
              <w:rPr>
                <w:rFonts w:ascii="Arial" w:cs="Arial" w:eastAsia="Arial" w:hAnsi="Arial"/>
                <w:sz w:val="18"/>
                <w:szCs w:val="18"/>
                <w:color w:val="auto"/>
              </w:rPr>
              <w:t>1998</w:t>
            </w:r>
          </w:p>
        </w:tc>
        <w:tc>
          <w:tcPr>
            <w:tcW w:w="7980" w:type="dxa"/>
            <w:vAlign w:val="bottom"/>
          </w:tcPr>
          <w:p>
            <w:pPr>
              <w:spacing w:after="0"/>
              <w:rPr>
                <w:sz w:val="20"/>
                <w:szCs w:val="20"/>
                <w:color w:val="auto"/>
              </w:rPr>
            </w:pPr>
            <w:r>
              <w:rPr>
                <w:rFonts w:ascii="Arial" w:cs="Arial" w:eastAsia="Arial" w:hAnsi="Arial"/>
                <w:sz w:val="18"/>
                <w:szCs w:val="18"/>
                <w:color w:val="auto"/>
              </w:rPr>
              <w:t>Executive Vice President; Chief Operating Officer; President, Comcast Cable</w:t>
            </w:r>
          </w:p>
        </w:tc>
        <w:tc>
          <w:tcPr>
            <w:tcW w:w="0" w:type="dxa"/>
            <w:vAlign w:val="bottom"/>
          </w:tcPr>
          <w:p>
            <w:pPr>
              <w:spacing w:after="0"/>
              <w:rPr>
                <w:sz w:val="1"/>
                <w:szCs w:val="1"/>
                <w:color w:val="auto"/>
              </w:rPr>
            </w:pPr>
          </w:p>
        </w:tc>
      </w:tr>
      <w:tr>
        <w:trPr>
          <w:trHeight w:val="216"/>
        </w:trPr>
        <w:tc>
          <w:tcPr>
            <w:tcW w:w="2400" w:type="dxa"/>
            <w:vAlign w:val="bottom"/>
          </w:tcPr>
          <w:p>
            <w:pPr>
              <w:spacing w:after="0"/>
              <w:rPr>
                <w:sz w:val="20"/>
                <w:szCs w:val="20"/>
                <w:color w:val="auto"/>
              </w:rPr>
            </w:pPr>
            <w:r>
              <w:rPr>
                <w:rFonts w:ascii="Arial" w:cs="Arial" w:eastAsia="Arial" w:hAnsi="Arial"/>
                <w:sz w:val="18"/>
                <w:szCs w:val="18"/>
                <w:color w:val="auto"/>
              </w:rPr>
              <w:t>David L. Cohen</w:t>
            </w:r>
          </w:p>
        </w:tc>
        <w:tc>
          <w:tcPr>
            <w:tcW w:w="340" w:type="dxa"/>
            <w:vAlign w:val="bottom"/>
            <w:gridSpan w:val="2"/>
          </w:tcPr>
          <w:p>
            <w:pPr>
              <w:jc w:val="right"/>
              <w:spacing w:after="0"/>
              <w:rPr>
                <w:sz w:val="20"/>
                <w:szCs w:val="20"/>
                <w:color w:val="auto"/>
              </w:rPr>
            </w:pPr>
            <w:r>
              <w:rPr>
                <w:rFonts w:ascii="Arial" w:cs="Arial" w:eastAsia="Arial" w:hAnsi="Arial"/>
                <w:sz w:val="18"/>
                <w:szCs w:val="18"/>
                <w:color w:val="auto"/>
              </w:rPr>
              <w:t>51</w:t>
            </w:r>
          </w:p>
        </w:tc>
        <w:tc>
          <w:tcPr>
            <w:tcW w:w="700" w:type="dxa"/>
            <w:vAlign w:val="bottom"/>
            <w:gridSpan w:val="3"/>
          </w:tcPr>
          <w:p>
            <w:pPr>
              <w:jc w:val="right"/>
              <w:ind w:right="100"/>
              <w:spacing w:after="0"/>
              <w:rPr>
                <w:sz w:val="20"/>
                <w:szCs w:val="20"/>
                <w:color w:val="auto"/>
              </w:rPr>
            </w:pPr>
            <w:r>
              <w:rPr>
                <w:rFonts w:ascii="Arial" w:cs="Arial" w:eastAsia="Arial" w:hAnsi="Arial"/>
                <w:sz w:val="18"/>
                <w:szCs w:val="18"/>
                <w:color w:val="auto"/>
              </w:rPr>
              <w:t>2002</w:t>
            </w:r>
          </w:p>
        </w:tc>
        <w:tc>
          <w:tcPr>
            <w:tcW w:w="7980" w:type="dxa"/>
            <w:vAlign w:val="bottom"/>
          </w:tcPr>
          <w:p>
            <w:pPr>
              <w:spacing w:after="0"/>
              <w:rPr>
                <w:sz w:val="20"/>
                <w:szCs w:val="20"/>
                <w:color w:val="auto"/>
              </w:rPr>
            </w:pPr>
            <w:r>
              <w:rPr>
                <w:rFonts w:ascii="Arial" w:cs="Arial" w:eastAsia="Arial" w:hAnsi="Arial"/>
                <w:sz w:val="18"/>
                <w:szCs w:val="18"/>
                <w:color w:val="auto"/>
              </w:rPr>
              <w:t>Executive Vice President</w:t>
            </w:r>
          </w:p>
        </w:tc>
        <w:tc>
          <w:tcPr>
            <w:tcW w:w="0" w:type="dxa"/>
            <w:vAlign w:val="bottom"/>
          </w:tcPr>
          <w:p>
            <w:pPr>
              <w:spacing w:after="0"/>
              <w:rPr>
                <w:sz w:val="1"/>
                <w:szCs w:val="1"/>
                <w:color w:val="auto"/>
              </w:rPr>
            </w:pPr>
          </w:p>
        </w:tc>
      </w:tr>
      <w:tr>
        <w:trPr>
          <w:trHeight w:val="216"/>
        </w:trPr>
        <w:tc>
          <w:tcPr>
            <w:tcW w:w="2400" w:type="dxa"/>
            <w:vAlign w:val="bottom"/>
          </w:tcPr>
          <w:p>
            <w:pPr>
              <w:spacing w:after="0"/>
              <w:rPr>
                <w:sz w:val="20"/>
                <w:szCs w:val="20"/>
                <w:color w:val="auto"/>
              </w:rPr>
            </w:pPr>
            <w:r>
              <w:rPr>
                <w:rFonts w:ascii="Arial" w:cs="Arial" w:eastAsia="Arial" w:hAnsi="Arial"/>
                <w:sz w:val="18"/>
                <w:szCs w:val="18"/>
                <w:color w:val="auto"/>
              </w:rPr>
              <w:t>Lawrence S. Smith</w:t>
            </w:r>
          </w:p>
        </w:tc>
        <w:tc>
          <w:tcPr>
            <w:tcW w:w="340" w:type="dxa"/>
            <w:vAlign w:val="bottom"/>
            <w:gridSpan w:val="2"/>
          </w:tcPr>
          <w:p>
            <w:pPr>
              <w:jc w:val="right"/>
              <w:spacing w:after="0"/>
              <w:rPr>
                <w:sz w:val="20"/>
                <w:szCs w:val="20"/>
                <w:color w:val="auto"/>
              </w:rPr>
            </w:pPr>
            <w:r>
              <w:rPr>
                <w:rFonts w:ascii="Arial" w:cs="Arial" w:eastAsia="Arial" w:hAnsi="Arial"/>
                <w:sz w:val="18"/>
                <w:szCs w:val="18"/>
                <w:color w:val="auto"/>
              </w:rPr>
              <w:t>59</w:t>
            </w:r>
          </w:p>
        </w:tc>
        <w:tc>
          <w:tcPr>
            <w:tcW w:w="700" w:type="dxa"/>
            <w:vAlign w:val="bottom"/>
            <w:gridSpan w:val="3"/>
          </w:tcPr>
          <w:p>
            <w:pPr>
              <w:jc w:val="right"/>
              <w:ind w:right="100"/>
              <w:spacing w:after="0"/>
              <w:rPr>
                <w:sz w:val="20"/>
                <w:szCs w:val="20"/>
                <w:color w:val="auto"/>
              </w:rPr>
            </w:pPr>
            <w:r>
              <w:rPr>
                <w:rFonts w:ascii="Arial" w:cs="Arial" w:eastAsia="Arial" w:hAnsi="Arial"/>
                <w:sz w:val="18"/>
                <w:szCs w:val="18"/>
                <w:color w:val="auto"/>
              </w:rPr>
              <w:t>1988</w:t>
            </w:r>
          </w:p>
        </w:tc>
        <w:tc>
          <w:tcPr>
            <w:tcW w:w="7980" w:type="dxa"/>
            <w:vAlign w:val="bottom"/>
          </w:tcPr>
          <w:p>
            <w:pPr>
              <w:spacing w:after="0"/>
              <w:rPr>
                <w:sz w:val="20"/>
                <w:szCs w:val="20"/>
                <w:color w:val="auto"/>
              </w:rPr>
            </w:pPr>
            <w:r>
              <w:rPr>
                <w:rFonts w:ascii="Arial" w:cs="Arial" w:eastAsia="Arial" w:hAnsi="Arial"/>
                <w:sz w:val="18"/>
                <w:szCs w:val="18"/>
                <w:color w:val="auto"/>
              </w:rPr>
              <w:t>Executive Vice President; Co-Chief Financial Officer</w:t>
            </w:r>
          </w:p>
        </w:tc>
        <w:tc>
          <w:tcPr>
            <w:tcW w:w="0" w:type="dxa"/>
            <w:vAlign w:val="bottom"/>
          </w:tcPr>
          <w:p>
            <w:pPr>
              <w:spacing w:after="0"/>
              <w:rPr>
                <w:sz w:val="1"/>
                <w:szCs w:val="1"/>
                <w:color w:val="auto"/>
              </w:rPr>
            </w:pPr>
          </w:p>
        </w:tc>
      </w:tr>
      <w:tr>
        <w:trPr>
          <w:trHeight w:val="216"/>
        </w:trPr>
        <w:tc>
          <w:tcPr>
            <w:tcW w:w="2400" w:type="dxa"/>
            <w:vAlign w:val="bottom"/>
          </w:tcPr>
          <w:p>
            <w:pPr>
              <w:spacing w:after="0"/>
              <w:rPr>
                <w:sz w:val="20"/>
                <w:szCs w:val="20"/>
                <w:color w:val="auto"/>
              </w:rPr>
            </w:pPr>
            <w:r>
              <w:rPr>
                <w:rFonts w:ascii="Arial" w:cs="Arial" w:eastAsia="Arial" w:hAnsi="Arial"/>
                <w:sz w:val="18"/>
                <w:szCs w:val="18"/>
                <w:color w:val="auto"/>
              </w:rPr>
              <w:t>Arthur R. Block</w:t>
            </w:r>
          </w:p>
        </w:tc>
        <w:tc>
          <w:tcPr>
            <w:tcW w:w="340" w:type="dxa"/>
            <w:vAlign w:val="bottom"/>
            <w:gridSpan w:val="2"/>
          </w:tcPr>
          <w:p>
            <w:pPr>
              <w:jc w:val="right"/>
              <w:spacing w:after="0"/>
              <w:rPr>
                <w:sz w:val="20"/>
                <w:szCs w:val="20"/>
                <w:color w:val="auto"/>
              </w:rPr>
            </w:pPr>
            <w:r>
              <w:rPr>
                <w:rFonts w:ascii="Arial" w:cs="Arial" w:eastAsia="Arial" w:hAnsi="Arial"/>
                <w:sz w:val="18"/>
                <w:szCs w:val="18"/>
                <w:color w:val="auto"/>
              </w:rPr>
              <w:t>51</w:t>
            </w:r>
          </w:p>
        </w:tc>
        <w:tc>
          <w:tcPr>
            <w:tcW w:w="700" w:type="dxa"/>
            <w:vAlign w:val="bottom"/>
            <w:gridSpan w:val="3"/>
          </w:tcPr>
          <w:p>
            <w:pPr>
              <w:jc w:val="right"/>
              <w:ind w:right="100"/>
              <w:spacing w:after="0"/>
              <w:rPr>
                <w:sz w:val="20"/>
                <w:szCs w:val="20"/>
                <w:color w:val="auto"/>
              </w:rPr>
            </w:pPr>
            <w:r>
              <w:rPr>
                <w:rFonts w:ascii="Arial" w:cs="Arial" w:eastAsia="Arial" w:hAnsi="Arial"/>
                <w:sz w:val="18"/>
                <w:szCs w:val="18"/>
                <w:color w:val="auto"/>
              </w:rPr>
              <w:t>1993</w:t>
            </w:r>
          </w:p>
        </w:tc>
        <w:tc>
          <w:tcPr>
            <w:tcW w:w="7980" w:type="dxa"/>
            <w:vAlign w:val="bottom"/>
          </w:tcPr>
          <w:p>
            <w:pPr>
              <w:spacing w:after="0"/>
              <w:rPr>
                <w:sz w:val="20"/>
                <w:szCs w:val="20"/>
                <w:color w:val="auto"/>
              </w:rPr>
            </w:pPr>
            <w:r>
              <w:rPr>
                <w:rFonts w:ascii="Arial" w:cs="Arial" w:eastAsia="Arial" w:hAnsi="Arial"/>
                <w:sz w:val="18"/>
                <w:szCs w:val="18"/>
                <w:color w:val="auto"/>
              </w:rPr>
              <w:t>Senior Vice President; General Counsel; Secretary</w:t>
            </w:r>
          </w:p>
        </w:tc>
        <w:tc>
          <w:tcPr>
            <w:tcW w:w="0" w:type="dxa"/>
            <w:vAlign w:val="bottom"/>
          </w:tcPr>
          <w:p>
            <w:pPr>
              <w:spacing w:after="0"/>
              <w:rPr>
                <w:sz w:val="1"/>
                <w:szCs w:val="1"/>
                <w:color w:val="auto"/>
              </w:rPr>
            </w:pPr>
          </w:p>
        </w:tc>
      </w:tr>
      <w:tr>
        <w:trPr>
          <w:trHeight w:val="222"/>
        </w:trPr>
        <w:tc>
          <w:tcPr>
            <w:tcW w:w="2400" w:type="dxa"/>
            <w:vAlign w:val="bottom"/>
          </w:tcPr>
          <w:p>
            <w:pPr>
              <w:spacing w:after="0"/>
              <w:rPr>
                <w:sz w:val="20"/>
                <w:szCs w:val="20"/>
                <w:color w:val="auto"/>
              </w:rPr>
            </w:pPr>
            <w:r>
              <w:rPr>
                <w:rFonts w:ascii="Arial" w:cs="Arial" w:eastAsia="Arial" w:hAnsi="Arial"/>
                <w:sz w:val="18"/>
                <w:szCs w:val="18"/>
                <w:color w:val="auto"/>
              </w:rPr>
              <w:t>Lawrence J. Salva</w:t>
            </w:r>
          </w:p>
        </w:tc>
        <w:tc>
          <w:tcPr>
            <w:tcW w:w="340" w:type="dxa"/>
            <w:vAlign w:val="bottom"/>
            <w:gridSpan w:val="2"/>
          </w:tcPr>
          <w:p>
            <w:pPr>
              <w:jc w:val="right"/>
              <w:spacing w:after="0"/>
              <w:rPr>
                <w:sz w:val="20"/>
                <w:szCs w:val="20"/>
                <w:color w:val="auto"/>
              </w:rPr>
            </w:pPr>
            <w:r>
              <w:rPr>
                <w:rFonts w:ascii="Arial" w:cs="Arial" w:eastAsia="Arial" w:hAnsi="Arial"/>
                <w:sz w:val="18"/>
                <w:szCs w:val="18"/>
                <w:color w:val="auto"/>
              </w:rPr>
              <w:t>50</w:t>
            </w:r>
          </w:p>
        </w:tc>
        <w:tc>
          <w:tcPr>
            <w:tcW w:w="700" w:type="dxa"/>
            <w:vAlign w:val="bottom"/>
            <w:gridSpan w:val="3"/>
          </w:tcPr>
          <w:p>
            <w:pPr>
              <w:jc w:val="right"/>
              <w:ind w:right="100"/>
              <w:spacing w:after="0"/>
              <w:rPr>
                <w:sz w:val="20"/>
                <w:szCs w:val="20"/>
                <w:color w:val="auto"/>
              </w:rPr>
            </w:pPr>
            <w:r>
              <w:rPr>
                <w:rFonts w:ascii="Arial" w:cs="Arial" w:eastAsia="Arial" w:hAnsi="Arial"/>
                <w:sz w:val="18"/>
                <w:szCs w:val="18"/>
                <w:color w:val="auto"/>
              </w:rPr>
              <w:t>2000</w:t>
            </w:r>
          </w:p>
        </w:tc>
        <w:tc>
          <w:tcPr>
            <w:tcW w:w="7980" w:type="dxa"/>
            <w:vAlign w:val="bottom"/>
          </w:tcPr>
          <w:p>
            <w:pPr>
              <w:spacing w:after="0"/>
              <w:rPr>
                <w:sz w:val="20"/>
                <w:szCs w:val="20"/>
                <w:color w:val="auto"/>
              </w:rPr>
            </w:pPr>
            <w:r>
              <w:rPr>
                <w:rFonts w:ascii="Arial" w:cs="Arial" w:eastAsia="Arial" w:hAnsi="Arial"/>
                <w:sz w:val="18"/>
                <w:szCs w:val="18"/>
                <w:color w:val="auto"/>
              </w:rPr>
              <w:t>Senior Vice President; Chief Accounting Officer; Controller</w:t>
            </w:r>
          </w:p>
        </w:tc>
        <w:tc>
          <w:tcPr>
            <w:tcW w:w="0" w:type="dxa"/>
            <w:vAlign w:val="bottom"/>
          </w:tcPr>
          <w:p>
            <w:pPr>
              <w:spacing w:after="0"/>
              <w:rPr>
                <w:sz w:val="1"/>
                <w:szCs w:val="1"/>
                <w:color w:val="auto"/>
              </w:rPr>
            </w:pPr>
          </w:p>
        </w:tc>
      </w:tr>
      <w:tr>
        <w:trPr>
          <w:trHeight w:val="365"/>
        </w:trPr>
        <w:tc>
          <w:tcPr>
            <w:tcW w:w="24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7980" w:type="dxa"/>
            <w:vAlign w:val="bottom"/>
          </w:tcPr>
          <w:p>
            <w:pPr>
              <w:ind w:left="2180"/>
              <w:spacing w:after="0"/>
              <w:rPr>
                <w:sz w:val="20"/>
                <w:szCs w:val="20"/>
                <w:color w:val="auto"/>
              </w:rPr>
            </w:pPr>
            <w:r>
              <w:rPr>
                <w:rFonts w:ascii="Arial" w:cs="Arial" w:eastAsia="Arial" w:hAnsi="Arial"/>
                <w:sz w:val="18"/>
                <w:szCs w:val="18"/>
                <w:color w:val="auto"/>
              </w:rPr>
              <w:t>21</w:t>
            </w:r>
          </w:p>
        </w:tc>
        <w:tc>
          <w:tcPr>
            <w:tcW w:w="0" w:type="dxa"/>
            <w:vAlign w:val="bottom"/>
          </w:tcPr>
          <w:p>
            <w:pPr>
              <w:spacing w:after="0"/>
              <w:rPr>
                <w:sz w:val="1"/>
                <w:szCs w:val="1"/>
                <w:color w:val="auto"/>
              </w:rPr>
            </w:pPr>
          </w:p>
        </w:tc>
      </w:tr>
    </w:tbl>
    <w:p>
      <w:pPr>
        <w:sectPr>
          <w:pgSz w:w="11900" w:h="16838" w:orient="portrait"/>
          <w:cols w:equalWidth="0" w:num="1">
            <w:col w:w="11420"/>
          </w:cols>
          <w:pgMar w:left="240" w:top="459" w:right="239" w:bottom="1440" w:gutter="0" w:footer="0" w:header="0"/>
        </w:sectPr>
      </w:pPr>
    </w:p>
    <w:bookmarkStart w:id="24" w:name="page25"/>
    <w:bookmarkEnd w:id="2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left="460"/>
        <w:spacing w:after="0"/>
        <w:rPr>
          <w:sz w:val="20"/>
          <w:szCs w:val="20"/>
          <w:color w:val="auto"/>
        </w:rPr>
      </w:pPr>
      <w:r>
        <w:rPr>
          <w:rFonts w:ascii="Arial" w:cs="Arial" w:eastAsia="Arial" w:hAnsi="Arial"/>
          <w:sz w:val="15"/>
          <w:szCs w:val="15"/>
          <w:i w:val="1"/>
          <w:iCs w:val="1"/>
          <w:color w:val="auto"/>
        </w:rPr>
        <w:t xml:space="preserve">Brian L. Roberts </w:t>
      </w:r>
      <w:r>
        <w:rPr>
          <w:rFonts w:ascii="Arial" w:cs="Arial" w:eastAsia="Arial" w:hAnsi="Arial"/>
          <w:sz w:val="15"/>
          <w:szCs w:val="15"/>
          <w:color w:val="auto"/>
        </w:rPr>
        <w:t>has served as a director and as our President and Chief Executive Officer since November 2002 and our Chairman of the Board since May</w:t>
      </w:r>
    </w:p>
    <w:p>
      <w:pPr>
        <w:spacing w:after="0" w:line="44" w:lineRule="exact"/>
        <w:rPr>
          <w:sz w:val="20"/>
          <w:szCs w:val="20"/>
          <w:color w:val="auto"/>
        </w:rPr>
      </w:pPr>
    </w:p>
    <w:p>
      <w:pPr>
        <w:ind w:right="40"/>
        <w:spacing w:after="0" w:line="235" w:lineRule="auto"/>
        <w:rPr>
          <w:sz w:val="20"/>
          <w:szCs w:val="20"/>
          <w:color w:val="auto"/>
        </w:rPr>
      </w:pPr>
      <w:r>
        <w:rPr>
          <w:rFonts w:ascii="Arial" w:cs="Arial" w:eastAsia="Arial" w:hAnsi="Arial"/>
          <w:sz w:val="18"/>
          <w:szCs w:val="18"/>
          <w:color w:val="auto"/>
        </w:rPr>
        <w:t xml:space="preserve">2004. Prior to November 2002, Mr. Roberts served as a director and President of Comcast Holdings Corporation (our immediate predecessor and now a subsidiary) for more than five years. As of December 31, 2006, Mr. Roberts had sole voting power over approximately 33 </w:t>
      </w:r>
      <w:r>
        <w:rPr>
          <w:rFonts w:ascii="Arial" w:cs="Arial" w:eastAsia="Arial" w:hAnsi="Arial"/>
          <w:sz w:val="22"/>
          <w:szCs w:val="22"/>
          <w:color w:val="auto"/>
          <w:vertAlign w:val="superscript"/>
        </w:rPr>
        <w:t>1</w:t>
      </w:r>
      <w:r>
        <w:rPr>
          <w:rFonts w:ascii="Arial" w:cs="Arial" w:eastAsia="Arial" w:hAnsi="Arial"/>
          <w:sz w:val="18"/>
          <w:szCs w:val="18"/>
          <w:color w:val="auto"/>
        </w:rPr>
        <w:t>/</w:t>
      </w:r>
      <w:r>
        <w:rPr>
          <w:rFonts w:ascii="Arial" w:cs="Arial" w:eastAsia="Arial" w:hAnsi="Arial"/>
          <w:sz w:val="13"/>
          <w:szCs w:val="13"/>
          <w:color w:val="auto"/>
        </w:rPr>
        <w:t>3</w:t>
      </w:r>
      <w:r>
        <w:rPr>
          <w:rFonts w:ascii="Arial" w:cs="Arial" w:eastAsia="Arial" w:hAnsi="Arial"/>
          <w:sz w:val="18"/>
          <w:szCs w:val="18"/>
          <w:color w:val="auto"/>
        </w:rPr>
        <w:t xml:space="preserve"> % of the combined voting power of our two classes of voting common stock. He is a son of Mr. Ralph J. Roberts. Mr. Roberts is also a director of Comcast Holdings and The Bank of New York Company, Inc.</w:t>
      </w:r>
    </w:p>
    <w:p>
      <w:pPr>
        <w:spacing w:after="0" w:line="184" w:lineRule="exact"/>
        <w:rPr>
          <w:sz w:val="20"/>
          <w:szCs w:val="20"/>
          <w:color w:val="auto"/>
        </w:rPr>
      </w:pPr>
    </w:p>
    <w:p>
      <w:pPr>
        <w:ind w:right="80" w:firstLine="456"/>
        <w:spacing w:after="0" w:line="259" w:lineRule="auto"/>
        <w:rPr>
          <w:sz w:val="20"/>
          <w:szCs w:val="20"/>
          <w:color w:val="auto"/>
        </w:rPr>
      </w:pPr>
      <w:r>
        <w:rPr>
          <w:rFonts w:ascii="Arial" w:cs="Arial" w:eastAsia="Arial" w:hAnsi="Arial"/>
          <w:sz w:val="18"/>
          <w:szCs w:val="18"/>
          <w:i w:val="1"/>
          <w:iCs w:val="1"/>
          <w:color w:val="auto"/>
        </w:rPr>
        <w:t xml:space="preserve">Ralph J. Roberts </w:t>
      </w:r>
      <w:r>
        <w:rPr>
          <w:rFonts w:ascii="Arial" w:cs="Arial" w:eastAsia="Arial" w:hAnsi="Arial"/>
          <w:sz w:val="18"/>
          <w:szCs w:val="18"/>
          <w:color w:val="auto"/>
        </w:rPr>
        <w:t>has served as a director and as our Chairman of the Executive and Finance Committee of the Board of Directors since November 2002.</w:t>
      </w:r>
      <w:r>
        <w:rPr>
          <w:rFonts w:ascii="Arial" w:cs="Arial" w:eastAsia="Arial" w:hAnsi="Arial"/>
          <w:sz w:val="18"/>
          <w:szCs w:val="18"/>
          <w:i w:val="1"/>
          <w:iCs w:val="1"/>
          <w:color w:val="auto"/>
        </w:rPr>
        <w:t xml:space="preserve"> </w:t>
      </w:r>
      <w:r>
        <w:rPr>
          <w:rFonts w:ascii="Arial" w:cs="Arial" w:eastAsia="Arial" w:hAnsi="Arial"/>
          <w:sz w:val="18"/>
          <w:szCs w:val="18"/>
          <w:color w:val="auto"/>
        </w:rPr>
        <w:t>Prior to November 2002, Mr. Roberts served as a director and Chairman of the Board of Directors of Comcast Holdings for more than five years. He is the father of Mr. Brian L. Roberts.</w:t>
      </w:r>
    </w:p>
    <w:p>
      <w:pPr>
        <w:spacing w:after="0" w:line="140" w:lineRule="exact"/>
        <w:rPr>
          <w:sz w:val="20"/>
          <w:szCs w:val="20"/>
          <w:color w:val="auto"/>
        </w:rPr>
      </w:pPr>
    </w:p>
    <w:p>
      <w:pPr>
        <w:ind w:firstLine="456"/>
        <w:spacing w:after="0" w:line="256" w:lineRule="auto"/>
        <w:rPr>
          <w:sz w:val="20"/>
          <w:szCs w:val="20"/>
          <w:color w:val="auto"/>
        </w:rPr>
      </w:pPr>
      <w:r>
        <w:rPr>
          <w:rFonts w:ascii="Arial" w:cs="Arial" w:eastAsia="Arial" w:hAnsi="Arial"/>
          <w:sz w:val="18"/>
          <w:szCs w:val="18"/>
          <w:i w:val="1"/>
          <w:iCs w:val="1"/>
          <w:color w:val="auto"/>
        </w:rPr>
        <w:t xml:space="preserve">John R. Alchin </w:t>
      </w:r>
      <w:r>
        <w:rPr>
          <w:rFonts w:ascii="Arial" w:cs="Arial" w:eastAsia="Arial" w:hAnsi="Arial"/>
          <w:sz w:val="18"/>
          <w:szCs w:val="18"/>
          <w:color w:val="auto"/>
        </w:rPr>
        <w:t>has served as an Executive Vice President and as our Co-Chief Financial Officer and Treasurer since November 2002. Prior to</w:t>
      </w:r>
      <w:r>
        <w:rPr>
          <w:rFonts w:ascii="Arial" w:cs="Arial" w:eastAsia="Arial" w:hAnsi="Arial"/>
          <w:sz w:val="18"/>
          <w:szCs w:val="18"/>
          <w:i w:val="1"/>
          <w:iCs w:val="1"/>
          <w:color w:val="auto"/>
        </w:rPr>
        <w:t xml:space="preserve"> </w:t>
      </w:r>
      <w:r>
        <w:rPr>
          <w:rFonts w:ascii="Arial" w:cs="Arial" w:eastAsia="Arial" w:hAnsi="Arial"/>
          <w:sz w:val="18"/>
          <w:szCs w:val="18"/>
          <w:color w:val="auto"/>
        </w:rPr>
        <w:t>November 2002, Mr. Alchin served as an Executive Vice President and Treasurer of Comcast Holdings since January 2000. Mr. Alchin is also a director of Polo Ralph Lauren Corp and BNY Capital Markets, Inc. Mr. Alchin has informed the Company that he will step down from his executive officer positions at the end of 2007.</w:t>
      </w:r>
    </w:p>
    <w:p>
      <w:pPr>
        <w:spacing w:after="0" w:line="143" w:lineRule="exact"/>
        <w:rPr>
          <w:sz w:val="20"/>
          <w:szCs w:val="20"/>
          <w:color w:val="auto"/>
        </w:rPr>
      </w:pPr>
    </w:p>
    <w:p>
      <w:pPr>
        <w:ind w:right="400" w:firstLine="456"/>
        <w:spacing w:after="0" w:line="306" w:lineRule="auto"/>
        <w:rPr>
          <w:sz w:val="20"/>
          <w:szCs w:val="20"/>
          <w:color w:val="auto"/>
        </w:rPr>
      </w:pPr>
      <w:r>
        <w:rPr>
          <w:rFonts w:ascii="Arial" w:cs="Arial" w:eastAsia="Arial" w:hAnsi="Arial"/>
          <w:sz w:val="16"/>
          <w:szCs w:val="16"/>
          <w:i w:val="1"/>
          <w:iCs w:val="1"/>
          <w:color w:val="auto"/>
        </w:rPr>
        <w:t xml:space="preserve">Stephen B. Burke </w:t>
      </w:r>
      <w:r>
        <w:rPr>
          <w:rFonts w:ascii="Arial" w:cs="Arial" w:eastAsia="Arial" w:hAnsi="Arial"/>
          <w:sz w:val="16"/>
          <w:szCs w:val="16"/>
          <w:color w:val="auto"/>
        </w:rPr>
        <w:t>has served as our Chief Operating Officer since July 2004, and as our Executive Vice President and President of Comcast Cable and</w:t>
      </w:r>
      <w:r>
        <w:rPr>
          <w:rFonts w:ascii="Arial" w:cs="Arial" w:eastAsia="Arial" w:hAnsi="Arial"/>
          <w:sz w:val="16"/>
          <w:szCs w:val="16"/>
          <w:i w:val="1"/>
          <w:iCs w:val="1"/>
          <w:color w:val="auto"/>
        </w:rPr>
        <w:t xml:space="preserve"> </w:t>
      </w:r>
      <w:r>
        <w:rPr>
          <w:rFonts w:ascii="Arial" w:cs="Arial" w:eastAsia="Arial" w:hAnsi="Arial"/>
          <w:sz w:val="16"/>
          <w:szCs w:val="16"/>
          <w:color w:val="auto"/>
        </w:rPr>
        <w:t>Comcast Cable Communications Holdings since November 2002. Prior to November 2002, Mr. Burke served as an Executive Vice President of Comcast Holdings and as President of Comcast Cable since January 2000. Mr. Burke is also a director of JPMorgan Chase &amp; Company.</w:t>
      </w:r>
    </w:p>
    <w:p>
      <w:pPr>
        <w:spacing w:after="0" w:line="107" w:lineRule="exact"/>
        <w:rPr>
          <w:sz w:val="20"/>
          <w:szCs w:val="20"/>
          <w:color w:val="auto"/>
        </w:rPr>
      </w:pPr>
    </w:p>
    <w:p>
      <w:pPr>
        <w:jc w:val="both"/>
        <w:ind w:right="120" w:firstLine="456"/>
        <w:spacing w:after="0" w:line="259" w:lineRule="auto"/>
        <w:rPr>
          <w:sz w:val="20"/>
          <w:szCs w:val="20"/>
          <w:color w:val="auto"/>
        </w:rPr>
      </w:pPr>
      <w:r>
        <w:rPr>
          <w:rFonts w:ascii="Arial" w:cs="Arial" w:eastAsia="Arial" w:hAnsi="Arial"/>
          <w:sz w:val="18"/>
          <w:szCs w:val="18"/>
          <w:i w:val="1"/>
          <w:iCs w:val="1"/>
          <w:color w:val="auto"/>
        </w:rPr>
        <w:t xml:space="preserve">David L. Cohen </w:t>
      </w:r>
      <w:r>
        <w:rPr>
          <w:rFonts w:ascii="Arial" w:cs="Arial" w:eastAsia="Arial" w:hAnsi="Arial"/>
          <w:sz w:val="18"/>
          <w:szCs w:val="18"/>
          <w:color w:val="auto"/>
        </w:rPr>
        <w:t>has served as an Executive Vice President since November 2002. Mr. Cohen joined Comcast Holdings in July 2002 as an Executive Vice</w:t>
      </w:r>
      <w:r>
        <w:rPr>
          <w:rFonts w:ascii="Arial" w:cs="Arial" w:eastAsia="Arial" w:hAnsi="Arial"/>
          <w:sz w:val="18"/>
          <w:szCs w:val="18"/>
          <w:i w:val="1"/>
          <w:iCs w:val="1"/>
          <w:color w:val="auto"/>
        </w:rPr>
        <w:t xml:space="preserve"> </w:t>
      </w:r>
      <w:r>
        <w:rPr>
          <w:rFonts w:ascii="Arial" w:cs="Arial" w:eastAsia="Arial" w:hAnsi="Arial"/>
          <w:sz w:val="18"/>
          <w:szCs w:val="18"/>
          <w:color w:val="auto"/>
        </w:rPr>
        <w:t>President. Prior to that time, he was a partner in, and Chairman of, the law firm of Ballard Spahr Andrews &amp; Ingersoll, LLP for more than five years. Mr. Cohen is also a director of Comcast Holdings.</w:t>
      </w:r>
    </w:p>
    <w:p>
      <w:pPr>
        <w:spacing w:after="0" w:line="140" w:lineRule="exact"/>
        <w:rPr>
          <w:sz w:val="20"/>
          <w:szCs w:val="20"/>
          <w:color w:val="auto"/>
        </w:rPr>
      </w:pPr>
    </w:p>
    <w:p>
      <w:pPr>
        <w:ind w:right="260" w:firstLine="456"/>
        <w:spacing w:after="0" w:line="256" w:lineRule="auto"/>
        <w:rPr>
          <w:sz w:val="20"/>
          <w:szCs w:val="20"/>
          <w:color w:val="auto"/>
        </w:rPr>
      </w:pPr>
      <w:r>
        <w:rPr>
          <w:rFonts w:ascii="Arial" w:cs="Arial" w:eastAsia="Arial" w:hAnsi="Arial"/>
          <w:sz w:val="18"/>
          <w:szCs w:val="18"/>
          <w:i w:val="1"/>
          <w:iCs w:val="1"/>
          <w:color w:val="auto"/>
        </w:rPr>
        <w:t xml:space="preserve">Lawrence S. Smith </w:t>
      </w:r>
      <w:r>
        <w:rPr>
          <w:rFonts w:ascii="Arial" w:cs="Arial" w:eastAsia="Arial" w:hAnsi="Arial"/>
          <w:sz w:val="18"/>
          <w:szCs w:val="18"/>
          <w:color w:val="auto"/>
        </w:rPr>
        <w:t>has served as an Executive Vice President and as our Co-Chief Financial Officer since November 2002. Prior to November 2002,</w:t>
      </w:r>
      <w:r>
        <w:rPr>
          <w:rFonts w:ascii="Arial" w:cs="Arial" w:eastAsia="Arial" w:hAnsi="Arial"/>
          <w:sz w:val="18"/>
          <w:szCs w:val="18"/>
          <w:i w:val="1"/>
          <w:iCs w:val="1"/>
          <w:color w:val="auto"/>
        </w:rPr>
        <w:t xml:space="preserve"> </w:t>
      </w:r>
      <w:r>
        <w:rPr>
          <w:rFonts w:ascii="Arial" w:cs="Arial" w:eastAsia="Arial" w:hAnsi="Arial"/>
          <w:sz w:val="18"/>
          <w:szCs w:val="18"/>
          <w:color w:val="auto"/>
        </w:rPr>
        <w:t>Mr. Smith served as an Executive Vice President of Comcast Holdings for more than five years. Mr. Smith is also a director of Comcast Holdings and Air Products and Chemicals, Inc. Mr. Smith has informed the Company that he will step down from his executive officer positions at the end of the first quarter of 2007.</w:t>
      </w:r>
    </w:p>
    <w:p>
      <w:pPr>
        <w:spacing w:after="0" w:line="143" w:lineRule="exact"/>
        <w:rPr>
          <w:sz w:val="20"/>
          <w:szCs w:val="20"/>
          <w:color w:val="auto"/>
        </w:rPr>
      </w:pPr>
    </w:p>
    <w:p>
      <w:pPr>
        <w:ind w:right="60" w:firstLine="456"/>
        <w:spacing w:after="0" w:line="259" w:lineRule="auto"/>
        <w:rPr>
          <w:sz w:val="20"/>
          <w:szCs w:val="20"/>
          <w:color w:val="auto"/>
        </w:rPr>
      </w:pPr>
      <w:r>
        <w:rPr>
          <w:rFonts w:ascii="Arial" w:cs="Arial" w:eastAsia="Arial" w:hAnsi="Arial"/>
          <w:sz w:val="18"/>
          <w:szCs w:val="18"/>
          <w:i w:val="1"/>
          <w:iCs w:val="1"/>
          <w:color w:val="auto"/>
        </w:rPr>
        <w:t xml:space="preserve">Arthur R. Block </w:t>
      </w:r>
      <w:r>
        <w:rPr>
          <w:rFonts w:ascii="Arial" w:cs="Arial" w:eastAsia="Arial" w:hAnsi="Arial"/>
          <w:sz w:val="18"/>
          <w:szCs w:val="18"/>
          <w:color w:val="auto"/>
        </w:rPr>
        <w:t>has served as our Senior Vice President, General Counsel and Secretary since November 2002. Prior to November 2002, Mr. Block served</w:t>
      </w:r>
      <w:r>
        <w:rPr>
          <w:rFonts w:ascii="Arial" w:cs="Arial" w:eastAsia="Arial" w:hAnsi="Arial"/>
          <w:sz w:val="18"/>
          <w:szCs w:val="18"/>
          <w:i w:val="1"/>
          <w:iCs w:val="1"/>
          <w:color w:val="auto"/>
        </w:rPr>
        <w:t xml:space="preserve"> </w:t>
      </w:r>
      <w:r>
        <w:rPr>
          <w:rFonts w:ascii="Arial" w:cs="Arial" w:eastAsia="Arial" w:hAnsi="Arial"/>
          <w:sz w:val="18"/>
          <w:szCs w:val="18"/>
          <w:color w:val="auto"/>
        </w:rPr>
        <w:t>as General Counsel of Comcast Holdings since June 2000 and as Senior Vice President of Comcast Holdings since January 2000. Mr. Block is also a director of Comcast Holdings.</w:t>
      </w:r>
    </w:p>
    <w:p>
      <w:pPr>
        <w:spacing w:after="0" w:line="140" w:lineRule="exact"/>
        <w:rPr>
          <w:sz w:val="20"/>
          <w:szCs w:val="20"/>
          <w:color w:val="auto"/>
        </w:rPr>
      </w:pPr>
    </w:p>
    <w:p>
      <w:pPr>
        <w:ind w:left="460"/>
        <w:spacing w:after="0"/>
        <w:rPr>
          <w:sz w:val="20"/>
          <w:szCs w:val="20"/>
          <w:color w:val="auto"/>
        </w:rPr>
      </w:pPr>
      <w:r>
        <w:rPr>
          <w:rFonts w:ascii="Arial" w:cs="Arial" w:eastAsia="Arial" w:hAnsi="Arial"/>
          <w:sz w:val="16"/>
          <w:szCs w:val="16"/>
          <w:i w:val="1"/>
          <w:iCs w:val="1"/>
          <w:color w:val="auto"/>
        </w:rPr>
        <w:t xml:space="preserve">Lawrence J. Salva </w:t>
      </w:r>
      <w:r>
        <w:rPr>
          <w:rFonts w:ascii="Arial" w:cs="Arial" w:eastAsia="Arial" w:hAnsi="Arial"/>
          <w:sz w:val="16"/>
          <w:szCs w:val="16"/>
          <w:color w:val="auto"/>
        </w:rPr>
        <w:t>has served as our Senior Vice President and Controller since November 2002 and as Chief Accounting Officer since May 2004.</w:t>
      </w:r>
    </w:p>
    <w:p>
      <w:pPr>
        <w:spacing w:after="0" w:line="38" w:lineRule="exact"/>
        <w:rPr>
          <w:sz w:val="20"/>
          <w:szCs w:val="20"/>
          <w:color w:val="auto"/>
        </w:rPr>
      </w:pPr>
    </w:p>
    <w:p>
      <w:pPr>
        <w:spacing w:after="0"/>
        <w:rPr>
          <w:sz w:val="20"/>
          <w:szCs w:val="20"/>
          <w:color w:val="auto"/>
        </w:rPr>
      </w:pPr>
      <w:r>
        <w:rPr>
          <w:rFonts w:ascii="Arial" w:cs="Arial" w:eastAsia="Arial" w:hAnsi="Arial"/>
          <w:sz w:val="18"/>
          <w:szCs w:val="18"/>
          <w:color w:val="auto"/>
        </w:rPr>
        <w:t>Mr. Salva joined Comcast Holdings in January 2000 as Senior Vice President and Chief Accounting Officer.</w:t>
      </w:r>
    </w:p>
    <w:p>
      <w:pPr>
        <w:spacing w:after="0" w:line="15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22</w:t>
      </w:r>
    </w:p>
    <w:p>
      <w:pPr>
        <w:sectPr>
          <w:pgSz w:w="11900" w:h="16838" w:orient="portrait"/>
          <w:cols w:equalWidth="0" w:num="1">
            <w:col w:w="11400"/>
          </w:cols>
          <w:pgMar w:left="240" w:top="459" w:right="259" w:bottom="1440" w:gutter="0" w:footer="0" w:header="0"/>
        </w:sectPr>
      </w:pPr>
    </w:p>
    <w:bookmarkStart w:id="25" w:name="page26"/>
    <w:bookmarkEnd w:id="2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PART II</w:t>
      </w:r>
    </w:p>
    <w:p>
      <w:pPr>
        <w:spacing w:after="0" w:line="212" w:lineRule="exact"/>
        <w:rPr>
          <w:sz w:val="20"/>
          <w:szCs w:val="20"/>
          <w:color w:val="auto"/>
        </w:rPr>
      </w:pPr>
    </w:p>
    <w:p>
      <w:pPr>
        <w:ind w:left="1040" w:right="40" w:hanging="1025"/>
        <w:spacing w:after="0" w:line="275" w:lineRule="auto"/>
        <w:tabs>
          <w:tab w:leader="none" w:pos="1020" w:val="left"/>
        </w:tabs>
        <w:rPr>
          <w:sz w:val="20"/>
          <w:szCs w:val="20"/>
          <w:color w:val="auto"/>
        </w:rPr>
      </w:pPr>
      <w:r>
        <w:rPr>
          <w:rFonts w:ascii="Arial" w:cs="Arial" w:eastAsia="Arial" w:hAnsi="Arial"/>
          <w:sz w:val="18"/>
          <w:szCs w:val="18"/>
          <w:b w:val="1"/>
          <w:bCs w:val="1"/>
          <w:color w:val="auto"/>
        </w:rPr>
        <w:t>ITEM 5:</w:t>
      </w:r>
      <w:r>
        <w:rPr>
          <w:sz w:val="20"/>
          <w:szCs w:val="20"/>
          <w:color w:val="auto"/>
        </w:rPr>
        <w:tab/>
      </w:r>
      <w:r>
        <w:rPr>
          <w:rFonts w:ascii="Arial" w:cs="Arial" w:eastAsia="Arial" w:hAnsi="Arial"/>
          <w:sz w:val="18"/>
          <w:szCs w:val="18"/>
          <w:b w:val="1"/>
          <w:bCs w:val="1"/>
          <w:color w:val="auto"/>
        </w:rPr>
        <w:t>MARKET FOR THE REGISTRANT’S COMMON EQUITY, RELATED STOCKHOLDER MATTERS AND ISSUER PURCHASES OF EQUITY SECURITIES</w:t>
      </w:r>
    </w:p>
    <w:p>
      <w:pPr>
        <w:spacing w:after="0" w:line="45" w:lineRule="exact"/>
        <w:rPr>
          <w:sz w:val="20"/>
          <w:szCs w:val="20"/>
          <w:color w:val="auto"/>
        </w:rPr>
      </w:pPr>
    </w:p>
    <w:p>
      <w:pPr>
        <w:ind w:right="60" w:firstLine="456"/>
        <w:spacing w:after="0" w:line="259" w:lineRule="auto"/>
        <w:rPr>
          <w:sz w:val="20"/>
          <w:szCs w:val="20"/>
          <w:color w:val="auto"/>
        </w:rPr>
      </w:pPr>
      <w:r>
        <w:rPr>
          <w:rFonts w:ascii="Arial" w:cs="Arial" w:eastAsia="Arial" w:hAnsi="Arial"/>
          <w:sz w:val="18"/>
          <w:szCs w:val="18"/>
          <w:color w:val="auto"/>
        </w:rPr>
        <w:t>Our Class A common stock is listed on the Nasdaq Global Select Market under the symbol CMCSA and our Class A Special common stock is listed on the Nasdaq Global Select Market under the symbol CMCSK. There is no established public trading market for our Class B common stock. Our Class B common stock can be converted, on a share for share basis, into Class A or Class A Special common stock.</w:t>
      </w:r>
    </w:p>
    <w:p>
      <w:pPr>
        <w:spacing w:after="0" w:line="140" w:lineRule="exact"/>
        <w:rPr>
          <w:sz w:val="20"/>
          <w:szCs w:val="20"/>
          <w:color w:val="auto"/>
        </w:rPr>
      </w:pPr>
    </w:p>
    <w:p>
      <w:pPr>
        <w:ind w:right="140" w:firstLine="456"/>
        <w:spacing w:after="0" w:line="268" w:lineRule="auto"/>
        <w:rPr>
          <w:sz w:val="20"/>
          <w:szCs w:val="20"/>
          <w:color w:val="auto"/>
        </w:rPr>
      </w:pPr>
      <w:r>
        <w:rPr>
          <w:rFonts w:ascii="Arial" w:cs="Arial" w:eastAsia="Arial" w:hAnsi="Arial"/>
          <w:sz w:val="18"/>
          <w:szCs w:val="18"/>
          <w:color w:val="auto"/>
        </w:rPr>
        <w:t>We have not declared and paid any cash dividends on our Class A, Class A Special or Class B common stock in our last two fiscal years and do not intend to do so for the foreseeable future.</w:t>
      </w:r>
    </w:p>
    <w:p>
      <w:pPr>
        <w:spacing w:after="0" w:line="159" w:lineRule="exact"/>
        <w:rPr>
          <w:sz w:val="20"/>
          <w:szCs w:val="20"/>
          <w:color w:val="auto"/>
        </w:rPr>
      </w:pPr>
    </w:p>
    <w:p>
      <w:pPr>
        <w:ind w:right="100" w:firstLine="456"/>
        <w:spacing w:after="0" w:line="245" w:lineRule="auto"/>
        <w:rPr>
          <w:sz w:val="20"/>
          <w:szCs w:val="20"/>
          <w:color w:val="auto"/>
        </w:rPr>
      </w:pPr>
      <w:r>
        <w:rPr>
          <w:rFonts w:ascii="Arial" w:cs="Arial" w:eastAsia="Arial" w:hAnsi="Arial"/>
          <w:sz w:val="17"/>
          <w:szCs w:val="17"/>
          <w:color w:val="auto"/>
        </w:rPr>
        <w:t xml:space="preserve">Holders of our Class A common stock in the aggregate hold 66 </w:t>
      </w:r>
      <w:r>
        <w:rPr>
          <w:rFonts w:ascii="Arial" w:cs="Arial" w:eastAsia="Arial" w:hAnsi="Arial"/>
          <w:sz w:val="21"/>
          <w:szCs w:val="21"/>
          <w:color w:val="auto"/>
          <w:vertAlign w:val="superscript"/>
        </w:rPr>
        <w:t>2</w:t>
      </w:r>
      <w:r>
        <w:rPr>
          <w:rFonts w:ascii="Arial" w:cs="Arial" w:eastAsia="Arial" w:hAnsi="Arial"/>
          <w:sz w:val="17"/>
          <w:szCs w:val="17"/>
          <w:color w:val="auto"/>
        </w:rPr>
        <w:t>/</w:t>
      </w:r>
      <w:r>
        <w:rPr>
          <w:rFonts w:ascii="Arial" w:cs="Arial" w:eastAsia="Arial" w:hAnsi="Arial"/>
          <w:sz w:val="13"/>
          <w:szCs w:val="13"/>
          <w:color w:val="auto"/>
        </w:rPr>
        <w:t>3</w:t>
      </w:r>
      <w:r>
        <w:rPr>
          <w:rFonts w:ascii="Arial" w:cs="Arial" w:eastAsia="Arial" w:hAnsi="Arial"/>
          <w:sz w:val="17"/>
          <w:szCs w:val="17"/>
          <w:color w:val="auto"/>
        </w:rPr>
        <w:t xml:space="preserve">% of the voting power of our capital stock. The number of votes that each share of our Class A common stock will have at any given time will depend on the number of shares of Class A common stock and Class B common stock then outstanding. Holders of shares of our Class A Special common stock cannot vote in the election of directors or otherwise, except where class voting is required by law. In that case, holders of our Class A Special common stock will have the same number of votes per share as each holder of Class A common stock. Our Class B common stock has a 33 </w:t>
      </w:r>
      <w:r>
        <w:rPr>
          <w:rFonts w:ascii="Arial" w:cs="Arial" w:eastAsia="Arial" w:hAnsi="Arial"/>
          <w:sz w:val="21"/>
          <w:szCs w:val="21"/>
          <w:color w:val="auto"/>
          <w:vertAlign w:val="superscript"/>
        </w:rPr>
        <w:t>1</w:t>
      </w:r>
      <w:r>
        <w:rPr>
          <w:rFonts w:ascii="Arial" w:cs="Arial" w:eastAsia="Arial" w:hAnsi="Arial"/>
          <w:sz w:val="17"/>
          <w:szCs w:val="17"/>
          <w:color w:val="auto"/>
        </w:rPr>
        <w:t>/</w:t>
      </w:r>
      <w:r>
        <w:rPr>
          <w:rFonts w:ascii="Arial" w:cs="Arial" w:eastAsia="Arial" w:hAnsi="Arial"/>
          <w:sz w:val="13"/>
          <w:szCs w:val="13"/>
          <w:color w:val="auto"/>
        </w:rPr>
        <w:t>3</w:t>
      </w:r>
      <w:r>
        <w:rPr>
          <w:rFonts w:ascii="Arial" w:cs="Arial" w:eastAsia="Arial" w:hAnsi="Arial"/>
          <w:sz w:val="17"/>
          <w:szCs w:val="17"/>
          <w:color w:val="auto"/>
        </w:rPr>
        <w:t>% nondilutable voting interest, and each share of Class B common stock has 15 votes per share. Mr. Brian L. Roberts beneficially owns all outstanding shares of our Class B common stock. Generally, including as to the election of directors, holders of Class A common stock and Class B common stock vote as one class except where class voting is required by law.</w:t>
      </w:r>
    </w:p>
    <w:p>
      <w:pPr>
        <w:spacing w:after="0" w:line="184" w:lineRule="exact"/>
        <w:rPr>
          <w:sz w:val="20"/>
          <w:szCs w:val="20"/>
          <w:color w:val="auto"/>
        </w:rPr>
      </w:pPr>
    </w:p>
    <w:p>
      <w:pPr>
        <w:ind w:firstLine="456"/>
        <w:spacing w:after="0" w:line="268" w:lineRule="auto"/>
        <w:rPr>
          <w:sz w:val="20"/>
          <w:szCs w:val="20"/>
          <w:color w:val="auto"/>
        </w:rPr>
      </w:pPr>
      <w:r>
        <w:rPr>
          <w:rFonts w:ascii="Arial" w:cs="Arial" w:eastAsia="Arial" w:hAnsi="Arial"/>
          <w:sz w:val="18"/>
          <w:szCs w:val="18"/>
          <w:color w:val="auto"/>
        </w:rPr>
        <w:t>As of December 31, 2006, there were 921,275 record holders of our Class A common stock, 2,266 record holders of our Class A Special common stock and three record holders of our Class B Common Stock.</w:t>
      </w:r>
    </w:p>
    <w:p>
      <w:pPr>
        <w:spacing w:after="0" w:line="132" w:lineRule="exact"/>
        <w:rPr>
          <w:sz w:val="20"/>
          <w:szCs w:val="20"/>
          <w:color w:val="auto"/>
        </w:rPr>
      </w:pPr>
    </w:p>
    <w:p>
      <w:pPr>
        <w:ind w:right="40" w:firstLine="456"/>
        <w:spacing w:after="0" w:line="259" w:lineRule="auto"/>
        <w:rPr>
          <w:sz w:val="20"/>
          <w:szCs w:val="20"/>
          <w:color w:val="auto"/>
        </w:rPr>
      </w:pPr>
      <w:r>
        <w:rPr>
          <w:rFonts w:ascii="Arial" w:cs="Arial" w:eastAsia="Arial" w:hAnsi="Arial"/>
          <w:sz w:val="18"/>
          <w:szCs w:val="18"/>
          <w:color w:val="auto"/>
        </w:rPr>
        <w:t>On January 31, 2007, our Board of Directors approved a three-for-two stock split in the form of a 50% stock dividend (the “Stock Split”) payable on February 21, 2007, to shareholders of record on February 14, 2007. The number of shares outstanding and related amounts have been adjusted to reflect the Stock Split for all periods presented.</w:t>
      </w:r>
    </w:p>
    <w:p>
      <w:pPr>
        <w:spacing w:after="0" w:line="140" w:lineRule="exact"/>
        <w:rPr>
          <w:sz w:val="20"/>
          <w:szCs w:val="20"/>
          <w:color w:val="auto"/>
        </w:rPr>
      </w:pPr>
    </w:p>
    <w:p>
      <w:pPr>
        <w:ind w:right="180" w:firstLine="456"/>
        <w:spacing w:after="0" w:line="268" w:lineRule="auto"/>
        <w:rPr>
          <w:sz w:val="20"/>
          <w:szCs w:val="20"/>
          <w:color w:val="auto"/>
        </w:rPr>
      </w:pPr>
      <w:r>
        <w:rPr>
          <w:rFonts w:ascii="Arial" w:cs="Arial" w:eastAsia="Arial" w:hAnsi="Arial"/>
          <w:sz w:val="18"/>
          <w:szCs w:val="18"/>
          <w:color w:val="auto"/>
        </w:rPr>
        <w:t>A summary of our repurchases during 2006 under our Board-authorized share repurchase program, on a trade-date basis, is as follows (adjusted to reflect the Stock Split):</w:t>
      </w:r>
    </w:p>
    <w:p>
      <w:pPr>
        <w:spacing w:after="0" w:line="156"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354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1600" w:type="dxa"/>
            <w:vAlign w:val="bottom"/>
            <w:gridSpan w:val="2"/>
          </w:tcPr>
          <w:p>
            <w:pPr>
              <w:jc w:val="center"/>
              <w:ind w:right="240"/>
              <w:spacing w:after="0"/>
              <w:rPr>
                <w:sz w:val="20"/>
                <w:szCs w:val="20"/>
                <w:color w:val="auto"/>
              </w:rPr>
            </w:pPr>
            <w:r>
              <w:rPr>
                <w:rFonts w:ascii="Arial" w:cs="Arial" w:eastAsia="Arial" w:hAnsi="Arial"/>
                <w:sz w:val="14"/>
                <w:szCs w:val="14"/>
                <w:b w:val="1"/>
                <w:bCs w:val="1"/>
                <w:color w:val="auto"/>
                <w:w w:val="86"/>
              </w:rPr>
              <w:t>Total Number of Shares</w:t>
            </w:r>
          </w:p>
        </w:tc>
        <w:tc>
          <w:tcPr>
            <w:tcW w:w="2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02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240" w:type="dxa"/>
            <w:vAlign w:val="bottom"/>
            <w:gridSpan w:val="2"/>
          </w:tcPr>
          <w:p>
            <w:pPr>
              <w:jc w:val="center"/>
              <w:ind w:right="120"/>
              <w:spacing w:after="0"/>
              <w:rPr>
                <w:sz w:val="20"/>
                <w:szCs w:val="20"/>
                <w:color w:val="auto"/>
              </w:rPr>
            </w:pPr>
            <w:r>
              <w:rPr>
                <w:rFonts w:ascii="Arial" w:cs="Arial" w:eastAsia="Arial" w:hAnsi="Arial"/>
                <w:sz w:val="14"/>
                <w:szCs w:val="14"/>
                <w:b w:val="1"/>
                <w:bCs w:val="1"/>
                <w:color w:val="auto"/>
                <w:w w:val="92"/>
              </w:rPr>
              <w:t>Maximum Dollar</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540" w:type="dxa"/>
            <w:vAlign w:val="bottom"/>
          </w:tcPr>
          <w:p>
            <w:pPr>
              <w:spacing w:after="0"/>
              <w:rPr>
                <w:sz w:val="12"/>
                <w:szCs w:val="12"/>
                <w:color w:val="auto"/>
              </w:rPr>
            </w:pPr>
          </w:p>
        </w:tc>
        <w:tc>
          <w:tcPr>
            <w:tcW w:w="440" w:type="dxa"/>
            <w:vAlign w:val="bottom"/>
          </w:tcPr>
          <w:p>
            <w:pPr>
              <w:spacing w:after="0"/>
              <w:rPr>
                <w:sz w:val="12"/>
                <w:szCs w:val="12"/>
                <w:color w:val="auto"/>
              </w:rPr>
            </w:pPr>
          </w:p>
        </w:tc>
        <w:tc>
          <w:tcPr>
            <w:tcW w:w="104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4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460" w:type="dxa"/>
            <w:vAlign w:val="bottom"/>
          </w:tcPr>
          <w:p>
            <w:pPr>
              <w:spacing w:after="0"/>
              <w:rPr>
                <w:sz w:val="12"/>
                <w:szCs w:val="12"/>
                <w:color w:val="auto"/>
              </w:rPr>
            </w:pPr>
          </w:p>
        </w:tc>
        <w:tc>
          <w:tcPr>
            <w:tcW w:w="1600" w:type="dxa"/>
            <w:vAlign w:val="bottom"/>
            <w:gridSpan w:val="2"/>
          </w:tcPr>
          <w:p>
            <w:pPr>
              <w:jc w:val="center"/>
              <w:ind w:right="240"/>
              <w:spacing w:after="0" w:line="149" w:lineRule="exact"/>
              <w:rPr>
                <w:sz w:val="20"/>
                <w:szCs w:val="20"/>
                <w:color w:val="auto"/>
              </w:rPr>
            </w:pPr>
            <w:r>
              <w:rPr>
                <w:rFonts w:ascii="Arial" w:cs="Arial" w:eastAsia="Arial" w:hAnsi="Arial"/>
                <w:sz w:val="14"/>
                <w:szCs w:val="14"/>
                <w:b w:val="1"/>
                <w:bCs w:val="1"/>
                <w:color w:val="auto"/>
                <w:w w:val="83"/>
              </w:rPr>
              <w:t>Purchased as</w:t>
            </w:r>
          </w:p>
        </w:tc>
        <w:tc>
          <w:tcPr>
            <w:tcW w:w="2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02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87"/>
              </w:rPr>
              <w:t>Total Dollars</w:t>
            </w:r>
          </w:p>
        </w:tc>
        <w:tc>
          <w:tcPr>
            <w:tcW w:w="440" w:type="dxa"/>
            <w:vAlign w:val="bottom"/>
          </w:tcPr>
          <w:p>
            <w:pPr>
              <w:spacing w:after="0"/>
              <w:rPr>
                <w:sz w:val="12"/>
                <w:szCs w:val="12"/>
                <w:color w:val="auto"/>
              </w:rPr>
            </w:pPr>
          </w:p>
        </w:tc>
        <w:tc>
          <w:tcPr>
            <w:tcW w:w="1340" w:type="dxa"/>
            <w:vAlign w:val="bottom"/>
            <w:gridSpan w:val="3"/>
          </w:tcPr>
          <w:p>
            <w:pPr>
              <w:jc w:val="center"/>
              <w:ind w:right="20"/>
              <w:spacing w:after="0" w:line="149" w:lineRule="exact"/>
              <w:rPr>
                <w:sz w:val="20"/>
                <w:szCs w:val="20"/>
                <w:color w:val="auto"/>
              </w:rPr>
            </w:pPr>
            <w:r>
              <w:rPr>
                <w:rFonts w:ascii="Arial" w:cs="Arial" w:eastAsia="Arial" w:hAnsi="Arial"/>
                <w:sz w:val="14"/>
                <w:szCs w:val="14"/>
                <w:b w:val="1"/>
                <w:bCs w:val="1"/>
                <w:color w:val="auto"/>
                <w:w w:val="86"/>
              </w:rPr>
              <w:t>Value of Shares that</w:t>
            </w:r>
          </w:p>
        </w:tc>
        <w:tc>
          <w:tcPr>
            <w:tcW w:w="0" w:type="dxa"/>
            <w:vAlign w:val="bottom"/>
          </w:tcPr>
          <w:p>
            <w:pPr>
              <w:spacing w:after="0"/>
              <w:rPr>
                <w:sz w:val="1"/>
                <w:szCs w:val="1"/>
                <w:color w:val="auto"/>
              </w:rPr>
            </w:pPr>
          </w:p>
        </w:tc>
      </w:tr>
      <w:tr>
        <w:trPr>
          <w:trHeight w:val="149"/>
        </w:trPr>
        <w:tc>
          <w:tcPr>
            <w:tcW w:w="3560" w:type="dxa"/>
            <w:vAlign w:val="bottom"/>
            <w:gridSpan w:val="2"/>
            <w:vMerge w:val="restart"/>
          </w:tcPr>
          <w:p>
            <w:pPr>
              <w:spacing w:after="0"/>
              <w:rPr>
                <w:sz w:val="20"/>
                <w:szCs w:val="20"/>
                <w:color w:val="auto"/>
              </w:rPr>
            </w:pPr>
            <w:r>
              <w:rPr>
                <w:rFonts w:ascii="Arial" w:cs="Arial" w:eastAsia="Arial" w:hAnsi="Arial"/>
                <w:sz w:val="14"/>
                <w:szCs w:val="14"/>
                <w:b w:val="1"/>
                <w:bCs w:val="1"/>
                <w:color w:val="auto"/>
              </w:rPr>
              <w:t>Period</w:t>
            </w:r>
          </w:p>
        </w:tc>
        <w:tc>
          <w:tcPr>
            <w:tcW w:w="440" w:type="dxa"/>
            <w:vAlign w:val="bottom"/>
          </w:tcPr>
          <w:p>
            <w:pPr>
              <w:spacing w:after="0"/>
              <w:rPr>
                <w:sz w:val="12"/>
                <w:szCs w:val="12"/>
                <w:color w:val="auto"/>
              </w:rPr>
            </w:pPr>
          </w:p>
        </w:tc>
        <w:tc>
          <w:tcPr>
            <w:tcW w:w="1060" w:type="dxa"/>
            <w:vAlign w:val="bottom"/>
            <w:gridSpan w:val="2"/>
          </w:tcPr>
          <w:p>
            <w:pPr>
              <w:jc w:val="center"/>
              <w:ind w:right="40"/>
              <w:spacing w:after="0" w:line="149" w:lineRule="exact"/>
              <w:rPr>
                <w:sz w:val="20"/>
                <w:szCs w:val="20"/>
                <w:color w:val="auto"/>
              </w:rPr>
            </w:pPr>
            <w:r>
              <w:rPr>
                <w:rFonts w:ascii="Arial" w:cs="Arial" w:eastAsia="Arial" w:hAnsi="Arial"/>
                <w:sz w:val="14"/>
                <w:szCs w:val="14"/>
                <w:b w:val="1"/>
                <w:bCs w:val="1"/>
                <w:color w:val="auto"/>
                <w:w w:val="87"/>
              </w:rPr>
              <w:t>Total Number of</w:t>
            </w:r>
          </w:p>
        </w:tc>
        <w:tc>
          <w:tcPr>
            <w:tcW w:w="420" w:type="dxa"/>
            <w:vAlign w:val="bottom"/>
          </w:tcPr>
          <w:p>
            <w:pPr>
              <w:spacing w:after="0"/>
              <w:rPr>
                <w:sz w:val="12"/>
                <w:szCs w:val="12"/>
                <w:color w:val="auto"/>
              </w:rPr>
            </w:pPr>
          </w:p>
        </w:tc>
        <w:tc>
          <w:tcPr>
            <w:tcW w:w="1260" w:type="dxa"/>
            <w:vAlign w:val="bottom"/>
            <w:gridSpan w:val="3"/>
          </w:tcPr>
          <w:p>
            <w:pPr>
              <w:spacing w:after="0" w:line="149" w:lineRule="exact"/>
              <w:rPr>
                <w:sz w:val="20"/>
                <w:szCs w:val="20"/>
                <w:color w:val="auto"/>
              </w:rPr>
            </w:pPr>
            <w:r>
              <w:rPr>
                <w:rFonts w:ascii="Arial" w:cs="Arial" w:eastAsia="Arial" w:hAnsi="Arial"/>
                <w:sz w:val="14"/>
                <w:szCs w:val="14"/>
                <w:b w:val="1"/>
                <w:bCs w:val="1"/>
                <w:color w:val="auto"/>
              </w:rPr>
              <w:t>Average Price</w:t>
            </w:r>
          </w:p>
        </w:tc>
        <w:tc>
          <w:tcPr>
            <w:tcW w:w="1600" w:type="dxa"/>
            <w:vAlign w:val="bottom"/>
            <w:gridSpan w:val="2"/>
          </w:tcPr>
          <w:p>
            <w:pPr>
              <w:jc w:val="center"/>
              <w:ind w:right="240"/>
              <w:spacing w:after="0" w:line="149" w:lineRule="exact"/>
              <w:rPr>
                <w:sz w:val="20"/>
                <w:szCs w:val="20"/>
                <w:color w:val="auto"/>
              </w:rPr>
            </w:pPr>
            <w:r>
              <w:rPr>
                <w:rFonts w:ascii="Arial" w:cs="Arial" w:eastAsia="Arial" w:hAnsi="Arial"/>
                <w:sz w:val="14"/>
                <w:szCs w:val="14"/>
                <w:b w:val="1"/>
                <w:bCs w:val="1"/>
                <w:color w:val="auto"/>
                <w:w w:val="90"/>
              </w:rPr>
              <w:t>Part of Publicly</w:t>
            </w:r>
          </w:p>
        </w:tc>
        <w:tc>
          <w:tcPr>
            <w:tcW w:w="220" w:type="dxa"/>
            <w:vAlign w:val="bottom"/>
          </w:tcPr>
          <w:p>
            <w:pPr>
              <w:spacing w:after="0"/>
              <w:rPr>
                <w:sz w:val="12"/>
                <w:szCs w:val="12"/>
                <w:color w:val="auto"/>
              </w:rPr>
            </w:pPr>
          </w:p>
        </w:tc>
        <w:tc>
          <w:tcPr>
            <w:tcW w:w="1100" w:type="dxa"/>
            <w:vAlign w:val="bottom"/>
            <w:gridSpan w:val="2"/>
          </w:tcPr>
          <w:p>
            <w:pPr>
              <w:jc w:val="center"/>
              <w:spacing w:after="0" w:line="149" w:lineRule="exact"/>
              <w:rPr>
                <w:sz w:val="20"/>
                <w:szCs w:val="20"/>
                <w:color w:val="auto"/>
              </w:rPr>
            </w:pPr>
            <w:r>
              <w:rPr>
                <w:rFonts w:ascii="Arial" w:cs="Arial" w:eastAsia="Arial" w:hAnsi="Arial"/>
                <w:sz w:val="14"/>
                <w:szCs w:val="14"/>
                <w:b w:val="1"/>
                <w:bCs w:val="1"/>
                <w:color w:val="auto"/>
                <w:w w:val="87"/>
              </w:rPr>
              <w:t>Purchased Under</w:t>
            </w:r>
          </w:p>
        </w:tc>
        <w:tc>
          <w:tcPr>
            <w:tcW w:w="440" w:type="dxa"/>
            <w:vAlign w:val="bottom"/>
          </w:tcPr>
          <w:p>
            <w:pPr>
              <w:spacing w:after="0"/>
              <w:rPr>
                <w:sz w:val="12"/>
                <w:szCs w:val="12"/>
                <w:color w:val="auto"/>
              </w:rPr>
            </w:pPr>
          </w:p>
        </w:tc>
        <w:tc>
          <w:tcPr>
            <w:tcW w:w="1340" w:type="dxa"/>
            <w:vAlign w:val="bottom"/>
            <w:gridSpan w:val="3"/>
          </w:tcPr>
          <w:p>
            <w:pPr>
              <w:ind w:left="20"/>
              <w:spacing w:after="0" w:line="149" w:lineRule="exact"/>
              <w:rPr>
                <w:sz w:val="20"/>
                <w:szCs w:val="20"/>
                <w:color w:val="auto"/>
              </w:rPr>
            </w:pPr>
            <w:r>
              <w:rPr>
                <w:rFonts w:ascii="Arial" w:cs="Arial" w:eastAsia="Arial" w:hAnsi="Arial"/>
                <w:sz w:val="14"/>
                <w:szCs w:val="14"/>
                <w:b w:val="1"/>
                <w:bCs w:val="1"/>
                <w:color w:val="auto"/>
                <w:w w:val="86"/>
              </w:rPr>
              <w:t>May Yet Be Purchased</w:t>
            </w:r>
          </w:p>
        </w:tc>
        <w:tc>
          <w:tcPr>
            <w:tcW w:w="0" w:type="dxa"/>
            <w:vAlign w:val="bottom"/>
          </w:tcPr>
          <w:p>
            <w:pPr>
              <w:spacing w:after="0"/>
              <w:rPr>
                <w:sz w:val="1"/>
                <w:szCs w:val="1"/>
                <w:color w:val="auto"/>
              </w:rPr>
            </w:pPr>
          </w:p>
        </w:tc>
      </w:tr>
      <w:tr>
        <w:trPr>
          <w:trHeight w:val="148"/>
        </w:trPr>
        <w:tc>
          <w:tcPr>
            <w:tcW w:w="3560" w:type="dxa"/>
            <w:vAlign w:val="bottom"/>
            <w:gridSpan w:val="2"/>
            <w:vMerge w:val="continue"/>
          </w:tcPr>
          <w:p>
            <w:pPr>
              <w:spacing w:after="0"/>
              <w:rPr>
                <w:sz w:val="12"/>
                <w:szCs w:val="12"/>
                <w:color w:val="auto"/>
              </w:rPr>
            </w:pPr>
          </w:p>
        </w:tc>
        <w:tc>
          <w:tcPr>
            <w:tcW w:w="440" w:type="dxa"/>
            <w:vAlign w:val="bottom"/>
          </w:tcPr>
          <w:p>
            <w:pPr>
              <w:spacing w:after="0"/>
              <w:rPr>
                <w:sz w:val="12"/>
                <w:szCs w:val="12"/>
                <w:color w:val="auto"/>
              </w:rPr>
            </w:pPr>
          </w:p>
        </w:tc>
        <w:tc>
          <w:tcPr>
            <w:tcW w:w="1060" w:type="dxa"/>
            <w:vAlign w:val="bottom"/>
            <w:gridSpan w:val="2"/>
          </w:tcPr>
          <w:p>
            <w:pPr>
              <w:jc w:val="center"/>
              <w:ind w:right="40"/>
              <w:spacing w:after="0" w:line="148" w:lineRule="exact"/>
              <w:rPr>
                <w:sz w:val="20"/>
                <w:szCs w:val="20"/>
                <w:color w:val="auto"/>
              </w:rPr>
            </w:pPr>
            <w:r>
              <w:rPr>
                <w:rFonts w:ascii="Arial" w:cs="Arial" w:eastAsia="Arial" w:hAnsi="Arial"/>
                <w:sz w:val="14"/>
                <w:szCs w:val="14"/>
                <w:b w:val="1"/>
                <w:bCs w:val="1"/>
                <w:color w:val="auto"/>
                <w:w w:val="83"/>
              </w:rPr>
              <w:t>Shares Purchased</w:t>
            </w:r>
          </w:p>
        </w:tc>
        <w:tc>
          <w:tcPr>
            <w:tcW w:w="4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160" w:type="dxa"/>
            <w:vAlign w:val="bottom"/>
            <w:gridSpan w:val="2"/>
          </w:tcPr>
          <w:p>
            <w:pPr>
              <w:ind w:left="20"/>
              <w:spacing w:after="0" w:line="148" w:lineRule="exact"/>
              <w:rPr>
                <w:sz w:val="20"/>
                <w:szCs w:val="20"/>
                <w:color w:val="auto"/>
              </w:rPr>
            </w:pPr>
            <w:r>
              <w:rPr>
                <w:rFonts w:ascii="Arial" w:cs="Arial" w:eastAsia="Arial" w:hAnsi="Arial"/>
                <w:sz w:val="14"/>
                <w:szCs w:val="14"/>
                <w:b w:val="1"/>
                <w:bCs w:val="1"/>
                <w:color w:val="auto"/>
              </w:rPr>
              <w:t>per Share</w:t>
            </w:r>
          </w:p>
        </w:tc>
        <w:tc>
          <w:tcPr>
            <w:tcW w:w="1600" w:type="dxa"/>
            <w:vAlign w:val="bottom"/>
            <w:gridSpan w:val="2"/>
          </w:tcPr>
          <w:p>
            <w:pPr>
              <w:jc w:val="center"/>
              <w:ind w:right="240"/>
              <w:spacing w:after="0" w:line="148" w:lineRule="exact"/>
              <w:rPr>
                <w:sz w:val="20"/>
                <w:szCs w:val="20"/>
                <w:color w:val="auto"/>
              </w:rPr>
            </w:pPr>
            <w:r>
              <w:rPr>
                <w:rFonts w:ascii="Arial" w:cs="Arial" w:eastAsia="Arial" w:hAnsi="Arial"/>
                <w:sz w:val="14"/>
                <w:szCs w:val="14"/>
                <w:b w:val="1"/>
                <w:bCs w:val="1"/>
                <w:color w:val="auto"/>
                <w:w w:val="86"/>
              </w:rPr>
              <w:t>Announced Program</w:t>
            </w:r>
          </w:p>
        </w:tc>
        <w:tc>
          <w:tcPr>
            <w:tcW w:w="2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020" w:type="dxa"/>
            <w:vAlign w:val="bottom"/>
          </w:tcPr>
          <w:p>
            <w:pPr>
              <w:jc w:val="center"/>
              <w:spacing w:after="0" w:line="148" w:lineRule="exact"/>
              <w:rPr>
                <w:sz w:val="20"/>
                <w:szCs w:val="20"/>
                <w:color w:val="auto"/>
              </w:rPr>
            </w:pPr>
            <w:r>
              <w:rPr>
                <w:rFonts w:ascii="Arial" w:cs="Arial" w:eastAsia="Arial" w:hAnsi="Arial"/>
                <w:sz w:val="14"/>
                <w:szCs w:val="14"/>
                <w:b w:val="1"/>
                <w:bCs w:val="1"/>
                <w:color w:val="auto"/>
                <w:w w:val="89"/>
              </w:rPr>
              <w:t>the Program</w:t>
            </w:r>
          </w:p>
        </w:tc>
        <w:tc>
          <w:tcPr>
            <w:tcW w:w="4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240" w:type="dxa"/>
            <w:vAlign w:val="bottom"/>
            <w:gridSpan w:val="2"/>
          </w:tcPr>
          <w:p>
            <w:pPr>
              <w:jc w:val="center"/>
              <w:ind w:right="120"/>
              <w:spacing w:after="0" w:line="148" w:lineRule="exact"/>
              <w:rPr>
                <w:sz w:val="20"/>
                <w:szCs w:val="20"/>
                <w:color w:val="auto"/>
              </w:rPr>
            </w:pPr>
            <w:r>
              <w:rPr>
                <w:rFonts w:ascii="Arial" w:cs="Arial" w:eastAsia="Arial" w:hAnsi="Arial"/>
                <w:sz w:val="14"/>
                <w:szCs w:val="14"/>
                <w:b w:val="1"/>
                <w:bCs w:val="1"/>
                <w:color w:val="auto"/>
                <w:w w:val="88"/>
              </w:rPr>
              <w:t>Under the Program</w:t>
            </w: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3540" w:type="dxa"/>
            <w:vAlign w:val="bottom"/>
            <w:shd w:val="clear" w:color="auto" w:fill="000000"/>
          </w:tcPr>
          <w:p>
            <w:pPr>
              <w:spacing w:after="0"/>
              <w:rPr>
                <w:sz w:val="2"/>
                <w:szCs w:val="2"/>
                <w:color w:val="auto"/>
              </w:rPr>
            </w:pPr>
          </w:p>
        </w:tc>
        <w:tc>
          <w:tcPr>
            <w:tcW w:w="440" w:type="dxa"/>
            <w:vAlign w:val="bottom"/>
          </w:tcPr>
          <w:p>
            <w:pPr>
              <w:spacing w:after="0"/>
              <w:rPr>
                <w:sz w:val="2"/>
                <w:szCs w:val="2"/>
                <w:color w:val="auto"/>
              </w:rPr>
            </w:pPr>
          </w:p>
        </w:tc>
        <w:tc>
          <w:tcPr>
            <w:tcW w:w="1040" w:type="dxa"/>
            <w:vAlign w:val="bottom"/>
            <w:shd w:val="clear" w:color="auto" w:fill="000000"/>
          </w:tcPr>
          <w:p>
            <w:pPr>
              <w:spacing w:after="0"/>
              <w:rPr>
                <w:sz w:val="2"/>
                <w:szCs w:val="2"/>
                <w:color w:val="auto"/>
              </w:rPr>
            </w:pPr>
          </w:p>
        </w:tc>
        <w:tc>
          <w:tcPr>
            <w:tcW w:w="20" w:type="dxa"/>
            <w:vAlign w:val="bottom"/>
          </w:tcPr>
          <w:p>
            <w:pPr>
              <w:spacing w:after="0"/>
              <w:rPr>
                <w:sz w:val="2"/>
                <w:szCs w:val="2"/>
                <w:color w:val="auto"/>
              </w:rPr>
            </w:pPr>
          </w:p>
        </w:tc>
        <w:tc>
          <w:tcPr>
            <w:tcW w:w="42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700" w:type="dxa"/>
            <w:vAlign w:val="bottom"/>
            <w:shd w:val="clear" w:color="auto" w:fill="000000"/>
          </w:tcPr>
          <w:p>
            <w:pPr>
              <w:spacing w:after="0"/>
              <w:rPr>
                <w:sz w:val="2"/>
                <w:szCs w:val="2"/>
                <w:color w:val="auto"/>
              </w:rPr>
            </w:pPr>
          </w:p>
        </w:tc>
        <w:tc>
          <w:tcPr>
            <w:tcW w:w="460" w:type="dxa"/>
            <w:vAlign w:val="bottom"/>
          </w:tcPr>
          <w:p>
            <w:pPr>
              <w:spacing w:after="0"/>
              <w:rPr>
                <w:sz w:val="2"/>
                <w:szCs w:val="2"/>
                <w:color w:val="auto"/>
              </w:rPr>
            </w:pPr>
          </w:p>
        </w:tc>
        <w:tc>
          <w:tcPr>
            <w:tcW w:w="1380" w:type="dxa"/>
            <w:vAlign w:val="bottom"/>
            <w:shd w:val="clear" w:color="auto" w:fill="000000"/>
          </w:tcPr>
          <w:p>
            <w:pPr>
              <w:spacing w:after="0"/>
              <w:rPr>
                <w:sz w:val="2"/>
                <w:szCs w:val="2"/>
                <w:color w:val="auto"/>
              </w:rPr>
            </w:pPr>
          </w:p>
        </w:tc>
        <w:tc>
          <w:tcPr>
            <w:tcW w:w="220" w:type="dxa"/>
            <w:vAlign w:val="bottom"/>
          </w:tcPr>
          <w:p>
            <w:pPr>
              <w:spacing w:after="0"/>
              <w:rPr>
                <w:sz w:val="2"/>
                <w:szCs w:val="2"/>
                <w:color w:val="auto"/>
              </w:rPr>
            </w:pPr>
          </w:p>
        </w:tc>
        <w:tc>
          <w:tcPr>
            <w:tcW w:w="22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1020" w:type="dxa"/>
            <w:vAlign w:val="bottom"/>
            <w:shd w:val="clear" w:color="auto" w:fill="000000"/>
          </w:tcPr>
          <w:p>
            <w:pPr>
              <w:spacing w:after="0"/>
              <w:rPr>
                <w:sz w:val="2"/>
                <w:szCs w:val="2"/>
                <w:color w:val="auto"/>
              </w:rPr>
            </w:pPr>
          </w:p>
        </w:tc>
        <w:tc>
          <w:tcPr>
            <w:tcW w:w="44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1220" w:type="dxa"/>
            <w:vAlign w:val="bottom"/>
            <w:shd w:val="clear" w:color="auto" w:fill="000000"/>
          </w:tcPr>
          <w:p>
            <w:pPr>
              <w:spacing w:after="0"/>
              <w:rPr>
                <w:sz w:val="2"/>
                <w:szCs w:val="2"/>
                <w:color w:val="auto"/>
              </w:rPr>
            </w:pPr>
          </w:p>
        </w:tc>
        <w:tc>
          <w:tcPr>
            <w:tcW w:w="20" w:type="dxa"/>
            <w:vAlign w:val="bottom"/>
            <w:vMerge w:val="restart"/>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vMerge w:val="continue"/>
          </w:tcPr>
          <w:p>
            <w:pPr>
              <w:spacing w:after="0"/>
              <w:rPr>
                <w:sz w:val="18"/>
                <w:szCs w:val="18"/>
                <w:color w:val="auto"/>
              </w:rPr>
            </w:pPr>
          </w:p>
        </w:tc>
        <w:tc>
          <w:tcPr>
            <w:tcW w:w="3540" w:type="dxa"/>
            <w:vAlign w:val="bottom"/>
            <w:shd w:val="clear" w:color="auto" w:fill="CCEEFF"/>
          </w:tcPr>
          <w:p>
            <w:pPr>
              <w:spacing w:after="0"/>
              <w:rPr>
                <w:sz w:val="20"/>
                <w:szCs w:val="20"/>
                <w:color w:val="auto"/>
              </w:rPr>
            </w:pPr>
            <w:r>
              <w:rPr>
                <w:rFonts w:ascii="Arial" w:cs="Arial" w:eastAsia="Arial" w:hAnsi="Arial"/>
                <w:sz w:val="18"/>
                <w:szCs w:val="18"/>
                <w:color w:val="auto"/>
              </w:rPr>
              <w:t>First Quarter 2006</w:t>
            </w:r>
          </w:p>
        </w:tc>
        <w:tc>
          <w:tcPr>
            <w:tcW w:w="440" w:type="dxa"/>
            <w:vAlign w:val="bottom"/>
            <w:shd w:val="clear" w:color="auto" w:fill="CCEEFF"/>
          </w:tcPr>
          <w:p>
            <w:pPr>
              <w:spacing w:after="0"/>
              <w:rPr>
                <w:sz w:val="18"/>
                <w:szCs w:val="18"/>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41,159,078</w:t>
            </w:r>
          </w:p>
        </w:tc>
        <w:tc>
          <w:tcPr>
            <w:tcW w:w="20" w:type="dxa"/>
            <w:vAlign w:val="bottom"/>
            <w:shd w:val="clear" w:color="auto" w:fill="CCEEFF"/>
          </w:tcPr>
          <w:p>
            <w:pPr>
              <w:spacing w:after="0"/>
              <w:rPr>
                <w:sz w:val="18"/>
                <w:szCs w:val="18"/>
                <w:color w:val="auto"/>
              </w:rPr>
            </w:pPr>
          </w:p>
        </w:tc>
        <w:tc>
          <w:tcPr>
            <w:tcW w:w="520" w:type="dxa"/>
            <w:vAlign w:val="bottom"/>
            <w:gridSpan w:val="2"/>
            <w:shd w:val="clear" w:color="auto" w:fill="CCEEFF"/>
          </w:tcPr>
          <w:p>
            <w:pPr>
              <w:ind w:left="420"/>
              <w:spacing w:after="0"/>
              <w:rPr>
                <w:sz w:val="20"/>
                <w:szCs w:val="20"/>
                <w:color w:val="auto"/>
              </w:rPr>
            </w:pPr>
            <w:r>
              <w:rPr>
                <w:rFonts w:ascii="Arial" w:cs="Arial" w:eastAsia="Arial" w:hAnsi="Arial"/>
                <w:sz w:val="18"/>
                <w:szCs w:val="18"/>
                <w:color w:val="auto"/>
                <w:w w:val="79"/>
              </w:rPr>
              <w:t>$</w:t>
            </w:r>
          </w:p>
        </w:tc>
        <w:tc>
          <w:tcPr>
            <w:tcW w:w="1160" w:type="dxa"/>
            <w:vAlign w:val="bottom"/>
            <w:gridSpan w:val="2"/>
            <w:shd w:val="clear" w:color="auto" w:fill="CCEEFF"/>
          </w:tcPr>
          <w:p>
            <w:pPr>
              <w:ind w:left="320"/>
              <w:spacing w:after="0"/>
              <w:rPr>
                <w:sz w:val="20"/>
                <w:szCs w:val="20"/>
                <w:color w:val="auto"/>
              </w:rPr>
            </w:pPr>
            <w:r>
              <w:rPr>
                <w:rFonts w:ascii="Arial" w:cs="Arial" w:eastAsia="Arial" w:hAnsi="Arial"/>
                <w:sz w:val="18"/>
                <w:szCs w:val="18"/>
                <w:color w:val="auto"/>
              </w:rPr>
              <w:t>17.79</w:t>
            </w:r>
          </w:p>
        </w:tc>
        <w:tc>
          <w:tcPr>
            <w:tcW w:w="160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40,635,671</w:t>
            </w:r>
          </w:p>
        </w:tc>
        <w:tc>
          <w:tcPr>
            <w:tcW w:w="3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722,951,623</w:t>
            </w:r>
          </w:p>
        </w:tc>
        <w:tc>
          <w:tcPr>
            <w:tcW w:w="540" w:type="dxa"/>
            <w:vAlign w:val="bottom"/>
            <w:gridSpan w:val="2"/>
            <w:shd w:val="clear" w:color="auto" w:fill="CCEEFF"/>
          </w:tcPr>
          <w:p>
            <w:pPr>
              <w:ind w:left="460"/>
              <w:spacing w:after="0"/>
              <w:rPr>
                <w:sz w:val="20"/>
                <w:szCs w:val="20"/>
                <w:color w:val="auto"/>
              </w:rPr>
            </w:pPr>
            <w:r>
              <w:rPr>
                <w:rFonts w:ascii="Arial" w:cs="Arial" w:eastAsia="Arial" w:hAnsi="Arial"/>
                <w:sz w:val="15"/>
                <w:szCs w:val="15"/>
                <w:color w:val="auto"/>
                <w:w w:val="71"/>
              </w:rPr>
              <w:t>$</w:t>
            </w:r>
          </w:p>
        </w:tc>
        <w:tc>
          <w:tcPr>
            <w:tcW w:w="12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4,633,102,630</w:t>
            </w:r>
          </w:p>
        </w:tc>
        <w:tc>
          <w:tcPr>
            <w:tcW w:w="2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540" w:type="dxa"/>
            <w:vAlign w:val="bottom"/>
          </w:tcPr>
          <w:p>
            <w:pPr>
              <w:spacing w:after="0"/>
              <w:rPr>
                <w:sz w:val="20"/>
                <w:szCs w:val="20"/>
                <w:color w:val="auto"/>
              </w:rPr>
            </w:pPr>
            <w:r>
              <w:rPr>
                <w:rFonts w:ascii="Arial" w:cs="Arial" w:eastAsia="Arial" w:hAnsi="Arial"/>
                <w:sz w:val="18"/>
                <w:szCs w:val="18"/>
                <w:color w:val="auto"/>
              </w:rPr>
              <w:t>Second Quarter 2006</w:t>
            </w:r>
          </w:p>
        </w:tc>
        <w:tc>
          <w:tcPr>
            <w:tcW w:w="1500" w:type="dxa"/>
            <w:vAlign w:val="bottom"/>
            <w:gridSpan w:val="3"/>
          </w:tcPr>
          <w:p>
            <w:pPr>
              <w:jc w:val="right"/>
              <w:ind w:right="20"/>
              <w:spacing w:after="0"/>
              <w:rPr>
                <w:sz w:val="20"/>
                <w:szCs w:val="20"/>
                <w:color w:val="auto"/>
              </w:rPr>
            </w:pPr>
            <w:r>
              <w:rPr>
                <w:rFonts w:ascii="Arial" w:cs="Arial" w:eastAsia="Arial" w:hAnsi="Arial"/>
                <w:sz w:val="18"/>
                <w:szCs w:val="18"/>
                <w:color w:val="auto"/>
              </w:rPr>
              <w:t>33,766,388</w:t>
            </w:r>
          </w:p>
        </w:tc>
        <w:tc>
          <w:tcPr>
            <w:tcW w:w="520" w:type="dxa"/>
            <w:vAlign w:val="bottom"/>
            <w:gridSpan w:val="2"/>
          </w:tcPr>
          <w:p>
            <w:pPr>
              <w:ind w:left="420"/>
              <w:spacing w:after="0"/>
              <w:rPr>
                <w:sz w:val="20"/>
                <w:szCs w:val="20"/>
                <w:color w:val="auto"/>
              </w:rPr>
            </w:pPr>
            <w:r>
              <w:rPr>
                <w:rFonts w:ascii="Arial" w:cs="Arial" w:eastAsia="Arial" w:hAnsi="Arial"/>
                <w:sz w:val="18"/>
                <w:szCs w:val="18"/>
                <w:color w:val="auto"/>
                <w:w w:val="79"/>
              </w:rPr>
              <w:t>$</w:t>
            </w:r>
          </w:p>
        </w:tc>
        <w:tc>
          <w:tcPr>
            <w:tcW w:w="1160" w:type="dxa"/>
            <w:vAlign w:val="bottom"/>
            <w:gridSpan w:val="2"/>
          </w:tcPr>
          <w:p>
            <w:pPr>
              <w:ind w:left="320"/>
              <w:spacing w:after="0"/>
              <w:rPr>
                <w:sz w:val="20"/>
                <w:szCs w:val="20"/>
                <w:color w:val="auto"/>
              </w:rPr>
            </w:pPr>
            <w:r>
              <w:rPr>
                <w:rFonts w:ascii="Arial" w:cs="Arial" w:eastAsia="Arial" w:hAnsi="Arial"/>
                <w:sz w:val="18"/>
                <w:szCs w:val="18"/>
                <w:color w:val="auto"/>
              </w:rPr>
              <w:t>20.32</w:t>
            </w:r>
          </w:p>
        </w:tc>
        <w:tc>
          <w:tcPr>
            <w:tcW w:w="1600" w:type="dxa"/>
            <w:vAlign w:val="bottom"/>
            <w:gridSpan w:val="2"/>
          </w:tcPr>
          <w:p>
            <w:pPr>
              <w:jc w:val="right"/>
              <w:ind w:right="220"/>
              <w:spacing w:after="0"/>
              <w:rPr>
                <w:sz w:val="20"/>
                <w:szCs w:val="20"/>
                <w:color w:val="auto"/>
              </w:rPr>
            </w:pPr>
            <w:r>
              <w:rPr>
                <w:rFonts w:ascii="Arial" w:cs="Arial" w:eastAsia="Arial" w:hAnsi="Arial"/>
                <w:sz w:val="18"/>
                <w:szCs w:val="18"/>
                <w:color w:val="auto"/>
              </w:rPr>
              <w:t>33,703,154</w:t>
            </w:r>
          </w:p>
        </w:tc>
        <w:tc>
          <w:tcPr>
            <w:tcW w:w="30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020" w:type="dxa"/>
            <w:vAlign w:val="bottom"/>
          </w:tcPr>
          <w:p>
            <w:pPr>
              <w:jc w:val="right"/>
              <w:spacing w:after="0"/>
              <w:rPr>
                <w:sz w:val="20"/>
                <w:szCs w:val="20"/>
                <w:color w:val="auto"/>
              </w:rPr>
            </w:pPr>
            <w:r>
              <w:rPr>
                <w:rFonts w:ascii="Arial" w:cs="Arial" w:eastAsia="Arial" w:hAnsi="Arial"/>
                <w:sz w:val="18"/>
                <w:szCs w:val="18"/>
                <w:color w:val="auto"/>
                <w:w w:val="99"/>
              </w:rPr>
              <w:t>684,881,802</w:t>
            </w:r>
          </w:p>
        </w:tc>
        <w:tc>
          <w:tcPr>
            <w:tcW w:w="540" w:type="dxa"/>
            <w:vAlign w:val="bottom"/>
            <w:gridSpan w:val="2"/>
          </w:tcPr>
          <w:p>
            <w:pPr>
              <w:ind w:left="460"/>
              <w:spacing w:after="0"/>
              <w:rPr>
                <w:sz w:val="20"/>
                <w:szCs w:val="20"/>
                <w:color w:val="auto"/>
              </w:rPr>
            </w:pPr>
            <w:r>
              <w:rPr>
                <w:rFonts w:ascii="Arial" w:cs="Arial" w:eastAsia="Arial" w:hAnsi="Arial"/>
                <w:sz w:val="15"/>
                <w:szCs w:val="15"/>
                <w:color w:val="auto"/>
                <w:w w:val="71"/>
              </w:rPr>
              <w:t>$</w:t>
            </w:r>
          </w:p>
        </w:tc>
        <w:tc>
          <w:tcPr>
            <w:tcW w:w="1220" w:type="dxa"/>
            <w:vAlign w:val="bottom"/>
          </w:tcPr>
          <w:p>
            <w:pPr>
              <w:jc w:val="right"/>
              <w:spacing w:after="0"/>
              <w:rPr>
                <w:sz w:val="20"/>
                <w:szCs w:val="20"/>
                <w:color w:val="auto"/>
              </w:rPr>
            </w:pPr>
            <w:r>
              <w:rPr>
                <w:rFonts w:ascii="Arial" w:cs="Arial" w:eastAsia="Arial" w:hAnsi="Arial"/>
                <w:sz w:val="18"/>
                <w:szCs w:val="18"/>
                <w:color w:val="auto"/>
              </w:rPr>
              <w:t>3,948,220,828</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540" w:type="dxa"/>
            <w:vAlign w:val="bottom"/>
            <w:shd w:val="clear" w:color="auto" w:fill="CCEEFF"/>
          </w:tcPr>
          <w:p>
            <w:pPr>
              <w:spacing w:after="0"/>
              <w:rPr>
                <w:sz w:val="20"/>
                <w:szCs w:val="20"/>
                <w:color w:val="auto"/>
              </w:rPr>
            </w:pPr>
            <w:r>
              <w:rPr>
                <w:rFonts w:ascii="Arial" w:cs="Arial" w:eastAsia="Arial" w:hAnsi="Arial"/>
                <w:sz w:val="18"/>
                <w:szCs w:val="18"/>
                <w:color w:val="auto"/>
              </w:rPr>
              <w:t>Third Quarter 2006</w:t>
            </w:r>
          </w:p>
        </w:tc>
        <w:tc>
          <w:tcPr>
            <w:tcW w:w="1500" w:type="dxa"/>
            <w:vAlign w:val="bottom"/>
            <w:gridSpan w:val="3"/>
            <w:shd w:val="clear" w:color="auto" w:fill="CCEEFF"/>
          </w:tcPr>
          <w:p>
            <w:pPr>
              <w:jc w:val="right"/>
              <w:ind w:right="20"/>
              <w:spacing w:after="0"/>
              <w:rPr>
                <w:sz w:val="20"/>
                <w:szCs w:val="20"/>
                <w:color w:val="auto"/>
              </w:rPr>
            </w:pPr>
            <w:r>
              <w:rPr>
                <w:rFonts w:ascii="Arial" w:cs="Arial" w:eastAsia="Arial" w:hAnsi="Arial"/>
                <w:sz w:val="18"/>
                <w:szCs w:val="18"/>
                <w:color w:val="auto"/>
              </w:rPr>
              <w:t>21,982,785</w:t>
            </w:r>
          </w:p>
        </w:tc>
        <w:tc>
          <w:tcPr>
            <w:tcW w:w="520" w:type="dxa"/>
            <w:vAlign w:val="bottom"/>
            <w:gridSpan w:val="2"/>
            <w:shd w:val="clear" w:color="auto" w:fill="CCEEFF"/>
          </w:tcPr>
          <w:p>
            <w:pPr>
              <w:ind w:left="420"/>
              <w:spacing w:after="0"/>
              <w:rPr>
                <w:sz w:val="20"/>
                <w:szCs w:val="20"/>
                <w:color w:val="auto"/>
              </w:rPr>
            </w:pPr>
            <w:r>
              <w:rPr>
                <w:rFonts w:ascii="Arial" w:cs="Arial" w:eastAsia="Arial" w:hAnsi="Arial"/>
                <w:sz w:val="18"/>
                <w:szCs w:val="18"/>
                <w:color w:val="auto"/>
                <w:w w:val="79"/>
              </w:rPr>
              <w:t>$</w:t>
            </w:r>
          </w:p>
        </w:tc>
        <w:tc>
          <w:tcPr>
            <w:tcW w:w="1160" w:type="dxa"/>
            <w:vAlign w:val="bottom"/>
            <w:gridSpan w:val="2"/>
            <w:shd w:val="clear" w:color="auto" w:fill="CCEEFF"/>
          </w:tcPr>
          <w:p>
            <w:pPr>
              <w:ind w:left="320"/>
              <w:spacing w:after="0"/>
              <w:rPr>
                <w:sz w:val="20"/>
                <w:szCs w:val="20"/>
                <w:color w:val="auto"/>
              </w:rPr>
            </w:pPr>
            <w:r>
              <w:rPr>
                <w:rFonts w:ascii="Arial" w:cs="Arial" w:eastAsia="Arial" w:hAnsi="Arial"/>
                <w:sz w:val="18"/>
                <w:szCs w:val="18"/>
                <w:color w:val="auto"/>
              </w:rPr>
              <w:t>22.49</w:t>
            </w:r>
          </w:p>
        </w:tc>
        <w:tc>
          <w:tcPr>
            <w:tcW w:w="160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21,906,574</w:t>
            </w:r>
          </w:p>
        </w:tc>
        <w:tc>
          <w:tcPr>
            <w:tcW w:w="3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492,632,865</w:t>
            </w:r>
          </w:p>
        </w:tc>
        <w:tc>
          <w:tcPr>
            <w:tcW w:w="540" w:type="dxa"/>
            <w:vAlign w:val="bottom"/>
            <w:gridSpan w:val="2"/>
            <w:shd w:val="clear" w:color="auto" w:fill="CCEEFF"/>
          </w:tcPr>
          <w:p>
            <w:pPr>
              <w:ind w:left="460"/>
              <w:spacing w:after="0"/>
              <w:rPr>
                <w:sz w:val="20"/>
                <w:szCs w:val="20"/>
                <w:color w:val="auto"/>
              </w:rPr>
            </w:pPr>
            <w:r>
              <w:rPr>
                <w:rFonts w:ascii="Arial" w:cs="Arial" w:eastAsia="Arial" w:hAnsi="Arial"/>
                <w:sz w:val="15"/>
                <w:szCs w:val="15"/>
                <w:color w:val="auto"/>
                <w:w w:val="71"/>
              </w:rPr>
              <w:t>$</w:t>
            </w:r>
          </w:p>
        </w:tc>
        <w:tc>
          <w:tcPr>
            <w:tcW w:w="12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3,455,587,963</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540" w:type="dxa"/>
            <w:vAlign w:val="bottom"/>
          </w:tcPr>
          <w:p>
            <w:pPr>
              <w:spacing w:after="0"/>
              <w:rPr>
                <w:sz w:val="20"/>
                <w:szCs w:val="20"/>
                <w:color w:val="auto"/>
              </w:rPr>
            </w:pPr>
            <w:r>
              <w:rPr>
                <w:rFonts w:ascii="Arial" w:cs="Arial" w:eastAsia="Arial" w:hAnsi="Arial"/>
                <w:sz w:val="18"/>
                <w:szCs w:val="18"/>
                <w:color w:val="auto"/>
              </w:rPr>
              <w:t>October 1-31, 2006</w:t>
            </w:r>
          </w:p>
        </w:tc>
        <w:tc>
          <w:tcPr>
            <w:tcW w:w="1500" w:type="dxa"/>
            <w:vAlign w:val="bottom"/>
            <w:gridSpan w:val="3"/>
          </w:tcPr>
          <w:p>
            <w:pPr>
              <w:jc w:val="right"/>
              <w:ind w:right="20"/>
              <w:spacing w:after="0"/>
              <w:rPr>
                <w:sz w:val="20"/>
                <w:szCs w:val="20"/>
                <w:color w:val="auto"/>
              </w:rPr>
            </w:pPr>
            <w:r>
              <w:rPr>
                <w:rFonts w:ascii="Arial" w:cs="Arial" w:eastAsia="Arial" w:hAnsi="Arial"/>
                <w:sz w:val="18"/>
                <w:szCs w:val="18"/>
                <w:color w:val="auto"/>
              </w:rPr>
              <w:t>909,301</w:t>
            </w:r>
          </w:p>
        </w:tc>
        <w:tc>
          <w:tcPr>
            <w:tcW w:w="520" w:type="dxa"/>
            <w:vAlign w:val="bottom"/>
            <w:gridSpan w:val="2"/>
          </w:tcPr>
          <w:p>
            <w:pPr>
              <w:ind w:left="420"/>
              <w:spacing w:after="0"/>
              <w:rPr>
                <w:sz w:val="20"/>
                <w:szCs w:val="20"/>
                <w:color w:val="auto"/>
              </w:rPr>
            </w:pPr>
            <w:r>
              <w:rPr>
                <w:rFonts w:ascii="Arial" w:cs="Arial" w:eastAsia="Arial" w:hAnsi="Arial"/>
                <w:sz w:val="18"/>
                <w:szCs w:val="18"/>
                <w:color w:val="auto"/>
                <w:w w:val="79"/>
              </w:rPr>
              <w:t>$</w:t>
            </w:r>
          </w:p>
        </w:tc>
        <w:tc>
          <w:tcPr>
            <w:tcW w:w="1160" w:type="dxa"/>
            <w:vAlign w:val="bottom"/>
            <w:gridSpan w:val="2"/>
          </w:tcPr>
          <w:p>
            <w:pPr>
              <w:ind w:left="320"/>
              <w:spacing w:after="0"/>
              <w:rPr>
                <w:sz w:val="20"/>
                <w:szCs w:val="20"/>
                <w:color w:val="auto"/>
              </w:rPr>
            </w:pPr>
            <w:r>
              <w:rPr>
                <w:rFonts w:ascii="Arial" w:cs="Arial" w:eastAsia="Arial" w:hAnsi="Arial"/>
                <w:sz w:val="18"/>
                <w:szCs w:val="18"/>
                <w:color w:val="auto"/>
              </w:rPr>
              <w:t>24.61</w:t>
            </w:r>
          </w:p>
        </w:tc>
        <w:tc>
          <w:tcPr>
            <w:tcW w:w="1600" w:type="dxa"/>
            <w:vAlign w:val="bottom"/>
            <w:gridSpan w:val="2"/>
          </w:tcPr>
          <w:p>
            <w:pPr>
              <w:jc w:val="right"/>
              <w:ind w:right="220"/>
              <w:spacing w:after="0"/>
              <w:rPr>
                <w:sz w:val="20"/>
                <w:szCs w:val="20"/>
                <w:color w:val="auto"/>
              </w:rPr>
            </w:pPr>
            <w:r>
              <w:rPr>
                <w:rFonts w:ascii="Arial" w:cs="Arial" w:eastAsia="Arial" w:hAnsi="Arial"/>
                <w:sz w:val="18"/>
                <w:szCs w:val="18"/>
                <w:color w:val="auto"/>
              </w:rPr>
              <w:t>900,000</w:t>
            </w:r>
          </w:p>
        </w:tc>
        <w:tc>
          <w:tcPr>
            <w:tcW w:w="30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020" w:type="dxa"/>
            <w:vAlign w:val="bottom"/>
          </w:tcPr>
          <w:p>
            <w:pPr>
              <w:jc w:val="right"/>
              <w:spacing w:after="0"/>
              <w:rPr>
                <w:sz w:val="20"/>
                <w:szCs w:val="20"/>
                <w:color w:val="auto"/>
              </w:rPr>
            </w:pPr>
            <w:r>
              <w:rPr>
                <w:rFonts w:ascii="Arial" w:cs="Arial" w:eastAsia="Arial" w:hAnsi="Arial"/>
                <w:sz w:val="18"/>
                <w:szCs w:val="18"/>
                <w:color w:val="auto"/>
              </w:rPr>
              <w:t>22,128,135</w:t>
            </w:r>
          </w:p>
        </w:tc>
        <w:tc>
          <w:tcPr>
            <w:tcW w:w="540" w:type="dxa"/>
            <w:vAlign w:val="bottom"/>
            <w:gridSpan w:val="2"/>
          </w:tcPr>
          <w:p>
            <w:pPr>
              <w:ind w:left="460"/>
              <w:spacing w:after="0"/>
              <w:rPr>
                <w:sz w:val="20"/>
                <w:szCs w:val="20"/>
                <w:color w:val="auto"/>
              </w:rPr>
            </w:pPr>
            <w:r>
              <w:rPr>
                <w:rFonts w:ascii="Arial" w:cs="Arial" w:eastAsia="Arial" w:hAnsi="Arial"/>
                <w:sz w:val="15"/>
                <w:szCs w:val="15"/>
                <w:color w:val="auto"/>
                <w:w w:val="71"/>
              </w:rPr>
              <w:t>$</w:t>
            </w:r>
          </w:p>
        </w:tc>
        <w:tc>
          <w:tcPr>
            <w:tcW w:w="1220" w:type="dxa"/>
            <w:vAlign w:val="bottom"/>
          </w:tcPr>
          <w:p>
            <w:pPr>
              <w:jc w:val="right"/>
              <w:spacing w:after="0"/>
              <w:rPr>
                <w:sz w:val="20"/>
                <w:szCs w:val="20"/>
                <w:color w:val="auto"/>
              </w:rPr>
            </w:pPr>
            <w:r>
              <w:rPr>
                <w:rFonts w:ascii="Arial" w:cs="Arial" w:eastAsia="Arial" w:hAnsi="Arial"/>
                <w:sz w:val="18"/>
                <w:szCs w:val="18"/>
                <w:color w:val="auto"/>
              </w:rPr>
              <w:t>3,433,459,828</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540" w:type="dxa"/>
            <w:vAlign w:val="bottom"/>
            <w:shd w:val="clear" w:color="auto" w:fill="CCEEFF"/>
          </w:tcPr>
          <w:p>
            <w:pPr>
              <w:spacing w:after="0"/>
              <w:rPr>
                <w:sz w:val="20"/>
                <w:szCs w:val="20"/>
                <w:color w:val="auto"/>
              </w:rPr>
            </w:pPr>
            <w:r>
              <w:rPr>
                <w:rFonts w:ascii="Arial" w:cs="Arial" w:eastAsia="Arial" w:hAnsi="Arial"/>
                <w:sz w:val="18"/>
                <w:szCs w:val="18"/>
                <w:color w:val="auto"/>
              </w:rPr>
              <w:t>November 1-30, 2006</w:t>
            </w:r>
          </w:p>
        </w:tc>
        <w:tc>
          <w:tcPr>
            <w:tcW w:w="1500" w:type="dxa"/>
            <w:vAlign w:val="bottom"/>
            <w:gridSpan w:val="3"/>
            <w:shd w:val="clear" w:color="auto" w:fill="CCEEFF"/>
          </w:tcPr>
          <w:p>
            <w:pPr>
              <w:jc w:val="right"/>
              <w:ind w:right="20"/>
              <w:spacing w:after="0"/>
              <w:rPr>
                <w:sz w:val="20"/>
                <w:szCs w:val="20"/>
                <w:color w:val="auto"/>
              </w:rPr>
            </w:pPr>
            <w:r>
              <w:rPr>
                <w:rFonts w:ascii="Arial" w:cs="Arial" w:eastAsia="Arial" w:hAnsi="Arial"/>
                <w:sz w:val="18"/>
                <w:szCs w:val="18"/>
                <w:color w:val="auto"/>
              </w:rPr>
              <w:t>8,938,358</w:t>
            </w:r>
          </w:p>
        </w:tc>
        <w:tc>
          <w:tcPr>
            <w:tcW w:w="520" w:type="dxa"/>
            <w:vAlign w:val="bottom"/>
            <w:gridSpan w:val="2"/>
            <w:shd w:val="clear" w:color="auto" w:fill="CCEEFF"/>
          </w:tcPr>
          <w:p>
            <w:pPr>
              <w:ind w:left="420"/>
              <w:spacing w:after="0"/>
              <w:rPr>
                <w:sz w:val="20"/>
                <w:szCs w:val="20"/>
                <w:color w:val="auto"/>
              </w:rPr>
            </w:pPr>
            <w:r>
              <w:rPr>
                <w:rFonts w:ascii="Arial" w:cs="Arial" w:eastAsia="Arial" w:hAnsi="Arial"/>
                <w:sz w:val="18"/>
                <w:szCs w:val="18"/>
                <w:color w:val="auto"/>
                <w:w w:val="79"/>
              </w:rPr>
              <w:t>$</w:t>
            </w:r>
          </w:p>
        </w:tc>
        <w:tc>
          <w:tcPr>
            <w:tcW w:w="1160" w:type="dxa"/>
            <w:vAlign w:val="bottom"/>
            <w:gridSpan w:val="2"/>
            <w:shd w:val="clear" w:color="auto" w:fill="CCEEFF"/>
          </w:tcPr>
          <w:p>
            <w:pPr>
              <w:ind w:left="320"/>
              <w:spacing w:after="0"/>
              <w:rPr>
                <w:sz w:val="20"/>
                <w:szCs w:val="20"/>
                <w:color w:val="auto"/>
              </w:rPr>
            </w:pPr>
            <w:r>
              <w:rPr>
                <w:rFonts w:ascii="Arial" w:cs="Arial" w:eastAsia="Arial" w:hAnsi="Arial"/>
                <w:sz w:val="18"/>
                <w:szCs w:val="18"/>
                <w:color w:val="auto"/>
              </w:rPr>
              <w:t>26.01</w:t>
            </w:r>
          </w:p>
        </w:tc>
        <w:tc>
          <w:tcPr>
            <w:tcW w:w="160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7,723,326</w:t>
            </w:r>
          </w:p>
        </w:tc>
        <w:tc>
          <w:tcPr>
            <w:tcW w:w="3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200,000,000</w:t>
            </w:r>
          </w:p>
        </w:tc>
        <w:tc>
          <w:tcPr>
            <w:tcW w:w="540" w:type="dxa"/>
            <w:vAlign w:val="bottom"/>
            <w:gridSpan w:val="2"/>
            <w:shd w:val="clear" w:color="auto" w:fill="CCEEFF"/>
          </w:tcPr>
          <w:p>
            <w:pPr>
              <w:ind w:left="460"/>
              <w:spacing w:after="0"/>
              <w:rPr>
                <w:sz w:val="20"/>
                <w:szCs w:val="20"/>
                <w:color w:val="auto"/>
              </w:rPr>
            </w:pPr>
            <w:r>
              <w:rPr>
                <w:rFonts w:ascii="Arial" w:cs="Arial" w:eastAsia="Arial" w:hAnsi="Arial"/>
                <w:sz w:val="15"/>
                <w:szCs w:val="15"/>
                <w:color w:val="auto"/>
                <w:w w:val="71"/>
              </w:rPr>
              <w:t>$</w:t>
            </w:r>
          </w:p>
        </w:tc>
        <w:tc>
          <w:tcPr>
            <w:tcW w:w="12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3,233,459,828</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540" w:type="dxa"/>
            <w:vAlign w:val="bottom"/>
          </w:tcPr>
          <w:p>
            <w:pPr>
              <w:spacing w:after="0"/>
              <w:rPr>
                <w:sz w:val="20"/>
                <w:szCs w:val="20"/>
                <w:color w:val="auto"/>
              </w:rPr>
            </w:pPr>
            <w:r>
              <w:rPr>
                <w:rFonts w:ascii="Arial" w:cs="Arial" w:eastAsia="Arial" w:hAnsi="Arial"/>
                <w:sz w:val="18"/>
                <w:szCs w:val="18"/>
                <w:color w:val="auto"/>
              </w:rPr>
              <w:t>December 1-31, 2006</w:t>
            </w:r>
          </w:p>
        </w:tc>
        <w:tc>
          <w:tcPr>
            <w:tcW w:w="440" w:type="dxa"/>
            <w:vAlign w:val="bottom"/>
          </w:tcPr>
          <w:p>
            <w:pPr>
              <w:spacing w:after="0"/>
              <w:rPr>
                <w:sz w:val="18"/>
                <w:szCs w:val="18"/>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8,278,608</w:t>
            </w:r>
          </w:p>
        </w:tc>
        <w:tc>
          <w:tcPr>
            <w:tcW w:w="20" w:type="dxa"/>
            <w:vAlign w:val="bottom"/>
          </w:tcPr>
          <w:p>
            <w:pPr>
              <w:spacing w:after="0"/>
              <w:rPr>
                <w:sz w:val="18"/>
                <w:szCs w:val="18"/>
                <w:color w:val="auto"/>
              </w:rPr>
            </w:pPr>
          </w:p>
        </w:tc>
        <w:tc>
          <w:tcPr>
            <w:tcW w:w="520" w:type="dxa"/>
            <w:vAlign w:val="bottom"/>
            <w:gridSpan w:val="2"/>
          </w:tcPr>
          <w:p>
            <w:pPr>
              <w:ind w:left="420"/>
              <w:spacing w:after="0"/>
              <w:rPr>
                <w:sz w:val="20"/>
                <w:szCs w:val="20"/>
                <w:color w:val="auto"/>
              </w:rPr>
            </w:pPr>
            <w:r>
              <w:rPr>
                <w:rFonts w:ascii="Arial" w:cs="Arial" w:eastAsia="Arial" w:hAnsi="Arial"/>
                <w:sz w:val="18"/>
                <w:szCs w:val="18"/>
                <w:color w:val="auto"/>
                <w:w w:val="79"/>
              </w:rPr>
              <w:t>$</w:t>
            </w:r>
          </w:p>
        </w:tc>
        <w:tc>
          <w:tcPr>
            <w:tcW w:w="1160" w:type="dxa"/>
            <w:vAlign w:val="bottom"/>
            <w:gridSpan w:val="2"/>
          </w:tcPr>
          <w:p>
            <w:pPr>
              <w:ind w:left="320"/>
              <w:spacing w:after="0"/>
              <w:rPr>
                <w:sz w:val="20"/>
                <w:szCs w:val="20"/>
                <w:color w:val="auto"/>
              </w:rPr>
            </w:pPr>
            <w:r>
              <w:rPr>
                <w:rFonts w:ascii="Arial" w:cs="Arial" w:eastAsia="Arial" w:hAnsi="Arial"/>
                <w:sz w:val="18"/>
                <w:szCs w:val="18"/>
                <w:color w:val="auto"/>
              </w:rPr>
              <w:t>27.43</w:t>
            </w:r>
          </w:p>
        </w:tc>
        <w:tc>
          <w:tcPr>
            <w:tcW w:w="1600" w:type="dxa"/>
            <w:vAlign w:val="bottom"/>
            <w:gridSpan w:val="2"/>
          </w:tcPr>
          <w:p>
            <w:pPr>
              <w:jc w:val="right"/>
              <w:ind w:right="220"/>
              <w:spacing w:after="0"/>
              <w:rPr>
                <w:sz w:val="20"/>
                <w:szCs w:val="20"/>
                <w:color w:val="auto"/>
              </w:rPr>
            </w:pPr>
            <w:r>
              <w:rPr>
                <w:rFonts w:ascii="Arial" w:cs="Arial" w:eastAsia="Arial" w:hAnsi="Arial"/>
                <w:sz w:val="18"/>
                <w:szCs w:val="18"/>
                <w:color w:val="auto"/>
              </w:rPr>
              <w:t>8,202,432</w:t>
            </w:r>
          </w:p>
        </w:tc>
        <w:tc>
          <w:tcPr>
            <w:tcW w:w="30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020" w:type="dxa"/>
            <w:vAlign w:val="bottom"/>
          </w:tcPr>
          <w:p>
            <w:pPr>
              <w:jc w:val="right"/>
              <w:spacing w:after="0"/>
              <w:rPr>
                <w:sz w:val="20"/>
                <w:szCs w:val="20"/>
                <w:color w:val="auto"/>
              </w:rPr>
            </w:pPr>
            <w:r>
              <w:rPr>
                <w:rFonts w:ascii="Arial" w:cs="Arial" w:eastAsia="Arial" w:hAnsi="Arial"/>
                <w:sz w:val="18"/>
                <w:szCs w:val="18"/>
                <w:color w:val="auto"/>
                <w:w w:val="99"/>
              </w:rPr>
              <w:t>225,000,000</w:t>
            </w:r>
          </w:p>
        </w:tc>
        <w:tc>
          <w:tcPr>
            <w:tcW w:w="540" w:type="dxa"/>
            <w:vAlign w:val="bottom"/>
            <w:gridSpan w:val="2"/>
          </w:tcPr>
          <w:p>
            <w:pPr>
              <w:ind w:left="460"/>
              <w:spacing w:after="0"/>
              <w:rPr>
                <w:sz w:val="20"/>
                <w:szCs w:val="20"/>
                <w:color w:val="auto"/>
              </w:rPr>
            </w:pPr>
            <w:r>
              <w:rPr>
                <w:rFonts w:ascii="Arial" w:cs="Arial" w:eastAsia="Arial" w:hAnsi="Arial"/>
                <w:sz w:val="15"/>
                <w:szCs w:val="15"/>
                <w:color w:val="auto"/>
                <w:w w:val="71"/>
              </w:rPr>
              <w:t>$</w:t>
            </w:r>
          </w:p>
        </w:tc>
        <w:tc>
          <w:tcPr>
            <w:tcW w:w="1220" w:type="dxa"/>
            <w:vAlign w:val="bottom"/>
          </w:tcPr>
          <w:p>
            <w:pPr>
              <w:jc w:val="right"/>
              <w:spacing w:after="0"/>
              <w:rPr>
                <w:sz w:val="20"/>
                <w:szCs w:val="20"/>
                <w:color w:val="auto"/>
              </w:rPr>
            </w:pPr>
            <w:r>
              <w:rPr>
                <w:rFonts w:ascii="Arial" w:cs="Arial" w:eastAsia="Arial" w:hAnsi="Arial"/>
                <w:sz w:val="18"/>
                <w:szCs w:val="18"/>
                <w:color w:val="auto"/>
              </w:rPr>
              <w:t>3,008,459,828</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3540" w:type="dxa"/>
            <w:vAlign w:val="bottom"/>
          </w:tcPr>
          <w:p>
            <w:pPr>
              <w:spacing w:after="0"/>
              <w:rPr>
                <w:sz w:val="2"/>
                <w:szCs w:val="2"/>
                <w:color w:val="auto"/>
              </w:rPr>
            </w:pPr>
          </w:p>
        </w:tc>
        <w:tc>
          <w:tcPr>
            <w:tcW w:w="440" w:type="dxa"/>
            <w:vAlign w:val="bottom"/>
          </w:tcPr>
          <w:p>
            <w:pPr>
              <w:spacing w:after="0"/>
              <w:rPr>
                <w:sz w:val="2"/>
                <w:szCs w:val="2"/>
                <w:color w:val="auto"/>
              </w:rPr>
            </w:pPr>
          </w:p>
        </w:tc>
        <w:tc>
          <w:tcPr>
            <w:tcW w:w="1040" w:type="dxa"/>
            <w:vAlign w:val="bottom"/>
            <w:shd w:val="clear" w:color="auto" w:fill="000000"/>
          </w:tcPr>
          <w:p>
            <w:pPr>
              <w:spacing w:after="0"/>
              <w:rPr>
                <w:sz w:val="2"/>
                <w:szCs w:val="2"/>
                <w:color w:val="auto"/>
              </w:rPr>
            </w:pPr>
          </w:p>
        </w:tc>
        <w:tc>
          <w:tcPr>
            <w:tcW w:w="20" w:type="dxa"/>
            <w:vAlign w:val="bottom"/>
          </w:tcPr>
          <w:p>
            <w:pPr>
              <w:spacing w:after="0"/>
              <w:rPr>
                <w:sz w:val="2"/>
                <w:szCs w:val="2"/>
                <w:color w:val="auto"/>
              </w:rPr>
            </w:pPr>
          </w:p>
        </w:tc>
        <w:tc>
          <w:tcPr>
            <w:tcW w:w="42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700" w:type="dxa"/>
            <w:vAlign w:val="bottom"/>
            <w:shd w:val="clear" w:color="auto" w:fill="000000"/>
          </w:tcPr>
          <w:p>
            <w:pPr>
              <w:spacing w:after="0"/>
              <w:rPr>
                <w:sz w:val="2"/>
                <w:szCs w:val="2"/>
                <w:color w:val="auto"/>
              </w:rPr>
            </w:pPr>
          </w:p>
        </w:tc>
        <w:tc>
          <w:tcPr>
            <w:tcW w:w="460" w:type="dxa"/>
            <w:vAlign w:val="bottom"/>
          </w:tcPr>
          <w:p>
            <w:pPr>
              <w:spacing w:after="0"/>
              <w:rPr>
                <w:sz w:val="2"/>
                <w:szCs w:val="2"/>
                <w:color w:val="auto"/>
              </w:rPr>
            </w:pPr>
          </w:p>
        </w:tc>
        <w:tc>
          <w:tcPr>
            <w:tcW w:w="1380" w:type="dxa"/>
            <w:vAlign w:val="bottom"/>
            <w:shd w:val="clear" w:color="auto" w:fill="000000"/>
          </w:tcPr>
          <w:p>
            <w:pPr>
              <w:spacing w:after="0"/>
              <w:rPr>
                <w:sz w:val="2"/>
                <w:szCs w:val="2"/>
                <w:color w:val="auto"/>
              </w:rPr>
            </w:pPr>
          </w:p>
        </w:tc>
        <w:tc>
          <w:tcPr>
            <w:tcW w:w="220" w:type="dxa"/>
            <w:vAlign w:val="bottom"/>
          </w:tcPr>
          <w:p>
            <w:pPr>
              <w:spacing w:after="0"/>
              <w:rPr>
                <w:sz w:val="2"/>
                <w:szCs w:val="2"/>
                <w:color w:val="auto"/>
              </w:rPr>
            </w:pPr>
          </w:p>
        </w:tc>
        <w:tc>
          <w:tcPr>
            <w:tcW w:w="22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1020" w:type="dxa"/>
            <w:vAlign w:val="bottom"/>
            <w:shd w:val="clear" w:color="auto" w:fill="000000"/>
          </w:tcPr>
          <w:p>
            <w:pPr>
              <w:spacing w:after="0"/>
              <w:rPr>
                <w:sz w:val="2"/>
                <w:szCs w:val="2"/>
                <w:color w:val="auto"/>
              </w:rPr>
            </w:pPr>
          </w:p>
        </w:tc>
        <w:tc>
          <w:tcPr>
            <w:tcW w:w="44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1220" w:type="dxa"/>
            <w:vAlign w:val="bottom"/>
            <w:shd w:val="clear" w:color="auto" w:fill="000000"/>
          </w:tcPr>
          <w:p>
            <w:pPr>
              <w:spacing w:after="0"/>
              <w:rPr>
                <w:sz w:val="2"/>
                <w:szCs w:val="2"/>
                <w:color w:val="auto"/>
              </w:rPr>
            </w:pPr>
          </w:p>
        </w:tc>
        <w:tc>
          <w:tcPr>
            <w:tcW w:w="20" w:type="dxa"/>
            <w:vAlign w:val="bottom"/>
            <w:vMerge w:val="restart"/>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vMerge w:val="continue"/>
          </w:tcPr>
          <w:p>
            <w:pPr>
              <w:spacing w:after="0"/>
              <w:rPr>
                <w:sz w:val="18"/>
                <w:szCs w:val="18"/>
                <w:color w:val="auto"/>
              </w:rPr>
            </w:pPr>
          </w:p>
        </w:tc>
        <w:tc>
          <w:tcPr>
            <w:tcW w:w="3540" w:type="dxa"/>
            <w:vAlign w:val="bottom"/>
            <w:shd w:val="clear" w:color="auto" w:fill="CCEEFF"/>
          </w:tcPr>
          <w:p>
            <w:pPr>
              <w:spacing w:after="0"/>
              <w:rPr>
                <w:sz w:val="20"/>
                <w:szCs w:val="20"/>
                <w:color w:val="auto"/>
              </w:rPr>
            </w:pPr>
            <w:r>
              <w:rPr>
                <w:rFonts w:ascii="Arial" w:cs="Arial" w:eastAsia="Arial" w:hAnsi="Arial"/>
                <w:sz w:val="18"/>
                <w:szCs w:val="18"/>
                <w:color w:val="auto"/>
              </w:rPr>
              <w:t>Total Fourth Quarter</w:t>
            </w:r>
          </w:p>
        </w:tc>
        <w:tc>
          <w:tcPr>
            <w:tcW w:w="440" w:type="dxa"/>
            <w:vAlign w:val="bottom"/>
            <w:shd w:val="clear" w:color="auto" w:fill="CCEEFF"/>
          </w:tcPr>
          <w:p>
            <w:pPr>
              <w:spacing w:after="0"/>
              <w:rPr>
                <w:sz w:val="18"/>
                <w:szCs w:val="18"/>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18,126,267</w:t>
            </w:r>
          </w:p>
        </w:tc>
        <w:tc>
          <w:tcPr>
            <w:tcW w:w="20" w:type="dxa"/>
            <w:vAlign w:val="bottom"/>
            <w:shd w:val="clear" w:color="auto" w:fill="CCEEFF"/>
          </w:tcPr>
          <w:p>
            <w:pPr>
              <w:spacing w:after="0"/>
              <w:rPr>
                <w:sz w:val="18"/>
                <w:szCs w:val="18"/>
                <w:color w:val="auto"/>
              </w:rPr>
            </w:pPr>
          </w:p>
        </w:tc>
        <w:tc>
          <w:tcPr>
            <w:tcW w:w="520" w:type="dxa"/>
            <w:vAlign w:val="bottom"/>
            <w:gridSpan w:val="2"/>
            <w:shd w:val="clear" w:color="auto" w:fill="CCEEFF"/>
          </w:tcPr>
          <w:p>
            <w:pPr>
              <w:ind w:left="420"/>
              <w:spacing w:after="0"/>
              <w:rPr>
                <w:sz w:val="20"/>
                <w:szCs w:val="20"/>
                <w:color w:val="auto"/>
              </w:rPr>
            </w:pPr>
            <w:r>
              <w:rPr>
                <w:rFonts w:ascii="Arial" w:cs="Arial" w:eastAsia="Arial" w:hAnsi="Arial"/>
                <w:sz w:val="18"/>
                <w:szCs w:val="18"/>
                <w:color w:val="auto"/>
                <w:w w:val="79"/>
              </w:rPr>
              <w:t>$</w:t>
            </w:r>
          </w:p>
        </w:tc>
        <w:tc>
          <w:tcPr>
            <w:tcW w:w="1160" w:type="dxa"/>
            <w:vAlign w:val="bottom"/>
            <w:gridSpan w:val="2"/>
            <w:shd w:val="clear" w:color="auto" w:fill="CCEEFF"/>
          </w:tcPr>
          <w:p>
            <w:pPr>
              <w:ind w:left="320"/>
              <w:spacing w:after="0"/>
              <w:rPr>
                <w:sz w:val="20"/>
                <w:szCs w:val="20"/>
                <w:color w:val="auto"/>
              </w:rPr>
            </w:pPr>
            <w:r>
              <w:rPr>
                <w:rFonts w:ascii="Arial" w:cs="Arial" w:eastAsia="Arial" w:hAnsi="Arial"/>
                <w:sz w:val="18"/>
                <w:szCs w:val="18"/>
                <w:color w:val="auto"/>
              </w:rPr>
              <w:t>26.59</w:t>
            </w:r>
          </w:p>
        </w:tc>
        <w:tc>
          <w:tcPr>
            <w:tcW w:w="160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16,825,758</w:t>
            </w:r>
          </w:p>
        </w:tc>
        <w:tc>
          <w:tcPr>
            <w:tcW w:w="3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447,128,135</w:t>
            </w:r>
          </w:p>
        </w:tc>
        <w:tc>
          <w:tcPr>
            <w:tcW w:w="540" w:type="dxa"/>
            <w:vAlign w:val="bottom"/>
            <w:gridSpan w:val="2"/>
            <w:shd w:val="clear" w:color="auto" w:fill="CCEEFF"/>
          </w:tcPr>
          <w:p>
            <w:pPr>
              <w:ind w:left="460"/>
              <w:spacing w:after="0"/>
              <w:rPr>
                <w:sz w:val="20"/>
                <w:szCs w:val="20"/>
                <w:color w:val="auto"/>
              </w:rPr>
            </w:pPr>
            <w:r>
              <w:rPr>
                <w:rFonts w:ascii="Arial" w:cs="Arial" w:eastAsia="Arial" w:hAnsi="Arial"/>
                <w:sz w:val="15"/>
                <w:szCs w:val="15"/>
                <w:color w:val="auto"/>
                <w:w w:val="71"/>
              </w:rPr>
              <w:t>$</w:t>
            </w:r>
          </w:p>
        </w:tc>
        <w:tc>
          <w:tcPr>
            <w:tcW w:w="12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3,008,459,828</w:t>
            </w:r>
          </w:p>
        </w:tc>
        <w:tc>
          <w:tcPr>
            <w:tcW w:w="2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3560" w:type="dxa"/>
            <w:vAlign w:val="bottom"/>
            <w:gridSpan w:val="2"/>
          </w:tcPr>
          <w:p>
            <w:pPr>
              <w:spacing w:after="0"/>
              <w:rPr>
                <w:sz w:val="20"/>
                <w:szCs w:val="20"/>
                <w:color w:val="auto"/>
              </w:rPr>
            </w:pPr>
            <w:r>
              <w:rPr>
                <w:rFonts w:ascii="Arial" w:cs="Arial" w:eastAsia="Arial" w:hAnsi="Arial"/>
                <w:sz w:val="18"/>
                <w:szCs w:val="18"/>
                <w:color w:val="auto"/>
              </w:rPr>
              <w:t>Total 2006</w:t>
            </w:r>
          </w:p>
        </w:tc>
        <w:tc>
          <w:tcPr>
            <w:tcW w:w="440" w:type="dxa"/>
            <w:vAlign w:val="bottom"/>
          </w:tcPr>
          <w:p>
            <w:pPr>
              <w:spacing w:after="0"/>
              <w:rPr>
                <w:sz w:val="19"/>
                <w:szCs w:val="19"/>
                <w:color w:val="auto"/>
              </w:rPr>
            </w:pPr>
          </w:p>
        </w:tc>
        <w:tc>
          <w:tcPr>
            <w:tcW w:w="10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rPr>
              <w:t>115,034,518</w:t>
            </w:r>
          </w:p>
        </w:tc>
        <w:tc>
          <w:tcPr>
            <w:tcW w:w="20" w:type="dxa"/>
            <w:vAlign w:val="bottom"/>
            <w:tcBorders>
              <w:bottom w:val="single" w:sz="8" w:color="auto"/>
            </w:tcBorders>
          </w:tcPr>
          <w:p>
            <w:pPr>
              <w:spacing w:after="0"/>
              <w:rPr>
                <w:sz w:val="19"/>
                <w:szCs w:val="19"/>
                <w:color w:val="auto"/>
              </w:rPr>
            </w:pPr>
          </w:p>
        </w:tc>
        <w:tc>
          <w:tcPr>
            <w:tcW w:w="420" w:type="dxa"/>
            <w:vAlign w:val="bottom"/>
          </w:tcPr>
          <w:p>
            <w:pPr>
              <w:spacing w:after="0"/>
              <w:rPr>
                <w:sz w:val="19"/>
                <w:szCs w:val="19"/>
                <w:color w:val="auto"/>
              </w:rPr>
            </w:pPr>
          </w:p>
        </w:tc>
        <w:tc>
          <w:tcPr>
            <w:tcW w:w="100" w:type="dxa"/>
            <w:vAlign w:val="bottom"/>
            <w:tcBorders>
              <w:top w:val="single" w:sz="8" w:color="auto"/>
              <w:bottom w:val="single" w:sz="8" w:color="auto"/>
            </w:tcBorders>
          </w:tcPr>
          <w:p>
            <w:pPr>
              <w:spacing w:after="0"/>
              <w:rPr>
                <w:sz w:val="20"/>
                <w:szCs w:val="20"/>
                <w:color w:val="auto"/>
              </w:rPr>
            </w:pPr>
            <w:r>
              <w:rPr>
                <w:rFonts w:ascii="Arial" w:cs="Arial" w:eastAsia="Arial" w:hAnsi="Arial"/>
                <w:sz w:val="18"/>
                <w:szCs w:val="18"/>
                <w:b w:val="1"/>
                <w:bCs w:val="1"/>
                <w:color w:val="auto"/>
                <w:w w:val="79"/>
              </w:rPr>
              <w:t>$</w:t>
            </w:r>
          </w:p>
        </w:tc>
        <w:tc>
          <w:tcPr>
            <w:tcW w:w="700" w:type="dxa"/>
            <w:vAlign w:val="bottom"/>
            <w:tcBorders>
              <w:top w:val="single" w:sz="8" w:color="auto"/>
              <w:bottom w:val="single" w:sz="8" w:color="auto"/>
            </w:tcBorders>
          </w:tcPr>
          <w:p>
            <w:pPr>
              <w:ind w:left="320"/>
              <w:spacing w:after="0"/>
              <w:rPr>
                <w:sz w:val="20"/>
                <w:szCs w:val="20"/>
                <w:color w:val="auto"/>
              </w:rPr>
            </w:pPr>
            <w:r>
              <w:rPr>
                <w:rFonts w:ascii="Arial" w:cs="Arial" w:eastAsia="Arial" w:hAnsi="Arial"/>
                <w:sz w:val="18"/>
                <w:szCs w:val="18"/>
                <w:b w:val="1"/>
                <w:bCs w:val="1"/>
                <w:color w:val="auto"/>
                <w:w w:val="79"/>
              </w:rPr>
              <w:t>20.82</w:t>
            </w:r>
          </w:p>
        </w:tc>
        <w:tc>
          <w:tcPr>
            <w:tcW w:w="460" w:type="dxa"/>
            <w:vAlign w:val="bottom"/>
          </w:tcPr>
          <w:p>
            <w:pPr>
              <w:spacing w:after="0"/>
              <w:rPr>
                <w:sz w:val="19"/>
                <w:szCs w:val="19"/>
                <w:color w:val="auto"/>
              </w:rPr>
            </w:pPr>
          </w:p>
        </w:tc>
        <w:tc>
          <w:tcPr>
            <w:tcW w:w="13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rPr>
              <w:t>113,071,157</w:t>
            </w:r>
          </w:p>
        </w:tc>
        <w:tc>
          <w:tcPr>
            <w:tcW w:w="2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5"/>
                <w:szCs w:val="15"/>
                <w:b w:val="1"/>
                <w:bCs w:val="1"/>
                <w:u w:val="single" w:color="auto"/>
                <w:color w:val="auto"/>
                <w:w w:val="71"/>
              </w:rPr>
              <w:t>$</w:t>
            </w:r>
          </w:p>
        </w:tc>
        <w:tc>
          <w:tcPr>
            <w:tcW w:w="10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w w:val="86"/>
              </w:rPr>
              <w:t>2,347,594,425</w:t>
            </w:r>
          </w:p>
        </w:tc>
        <w:tc>
          <w:tcPr>
            <w:tcW w:w="440" w:type="dxa"/>
            <w:vAlign w:val="bottom"/>
          </w:tcPr>
          <w:p>
            <w:pPr>
              <w:spacing w:after="0"/>
              <w:rPr>
                <w:sz w:val="19"/>
                <w:szCs w:val="19"/>
                <w:color w:val="auto"/>
              </w:rPr>
            </w:pPr>
          </w:p>
        </w:tc>
        <w:tc>
          <w:tcPr>
            <w:tcW w:w="100" w:type="dxa"/>
            <w:vAlign w:val="bottom"/>
            <w:tcBorders>
              <w:top w:val="single" w:sz="8" w:color="auto"/>
              <w:bottom w:val="single" w:sz="8" w:color="auto"/>
            </w:tcBorders>
          </w:tcPr>
          <w:p>
            <w:pPr>
              <w:ind w:left="20"/>
              <w:spacing w:after="0"/>
              <w:rPr>
                <w:sz w:val="20"/>
                <w:szCs w:val="20"/>
                <w:color w:val="auto"/>
              </w:rPr>
            </w:pPr>
            <w:r>
              <w:rPr>
                <w:rFonts w:ascii="Arial" w:cs="Arial" w:eastAsia="Arial" w:hAnsi="Arial"/>
                <w:sz w:val="15"/>
                <w:szCs w:val="15"/>
                <w:b w:val="1"/>
                <w:bCs w:val="1"/>
                <w:color w:val="auto"/>
                <w:w w:val="71"/>
              </w:rPr>
              <w:t>$</w:t>
            </w:r>
          </w:p>
        </w:tc>
        <w:tc>
          <w:tcPr>
            <w:tcW w:w="12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rPr>
              <w:t>3,008,459,828</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354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138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67" w:lineRule="exact"/>
        <w:rPr>
          <w:sz w:val="20"/>
          <w:szCs w:val="20"/>
          <w:color w:val="auto"/>
        </w:rPr>
      </w:pPr>
    </w:p>
    <w:p>
      <w:pPr>
        <w:ind w:left="460"/>
        <w:spacing w:after="0"/>
        <w:rPr>
          <w:sz w:val="20"/>
          <w:szCs w:val="20"/>
          <w:color w:val="auto"/>
        </w:rPr>
      </w:pPr>
      <w:r>
        <w:rPr>
          <w:rFonts w:ascii="Arial" w:cs="Arial" w:eastAsia="Arial" w:hAnsi="Arial"/>
          <w:sz w:val="16"/>
          <w:szCs w:val="16"/>
          <w:color w:val="auto"/>
        </w:rPr>
        <w:t>The total number of shares purchased during 2006 includes 1,963,361 shares received in the administration of employee share-based plans.</w:t>
      </w:r>
    </w:p>
    <w:p>
      <w:pPr>
        <w:spacing w:after="0" w:line="181" w:lineRule="exact"/>
        <w:rPr>
          <w:sz w:val="20"/>
          <w:szCs w:val="20"/>
          <w:color w:val="auto"/>
        </w:rPr>
      </w:pPr>
    </w:p>
    <w:p>
      <w:pPr>
        <w:ind w:left="5620"/>
        <w:spacing w:after="0"/>
        <w:rPr>
          <w:sz w:val="20"/>
          <w:szCs w:val="20"/>
          <w:color w:val="auto"/>
        </w:rPr>
      </w:pPr>
      <w:r>
        <w:rPr>
          <w:rFonts w:ascii="Arial" w:cs="Arial" w:eastAsia="Arial" w:hAnsi="Arial"/>
          <w:sz w:val="18"/>
          <w:szCs w:val="18"/>
          <w:color w:val="auto"/>
        </w:rPr>
        <w:t>23</w:t>
      </w:r>
    </w:p>
    <w:p>
      <w:pPr>
        <w:sectPr>
          <w:pgSz w:w="11900" w:h="16838" w:orient="portrait"/>
          <w:cols w:equalWidth="0" w:num="1">
            <w:col w:w="11420"/>
          </w:cols>
          <w:pgMar w:left="240" w:top="459" w:right="239" w:bottom="1440" w:gutter="0" w:footer="0" w:header="0"/>
        </w:sectPr>
      </w:pPr>
    </w:p>
    <w:bookmarkStart w:id="26" w:name="page27"/>
    <w:bookmarkEnd w:id="2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Common Stock Sales Price Table</w:t>
      </w:r>
    </w:p>
    <w:p>
      <w:pPr>
        <w:spacing w:after="0" w:line="90" w:lineRule="exact"/>
        <w:rPr>
          <w:sz w:val="20"/>
          <w:szCs w:val="20"/>
          <w:color w:val="auto"/>
        </w:rPr>
      </w:pPr>
    </w:p>
    <w:p>
      <w:pPr>
        <w:ind w:right="20" w:firstLine="456"/>
        <w:spacing w:after="0" w:line="268" w:lineRule="auto"/>
        <w:rPr>
          <w:sz w:val="20"/>
          <w:szCs w:val="20"/>
          <w:color w:val="auto"/>
        </w:rPr>
      </w:pPr>
      <w:r>
        <w:rPr>
          <w:rFonts w:ascii="Arial" w:cs="Arial" w:eastAsia="Arial" w:hAnsi="Arial"/>
          <w:sz w:val="18"/>
          <w:szCs w:val="18"/>
          <w:color w:val="auto"/>
        </w:rPr>
        <w:t>We incorporate the table setting forth the high and low sales prices of our Class A and Class A Special common stock required for this item by reference to page 77 of our 2006 Annual Report to Shareholders set forth as Exhibit 13.1 to this Annual Report on Form 10-K.</w:t>
      </w:r>
    </w:p>
    <w:p>
      <w:pPr>
        <w:spacing w:after="0" w:line="213"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Performance Graph</w:t>
      </w:r>
    </w:p>
    <w:p>
      <w:pPr>
        <w:spacing w:after="0" w:line="90" w:lineRule="exact"/>
        <w:rPr>
          <w:sz w:val="20"/>
          <w:szCs w:val="20"/>
          <w:color w:val="auto"/>
        </w:rPr>
      </w:pPr>
    </w:p>
    <w:p>
      <w:pPr>
        <w:ind w:right="100" w:firstLine="456"/>
        <w:spacing w:after="0" w:line="268" w:lineRule="auto"/>
        <w:rPr>
          <w:sz w:val="20"/>
          <w:szCs w:val="20"/>
          <w:color w:val="auto"/>
        </w:rPr>
      </w:pPr>
      <w:r>
        <w:rPr>
          <w:rFonts w:ascii="Arial" w:cs="Arial" w:eastAsia="Arial" w:hAnsi="Arial"/>
          <w:sz w:val="18"/>
          <w:szCs w:val="18"/>
          <w:color w:val="auto"/>
        </w:rPr>
        <w:t>We incorporate the Performance Graph required for this item by reference to page 77 of our 2006 Annual Report to Shareholders set forth as Exhibit 13.1 to this Annual Report on Form 10-K.</w:t>
      </w:r>
    </w:p>
    <w:p>
      <w:pPr>
        <w:spacing w:after="0" w:line="248" w:lineRule="exact"/>
        <w:rPr>
          <w:sz w:val="20"/>
          <w:szCs w:val="20"/>
          <w:color w:val="auto"/>
        </w:rPr>
      </w:pPr>
    </w:p>
    <w:p>
      <w:pPr>
        <w:spacing w:after="0"/>
        <w:tabs>
          <w:tab w:leader="none" w:pos="1020" w:val="left"/>
        </w:tabs>
        <w:rPr>
          <w:sz w:val="20"/>
          <w:szCs w:val="20"/>
          <w:color w:val="auto"/>
        </w:rPr>
      </w:pPr>
      <w:r>
        <w:rPr>
          <w:rFonts w:ascii="Arial" w:cs="Arial" w:eastAsia="Arial" w:hAnsi="Arial"/>
          <w:sz w:val="18"/>
          <w:szCs w:val="18"/>
          <w:b w:val="1"/>
          <w:bCs w:val="1"/>
          <w:color w:val="auto"/>
        </w:rPr>
        <w:t>ITEM 6:</w:t>
      </w:r>
      <w:r>
        <w:rPr>
          <w:sz w:val="20"/>
          <w:szCs w:val="20"/>
          <w:color w:val="auto"/>
        </w:rPr>
        <w:tab/>
      </w:r>
      <w:r>
        <w:rPr>
          <w:rFonts w:ascii="Arial" w:cs="Arial" w:eastAsia="Arial" w:hAnsi="Arial"/>
          <w:sz w:val="16"/>
          <w:szCs w:val="16"/>
          <w:b w:val="1"/>
          <w:bCs w:val="1"/>
          <w:color w:val="auto"/>
        </w:rPr>
        <w:t>SELECTED FINANCIAL DATA</w:t>
      </w:r>
    </w:p>
    <w:p>
      <w:pPr>
        <w:spacing w:after="0" w:line="96" w:lineRule="exact"/>
        <w:rPr>
          <w:sz w:val="20"/>
          <w:szCs w:val="20"/>
          <w:color w:val="auto"/>
        </w:rPr>
      </w:pPr>
    </w:p>
    <w:p>
      <w:pPr>
        <w:ind w:right="180" w:firstLine="456"/>
        <w:spacing w:after="0" w:line="268" w:lineRule="auto"/>
        <w:rPr>
          <w:sz w:val="20"/>
          <w:szCs w:val="20"/>
          <w:color w:val="auto"/>
        </w:rPr>
      </w:pPr>
      <w:r>
        <w:rPr>
          <w:rFonts w:ascii="Arial" w:cs="Arial" w:eastAsia="Arial" w:hAnsi="Arial"/>
          <w:sz w:val="18"/>
          <w:szCs w:val="18"/>
          <w:color w:val="auto"/>
        </w:rPr>
        <w:t>We incorporate the information required for this item by reference to page 78 of our 2006 Annual Report to Shareholders set forth as Exhibit 13.1 to this Annual Report on Form 10-K.</w:t>
      </w:r>
    </w:p>
    <w:p>
      <w:pPr>
        <w:spacing w:after="0" w:line="248" w:lineRule="exact"/>
        <w:rPr>
          <w:sz w:val="20"/>
          <w:szCs w:val="20"/>
          <w:color w:val="auto"/>
        </w:rPr>
      </w:pPr>
    </w:p>
    <w:p>
      <w:pPr>
        <w:spacing w:after="0"/>
        <w:tabs>
          <w:tab w:leader="none" w:pos="1020" w:val="left"/>
        </w:tabs>
        <w:rPr>
          <w:sz w:val="20"/>
          <w:szCs w:val="20"/>
          <w:color w:val="auto"/>
        </w:rPr>
      </w:pPr>
      <w:r>
        <w:rPr>
          <w:rFonts w:ascii="Arial" w:cs="Arial" w:eastAsia="Arial" w:hAnsi="Arial"/>
          <w:sz w:val="18"/>
          <w:szCs w:val="18"/>
          <w:b w:val="1"/>
          <w:bCs w:val="1"/>
          <w:color w:val="auto"/>
        </w:rPr>
        <w:t>ITEM 7:</w:t>
      </w:r>
      <w:r>
        <w:rPr>
          <w:sz w:val="20"/>
          <w:szCs w:val="20"/>
          <w:color w:val="auto"/>
        </w:rPr>
        <w:tab/>
      </w:r>
      <w:r>
        <w:rPr>
          <w:rFonts w:ascii="Arial" w:cs="Arial" w:eastAsia="Arial" w:hAnsi="Arial"/>
          <w:sz w:val="16"/>
          <w:szCs w:val="16"/>
          <w:b w:val="1"/>
          <w:bCs w:val="1"/>
          <w:color w:val="auto"/>
        </w:rPr>
        <w:t>MANAGEMENT’S DISCUSSION AND ANALYSIS OF FINANCIAL CONDITION AND RESULTS OF OPERATIONS</w:t>
      </w:r>
    </w:p>
    <w:p>
      <w:pPr>
        <w:spacing w:after="0" w:line="96" w:lineRule="exact"/>
        <w:rPr>
          <w:sz w:val="20"/>
          <w:szCs w:val="20"/>
          <w:color w:val="auto"/>
        </w:rPr>
      </w:pPr>
    </w:p>
    <w:p>
      <w:pPr>
        <w:ind w:firstLine="456"/>
        <w:spacing w:after="0" w:line="268" w:lineRule="auto"/>
        <w:rPr>
          <w:sz w:val="20"/>
          <w:szCs w:val="20"/>
          <w:color w:val="auto"/>
        </w:rPr>
      </w:pPr>
      <w:r>
        <w:rPr>
          <w:rFonts w:ascii="Arial" w:cs="Arial" w:eastAsia="Arial" w:hAnsi="Arial"/>
          <w:sz w:val="18"/>
          <w:szCs w:val="18"/>
          <w:color w:val="auto"/>
        </w:rPr>
        <w:t>We incorporate the information required for this item by reference to pages 25 to 36 of our 2006 Annual Report to Shareholders set forth as Exhibit 13.1 to this Annual Report on Form 10-K.</w:t>
      </w:r>
    </w:p>
    <w:p>
      <w:pPr>
        <w:spacing w:after="0" w:line="248" w:lineRule="exact"/>
        <w:rPr>
          <w:sz w:val="20"/>
          <w:szCs w:val="20"/>
          <w:color w:val="auto"/>
        </w:rPr>
      </w:pPr>
    </w:p>
    <w:p>
      <w:pPr>
        <w:spacing w:after="0"/>
        <w:tabs>
          <w:tab w:leader="none" w:pos="1020" w:val="left"/>
        </w:tabs>
        <w:rPr>
          <w:sz w:val="20"/>
          <w:szCs w:val="20"/>
          <w:color w:val="auto"/>
        </w:rPr>
      </w:pPr>
      <w:r>
        <w:rPr>
          <w:rFonts w:ascii="Arial" w:cs="Arial" w:eastAsia="Arial" w:hAnsi="Arial"/>
          <w:sz w:val="18"/>
          <w:szCs w:val="18"/>
          <w:b w:val="1"/>
          <w:bCs w:val="1"/>
          <w:color w:val="auto"/>
        </w:rPr>
        <w:t>ITEM 7A:</w:t>
      </w:r>
      <w:r>
        <w:rPr>
          <w:sz w:val="20"/>
          <w:szCs w:val="20"/>
          <w:color w:val="auto"/>
        </w:rPr>
        <w:tab/>
      </w:r>
      <w:r>
        <w:rPr>
          <w:rFonts w:ascii="Arial" w:cs="Arial" w:eastAsia="Arial" w:hAnsi="Arial"/>
          <w:sz w:val="16"/>
          <w:szCs w:val="16"/>
          <w:b w:val="1"/>
          <w:bCs w:val="1"/>
          <w:color w:val="auto"/>
        </w:rPr>
        <w:t>QUANTITATIVE AND QUALITATIVE DISCLOSURES ABOUT MARKET RISK</w:t>
      </w:r>
    </w:p>
    <w:p>
      <w:pPr>
        <w:spacing w:after="0" w:line="96" w:lineRule="exact"/>
        <w:rPr>
          <w:sz w:val="20"/>
          <w:szCs w:val="20"/>
          <w:color w:val="auto"/>
        </w:rPr>
      </w:pPr>
    </w:p>
    <w:p>
      <w:pPr>
        <w:ind w:firstLine="456"/>
        <w:spacing w:after="0" w:line="268" w:lineRule="auto"/>
        <w:rPr>
          <w:sz w:val="20"/>
          <w:szCs w:val="20"/>
          <w:color w:val="auto"/>
        </w:rPr>
      </w:pPr>
      <w:r>
        <w:rPr>
          <w:rFonts w:ascii="Arial" w:cs="Arial" w:eastAsia="Arial" w:hAnsi="Arial"/>
          <w:sz w:val="18"/>
          <w:szCs w:val="18"/>
          <w:color w:val="auto"/>
        </w:rPr>
        <w:t>We incorporate the information required for this item by reference to pages 34 to 35 of our 2006 Annual Report to Shareholders set forth as Exhibit 13.1 to this Annual Report on Form 10-K.</w:t>
      </w:r>
    </w:p>
    <w:p>
      <w:pPr>
        <w:spacing w:after="0" w:line="248" w:lineRule="exact"/>
        <w:rPr>
          <w:sz w:val="20"/>
          <w:szCs w:val="20"/>
          <w:color w:val="auto"/>
        </w:rPr>
      </w:pPr>
    </w:p>
    <w:p>
      <w:pPr>
        <w:spacing w:after="0"/>
        <w:tabs>
          <w:tab w:leader="none" w:pos="1020" w:val="left"/>
        </w:tabs>
        <w:rPr>
          <w:sz w:val="20"/>
          <w:szCs w:val="20"/>
          <w:color w:val="auto"/>
        </w:rPr>
      </w:pPr>
      <w:r>
        <w:rPr>
          <w:rFonts w:ascii="Arial" w:cs="Arial" w:eastAsia="Arial" w:hAnsi="Arial"/>
          <w:sz w:val="18"/>
          <w:szCs w:val="18"/>
          <w:b w:val="1"/>
          <w:bCs w:val="1"/>
          <w:color w:val="auto"/>
        </w:rPr>
        <w:t>ITEM 8:</w:t>
      </w:r>
      <w:r>
        <w:rPr>
          <w:sz w:val="20"/>
          <w:szCs w:val="20"/>
          <w:color w:val="auto"/>
        </w:rPr>
        <w:tab/>
      </w:r>
      <w:r>
        <w:rPr>
          <w:rFonts w:ascii="Arial" w:cs="Arial" w:eastAsia="Arial" w:hAnsi="Arial"/>
          <w:sz w:val="16"/>
          <w:szCs w:val="16"/>
          <w:b w:val="1"/>
          <w:bCs w:val="1"/>
          <w:color w:val="auto"/>
        </w:rPr>
        <w:t>FINANCIAL STATEMENTS AND SUPPLEMENTARY DATA</w:t>
      </w:r>
    </w:p>
    <w:p>
      <w:pPr>
        <w:spacing w:after="0" w:line="96" w:lineRule="exact"/>
        <w:rPr>
          <w:sz w:val="20"/>
          <w:szCs w:val="20"/>
          <w:color w:val="auto"/>
        </w:rPr>
      </w:pPr>
    </w:p>
    <w:p>
      <w:pPr>
        <w:ind w:firstLine="456"/>
        <w:spacing w:after="0" w:line="268" w:lineRule="auto"/>
        <w:rPr>
          <w:sz w:val="20"/>
          <w:szCs w:val="20"/>
          <w:color w:val="auto"/>
        </w:rPr>
      </w:pPr>
      <w:r>
        <w:rPr>
          <w:rFonts w:ascii="Arial" w:cs="Arial" w:eastAsia="Arial" w:hAnsi="Arial"/>
          <w:sz w:val="18"/>
          <w:szCs w:val="18"/>
          <w:color w:val="auto"/>
        </w:rPr>
        <w:t>We incorporate the information required for this item by reference to pages 39 to 75 of our 2006 Annual Report to Shareholders set forth as Exhibit 13.1 to this Annual Report on Form 10-K.</w:t>
      </w:r>
    </w:p>
    <w:p>
      <w:pPr>
        <w:spacing w:after="0" w:line="248" w:lineRule="exact"/>
        <w:rPr>
          <w:sz w:val="20"/>
          <w:szCs w:val="20"/>
          <w:color w:val="auto"/>
        </w:rPr>
      </w:pPr>
    </w:p>
    <w:p>
      <w:pPr>
        <w:spacing w:after="0"/>
        <w:tabs>
          <w:tab w:leader="none" w:pos="1020" w:val="left"/>
        </w:tabs>
        <w:rPr>
          <w:sz w:val="20"/>
          <w:szCs w:val="20"/>
          <w:color w:val="auto"/>
        </w:rPr>
      </w:pPr>
      <w:r>
        <w:rPr>
          <w:rFonts w:ascii="Arial" w:cs="Arial" w:eastAsia="Arial" w:hAnsi="Arial"/>
          <w:sz w:val="18"/>
          <w:szCs w:val="18"/>
          <w:b w:val="1"/>
          <w:bCs w:val="1"/>
          <w:color w:val="auto"/>
        </w:rPr>
        <w:t>ITEM 9:</w:t>
      </w:r>
      <w:r>
        <w:rPr>
          <w:sz w:val="20"/>
          <w:szCs w:val="20"/>
          <w:color w:val="auto"/>
        </w:rPr>
        <w:tab/>
      </w:r>
      <w:r>
        <w:rPr>
          <w:rFonts w:ascii="Arial" w:cs="Arial" w:eastAsia="Arial" w:hAnsi="Arial"/>
          <w:sz w:val="16"/>
          <w:szCs w:val="16"/>
          <w:b w:val="1"/>
          <w:bCs w:val="1"/>
          <w:color w:val="auto"/>
        </w:rPr>
        <w:t>CHANGES IN AND DISAGREEMENTS WITH ACCOUNTANTS ON ACCOUNTING AND FINANCIAL DISCLOSURE</w:t>
      </w:r>
    </w:p>
    <w:p>
      <w:pPr>
        <w:spacing w:after="0" w:line="96" w:lineRule="exact"/>
        <w:rPr>
          <w:sz w:val="20"/>
          <w:szCs w:val="20"/>
          <w:color w:val="auto"/>
        </w:rPr>
      </w:pPr>
    </w:p>
    <w:p>
      <w:pPr>
        <w:ind w:left="460"/>
        <w:spacing w:after="0"/>
        <w:rPr>
          <w:sz w:val="20"/>
          <w:szCs w:val="20"/>
          <w:color w:val="auto"/>
        </w:rPr>
      </w:pPr>
      <w:r>
        <w:rPr>
          <w:rFonts w:ascii="Arial" w:cs="Arial" w:eastAsia="Arial" w:hAnsi="Arial"/>
          <w:sz w:val="18"/>
          <w:szCs w:val="18"/>
          <w:color w:val="auto"/>
        </w:rPr>
        <w:t>None.</w:t>
      </w:r>
    </w:p>
    <w:p>
      <w:pPr>
        <w:spacing w:after="0" w:line="287" w:lineRule="exact"/>
        <w:rPr>
          <w:sz w:val="20"/>
          <w:szCs w:val="20"/>
          <w:color w:val="auto"/>
        </w:rPr>
      </w:pPr>
    </w:p>
    <w:p>
      <w:pPr>
        <w:spacing w:after="0"/>
        <w:tabs>
          <w:tab w:leader="none" w:pos="1020" w:val="left"/>
        </w:tabs>
        <w:rPr>
          <w:sz w:val="20"/>
          <w:szCs w:val="20"/>
          <w:color w:val="auto"/>
        </w:rPr>
      </w:pPr>
      <w:r>
        <w:rPr>
          <w:rFonts w:ascii="Arial" w:cs="Arial" w:eastAsia="Arial" w:hAnsi="Arial"/>
          <w:sz w:val="18"/>
          <w:szCs w:val="18"/>
          <w:b w:val="1"/>
          <w:bCs w:val="1"/>
          <w:color w:val="auto"/>
        </w:rPr>
        <w:t>ITEM 9A:</w:t>
      </w:r>
      <w:r>
        <w:rPr>
          <w:sz w:val="20"/>
          <w:szCs w:val="20"/>
          <w:color w:val="auto"/>
        </w:rPr>
        <w:tab/>
      </w:r>
      <w:r>
        <w:rPr>
          <w:rFonts w:ascii="Arial" w:cs="Arial" w:eastAsia="Arial" w:hAnsi="Arial"/>
          <w:sz w:val="16"/>
          <w:szCs w:val="16"/>
          <w:b w:val="1"/>
          <w:bCs w:val="1"/>
          <w:color w:val="auto"/>
        </w:rPr>
        <w:t>CONTROLS AND PROCEDURES</w:t>
      </w:r>
    </w:p>
    <w:p>
      <w:pPr>
        <w:spacing w:after="0" w:line="9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Conclusions regarding disclosure controls and procedures.</w:t>
      </w:r>
    </w:p>
    <w:p>
      <w:pPr>
        <w:spacing w:after="0" w:line="96" w:lineRule="exact"/>
        <w:rPr>
          <w:sz w:val="20"/>
          <w:szCs w:val="20"/>
          <w:color w:val="auto"/>
        </w:rPr>
      </w:pPr>
    </w:p>
    <w:p>
      <w:pPr>
        <w:ind w:right="120" w:firstLine="456"/>
        <w:spacing w:after="0" w:line="256" w:lineRule="auto"/>
        <w:rPr>
          <w:sz w:val="20"/>
          <w:szCs w:val="20"/>
          <w:color w:val="auto"/>
        </w:rPr>
      </w:pPr>
      <w:r>
        <w:rPr>
          <w:rFonts w:ascii="Arial" w:cs="Arial" w:eastAsia="Arial" w:hAnsi="Arial"/>
          <w:sz w:val="18"/>
          <w:szCs w:val="18"/>
          <w:color w:val="auto"/>
        </w:rPr>
        <w:t>Our principal executive officers and principal financial officers, after evaluating the effectiveness of our disclosure controls and procedures (as defined in the Securities Exchange Act of 1934 Rules 13a-15(e) or 15d-15(e)) as of the end of the period covered by this report, have concluded that, based on the evaluation of these controls and procedures required by paragraph (b) of Exchange Act Rules 13a-15 or 15d-15, our disclosure controls and procedures were effective.</w:t>
      </w:r>
    </w:p>
    <w:p>
      <w:pPr>
        <w:spacing w:after="0" w:line="21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Management’s annual report on internal control over financial reporting.</w:t>
      </w:r>
    </w:p>
    <w:p>
      <w:pPr>
        <w:spacing w:after="0" w:line="96" w:lineRule="exact"/>
        <w:rPr>
          <w:sz w:val="20"/>
          <w:szCs w:val="20"/>
          <w:color w:val="auto"/>
        </w:rPr>
      </w:pPr>
    </w:p>
    <w:p>
      <w:pPr>
        <w:ind w:right="180" w:firstLine="456"/>
        <w:spacing w:after="0" w:line="268" w:lineRule="auto"/>
        <w:rPr>
          <w:sz w:val="20"/>
          <w:szCs w:val="20"/>
          <w:color w:val="auto"/>
        </w:rPr>
      </w:pPr>
      <w:r>
        <w:rPr>
          <w:rFonts w:ascii="Arial" w:cs="Arial" w:eastAsia="Arial" w:hAnsi="Arial"/>
          <w:sz w:val="18"/>
          <w:szCs w:val="18"/>
          <w:color w:val="auto"/>
        </w:rPr>
        <w:t>We incorporate the information required for this item by reference to page 37 of our 2006 Annual Report to Shareholders set forth as Exhibit 13.1 to this Annual Report on Form 10-K.</w:t>
      </w:r>
    </w:p>
    <w:p>
      <w:pPr>
        <w:spacing w:after="0" w:line="20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Attestation report of the registered public accounting firm.</w:t>
      </w:r>
    </w:p>
    <w:p>
      <w:pPr>
        <w:spacing w:after="0" w:line="96" w:lineRule="exact"/>
        <w:rPr>
          <w:sz w:val="20"/>
          <w:szCs w:val="20"/>
          <w:color w:val="auto"/>
        </w:rPr>
      </w:pPr>
    </w:p>
    <w:p>
      <w:pPr>
        <w:ind w:right="180" w:firstLine="456"/>
        <w:spacing w:after="0" w:line="268" w:lineRule="auto"/>
        <w:rPr>
          <w:sz w:val="20"/>
          <w:szCs w:val="20"/>
          <w:color w:val="auto"/>
        </w:rPr>
      </w:pPr>
      <w:r>
        <w:rPr>
          <w:rFonts w:ascii="Arial" w:cs="Arial" w:eastAsia="Arial" w:hAnsi="Arial"/>
          <w:sz w:val="18"/>
          <w:szCs w:val="18"/>
          <w:color w:val="auto"/>
        </w:rPr>
        <w:t>We incorporate the information required for this item by reference to page 38 of our 2006 Annual Report to Shareholders set forth as Exhibit 13.1 to this Annual Report on Form 10-K.</w:t>
      </w:r>
    </w:p>
    <w:p>
      <w:pPr>
        <w:spacing w:after="0" w:line="118" w:lineRule="exact"/>
        <w:rPr>
          <w:sz w:val="20"/>
          <w:szCs w:val="20"/>
          <w:color w:val="auto"/>
        </w:rPr>
      </w:pPr>
    </w:p>
    <w:p>
      <w:pPr>
        <w:jc w:val="center"/>
        <w:ind w:right="-79"/>
        <w:spacing w:after="0"/>
        <w:rPr>
          <w:sz w:val="20"/>
          <w:szCs w:val="20"/>
          <w:color w:val="auto"/>
        </w:rPr>
      </w:pPr>
      <w:r>
        <w:rPr>
          <w:rFonts w:ascii="Arial" w:cs="Arial" w:eastAsia="Arial" w:hAnsi="Arial"/>
          <w:sz w:val="18"/>
          <w:szCs w:val="18"/>
          <w:color w:val="auto"/>
        </w:rPr>
        <w:t>24</w:t>
      </w:r>
    </w:p>
    <w:p>
      <w:pPr>
        <w:sectPr>
          <w:pgSz w:w="11900" w:h="16838" w:orient="portrait"/>
          <w:cols w:equalWidth="0" w:num="1">
            <w:col w:w="11360"/>
          </w:cols>
          <w:pgMar w:left="240" w:top="459" w:right="299" w:bottom="1440" w:gutter="0" w:footer="0" w:header="0"/>
        </w:sectPr>
      </w:pPr>
    </w:p>
    <w:bookmarkStart w:id="27" w:name="page28"/>
    <w:bookmarkEnd w:id="2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Changes in internal control over financial reporting.</w:t>
      </w:r>
    </w:p>
    <w:p>
      <w:pPr>
        <w:spacing w:after="0" w:line="96" w:lineRule="exact"/>
        <w:rPr>
          <w:sz w:val="20"/>
          <w:szCs w:val="20"/>
          <w:color w:val="auto"/>
        </w:rPr>
      </w:pPr>
    </w:p>
    <w:p>
      <w:pPr>
        <w:ind w:right="160" w:firstLine="456"/>
        <w:spacing w:after="0" w:line="259" w:lineRule="auto"/>
        <w:rPr>
          <w:sz w:val="20"/>
          <w:szCs w:val="20"/>
          <w:color w:val="auto"/>
        </w:rPr>
      </w:pPr>
      <w:r>
        <w:rPr>
          <w:rFonts w:ascii="Arial" w:cs="Arial" w:eastAsia="Arial" w:hAnsi="Arial"/>
          <w:sz w:val="18"/>
          <w:szCs w:val="18"/>
          <w:color w:val="auto"/>
        </w:rPr>
        <w:t>There were no changes in our internal control over financial reporting identified in connection with the evaluation required by paragraph (d) of Exchange Act Rules 13a-15 or 15d-15 that occurred during our last fiscal quarter that have materially affected, or are reasonably likely to materially affect, our internal control over financial reporting.</w:t>
      </w:r>
    </w:p>
    <w:p>
      <w:pPr>
        <w:spacing w:after="0" w:line="256" w:lineRule="exact"/>
        <w:rPr>
          <w:sz w:val="20"/>
          <w:szCs w:val="20"/>
          <w:color w:val="auto"/>
        </w:rPr>
      </w:pPr>
    </w:p>
    <w:p>
      <w:pPr>
        <w:spacing w:after="0"/>
        <w:tabs>
          <w:tab w:leader="none" w:pos="1020" w:val="left"/>
        </w:tabs>
        <w:rPr>
          <w:sz w:val="20"/>
          <w:szCs w:val="20"/>
          <w:color w:val="auto"/>
        </w:rPr>
      </w:pPr>
      <w:r>
        <w:rPr>
          <w:rFonts w:ascii="Arial" w:cs="Arial" w:eastAsia="Arial" w:hAnsi="Arial"/>
          <w:sz w:val="18"/>
          <w:szCs w:val="18"/>
          <w:b w:val="1"/>
          <w:bCs w:val="1"/>
          <w:color w:val="auto"/>
        </w:rPr>
        <w:t>ITEM 9B:</w:t>
        <w:tab/>
        <w:t>OTHER INFORMATION</w:t>
      </w:r>
    </w:p>
    <w:p>
      <w:pPr>
        <w:spacing w:after="0" w:line="96" w:lineRule="exact"/>
        <w:rPr>
          <w:sz w:val="20"/>
          <w:szCs w:val="20"/>
          <w:color w:val="auto"/>
        </w:rPr>
      </w:pPr>
    </w:p>
    <w:p>
      <w:pPr>
        <w:ind w:left="460"/>
        <w:spacing w:after="0"/>
        <w:rPr>
          <w:sz w:val="20"/>
          <w:szCs w:val="20"/>
          <w:color w:val="auto"/>
        </w:rPr>
      </w:pPr>
      <w:r>
        <w:rPr>
          <w:rFonts w:ascii="Arial" w:cs="Arial" w:eastAsia="Arial" w:hAnsi="Arial"/>
          <w:sz w:val="18"/>
          <w:szCs w:val="18"/>
          <w:color w:val="auto"/>
        </w:rPr>
        <w:t>None.</w:t>
      </w:r>
    </w:p>
    <w:p>
      <w:pPr>
        <w:spacing w:after="0" w:line="327"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PART III</w:t>
      </w:r>
    </w:p>
    <w:p>
      <w:pPr>
        <w:spacing w:after="0" w:line="212" w:lineRule="exact"/>
        <w:rPr>
          <w:sz w:val="20"/>
          <w:szCs w:val="20"/>
          <w:color w:val="auto"/>
        </w:rPr>
      </w:pPr>
    </w:p>
    <w:p>
      <w:pPr>
        <w:spacing w:after="0"/>
        <w:tabs>
          <w:tab w:leader="none" w:pos="1020" w:val="left"/>
        </w:tabs>
        <w:rPr>
          <w:sz w:val="20"/>
          <w:szCs w:val="20"/>
          <w:color w:val="auto"/>
        </w:rPr>
      </w:pPr>
      <w:r>
        <w:rPr>
          <w:rFonts w:ascii="Arial" w:cs="Arial" w:eastAsia="Arial" w:hAnsi="Arial"/>
          <w:sz w:val="18"/>
          <w:szCs w:val="18"/>
          <w:b w:val="1"/>
          <w:bCs w:val="1"/>
          <w:color w:val="auto"/>
        </w:rPr>
        <w:t>ITEM 10:</w:t>
      </w:r>
      <w:r>
        <w:rPr>
          <w:sz w:val="20"/>
          <w:szCs w:val="20"/>
          <w:color w:val="auto"/>
        </w:rPr>
        <w:tab/>
      </w:r>
      <w:r>
        <w:rPr>
          <w:rFonts w:ascii="Arial" w:cs="Arial" w:eastAsia="Arial" w:hAnsi="Arial"/>
          <w:sz w:val="16"/>
          <w:szCs w:val="16"/>
          <w:b w:val="1"/>
          <w:bCs w:val="1"/>
          <w:color w:val="auto"/>
        </w:rPr>
        <w:t>DIRECTORS AND EXECUTIVE OFFICERS OF THE REGISTRANT</w:t>
      </w:r>
    </w:p>
    <w:p>
      <w:pPr>
        <w:spacing w:after="0" w:line="96" w:lineRule="exact"/>
        <w:rPr>
          <w:sz w:val="20"/>
          <w:szCs w:val="20"/>
          <w:color w:val="auto"/>
        </w:rPr>
      </w:pPr>
    </w:p>
    <w:p>
      <w:pPr>
        <w:ind w:left="460"/>
        <w:spacing w:after="0"/>
        <w:rPr>
          <w:sz w:val="20"/>
          <w:szCs w:val="20"/>
          <w:color w:val="auto"/>
        </w:rPr>
      </w:pPr>
      <w:r>
        <w:rPr>
          <w:rFonts w:ascii="Arial" w:cs="Arial" w:eastAsia="Arial" w:hAnsi="Arial"/>
          <w:sz w:val="16"/>
          <w:szCs w:val="16"/>
          <w:color w:val="auto"/>
        </w:rPr>
        <w:t>Except for the information regarding executive officers required by Item 401 of Regulation S-K, which is included in Part I of this Annual Report on</w:t>
      </w:r>
    </w:p>
    <w:p>
      <w:pPr>
        <w:spacing w:after="0" w:line="38" w:lineRule="exact"/>
        <w:rPr>
          <w:sz w:val="20"/>
          <w:szCs w:val="20"/>
          <w:color w:val="auto"/>
        </w:rPr>
      </w:pPr>
    </w:p>
    <w:p>
      <w:pPr>
        <w:spacing w:after="0"/>
        <w:rPr>
          <w:sz w:val="20"/>
          <w:szCs w:val="20"/>
          <w:color w:val="auto"/>
        </w:rPr>
      </w:pPr>
      <w:r>
        <w:rPr>
          <w:rFonts w:ascii="Arial" w:cs="Arial" w:eastAsia="Arial" w:hAnsi="Arial"/>
          <w:sz w:val="16"/>
          <w:szCs w:val="16"/>
          <w:color w:val="auto"/>
        </w:rPr>
        <w:t>Form 10-K as Item 4A, we incorporate the information required by this item by reference to our definitive proxy statement for our annual meeting of shareholders</w:t>
      </w:r>
    </w:p>
    <w:p>
      <w:pPr>
        <w:spacing w:after="0" w:line="32" w:lineRule="exact"/>
        <w:rPr>
          <w:sz w:val="20"/>
          <w:szCs w:val="20"/>
          <w:color w:val="auto"/>
        </w:rPr>
      </w:pPr>
    </w:p>
    <w:p>
      <w:pPr>
        <w:spacing w:after="0"/>
        <w:rPr>
          <w:sz w:val="20"/>
          <w:szCs w:val="20"/>
          <w:color w:val="auto"/>
        </w:rPr>
      </w:pPr>
      <w:r>
        <w:rPr>
          <w:rFonts w:ascii="Arial" w:cs="Arial" w:eastAsia="Arial" w:hAnsi="Arial"/>
          <w:sz w:val="18"/>
          <w:szCs w:val="18"/>
          <w:color w:val="auto"/>
        </w:rPr>
        <w:t>presently scheduled to be held in May 2007. We refer to this proxy statement as the 2007 Proxy Statement.</w:t>
      </w:r>
    </w:p>
    <w:p>
      <w:pPr>
        <w:spacing w:after="0" w:line="280" w:lineRule="exact"/>
        <w:rPr>
          <w:sz w:val="20"/>
          <w:szCs w:val="20"/>
          <w:color w:val="auto"/>
        </w:rPr>
      </w:pPr>
    </w:p>
    <w:p>
      <w:pPr>
        <w:spacing w:after="0"/>
        <w:tabs>
          <w:tab w:leader="none" w:pos="1020" w:val="left"/>
        </w:tabs>
        <w:rPr>
          <w:sz w:val="20"/>
          <w:szCs w:val="20"/>
          <w:color w:val="auto"/>
        </w:rPr>
      </w:pPr>
      <w:r>
        <w:rPr>
          <w:rFonts w:ascii="Arial" w:cs="Arial" w:eastAsia="Arial" w:hAnsi="Arial"/>
          <w:sz w:val="18"/>
          <w:szCs w:val="18"/>
          <w:b w:val="1"/>
          <w:bCs w:val="1"/>
          <w:color w:val="auto"/>
        </w:rPr>
        <w:t>ITEM 11:</w:t>
      </w:r>
      <w:r>
        <w:rPr>
          <w:sz w:val="20"/>
          <w:szCs w:val="20"/>
          <w:color w:val="auto"/>
        </w:rPr>
        <w:tab/>
      </w:r>
      <w:r>
        <w:rPr>
          <w:rFonts w:ascii="Arial" w:cs="Arial" w:eastAsia="Arial" w:hAnsi="Arial"/>
          <w:sz w:val="16"/>
          <w:szCs w:val="16"/>
          <w:b w:val="1"/>
          <w:bCs w:val="1"/>
          <w:color w:val="auto"/>
        </w:rPr>
        <w:t>EXECUTIVE COMPENSATION</w:t>
      </w:r>
    </w:p>
    <w:p>
      <w:pPr>
        <w:spacing w:after="0" w:line="96" w:lineRule="exact"/>
        <w:rPr>
          <w:sz w:val="20"/>
          <w:szCs w:val="20"/>
          <w:color w:val="auto"/>
        </w:rPr>
      </w:pPr>
    </w:p>
    <w:p>
      <w:pPr>
        <w:ind w:left="460"/>
        <w:spacing w:after="0"/>
        <w:rPr>
          <w:sz w:val="20"/>
          <w:szCs w:val="20"/>
          <w:color w:val="auto"/>
        </w:rPr>
      </w:pPr>
      <w:r>
        <w:rPr>
          <w:rFonts w:ascii="Arial" w:cs="Arial" w:eastAsia="Arial" w:hAnsi="Arial"/>
          <w:sz w:val="18"/>
          <w:szCs w:val="18"/>
          <w:color w:val="auto"/>
        </w:rPr>
        <w:t>We incorporate the information required by this item by reference to our 2007 Proxy Statement.</w:t>
      </w:r>
    </w:p>
    <w:p>
      <w:pPr>
        <w:spacing w:after="0" w:line="287" w:lineRule="exact"/>
        <w:rPr>
          <w:sz w:val="20"/>
          <w:szCs w:val="20"/>
          <w:color w:val="auto"/>
        </w:rPr>
      </w:pPr>
    </w:p>
    <w:p>
      <w:pPr>
        <w:spacing w:after="0"/>
        <w:tabs>
          <w:tab w:leader="none" w:pos="1020" w:val="left"/>
        </w:tabs>
        <w:rPr>
          <w:sz w:val="20"/>
          <w:szCs w:val="20"/>
          <w:color w:val="auto"/>
        </w:rPr>
      </w:pPr>
      <w:r>
        <w:rPr>
          <w:rFonts w:ascii="Arial" w:cs="Arial" w:eastAsia="Arial" w:hAnsi="Arial"/>
          <w:sz w:val="18"/>
          <w:szCs w:val="18"/>
          <w:b w:val="1"/>
          <w:bCs w:val="1"/>
          <w:color w:val="auto"/>
        </w:rPr>
        <w:t>ITEM 12:</w:t>
      </w:r>
      <w:r>
        <w:rPr>
          <w:sz w:val="20"/>
          <w:szCs w:val="20"/>
          <w:color w:val="auto"/>
        </w:rPr>
        <w:tab/>
      </w:r>
      <w:r>
        <w:rPr>
          <w:rFonts w:ascii="Arial" w:cs="Arial" w:eastAsia="Arial" w:hAnsi="Arial"/>
          <w:sz w:val="16"/>
          <w:szCs w:val="16"/>
          <w:b w:val="1"/>
          <w:bCs w:val="1"/>
          <w:color w:val="auto"/>
        </w:rPr>
        <w:t>SECURITY OWNERSHIP OF CERTAIN BENEFICIAL OWNERS AND MANAGEMENT</w:t>
      </w:r>
    </w:p>
    <w:p>
      <w:pPr>
        <w:spacing w:after="0" w:line="96" w:lineRule="exact"/>
        <w:rPr>
          <w:sz w:val="20"/>
          <w:szCs w:val="20"/>
          <w:color w:val="auto"/>
        </w:rPr>
      </w:pPr>
    </w:p>
    <w:p>
      <w:pPr>
        <w:ind w:left="460"/>
        <w:spacing w:after="0"/>
        <w:rPr>
          <w:sz w:val="20"/>
          <w:szCs w:val="20"/>
          <w:color w:val="auto"/>
        </w:rPr>
      </w:pPr>
      <w:r>
        <w:rPr>
          <w:rFonts w:ascii="Arial" w:cs="Arial" w:eastAsia="Arial" w:hAnsi="Arial"/>
          <w:sz w:val="18"/>
          <w:szCs w:val="18"/>
          <w:color w:val="auto"/>
        </w:rPr>
        <w:t>We incorporate the information required by this item by reference to our 2007 Proxy Statement.</w:t>
      </w:r>
    </w:p>
    <w:p>
      <w:pPr>
        <w:spacing w:after="0" w:line="287" w:lineRule="exact"/>
        <w:rPr>
          <w:sz w:val="20"/>
          <w:szCs w:val="20"/>
          <w:color w:val="auto"/>
        </w:rPr>
      </w:pPr>
    </w:p>
    <w:p>
      <w:pPr>
        <w:spacing w:after="0"/>
        <w:tabs>
          <w:tab w:leader="none" w:pos="1020" w:val="left"/>
        </w:tabs>
        <w:rPr>
          <w:sz w:val="20"/>
          <w:szCs w:val="20"/>
          <w:color w:val="auto"/>
        </w:rPr>
      </w:pPr>
      <w:r>
        <w:rPr>
          <w:rFonts w:ascii="Arial" w:cs="Arial" w:eastAsia="Arial" w:hAnsi="Arial"/>
          <w:sz w:val="18"/>
          <w:szCs w:val="18"/>
          <w:b w:val="1"/>
          <w:bCs w:val="1"/>
          <w:color w:val="auto"/>
        </w:rPr>
        <w:t>ITEM 13:</w:t>
      </w:r>
      <w:r>
        <w:rPr>
          <w:sz w:val="20"/>
          <w:szCs w:val="20"/>
          <w:color w:val="auto"/>
        </w:rPr>
        <w:tab/>
      </w:r>
      <w:r>
        <w:rPr>
          <w:rFonts w:ascii="Arial" w:cs="Arial" w:eastAsia="Arial" w:hAnsi="Arial"/>
          <w:sz w:val="16"/>
          <w:szCs w:val="16"/>
          <w:b w:val="1"/>
          <w:bCs w:val="1"/>
          <w:color w:val="auto"/>
        </w:rPr>
        <w:t>CERTAIN RELATIONSHIPS AND RELATED TRANSACTIONS</w:t>
      </w:r>
    </w:p>
    <w:p>
      <w:pPr>
        <w:spacing w:after="0" w:line="96" w:lineRule="exact"/>
        <w:rPr>
          <w:sz w:val="20"/>
          <w:szCs w:val="20"/>
          <w:color w:val="auto"/>
        </w:rPr>
      </w:pPr>
    </w:p>
    <w:p>
      <w:pPr>
        <w:ind w:left="460"/>
        <w:spacing w:after="0"/>
        <w:rPr>
          <w:sz w:val="20"/>
          <w:szCs w:val="20"/>
          <w:color w:val="auto"/>
        </w:rPr>
      </w:pPr>
      <w:r>
        <w:rPr>
          <w:rFonts w:ascii="Arial" w:cs="Arial" w:eastAsia="Arial" w:hAnsi="Arial"/>
          <w:sz w:val="18"/>
          <w:szCs w:val="18"/>
          <w:color w:val="auto"/>
        </w:rPr>
        <w:t>We incorporate the information required by this item by reference to our 2007 Proxy Statement.</w:t>
      </w:r>
    </w:p>
    <w:p>
      <w:pPr>
        <w:spacing w:after="0" w:line="287" w:lineRule="exact"/>
        <w:rPr>
          <w:sz w:val="20"/>
          <w:szCs w:val="20"/>
          <w:color w:val="auto"/>
        </w:rPr>
      </w:pPr>
    </w:p>
    <w:p>
      <w:pPr>
        <w:spacing w:after="0"/>
        <w:tabs>
          <w:tab w:leader="none" w:pos="1020" w:val="left"/>
        </w:tabs>
        <w:rPr>
          <w:sz w:val="20"/>
          <w:szCs w:val="20"/>
          <w:color w:val="auto"/>
        </w:rPr>
      </w:pPr>
      <w:r>
        <w:rPr>
          <w:rFonts w:ascii="Arial" w:cs="Arial" w:eastAsia="Arial" w:hAnsi="Arial"/>
          <w:sz w:val="18"/>
          <w:szCs w:val="18"/>
          <w:b w:val="1"/>
          <w:bCs w:val="1"/>
          <w:color w:val="auto"/>
        </w:rPr>
        <w:t>ITEM 14:</w:t>
      </w:r>
      <w:r>
        <w:rPr>
          <w:sz w:val="20"/>
          <w:szCs w:val="20"/>
          <w:color w:val="auto"/>
        </w:rPr>
        <w:tab/>
      </w:r>
      <w:r>
        <w:rPr>
          <w:rFonts w:ascii="Arial" w:cs="Arial" w:eastAsia="Arial" w:hAnsi="Arial"/>
          <w:sz w:val="16"/>
          <w:szCs w:val="16"/>
          <w:b w:val="1"/>
          <w:bCs w:val="1"/>
          <w:color w:val="auto"/>
        </w:rPr>
        <w:t>PRINCIPAL ACCOUNTANT FEES AND SERVICES</w:t>
      </w:r>
    </w:p>
    <w:p>
      <w:pPr>
        <w:spacing w:after="0" w:line="96" w:lineRule="exact"/>
        <w:rPr>
          <w:sz w:val="20"/>
          <w:szCs w:val="20"/>
          <w:color w:val="auto"/>
        </w:rPr>
      </w:pPr>
    </w:p>
    <w:p>
      <w:pPr>
        <w:ind w:left="460"/>
        <w:spacing w:after="0"/>
        <w:rPr>
          <w:sz w:val="20"/>
          <w:szCs w:val="20"/>
          <w:color w:val="auto"/>
        </w:rPr>
      </w:pPr>
      <w:r>
        <w:rPr>
          <w:rFonts w:ascii="Arial" w:cs="Arial" w:eastAsia="Arial" w:hAnsi="Arial"/>
          <w:sz w:val="18"/>
          <w:szCs w:val="18"/>
          <w:color w:val="auto"/>
        </w:rPr>
        <w:t>We incorporate the information required by this item by reference to our 2007 Proxy Statement.</w:t>
      </w:r>
    </w:p>
    <w:p>
      <w:pPr>
        <w:spacing w:after="0" w:line="171" w:lineRule="exact"/>
        <w:rPr>
          <w:sz w:val="20"/>
          <w:szCs w:val="20"/>
          <w:color w:val="auto"/>
        </w:rPr>
      </w:pPr>
    </w:p>
    <w:p>
      <w:pPr>
        <w:jc w:val="center"/>
        <w:ind w:left="660" w:right="40"/>
        <w:spacing w:after="0" w:line="440" w:lineRule="auto"/>
        <w:rPr>
          <w:sz w:val="20"/>
          <w:szCs w:val="20"/>
          <w:color w:val="auto"/>
        </w:rPr>
      </w:pPr>
      <w:r>
        <w:rPr>
          <w:rFonts w:ascii="Arial" w:cs="Arial" w:eastAsia="Arial" w:hAnsi="Arial"/>
          <w:sz w:val="18"/>
          <w:szCs w:val="18"/>
          <w:color w:val="auto"/>
        </w:rPr>
        <w:t>We will file our 2007 Proxy Statement for our Annual Meeting of Shareholders with the Securities and Exchange Commission on or before April 30, 2007. 25</w:t>
      </w:r>
    </w:p>
    <w:p>
      <w:pPr>
        <w:sectPr>
          <w:pgSz w:w="11900" w:h="16838" w:orient="portrait"/>
          <w:cols w:equalWidth="0" w:num="1">
            <w:col w:w="11400"/>
          </w:cols>
          <w:pgMar w:left="240" w:top="459" w:right="259" w:bottom="1440" w:gutter="0" w:footer="0" w:header="0"/>
        </w:sectPr>
      </w:pPr>
    </w:p>
    <w:bookmarkStart w:id="28" w:name="page29"/>
    <w:bookmarkEnd w:id="2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tbl>
      <w:tblPr>
        <w:tblLayout w:type="fixed"/>
        <w:tblInd w:w="0" w:type="dxa"/>
        <w:tblCellMar>
          <w:top w:w="0" w:type="dxa"/>
          <w:left w:w="0" w:type="dxa"/>
          <w:bottom w:w="0" w:type="dxa"/>
          <w:right w:w="0" w:type="dxa"/>
        </w:tblCellMar>
      </w:tblPr>
      <w:tr>
        <w:trPr>
          <w:trHeight w:val="228"/>
        </w:trPr>
        <w:tc>
          <w:tcPr>
            <w:tcW w:w="4120" w:type="dxa"/>
            <w:vAlign w:val="bottom"/>
          </w:tcPr>
          <w:p>
            <w:pPr>
              <w:spacing w:after="0"/>
              <w:rPr>
                <w:sz w:val="19"/>
                <w:szCs w:val="19"/>
                <w:color w:val="auto"/>
              </w:rPr>
            </w:pPr>
          </w:p>
        </w:tc>
        <w:tc>
          <w:tcPr>
            <w:tcW w:w="840" w:type="dxa"/>
            <w:vAlign w:val="bottom"/>
          </w:tcPr>
          <w:p>
            <w:pPr>
              <w:spacing w:after="0"/>
              <w:rPr>
                <w:sz w:val="19"/>
                <w:szCs w:val="19"/>
                <w:color w:val="auto"/>
              </w:rPr>
            </w:pPr>
          </w:p>
        </w:tc>
        <w:tc>
          <w:tcPr>
            <w:tcW w:w="5520" w:type="dxa"/>
            <w:vAlign w:val="bottom"/>
          </w:tcPr>
          <w:p>
            <w:pPr>
              <w:ind w:left="400"/>
              <w:spacing w:after="0"/>
              <w:rPr>
                <w:sz w:val="20"/>
                <w:szCs w:val="20"/>
                <w:color w:val="auto"/>
              </w:rPr>
            </w:pPr>
            <w:r>
              <w:rPr>
                <w:rFonts w:ascii="Arial" w:cs="Arial" w:eastAsia="Arial" w:hAnsi="Arial"/>
                <w:sz w:val="18"/>
                <w:szCs w:val="18"/>
                <w:b w:val="1"/>
                <w:bCs w:val="1"/>
                <w:color w:val="auto"/>
              </w:rPr>
              <w:t>PART IV</w:t>
            </w:r>
          </w:p>
        </w:tc>
        <w:tc>
          <w:tcPr>
            <w:tcW w:w="220" w:type="dxa"/>
            <w:vAlign w:val="bottom"/>
          </w:tcPr>
          <w:p>
            <w:pPr>
              <w:spacing w:after="0"/>
              <w:rPr>
                <w:sz w:val="19"/>
                <w:szCs w:val="19"/>
                <w:color w:val="auto"/>
              </w:rPr>
            </w:pPr>
          </w:p>
        </w:tc>
        <w:tc>
          <w:tcPr>
            <w:tcW w:w="7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378"/>
        </w:trPr>
        <w:tc>
          <w:tcPr>
            <w:tcW w:w="10480" w:type="dxa"/>
            <w:vAlign w:val="bottom"/>
            <w:gridSpan w:val="3"/>
          </w:tcPr>
          <w:p>
            <w:pPr>
              <w:spacing w:after="0"/>
              <w:rPr>
                <w:sz w:val="20"/>
                <w:szCs w:val="20"/>
                <w:color w:val="auto"/>
              </w:rPr>
            </w:pPr>
            <w:r>
              <w:rPr>
                <w:rFonts w:ascii="Arial" w:cs="Arial" w:eastAsia="Arial" w:hAnsi="Arial"/>
                <w:sz w:val="18"/>
                <w:szCs w:val="18"/>
                <w:b w:val="1"/>
                <w:bCs w:val="1"/>
                <w:color w:val="auto"/>
              </w:rPr>
              <w:t>ITEM 15: EXHIBITS AND FINANCIAL STATEMENT SCHEDULES</w:t>
            </w:r>
          </w:p>
        </w:tc>
        <w:tc>
          <w:tcPr>
            <w:tcW w:w="22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97"/>
        </w:trPr>
        <w:tc>
          <w:tcPr>
            <w:tcW w:w="10480" w:type="dxa"/>
            <w:vAlign w:val="bottom"/>
            <w:gridSpan w:val="3"/>
          </w:tcPr>
          <w:p>
            <w:pPr>
              <w:ind w:left="460"/>
              <w:spacing w:after="0"/>
              <w:rPr>
                <w:sz w:val="20"/>
                <w:szCs w:val="20"/>
                <w:color w:val="auto"/>
              </w:rPr>
            </w:pPr>
            <w:r>
              <w:rPr>
                <w:rFonts w:ascii="Arial" w:cs="Arial" w:eastAsia="Arial" w:hAnsi="Arial"/>
                <w:sz w:val="18"/>
                <w:szCs w:val="18"/>
                <w:color w:val="auto"/>
              </w:rPr>
              <w:t>(a.) Index to Consolidated Financial Statements and Schedules</w:t>
            </w:r>
          </w:p>
        </w:tc>
        <w:tc>
          <w:tcPr>
            <w:tcW w:w="22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40"/>
        </w:trPr>
        <w:tc>
          <w:tcPr>
            <w:tcW w:w="412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55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740" w:type="dxa"/>
            <w:vAlign w:val="bottom"/>
            <w:gridSpan w:val="2"/>
          </w:tcPr>
          <w:p>
            <w:pPr>
              <w:jc w:val="right"/>
              <w:ind w:right="20"/>
              <w:spacing w:after="0"/>
              <w:rPr>
                <w:sz w:val="20"/>
                <w:szCs w:val="20"/>
                <w:color w:val="auto"/>
              </w:rPr>
            </w:pPr>
            <w:r>
              <w:rPr>
                <w:rFonts w:ascii="Arial" w:cs="Arial" w:eastAsia="Arial" w:hAnsi="Arial"/>
                <w:sz w:val="14"/>
                <w:szCs w:val="14"/>
                <w:b w:val="1"/>
                <w:bCs w:val="1"/>
                <w:color w:val="auto"/>
                <w:w w:val="84"/>
              </w:rPr>
              <w:t>2006 Annual</w:t>
            </w:r>
          </w:p>
        </w:tc>
        <w:tc>
          <w:tcPr>
            <w:tcW w:w="0" w:type="dxa"/>
            <w:vAlign w:val="bottom"/>
          </w:tcPr>
          <w:p>
            <w:pPr>
              <w:spacing w:after="0"/>
              <w:rPr>
                <w:sz w:val="1"/>
                <w:szCs w:val="1"/>
                <w:color w:val="auto"/>
              </w:rPr>
            </w:pPr>
          </w:p>
        </w:tc>
      </w:tr>
      <w:tr>
        <w:trPr>
          <w:trHeight w:val="161"/>
        </w:trPr>
        <w:tc>
          <w:tcPr>
            <w:tcW w:w="10480" w:type="dxa"/>
            <w:vAlign w:val="bottom"/>
            <w:gridSpan w:val="3"/>
            <w:vMerge w:val="restart"/>
          </w:tcPr>
          <w:p>
            <w:pPr>
              <w:spacing w:after="0"/>
              <w:rPr>
                <w:sz w:val="20"/>
                <w:szCs w:val="20"/>
                <w:color w:val="auto"/>
              </w:rPr>
            </w:pPr>
            <w:r>
              <w:rPr>
                <w:rFonts w:ascii="Arial" w:cs="Arial" w:eastAsia="Arial" w:hAnsi="Arial"/>
                <w:sz w:val="18"/>
                <w:szCs w:val="18"/>
                <w:color w:val="auto"/>
              </w:rPr>
              <w:t>Report of Independent Registered Public Accounting Firm</w:t>
            </w:r>
          </w:p>
        </w:tc>
        <w:tc>
          <w:tcPr>
            <w:tcW w:w="220" w:type="dxa"/>
            <w:vAlign w:val="bottom"/>
          </w:tcPr>
          <w:p>
            <w:pPr>
              <w:spacing w:after="0"/>
              <w:rPr>
                <w:sz w:val="14"/>
                <w:szCs w:val="14"/>
                <w:color w:val="auto"/>
              </w:rPr>
            </w:pPr>
          </w:p>
        </w:tc>
        <w:tc>
          <w:tcPr>
            <w:tcW w:w="740" w:type="dxa"/>
            <w:vAlign w:val="bottom"/>
            <w:gridSpan w:val="2"/>
          </w:tcPr>
          <w:p>
            <w:pPr>
              <w:jc w:val="right"/>
              <w:ind w:right="20"/>
              <w:spacing w:after="0"/>
              <w:rPr>
                <w:sz w:val="20"/>
                <w:szCs w:val="20"/>
                <w:color w:val="auto"/>
              </w:rPr>
            </w:pPr>
            <w:r>
              <w:rPr>
                <w:rFonts w:ascii="Arial" w:cs="Arial" w:eastAsia="Arial" w:hAnsi="Arial"/>
                <w:sz w:val="14"/>
                <w:szCs w:val="14"/>
                <w:b w:val="1"/>
                <w:bCs w:val="1"/>
                <w:color w:val="auto"/>
                <w:w w:val="84"/>
              </w:rPr>
              <w:t>Report Page</w:t>
            </w:r>
          </w:p>
        </w:tc>
        <w:tc>
          <w:tcPr>
            <w:tcW w:w="0" w:type="dxa"/>
            <w:vAlign w:val="bottom"/>
          </w:tcPr>
          <w:p>
            <w:pPr>
              <w:spacing w:after="0"/>
              <w:rPr>
                <w:sz w:val="1"/>
                <w:szCs w:val="1"/>
                <w:color w:val="auto"/>
              </w:rPr>
            </w:pPr>
          </w:p>
        </w:tc>
      </w:tr>
      <w:tr>
        <w:trPr>
          <w:trHeight w:val="201"/>
        </w:trPr>
        <w:tc>
          <w:tcPr>
            <w:tcW w:w="10480" w:type="dxa"/>
            <w:vAlign w:val="bottom"/>
            <w:gridSpan w:val="3"/>
            <w:vMerge w:val="continue"/>
          </w:tcPr>
          <w:p>
            <w:pPr>
              <w:spacing w:after="0"/>
              <w:rPr>
                <w:sz w:val="17"/>
                <w:szCs w:val="17"/>
                <w:color w:val="auto"/>
              </w:rPr>
            </w:pPr>
          </w:p>
        </w:tc>
        <w:tc>
          <w:tcPr>
            <w:tcW w:w="220" w:type="dxa"/>
            <w:vAlign w:val="bottom"/>
          </w:tcPr>
          <w:p>
            <w:pPr>
              <w:spacing w:after="0"/>
              <w:rPr>
                <w:sz w:val="17"/>
                <w:szCs w:val="17"/>
                <w:color w:val="auto"/>
              </w:rPr>
            </w:pPr>
          </w:p>
        </w:tc>
        <w:tc>
          <w:tcPr>
            <w:tcW w:w="720" w:type="dxa"/>
            <w:vAlign w:val="bottom"/>
            <w:tcBorders>
              <w:top w:val="single" w:sz="8" w:color="auto"/>
            </w:tcBorders>
          </w:tcPr>
          <w:p>
            <w:pPr>
              <w:jc w:val="right"/>
              <w:spacing w:after="0" w:line="201" w:lineRule="exact"/>
              <w:rPr>
                <w:sz w:val="20"/>
                <w:szCs w:val="20"/>
                <w:color w:val="auto"/>
              </w:rPr>
            </w:pPr>
            <w:r>
              <w:rPr>
                <w:rFonts w:ascii="Arial" w:cs="Arial" w:eastAsia="Arial" w:hAnsi="Arial"/>
                <w:sz w:val="18"/>
                <w:szCs w:val="18"/>
                <w:color w:val="auto"/>
              </w:rPr>
              <w:t>38</w:t>
            </w: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10480" w:type="dxa"/>
            <w:vAlign w:val="bottom"/>
            <w:gridSpan w:val="3"/>
          </w:tcPr>
          <w:p>
            <w:pPr>
              <w:spacing w:after="0"/>
              <w:rPr>
                <w:sz w:val="20"/>
                <w:szCs w:val="20"/>
                <w:color w:val="auto"/>
              </w:rPr>
            </w:pPr>
            <w:r>
              <w:rPr>
                <w:rFonts w:ascii="Arial" w:cs="Arial" w:eastAsia="Arial" w:hAnsi="Arial"/>
                <w:sz w:val="18"/>
                <w:szCs w:val="18"/>
                <w:color w:val="auto"/>
              </w:rPr>
              <w:t>Consolidated Balance Sheet—December 31, 2006 and 2005</w:t>
            </w:r>
          </w:p>
        </w:tc>
        <w:tc>
          <w:tcPr>
            <w:tcW w:w="960" w:type="dxa"/>
            <w:vAlign w:val="bottom"/>
            <w:gridSpan w:val="3"/>
          </w:tcPr>
          <w:p>
            <w:pPr>
              <w:jc w:val="right"/>
              <w:ind w:right="20"/>
              <w:spacing w:after="0"/>
              <w:rPr>
                <w:sz w:val="20"/>
                <w:szCs w:val="20"/>
                <w:color w:val="auto"/>
              </w:rPr>
            </w:pPr>
            <w:r>
              <w:rPr>
                <w:rFonts w:ascii="Arial" w:cs="Arial" w:eastAsia="Arial" w:hAnsi="Arial"/>
                <w:sz w:val="18"/>
                <w:szCs w:val="18"/>
                <w:color w:val="auto"/>
              </w:rPr>
              <w:t>39</w:t>
            </w:r>
          </w:p>
        </w:tc>
        <w:tc>
          <w:tcPr>
            <w:tcW w:w="0" w:type="dxa"/>
            <w:vAlign w:val="bottom"/>
          </w:tcPr>
          <w:p>
            <w:pPr>
              <w:spacing w:after="0"/>
              <w:rPr>
                <w:sz w:val="1"/>
                <w:szCs w:val="1"/>
                <w:color w:val="auto"/>
              </w:rPr>
            </w:pPr>
          </w:p>
        </w:tc>
      </w:tr>
      <w:tr>
        <w:trPr>
          <w:trHeight w:val="216"/>
        </w:trPr>
        <w:tc>
          <w:tcPr>
            <w:tcW w:w="10480" w:type="dxa"/>
            <w:vAlign w:val="bottom"/>
            <w:gridSpan w:val="3"/>
          </w:tcPr>
          <w:p>
            <w:pPr>
              <w:spacing w:after="0"/>
              <w:rPr>
                <w:sz w:val="20"/>
                <w:szCs w:val="20"/>
                <w:color w:val="auto"/>
              </w:rPr>
            </w:pPr>
            <w:r>
              <w:rPr>
                <w:rFonts w:ascii="Arial" w:cs="Arial" w:eastAsia="Arial" w:hAnsi="Arial"/>
                <w:sz w:val="18"/>
                <w:szCs w:val="18"/>
                <w:color w:val="auto"/>
              </w:rPr>
              <w:t>Consolidated Statement of Operations—Years Ended December 31, 2006, 2005 and 2004</w:t>
            </w:r>
          </w:p>
        </w:tc>
        <w:tc>
          <w:tcPr>
            <w:tcW w:w="960" w:type="dxa"/>
            <w:vAlign w:val="bottom"/>
            <w:gridSpan w:val="3"/>
          </w:tcPr>
          <w:p>
            <w:pPr>
              <w:jc w:val="right"/>
              <w:ind w:right="20"/>
              <w:spacing w:after="0"/>
              <w:rPr>
                <w:sz w:val="20"/>
                <w:szCs w:val="20"/>
                <w:color w:val="auto"/>
              </w:rPr>
            </w:pPr>
            <w:r>
              <w:rPr>
                <w:rFonts w:ascii="Arial" w:cs="Arial" w:eastAsia="Arial" w:hAnsi="Arial"/>
                <w:sz w:val="18"/>
                <w:szCs w:val="18"/>
                <w:color w:val="auto"/>
              </w:rPr>
              <w:t>40</w:t>
            </w:r>
          </w:p>
        </w:tc>
        <w:tc>
          <w:tcPr>
            <w:tcW w:w="0" w:type="dxa"/>
            <w:vAlign w:val="bottom"/>
          </w:tcPr>
          <w:p>
            <w:pPr>
              <w:spacing w:after="0"/>
              <w:rPr>
                <w:sz w:val="1"/>
                <w:szCs w:val="1"/>
                <w:color w:val="auto"/>
              </w:rPr>
            </w:pPr>
          </w:p>
        </w:tc>
      </w:tr>
      <w:tr>
        <w:trPr>
          <w:trHeight w:val="216"/>
        </w:trPr>
        <w:tc>
          <w:tcPr>
            <w:tcW w:w="10480" w:type="dxa"/>
            <w:vAlign w:val="bottom"/>
            <w:gridSpan w:val="3"/>
          </w:tcPr>
          <w:p>
            <w:pPr>
              <w:spacing w:after="0"/>
              <w:rPr>
                <w:sz w:val="20"/>
                <w:szCs w:val="20"/>
                <w:color w:val="auto"/>
              </w:rPr>
            </w:pPr>
            <w:r>
              <w:rPr>
                <w:rFonts w:ascii="Arial" w:cs="Arial" w:eastAsia="Arial" w:hAnsi="Arial"/>
                <w:sz w:val="18"/>
                <w:szCs w:val="18"/>
                <w:color w:val="auto"/>
              </w:rPr>
              <w:t>Consolidated Statement of Cash Flows—Years Ended December 31, 2006, 2005 and 2004</w:t>
            </w:r>
          </w:p>
        </w:tc>
        <w:tc>
          <w:tcPr>
            <w:tcW w:w="960" w:type="dxa"/>
            <w:vAlign w:val="bottom"/>
            <w:gridSpan w:val="3"/>
          </w:tcPr>
          <w:p>
            <w:pPr>
              <w:jc w:val="right"/>
              <w:ind w:right="20"/>
              <w:spacing w:after="0"/>
              <w:rPr>
                <w:sz w:val="20"/>
                <w:szCs w:val="20"/>
                <w:color w:val="auto"/>
              </w:rPr>
            </w:pPr>
            <w:r>
              <w:rPr>
                <w:rFonts w:ascii="Arial" w:cs="Arial" w:eastAsia="Arial" w:hAnsi="Arial"/>
                <w:sz w:val="18"/>
                <w:szCs w:val="18"/>
                <w:color w:val="auto"/>
              </w:rPr>
              <w:t>41</w:t>
            </w:r>
          </w:p>
        </w:tc>
        <w:tc>
          <w:tcPr>
            <w:tcW w:w="0" w:type="dxa"/>
            <w:vAlign w:val="bottom"/>
          </w:tcPr>
          <w:p>
            <w:pPr>
              <w:spacing w:after="0"/>
              <w:rPr>
                <w:sz w:val="1"/>
                <w:szCs w:val="1"/>
                <w:color w:val="auto"/>
              </w:rPr>
            </w:pPr>
          </w:p>
        </w:tc>
      </w:tr>
      <w:tr>
        <w:trPr>
          <w:trHeight w:val="216"/>
        </w:trPr>
        <w:tc>
          <w:tcPr>
            <w:tcW w:w="10480" w:type="dxa"/>
            <w:vAlign w:val="bottom"/>
            <w:gridSpan w:val="3"/>
          </w:tcPr>
          <w:p>
            <w:pPr>
              <w:spacing w:after="0"/>
              <w:rPr>
                <w:sz w:val="20"/>
                <w:szCs w:val="20"/>
                <w:color w:val="auto"/>
              </w:rPr>
            </w:pPr>
            <w:r>
              <w:rPr>
                <w:rFonts w:ascii="Arial" w:cs="Arial" w:eastAsia="Arial" w:hAnsi="Arial"/>
                <w:sz w:val="18"/>
                <w:szCs w:val="18"/>
                <w:color w:val="auto"/>
              </w:rPr>
              <w:t>Consolidated Statement of Stockholders’ Equity—Years Ended December 31, 2006, 2005 and 2004</w:t>
            </w:r>
          </w:p>
        </w:tc>
        <w:tc>
          <w:tcPr>
            <w:tcW w:w="960" w:type="dxa"/>
            <w:vAlign w:val="bottom"/>
            <w:gridSpan w:val="3"/>
          </w:tcPr>
          <w:p>
            <w:pPr>
              <w:jc w:val="right"/>
              <w:ind w:right="20"/>
              <w:spacing w:after="0"/>
              <w:rPr>
                <w:sz w:val="20"/>
                <w:szCs w:val="20"/>
                <w:color w:val="auto"/>
              </w:rPr>
            </w:pPr>
            <w:r>
              <w:rPr>
                <w:rFonts w:ascii="Arial" w:cs="Arial" w:eastAsia="Arial" w:hAnsi="Arial"/>
                <w:sz w:val="18"/>
                <w:szCs w:val="18"/>
                <w:color w:val="auto"/>
              </w:rPr>
              <w:t>42</w:t>
            </w:r>
          </w:p>
        </w:tc>
        <w:tc>
          <w:tcPr>
            <w:tcW w:w="0" w:type="dxa"/>
            <w:vAlign w:val="bottom"/>
          </w:tcPr>
          <w:p>
            <w:pPr>
              <w:spacing w:after="0"/>
              <w:rPr>
                <w:sz w:val="1"/>
                <w:szCs w:val="1"/>
                <w:color w:val="auto"/>
              </w:rPr>
            </w:pPr>
          </w:p>
        </w:tc>
      </w:tr>
      <w:tr>
        <w:trPr>
          <w:trHeight w:val="216"/>
        </w:trPr>
        <w:tc>
          <w:tcPr>
            <w:tcW w:w="10480" w:type="dxa"/>
            <w:vAlign w:val="bottom"/>
            <w:gridSpan w:val="3"/>
          </w:tcPr>
          <w:p>
            <w:pPr>
              <w:spacing w:after="0"/>
              <w:rPr>
                <w:sz w:val="20"/>
                <w:szCs w:val="20"/>
                <w:color w:val="auto"/>
              </w:rPr>
            </w:pPr>
            <w:r>
              <w:rPr>
                <w:rFonts w:ascii="Arial" w:cs="Arial" w:eastAsia="Arial" w:hAnsi="Arial"/>
                <w:sz w:val="18"/>
                <w:szCs w:val="18"/>
                <w:color w:val="auto"/>
              </w:rPr>
              <w:t>Notes to Consolidated Financial Statements</w:t>
            </w:r>
          </w:p>
        </w:tc>
        <w:tc>
          <w:tcPr>
            <w:tcW w:w="960" w:type="dxa"/>
            <w:vAlign w:val="bottom"/>
            <w:gridSpan w:val="3"/>
          </w:tcPr>
          <w:p>
            <w:pPr>
              <w:jc w:val="right"/>
              <w:ind w:right="20"/>
              <w:spacing w:after="0"/>
              <w:rPr>
                <w:sz w:val="20"/>
                <w:szCs w:val="20"/>
                <w:color w:val="auto"/>
              </w:rPr>
            </w:pPr>
            <w:r>
              <w:rPr>
                <w:rFonts w:ascii="Arial" w:cs="Arial" w:eastAsia="Arial" w:hAnsi="Arial"/>
                <w:sz w:val="18"/>
                <w:szCs w:val="18"/>
                <w:color w:val="auto"/>
              </w:rPr>
              <w:t>43</w:t>
            </w:r>
          </w:p>
        </w:tc>
        <w:tc>
          <w:tcPr>
            <w:tcW w:w="0" w:type="dxa"/>
            <w:vAlign w:val="bottom"/>
          </w:tcPr>
          <w:p>
            <w:pPr>
              <w:spacing w:after="0"/>
              <w:rPr>
                <w:sz w:val="1"/>
                <w:szCs w:val="1"/>
                <w:color w:val="auto"/>
              </w:rPr>
            </w:pPr>
          </w:p>
        </w:tc>
      </w:tr>
      <w:tr>
        <w:trPr>
          <w:trHeight w:val="222"/>
        </w:trPr>
        <w:tc>
          <w:tcPr>
            <w:tcW w:w="10480" w:type="dxa"/>
            <w:vAlign w:val="bottom"/>
            <w:gridSpan w:val="3"/>
          </w:tcPr>
          <w:p>
            <w:pPr>
              <w:spacing w:after="0"/>
              <w:rPr>
                <w:sz w:val="20"/>
                <w:szCs w:val="20"/>
                <w:color w:val="auto"/>
              </w:rPr>
            </w:pPr>
            <w:r>
              <w:rPr>
                <w:rFonts w:ascii="Arial" w:cs="Arial" w:eastAsia="Arial" w:hAnsi="Arial"/>
                <w:sz w:val="18"/>
                <w:szCs w:val="18"/>
                <w:color w:val="auto"/>
              </w:rPr>
              <w:t>Supplementary Information</w:t>
            </w:r>
          </w:p>
        </w:tc>
        <w:tc>
          <w:tcPr>
            <w:tcW w:w="960" w:type="dxa"/>
            <w:vAlign w:val="bottom"/>
            <w:gridSpan w:val="3"/>
          </w:tcPr>
          <w:p>
            <w:pPr>
              <w:jc w:val="right"/>
              <w:ind w:right="20"/>
              <w:spacing w:after="0"/>
              <w:rPr>
                <w:sz w:val="20"/>
                <w:szCs w:val="20"/>
                <w:color w:val="auto"/>
              </w:rPr>
            </w:pPr>
            <w:r>
              <w:rPr>
                <w:rFonts w:ascii="Arial" w:cs="Arial" w:eastAsia="Arial" w:hAnsi="Arial"/>
                <w:sz w:val="18"/>
                <w:szCs w:val="18"/>
                <w:color w:val="auto"/>
              </w:rPr>
              <w:t>67</w:t>
            </w:r>
          </w:p>
        </w:tc>
        <w:tc>
          <w:tcPr>
            <w:tcW w:w="0" w:type="dxa"/>
            <w:vAlign w:val="bottom"/>
          </w:tcPr>
          <w:p>
            <w:pPr>
              <w:spacing w:after="0"/>
              <w:rPr>
                <w:sz w:val="1"/>
                <w:szCs w:val="1"/>
                <w:color w:val="auto"/>
              </w:rPr>
            </w:pPr>
          </w:p>
        </w:tc>
      </w:tr>
      <w:tr>
        <w:trPr>
          <w:trHeight w:val="378"/>
        </w:trPr>
        <w:tc>
          <w:tcPr>
            <w:tcW w:w="10480" w:type="dxa"/>
            <w:vAlign w:val="bottom"/>
            <w:gridSpan w:val="3"/>
          </w:tcPr>
          <w:p>
            <w:pPr>
              <w:spacing w:after="0"/>
              <w:rPr>
                <w:sz w:val="20"/>
                <w:szCs w:val="20"/>
                <w:color w:val="auto"/>
              </w:rPr>
            </w:pPr>
            <w:r>
              <w:rPr>
                <w:rFonts w:ascii="Arial" w:cs="Arial" w:eastAsia="Arial" w:hAnsi="Arial"/>
                <w:sz w:val="18"/>
                <w:szCs w:val="18"/>
                <w:color w:val="auto"/>
              </w:rPr>
              <w:t>Data submitted herewith:</w:t>
            </w:r>
          </w:p>
        </w:tc>
        <w:tc>
          <w:tcPr>
            <w:tcW w:w="22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40"/>
        </w:trPr>
        <w:tc>
          <w:tcPr>
            <w:tcW w:w="412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5520" w:type="dxa"/>
            <w:vAlign w:val="bottom"/>
          </w:tcPr>
          <w:p>
            <w:pPr>
              <w:spacing w:after="0"/>
              <w:rPr>
                <w:sz w:val="24"/>
                <w:szCs w:val="24"/>
                <w:color w:val="auto"/>
              </w:rPr>
            </w:pPr>
          </w:p>
        </w:tc>
        <w:tc>
          <w:tcPr>
            <w:tcW w:w="960" w:type="dxa"/>
            <w:vAlign w:val="bottom"/>
            <w:gridSpan w:val="3"/>
          </w:tcPr>
          <w:p>
            <w:pPr>
              <w:jc w:val="right"/>
              <w:ind w:right="140"/>
              <w:spacing w:after="0"/>
              <w:rPr>
                <w:sz w:val="20"/>
                <w:szCs w:val="20"/>
                <w:color w:val="auto"/>
              </w:rPr>
            </w:pPr>
            <w:r>
              <w:rPr>
                <w:rFonts w:ascii="Arial" w:cs="Arial" w:eastAsia="Arial" w:hAnsi="Arial"/>
                <w:sz w:val="14"/>
                <w:szCs w:val="14"/>
                <w:b w:val="1"/>
                <w:bCs w:val="1"/>
                <w:color w:val="auto"/>
                <w:w w:val="96"/>
              </w:rPr>
              <w:t>2006 Annual</w:t>
            </w:r>
          </w:p>
        </w:tc>
        <w:tc>
          <w:tcPr>
            <w:tcW w:w="0" w:type="dxa"/>
            <w:vAlign w:val="bottom"/>
          </w:tcPr>
          <w:p>
            <w:pPr>
              <w:spacing w:after="0"/>
              <w:rPr>
                <w:sz w:val="1"/>
                <w:szCs w:val="1"/>
                <w:color w:val="auto"/>
              </w:rPr>
            </w:pPr>
          </w:p>
        </w:tc>
      </w:tr>
      <w:tr>
        <w:trPr>
          <w:trHeight w:val="149"/>
        </w:trPr>
        <w:tc>
          <w:tcPr>
            <w:tcW w:w="4120" w:type="dxa"/>
            <w:vAlign w:val="bottom"/>
          </w:tcPr>
          <w:p>
            <w:pPr>
              <w:spacing w:after="0"/>
              <w:rPr>
                <w:sz w:val="12"/>
                <w:szCs w:val="12"/>
                <w:color w:val="auto"/>
              </w:rPr>
            </w:pPr>
          </w:p>
        </w:tc>
        <w:tc>
          <w:tcPr>
            <w:tcW w:w="840" w:type="dxa"/>
            <w:vAlign w:val="bottom"/>
          </w:tcPr>
          <w:p>
            <w:pPr>
              <w:spacing w:after="0"/>
              <w:rPr>
                <w:sz w:val="12"/>
                <w:szCs w:val="12"/>
                <w:color w:val="auto"/>
              </w:rPr>
            </w:pPr>
          </w:p>
        </w:tc>
        <w:tc>
          <w:tcPr>
            <w:tcW w:w="5520" w:type="dxa"/>
            <w:vAlign w:val="bottom"/>
          </w:tcPr>
          <w:p>
            <w:pPr>
              <w:spacing w:after="0"/>
              <w:rPr>
                <w:sz w:val="12"/>
                <w:szCs w:val="12"/>
                <w:color w:val="auto"/>
              </w:rPr>
            </w:pPr>
          </w:p>
        </w:tc>
        <w:tc>
          <w:tcPr>
            <w:tcW w:w="960" w:type="dxa"/>
            <w:vAlign w:val="bottom"/>
            <w:gridSpan w:val="3"/>
          </w:tcPr>
          <w:p>
            <w:pPr>
              <w:jc w:val="right"/>
              <w:ind w:right="20"/>
              <w:spacing w:after="0" w:line="149" w:lineRule="exact"/>
              <w:rPr>
                <w:sz w:val="20"/>
                <w:szCs w:val="20"/>
                <w:color w:val="auto"/>
              </w:rPr>
            </w:pPr>
            <w:r>
              <w:rPr>
                <w:rFonts w:ascii="Arial" w:cs="Arial" w:eastAsia="Arial" w:hAnsi="Arial"/>
                <w:sz w:val="14"/>
                <w:szCs w:val="14"/>
                <w:b w:val="1"/>
                <w:bCs w:val="1"/>
                <w:color w:val="auto"/>
                <w:w w:val="87"/>
              </w:rPr>
              <w:t>Report on Form</w:t>
            </w:r>
          </w:p>
        </w:tc>
        <w:tc>
          <w:tcPr>
            <w:tcW w:w="0" w:type="dxa"/>
            <w:vAlign w:val="bottom"/>
          </w:tcPr>
          <w:p>
            <w:pPr>
              <w:spacing w:after="0"/>
              <w:rPr>
                <w:sz w:val="1"/>
                <w:szCs w:val="1"/>
                <w:color w:val="auto"/>
              </w:rPr>
            </w:pPr>
          </w:p>
        </w:tc>
      </w:tr>
      <w:tr>
        <w:trPr>
          <w:trHeight w:val="174"/>
        </w:trPr>
        <w:tc>
          <w:tcPr>
            <w:tcW w:w="4120" w:type="dxa"/>
            <w:vAlign w:val="bottom"/>
          </w:tcPr>
          <w:p>
            <w:pPr>
              <w:spacing w:after="0"/>
              <w:rPr>
                <w:sz w:val="15"/>
                <w:szCs w:val="15"/>
                <w:color w:val="auto"/>
              </w:rPr>
            </w:pPr>
          </w:p>
        </w:tc>
        <w:tc>
          <w:tcPr>
            <w:tcW w:w="840" w:type="dxa"/>
            <w:vAlign w:val="bottom"/>
          </w:tcPr>
          <w:p>
            <w:pPr>
              <w:spacing w:after="0"/>
              <w:rPr>
                <w:sz w:val="15"/>
                <w:szCs w:val="15"/>
                <w:color w:val="auto"/>
              </w:rPr>
            </w:pPr>
          </w:p>
        </w:tc>
        <w:tc>
          <w:tcPr>
            <w:tcW w:w="5520" w:type="dxa"/>
            <w:vAlign w:val="bottom"/>
          </w:tcPr>
          <w:p>
            <w:pPr>
              <w:spacing w:after="0"/>
              <w:rPr>
                <w:sz w:val="15"/>
                <w:szCs w:val="15"/>
                <w:color w:val="auto"/>
              </w:rPr>
            </w:pPr>
          </w:p>
        </w:tc>
        <w:tc>
          <w:tcPr>
            <w:tcW w:w="960" w:type="dxa"/>
            <w:vAlign w:val="bottom"/>
            <w:gridSpan w:val="3"/>
          </w:tcPr>
          <w:p>
            <w:pPr>
              <w:jc w:val="right"/>
              <w:ind w:right="200"/>
              <w:spacing w:after="0"/>
              <w:rPr>
                <w:sz w:val="20"/>
                <w:szCs w:val="20"/>
                <w:color w:val="auto"/>
              </w:rPr>
            </w:pPr>
            <w:r>
              <w:rPr>
                <w:rFonts w:ascii="Arial" w:cs="Arial" w:eastAsia="Arial" w:hAnsi="Arial"/>
                <w:sz w:val="14"/>
                <w:szCs w:val="14"/>
                <w:b w:val="1"/>
                <w:bCs w:val="1"/>
                <w:color w:val="auto"/>
              </w:rPr>
              <w:t>10-K Page</w:t>
            </w:r>
          </w:p>
        </w:tc>
        <w:tc>
          <w:tcPr>
            <w:tcW w:w="0" w:type="dxa"/>
            <w:vAlign w:val="bottom"/>
          </w:tcPr>
          <w:p>
            <w:pPr>
              <w:spacing w:after="0"/>
              <w:rPr>
                <w:sz w:val="1"/>
                <w:szCs w:val="1"/>
                <w:color w:val="auto"/>
              </w:rPr>
            </w:pPr>
          </w:p>
        </w:tc>
      </w:tr>
      <w:tr>
        <w:trPr>
          <w:trHeight w:val="170"/>
        </w:trPr>
        <w:tc>
          <w:tcPr>
            <w:tcW w:w="10480" w:type="dxa"/>
            <w:vAlign w:val="bottom"/>
            <w:gridSpan w:val="3"/>
          </w:tcPr>
          <w:p>
            <w:pPr>
              <w:spacing w:after="0" w:line="170" w:lineRule="exact"/>
              <w:rPr>
                <w:rFonts w:ascii="Arial" w:cs="Arial" w:eastAsia="Arial" w:hAnsi="Arial"/>
                <w:sz w:val="18"/>
                <w:szCs w:val="18"/>
                <w:color w:val="0000EE"/>
              </w:rPr>
            </w:pPr>
            <w:hyperlink w:anchor="page35">
              <w:r>
                <w:rPr>
                  <w:rFonts w:ascii="Arial" w:cs="Arial" w:eastAsia="Arial" w:hAnsi="Arial"/>
                  <w:sz w:val="18"/>
                  <w:szCs w:val="18"/>
                  <w:color w:val="0000EE"/>
                </w:rPr>
                <w:t>Report of Independent Registered Public Accounting Firm</w:t>
              </w:r>
            </w:hyperlink>
          </w:p>
        </w:tc>
        <w:tc>
          <w:tcPr>
            <w:tcW w:w="940" w:type="dxa"/>
            <w:vAlign w:val="bottom"/>
            <w:tcBorders>
              <w:top w:val="single" w:sz="8" w:color="auto"/>
            </w:tcBorders>
            <w:gridSpan w:val="2"/>
          </w:tcPr>
          <w:p>
            <w:pPr>
              <w:jc w:val="right"/>
              <w:spacing w:after="0" w:line="170" w:lineRule="exact"/>
              <w:rPr>
                <w:sz w:val="20"/>
                <w:szCs w:val="20"/>
                <w:color w:val="auto"/>
              </w:rPr>
            </w:pPr>
            <w:r>
              <w:rPr>
                <w:rFonts w:ascii="Arial" w:cs="Arial" w:eastAsia="Arial" w:hAnsi="Arial"/>
                <w:sz w:val="18"/>
                <w:szCs w:val="18"/>
                <w:color w:val="auto"/>
              </w:rPr>
              <w:t>32</w:t>
            </w: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0"/>
        </w:trPr>
        <w:tc>
          <w:tcPr>
            <w:tcW w:w="4120" w:type="dxa"/>
            <w:vAlign w:val="bottom"/>
            <w:shd w:val="clear" w:color="auto" w:fill="0000EE"/>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5520" w:type="dxa"/>
            <w:vAlign w:val="bottom"/>
          </w:tcPr>
          <w:p>
            <w:pPr>
              <w:spacing w:after="0" w:line="20" w:lineRule="exact"/>
              <w:rPr>
                <w:sz w:val="1"/>
                <w:szCs w:val="1"/>
                <w:color w:val="auto"/>
              </w:rPr>
            </w:pPr>
          </w:p>
        </w:tc>
        <w:tc>
          <w:tcPr>
            <w:tcW w:w="960" w:type="dxa"/>
            <w:vAlign w:val="bottom"/>
            <w:gridSpan w:val="3"/>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4960" w:type="dxa"/>
            <w:vAlign w:val="bottom"/>
            <w:tcBorders>
              <w:bottom w:val="single" w:sz="8" w:color="0000EE"/>
            </w:tcBorders>
            <w:gridSpan w:val="2"/>
          </w:tcPr>
          <w:p>
            <w:pPr>
              <w:spacing w:after="0" w:line="196" w:lineRule="exact"/>
              <w:rPr>
                <w:rFonts w:ascii="Arial" w:cs="Arial" w:eastAsia="Arial" w:hAnsi="Arial"/>
                <w:sz w:val="18"/>
                <w:szCs w:val="18"/>
                <w:color w:val="0000EE"/>
                <w:w w:val="89"/>
              </w:rPr>
            </w:pPr>
            <w:hyperlink w:anchor="page36">
              <w:r>
                <w:rPr>
                  <w:rFonts w:ascii="Arial" w:cs="Arial" w:eastAsia="Arial" w:hAnsi="Arial"/>
                  <w:sz w:val="18"/>
                  <w:szCs w:val="18"/>
                  <w:color w:val="0000EE"/>
                  <w:w w:val="89"/>
                </w:rPr>
                <w:t>Financial Statement Schedule II—Valuation and Qualifying Accounts.</w:t>
              </w:r>
            </w:hyperlink>
          </w:p>
        </w:tc>
        <w:tc>
          <w:tcPr>
            <w:tcW w:w="5520" w:type="dxa"/>
            <w:vAlign w:val="bottom"/>
          </w:tcPr>
          <w:p>
            <w:pPr>
              <w:spacing w:after="0"/>
              <w:rPr>
                <w:sz w:val="17"/>
                <w:szCs w:val="17"/>
                <w:color w:val="auto"/>
              </w:rPr>
            </w:pPr>
          </w:p>
        </w:tc>
        <w:tc>
          <w:tcPr>
            <w:tcW w:w="960" w:type="dxa"/>
            <w:vAlign w:val="bottom"/>
            <w:gridSpan w:val="3"/>
          </w:tcPr>
          <w:p>
            <w:pPr>
              <w:jc w:val="right"/>
              <w:ind w:right="20"/>
              <w:spacing w:after="0" w:line="196" w:lineRule="exact"/>
              <w:rPr>
                <w:sz w:val="20"/>
                <w:szCs w:val="20"/>
                <w:color w:val="auto"/>
              </w:rPr>
            </w:pPr>
            <w:r>
              <w:rPr>
                <w:rFonts w:ascii="Arial" w:cs="Arial" w:eastAsia="Arial" w:hAnsi="Arial"/>
                <w:sz w:val="18"/>
                <w:szCs w:val="18"/>
                <w:color w:val="auto"/>
              </w:rPr>
              <w:t>33</w:t>
            </w:r>
          </w:p>
        </w:tc>
        <w:tc>
          <w:tcPr>
            <w:tcW w:w="0" w:type="dxa"/>
            <w:vAlign w:val="bottom"/>
          </w:tcPr>
          <w:p>
            <w:pPr>
              <w:spacing w:after="0"/>
              <w:rPr>
                <w:sz w:val="1"/>
                <w:szCs w:val="1"/>
                <w:color w:val="auto"/>
              </w:rPr>
            </w:pPr>
          </w:p>
        </w:tc>
      </w:tr>
    </w:tbl>
    <w:p>
      <w:pPr>
        <w:spacing w:after="0" w:line="181" w:lineRule="exact"/>
        <w:rPr>
          <w:sz w:val="20"/>
          <w:szCs w:val="20"/>
          <w:color w:val="auto"/>
        </w:rPr>
      </w:pPr>
    </w:p>
    <w:p>
      <w:pPr>
        <w:jc w:val="both"/>
        <w:ind w:firstLine="456"/>
        <w:spacing w:after="0" w:line="268" w:lineRule="auto"/>
        <w:rPr>
          <w:sz w:val="20"/>
          <w:szCs w:val="20"/>
          <w:color w:val="auto"/>
        </w:rPr>
      </w:pPr>
      <w:r>
        <w:rPr>
          <w:rFonts w:ascii="Arial" w:cs="Arial" w:eastAsia="Arial" w:hAnsi="Arial"/>
          <w:sz w:val="18"/>
          <w:szCs w:val="18"/>
          <w:color w:val="auto"/>
        </w:rPr>
        <w:t>All other schedules are omitted because they are not applicable, not required or the required information is included in the consolidated financial statements or notes thereto.</w:t>
      </w:r>
    </w:p>
    <w:p>
      <w:pPr>
        <w:spacing w:after="0" w:line="132" w:lineRule="exact"/>
        <w:rPr>
          <w:sz w:val="20"/>
          <w:szCs w:val="20"/>
          <w:color w:val="auto"/>
        </w:rPr>
      </w:pPr>
    </w:p>
    <w:tbl>
      <w:tblPr>
        <w:tblLayout w:type="fixed"/>
        <w:tblInd w:w="40" w:type="dxa"/>
        <w:tblCellMar>
          <w:top w:w="0" w:type="dxa"/>
          <w:left w:w="0" w:type="dxa"/>
          <w:bottom w:w="0" w:type="dxa"/>
          <w:right w:w="0" w:type="dxa"/>
        </w:tblCellMar>
      </w:tblPr>
      <w:tr>
        <w:trPr>
          <w:trHeight w:val="222"/>
        </w:trPr>
        <w:tc>
          <w:tcPr>
            <w:tcW w:w="320" w:type="dxa"/>
            <w:vAlign w:val="bottom"/>
          </w:tcPr>
          <w:p>
            <w:pPr>
              <w:spacing w:after="0"/>
              <w:rPr>
                <w:sz w:val="19"/>
                <w:szCs w:val="19"/>
                <w:color w:val="auto"/>
              </w:rPr>
            </w:pPr>
          </w:p>
        </w:tc>
        <w:tc>
          <w:tcPr>
            <w:tcW w:w="10940" w:type="dxa"/>
            <w:vAlign w:val="bottom"/>
          </w:tcPr>
          <w:p>
            <w:pPr>
              <w:ind w:left="100"/>
              <w:spacing w:after="0"/>
              <w:rPr>
                <w:sz w:val="20"/>
                <w:szCs w:val="20"/>
                <w:color w:val="auto"/>
              </w:rPr>
            </w:pPr>
            <w:r>
              <w:rPr>
                <w:rFonts w:ascii="Arial" w:cs="Arial" w:eastAsia="Arial" w:hAnsi="Arial"/>
                <w:sz w:val="18"/>
                <w:szCs w:val="18"/>
                <w:color w:val="auto"/>
              </w:rPr>
              <w:t>(b) Exhibits required to be filed by Item 601 of Regulation S-K:</w:t>
            </w:r>
          </w:p>
        </w:tc>
      </w:tr>
      <w:tr>
        <w:trPr>
          <w:trHeight w:val="412"/>
        </w:trPr>
        <w:tc>
          <w:tcPr>
            <w:tcW w:w="320" w:type="dxa"/>
            <w:vAlign w:val="bottom"/>
          </w:tcPr>
          <w:p>
            <w:pPr>
              <w:jc w:val="right"/>
              <w:ind w:right="32"/>
              <w:spacing w:after="0"/>
              <w:rPr>
                <w:sz w:val="20"/>
                <w:szCs w:val="20"/>
                <w:color w:val="auto"/>
              </w:rPr>
            </w:pPr>
            <w:r>
              <w:rPr>
                <w:rFonts w:ascii="Arial" w:cs="Arial" w:eastAsia="Arial" w:hAnsi="Arial"/>
                <w:sz w:val="18"/>
                <w:szCs w:val="18"/>
                <w:color w:val="auto"/>
                <w:w w:val="71"/>
              </w:rPr>
              <w:t>3.1</w:t>
            </w:r>
          </w:p>
        </w:tc>
        <w:tc>
          <w:tcPr>
            <w:tcW w:w="10940" w:type="dxa"/>
            <w:vAlign w:val="bottom"/>
          </w:tcPr>
          <w:p>
            <w:pPr>
              <w:ind w:left="800"/>
              <w:spacing w:after="0"/>
              <w:rPr>
                <w:sz w:val="20"/>
                <w:szCs w:val="20"/>
                <w:color w:val="auto"/>
              </w:rPr>
            </w:pPr>
            <w:r>
              <w:rPr>
                <w:rFonts w:ascii="Arial" w:cs="Arial" w:eastAsia="Arial" w:hAnsi="Arial"/>
                <w:sz w:val="18"/>
                <w:szCs w:val="18"/>
                <w:color w:val="auto"/>
                <w:w w:val="89"/>
              </w:rPr>
              <w:t>Restated Articles of Incorporation of Comcast Corporation (incorporated by reference to Exhibit 3.1 to our Annual Report on Form 10-K for the</w:t>
            </w:r>
          </w:p>
        </w:tc>
      </w:tr>
      <w:tr>
        <w:trPr>
          <w:trHeight w:val="222"/>
        </w:trPr>
        <w:tc>
          <w:tcPr>
            <w:tcW w:w="320" w:type="dxa"/>
            <w:vAlign w:val="bottom"/>
          </w:tcPr>
          <w:p>
            <w:pPr>
              <w:spacing w:after="0"/>
              <w:rPr>
                <w:sz w:val="19"/>
                <w:szCs w:val="19"/>
                <w:color w:val="auto"/>
              </w:rPr>
            </w:pPr>
          </w:p>
        </w:tc>
        <w:tc>
          <w:tcPr>
            <w:tcW w:w="10940" w:type="dxa"/>
            <w:vAlign w:val="bottom"/>
          </w:tcPr>
          <w:p>
            <w:pPr>
              <w:ind w:left="800"/>
              <w:spacing w:after="0"/>
              <w:rPr>
                <w:sz w:val="20"/>
                <w:szCs w:val="20"/>
                <w:color w:val="auto"/>
              </w:rPr>
            </w:pPr>
            <w:r>
              <w:rPr>
                <w:rFonts w:ascii="Arial" w:cs="Arial" w:eastAsia="Arial" w:hAnsi="Arial"/>
                <w:sz w:val="18"/>
                <w:szCs w:val="18"/>
                <w:color w:val="auto"/>
              </w:rPr>
              <w:t>year ended December 31, 2005).</w:t>
            </w:r>
          </w:p>
        </w:tc>
      </w:tr>
      <w:tr>
        <w:trPr>
          <w:trHeight w:val="324"/>
        </w:trPr>
        <w:tc>
          <w:tcPr>
            <w:tcW w:w="320" w:type="dxa"/>
            <w:vAlign w:val="bottom"/>
          </w:tcPr>
          <w:p>
            <w:pPr>
              <w:jc w:val="right"/>
              <w:ind w:right="32"/>
              <w:spacing w:after="0"/>
              <w:rPr>
                <w:sz w:val="20"/>
                <w:szCs w:val="20"/>
                <w:color w:val="auto"/>
              </w:rPr>
            </w:pPr>
            <w:r>
              <w:rPr>
                <w:rFonts w:ascii="Arial" w:cs="Arial" w:eastAsia="Arial" w:hAnsi="Arial"/>
                <w:sz w:val="18"/>
                <w:szCs w:val="18"/>
                <w:color w:val="auto"/>
                <w:w w:val="71"/>
              </w:rPr>
              <w:t>3.2</w:t>
            </w:r>
          </w:p>
        </w:tc>
        <w:tc>
          <w:tcPr>
            <w:tcW w:w="10940" w:type="dxa"/>
            <w:vAlign w:val="bottom"/>
          </w:tcPr>
          <w:p>
            <w:pPr>
              <w:ind w:left="800"/>
              <w:spacing w:after="0"/>
              <w:rPr>
                <w:sz w:val="20"/>
                <w:szCs w:val="20"/>
                <w:color w:val="auto"/>
              </w:rPr>
            </w:pPr>
            <w:r>
              <w:rPr>
                <w:rFonts w:ascii="Arial" w:cs="Arial" w:eastAsia="Arial" w:hAnsi="Arial"/>
                <w:sz w:val="18"/>
                <w:szCs w:val="18"/>
                <w:color w:val="auto"/>
                <w:w w:val="90"/>
              </w:rPr>
              <w:t>Restated By-Laws of Comcast Corporation (incorporated by reference to Exhibit 3.1 to our Current Report on Form 8-K filed on July 6, 2006).</w:t>
            </w:r>
          </w:p>
        </w:tc>
      </w:tr>
      <w:tr>
        <w:trPr>
          <w:trHeight w:val="318"/>
        </w:trPr>
        <w:tc>
          <w:tcPr>
            <w:tcW w:w="320" w:type="dxa"/>
            <w:vAlign w:val="bottom"/>
          </w:tcPr>
          <w:p>
            <w:pPr>
              <w:jc w:val="right"/>
              <w:ind w:right="32"/>
              <w:spacing w:after="0"/>
              <w:rPr>
                <w:sz w:val="20"/>
                <w:szCs w:val="20"/>
                <w:color w:val="auto"/>
              </w:rPr>
            </w:pPr>
            <w:r>
              <w:rPr>
                <w:rFonts w:ascii="Arial" w:cs="Arial" w:eastAsia="Arial" w:hAnsi="Arial"/>
                <w:sz w:val="18"/>
                <w:szCs w:val="18"/>
                <w:color w:val="auto"/>
                <w:w w:val="71"/>
              </w:rPr>
              <w:t>4.1</w:t>
            </w:r>
          </w:p>
        </w:tc>
        <w:tc>
          <w:tcPr>
            <w:tcW w:w="10940" w:type="dxa"/>
            <w:vAlign w:val="bottom"/>
          </w:tcPr>
          <w:p>
            <w:pPr>
              <w:ind w:left="800"/>
              <w:spacing w:after="0"/>
              <w:rPr>
                <w:sz w:val="20"/>
                <w:szCs w:val="20"/>
                <w:color w:val="auto"/>
              </w:rPr>
            </w:pPr>
            <w:r>
              <w:rPr>
                <w:rFonts w:ascii="Arial" w:cs="Arial" w:eastAsia="Arial" w:hAnsi="Arial"/>
                <w:sz w:val="18"/>
                <w:szCs w:val="18"/>
                <w:color w:val="auto"/>
                <w:w w:val="90"/>
              </w:rPr>
              <w:t>Specimen Class A Common Stock Certificate (incorporated by reference to Exhibit 4.1 to our Annual Report on Form 10-K for the year ended</w:t>
            </w:r>
          </w:p>
        </w:tc>
      </w:tr>
      <w:tr>
        <w:trPr>
          <w:trHeight w:val="222"/>
        </w:trPr>
        <w:tc>
          <w:tcPr>
            <w:tcW w:w="320" w:type="dxa"/>
            <w:vAlign w:val="bottom"/>
          </w:tcPr>
          <w:p>
            <w:pPr>
              <w:spacing w:after="0"/>
              <w:rPr>
                <w:sz w:val="19"/>
                <w:szCs w:val="19"/>
                <w:color w:val="auto"/>
              </w:rPr>
            </w:pPr>
          </w:p>
        </w:tc>
        <w:tc>
          <w:tcPr>
            <w:tcW w:w="10940" w:type="dxa"/>
            <w:vAlign w:val="bottom"/>
          </w:tcPr>
          <w:p>
            <w:pPr>
              <w:ind w:left="800"/>
              <w:spacing w:after="0"/>
              <w:rPr>
                <w:sz w:val="20"/>
                <w:szCs w:val="20"/>
                <w:color w:val="auto"/>
              </w:rPr>
            </w:pPr>
            <w:r>
              <w:rPr>
                <w:rFonts w:ascii="Arial" w:cs="Arial" w:eastAsia="Arial" w:hAnsi="Arial"/>
                <w:sz w:val="18"/>
                <w:szCs w:val="18"/>
                <w:color w:val="auto"/>
              </w:rPr>
              <w:t>December 31, 2002).</w:t>
            </w:r>
          </w:p>
        </w:tc>
      </w:tr>
      <w:tr>
        <w:trPr>
          <w:trHeight w:val="318"/>
        </w:trPr>
        <w:tc>
          <w:tcPr>
            <w:tcW w:w="320" w:type="dxa"/>
            <w:vAlign w:val="bottom"/>
          </w:tcPr>
          <w:p>
            <w:pPr>
              <w:jc w:val="right"/>
              <w:ind w:right="32"/>
              <w:spacing w:after="0"/>
              <w:rPr>
                <w:sz w:val="20"/>
                <w:szCs w:val="20"/>
                <w:color w:val="auto"/>
              </w:rPr>
            </w:pPr>
            <w:r>
              <w:rPr>
                <w:rFonts w:ascii="Arial" w:cs="Arial" w:eastAsia="Arial" w:hAnsi="Arial"/>
                <w:sz w:val="18"/>
                <w:szCs w:val="18"/>
                <w:color w:val="auto"/>
                <w:w w:val="71"/>
              </w:rPr>
              <w:t>4.2</w:t>
            </w:r>
          </w:p>
        </w:tc>
        <w:tc>
          <w:tcPr>
            <w:tcW w:w="10940" w:type="dxa"/>
            <w:vAlign w:val="bottom"/>
          </w:tcPr>
          <w:p>
            <w:pPr>
              <w:ind w:left="800"/>
              <w:spacing w:after="0"/>
              <w:rPr>
                <w:sz w:val="20"/>
                <w:szCs w:val="20"/>
                <w:color w:val="auto"/>
              </w:rPr>
            </w:pPr>
            <w:r>
              <w:rPr>
                <w:rFonts w:ascii="Arial" w:cs="Arial" w:eastAsia="Arial" w:hAnsi="Arial"/>
                <w:sz w:val="18"/>
                <w:szCs w:val="18"/>
                <w:color w:val="auto"/>
                <w:w w:val="89"/>
              </w:rPr>
              <w:t>Specimen Class A Special Common Stock Certificate (incorporated by reference to Exhibit 4.2 to our Annual Report on Form 10-K for the year</w:t>
            </w:r>
          </w:p>
        </w:tc>
      </w:tr>
      <w:tr>
        <w:trPr>
          <w:trHeight w:val="222"/>
        </w:trPr>
        <w:tc>
          <w:tcPr>
            <w:tcW w:w="320" w:type="dxa"/>
            <w:vAlign w:val="bottom"/>
          </w:tcPr>
          <w:p>
            <w:pPr>
              <w:spacing w:after="0"/>
              <w:rPr>
                <w:sz w:val="19"/>
                <w:szCs w:val="19"/>
                <w:color w:val="auto"/>
              </w:rPr>
            </w:pPr>
          </w:p>
        </w:tc>
        <w:tc>
          <w:tcPr>
            <w:tcW w:w="10940" w:type="dxa"/>
            <w:vAlign w:val="bottom"/>
          </w:tcPr>
          <w:p>
            <w:pPr>
              <w:ind w:left="800"/>
              <w:spacing w:after="0"/>
              <w:rPr>
                <w:sz w:val="20"/>
                <w:szCs w:val="20"/>
                <w:color w:val="auto"/>
              </w:rPr>
            </w:pPr>
            <w:r>
              <w:rPr>
                <w:rFonts w:ascii="Arial" w:cs="Arial" w:eastAsia="Arial" w:hAnsi="Arial"/>
                <w:sz w:val="18"/>
                <w:szCs w:val="18"/>
                <w:color w:val="auto"/>
              </w:rPr>
              <w:t>ended December 31, 2002).</w:t>
            </w:r>
          </w:p>
        </w:tc>
      </w:tr>
      <w:tr>
        <w:trPr>
          <w:trHeight w:val="318"/>
        </w:trPr>
        <w:tc>
          <w:tcPr>
            <w:tcW w:w="320" w:type="dxa"/>
            <w:vAlign w:val="bottom"/>
          </w:tcPr>
          <w:p>
            <w:pPr>
              <w:jc w:val="right"/>
              <w:ind w:right="32"/>
              <w:spacing w:after="0"/>
              <w:rPr>
                <w:sz w:val="20"/>
                <w:szCs w:val="20"/>
                <w:color w:val="auto"/>
              </w:rPr>
            </w:pPr>
            <w:r>
              <w:rPr>
                <w:rFonts w:ascii="Arial" w:cs="Arial" w:eastAsia="Arial" w:hAnsi="Arial"/>
                <w:sz w:val="18"/>
                <w:szCs w:val="18"/>
                <w:color w:val="auto"/>
                <w:w w:val="71"/>
              </w:rPr>
              <w:t>4.3</w:t>
            </w:r>
          </w:p>
        </w:tc>
        <w:tc>
          <w:tcPr>
            <w:tcW w:w="10940" w:type="dxa"/>
            <w:vAlign w:val="bottom"/>
          </w:tcPr>
          <w:p>
            <w:pPr>
              <w:ind w:left="800"/>
              <w:spacing w:after="0"/>
              <w:rPr>
                <w:sz w:val="20"/>
                <w:szCs w:val="20"/>
                <w:color w:val="auto"/>
              </w:rPr>
            </w:pPr>
            <w:r>
              <w:rPr>
                <w:rFonts w:ascii="Arial" w:cs="Arial" w:eastAsia="Arial" w:hAnsi="Arial"/>
                <w:sz w:val="18"/>
                <w:szCs w:val="18"/>
                <w:color w:val="auto"/>
                <w:w w:val="88"/>
              </w:rPr>
              <w:t>Rights Agreement dated as of November 18, 2002, between Comcast Corporation and EquiServe Trust Company, N.A., as Rights Agent, which</w:t>
            </w:r>
          </w:p>
        </w:tc>
      </w:tr>
      <w:tr>
        <w:trPr>
          <w:trHeight w:val="216"/>
        </w:trPr>
        <w:tc>
          <w:tcPr>
            <w:tcW w:w="320" w:type="dxa"/>
            <w:vAlign w:val="bottom"/>
          </w:tcPr>
          <w:p>
            <w:pPr>
              <w:spacing w:after="0"/>
              <w:rPr>
                <w:sz w:val="18"/>
                <w:szCs w:val="18"/>
                <w:color w:val="auto"/>
              </w:rPr>
            </w:pPr>
          </w:p>
        </w:tc>
        <w:tc>
          <w:tcPr>
            <w:tcW w:w="10940" w:type="dxa"/>
            <w:vAlign w:val="bottom"/>
          </w:tcPr>
          <w:p>
            <w:pPr>
              <w:ind w:left="800"/>
              <w:spacing w:after="0"/>
              <w:rPr>
                <w:sz w:val="20"/>
                <w:szCs w:val="20"/>
                <w:color w:val="auto"/>
              </w:rPr>
            </w:pPr>
            <w:r>
              <w:rPr>
                <w:rFonts w:ascii="Arial" w:cs="Arial" w:eastAsia="Arial" w:hAnsi="Arial"/>
                <w:sz w:val="18"/>
                <w:szCs w:val="18"/>
                <w:color w:val="auto"/>
                <w:w w:val="94"/>
              </w:rPr>
              <w:t>includes the Form of Certificate of Designation of Series A Participant’s Cumulative Preferred Stock as Exhibit A and the Form of Right</w:t>
            </w:r>
          </w:p>
        </w:tc>
      </w:tr>
      <w:tr>
        <w:trPr>
          <w:trHeight w:val="222"/>
        </w:trPr>
        <w:tc>
          <w:tcPr>
            <w:tcW w:w="320" w:type="dxa"/>
            <w:vAlign w:val="bottom"/>
          </w:tcPr>
          <w:p>
            <w:pPr>
              <w:spacing w:after="0"/>
              <w:rPr>
                <w:sz w:val="19"/>
                <w:szCs w:val="19"/>
                <w:color w:val="auto"/>
              </w:rPr>
            </w:pPr>
          </w:p>
        </w:tc>
        <w:tc>
          <w:tcPr>
            <w:tcW w:w="10940" w:type="dxa"/>
            <w:vAlign w:val="bottom"/>
          </w:tcPr>
          <w:p>
            <w:pPr>
              <w:ind w:left="800"/>
              <w:spacing w:after="0"/>
              <w:rPr>
                <w:sz w:val="20"/>
                <w:szCs w:val="20"/>
                <w:color w:val="auto"/>
              </w:rPr>
            </w:pPr>
            <w:r>
              <w:rPr>
                <w:rFonts w:ascii="Arial" w:cs="Arial" w:eastAsia="Arial" w:hAnsi="Arial"/>
                <w:sz w:val="18"/>
                <w:szCs w:val="18"/>
                <w:color w:val="auto"/>
              </w:rPr>
              <w:t>Certificate as Exhibit B (incorporated by reference to our registration statement on Form 8-A12g filed on November 18, 2002).</w:t>
            </w:r>
          </w:p>
        </w:tc>
      </w:tr>
      <w:tr>
        <w:trPr>
          <w:trHeight w:val="318"/>
        </w:trPr>
        <w:tc>
          <w:tcPr>
            <w:tcW w:w="320" w:type="dxa"/>
            <w:vAlign w:val="bottom"/>
          </w:tcPr>
          <w:p>
            <w:pPr>
              <w:jc w:val="right"/>
              <w:ind w:right="32"/>
              <w:spacing w:after="0"/>
              <w:rPr>
                <w:sz w:val="20"/>
                <w:szCs w:val="20"/>
                <w:color w:val="auto"/>
              </w:rPr>
            </w:pPr>
            <w:r>
              <w:rPr>
                <w:rFonts w:ascii="Arial" w:cs="Arial" w:eastAsia="Arial" w:hAnsi="Arial"/>
                <w:sz w:val="18"/>
                <w:szCs w:val="18"/>
                <w:color w:val="auto"/>
                <w:w w:val="71"/>
              </w:rPr>
              <w:t>4.4</w:t>
            </w:r>
          </w:p>
        </w:tc>
        <w:tc>
          <w:tcPr>
            <w:tcW w:w="10940" w:type="dxa"/>
            <w:vAlign w:val="bottom"/>
          </w:tcPr>
          <w:p>
            <w:pPr>
              <w:ind w:left="800"/>
              <w:spacing w:after="0"/>
              <w:rPr>
                <w:sz w:val="20"/>
                <w:szCs w:val="20"/>
                <w:color w:val="auto"/>
              </w:rPr>
            </w:pPr>
            <w:r>
              <w:rPr>
                <w:rFonts w:ascii="Arial" w:cs="Arial" w:eastAsia="Arial" w:hAnsi="Arial"/>
                <w:sz w:val="18"/>
                <w:szCs w:val="18"/>
                <w:color w:val="auto"/>
                <w:w w:val="93"/>
              </w:rPr>
              <w:t>Form of Indenture, dated as of January 7, 2003, between Comcast Corporation, Comcast Cable Communications, LLC, Comcast Cable</w:t>
            </w:r>
          </w:p>
        </w:tc>
      </w:tr>
      <w:tr>
        <w:trPr>
          <w:trHeight w:val="222"/>
        </w:trPr>
        <w:tc>
          <w:tcPr>
            <w:tcW w:w="320" w:type="dxa"/>
            <w:vAlign w:val="bottom"/>
          </w:tcPr>
          <w:p>
            <w:pPr>
              <w:spacing w:after="0"/>
              <w:rPr>
                <w:sz w:val="19"/>
                <w:szCs w:val="19"/>
                <w:color w:val="auto"/>
              </w:rPr>
            </w:pPr>
          </w:p>
        </w:tc>
        <w:tc>
          <w:tcPr>
            <w:tcW w:w="10940" w:type="dxa"/>
            <w:vAlign w:val="bottom"/>
          </w:tcPr>
          <w:p>
            <w:pPr>
              <w:ind w:left="800"/>
              <w:spacing w:after="0"/>
              <w:rPr>
                <w:sz w:val="20"/>
                <w:szCs w:val="20"/>
                <w:color w:val="auto"/>
              </w:rPr>
            </w:pPr>
            <w:r>
              <w:rPr>
                <w:rFonts w:ascii="Arial" w:cs="Arial" w:eastAsia="Arial" w:hAnsi="Arial"/>
                <w:sz w:val="18"/>
                <w:szCs w:val="18"/>
                <w:color w:val="auto"/>
                <w:w w:val="90"/>
              </w:rPr>
              <w:t>Communications Holdings, Inc., Comcast Cable Holdings, LLC, Comcast MO Group, Inc., Comcast MO of Delaware, LLC (f/k/a Comcast MO</w:t>
            </w:r>
          </w:p>
        </w:tc>
      </w:tr>
    </w:tbl>
    <w:p>
      <w:pPr>
        <w:ind w:left="1160"/>
        <w:spacing w:after="0"/>
        <w:rPr>
          <w:sz w:val="20"/>
          <w:szCs w:val="20"/>
          <w:color w:val="auto"/>
        </w:rPr>
      </w:pPr>
      <w:r>
        <w:rPr>
          <w:rFonts w:ascii="Arial" w:cs="Arial" w:eastAsia="Arial" w:hAnsi="Arial"/>
          <w:sz w:val="16"/>
          <w:szCs w:val="16"/>
          <w:color w:val="auto"/>
        </w:rPr>
        <w:t>of Delaware, Inc.) and The Bank of New York, as Trustee relating to our 5.85% Notes due 2010, 6.50% Notes due 2015, 5.50% Notes due 2011,</w:t>
      </w:r>
    </w:p>
    <w:p>
      <w:pPr>
        <w:spacing w:after="0" w:line="32" w:lineRule="exact"/>
        <w:rPr>
          <w:sz w:val="20"/>
          <w:szCs w:val="20"/>
          <w:color w:val="auto"/>
        </w:rPr>
      </w:pPr>
    </w:p>
    <w:p>
      <w:pPr>
        <w:ind w:left="1160"/>
        <w:spacing w:after="0"/>
        <w:rPr>
          <w:sz w:val="20"/>
          <w:szCs w:val="20"/>
          <w:color w:val="auto"/>
        </w:rPr>
      </w:pPr>
      <w:r>
        <w:rPr>
          <w:rFonts w:ascii="Arial" w:cs="Arial" w:eastAsia="Arial" w:hAnsi="Arial"/>
          <w:sz w:val="16"/>
          <w:szCs w:val="16"/>
          <w:color w:val="auto"/>
        </w:rPr>
        <w:t>7.05% Notes due 2033, 5.30% Notes due 2014, 4.95% Notes due 2016, 5.65% Notes due 2035, 5.45% Notes due 2010, 5.85% Notes due 2015,</w:t>
      </w:r>
    </w:p>
    <w:p>
      <w:pPr>
        <w:spacing w:after="0" w:line="32" w:lineRule="exact"/>
        <w:rPr>
          <w:sz w:val="20"/>
          <w:szCs w:val="20"/>
          <w:color w:val="auto"/>
        </w:rPr>
      </w:pPr>
    </w:p>
    <w:p>
      <w:pPr>
        <w:ind w:left="1160"/>
        <w:spacing w:after="0"/>
        <w:rPr>
          <w:sz w:val="20"/>
          <w:szCs w:val="20"/>
          <w:color w:val="auto"/>
        </w:rPr>
      </w:pPr>
      <w:r>
        <w:rPr>
          <w:rFonts w:ascii="Arial" w:cs="Arial" w:eastAsia="Arial" w:hAnsi="Arial"/>
          <w:sz w:val="16"/>
          <w:szCs w:val="16"/>
          <w:color w:val="auto"/>
        </w:rPr>
        <w:t>5.90% Notes due 2016, 5.875% Notes due 2018, 6.50% Notes due 2035, 6.45% Notes due 2037, 7.00% Notes due 2055 and 7.00% Notes due</w:t>
      </w:r>
    </w:p>
    <w:p>
      <w:pPr>
        <w:spacing w:after="0" w:line="32" w:lineRule="exact"/>
        <w:rPr>
          <w:sz w:val="20"/>
          <w:szCs w:val="20"/>
          <w:color w:val="auto"/>
        </w:rPr>
      </w:pPr>
    </w:p>
    <w:p>
      <w:pPr>
        <w:ind w:left="1160"/>
        <w:spacing w:after="0"/>
        <w:rPr>
          <w:sz w:val="20"/>
          <w:szCs w:val="20"/>
          <w:color w:val="auto"/>
        </w:rPr>
      </w:pPr>
      <w:r>
        <w:rPr>
          <w:rFonts w:ascii="Arial" w:cs="Arial" w:eastAsia="Arial" w:hAnsi="Arial"/>
          <w:sz w:val="18"/>
          <w:szCs w:val="18"/>
          <w:color w:val="auto"/>
        </w:rPr>
        <w:t>2055 Series B (incorporated by reference to Exhibit 4.5 to our registration statement on Form S-3 filed on December 16, 2002).</w:t>
      </w:r>
    </w:p>
    <w:p>
      <w:pPr>
        <w:spacing w:after="0" w:line="15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26</w:t>
      </w:r>
    </w:p>
    <w:p>
      <w:pPr>
        <w:sectPr>
          <w:pgSz w:w="11900" w:h="16838" w:orient="portrait"/>
          <w:cols w:equalWidth="0" w:num="1">
            <w:col w:w="11420"/>
          </w:cols>
          <w:pgMar w:left="240" w:top="459" w:right="239" w:bottom="1440" w:gutter="0" w:footer="0" w:header="0"/>
        </w:sectPr>
      </w:pPr>
    </w:p>
    <w:bookmarkStart w:id="29" w:name="page30"/>
    <w:bookmarkEnd w:id="2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tbl>
      <w:tblPr>
        <w:tblLayout w:type="fixed"/>
        <w:tblInd w:w="120" w:type="dxa"/>
        <w:tblCellMar>
          <w:top w:w="0" w:type="dxa"/>
          <w:left w:w="0" w:type="dxa"/>
          <w:bottom w:w="0" w:type="dxa"/>
          <w:right w:w="0" w:type="dxa"/>
        </w:tblCellMar>
      </w:tblPr>
      <w:tr>
        <w:trPr>
          <w:trHeight w:val="216"/>
        </w:trPr>
        <w:tc>
          <w:tcPr>
            <w:tcW w:w="760" w:type="dxa"/>
            <w:vAlign w:val="bottom"/>
          </w:tcPr>
          <w:p>
            <w:pPr>
              <w:jc w:val="right"/>
              <w:ind w:right="372"/>
              <w:spacing w:after="0"/>
              <w:rPr>
                <w:sz w:val="20"/>
                <w:szCs w:val="20"/>
                <w:color w:val="auto"/>
              </w:rPr>
            </w:pPr>
            <w:r>
              <w:rPr>
                <w:rFonts w:ascii="Arial" w:cs="Arial" w:eastAsia="Arial" w:hAnsi="Arial"/>
                <w:sz w:val="18"/>
                <w:szCs w:val="18"/>
                <w:color w:val="auto"/>
              </w:rPr>
              <w:t>4.5</w:t>
            </w:r>
          </w:p>
        </w:tc>
        <w:tc>
          <w:tcPr>
            <w:tcW w:w="10460" w:type="dxa"/>
            <w:vAlign w:val="bottom"/>
          </w:tcPr>
          <w:p>
            <w:pPr>
              <w:ind w:left="280"/>
              <w:spacing w:after="0"/>
              <w:rPr>
                <w:sz w:val="20"/>
                <w:szCs w:val="20"/>
                <w:color w:val="auto"/>
              </w:rPr>
            </w:pPr>
            <w:r>
              <w:rPr>
                <w:rFonts w:ascii="Arial" w:cs="Arial" w:eastAsia="Arial" w:hAnsi="Arial"/>
                <w:sz w:val="18"/>
                <w:szCs w:val="18"/>
                <w:color w:val="auto"/>
                <w:w w:val="93"/>
              </w:rPr>
              <w:t>Form of Supplemental Indenture, dated March 25, 2003, to the Indenture between Comcast Corporation, Comcast Cable Holdings, LLC,</w:t>
            </w:r>
          </w:p>
        </w:tc>
      </w:tr>
      <w:tr>
        <w:trPr>
          <w:trHeight w:val="216"/>
        </w:trPr>
        <w:tc>
          <w:tcPr>
            <w:tcW w:w="760" w:type="dxa"/>
            <w:vAlign w:val="bottom"/>
          </w:tcPr>
          <w:p>
            <w:pPr>
              <w:spacing w:after="0"/>
              <w:rPr>
                <w:sz w:val="18"/>
                <w:szCs w:val="18"/>
                <w:color w:val="auto"/>
              </w:rPr>
            </w:pPr>
          </w:p>
        </w:tc>
        <w:tc>
          <w:tcPr>
            <w:tcW w:w="10460" w:type="dxa"/>
            <w:vAlign w:val="bottom"/>
          </w:tcPr>
          <w:p>
            <w:pPr>
              <w:ind w:left="280"/>
              <w:spacing w:after="0"/>
              <w:rPr>
                <w:sz w:val="20"/>
                <w:szCs w:val="20"/>
                <w:color w:val="auto"/>
              </w:rPr>
            </w:pPr>
            <w:r>
              <w:rPr>
                <w:rFonts w:ascii="Arial" w:cs="Arial" w:eastAsia="Arial" w:hAnsi="Arial"/>
                <w:sz w:val="18"/>
                <w:szCs w:val="18"/>
                <w:color w:val="auto"/>
                <w:w w:val="90"/>
              </w:rPr>
              <w:t>Comcast Cable Communications Holdings, Inc., Comcast Cable Communications, LLC, Comcast MO Group, Inc., Comcast MO of Delaware,</w:t>
            </w:r>
          </w:p>
        </w:tc>
      </w:tr>
      <w:tr>
        <w:trPr>
          <w:trHeight w:val="216"/>
        </w:trPr>
        <w:tc>
          <w:tcPr>
            <w:tcW w:w="760" w:type="dxa"/>
            <w:vAlign w:val="bottom"/>
          </w:tcPr>
          <w:p>
            <w:pPr>
              <w:spacing w:after="0"/>
              <w:rPr>
                <w:sz w:val="18"/>
                <w:szCs w:val="18"/>
                <w:color w:val="auto"/>
              </w:rPr>
            </w:pPr>
          </w:p>
        </w:tc>
        <w:tc>
          <w:tcPr>
            <w:tcW w:w="10460" w:type="dxa"/>
            <w:vAlign w:val="bottom"/>
          </w:tcPr>
          <w:p>
            <w:pPr>
              <w:ind w:left="280"/>
              <w:spacing w:after="0"/>
              <w:rPr>
                <w:sz w:val="20"/>
                <w:szCs w:val="20"/>
                <w:color w:val="auto"/>
              </w:rPr>
            </w:pPr>
            <w:r>
              <w:rPr>
                <w:rFonts w:ascii="Arial" w:cs="Arial" w:eastAsia="Arial" w:hAnsi="Arial"/>
                <w:sz w:val="18"/>
                <w:szCs w:val="18"/>
                <w:color w:val="auto"/>
                <w:w w:val="91"/>
              </w:rPr>
              <w:t>LLC (f/k/a Comcast MO of Delaware, Inc.) and The Bank of New York as Trustee, dated as of January 7, 2003 (incorporated by reference to</w:t>
            </w:r>
          </w:p>
        </w:tc>
      </w:tr>
      <w:tr>
        <w:trPr>
          <w:trHeight w:val="222"/>
        </w:trPr>
        <w:tc>
          <w:tcPr>
            <w:tcW w:w="760" w:type="dxa"/>
            <w:vAlign w:val="bottom"/>
          </w:tcPr>
          <w:p>
            <w:pPr>
              <w:spacing w:after="0"/>
              <w:rPr>
                <w:sz w:val="19"/>
                <w:szCs w:val="19"/>
                <w:color w:val="auto"/>
              </w:rPr>
            </w:pPr>
          </w:p>
        </w:tc>
        <w:tc>
          <w:tcPr>
            <w:tcW w:w="10460" w:type="dxa"/>
            <w:vAlign w:val="bottom"/>
          </w:tcPr>
          <w:p>
            <w:pPr>
              <w:ind w:left="280"/>
              <w:spacing w:after="0"/>
              <w:rPr>
                <w:sz w:val="20"/>
                <w:szCs w:val="20"/>
                <w:color w:val="auto"/>
              </w:rPr>
            </w:pPr>
            <w:r>
              <w:rPr>
                <w:rFonts w:ascii="Arial" w:cs="Arial" w:eastAsia="Arial" w:hAnsi="Arial"/>
                <w:sz w:val="18"/>
                <w:szCs w:val="18"/>
                <w:color w:val="auto"/>
              </w:rPr>
              <w:t>Exhibit 4.25 to our Annual Report on Form 10-K for the year ended December 31, 2003).</w:t>
            </w:r>
          </w:p>
        </w:tc>
      </w:tr>
      <w:tr>
        <w:trPr>
          <w:trHeight w:val="318"/>
        </w:trPr>
        <w:tc>
          <w:tcPr>
            <w:tcW w:w="760" w:type="dxa"/>
            <w:vAlign w:val="bottom"/>
          </w:tcPr>
          <w:p>
            <w:pPr>
              <w:spacing w:after="0"/>
              <w:rPr>
                <w:sz w:val="24"/>
                <w:szCs w:val="24"/>
                <w:color w:val="auto"/>
              </w:rPr>
            </w:pPr>
          </w:p>
        </w:tc>
        <w:tc>
          <w:tcPr>
            <w:tcW w:w="10460" w:type="dxa"/>
            <w:vAlign w:val="bottom"/>
          </w:tcPr>
          <w:p>
            <w:pPr>
              <w:ind w:left="280"/>
              <w:spacing w:after="0"/>
              <w:rPr>
                <w:sz w:val="20"/>
                <w:szCs w:val="20"/>
                <w:color w:val="auto"/>
              </w:rPr>
            </w:pPr>
            <w:r>
              <w:rPr>
                <w:rFonts w:ascii="Arial" w:cs="Arial" w:eastAsia="Arial" w:hAnsi="Arial"/>
                <w:sz w:val="18"/>
                <w:szCs w:val="18"/>
                <w:color w:val="auto"/>
                <w:w w:val="92"/>
              </w:rPr>
              <w:t>Certain instruments defining the rights of holders of long-term obligation of the registrant and certain of its subsidiaries (the total amount of</w:t>
            </w:r>
          </w:p>
        </w:tc>
      </w:tr>
      <w:tr>
        <w:trPr>
          <w:trHeight w:val="216"/>
        </w:trPr>
        <w:tc>
          <w:tcPr>
            <w:tcW w:w="760" w:type="dxa"/>
            <w:vAlign w:val="bottom"/>
          </w:tcPr>
          <w:p>
            <w:pPr>
              <w:spacing w:after="0"/>
              <w:rPr>
                <w:sz w:val="18"/>
                <w:szCs w:val="18"/>
                <w:color w:val="auto"/>
              </w:rPr>
            </w:pPr>
          </w:p>
        </w:tc>
        <w:tc>
          <w:tcPr>
            <w:tcW w:w="10460" w:type="dxa"/>
            <w:vAlign w:val="bottom"/>
          </w:tcPr>
          <w:p>
            <w:pPr>
              <w:ind w:left="280"/>
              <w:spacing w:after="0"/>
              <w:rPr>
                <w:sz w:val="20"/>
                <w:szCs w:val="20"/>
                <w:color w:val="auto"/>
              </w:rPr>
            </w:pPr>
            <w:r>
              <w:rPr>
                <w:rFonts w:ascii="Arial" w:cs="Arial" w:eastAsia="Arial" w:hAnsi="Arial"/>
                <w:sz w:val="18"/>
                <w:szCs w:val="18"/>
                <w:color w:val="auto"/>
                <w:w w:val="88"/>
              </w:rPr>
              <w:t>securities authorized under each of which does not exceed ten percent of the total assets of the registrant and its subsidiaries on a consolidated</w:t>
            </w:r>
          </w:p>
        </w:tc>
      </w:tr>
      <w:tr>
        <w:trPr>
          <w:trHeight w:val="216"/>
        </w:trPr>
        <w:tc>
          <w:tcPr>
            <w:tcW w:w="760" w:type="dxa"/>
            <w:vAlign w:val="bottom"/>
          </w:tcPr>
          <w:p>
            <w:pPr>
              <w:spacing w:after="0"/>
              <w:rPr>
                <w:sz w:val="18"/>
                <w:szCs w:val="18"/>
                <w:color w:val="auto"/>
              </w:rPr>
            </w:pPr>
          </w:p>
        </w:tc>
        <w:tc>
          <w:tcPr>
            <w:tcW w:w="10460" w:type="dxa"/>
            <w:vAlign w:val="bottom"/>
          </w:tcPr>
          <w:p>
            <w:pPr>
              <w:ind w:left="280"/>
              <w:spacing w:after="0"/>
              <w:rPr>
                <w:sz w:val="20"/>
                <w:szCs w:val="20"/>
                <w:color w:val="auto"/>
              </w:rPr>
            </w:pPr>
            <w:r>
              <w:rPr>
                <w:rFonts w:ascii="Arial" w:cs="Arial" w:eastAsia="Arial" w:hAnsi="Arial"/>
                <w:sz w:val="18"/>
                <w:szCs w:val="18"/>
                <w:color w:val="auto"/>
                <w:w w:val="91"/>
              </w:rPr>
              <w:t>basis), are omitted pursuant to Item 601(b)(4)(iii)(A) of Regulation S-K. We agree to furnish copies of any such instruments to the SEC upon</w:t>
            </w:r>
          </w:p>
        </w:tc>
      </w:tr>
      <w:tr>
        <w:trPr>
          <w:trHeight w:val="222"/>
        </w:trPr>
        <w:tc>
          <w:tcPr>
            <w:tcW w:w="760" w:type="dxa"/>
            <w:vAlign w:val="bottom"/>
          </w:tcPr>
          <w:p>
            <w:pPr>
              <w:spacing w:after="0"/>
              <w:rPr>
                <w:sz w:val="19"/>
                <w:szCs w:val="19"/>
                <w:color w:val="auto"/>
              </w:rPr>
            </w:pPr>
          </w:p>
        </w:tc>
        <w:tc>
          <w:tcPr>
            <w:tcW w:w="10460" w:type="dxa"/>
            <w:vAlign w:val="bottom"/>
          </w:tcPr>
          <w:p>
            <w:pPr>
              <w:ind w:left="280"/>
              <w:spacing w:after="0"/>
              <w:rPr>
                <w:sz w:val="20"/>
                <w:szCs w:val="20"/>
                <w:color w:val="auto"/>
              </w:rPr>
            </w:pPr>
            <w:r>
              <w:rPr>
                <w:rFonts w:ascii="Arial" w:cs="Arial" w:eastAsia="Arial" w:hAnsi="Arial"/>
                <w:sz w:val="18"/>
                <w:szCs w:val="18"/>
                <w:color w:val="auto"/>
              </w:rPr>
              <w:t>request.</w:t>
            </w:r>
          </w:p>
        </w:tc>
      </w:tr>
      <w:tr>
        <w:trPr>
          <w:trHeight w:val="318"/>
        </w:trPr>
        <w:tc>
          <w:tcPr>
            <w:tcW w:w="760" w:type="dxa"/>
            <w:vAlign w:val="bottom"/>
          </w:tcPr>
          <w:p>
            <w:pPr>
              <w:jc w:val="right"/>
              <w:ind w:right="372"/>
              <w:spacing w:after="0"/>
              <w:rPr>
                <w:sz w:val="20"/>
                <w:szCs w:val="20"/>
                <w:color w:val="auto"/>
              </w:rPr>
            </w:pPr>
            <w:r>
              <w:rPr>
                <w:rFonts w:ascii="Arial" w:cs="Arial" w:eastAsia="Arial" w:hAnsi="Arial"/>
                <w:sz w:val="18"/>
                <w:szCs w:val="18"/>
                <w:color w:val="auto"/>
              </w:rPr>
              <w:t>9.1</w:t>
            </w:r>
          </w:p>
        </w:tc>
        <w:tc>
          <w:tcPr>
            <w:tcW w:w="10460" w:type="dxa"/>
            <w:vAlign w:val="bottom"/>
          </w:tcPr>
          <w:p>
            <w:pPr>
              <w:ind w:left="280"/>
              <w:spacing w:after="0"/>
              <w:rPr>
                <w:sz w:val="20"/>
                <w:szCs w:val="20"/>
                <w:color w:val="auto"/>
              </w:rPr>
            </w:pPr>
            <w:r>
              <w:rPr>
                <w:rFonts w:ascii="Arial" w:cs="Arial" w:eastAsia="Arial" w:hAnsi="Arial"/>
                <w:sz w:val="18"/>
                <w:szCs w:val="18"/>
                <w:color w:val="auto"/>
                <w:w w:val="94"/>
              </w:rPr>
              <w:t>Agreement and Declaration of Trust of TWE Holdings I Trust by and among MOC Holdco I, Inc., Edith E. Holiday and The Capital Trust</w:t>
            </w:r>
          </w:p>
        </w:tc>
      </w:tr>
      <w:tr>
        <w:trPr>
          <w:trHeight w:val="222"/>
        </w:trPr>
        <w:tc>
          <w:tcPr>
            <w:tcW w:w="760" w:type="dxa"/>
            <w:vAlign w:val="bottom"/>
          </w:tcPr>
          <w:p>
            <w:pPr>
              <w:spacing w:after="0"/>
              <w:rPr>
                <w:sz w:val="19"/>
                <w:szCs w:val="19"/>
                <w:color w:val="auto"/>
              </w:rPr>
            </w:pPr>
          </w:p>
        </w:tc>
        <w:tc>
          <w:tcPr>
            <w:tcW w:w="10460" w:type="dxa"/>
            <w:vAlign w:val="bottom"/>
          </w:tcPr>
          <w:p>
            <w:pPr>
              <w:ind w:left="280"/>
              <w:spacing w:after="0"/>
              <w:rPr>
                <w:sz w:val="20"/>
                <w:szCs w:val="20"/>
                <w:color w:val="auto"/>
              </w:rPr>
            </w:pPr>
            <w:r>
              <w:rPr>
                <w:rFonts w:ascii="Arial" w:cs="Arial" w:eastAsia="Arial" w:hAnsi="Arial"/>
                <w:sz w:val="18"/>
                <w:szCs w:val="18"/>
                <w:color w:val="auto"/>
                <w:w w:val="94"/>
              </w:rPr>
              <w:t>Company of Delaware (incorporated by reference to Exhibit 99.2 to our Current Report on Form 8-K12g3 filed on November 18, 2002).</w:t>
            </w:r>
          </w:p>
        </w:tc>
      </w:tr>
      <w:tr>
        <w:trPr>
          <w:trHeight w:val="318"/>
        </w:trPr>
        <w:tc>
          <w:tcPr>
            <w:tcW w:w="760" w:type="dxa"/>
            <w:vAlign w:val="bottom"/>
          </w:tcPr>
          <w:p>
            <w:pPr>
              <w:jc w:val="right"/>
              <w:ind w:right="372"/>
              <w:spacing w:after="0"/>
              <w:rPr>
                <w:sz w:val="20"/>
                <w:szCs w:val="20"/>
                <w:color w:val="auto"/>
              </w:rPr>
            </w:pPr>
            <w:r>
              <w:rPr>
                <w:rFonts w:ascii="Arial" w:cs="Arial" w:eastAsia="Arial" w:hAnsi="Arial"/>
                <w:sz w:val="18"/>
                <w:szCs w:val="18"/>
                <w:color w:val="auto"/>
              </w:rPr>
              <w:t>9.2</w:t>
            </w:r>
          </w:p>
        </w:tc>
        <w:tc>
          <w:tcPr>
            <w:tcW w:w="10460" w:type="dxa"/>
            <w:vAlign w:val="bottom"/>
          </w:tcPr>
          <w:p>
            <w:pPr>
              <w:ind w:left="280"/>
              <w:spacing w:after="0"/>
              <w:rPr>
                <w:sz w:val="20"/>
                <w:szCs w:val="20"/>
                <w:color w:val="auto"/>
              </w:rPr>
            </w:pPr>
            <w:r>
              <w:rPr>
                <w:rFonts w:ascii="Arial" w:cs="Arial" w:eastAsia="Arial" w:hAnsi="Arial"/>
                <w:sz w:val="18"/>
                <w:szCs w:val="18"/>
                <w:color w:val="auto"/>
                <w:w w:val="91"/>
              </w:rPr>
              <w:t>Form of Agreement and Declaration of Trust of TWE Holdings II Trust by and among MOC Holdco II, Inc., Edith E. Holiday and The Capital</w:t>
            </w:r>
          </w:p>
        </w:tc>
      </w:tr>
      <w:tr>
        <w:trPr>
          <w:trHeight w:val="222"/>
        </w:trPr>
        <w:tc>
          <w:tcPr>
            <w:tcW w:w="760" w:type="dxa"/>
            <w:vAlign w:val="bottom"/>
          </w:tcPr>
          <w:p>
            <w:pPr>
              <w:spacing w:after="0"/>
              <w:rPr>
                <w:sz w:val="19"/>
                <w:szCs w:val="19"/>
                <w:color w:val="auto"/>
              </w:rPr>
            </w:pPr>
          </w:p>
        </w:tc>
        <w:tc>
          <w:tcPr>
            <w:tcW w:w="10460" w:type="dxa"/>
            <w:vAlign w:val="bottom"/>
          </w:tcPr>
          <w:p>
            <w:pPr>
              <w:ind w:left="280"/>
              <w:spacing w:after="0"/>
              <w:rPr>
                <w:sz w:val="20"/>
                <w:szCs w:val="20"/>
                <w:color w:val="auto"/>
              </w:rPr>
            </w:pPr>
            <w:r>
              <w:rPr>
                <w:rFonts w:ascii="Arial" w:cs="Arial" w:eastAsia="Arial" w:hAnsi="Arial"/>
                <w:sz w:val="18"/>
                <w:szCs w:val="18"/>
                <w:color w:val="auto"/>
                <w:w w:val="90"/>
              </w:rPr>
              <w:t>Trust Company of Delaware (incorporated by reference to Exhibit 99.3 to our Current Report on Form 8-K12g3 filed on November 18, 2002).</w:t>
            </w:r>
          </w:p>
        </w:tc>
      </w:tr>
      <w:tr>
        <w:trPr>
          <w:trHeight w:val="318"/>
        </w:trPr>
        <w:tc>
          <w:tcPr>
            <w:tcW w:w="760" w:type="dxa"/>
            <w:vAlign w:val="bottom"/>
          </w:tcPr>
          <w:p>
            <w:pPr>
              <w:jc w:val="right"/>
              <w:ind w:right="272"/>
              <w:spacing w:after="0"/>
              <w:rPr>
                <w:sz w:val="20"/>
                <w:szCs w:val="20"/>
                <w:color w:val="auto"/>
              </w:rPr>
            </w:pPr>
            <w:r>
              <w:rPr>
                <w:rFonts w:ascii="Arial" w:cs="Arial" w:eastAsia="Arial" w:hAnsi="Arial"/>
                <w:sz w:val="18"/>
                <w:szCs w:val="18"/>
                <w:color w:val="auto"/>
                <w:w w:val="90"/>
              </w:rPr>
              <w:t>10.1*</w:t>
            </w:r>
          </w:p>
        </w:tc>
        <w:tc>
          <w:tcPr>
            <w:tcW w:w="10460" w:type="dxa"/>
            <w:vAlign w:val="bottom"/>
          </w:tcPr>
          <w:p>
            <w:pPr>
              <w:ind w:left="280"/>
              <w:spacing w:after="0"/>
              <w:rPr>
                <w:sz w:val="20"/>
                <w:szCs w:val="20"/>
                <w:color w:val="auto"/>
              </w:rPr>
            </w:pPr>
            <w:r>
              <w:rPr>
                <w:rFonts w:ascii="Arial" w:cs="Arial" w:eastAsia="Arial" w:hAnsi="Arial"/>
                <w:sz w:val="18"/>
                <w:szCs w:val="18"/>
                <w:color w:val="auto"/>
                <w:w w:val="88"/>
              </w:rPr>
              <w:t>Comcast Corporation 1987 Stock Option Plan, as amended and restated effective November 18, 2002 (incorporated by reference to Exhibit 10.1</w:t>
            </w:r>
          </w:p>
        </w:tc>
      </w:tr>
      <w:tr>
        <w:trPr>
          <w:trHeight w:val="222"/>
        </w:trPr>
        <w:tc>
          <w:tcPr>
            <w:tcW w:w="760" w:type="dxa"/>
            <w:vAlign w:val="bottom"/>
          </w:tcPr>
          <w:p>
            <w:pPr>
              <w:spacing w:after="0"/>
              <w:rPr>
                <w:sz w:val="19"/>
                <w:szCs w:val="19"/>
                <w:color w:val="auto"/>
              </w:rPr>
            </w:pPr>
          </w:p>
        </w:tc>
        <w:tc>
          <w:tcPr>
            <w:tcW w:w="10460" w:type="dxa"/>
            <w:vAlign w:val="bottom"/>
          </w:tcPr>
          <w:p>
            <w:pPr>
              <w:ind w:left="280"/>
              <w:spacing w:after="0"/>
              <w:rPr>
                <w:sz w:val="20"/>
                <w:szCs w:val="20"/>
                <w:color w:val="auto"/>
              </w:rPr>
            </w:pPr>
            <w:r>
              <w:rPr>
                <w:rFonts w:ascii="Arial" w:cs="Arial" w:eastAsia="Arial" w:hAnsi="Arial"/>
                <w:sz w:val="18"/>
                <w:szCs w:val="18"/>
                <w:color w:val="auto"/>
              </w:rPr>
              <w:t>to our Annual Report on Form 10-K for the year ended December 31, 2002).</w:t>
            </w:r>
          </w:p>
        </w:tc>
      </w:tr>
      <w:tr>
        <w:trPr>
          <w:trHeight w:val="318"/>
        </w:trPr>
        <w:tc>
          <w:tcPr>
            <w:tcW w:w="760" w:type="dxa"/>
            <w:vAlign w:val="bottom"/>
          </w:tcPr>
          <w:p>
            <w:pPr>
              <w:jc w:val="right"/>
              <w:ind w:right="272"/>
              <w:spacing w:after="0"/>
              <w:rPr>
                <w:sz w:val="20"/>
                <w:szCs w:val="20"/>
                <w:color w:val="auto"/>
              </w:rPr>
            </w:pPr>
            <w:r>
              <w:rPr>
                <w:rFonts w:ascii="Arial" w:cs="Arial" w:eastAsia="Arial" w:hAnsi="Arial"/>
                <w:sz w:val="18"/>
                <w:szCs w:val="18"/>
                <w:color w:val="auto"/>
                <w:w w:val="90"/>
              </w:rPr>
              <w:t>10.2*</w:t>
            </w:r>
          </w:p>
        </w:tc>
        <w:tc>
          <w:tcPr>
            <w:tcW w:w="10460" w:type="dxa"/>
            <w:vAlign w:val="bottom"/>
          </w:tcPr>
          <w:p>
            <w:pPr>
              <w:ind w:left="280"/>
              <w:spacing w:after="0"/>
              <w:rPr>
                <w:sz w:val="20"/>
                <w:szCs w:val="20"/>
                <w:color w:val="auto"/>
              </w:rPr>
            </w:pPr>
            <w:r>
              <w:rPr>
                <w:rFonts w:ascii="Arial" w:cs="Arial" w:eastAsia="Arial" w:hAnsi="Arial"/>
                <w:sz w:val="18"/>
                <w:szCs w:val="18"/>
                <w:color w:val="auto"/>
                <w:w w:val="88"/>
              </w:rPr>
              <w:t>Comcast Corporation 2002 Stock Option Plan, as amended and restated effective January 30, 2004 (incorporated by reference to Exhibit 10.2 to</w:t>
            </w:r>
          </w:p>
        </w:tc>
      </w:tr>
      <w:tr>
        <w:trPr>
          <w:trHeight w:val="222"/>
        </w:trPr>
        <w:tc>
          <w:tcPr>
            <w:tcW w:w="760" w:type="dxa"/>
            <w:vAlign w:val="bottom"/>
          </w:tcPr>
          <w:p>
            <w:pPr>
              <w:spacing w:after="0"/>
              <w:rPr>
                <w:sz w:val="19"/>
                <w:szCs w:val="19"/>
                <w:color w:val="auto"/>
              </w:rPr>
            </w:pPr>
          </w:p>
        </w:tc>
        <w:tc>
          <w:tcPr>
            <w:tcW w:w="10460" w:type="dxa"/>
            <w:vAlign w:val="bottom"/>
          </w:tcPr>
          <w:p>
            <w:pPr>
              <w:ind w:left="280"/>
              <w:spacing w:after="0"/>
              <w:rPr>
                <w:sz w:val="20"/>
                <w:szCs w:val="20"/>
                <w:color w:val="auto"/>
              </w:rPr>
            </w:pPr>
            <w:r>
              <w:rPr>
                <w:rFonts w:ascii="Arial" w:cs="Arial" w:eastAsia="Arial" w:hAnsi="Arial"/>
                <w:sz w:val="18"/>
                <w:szCs w:val="18"/>
                <w:color w:val="auto"/>
              </w:rPr>
              <w:t>our Annual Report on Form 10-K for the year ended December 31, 2003).</w:t>
            </w:r>
          </w:p>
        </w:tc>
      </w:tr>
      <w:tr>
        <w:trPr>
          <w:trHeight w:val="324"/>
        </w:trPr>
        <w:tc>
          <w:tcPr>
            <w:tcW w:w="760" w:type="dxa"/>
            <w:vAlign w:val="bottom"/>
          </w:tcPr>
          <w:p>
            <w:pPr>
              <w:jc w:val="right"/>
              <w:ind w:right="272"/>
              <w:spacing w:after="0"/>
              <w:rPr>
                <w:sz w:val="20"/>
                <w:szCs w:val="20"/>
                <w:color w:val="auto"/>
              </w:rPr>
            </w:pPr>
            <w:r>
              <w:rPr>
                <w:rFonts w:ascii="Arial" w:cs="Arial" w:eastAsia="Arial" w:hAnsi="Arial"/>
                <w:sz w:val="18"/>
                <w:szCs w:val="18"/>
                <w:color w:val="auto"/>
                <w:w w:val="90"/>
              </w:rPr>
              <w:t>10.3*</w:t>
            </w:r>
          </w:p>
        </w:tc>
        <w:tc>
          <w:tcPr>
            <w:tcW w:w="10460" w:type="dxa"/>
            <w:vAlign w:val="bottom"/>
          </w:tcPr>
          <w:p>
            <w:pPr>
              <w:ind w:left="280"/>
              <w:spacing w:after="0"/>
              <w:rPr>
                <w:sz w:val="20"/>
                <w:szCs w:val="20"/>
                <w:color w:val="auto"/>
              </w:rPr>
            </w:pPr>
            <w:r>
              <w:rPr>
                <w:rFonts w:ascii="Arial" w:cs="Arial" w:eastAsia="Arial" w:hAnsi="Arial"/>
                <w:sz w:val="18"/>
                <w:szCs w:val="18"/>
                <w:color w:val="auto"/>
              </w:rPr>
              <w:t>Comcast Corporation 2003 Stock Option Plan, as amended and restated effective December 5, 2006.</w:t>
            </w:r>
          </w:p>
        </w:tc>
      </w:tr>
      <w:tr>
        <w:trPr>
          <w:trHeight w:val="318"/>
        </w:trPr>
        <w:tc>
          <w:tcPr>
            <w:tcW w:w="760" w:type="dxa"/>
            <w:vAlign w:val="bottom"/>
          </w:tcPr>
          <w:p>
            <w:pPr>
              <w:jc w:val="right"/>
              <w:ind w:right="272"/>
              <w:spacing w:after="0"/>
              <w:rPr>
                <w:sz w:val="20"/>
                <w:szCs w:val="20"/>
                <w:color w:val="auto"/>
              </w:rPr>
            </w:pPr>
            <w:r>
              <w:rPr>
                <w:rFonts w:ascii="Arial" w:cs="Arial" w:eastAsia="Arial" w:hAnsi="Arial"/>
                <w:sz w:val="18"/>
                <w:szCs w:val="18"/>
                <w:color w:val="auto"/>
                <w:w w:val="90"/>
              </w:rPr>
              <w:t>10.4*</w:t>
            </w:r>
          </w:p>
        </w:tc>
        <w:tc>
          <w:tcPr>
            <w:tcW w:w="10460" w:type="dxa"/>
            <w:vAlign w:val="bottom"/>
          </w:tcPr>
          <w:p>
            <w:pPr>
              <w:ind w:left="280"/>
              <w:spacing w:after="0"/>
              <w:rPr>
                <w:sz w:val="20"/>
                <w:szCs w:val="20"/>
                <w:color w:val="auto"/>
              </w:rPr>
            </w:pPr>
            <w:r>
              <w:rPr>
                <w:rFonts w:ascii="Arial" w:cs="Arial" w:eastAsia="Arial" w:hAnsi="Arial"/>
                <w:sz w:val="18"/>
                <w:szCs w:val="18"/>
                <w:color w:val="auto"/>
                <w:w w:val="91"/>
              </w:rPr>
              <w:t>Comcast Corporation 2002 Deferred Stock Option Plan, as amended and restated effective February 16, 2005 (incorporated by reference to</w:t>
            </w:r>
          </w:p>
        </w:tc>
      </w:tr>
      <w:tr>
        <w:trPr>
          <w:trHeight w:val="222"/>
        </w:trPr>
        <w:tc>
          <w:tcPr>
            <w:tcW w:w="760" w:type="dxa"/>
            <w:vAlign w:val="bottom"/>
          </w:tcPr>
          <w:p>
            <w:pPr>
              <w:spacing w:after="0"/>
              <w:rPr>
                <w:sz w:val="19"/>
                <w:szCs w:val="19"/>
                <w:color w:val="auto"/>
              </w:rPr>
            </w:pPr>
          </w:p>
        </w:tc>
        <w:tc>
          <w:tcPr>
            <w:tcW w:w="10460" w:type="dxa"/>
            <w:vAlign w:val="bottom"/>
          </w:tcPr>
          <w:p>
            <w:pPr>
              <w:ind w:left="280"/>
              <w:spacing w:after="0"/>
              <w:rPr>
                <w:sz w:val="20"/>
                <w:szCs w:val="20"/>
                <w:color w:val="auto"/>
              </w:rPr>
            </w:pPr>
            <w:r>
              <w:rPr>
                <w:rFonts w:ascii="Arial" w:cs="Arial" w:eastAsia="Arial" w:hAnsi="Arial"/>
                <w:sz w:val="18"/>
                <w:szCs w:val="18"/>
                <w:color w:val="auto"/>
              </w:rPr>
              <w:t>Exhibit 10.6 to our Annual Report on Form 10-K for the year ended December 31, 2004).</w:t>
            </w:r>
          </w:p>
        </w:tc>
      </w:tr>
      <w:tr>
        <w:trPr>
          <w:trHeight w:val="324"/>
        </w:trPr>
        <w:tc>
          <w:tcPr>
            <w:tcW w:w="760" w:type="dxa"/>
            <w:vAlign w:val="bottom"/>
          </w:tcPr>
          <w:p>
            <w:pPr>
              <w:jc w:val="right"/>
              <w:ind w:right="272"/>
              <w:spacing w:after="0"/>
              <w:rPr>
                <w:sz w:val="20"/>
                <w:szCs w:val="20"/>
                <w:color w:val="auto"/>
              </w:rPr>
            </w:pPr>
            <w:r>
              <w:rPr>
                <w:rFonts w:ascii="Arial" w:cs="Arial" w:eastAsia="Arial" w:hAnsi="Arial"/>
                <w:sz w:val="18"/>
                <w:szCs w:val="18"/>
                <w:color w:val="auto"/>
                <w:w w:val="90"/>
              </w:rPr>
              <w:t>10.5*</w:t>
            </w:r>
          </w:p>
        </w:tc>
        <w:tc>
          <w:tcPr>
            <w:tcW w:w="10460" w:type="dxa"/>
            <w:vAlign w:val="bottom"/>
          </w:tcPr>
          <w:p>
            <w:pPr>
              <w:ind w:left="280"/>
              <w:spacing w:after="0"/>
              <w:rPr>
                <w:sz w:val="20"/>
                <w:szCs w:val="20"/>
                <w:color w:val="auto"/>
              </w:rPr>
            </w:pPr>
            <w:r>
              <w:rPr>
                <w:rFonts w:ascii="Arial" w:cs="Arial" w:eastAsia="Arial" w:hAnsi="Arial"/>
                <w:sz w:val="18"/>
                <w:szCs w:val="18"/>
                <w:color w:val="auto"/>
              </w:rPr>
              <w:t>Comcast Corporation 2002 Deferred Compensation Plan, as amended and restated effective December 5, 2006.</w:t>
            </w:r>
          </w:p>
        </w:tc>
      </w:tr>
      <w:tr>
        <w:trPr>
          <w:trHeight w:val="318"/>
        </w:trPr>
        <w:tc>
          <w:tcPr>
            <w:tcW w:w="760" w:type="dxa"/>
            <w:vAlign w:val="bottom"/>
          </w:tcPr>
          <w:p>
            <w:pPr>
              <w:jc w:val="right"/>
              <w:ind w:right="272"/>
              <w:spacing w:after="0"/>
              <w:rPr>
                <w:sz w:val="20"/>
                <w:szCs w:val="20"/>
                <w:color w:val="auto"/>
              </w:rPr>
            </w:pPr>
            <w:r>
              <w:rPr>
                <w:rFonts w:ascii="Arial" w:cs="Arial" w:eastAsia="Arial" w:hAnsi="Arial"/>
                <w:sz w:val="18"/>
                <w:szCs w:val="18"/>
                <w:color w:val="auto"/>
                <w:w w:val="90"/>
              </w:rPr>
              <w:t>10.6*</w:t>
            </w:r>
          </w:p>
        </w:tc>
        <w:tc>
          <w:tcPr>
            <w:tcW w:w="10460" w:type="dxa"/>
            <w:vAlign w:val="bottom"/>
          </w:tcPr>
          <w:p>
            <w:pPr>
              <w:ind w:left="280"/>
              <w:spacing w:after="0"/>
              <w:rPr>
                <w:sz w:val="20"/>
                <w:szCs w:val="20"/>
                <w:color w:val="auto"/>
              </w:rPr>
            </w:pPr>
            <w:r>
              <w:rPr>
                <w:rFonts w:ascii="Arial" w:cs="Arial" w:eastAsia="Arial" w:hAnsi="Arial"/>
                <w:sz w:val="18"/>
                <w:szCs w:val="18"/>
                <w:color w:val="auto"/>
                <w:w w:val="89"/>
              </w:rPr>
              <w:t>Comcast Corporation 2005 Deferred Compensation Plan, as amended and restated effective December 14, 2005 (incorporated by reference to</w:t>
            </w:r>
          </w:p>
        </w:tc>
      </w:tr>
      <w:tr>
        <w:trPr>
          <w:trHeight w:val="222"/>
        </w:trPr>
        <w:tc>
          <w:tcPr>
            <w:tcW w:w="760" w:type="dxa"/>
            <w:vAlign w:val="bottom"/>
          </w:tcPr>
          <w:p>
            <w:pPr>
              <w:spacing w:after="0"/>
              <w:rPr>
                <w:sz w:val="19"/>
                <w:szCs w:val="19"/>
                <w:color w:val="auto"/>
              </w:rPr>
            </w:pPr>
          </w:p>
        </w:tc>
        <w:tc>
          <w:tcPr>
            <w:tcW w:w="10460" w:type="dxa"/>
            <w:vAlign w:val="bottom"/>
          </w:tcPr>
          <w:p>
            <w:pPr>
              <w:ind w:left="280"/>
              <w:spacing w:after="0"/>
              <w:rPr>
                <w:sz w:val="20"/>
                <w:szCs w:val="20"/>
                <w:color w:val="auto"/>
              </w:rPr>
            </w:pPr>
            <w:r>
              <w:rPr>
                <w:rFonts w:ascii="Arial" w:cs="Arial" w:eastAsia="Arial" w:hAnsi="Arial"/>
                <w:sz w:val="18"/>
                <w:szCs w:val="18"/>
                <w:color w:val="auto"/>
              </w:rPr>
              <w:t>Exhibit 10.6 to our Annual Report on Form 10-K for the year ended December 31, 2005).</w:t>
            </w:r>
          </w:p>
        </w:tc>
      </w:tr>
      <w:tr>
        <w:trPr>
          <w:trHeight w:val="318"/>
        </w:trPr>
        <w:tc>
          <w:tcPr>
            <w:tcW w:w="760" w:type="dxa"/>
            <w:vAlign w:val="bottom"/>
          </w:tcPr>
          <w:p>
            <w:pPr>
              <w:jc w:val="right"/>
              <w:ind w:right="272"/>
              <w:spacing w:after="0"/>
              <w:rPr>
                <w:sz w:val="20"/>
                <w:szCs w:val="20"/>
                <w:color w:val="auto"/>
              </w:rPr>
            </w:pPr>
            <w:r>
              <w:rPr>
                <w:rFonts w:ascii="Arial" w:cs="Arial" w:eastAsia="Arial" w:hAnsi="Arial"/>
                <w:sz w:val="18"/>
                <w:szCs w:val="18"/>
                <w:color w:val="auto"/>
                <w:w w:val="90"/>
              </w:rPr>
              <w:t>10.7*</w:t>
            </w:r>
          </w:p>
        </w:tc>
        <w:tc>
          <w:tcPr>
            <w:tcW w:w="10460" w:type="dxa"/>
            <w:vAlign w:val="bottom"/>
          </w:tcPr>
          <w:p>
            <w:pPr>
              <w:ind w:left="280"/>
              <w:spacing w:after="0"/>
              <w:rPr>
                <w:sz w:val="20"/>
                <w:szCs w:val="20"/>
                <w:color w:val="auto"/>
              </w:rPr>
            </w:pPr>
            <w:r>
              <w:rPr>
                <w:rFonts w:ascii="Arial" w:cs="Arial" w:eastAsia="Arial" w:hAnsi="Arial"/>
                <w:sz w:val="18"/>
                <w:szCs w:val="18"/>
                <w:color w:val="auto"/>
                <w:w w:val="89"/>
              </w:rPr>
              <w:t>Comcast Corporation 2002 Restricted Stock Plan, as amended and restated effective December 14, 2005 (incorporated by reference to Exhibit</w:t>
            </w:r>
          </w:p>
        </w:tc>
      </w:tr>
      <w:tr>
        <w:trPr>
          <w:trHeight w:val="222"/>
        </w:trPr>
        <w:tc>
          <w:tcPr>
            <w:tcW w:w="760" w:type="dxa"/>
            <w:vAlign w:val="bottom"/>
          </w:tcPr>
          <w:p>
            <w:pPr>
              <w:spacing w:after="0"/>
              <w:rPr>
                <w:sz w:val="19"/>
                <w:szCs w:val="19"/>
                <w:color w:val="auto"/>
              </w:rPr>
            </w:pPr>
          </w:p>
        </w:tc>
        <w:tc>
          <w:tcPr>
            <w:tcW w:w="10460" w:type="dxa"/>
            <w:vAlign w:val="bottom"/>
          </w:tcPr>
          <w:p>
            <w:pPr>
              <w:ind w:left="280"/>
              <w:spacing w:after="0"/>
              <w:rPr>
                <w:sz w:val="20"/>
                <w:szCs w:val="20"/>
                <w:color w:val="auto"/>
              </w:rPr>
            </w:pPr>
            <w:r>
              <w:rPr>
                <w:rFonts w:ascii="Arial" w:cs="Arial" w:eastAsia="Arial" w:hAnsi="Arial"/>
                <w:sz w:val="18"/>
                <w:szCs w:val="18"/>
                <w:color w:val="auto"/>
              </w:rPr>
              <w:t>10.7 to our Annual Report on Form 10-K for the year ended December 31, 2005).</w:t>
            </w:r>
          </w:p>
        </w:tc>
      </w:tr>
      <w:tr>
        <w:trPr>
          <w:trHeight w:val="318"/>
        </w:trPr>
        <w:tc>
          <w:tcPr>
            <w:tcW w:w="760" w:type="dxa"/>
            <w:vAlign w:val="bottom"/>
          </w:tcPr>
          <w:p>
            <w:pPr>
              <w:jc w:val="right"/>
              <w:ind w:right="272"/>
              <w:spacing w:after="0"/>
              <w:rPr>
                <w:sz w:val="20"/>
                <w:szCs w:val="20"/>
                <w:color w:val="auto"/>
              </w:rPr>
            </w:pPr>
            <w:r>
              <w:rPr>
                <w:rFonts w:ascii="Arial" w:cs="Arial" w:eastAsia="Arial" w:hAnsi="Arial"/>
                <w:sz w:val="18"/>
                <w:szCs w:val="18"/>
                <w:color w:val="auto"/>
                <w:w w:val="90"/>
              </w:rPr>
              <w:t>10.8*</w:t>
            </w:r>
          </w:p>
        </w:tc>
        <w:tc>
          <w:tcPr>
            <w:tcW w:w="10460" w:type="dxa"/>
            <w:vAlign w:val="bottom"/>
          </w:tcPr>
          <w:p>
            <w:pPr>
              <w:ind w:left="280"/>
              <w:spacing w:after="0"/>
              <w:rPr>
                <w:sz w:val="20"/>
                <w:szCs w:val="20"/>
                <w:color w:val="auto"/>
              </w:rPr>
            </w:pPr>
            <w:r>
              <w:rPr>
                <w:rFonts w:ascii="Arial" w:cs="Arial" w:eastAsia="Arial" w:hAnsi="Arial"/>
                <w:sz w:val="18"/>
                <w:szCs w:val="18"/>
                <w:color w:val="auto"/>
                <w:w w:val="89"/>
              </w:rPr>
              <w:t>2004 Management Achievement Plan, as amended and restated effective December 14, 2005 (incorporated by reference to Exhibit 10.8 to our</w:t>
            </w:r>
          </w:p>
        </w:tc>
      </w:tr>
      <w:tr>
        <w:trPr>
          <w:trHeight w:val="222"/>
        </w:trPr>
        <w:tc>
          <w:tcPr>
            <w:tcW w:w="760" w:type="dxa"/>
            <w:vAlign w:val="bottom"/>
          </w:tcPr>
          <w:p>
            <w:pPr>
              <w:spacing w:after="0"/>
              <w:rPr>
                <w:sz w:val="19"/>
                <w:szCs w:val="19"/>
                <w:color w:val="auto"/>
              </w:rPr>
            </w:pPr>
          </w:p>
        </w:tc>
        <w:tc>
          <w:tcPr>
            <w:tcW w:w="10460" w:type="dxa"/>
            <w:vAlign w:val="bottom"/>
          </w:tcPr>
          <w:p>
            <w:pPr>
              <w:ind w:left="280"/>
              <w:spacing w:after="0"/>
              <w:rPr>
                <w:sz w:val="20"/>
                <w:szCs w:val="20"/>
                <w:color w:val="auto"/>
              </w:rPr>
            </w:pPr>
            <w:r>
              <w:rPr>
                <w:rFonts w:ascii="Arial" w:cs="Arial" w:eastAsia="Arial" w:hAnsi="Arial"/>
                <w:sz w:val="18"/>
                <w:szCs w:val="18"/>
                <w:color w:val="auto"/>
              </w:rPr>
              <w:t>Annual Report on Form 10-K for the year ended December 31, 2005).</w:t>
            </w:r>
          </w:p>
        </w:tc>
      </w:tr>
      <w:tr>
        <w:trPr>
          <w:trHeight w:val="318"/>
        </w:trPr>
        <w:tc>
          <w:tcPr>
            <w:tcW w:w="760" w:type="dxa"/>
            <w:vAlign w:val="bottom"/>
          </w:tcPr>
          <w:p>
            <w:pPr>
              <w:jc w:val="right"/>
              <w:ind w:right="272"/>
              <w:spacing w:after="0"/>
              <w:rPr>
                <w:sz w:val="20"/>
                <w:szCs w:val="20"/>
                <w:color w:val="auto"/>
              </w:rPr>
            </w:pPr>
            <w:r>
              <w:rPr>
                <w:rFonts w:ascii="Arial" w:cs="Arial" w:eastAsia="Arial" w:hAnsi="Arial"/>
                <w:sz w:val="18"/>
                <w:szCs w:val="18"/>
                <w:color w:val="auto"/>
                <w:w w:val="90"/>
              </w:rPr>
              <w:t>10.9*</w:t>
            </w:r>
          </w:p>
        </w:tc>
        <w:tc>
          <w:tcPr>
            <w:tcW w:w="10460" w:type="dxa"/>
            <w:vAlign w:val="bottom"/>
          </w:tcPr>
          <w:p>
            <w:pPr>
              <w:ind w:left="280"/>
              <w:spacing w:after="0"/>
              <w:rPr>
                <w:sz w:val="20"/>
                <w:szCs w:val="20"/>
                <w:color w:val="auto"/>
              </w:rPr>
            </w:pPr>
            <w:r>
              <w:rPr>
                <w:rFonts w:ascii="Arial" w:cs="Arial" w:eastAsia="Arial" w:hAnsi="Arial"/>
                <w:sz w:val="18"/>
                <w:szCs w:val="18"/>
                <w:color w:val="auto"/>
                <w:w w:val="89"/>
              </w:rPr>
              <w:t>1992 Executive Split Dollar Insurance Plan (incorporated by reference to Exhibit 10(12) to the Comcast Holdings Corporation Annual Report on</w:t>
            </w:r>
          </w:p>
        </w:tc>
      </w:tr>
      <w:tr>
        <w:trPr>
          <w:trHeight w:val="222"/>
        </w:trPr>
        <w:tc>
          <w:tcPr>
            <w:tcW w:w="760" w:type="dxa"/>
            <w:vAlign w:val="bottom"/>
          </w:tcPr>
          <w:p>
            <w:pPr>
              <w:spacing w:after="0"/>
              <w:rPr>
                <w:sz w:val="19"/>
                <w:szCs w:val="19"/>
                <w:color w:val="auto"/>
              </w:rPr>
            </w:pPr>
          </w:p>
        </w:tc>
        <w:tc>
          <w:tcPr>
            <w:tcW w:w="10460" w:type="dxa"/>
            <w:vAlign w:val="bottom"/>
          </w:tcPr>
          <w:p>
            <w:pPr>
              <w:ind w:left="280"/>
              <w:spacing w:after="0"/>
              <w:rPr>
                <w:sz w:val="20"/>
                <w:szCs w:val="20"/>
                <w:color w:val="auto"/>
              </w:rPr>
            </w:pPr>
            <w:r>
              <w:rPr>
                <w:rFonts w:ascii="Arial" w:cs="Arial" w:eastAsia="Arial" w:hAnsi="Arial"/>
                <w:sz w:val="18"/>
                <w:szCs w:val="18"/>
                <w:color w:val="auto"/>
              </w:rPr>
              <w:t>Form 10-K for the year ended December 31, 1992).</w:t>
            </w:r>
          </w:p>
        </w:tc>
      </w:tr>
      <w:tr>
        <w:trPr>
          <w:trHeight w:val="318"/>
        </w:trPr>
        <w:tc>
          <w:tcPr>
            <w:tcW w:w="760" w:type="dxa"/>
            <w:vAlign w:val="bottom"/>
          </w:tcPr>
          <w:p>
            <w:pPr>
              <w:jc w:val="right"/>
              <w:ind w:right="192"/>
              <w:spacing w:after="0"/>
              <w:rPr>
                <w:sz w:val="20"/>
                <w:szCs w:val="20"/>
                <w:color w:val="auto"/>
              </w:rPr>
            </w:pPr>
            <w:r>
              <w:rPr>
                <w:rFonts w:ascii="Arial" w:cs="Arial" w:eastAsia="Arial" w:hAnsi="Arial"/>
                <w:sz w:val="18"/>
                <w:szCs w:val="18"/>
                <w:color w:val="auto"/>
                <w:w w:val="88"/>
              </w:rPr>
              <w:t>10.13*</w:t>
            </w:r>
          </w:p>
        </w:tc>
        <w:tc>
          <w:tcPr>
            <w:tcW w:w="10460" w:type="dxa"/>
            <w:vAlign w:val="bottom"/>
          </w:tcPr>
          <w:p>
            <w:pPr>
              <w:ind w:left="280"/>
              <w:spacing w:after="0"/>
              <w:rPr>
                <w:sz w:val="20"/>
                <w:szCs w:val="20"/>
                <w:color w:val="auto"/>
              </w:rPr>
            </w:pPr>
            <w:r>
              <w:rPr>
                <w:rFonts w:ascii="Arial" w:cs="Arial" w:eastAsia="Arial" w:hAnsi="Arial"/>
                <w:sz w:val="18"/>
                <w:szCs w:val="18"/>
                <w:color w:val="auto"/>
                <w:w w:val="89"/>
              </w:rPr>
              <w:t>Comcast Corporation 2002 Non-Employee Director Compensation Plan, as amended and restated, effective January 12, 2005 (incorporated by</w:t>
            </w:r>
          </w:p>
        </w:tc>
      </w:tr>
      <w:tr>
        <w:trPr>
          <w:trHeight w:val="222"/>
        </w:trPr>
        <w:tc>
          <w:tcPr>
            <w:tcW w:w="760" w:type="dxa"/>
            <w:vAlign w:val="bottom"/>
          </w:tcPr>
          <w:p>
            <w:pPr>
              <w:spacing w:after="0"/>
              <w:rPr>
                <w:sz w:val="19"/>
                <w:szCs w:val="19"/>
                <w:color w:val="auto"/>
              </w:rPr>
            </w:pPr>
          </w:p>
        </w:tc>
        <w:tc>
          <w:tcPr>
            <w:tcW w:w="10460" w:type="dxa"/>
            <w:vAlign w:val="bottom"/>
          </w:tcPr>
          <w:p>
            <w:pPr>
              <w:ind w:left="280"/>
              <w:spacing w:after="0"/>
              <w:rPr>
                <w:sz w:val="20"/>
                <w:szCs w:val="20"/>
                <w:color w:val="auto"/>
              </w:rPr>
            </w:pPr>
            <w:r>
              <w:rPr>
                <w:rFonts w:ascii="Arial" w:cs="Arial" w:eastAsia="Arial" w:hAnsi="Arial"/>
                <w:sz w:val="18"/>
                <w:szCs w:val="18"/>
                <w:color w:val="auto"/>
              </w:rPr>
              <w:t>reference to Exhibit 10.13 to our Annual Report on Form 10-K for the year ended December 31, 2004).</w:t>
            </w:r>
          </w:p>
        </w:tc>
      </w:tr>
      <w:tr>
        <w:trPr>
          <w:trHeight w:val="318"/>
        </w:trPr>
        <w:tc>
          <w:tcPr>
            <w:tcW w:w="760" w:type="dxa"/>
            <w:vAlign w:val="bottom"/>
          </w:tcPr>
          <w:p>
            <w:pPr>
              <w:jc w:val="right"/>
              <w:ind w:right="192"/>
              <w:spacing w:after="0"/>
              <w:rPr>
                <w:sz w:val="20"/>
                <w:szCs w:val="20"/>
                <w:color w:val="auto"/>
              </w:rPr>
            </w:pPr>
            <w:r>
              <w:rPr>
                <w:rFonts w:ascii="Arial" w:cs="Arial" w:eastAsia="Arial" w:hAnsi="Arial"/>
                <w:sz w:val="18"/>
                <w:szCs w:val="18"/>
                <w:color w:val="auto"/>
                <w:w w:val="88"/>
              </w:rPr>
              <w:t>10.14*</w:t>
            </w:r>
          </w:p>
        </w:tc>
        <w:tc>
          <w:tcPr>
            <w:tcW w:w="10460" w:type="dxa"/>
            <w:vAlign w:val="bottom"/>
          </w:tcPr>
          <w:p>
            <w:pPr>
              <w:ind w:left="280"/>
              <w:spacing w:after="0"/>
              <w:rPr>
                <w:sz w:val="20"/>
                <w:szCs w:val="20"/>
                <w:color w:val="auto"/>
              </w:rPr>
            </w:pPr>
            <w:r>
              <w:rPr>
                <w:rFonts w:ascii="Arial" w:cs="Arial" w:eastAsia="Arial" w:hAnsi="Arial"/>
                <w:sz w:val="18"/>
                <w:szCs w:val="18"/>
                <w:color w:val="auto"/>
                <w:w w:val="87"/>
              </w:rPr>
              <w:t>Comcast Corporation 2002 Employee Stock Purchase Plan, as amended and restated effective December 14, 2005 (incorporated by reference to</w:t>
            </w:r>
          </w:p>
        </w:tc>
      </w:tr>
      <w:tr>
        <w:trPr>
          <w:trHeight w:val="222"/>
        </w:trPr>
        <w:tc>
          <w:tcPr>
            <w:tcW w:w="760" w:type="dxa"/>
            <w:vAlign w:val="bottom"/>
          </w:tcPr>
          <w:p>
            <w:pPr>
              <w:spacing w:after="0"/>
              <w:rPr>
                <w:sz w:val="19"/>
                <w:szCs w:val="19"/>
                <w:color w:val="auto"/>
              </w:rPr>
            </w:pPr>
          </w:p>
        </w:tc>
        <w:tc>
          <w:tcPr>
            <w:tcW w:w="10460" w:type="dxa"/>
            <w:vAlign w:val="bottom"/>
          </w:tcPr>
          <w:p>
            <w:pPr>
              <w:ind w:left="280"/>
              <w:spacing w:after="0"/>
              <w:rPr>
                <w:sz w:val="20"/>
                <w:szCs w:val="20"/>
                <w:color w:val="auto"/>
              </w:rPr>
            </w:pPr>
            <w:r>
              <w:rPr>
                <w:rFonts w:ascii="Arial" w:cs="Arial" w:eastAsia="Arial" w:hAnsi="Arial"/>
                <w:sz w:val="18"/>
                <w:szCs w:val="18"/>
                <w:color w:val="auto"/>
              </w:rPr>
              <w:t>Exhibit 10.14 to our Annual Report on Form 10-K for the year ended December 31, 2005).</w:t>
            </w:r>
          </w:p>
        </w:tc>
      </w:tr>
      <w:tr>
        <w:trPr>
          <w:trHeight w:val="365"/>
        </w:trPr>
        <w:tc>
          <w:tcPr>
            <w:tcW w:w="760" w:type="dxa"/>
            <w:vAlign w:val="bottom"/>
          </w:tcPr>
          <w:p>
            <w:pPr>
              <w:spacing w:after="0"/>
              <w:rPr>
                <w:sz w:val="24"/>
                <w:szCs w:val="24"/>
                <w:color w:val="auto"/>
              </w:rPr>
            </w:pPr>
          </w:p>
        </w:tc>
        <w:tc>
          <w:tcPr>
            <w:tcW w:w="10460" w:type="dxa"/>
            <w:vAlign w:val="bottom"/>
          </w:tcPr>
          <w:p>
            <w:pPr>
              <w:ind w:left="4740"/>
              <w:spacing w:after="0"/>
              <w:rPr>
                <w:sz w:val="20"/>
                <w:szCs w:val="20"/>
                <w:color w:val="auto"/>
              </w:rPr>
            </w:pPr>
            <w:r>
              <w:rPr>
                <w:rFonts w:ascii="Arial" w:cs="Arial" w:eastAsia="Arial" w:hAnsi="Arial"/>
                <w:sz w:val="18"/>
                <w:szCs w:val="18"/>
                <w:color w:val="auto"/>
              </w:rPr>
              <w:t>27</w:t>
            </w:r>
          </w:p>
        </w:tc>
      </w:tr>
    </w:tbl>
    <w:p>
      <w:pPr>
        <w:sectPr>
          <w:pgSz w:w="11900" w:h="16838" w:orient="portrait"/>
          <w:cols w:equalWidth="0" w:num="1">
            <w:col w:w="11340"/>
          </w:cols>
          <w:pgMar w:left="240" w:top="459" w:right="319" w:bottom="1440" w:gutter="0" w:footer="0" w:header="0"/>
        </w:sectPr>
      </w:pPr>
    </w:p>
    <w:bookmarkStart w:id="30" w:name="page31"/>
    <w:bookmarkEnd w:id="30"/>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left="1160" w:right="340" w:hanging="1037"/>
        <w:spacing w:after="0" w:line="332" w:lineRule="auto"/>
        <w:tabs>
          <w:tab w:leader="none" w:pos="1140" w:val="left"/>
        </w:tabs>
        <w:rPr>
          <w:sz w:val="20"/>
          <w:szCs w:val="20"/>
          <w:color w:val="auto"/>
        </w:rPr>
      </w:pPr>
      <w:r>
        <w:rPr>
          <w:rFonts w:ascii="Arial" w:cs="Arial" w:eastAsia="Arial" w:hAnsi="Arial"/>
          <w:sz w:val="18"/>
          <w:szCs w:val="18"/>
          <w:color w:val="auto"/>
        </w:rPr>
        <w:t>10.15*</w:t>
      </w:r>
      <w:r>
        <w:rPr>
          <w:sz w:val="20"/>
          <w:szCs w:val="20"/>
          <w:color w:val="auto"/>
        </w:rPr>
        <w:tab/>
      </w:r>
      <w:r>
        <w:rPr>
          <w:rFonts w:ascii="Arial" w:cs="Arial" w:eastAsia="Arial" w:hAnsi="Arial"/>
          <w:sz w:val="16"/>
          <w:szCs w:val="16"/>
          <w:color w:val="auto"/>
        </w:rPr>
        <w:t>Comcast Corporation Supplemental Executive Retirement Plan, as amended and restated effective June 5, 2001 (incorporated by reference to Exhibit 10.10 to the Comcast Holdings Corporation Annual Report on Form 10-K for the year ended December 31, 2001).</w:t>
      </w:r>
    </w:p>
    <w:p>
      <w:pPr>
        <w:spacing w:after="0" w:line="31" w:lineRule="exact"/>
        <w:rPr>
          <w:sz w:val="20"/>
          <w:szCs w:val="20"/>
          <w:color w:val="auto"/>
        </w:rPr>
      </w:pPr>
    </w:p>
    <w:p>
      <w:pPr>
        <w:ind w:left="1160" w:right="180" w:hanging="1037"/>
        <w:spacing w:after="0" w:line="268" w:lineRule="auto"/>
        <w:tabs>
          <w:tab w:leader="none" w:pos="1140" w:val="left"/>
        </w:tabs>
        <w:rPr>
          <w:sz w:val="20"/>
          <w:szCs w:val="20"/>
          <w:color w:val="auto"/>
        </w:rPr>
      </w:pPr>
      <w:r>
        <w:rPr>
          <w:rFonts w:ascii="Arial" w:cs="Arial" w:eastAsia="Arial" w:hAnsi="Arial"/>
          <w:sz w:val="18"/>
          <w:szCs w:val="18"/>
          <w:color w:val="auto"/>
        </w:rPr>
        <w:t>10.16*</w:t>
      </w:r>
      <w:r>
        <w:rPr>
          <w:sz w:val="20"/>
          <w:szCs w:val="20"/>
          <w:color w:val="auto"/>
        </w:rPr>
        <w:tab/>
      </w:r>
      <w:r>
        <w:rPr>
          <w:rFonts w:ascii="Arial" w:cs="Arial" w:eastAsia="Arial" w:hAnsi="Arial"/>
          <w:sz w:val="18"/>
          <w:szCs w:val="18"/>
          <w:color w:val="auto"/>
        </w:rPr>
        <w:t>Employment Agreement between Comcast Corporation and John R. Alchin dated November 7, 2005 (incorporated by reference to Exhibit 99.1 to our Form 8-K filed on November 7, 2005).</w:t>
      </w:r>
    </w:p>
    <w:p>
      <w:pPr>
        <w:spacing w:after="0" w:line="78" w:lineRule="exact"/>
        <w:rPr>
          <w:sz w:val="20"/>
          <w:szCs w:val="20"/>
          <w:color w:val="auto"/>
        </w:rPr>
      </w:pPr>
    </w:p>
    <w:p>
      <w:pPr>
        <w:ind w:left="1160" w:right="300" w:hanging="1037"/>
        <w:spacing w:after="0" w:line="268" w:lineRule="auto"/>
        <w:tabs>
          <w:tab w:leader="none" w:pos="1140" w:val="left"/>
        </w:tabs>
        <w:rPr>
          <w:sz w:val="20"/>
          <w:szCs w:val="20"/>
          <w:color w:val="auto"/>
        </w:rPr>
      </w:pPr>
      <w:r>
        <w:rPr>
          <w:rFonts w:ascii="Arial" w:cs="Arial" w:eastAsia="Arial" w:hAnsi="Arial"/>
          <w:sz w:val="18"/>
          <w:szCs w:val="18"/>
          <w:color w:val="auto"/>
        </w:rPr>
        <w:t>10.19*</w:t>
      </w:r>
      <w:r>
        <w:rPr>
          <w:sz w:val="20"/>
          <w:szCs w:val="20"/>
          <w:color w:val="auto"/>
        </w:rPr>
        <w:tab/>
      </w:r>
      <w:r>
        <w:rPr>
          <w:rFonts w:ascii="Arial" w:cs="Arial" w:eastAsia="Arial" w:hAnsi="Arial"/>
          <w:sz w:val="18"/>
          <w:szCs w:val="18"/>
          <w:color w:val="auto"/>
        </w:rPr>
        <w:t>Certificate of Interest of Julian Brodsky under the Comcast Holdings Corporation Unfunded Plan of Deferred Compensation (incorporated by reference to Exhibit 10.21 to our Annual Report on Form 10-K for the year ended December 31, 2002).</w:t>
      </w:r>
    </w:p>
    <w:p>
      <w:pPr>
        <w:spacing w:after="0" w:line="78" w:lineRule="exact"/>
        <w:rPr>
          <w:sz w:val="20"/>
          <w:szCs w:val="20"/>
          <w:color w:val="auto"/>
        </w:rPr>
      </w:pPr>
    </w:p>
    <w:p>
      <w:pPr>
        <w:ind w:left="1160" w:right="200" w:hanging="1037"/>
        <w:spacing w:after="0" w:line="268" w:lineRule="auto"/>
        <w:tabs>
          <w:tab w:leader="none" w:pos="1140" w:val="left"/>
        </w:tabs>
        <w:rPr>
          <w:sz w:val="20"/>
          <w:szCs w:val="20"/>
          <w:color w:val="auto"/>
        </w:rPr>
      </w:pPr>
      <w:r>
        <w:rPr>
          <w:rFonts w:ascii="Arial" w:cs="Arial" w:eastAsia="Arial" w:hAnsi="Arial"/>
          <w:sz w:val="18"/>
          <w:szCs w:val="18"/>
          <w:color w:val="auto"/>
        </w:rPr>
        <w:t>10.20*</w:t>
      </w:r>
      <w:r>
        <w:rPr>
          <w:sz w:val="20"/>
          <w:szCs w:val="20"/>
          <w:color w:val="auto"/>
        </w:rPr>
        <w:tab/>
      </w:r>
      <w:r>
        <w:rPr>
          <w:rFonts w:ascii="Arial" w:cs="Arial" w:eastAsia="Arial" w:hAnsi="Arial"/>
          <w:sz w:val="18"/>
          <w:szCs w:val="18"/>
          <w:color w:val="auto"/>
        </w:rPr>
        <w:t>Employment Agreement between Comcast Holdings Corporation and Julian A. Brodsky, dated as of May 1, 2002 (incorporated by reference to Exhibit 10.22 to our Annual Report on Form 10-K for the year ended December 31, 2002).</w:t>
      </w:r>
    </w:p>
    <w:p>
      <w:pPr>
        <w:spacing w:after="0" w:line="78" w:lineRule="exact"/>
        <w:rPr>
          <w:sz w:val="20"/>
          <w:szCs w:val="20"/>
          <w:color w:val="auto"/>
        </w:rPr>
      </w:pPr>
    </w:p>
    <w:p>
      <w:pPr>
        <w:jc w:val="center"/>
        <w:ind w:right="560"/>
        <w:spacing w:after="0" w:line="332" w:lineRule="auto"/>
        <w:rPr>
          <w:sz w:val="20"/>
          <w:szCs w:val="20"/>
          <w:color w:val="auto"/>
        </w:rPr>
      </w:pPr>
      <w:r>
        <w:rPr>
          <w:rFonts w:ascii="Arial" w:cs="Arial" w:eastAsia="Arial" w:hAnsi="Arial"/>
          <w:sz w:val="16"/>
          <w:szCs w:val="16"/>
          <w:color w:val="auto"/>
        </w:rPr>
        <w:t>10.21*      Amendment to Employment Agreement between Comcast Holdings Corporation and Julian A. Brodsky, dated as of November 18, 2002 (incorporated by reference to Exhibit 10.23 to our Annual Report on Form 10-K for the year ended December 31, 2002).</w:t>
      </w:r>
    </w:p>
    <w:p>
      <w:pPr>
        <w:spacing w:after="0" w:line="31" w:lineRule="exact"/>
        <w:rPr>
          <w:sz w:val="20"/>
          <w:szCs w:val="20"/>
          <w:color w:val="auto"/>
        </w:rPr>
      </w:pPr>
    </w:p>
    <w:p>
      <w:pPr>
        <w:ind w:left="120"/>
        <w:spacing w:after="0"/>
        <w:tabs>
          <w:tab w:leader="none" w:pos="1140" w:val="left"/>
        </w:tabs>
        <w:rPr>
          <w:sz w:val="20"/>
          <w:szCs w:val="20"/>
          <w:color w:val="auto"/>
        </w:rPr>
      </w:pPr>
      <w:r>
        <w:rPr>
          <w:rFonts w:ascii="Arial" w:cs="Arial" w:eastAsia="Arial" w:hAnsi="Arial"/>
          <w:sz w:val="18"/>
          <w:szCs w:val="18"/>
          <w:color w:val="auto"/>
        </w:rPr>
        <w:t>10.22*</w:t>
      </w:r>
      <w:r>
        <w:rPr>
          <w:sz w:val="20"/>
          <w:szCs w:val="20"/>
          <w:color w:val="auto"/>
        </w:rPr>
        <w:tab/>
      </w:r>
      <w:r>
        <w:rPr>
          <w:rFonts w:ascii="Arial" w:cs="Arial" w:eastAsia="Arial" w:hAnsi="Arial"/>
          <w:sz w:val="15"/>
          <w:szCs w:val="15"/>
          <w:color w:val="auto"/>
        </w:rPr>
        <w:t>Employment Agreement between Comcast Corporation and Stephen B. Burke dated November 22, 2005 (incorporated by reference to Exhibit</w:t>
      </w:r>
    </w:p>
    <w:p>
      <w:pPr>
        <w:spacing w:after="0" w:line="15" w:lineRule="exact"/>
        <w:rPr>
          <w:sz w:val="20"/>
          <w:szCs w:val="20"/>
          <w:color w:val="auto"/>
        </w:rPr>
      </w:pPr>
    </w:p>
    <w:p>
      <w:pPr>
        <w:ind w:left="1160"/>
        <w:spacing w:after="0"/>
        <w:rPr>
          <w:sz w:val="20"/>
          <w:szCs w:val="20"/>
          <w:color w:val="auto"/>
        </w:rPr>
      </w:pPr>
      <w:r>
        <w:rPr>
          <w:rFonts w:ascii="Arial" w:cs="Arial" w:eastAsia="Arial" w:hAnsi="Arial"/>
          <w:sz w:val="18"/>
          <w:szCs w:val="18"/>
          <w:color w:val="auto"/>
        </w:rPr>
        <w:t>99.1 to our Form 8-K filed on November 22, 2005).</w:t>
      </w:r>
    </w:p>
    <w:p>
      <w:pPr>
        <w:spacing w:after="0" w:line="111" w:lineRule="exact"/>
        <w:rPr>
          <w:sz w:val="20"/>
          <w:szCs w:val="20"/>
          <w:color w:val="auto"/>
        </w:rPr>
      </w:pPr>
    </w:p>
    <w:p>
      <w:pPr>
        <w:ind w:left="1160" w:right="360" w:hanging="1037"/>
        <w:spacing w:after="0" w:line="268" w:lineRule="auto"/>
        <w:tabs>
          <w:tab w:leader="none" w:pos="1140" w:val="left"/>
        </w:tabs>
        <w:rPr>
          <w:sz w:val="20"/>
          <w:szCs w:val="20"/>
          <w:color w:val="auto"/>
        </w:rPr>
      </w:pPr>
      <w:r>
        <w:rPr>
          <w:rFonts w:ascii="Arial" w:cs="Arial" w:eastAsia="Arial" w:hAnsi="Arial"/>
          <w:sz w:val="18"/>
          <w:szCs w:val="18"/>
          <w:color w:val="auto"/>
        </w:rPr>
        <w:t>10.23*</w:t>
      </w:r>
      <w:r>
        <w:rPr>
          <w:sz w:val="20"/>
          <w:szCs w:val="20"/>
          <w:color w:val="auto"/>
        </w:rPr>
        <w:tab/>
      </w:r>
      <w:r>
        <w:rPr>
          <w:rFonts w:ascii="Arial" w:cs="Arial" w:eastAsia="Arial" w:hAnsi="Arial"/>
          <w:sz w:val="18"/>
          <w:szCs w:val="18"/>
          <w:color w:val="auto"/>
        </w:rPr>
        <w:t>Amendment No. 1 to Employment Agreement between Comcast Corporation and Stephen B. Burke dated January 25, 2006 (incorporated by reference to Exhibit 10.23 to our Annual Report on Form 10-K for the year ended December 31, 2005).</w:t>
      </w:r>
    </w:p>
    <w:p>
      <w:pPr>
        <w:spacing w:after="0" w:line="78" w:lineRule="exact"/>
        <w:rPr>
          <w:sz w:val="20"/>
          <w:szCs w:val="20"/>
          <w:color w:val="auto"/>
        </w:rPr>
      </w:pPr>
    </w:p>
    <w:p>
      <w:pPr>
        <w:ind w:left="1160" w:right="100" w:hanging="1037"/>
        <w:spacing w:after="0" w:line="268" w:lineRule="auto"/>
        <w:tabs>
          <w:tab w:leader="none" w:pos="1140" w:val="left"/>
        </w:tabs>
        <w:rPr>
          <w:sz w:val="20"/>
          <w:szCs w:val="20"/>
          <w:color w:val="auto"/>
        </w:rPr>
      </w:pPr>
      <w:r>
        <w:rPr>
          <w:rFonts w:ascii="Arial" w:cs="Arial" w:eastAsia="Arial" w:hAnsi="Arial"/>
          <w:sz w:val="18"/>
          <w:szCs w:val="18"/>
          <w:color w:val="auto"/>
        </w:rPr>
        <w:t>10.24*</w:t>
      </w:r>
      <w:r>
        <w:rPr>
          <w:sz w:val="20"/>
          <w:szCs w:val="20"/>
          <w:color w:val="auto"/>
        </w:rPr>
        <w:tab/>
      </w:r>
      <w:r>
        <w:rPr>
          <w:rFonts w:ascii="Arial" w:cs="Arial" w:eastAsia="Arial" w:hAnsi="Arial"/>
          <w:sz w:val="18"/>
          <w:szCs w:val="18"/>
          <w:color w:val="auto"/>
        </w:rPr>
        <w:t>Employment Agreement between Comcast Corporation and David L. Cohen dated November 7, 2005 (incorporated by reference to Exhibit 99.2 to our Form 8-K filed on November 7, 2005).</w:t>
      </w:r>
    </w:p>
    <w:p>
      <w:pPr>
        <w:spacing w:after="0" w:line="78" w:lineRule="exact"/>
        <w:rPr>
          <w:sz w:val="20"/>
          <w:szCs w:val="20"/>
          <w:color w:val="auto"/>
        </w:rPr>
      </w:pPr>
    </w:p>
    <w:p>
      <w:pPr>
        <w:ind w:left="1160" w:right="280" w:hanging="1037"/>
        <w:spacing w:after="0" w:line="268" w:lineRule="auto"/>
        <w:tabs>
          <w:tab w:leader="none" w:pos="1140" w:val="left"/>
        </w:tabs>
        <w:rPr>
          <w:sz w:val="20"/>
          <w:szCs w:val="20"/>
          <w:color w:val="auto"/>
        </w:rPr>
      </w:pPr>
      <w:r>
        <w:rPr>
          <w:rFonts w:ascii="Arial" w:cs="Arial" w:eastAsia="Arial" w:hAnsi="Arial"/>
          <w:sz w:val="18"/>
          <w:szCs w:val="18"/>
          <w:color w:val="auto"/>
        </w:rPr>
        <w:t>10.25*</w:t>
      </w:r>
      <w:r>
        <w:rPr>
          <w:sz w:val="20"/>
          <w:szCs w:val="20"/>
          <w:color w:val="auto"/>
        </w:rPr>
        <w:tab/>
      </w:r>
      <w:r>
        <w:rPr>
          <w:rFonts w:ascii="Arial" w:cs="Arial" w:eastAsia="Arial" w:hAnsi="Arial"/>
          <w:sz w:val="18"/>
          <w:szCs w:val="18"/>
          <w:color w:val="auto"/>
        </w:rPr>
        <w:t>Amendment No. 1 to Employment Agreement between Comcast Corporation and David L. Cohen dated November 11, 2005 (incorporated by reference to Exhibit 10.25 to our Annual Report on Form 10-K for the year ended December 31, 2005).</w:t>
      </w:r>
    </w:p>
    <w:p>
      <w:pPr>
        <w:spacing w:after="0" w:line="78" w:lineRule="exact"/>
        <w:rPr>
          <w:sz w:val="20"/>
          <w:szCs w:val="20"/>
          <w:color w:val="auto"/>
        </w:rPr>
      </w:pPr>
    </w:p>
    <w:p>
      <w:pPr>
        <w:ind w:left="1160" w:right="480" w:hanging="1037"/>
        <w:spacing w:after="0" w:line="268" w:lineRule="auto"/>
        <w:tabs>
          <w:tab w:leader="none" w:pos="1140" w:val="left"/>
        </w:tabs>
        <w:rPr>
          <w:sz w:val="20"/>
          <w:szCs w:val="20"/>
          <w:color w:val="auto"/>
        </w:rPr>
      </w:pPr>
      <w:r>
        <w:rPr>
          <w:rFonts w:ascii="Arial" w:cs="Arial" w:eastAsia="Arial" w:hAnsi="Arial"/>
          <w:sz w:val="18"/>
          <w:szCs w:val="18"/>
          <w:color w:val="auto"/>
        </w:rPr>
        <w:t>10.26*</w:t>
      </w:r>
      <w:r>
        <w:rPr>
          <w:sz w:val="20"/>
          <w:szCs w:val="20"/>
          <w:color w:val="auto"/>
        </w:rPr>
        <w:tab/>
      </w:r>
      <w:r>
        <w:rPr>
          <w:rFonts w:ascii="Arial" w:cs="Arial" w:eastAsia="Arial" w:hAnsi="Arial"/>
          <w:sz w:val="18"/>
          <w:szCs w:val="18"/>
          <w:color w:val="auto"/>
        </w:rPr>
        <w:t>Amendment No. 2 to Employment Agreement between Comcast Corporation and David L. Cohen dated January 25, 2006 (incorporated by reference to Exhibit 10.26 to our Annual Report on Form 10-K for the year ended December 31, 2005).</w:t>
      </w:r>
    </w:p>
    <w:p>
      <w:pPr>
        <w:spacing w:after="0" w:line="78" w:lineRule="exact"/>
        <w:rPr>
          <w:sz w:val="20"/>
          <w:szCs w:val="20"/>
          <w:color w:val="auto"/>
        </w:rPr>
      </w:pPr>
    </w:p>
    <w:p>
      <w:pPr>
        <w:ind w:left="1160" w:right="60" w:hanging="1037"/>
        <w:spacing w:after="0" w:line="268" w:lineRule="auto"/>
        <w:tabs>
          <w:tab w:leader="none" w:pos="1140" w:val="left"/>
        </w:tabs>
        <w:rPr>
          <w:sz w:val="20"/>
          <w:szCs w:val="20"/>
          <w:color w:val="auto"/>
        </w:rPr>
      </w:pPr>
      <w:r>
        <w:rPr>
          <w:rFonts w:ascii="Arial" w:cs="Arial" w:eastAsia="Arial" w:hAnsi="Arial"/>
          <w:sz w:val="18"/>
          <w:szCs w:val="18"/>
          <w:color w:val="auto"/>
        </w:rPr>
        <w:t>10.27*</w:t>
      </w:r>
      <w:r>
        <w:rPr>
          <w:sz w:val="20"/>
          <w:szCs w:val="20"/>
          <w:color w:val="auto"/>
        </w:rPr>
        <w:tab/>
      </w:r>
      <w:r>
        <w:rPr>
          <w:rFonts w:ascii="Arial" w:cs="Arial" w:eastAsia="Arial" w:hAnsi="Arial"/>
          <w:sz w:val="18"/>
          <w:szCs w:val="18"/>
          <w:color w:val="auto"/>
        </w:rPr>
        <w:t>Employment Agreement between Comcast Corporation and Brian L. Roberts, dated as of June 1, 2005 (incorporated by reference to Exhibit 99.1 to our Form 8-K filed on August 4, 2005).</w:t>
      </w:r>
    </w:p>
    <w:p>
      <w:pPr>
        <w:spacing w:after="0" w:line="78" w:lineRule="exact"/>
        <w:rPr>
          <w:sz w:val="20"/>
          <w:szCs w:val="20"/>
          <w:color w:val="auto"/>
        </w:rPr>
      </w:pPr>
    </w:p>
    <w:p>
      <w:pPr>
        <w:ind w:left="120"/>
        <w:spacing w:after="0"/>
        <w:tabs>
          <w:tab w:leader="none" w:pos="1140" w:val="left"/>
        </w:tabs>
        <w:rPr>
          <w:sz w:val="20"/>
          <w:szCs w:val="20"/>
          <w:color w:val="auto"/>
        </w:rPr>
      </w:pPr>
      <w:r>
        <w:rPr>
          <w:rFonts w:ascii="Arial" w:cs="Arial" w:eastAsia="Arial" w:hAnsi="Arial"/>
          <w:sz w:val="18"/>
          <w:szCs w:val="18"/>
          <w:color w:val="auto"/>
        </w:rPr>
        <w:t>10.28*</w:t>
      </w:r>
      <w:r>
        <w:rPr>
          <w:sz w:val="20"/>
          <w:szCs w:val="20"/>
          <w:color w:val="auto"/>
        </w:rPr>
        <w:tab/>
      </w:r>
      <w:r>
        <w:rPr>
          <w:rFonts w:ascii="Arial" w:cs="Arial" w:eastAsia="Arial" w:hAnsi="Arial"/>
          <w:sz w:val="15"/>
          <w:szCs w:val="15"/>
          <w:color w:val="auto"/>
        </w:rPr>
        <w:t>Term Life Insurance Premium and Tax Bonus Agreement between Comcast Holdings Corporation and Brian L. Roberts, dated as of September</w:t>
      </w:r>
    </w:p>
    <w:p>
      <w:pPr>
        <w:spacing w:after="0" w:line="15" w:lineRule="exact"/>
        <w:rPr>
          <w:sz w:val="20"/>
          <w:szCs w:val="20"/>
          <w:color w:val="auto"/>
        </w:rPr>
      </w:pPr>
    </w:p>
    <w:p>
      <w:pPr>
        <w:jc w:val="center"/>
        <w:ind w:right="80"/>
        <w:spacing w:after="0"/>
        <w:rPr>
          <w:sz w:val="20"/>
          <w:szCs w:val="20"/>
          <w:color w:val="auto"/>
        </w:rPr>
      </w:pPr>
      <w:r>
        <w:rPr>
          <w:rFonts w:ascii="Arial" w:cs="Arial" w:eastAsia="Arial" w:hAnsi="Arial"/>
          <w:sz w:val="18"/>
          <w:szCs w:val="18"/>
          <w:color w:val="auto"/>
        </w:rPr>
        <w:t>23, 1998 (incorporated by reference to Exhibit 10.1 to our quarterly report on Form 10-Q for the quarter ended March 31, 2003).</w:t>
      </w:r>
    </w:p>
    <w:p>
      <w:pPr>
        <w:spacing w:after="0" w:line="111" w:lineRule="exact"/>
        <w:rPr>
          <w:sz w:val="20"/>
          <w:szCs w:val="20"/>
          <w:color w:val="auto"/>
        </w:rPr>
      </w:pPr>
    </w:p>
    <w:p>
      <w:pPr>
        <w:ind w:left="120"/>
        <w:spacing w:after="0"/>
        <w:tabs>
          <w:tab w:leader="none" w:pos="1140" w:val="left"/>
        </w:tabs>
        <w:rPr>
          <w:sz w:val="20"/>
          <w:szCs w:val="20"/>
          <w:color w:val="auto"/>
        </w:rPr>
      </w:pPr>
      <w:r>
        <w:rPr>
          <w:rFonts w:ascii="Arial" w:cs="Arial" w:eastAsia="Arial" w:hAnsi="Arial"/>
          <w:sz w:val="18"/>
          <w:szCs w:val="18"/>
          <w:color w:val="auto"/>
        </w:rPr>
        <w:t>10.29*</w:t>
      </w:r>
      <w:r>
        <w:rPr>
          <w:sz w:val="20"/>
          <w:szCs w:val="20"/>
          <w:color w:val="auto"/>
        </w:rPr>
        <w:tab/>
      </w:r>
      <w:r>
        <w:rPr>
          <w:rFonts w:ascii="Arial" w:cs="Arial" w:eastAsia="Arial" w:hAnsi="Arial"/>
          <w:sz w:val="15"/>
          <w:szCs w:val="15"/>
          <w:color w:val="auto"/>
        </w:rPr>
        <w:t>Amendment to Term Life Insurance Premium and Tax Bonus Agreement between Comcast Corporation and Brian L. Roberts, dated as of May</w:t>
      </w:r>
    </w:p>
    <w:p>
      <w:pPr>
        <w:spacing w:after="0" w:line="15" w:lineRule="exact"/>
        <w:rPr>
          <w:sz w:val="20"/>
          <w:szCs w:val="20"/>
          <w:color w:val="auto"/>
        </w:rPr>
      </w:pPr>
    </w:p>
    <w:p>
      <w:pPr>
        <w:jc w:val="center"/>
        <w:ind w:right="120"/>
        <w:spacing w:after="0"/>
        <w:rPr>
          <w:sz w:val="20"/>
          <w:szCs w:val="20"/>
          <w:color w:val="auto"/>
        </w:rPr>
      </w:pPr>
      <w:r>
        <w:rPr>
          <w:rFonts w:ascii="Arial" w:cs="Arial" w:eastAsia="Arial" w:hAnsi="Arial"/>
          <w:sz w:val="18"/>
          <w:szCs w:val="18"/>
          <w:color w:val="auto"/>
        </w:rPr>
        <w:t>22, 2006 (incorporated by reference to Exhibit 10.1 to our Quarterly Report on Form 10-Q for the quarter ended June 30, 2006).</w:t>
      </w:r>
    </w:p>
    <w:p>
      <w:pPr>
        <w:spacing w:after="0" w:line="111" w:lineRule="exact"/>
        <w:rPr>
          <w:sz w:val="20"/>
          <w:szCs w:val="20"/>
          <w:color w:val="auto"/>
        </w:rPr>
      </w:pPr>
    </w:p>
    <w:p>
      <w:pPr>
        <w:ind w:left="1160" w:hanging="1037"/>
        <w:spacing w:after="0" w:line="268" w:lineRule="auto"/>
        <w:tabs>
          <w:tab w:leader="none" w:pos="1140" w:val="left"/>
        </w:tabs>
        <w:rPr>
          <w:sz w:val="20"/>
          <w:szCs w:val="20"/>
          <w:color w:val="auto"/>
        </w:rPr>
      </w:pPr>
      <w:r>
        <w:rPr>
          <w:rFonts w:ascii="Arial" w:cs="Arial" w:eastAsia="Arial" w:hAnsi="Arial"/>
          <w:sz w:val="18"/>
          <w:szCs w:val="18"/>
          <w:color w:val="auto"/>
        </w:rPr>
        <w:t>10.30*</w:t>
      </w:r>
      <w:r>
        <w:rPr>
          <w:sz w:val="20"/>
          <w:szCs w:val="20"/>
          <w:color w:val="auto"/>
        </w:rPr>
        <w:tab/>
      </w:r>
      <w:r>
        <w:rPr>
          <w:rFonts w:ascii="Arial" w:cs="Arial" w:eastAsia="Arial" w:hAnsi="Arial"/>
          <w:sz w:val="18"/>
          <w:szCs w:val="18"/>
          <w:color w:val="auto"/>
        </w:rPr>
        <w:t>Life Insurance Premium and Tax Bonus Agreement between Comcast Corporate and Brian L. Roberts, dated as of May 22, 2006 (incorporated by reference to Exhibit 10.2 to our Quarterly Report on Form 10-Q for the quarter ended June 30, 2006).</w:t>
      </w:r>
    </w:p>
    <w:p>
      <w:pPr>
        <w:spacing w:after="0" w:line="78" w:lineRule="exact"/>
        <w:rPr>
          <w:sz w:val="20"/>
          <w:szCs w:val="20"/>
          <w:color w:val="auto"/>
        </w:rPr>
      </w:pPr>
    </w:p>
    <w:p>
      <w:pPr>
        <w:ind w:left="120"/>
        <w:spacing w:after="0"/>
        <w:tabs>
          <w:tab w:leader="none" w:pos="1140" w:val="left"/>
        </w:tabs>
        <w:rPr>
          <w:sz w:val="20"/>
          <w:szCs w:val="20"/>
          <w:color w:val="auto"/>
        </w:rPr>
      </w:pPr>
      <w:r>
        <w:rPr>
          <w:rFonts w:ascii="Arial" w:cs="Arial" w:eastAsia="Arial" w:hAnsi="Arial"/>
          <w:sz w:val="18"/>
          <w:szCs w:val="18"/>
          <w:color w:val="auto"/>
        </w:rPr>
        <w:t>10.31*</w:t>
      </w:r>
      <w:r>
        <w:rPr>
          <w:sz w:val="20"/>
          <w:szCs w:val="20"/>
          <w:color w:val="auto"/>
        </w:rPr>
        <w:tab/>
      </w:r>
      <w:r>
        <w:rPr>
          <w:rFonts w:ascii="Arial" w:cs="Arial" w:eastAsia="Arial" w:hAnsi="Arial"/>
          <w:sz w:val="15"/>
          <w:szCs w:val="15"/>
          <w:color w:val="auto"/>
        </w:rPr>
        <w:t>Amendment to Life Insurance Premium and Tax Bonus Agreement between Comcast Corporate and Brian L. Roberts, dated as of September 15,</w:t>
      </w:r>
    </w:p>
    <w:p>
      <w:pPr>
        <w:spacing w:after="0" w:line="15"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2006 (incorporated by reference to Exhibit 10.1 to our Quarterly Report on Form 10-Q for the quarter ended September 30, 2006).</w:t>
      </w:r>
    </w:p>
    <w:p>
      <w:pPr>
        <w:spacing w:after="0" w:line="111" w:lineRule="exact"/>
        <w:rPr>
          <w:sz w:val="20"/>
          <w:szCs w:val="20"/>
          <w:color w:val="auto"/>
        </w:rPr>
      </w:pPr>
    </w:p>
    <w:p>
      <w:pPr>
        <w:ind w:left="1160" w:right="60" w:hanging="1037"/>
        <w:spacing w:after="0" w:line="259" w:lineRule="auto"/>
        <w:tabs>
          <w:tab w:leader="none" w:pos="1140" w:val="left"/>
        </w:tabs>
        <w:rPr>
          <w:sz w:val="20"/>
          <w:szCs w:val="20"/>
          <w:color w:val="auto"/>
        </w:rPr>
      </w:pPr>
      <w:r>
        <w:rPr>
          <w:rFonts w:ascii="Arial" w:cs="Arial" w:eastAsia="Arial" w:hAnsi="Arial"/>
          <w:sz w:val="18"/>
          <w:szCs w:val="18"/>
          <w:color w:val="auto"/>
        </w:rPr>
        <w:t>10.32*</w:t>
      </w:r>
      <w:r>
        <w:rPr>
          <w:sz w:val="20"/>
          <w:szCs w:val="20"/>
          <w:color w:val="auto"/>
        </w:rPr>
        <w:tab/>
      </w:r>
      <w:r>
        <w:rPr>
          <w:rFonts w:ascii="Arial" w:cs="Arial" w:eastAsia="Arial" w:hAnsi="Arial"/>
          <w:sz w:val="18"/>
          <w:szCs w:val="18"/>
          <w:color w:val="auto"/>
        </w:rPr>
        <w:t>Compensation and Deferred Compensation Agreement and Stock Appreciation Bonus Plan between Comcast Holdings Corporation and Ralph J. Roberts, as amended and restated March 16, 1994 (incorporated by reference to Exhibit 10(13) to the Comcast Holdings Corporation Annual Report on Form 10-K for the year ended December 31, 1993).</w:t>
      </w:r>
    </w:p>
    <w:p>
      <w:pPr>
        <w:spacing w:after="0" w:line="12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28</w:t>
      </w:r>
    </w:p>
    <w:p>
      <w:pPr>
        <w:sectPr>
          <w:pgSz w:w="11900" w:h="16838" w:orient="portrait"/>
          <w:cols w:equalWidth="0" w:num="1">
            <w:col w:w="11420"/>
          </w:cols>
          <w:pgMar w:left="240" w:top="459" w:right="239" w:bottom="1440" w:gutter="0" w:footer="0" w:header="0"/>
        </w:sectPr>
      </w:pPr>
    </w:p>
    <w:bookmarkStart w:id="31" w:name="page32"/>
    <w:bookmarkEnd w:id="3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tbl>
      <w:tblPr>
        <w:tblLayout w:type="fixed"/>
        <w:tblInd w:w="120" w:type="dxa"/>
        <w:tblCellMar>
          <w:top w:w="0" w:type="dxa"/>
          <w:left w:w="0" w:type="dxa"/>
          <w:bottom w:w="0" w:type="dxa"/>
          <w:right w:w="0" w:type="dxa"/>
        </w:tblCellMar>
      </w:tblPr>
      <w:tr>
        <w:trPr>
          <w:trHeight w:val="216"/>
        </w:trPr>
        <w:tc>
          <w:tcPr>
            <w:tcW w:w="760" w:type="dxa"/>
            <w:vAlign w:val="bottom"/>
          </w:tcPr>
          <w:p>
            <w:pPr>
              <w:spacing w:after="0"/>
              <w:rPr>
                <w:sz w:val="20"/>
                <w:szCs w:val="20"/>
                <w:color w:val="auto"/>
              </w:rPr>
            </w:pPr>
            <w:r>
              <w:rPr>
                <w:rFonts w:ascii="Arial" w:cs="Arial" w:eastAsia="Arial" w:hAnsi="Arial"/>
                <w:sz w:val="18"/>
                <w:szCs w:val="18"/>
                <w:color w:val="auto"/>
              </w:rPr>
              <w:t>10.33*</w:t>
            </w:r>
          </w:p>
        </w:tc>
        <w:tc>
          <w:tcPr>
            <w:tcW w:w="10500" w:type="dxa"/>
            <w:vAlign w:val="bottom"/>
          </w:tcPr>
          <w:p>
            <w:pPr>
              <w:ind w:left="280"/>
              <w:spacing w:after="0"/>
              <w:rPr>
                <w:sz w:val="20"/>
                <w:szCs w:val="20"/>
                <w:color w:val="auto"/>
              </w:rPr>
            </w:pPr>
            <w:r>
              <w:rPr>
                <w:rFonts w:ascii="Arial" w:cs="Arial" w:eastAsia="Arial" w:hAnsi="Arial"/>
                <w:sz w:val="18"/>
                <w:szCs w:val="18"/>
                <w:color w:val="auto"/>
                <w:w w:val="88"/>
              </w:rPr>
              <w:t>Compensation and Deferred Compensation Agreement between Comcast Holdings Corporation and Ralph J. Roberts, as amended and restated</w:t>
            </w:r>
          </w:p>
        </w:tc>
      </w:tr>
      <w:tr>
        <w:trPr>
          <w:trHeight w:val="216"/>
        </w:trPr>
        <w:tc>
          <w:tcPr>
            <w:tcW w:w="760" w:type="dxa"/>
            <w:vAlign w:val="bottom"/>
          </w:tcPr>
          <w:p>
            <w:pPr>
              <w:spacing w:after="0"/>
              <w:rPr>
                <w:sz w:val="18"/>
                <w:szCs w:val="18"/>
                <w:color w:val="auto"/>
              </w:rPr>
            </w:pPr>
          </w:p>
        </w:tc>
        <w:tc>
          <w:tcPr>
            <w:tcW w:w="10500" w:type="dxa"/>
            <w:vAlign w:val="bottom"/>
          </w:tcPr>
          <w:p>
            <w:pPr>
              <w:ind w:left="280"/>
              <w:spacing w:after="0"/>
              <w:rPr>
                <w:sz w:val="20"/>
                <w:szCs w:val="20"/>
                <w:color w:val="auto"/>
              </w:rPr>
            </w:pPr>
            <w:r>
              <w:rPr>
                <w:rFonts w:ascii="Arial" w:cs="Arial" w:eastAsia="Arial" w:hAnsi="Arial"/>
                <w:sz w:val="18"/>
                <w:szCs w:val="18"/>
                <w:color w:val="auto"/>
                <w:w w:val="90"/>
              </w:rPr>
              <w:t>August 31, 1998 (incorporated by reference to Exhibit 10.1 to the Comcast Holdings Corporation quarterly report on Form 10-Q for the quarter</w:t>
            </w:r>
          </w:p>
        </w:tc>
      </w:tr>
      <w:tr>
        <w:trPr>
          <w:trHeight w:val="222"/>
        </w:trPr>
        <w:tc>
          <w:tcPr>
            <w:tcW w:w="760" w:type="dxa"/>
            <w:vAlign w:val="bottom"/>
          </w:tcPr>
          <w:p>
            <w:pPr>
              <w:spacing w:after="0"/>
              <w:rPr>
                <w:sz w:val="19"/>
                <w:szCs w:val="19"/>
                <w:color w:val="auto"/>
              </w:rPr>
            </w:pPr>
          </w:p>
        </w:tc>
        <w:tc>
          <w:tcPr>
            <w:tcW w:w="10500" w:type="dxa"/>
            <w:vAlign w:val="bottom"/>
          </w:tcPr>
          <w:p>
            <w:pPr>
              <w:ind w:left="280"/>
              <w:spacing w:after="0"/>
              <w:rPr>
                <w:sz w:val="20"/>
                <w:szCs w:val="20"/>
                <w:color w:val="auto"/>
              </w:rPr>
            </w:pPr>
            <w:r>
              <w:rPr>
                <w:rFonts w:ascii="Arial" w:cs="Arial" w:eastAsia="Arial" w:hAnsi="Arial"/>
                <w:sz w:val="18"/>
                <w:szCs w:val="18"/>
                <w:color w:val="auto"/>
              </w:rPr>
              <w:t>ended September 30, 1998).</w:t>
            </w:r>
          </w:p>
        </w:tc>
      </w:tr>
      <w:tr>
        <w:trPr>
          <w:trHeight w:val="318"/>
        </w:trPr>
        <w:tc>
          <w:tcPr>
            <w:tcW w:w="760" w:type="dxa"/>
            <w:vAlign w:val="bottom"/>
          </w:tcPr>
          <w:p>
            <w:pPr>
              <w:spacing w:after="0"/>
              <w:rPr>
                <w:sz w:val="20"/>
                <w:szCs w:val="20"/>
                <w:color w:val="auto"/>
              </w:rPr>
            </w:pPr>
            <w:r>
              <w:rPr>
                <w:rFonts w:ascii="Arial" w:cs="Arial" w:eastAsia="Arial" w:hAnsi="Arial"/>
                <w:sz w:val="18"/>
                <w:szCs w:val="18"/>
                <w:color w:val="auto"/>
              </w:rPr>
              <w:t>10.34*</w:t>
            </w:r>
          </w:p>
        </w:tc>
        <w:tc>
          <w:tcPr>
            <w:tcW w:w="10500" w:type="dxa"/>
            <w:vAlign w:val="bottom"/>
          </w:tcPr>
          <w:p>
            <w:pPr>
              <w:ind w:left="280"/>
              <w:spacing w:after="0"/>
              <w:rPr>
                <w:sz w:val="20"/>
                <w:szCs w:val="20"/>
                <w:color w:val="auto"/>
              </w:rPr>
            </w:pPr>
            <w:r>
              <w:rPr>
                <w:rFonts w:ascii="Arial" w:cs="Arial" w:eastAsia="Arial" w:hAnsi="Arial"/>
                <w:sz w:val="18"/>
                <w:szCs w:val="18"/>
                <w:color w:val="auto"/>
                <w:w w:val="88"/>
              </w:rPr>
              <w:t>Amendment Agreement to Compensation and Deferred Compensation Agreement between Comcast Holdings Corporation and Ralph J. Roberts,</w:t>
            </w:r>
          </w:p>
        </w:tc>
      </w:tr>
      <w:tr>
        <w:trPr>
          <w:trHeight w:val="216"/>
        </w:trPr>
        <w:tc>
          <w:tcPr>
            <w:tcW w:w="760" w:type="dxa"/>
            <w:vAlign w:val="bottom"/>
          </w:tcPr>
          <w:p>
            <w:pPr>
              <w:spacing w:after="0"/>
              <w:rPr>
                <w:sz w:val="18"/>
                <w:szCs w:val="18"/>
                <w:color w:val="auto"/>
              </w:rPr>
            </w:pPr>
          </w:p>
        </w:tc>
        <w:tc>
          <w:tcPr>
            <w:tcW w:w="10500" w:type="dxa"/>
            <w:vAlign w:val="bottom"/>
          </w:tcPr>
          <w:p>
            <w:pPr>
              <w:ind w:left="280"/>
              <w:spacing w:after="0"/>
              <w:rPr>
                <w:sz w:val="20"/>
                <w:szCs w:val="20"/>
                <w:color w:val="auto"/>
              </w:rPr>
            </w:pPr>
            <w:r>
              <w:rPr>
                <w:rFonts w:ascii="Arial" w:cs="Arial" w:eastAsia="Arial" w:hAnsi="Arial"/>
                <w:sz w:val="18"/>
                <w:szCs w:val="18"/>
                <w:color w:val="auto"/>
                <w:w w:val="90"/>
              </w:rPr>
              <w:t>dated as of August 19, 1999 (incorporated by reference to Exhibit 10.2 to the Comcast Holdings Corporation quarterly report on Form 10-Q for</w:t>
            </w:r>
          </w:p>
        </w:tc>
      </w:tr>
      <w:tr>
        <w:trPr>
          <w:trHeight w:val="222"/>
        </w:trPr>
        <w:tc>
          <w:tcPr>
            <w:tcW w:w="760" w:type="dxa"/>
            <w:vAlign w:val="bottom"/>
          </w:tcPr>
          <w:p>
            <w:pPr>
              <w:spacing w:after="0"/>
              <w:rPr>
                <w:sz w:val="19"/>
                <w:szCs w:val="19"/>
                <w:color w:val="auto"/>
              </w:rPr>
            </w:pPr>
          </w:p>
        </w:tc>
        <w:tc>
          <w:tcPr>
            <w:tcW w:w="10500" w:type="dxa"/>
            <w:vAlign w:val="bottom"/>
          </w:tcPr>
          <w:p>
            <w:pPr>
              <w:ind w:left="280"/>
              <w:spacing w:after="0"/>
              <w:rPr>
                <w:sz w:val="20"/>
                <w:szCs w:val="20"/>
                <w:color w:val="auto"/>
              </w:rPr>
            </w:pPr>
            <w:r>
              <w:rPr>
                <w:rFonts w:ascii="Arial" w:cs="Arial" w:eastAsia="Arial" w:hAnsi="Arial"/>
                <w:sz w:val="18"/>
                <w:szCs w:val="18"/>
                <w:color w:val="auto"/>
              </w:rPr>
              <w:t>the quarter ended March 31, 2000).</w:t>
            </w:r>
          </w:p>
        </w:tc>
      </w:tr>
      <w:tr>
        <w:trPr>
          <w:trHeight w:val="318"/>
        </w:trPr>
        <w:tc>
          <w:tcPr>
            <w:tcW w:w="760" w:type="dxa"/>
            <w:vAlign w:val="bottom"/>
          </w:tcPr>
          <w:p>
            <w:pPr>
              <w:spacing w:after="0"/>
              <w:rPr>
                <w:sz w:val="20"/>
                <w:szCs w:val="20"/>
                <w:color w:val="auto"/>
              </w:rPr>
            </w:pPr>
            <w:r>
              <w:rPr>
                <w:rFonts w:ascii="Arial" w:cs="Arial" w:eastAsia="Arial" w:hAnsi="Arial"/>
                <w:sz w:val="18"/>
                <w:szCs w:val="18"/>
                <w:color w:val="auto"/>
              </w:rPr>
              <w:t>10.35*</w:t>
            </w:r>
          </w:p>
        </w:tc>
        <w:tc>
          <w:tcPr>
            <w:tcW w:w="10500" w:type="dxa"/>
            <w:vAlign w:val="bottom"/>
          </w:tcPr>
          <w:p>
            <w:pPr>
              <w:ind w:left="280"/>
              <w:spacing w:after="0"/>
              <w:rPr>
                <w:sz w:val="20"/>
                <w:szCs w:val="20"/>
                <w:color w:val="auto"/>
              </w:rPr>
            </w:pPr>
            <w:r>
              <w:rPr>
                <w:rFonts w:ascii="Arial" w:cs="Arial" w:eastAsia="Arial" w:hAnsi="Arial"/>
                <w:sz w:val="18"/>
                <w:szCs w:val="18"/>
                <w:color w:val="auto"/>
                <w:w w:val="88"/>
              </w:rPr>
              <w:t>Amendment to Compensation and Deferred Compensation Agreement between Comcast Holdings Corporation and Ralph J. Roberts, dated as of</w:t>
            </w:r>
          </w:p>
        </w:tc>
      </w:tr>
      <w:tr>
        <w:trPr>
          <w:trHeight w:val="216"/>
        </w:trPr>
        <w:tc>
          <w:tcPr>
            <w:tcW w:w="760" w:type="dxa"/>
            <w:vAlign w:val="bottom"/>
          </w:tcPr>
          <w:p>
            <w:pPr>
              <w:spacing w:after="0"/>
              <w:rPr>
                <w:sz w:val="18"/>
                <w:szCs w:val="18"/>
                <w:color w:val="auto"/>
              </w:rPr>
            </w:pPr>
          </w:p>
        </w:tc>
        <w:tc>
          <w:tcPr>
            <w:tcW w:w="10500" w:type="dxa"/>
            <w:vAlign w:val="bottom"/>
          </w:tcPr>
          <w:p>
            <w:pPr>
              <w:ind w:left="280"/>
              <w:spacing w:after="0"/>
              <w:rPr>
                <w:sz w:val="20"/>
                <w:szCs w:val="20"/>
                <w:color w:val="auto"/>
              </w:rPr>
            </w:pPr>
            <w:r>
              <w:rPr>
                <w:rFonts w:ascii="Arial" w:cs="Arial" w:eastAsia="Arial" w:hAnsi="Arial"/>
                <w:sz w:val="18"/>
                <w:szCs w:val="18"/>
                <w:color w:val="auto"/>
                <w:w w:val="90"/>
              </w:rPr>
              <w:t>June 5, 2001 (incorporated by reference to Exhibit 10.8 to the Comcast Holdings Corporation Annual Report on Form 10-K for the year ended</w:t>
            </w:r>
          </w:p>
        </w:tc>
      </w:tr>
      <w:tr>
        <w:trPr>
          <w:trHeight w:val="222"/>
        </w:trPr>
        <w:tc>
          <w:tcPr>
            <w:tcW w:w="760" w:type="dxa"/>
            <w:vAlign w:val="bottom"/>
          </w:tcPr>
          <w:p>
            <w:pPr>
              <w:spacing w:after="0"/>
              <w:rPr>
                <w:sz w:val="19"/>
                <w:szCs w:val="19"/>
                <w:color w:val="auto"/>
              </w:rPr>
            </w:pPr>
          </w:p>
        </w:tc>
        <w:tc>
          <w:tcPr>
            <w:tcW w:w="10500" w:type="dxa"/>
            <w:vAlign w:val="bottom"/>
          </w:tcPr>
          <w:p>
            <w:pPr>
              <w:ind w:left="280"/>
              <w:spacing w:after="0"/>
              <w:rPr>
                <w:sz w:val="20"/>
                <w:szCs w:val="20"/>
                <w:color w:val="auto"/>
              </w:rPr>
            </w:pPr>
            <w:r>
              <w:rPr>
                <w:rFonts w:ascii="Arial" w:cs="Arial" w:eastAsia="Arial" w:hAnsi="Arial"/>
                <w:sz w:val="18"/>
                <w:szCs w:val="18"/>
                <w:color w:val="auto"/>
              </w:rPr>
              <w:t>December 31, 2001).</w:t>
            </w:r>
          </w:p>
        </w:tc>
      </w:tr>
      <w:tr>
        <w:trPr>
          <w:trHeight w:val="318"/>
        </w:trPr>
        <w:tc>
          <w:tcPr>
            <w:tcW w:w="760" w:type="dxa"/>
            <w:vAlign w:val="bottom"/>
          </w:tcPr>
          <w:p>
            <w:pPr>
              <w:spacing w:after="0"/>
              <w:rPr>
                <w:sz w:val="20"/>
                <w:szCs w:val="20"/>
                <w:color w:val="auto"/>
              </w:rPr>
            </w:pPr>
            <w:r>
              <w:rPr>
                <w:rFonts w:ascii="Arial" w:cs="Arial" w:eastAsia="Arial" w:hAnsi="Arial"/>
                <w:sz w:val="18"/>
                <w:szCs w:val="18"/>
                <w:color w:val="auto"/>
              </w:rPr>
              <w:t>10.36*</w:t>
            </w:r>
          </w:p>
        </w:tc>
        <w:tc>
          <w:tcPr>
            <w:tcW w:w="10500" w:type="dxa"/>
            <w:vAlign w:val="bottom"/>
          </w:tcPr>
          <w:p>
            <w:pPr>
              <w:ind w:left="280"/>
              <w:spacing w:after="0"/>
              <w:rPr>
                <w:sz w:val="20"/>
                <w:szCs w:val="20"/>
                <w:color w:val="auto"/>
              </w:rPr>
            </w:pPr>
            <w:r>
              <w:rPr>
                <w:rFonts w:ascii="Arial" w:cs="Arial" w:eastAsia="Arial" w:hAnsi="Arial"/>
                <w:sz w:val="18"/>
                <w:szCs w:val="18"/>
                <w:color w:val="auto"/>
                <w:w w:val="88"/>
              </w:rPr>
              <w:t>Amendment to Compensation and Deferred Compensation Agreement between Comcast Holdings Corporation and Ralph J. Roberts, dated as of</w:t>
            </w:r>
          </w:p>
        </w:tc>
      </w:tr>
      <w:tr>
        <w:trPr>
          <w:trHeight w:val="222"/>
        </w:trPr>
        <w:tc>
          <w:tcPr>
            <w:tcW w:w="760" w:type="dxa"/>
            <w:vAlign w:val="bottom"/>
          </w:tcPr>
          <w:p>
            <w:pPr>
              <w:spacing w:after="0"/>
              <w:rPr>
                <w:sz w:val="19"/>
                <w:szCs w:val="19"/>
                <w:color w:val="auto"/>
              </w:rPr>
            </w:pPr>
          </w:p>
        </w:tc>
        <w:tc>
          <w:tcPr>
            <w:tcW w:w="10500" w:type="dxa"/>
            <w:vAlign w:val="bottom"/>
          </w:tcPr>
          <w:p>
            <w:pPr>
              <w:ind w:left="280"/>
              <w:spacing w:after="0"/>
              <w:rPr>
                <w:sz w:val="20"/>
                <w:szCs w:val="20"/>
                <w:color w:val="auto"/>
              </w:rPr>
            </w:pPr>
            <w:r>
              <w:rPr>
                <w:rFonts w:ascii="Arial" w:cs="Arial" w:eastAsia="Arial" w:hAnsi="Arial"/>
                <w:sz w:val="18"/>
                <w:szCs w:val="18"/>
                <w:color w:val="auto"/>
                <w:w w:val="93"/>
              </w:rPr>
              <w:t>January 24, 2002 (incorporated by reference to Exhibit 10.16 to our Annual Report on Form 10-K for the year ended December 31, 2002).</w:t>
            </w:r>
          </w:p>
        </w:tc>
      </w:tr>
      <w:tr>
        <w:trPr>
          <w:trHeight w:val="318"/>
        </w:trPr>
        <w:tc>
          <w:tcPr>
            <w:tcW w:w="760" w:type="dxa"/>
            <w:vAlign w:val="bottom"/>
          </w:tcPr>
          <w:p>
            <w:pPr>
              <w:spacing w:after="0"/>
              <w:rPr>
                <w:sz w:val="20"/>
                <w:szCs w:val="20"/>
                <w:color w:val="auto"/>
              </w:rPr>
            </w:pPr>
            <w:r>
              <w:rPr>
                <w:rFonts w:ascii="Arial" w:cs="Arial" w:eastAsia="Arial" w:hAnsi="Arial"/>
                <w:sz w:val="18"/>
                <w:szCs w:val="18"/>
                <w:color w:val="auto"/>
              </w:rPr>
              <w:t>10.37*</w:t>
            </w:r>
          </w:p>
        </w:tc>
        <w:tc>
          <w:tcPr>
            <w:tcW w:w="10500" w:type="dxa"/>
            <w:vAlign w:val="bottom"/>
          </w:tcPr>
          <w:p>
            <w:pPr>
              <w:ind w:left="280"/>
              <w:spacing w:after="0"/>
              <w:rPr>
                <w:sz w:val="20"/>
                <w:szCs w:val="20"/>
                <w:color w:val="auto"/>
              </w:rPr>
            </w:pPr>
            <w:r>
              <w:rPr>
                <w:rFonts w:ascii="Arial" w:cs="Arial" w:eastAsia="Arial" w:hAnsi="Arial"/>
                <w:sz w:val="18"/>
                <w:szCs w:val="18"/>
                <w:color w:val="auto"/>
                <w:w w:val="88"/>
              </w:rPr>
              <w:t>Amendment to Compensation and Deferred Compensation Agreement between Comcast Holdings Corporation and Ralph J. Roberts, dated as of</w:t>
            </w:r>
          </w:p>
        </w:tc>
      </w:tr>
      <w:tr>
        <w:trPr>
          <w:trHeight w:val="222"/>
        </w:trPr>
        <w:tc>
          <w:tcPr>
            <w:tcW w:w="760" w:type="dxa"/>
            <w:vAlign w:val="bottom"/>
          </w:tcPr>
          <w:p>
            <w:pPr>
              <w:spacing w:after="0"/>
              <w:rPr>
                <w:sz w:val="19"/>
                <w:szCs w:val="19"/>
                <w:color w:val="auto"/>
              </w:rPr>
            </w:pPr>
          </w:p>
        </w:tc>
        <w:tc>
          <w:tcPr>
            <w:tcW w:w="10500" w:type="dxa"/>
            <w:vAlign w:val="bottom"/>
          </w:tcPr>
          <w:p>
            <w:pPr>
              <w:ind w:left="280"/>
              <w:spacing w:after="0"/>
              <w:rPr>
                <w:sz w:val="20"/>
                <w:szCs w:val="20"/>
                <w:color w:val="auto"/>
              </w:rPr>
            </w:pPr>
            <w:r>
              <w:rPr>
                <w:rFonts w:ascii="Arial" w:cs="Arial" w:eastAsia="Arial" w:hAnsi="Arial"/>
                <w:sz w:val="18"/>
                <w:szCs w:val="18"/>
                <w:color w:val="auto"/>
                <w:w w:val="91"/>
              </w:rPr>
              <w:t>November 18, 2002 (incorporated by reference to Exhibit 10.17 to our Annual Report on Form 10-K for the year ended December 31, 2002).</w:t>
            </w:r>
          </w:p>
        </w:tc>
      </w:tr>
      <w:tr>
        <w:trPr>
          <w:trHeight w:val="318"/>
        </w:trPr>
        <w:tc>
          <w:tcPr>
            <w:tcW w:w="760" w:type="dxa"/>
            <w:vAlign w:val="bottom"/>
          </w:tcPr>
          <w:p>
            <w:pPr>
              <w:spacing w:after="0"/>
              <w:rPr>
                <w:sz w:val="20"/>
                <w:szCs w:val="20"/>
                <w:color w:val="auto"/>
              </w:rPr>
            </w:pPr>
            <w:r>
              <w:rPr>
                <w:rFonts w:ascii="Arial" w:cs="Arial" w:eastAsia="Arial" w:hAnsi="Arial"/>
                <w:sz w:val="18"/>
                <w:szCs w:val="18"/>
                <w:color w:val="auto"/>
              </w:rPr>
              <w:t>10.38*</w:t>
            </w:r>
          </w:p>
        </w:tc>
        <w:tc>
          <w:tcPr>
            <w:tcW w:w="10500" w:type="dxa"/>
            <w:vAlign w:val="bottom"/>
          </w:tcPr>
          <w:p>
            <w:pPr>
              <w:ind w:left="280"/>
              <w:spacing w:after="0"/>
              <w:rPr>
                <w:sz w:val="20"/>
                <w:szCs w:val="20"/>
                <w:color w:val="auto"/>
              </w:rPr>
            </w:pPr>
            <w:r>
              <w:rPr>
                <w:rFonts w:ascii="Arial" w:cs="Arial" w:eastAsia="Arial" w:hAnsi="Arial"/>
                <w:sz w:val="18"/>
                <w:szCs w:val="18"/>
                <w:color w:val="auto"/>
                <w:w w:val="90"/>
              </w:rPr>
              <w:t>Insurance Premium Termination Agreement between Comcast Corporation and Ralph J. Roberts, effective January 30, 2004 (incorporated by</w:t>
            </w:r>
          </w:p>
        </w:tc>
      </w:tr>
      <w:tr>
        <w:trPr>
          <w:trHeight w:val="222"/>
        </w:trPr>
        <w:tc>
          <w:tcPr>
            <w:tcW w:w="760" w:type="dxa"/>
            <w:vAlign w:val="bottom"/>
          </w:tcPr>
          <w:p>
            <w:pPr>
              <w:spacing w:after="0"/>
              <w:rPr>
                <w:sz w:val="19"/>
                <w:szCs w:val="19"/>
                <w:color w:val="auto"/>
              </w:rPr>
            </w:pPr>
          </w:p>
        </w:tc>
        <w:tc>
          <w:tcPr>
            <w:tcW w:w="10500" w:type="dxa"/>
            <w:vAlign w:val="bottom"/>
          </w:tcPr>
          <w:p>
            <w:pPr>
              <w:ind w:left="280"/>
              <w:spacing w:after="0"/>
              <w:rPr>
                <w:sz w:val="20"/>
                <w:szCs w:val="20"/>
                <w:color w:val="auto"/>
              </w:rPr>
            </w:pPr>
            <w:r>
              <w:rPr>
                <w:rFonts w:ascii="Arial" w:cs="Arial" w:eastAsia="Arial" w:hAnsi="Arial"/>
                <w:sz w:val="18"/>
                <w:szCs w:val="18"/>
                <w:color w:val="auto"/>
              </w:rPr>
              <w:t>reference to Exhibit 10.1 to our Form 10-Q for the quarter ended March 31, 2004).</w:t>
            </w:r>
          </w:p>
        </w:tc>
      </w:tr>
      <w:tr>
        <w:trPr>
          <w:trHeight w:val="318"/>
        </w:trPr>
        <w:tc>
          <w:tcPr>
            <w:tcW w:w="760" w:type="dxa"/>
            <w:vAlign w:val="bottom"/>
          </w:tcPr>
          <w:p>
            <w:pPr>
              <w:spacing w:after="0"/>
              <w:rPr>
                <w:sz w:val="20"/>
                <w:szCs w:val="20"/>
                <w:color w:val="auto"/>
              </w:rPr>
            </w:pPr>
            <w:r>
              <w:rPr>
                <w:rFonts w:ascii="Arial" w:cs="Arial" w:eastAsia="Arial" w:hAnsi="Arial"/>
                <w:sz w:val="18"/>
                <w:szCs w:val="18"/>
                <w:color w:val="auto"/>
              </w:rPr>
              <w:t>10.39*</w:t>
            </w:r>
          </w:p>
        </w:tc>
        <w:tc>
          <w:tcPr>
            <w:tcW w:w="10500" w:type="dxa"/>
            <w:vAlign w:val="bottom"/>
          </w:tcPr>
          <w:p>
            <w:pPr>
              <w:ind w:left="280"/>
              <w:spacing w:after="0"/>
              <w:rPr>
                <w:sz w:val="20"/>
                <w:szCs w:val="20"/>
                <w:color w:val="auto"/>
              </w:rPr>
            </w:pPr>
            <w:r>
              <w:rPr>
                <w:rFonts w:ascii="Arial" w:cs="Arial" w:eastAsia="Arial" w:hAnsi="Arial"/>
                <w:sz w:val="18"/>
                <w:szCs w:val="18"/>
                <w:color w:val="auto"/>
                <w:w w:val="87"/>
              </w:rPr>
              <w:t>Executive Employment Agreement between Comcast Corporation and Lawrence S. Smith dated as of October 1, 2005 (incorporated by reference</w:t>
            </w:r>
          </w:p>
        </w:tc>
      </w:tr>
      <w:tr>
        <w:trPr>
          <w:trHeight w:val="222"/>
        </w:trPr>
        <w:tc>
          <w:tcPr>
            <w:tcW w:w="760" w:type="dxa"/>
            <w:vAlign w:val="bottom"/>
          </w:tcPr>
          <w:p>
            <w:pPr>
              <w:spacing w:after="0"/>
              <w:rPr>
                <w:sz w:val="19"/>
                <w:szCs w:val="19"/>
                <w:color w:val="auto"/>
              </w:rPr>
            </w:pPr>
          </w:p>
        </w:tc>
        <w:tc>
          <w:tcPr>
            <w:tcW w:w="10500" w:type="dxa"/>
            <w:vAlign w:val="bottom"/>
          </w:tcPr>
          <w:p>
            <w:pPr>
              <w:ind w:left="280"/>
              <w:spacing w:after="0"/>
              <w:rPr>
                <w:sz w:val="20"/>
                <w:szCs w:val="20"/>
                <w:color w:val="auto"/>
              </w:rPr>
            </w:pPr>
            <w:r>
              <w:rPr>
                <w:rFonts w:ascii="Arial" w:cs="Arial" w:eastAsia="Arial" w:hAnsi="Arial"/>
                <w:sz w:val="18"/>
                <w:szCs w:val="18"/>
                <w:color w:val="auto"/>
              </w:rPr>
              <w:t>to Exhibit 99.3 to our Form 8-K filed on November 7, 2005).</w:t>
            </w:r>
          </w:p>
        </w:tc>
      </w:tr>
      <w:tr>
        <w:trPr>
          <w:trHeight w:val="318"/>
        </w:trPr>
        <w:tc>
          <w:tcPr>
            <w:tcW w:w="760" w:type="dxa"/>
            <w:vAlign w:val="bottom"/>
          </w:tcPr>
          <w:p>
            <w:pPr>
              <w:spacing w:after="0"/>
              <w:rPr>
                <w:sz w:val="20"/>
                <w:szCs w:val="20"/>
                <w:color w:val="auto"/>
              </w:rPr>
            </w:pPr>
            <w:r>
              <w:rPr>
                <w:rFonts w:ascii="Arial" w:cs="Arial" w:eastAsia="Arial" w:hAnsi="Arial"/>
                <w:sz w:val="18"/>
                <w:szCs w:val="18"/>
                <w:color w:val="auto"/>
              </w:rPr>
              <w:t>10.40</w:t>
            </w:r>
          </w:p>
        </w:tc>
        <w:tc>
          <w:tcPr>
            <w:tcW w:w="10500" w:type="dxa"/>
            <w:vAlign w:val="bottom"/>
          </w:tcPr>
          <w:p>
            <w:pPr>
              <w:ind w:left="280"/>
              <w:spacing w:after="0"/>
              <w:rPr>
                <w:sz w:val="20"/>
                <w:szCs w:val="20"/>
                <w:color w:val="auto"/>
              </w:rPr>
            </w:pPr>
            <w:r>
              <w:rPr>
                <w:rFonts w:ascii="Arial" w:cs="Arial" w:eastAsia="Arial" w:hAnsi="Arial"/>
                <w:sz w:val="18"/>
                <w:szCs w:val="18"/>
                <w:color w:val="auto"/>
                <w:w w:val="88"/>
              </w:rPr>
              <w:t>Asset Purchase Agreement, dated as of April 20, 2005, between Adelphia Communications Corporation and Comcast Corporation (incorporated</w:t>
            </w:r>
          </w:p>
        </w:tc>
      </w:tr>
      <w:tr>
        <w:trPr>
          <w:trHeight w:val="222"/>
        </w:trPr>
        <w:tc>
          <w:tcPr>
            <w:tcW w:w="760" w:type="dxa"/>
            <w:vAlign w:val="bottom"/>
          </w:tcPr>
          <w:p>
            <w:pPr>
              <w:spacing w:after="0"/>
              <w:rPr>
                <w:sz w:val="19"/>
                <w:szCs w:val="19"/>
                <w:color w:val="auto"/>
              </w:rPr>
            </w:pPr>
          </w:p>
        </w:tc>
        <w:tc>
          <w:tcPr>
            <w:tcW w:w="10500" w:type="dxa"/>
            <w:vAlign w:val="bottom"/>
          </w:tcPr>
          <w:p>
            <w:pPr>
              <w:ind w:left="280"/>
              <w:spacing w:after="0"/>
              <w:rPr>
                <w:sz w:val="20"/>
                <w:szCs w:val="20"/>
                <w:color w:val="auto"/>
              </w:rPr>
            </w:pPr>
            <w:r>
              <w:rPr>
                <w:rFonts w:ascii="Arial" w:cs="Arial" w:eastAsia="Arial" w:hAnsi="Arial"/>
                <w:sz w:val="18"/>
                <w:szCs w:val="18"/>
                <w:color w:val="auto"/>
              </w:rPr>
              <w:t>by reference to Exhibit 2.1 to our Current Report on Form 8-K filed on April 26, 2005).</w:t>
            </w:r>
          </w:p>
        </w:tc>
      </w:tr>
      <w:tr>
        <w:trPr>
          <w:trHeight w:val="318"/>
        </w:trPr>
        <w:tc>
          <w:tcPr>
            <w:tcW w:w="760" w:type="dxa"/>
            <w:vAlign w:val="bottom"/>
          </w:tcPr>
          <w:p>
            <w:pPr>
              <w:spacing w:after="0"/>
              <w:rPr>
                <w:sz w:val="20"/>
                <w:szCs w:val="20"/>
                <w:color w:val="auto"/>
              </w:rPr>
            </w:pPr>
            <w:r>
              <w:rPr>
                <w:rFonts w:ascii="Arial" w:cs="Arial" w:eastAsia="Arial" w:hAnsi="Arial"/>
                <w:sz w:val="18"/>
                <w:szCs w:val="18"/>
                <w:color w:val="auto"/>
              </w:rPr>
              <w:t>10.41</w:t>
            </w:r>
          </w:p>
        </w:tc>
        <w:tc>
          <w:tcPr>
            <w:tcW w:w="10500" w:type="dxa"/>
            <w:vAlign w:val="bottom"/>
          </w:tcPr>
          <w:p>
            <w:pPr>
              <w:ind w:left="280"/>
              <w:spacing w:after="0"/>
              <w:rPr>
                <w:sz w:val="20"/>
                <w:szCs w:val="20"/>
                <w:color w:val="auto"/>
              </w:rPr>
            </w:pPr>
            <w:r>
              <w:rPr>
                <w:rFonts w:ascii="Arial" w:cs="Arial" w:eastAsia="Arial" w:hAnsi="Arial"/>
                <w:sz w:val="18"/>
                <w:szCs w:val="18"/>
                <w:color w:val="auto"/>
                <w:w w:val="93"/>
              </w:rPr>
              <w:t>Amendment No. 1, dated June 24, 2005, to the Asset Purchase Agreement dated as of April 20, 2005 between Adelphia Communications</w:t>
            </w:r>
          </w:p>
        </w:tc>
      </w:tr>
      <w:tr>
        <w:trPr>
          <w:trHeight w:val="222"/>
        </w:trPr>
        <w:tc>
          <w:tcPr>
            <w:tcW w:w="760" w:type="dxa"/>
            <w:vAlign w:val="bottom"/>
          </w:tcPr>
          <w:p>
            <w:pPr>
              <w:spacing w:after="0"/>
              <w:rPr>
                <w:sz w:val="19"/>
                <w:szCs w:val="19"/>
                <w:color w:val="auto"/>
              </w:rPr>
            </w:pPr>
          </w:p>
        </w:tc>
        <w:tc>
          <w:tcPr>
            <w:tcW w:w="10500" w:type="dxa"/>
            <w:vAlign w:val="bottom"/>
          </w:tcPr>
          <w:p>
            <w:pPr>
              <w:ind w:left="280"/>
              <w:spacing w:after="0"/>
              <w:rPr>
                <w:sz w:val="20"/>
                <w:szCs w:val="20"/>
                <w:color w:val="auto"/>
              </w:rPr>
            </w:pPr>
            <w:r>
              <w:rPr>
                <w:rFonts w:ascii="Arial" w:cs="Arial" w:eastAsia="Arial" w:hAnsi="Arial"/>
                <w:sz w:val="18"/>
                <w:szCs w:val="18"/>
                <w:color w:val="auto"/>
                <w:w w:val="93"/>
              </w:rPr>
              <w:t>Corporation (“Adelphia”) and Comcast (incorporated by reference to Exhibit 99.3 to our Current Report on Form 8-K dated July 31, 2006).</w:t>
            </w:r>
          </w:p>
        </w:tc>
      </w:tr>
      <w:tr>
        <w:trPr>
          <w:trHeight w:val="318"/>
        </w:trPr>
        <w:tc>
          <w:tcPr>
            <w:tcW w:w="760" w:type="dxa"/>
            <w:vAlign w:val="bottom"/>
          </w:tcPr>
          <w:p>
            <w:pPr>
              <w:spacing w:after="0"/>
              <w:rPr>
                <w:sz w:val="20"/>
                <w:szCs w:val="20"/>
                <w:color w:val="auto"/>
              </w:rPr>
            </w:pPr>
            <w:r>
              <w:rPr>
                <w:rFonts w:ascii="Arial" w:cs="Arial" w:eastAsia="Arial" w:hAnsi="Arial"/>
                <w:sz w:val="18"/>
                <w:szCs w:val="18"/>
                <w:color w:val="auto"/>
              </w:rPr>
              <w:t>10.42</w:t>
            </w:r>
          </w:p>
        </w:tc>
        <w:tc>
          <w:tcPr>
            <w:tcW w:w="10500" w:type="dxa"/>
            <w:vAlign w:val="bottom"/>
          </w:tcPr>
          <w:p>
            <w:pPr>
              <w:ind w:left="280"/>
              <w:spacing w:after="0"/>
              <w:rPr>
                <w:sz w:val="20"/>
                <w:szCs w:val="20"/>
                <w:color w:val="auto"/>
              </w:rPr>
            </w:pPr>
            <w:r>
              <w:rPr>
                <w:rFonts w:ascii="Arial" w:cs="Arial" w:eastAsia="Arial" w:hAnsi="Arial"/>
                <w:sz w:val="18"/>
                <w:szCs w:val="18"/>
                <w:color w:val="auto"/>
                <w:w w:val="88"/>
              </w:rPr>
              <w:t>Amendment No. 2, to the Asset Purchase Agreement between Adelphia Communications Corporation and Comcast Corporation, dated June 21,</w:t>
            </w:r>
          </w:p>
        </w:tc>
      </w:tr>
      <w:tr>
        <w:trPr>
          <w:trHeight w:val="222"/>
        </w:trPr>
        <w:tc>
          <w:tcPr>
            <w:tcW w:w="760" w:type="dxa"/>
            <w:vAlign w:val="bottom"/>
          </w:tcPr>
          <w:p>
            <w:pPr>
              <w:spacing w:after="0"/>
              <w:rPr>
                <w:sz w:val="19"/>
                <w:szCs w:val="19"/>
                <w:color w:val="auto"/>
              </w:rPr>
            </w:pPr>
          </w:p>
        </w:tc>
        <w:tc>
          <w:tcPr>
            <w:tcW w:w="10500" w:type="dxa"/>
            <w:vAlign w:val="bottom"/>
          </w:tcPr>
          <w:p>
            <w:pPr>
              <w:ind w:left="280"/>
              <w:spacing w:after="0"/>
              <w:rPr>
                <w:sz w:val="20"/>
                <w:szCs w:val="20"/>
                <w:color w:val="auto"/>
              </w:rPr>
            </w:pPr>
            <w:r>
              <w:rPr>
                <w:rFonts w:ascii="Arial" w:cs="Arial" w:eastAsia="Arial" w:hAnsi="Arial"/>
                <w:sz w:val="18"/>
                <w:szCs w:val="18"/>
                <w:color w:val="auto"/>
              </w:rPr>
              <w:t>2006 (incorporated by reference to Exhibit 2.1 to our Current Report on Form 8-K filed on June 27, 2006).</w:t>
            </w:r>
          </w:p>
        </w:tc>
      </w:tr>
      <w:tr>
        <w:trPr>
          <w:trHeight w:val="318"/>
        </w:trPr>
        <w:tc>
          <w:tcPr>
            <w:tcW w:w="760" w:type="dxa"/>
            <w:vAlign w:val="bottom"/>
          </w:tcPr>
          <w:p>
            <w:pPr>
              <w:spacing w:after="0"/>
              <w:rPr>
                <w:sz w:val="20"/>
                <w:szCs w:val="20"/>
                <w:color w:val="auto"/>
              </w:rPr>
            </w:pPr>
            <w:r>
              <w:rPr>
                <w:rFonts w:ascii="Arial" w:cs="Arial" w:eastAsia="Arial" w:hAnsi="Arial"/>
                <w:sz w:val="18"/>
                <w:szCs w:val="18"/>
                <w:color w:val="auto"/>
              </w:rPr>
              <w:t>10.43</w:t>
            </w:r>
          </w:p>
        </w:tc>
        <w:tc>
          <w:tcPr>
            <w:tcW w:w="10500" w:type="dxa"/>
            <w:vAlign w:val="bottom"/>
          </w:tcPr>
          <w:p>
            <w:pPr>
              <w:ind w:left="280"/>
              <w:spacing w:after="0"/>
              <w:rPr>
                <w:sz w:val="20"/>
                <w:szCs w:val="20"/>
                <w:color w:val="auto"/>
              </w:rPr>
            </w:pPr>
            <w:r>
              <w:rPr>
                <w:rFonts w:ascii="Arial" w:cs="Arial" w:eastAsia="Arial" w:hAnsi="Arial"/>
                <w:sz w:val="18"/>
                <w:szCs w:val="18"/>
                <w:color w:val="auto"/>
                <w:w w:val="95"/>
              </w:rPr>
              <w:t>Amendment No. 3, dated June 26, 2006, to the Asset Purchase Agreement dated as of April 20, 2005, between Adelphia and Comcast</w:t>
            </w:r>
          </w:p>
        </w:tc>
      </w:tr>
      <w:tr>
        <w:trPr>
          <w:trHeight w:val="222"/>
        </w:trPr>
        <w:tc>
          <w:tcPr>
            <w:tcW w:w="760" w:type="dxa"/>
            <w:vAlign w:val="bottom"/>
          </w:tcPr>
          <w:p>
            <w:pPr>
              <w:spacing w:after="0"/>
              <w:rPr>
                <w:sz w:val="19"/>
                <w:szCs w:val="19"/>
                <w:color w:val="auto"/>
              </w:rPr>
            </w:pPr>
          </w:p>
        </w:tc>
        <w:tc>
          <w:tcPr>
            <w:tcW w:w="10500" w:type="dxa"/>
            <w:vAlign w:val="bottom"/>
          </w:tcPr>
          <w:p>
            <w:pPr>
              <w:ind w:left="280"/>
              <w:spacing w:after="0"/>
              <w:rPr>
                <w:sz w:val="20"/>
                <w:szCs w:val="20"/>
                <w:color w:val="auto"/>
              </w:rPr>
            </w:pPr>
            <w:r>
              <w:rPr>
                <w:rFonts w:ascii="Arial" w:cs="Arial" w:eastAsia="Arial" w:hAnsi="Arial"/>
                <w:sz w:val="18"/>
                <w:szCs w:val="18"/>
                <w:color w:val="auto"/>
              </w:rPr>
              <w:t>(incorporated by reference to Exhibit 99.5 to our Current Report on Form 8-K dated July 31, 2006).</w:t>
            </w:r>
          </w:p>
        </w:tc>
      </w:tr>
      <w:tr>
        <w:trPr>
          <w:trHeight w:val="318"/>
        </w:trPr>
        <w:tc>
          <w:tcPr>
            <w:tcW w:w="760" w:type="dxa"/>
            <w:vAlign w:val="bottom"/>
          </w:tcPr>
          <w:p>
            <w:pPr>
              <w:spacing w:after="0"/>
              <w:rPr>
                <w:sz w:val="20"/>
                <w:szCs w:val="20"/>
                <w:color w:val="auto"/>
              </w:rPr>
            </w:pPr>
            <w:r>
              <w:rPr>
                <w:rFonts w:ascii="Arial" w:cs="Arial" w:eastAsia="Arial" w:hAnsi="Arial"/>
                <w:sz w:val="18"/>
                <w:szCs w:val="18"/>
                <w:color w:val="auto"/>
              </w:rPr>
              <w:t>10.44</w:t>
            </w:r>
          </w:p>
        </w:tc>
        <w:tc>
          <w:tcPr>
            <w:tcW w:w="10500" w:type="dxa"/>
            <w:vAlign w:val="bottom"/>
          </w:tcPr>
          <w:p>
            <w:pPr>
              <w:ind w:left="280"/>
              <w:spacing w:after="0"/>
              <w:rPr>
                <w:sz w:val="20"/>
                <w:szCs w:val="20"/>
                <w:color w:val="auto"/>
              </w:rPr>
            </w:pPr>
            <w:r>
              <w:rPr>
                <w:rFonts w:ascii="Arial" w:cs="Arial" w:eastAsia="Arial" w:hAnsi="Arial"/>
                <w:sz w:val="18"/>
                <w:szCs w:val="18"/>
                <w:color w:val="auto"/>
                <w:w w:val="95"/>
              </w:rPr>
              <w:t>Amendment No. 4, dated July 31, 2006, to the Asset Purchase Agreement dated as of April 20, 2005, between Adelphia and Comcast</w:t>
            </w:r>
          </w:p>
        </w:tc>
      </w:tr>
      <w:tr>
        <w:trPr>
          <w:trHeight w:val="222"/>
        </w:trPr>
        <w:tc>
          <w:tcPr>
            <w:tcW w:w="760" w:type="dxa"/>
            <w:vAlign w:val="bottom"/>
          </w:tcPr>
          <w:p>
            <w:pPr>
              <w:spacing w:after="0"/>
              <w:rPr>
                <w:sz w:val="19"/>
                <w:szCs w:val="19"/>
                <w:color w:val="auto"/>
              </w:rPr>
            </w:pPr>
          </w:p>
        </w:tc>
        <w:tc>
          <w:tcPr>
            <w:tcW w:w="10500" w:type="dxa"/>
            <w:vAlign w:val="bottom"/>
          </w:tcPr>
          <w:p>
            <w:pPr>
              <w:ind w:left="280"/>
              <w:spacing w:after="0"/>
              <w:rPr>
                <w:sz w:val="20"/>
                <w:szCs w:val="20"/>
                <w:color w:val="auto"/>
              </w:rPr>
            </w:pPr>
            <w:r>
              <w:rPr>
                <w:rFonts w:ascii="Arial" w:cs="Arial" w:eastAsia="Arial" w:hAnsi="Arial"/>
                <w:sz w:val="18"/>
                <w:szCs w:val="18"/>
                <w:color w:val="auto"/>
              </w:rPr>
              <w:t>(incorporated by reference to Exhibit 99.6 to our Current Report on Form 8-K dated July 31, 2006).</w:t>
            </w:r>
          </w:p>
        </w:tc>
      </w:tr>
      <w:tr>
        <w:trPr>
          <w:trHeight w:val="318"/>
        </w:trPr>
        <w:tc>
          <w:tcPr>
            <w:tcW w:w="760" w:type="dxa"/>
            <w:vAlign w:val="bottom"/>
          </w:tcPr>
          <w:p>
            <w:pPr>
              <w:spacing w:after="0"/>
              <w:rPr>
                <w:sz w:val="20"/>
                <w:szCs w:val="20"/>
                <w:color w:val="auto"/>
              </w:rPr>
            </w:pPr>
            <w:r>
              <w:rPr>
                <w:rFonts w:ascii="Arial" w:cs="Arial" w:eastAsia="Arial" w:hAnsi="Arial"/>
                <w:sz w:val="18"/>
                <w:szCs w:val="18"/>
                <w:color w:val="auto"/>
              </w:rPr>
              <w:t>10.45</w:t>
            </w:r>
          </w:p>
        </w:tc>
        <w:tc>
          <w:tcPr>
            <w:tcW w:w="10500" w:type="dxa"/>
            <w:vAlign w:val="bottom"/>
          </w:tcPr>
          <w:p>
            <w:pPr>
              <w:ind w:left="280"/>
              <w:spacing w:after="0"/>
              <w:rPr>
                <w:sz w:val="20"/>
                <w:szCs w:val="20"/>
                <w:color w:val="auto"/>
              </w:rPr>
            </w:pPr>
            <w:r>
              <w:rPr>
                <w:rFonts w:ascii="Arial" w:cs="Arial" w:eastAsia="Arial" w:hAnsi="Arial"/>
                <w:sz w:val="18"/>
                <w:szCs w:val="18"/>
                <w:color w:val="auto"/>
                <w:w w:val="90"/>
              </w:rPr>
              <w:t>Redemption Agreement, dated as of April 20, 2005, by and among Comcast Cable Communications Holdings, Inc., MOC Holdco II, Inc., TWE</w:t>
            </w:r>
          </w:p>
        </w:tc>
      </w:tr>
      <w:tr>
        <w:trPr>
          <w:trHeight w:val="216"/>
        </w:trPr>
        <w:tc>
          <w:tcPr>
            <w:tcW w:w="760" w:type="dxa"/>
            <w:vAlign w:val="bottom"/>
          </w:tcPr>
          <w:p>
            <w:pPr>
              <w:spacing w:after="0"/>
              <w:rPr>
                <w:sz w:val="18"/>
                <w:szCs w:val="18"/>
                <w:color w:val="auto"/>
              </w:rPr>
            </w:pPr>
          </w:p>
        </w:tc>
        <w:tc>
          <w:tcPr>
            <w:tcW w:w="10500" w:type="dxa"/>
            <w:vAlign w:val="bottom"/>
          </w:tcPr>
          <w:p>
            <w:pPr>
              <w:ind w:left="280"/>
              <w:spacing w:after="0"/>
              <w:rPr>
                <w:sz w:val="20"/>
                <w:szCs w:val="20"/>
                <w:color w:val="auto"/>
              </w:rPr>
            </w:pPr>
            <w:r>
              <w:rPr>
                <w:rFonts w:ascii="Arial" w:cs="Arial" w:eastAsia="Arial" w:hAnsi="Arial"/>
                <w:sz w:val="18"/>
                <w:szCs w:val="18"/>
                <w:color w:val="auto"/>
                <w:w w:val="90"/>
              </w:rPr>
              <w:t>Holdings II Trust, Cable Holdco II Inc., Time Warner Cable Inc. and, for certain limited purposes, Comcast Corporation, Time Warner Inc. and</w:t>
            </w:r>
          </w:p>
        </w:tc>
      </w:tr>
      <w:tr>
        <w:trPr>
          <w:trHeight w:val="222"/>
        </w:trPr>
        <w:tc>
          <w:tcPr>
            <w:tcW w:w="760" w:type="dxa"/>
            <w:vAlign w:val="bottom"/>
          </w:tcPr>
          <w:p>
            <w:pPr>
              <w:spacing w:after="0"/>
              <w:rPr>
                <w:sz w:val="19"/>
                <w:szCs w:val="19"/>
                <w:color w:val="auto"/>
              </w:rPr>
            </w:pPr>
          </w:p>
        </w:tc>
        <w:tc>
          <w:tcPr>
            <w:tcW w:w="10500" w:type="dxa"/>
            <w:vAlign w:val="bottom"/>
          </w:tcPr>
          <w:p>
            <w:pPr>
              <w:ind w:left="280"/>
              <w:spacing w:after="0"/>
              <w:rPr>
                <w:sz w:val="20"/>
                <w:szCs w:val="20"/>
                <w:color w:val="auto"/>
              </w:rPr>
            </w:pPr>
            <w:r>
              <w:rPr>
                <w:rFonts w:ascii="Arial" w:cs="Arial" w:eastAsia="Arial" w:hAnsi="Arial"/>
                <w:sz w:val="18"/>
                <w:szCs w:val="18"/>
                <w:color w:val="auto"/>
              </w:rPr>
              <w:t>TWE Holdings I Trust (incorporated by reference to Exhibit 2.2 to our Current Report on Form 8-K filed on April 26, 2005).</w:t>
            </w:r>
          </w:p>
        </w:tc>
      </w:tr>
      <w:tr>
        <w:trPr>
          <w:trHeight w:val="365"/>
        </w:trPr>
        <w:tc>
          <w:tcPr>
            <w:tcW w:w="760" w:type="dxa"/>
            <w:vAlign w:val="bottom"/>
          </w:tcPr>
          <w:p>
            <w:pPr>
              <w:spacing w:after="0"/>
              <w:rPr>
                <w:sz w:val="24"/>
                <w:szCs w:val="24"/>
                <w:color w:val="auto"/>
              </w:rPr>
            </w:pPr>
          </w:p>
        </w:tc>
        <w:tc>
          <w:tcPr>
            <w:tcW w:w="10500" w:type="dxa"/>
            <w:vAlign w:val="bottom"/>
          </w:tcPr>
          <w:p>
            <w:pPr>
              <w:ind w:left="4740"/>
              <w:spacing w:after="0"/>
              <w:rPr>
                <w:sz w:val="20"/>
                <w:szCs w:val="20"/>
                <w:color w:val="auto"/>
              </w:rPr>
            </w:pPr>
            <w:r>
              <w:rPr>
                <w:rFonts w:ascii="Arial" w:cs="Arial" w:eastAsia="Arial" w:hAnsi="Arial"/>
                <w:sz w:val="18"/>
                <w:szCs w:val="18"/>
                <w:color w:val="auto"/>
              </w:rPr>
              <w:t>29</w:t>
            </w:r>
          </w:p>
        </w:tc>
      </w:tr>
    </w:tbl>
    <w:p>
      <w:pPr>
        <w:sectPr>
          <w:pgSz w:w="11900" w:h="16838" w:orient="portrait"/>
          <w:cols w:equalWidth="0" w:num="1">
            <w:col w:w="11380"/>
          </w:cols>
          <w:pgMar w:left="240" w:top="459" w:right="279" w:bottom="1440" w:gutter="0" w:footer="0" w:header="0"/>
        </w:sectPr>
      </w:pPr>
    </w:p>
    <w:bookmarkStart w:id="32" w:name="page33"/>
    <w:bookmarkEnd w:id="3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tbl>
      <w:tblPr>
        <w:tblLayout w:type="fixed"/>
        <w:tblInd w:w="120" w:type="dxa"/>
        <w:tblCellMar>
          <w:top w:w="0" w:type="dxa"/>
          <w:left w:w="0" w:type="dxa"/>
          <w:bottom w:w="0" w:type="dxa"/>
          <w:right w:w="0" w:type="dxa"/>
        </w:tblCellMar>
      </w:tblPr>
      <w:tr>
        <w:trPr>
          <w:trHeight w:val="216"/>
        </w:trPr>
        <w:tc>
          <w:tcPr>
            <w:tcW w:w="720" w:type="dxa"/>
            <w:vAlign w:val="bottom"/>
          </w:tcPr>
          <w:p>
            <w:pPr>
              <w:spacing w:after="0"/>
              <w:rPr>
                <w:sz w:val="20"/>
                <w:szCs w:val="20"/>
                <w:color w:val="auto"/>
              </w:rPr>
            </w:pPr>
            <w:r>
              <w:rPr>
                <w:rFonts w:ascii="Arial" w:cs="Arial" w:eastAsia="Arial" w:hAnsi="Arial"/>
                <w:sz w:val="18"/>
                <w:szCs w:val="18"/>
                <w:color w:val="auto"/>
              </w:rPr>
              <w:t>10.46</w:t>
            </w:r>
          </w:p>
        </w:tc>
        <w:tc>
          <w:tcPr>
            <w:tcW w:w="10540" w:type="dxa"/>
            <w:vAlign w:val="bottom"/>
          </w:tcPr>
          <w:p>
            <w:pPr>
              <w:ind w:left="320"/>
              <w:spacing w:after="0"/>
              <w:rPr>
                <w:sz w:val="20"/>
                <w:szCs w:val="20"/>
                <w:color w:val="auto"/>
              </w:rPr>
            </w:pPr>
            <w:r>
              <w:rPr>
                <w:rFonts w:ascii="Arial" w:cs="Arial" w:eastAsia="Arial" w:hAnsi="Arial"/>
                <w:sz w:val="18"/>
                <w:szCs w:val="18"/>
                <w:color w:val="auto"/>
                <w:w w:val="90"/>
              </w:rPr>
              <w:t>Redemption Agreement, dated as of April 20, 2005, by and among Comcast Cable Communications Holdings, Inc., MOC Holdco I, LLC, TWE</w:t>
            </w:r>
          </w:p>
        </w:tc>
      </w:tr>
      <w:tr>
        <w:trPr>
          <w:trHeight w:val="216"/>
        </w:trPr>
        <w:tc>
          <w:tcPr>
            <w:tcW w:w="720" w:type="dxa"/>
            <w:vAlign w:val="bottom"/>
          </w:tcPr>
          <w:p>
            <w:pPr>
              <w:spacing w:after="0"/>
              <w:rPr>
                <w:sz w:val="18"/>
                <w:szCs w:val="18"/>
                <w:color w:val="auto"/>
              </w:rPr>
            </w:pPr>
          </w:p>
        </w:tc>
        <w:tc>
          <w:tcPr>
            <w:tcW w:w="10540" w:type="dxa"/>
            <w:vAlign w:val="bottom"/>
          </w:tcPr>
          <w:p>
            <w:pPr>
              <w:ind w:left="320"/>
              <w:spacing w:after="0"/>
              <w:rPr>
                <w:sz w:val="20"/>
                <w:szCs w:val="20"/>
                <w:color w:val="auto"/>
              </w:rPr>
            </w:pPr>
            <w:r>
              <w:rPr>
                <w:rFonts w:ascii="Arial" w:cs="Arial" w:eastAsia="Arial" w:hAnsi="Arial"/>
                <w:sz w:val="18"/>
                <w:szCs w:val="18"/>
                <w:color w:val="auto"/>
                <w:w w:val="92"/>
              </w:rPr>
              <w:t>Holdings I Trust, Cable Holdco III LLC, Time Warner Entertainment Company, L.P. and, for certain limited purposes, Comcast Corporation,</w:t>
            </w:r>
          </w:p>
        </w:tc>
      </w:tr>
      <w:tr>
        <w:trPr>
          <w:trHeight w:val="216"/>
        </w:trPr>
        <w:tc>
          <w:tcPr>
            <w:tcW w:w="720" w:type="dxa"/>
            <w:vAlign w:val="bottom"/>
          </w:tcPr>
          <w:p>
            <w:pPr>
              <w:spacing w:after="0"/>
              <w:rPr>
                <w:sz w:val="18"/>
                <w:szCs w:val="18"/>
                <w:color w:val="auto"/>
              </w:rPr>
            </w:pPr>
          </w:p>
        </w:tc>
        <w:tc>
          <w:tcPr>
            <w:tcW w:w="10540" w:type="dxa"/>
            <w:vAlign w:val="bottom"/>
          </w:tcPr>
          <w:p>
            <w:pPr>
              <w:ind w:left="320"/>
              <w:spacing w:after="0"/>
              <w:rPr>
                <w:sz w:val="20"/>
                <w:szCs w:val="20"/>
                <w:color w:val="auto"/>
              </w:rPr>
            </w:pPr>
            <w:r>
              <w:rPr>
                <w:rFonts w:ascii="Arial" w:cs="Arial" w:eastAsia="Arial" w:hAnsi="Arial"/>
                <w:sz w:val="18"/>
                <w:szCs w:val="18"/>
                <w:color w:val="auto"/>
                <w:w w:val="92"/>
              </w:rPr>
              <w:t>Time Warner Inc. and Time Warner Cable Inc. (incorporated by reference to Exhibit 2.3 to our Current Report on Form 8-K filed on April 26,</w:t>
            </w:r>
          </w:p>
        </w:tc>
      </w:tr>
      <w:tr>
        <w:trPr>
          <w:trHeight w:val="222"/>
        </w:trPr>
        <w:tc>
          <w:tcPr>
            <w:tcW w:w="720" w:type="dxa"/>
            <w:vAlign w:val="bottom"/>
          </w:tcPr>
          <w:p>
            <w:pPr>
              <w:spacing w:after="0"/>
              <w:rPr>
                <w:sz w:val="19"/>
                <w:szCs w:val="19"/>
                <w:color w:val="auto"/>
              </w:rPr>
            </w:pPr>
          </w:p>
        </w:tc>
        <w:tc>
          <w:tcPr>
            <w:tcW w:w="10540" w:type="dxa"/>
            <w:vAlign w:val="bottom"/>
          </w:tcPr>
          <w:p>
            <w:pPr>
              <w:ind w:left="320"/>
              <w:spacing w:after="0"/>
              <w:rPr>
                <w:sz w:val="20"/>
                <w:szCs w:val="20"/>
                <w:color w:val="auto"/>
              </w:rPr>
            </w:pPr>
            <w:r>
              <w:rPr>
                <w:rFonts w:ascii="Arial" w:cs="Arial" w:eastAsia="Arial" w:hAnsi="Arial"/>
                <w:sz w:val="18"/>
                <w:szCs w:val="18"/>
                <w:color w:val="auto"/>
              </w:rPr>
              <w:t>2005).</w:t>
            </w:r>
          </w:p>
        </w:tc>
      </w:tr>
      <w:tr>
        <w:trPr>
          <w:trHeight w:val="318"/>
        </w:trPr>
        <w:tc>
          <w:tcPr>
            <w:tcW w:w="720" w:type="dxa"/>
            <w:vAlign w:val="bottom"/>
          </w:tcPr>
          <w:p>
            <w:pPr>
              <w:spacing w:after="0"/>
              <w:rPr>
                <w:sz w:val="20"/>
                <w:szCs w:val="20"/>
                <w:color w:val="auto"/>
              </w:rPr>
            </w:pPr>
            <w:r>
              <w:rPr>
                <w:rFonts w:ascii="Arial" w:cs="Arial" w:eastAsia="Arial" w:hAnsi="Arial"/>
                <w:sz w:val="18"/>
                <w:szCs w:val="18"/>
                <w:color w:val="auto"/>
              </w:rPr>
              <w:t>10.47</w:t>
            </w:r>
          </w:p>
        </w:tc>
        <w:tc>
          <w:tcPr>
            <w:tcW w:w="10540" w:type="dxa"/>
            <w:vAlign w:val="bottom"/>
          </w:tcPr>
          <w:p>
            <w:pPr>
              <w:ind w:left="320"/>
              <w:spacing w:after="0"/>
              <w:rPr>
                <w:sz w:val="20"/>
                <w:szCs w:val="20"/>
                <w:color w:val="auto"/>
              </w:rPr>
            </w:pPr>
            <w:r>
              <w:rPr>
                <w:rFonts w:ascii="Arial" w:cs="Arial" w:eastAsia="Arial" w:hAnsi="Arial"/>
                <w:sz w:val="18"/>
                <w:szCs w:val="18"/>
                <w:color w:val="auto"/>
                <w:w w:val="88"/>
              </w:rPr>
              <w:t>Exchange Agreement, dated as of April 20, 2005, by and among Comcast Corporation, Comcast Cable Communications Holdings, Inc., Comcast</w:t>
            </w:r>
          </w:p>
        </w:tc>
      </w:tr>
      <w:tr>
        <w:trPr>
          <w:trHeight w:val="216"/>
        </w:trPr>
        <w:tc>
          <w:tcPr>
            <w:tcW w:w="720" w:type="dxa"/>
            <w:vAlign w:val="bottom"/>
          </w:tcPr>
          <w:p>
            <w:pPr>
              <w:spacing w:after="0"/>
              <w:rPr>
                <w:sz w:val="18"/>
                <w:szCs w:val="18"/>
                <w:color w:val="auto"/>
              </w:rPr>
            </w:pPr>
          </w:p>
        </w:tc>
        <w:tc>
          <w:tcPr>
            <w:tcW w:w="10540" w:type="dxa"/>
            <w:vAlign w:val="bottom"/>
          </w:tcPr>
          <w:p>
            <w:pPr>
              <w:ind w:left="320"/>
              <w:spacing w:after="0"/>
              <w:rPr>
                <w:sz w:val="20"/>
                <w:szCs w:val="20"/>
                <w:color w:val="auto"/>
              </w:rPr>
            </w:pPr>
            <w:r>
              <w:rPr>
                <w:rFonts w:ascii="Arial" w:cs="Arial" w:eastAsia="Arial" w:hAnsi="Arial"/>
                <w:sz w:val="18"/>
                <w:szCs w:val="18"/>
                <w:color w:val="auto"/>
                <w:w w:val="95"/>
              </w:rPr>
              <w:t>of Georgia, Inc., TCI Holdings, Inc., Time Warner Cable Inc., Time Warner NY Cable LLC and Urban Cable Works of Philadelphia, L.P.</w:t>
            </w:r>
          </w:p>
        </w:tc>
      </w:tr>
      <w:tr>
        <w:trPr>
          <w:trHeight w:val="222"/>
        </w:trPr>
        <w:tc>
          <w:tcPr>
            <w:tcW w:w="720" w:type="dxa"/>
            <w:vAlign w:val="bottom"/>
          </w:tcPr>
          <w:p>
            <w:pPr>
              <w:spacing w:after="0"/>
              <w:rPr>
                <w:sz w:val="19"/>
                <w:szCs w:val="19"/>
                <w:color w:val="auto"/>
              </w:rPr>
            </w:pPr>
          </w:p>
        </w:tc>
        <w:tc>
          <w:tcPr>
            <w:tcW w:w="10540" w:type="dxa"/>
            <w:vAlign w:val="bottom"/>
          </w:tcPr>
          <w:p>
            <w:pPr>
              <w:ind w:left="320"/>
              <w:spacing w:after="0"/>
              <w:rPr>
                <w:sz w:val="20"/>
                <w:szCs w:val="20"/>
                <w:color w:val="auto"/>
              </w:rPr>
            </w:pPr>
            <w:r>
              <w:rPr>
                <w:rFonts w:ascii="Arial" w:cs="Arial" w:eastAsia="Arial" w:hAnsi="Arial"/>
                <w:sz w:val="18"/>
                <w:szCs w:val="18"/>
                <w:color w:val="auto"/>
              </w:rPr>
              <w:t>(incorporated by reference to Exhibit 2.4 to our Current Report on Form 8-K filed on April 26, 2005).</w:t>
            </w:r>
          </w:p>
        </w:tc>
      </w:tr>
      <w:tr>
        <w:trPr>
          <w:trHeight w:val="318"/>
        </w:trPr>
        <w:tc>
          <w:tcPr>
            <w:tcW w:w="720" w:type="dxa"/>
            <w:vAlign w:val="bottom"/>
          </w:tcPr>
          <w:p>
            <w:pPr>
              <w:spacing w:after="0"/>
              <w:rPr>
                <w:sz w:val="20"/>
                <w:szCs w:val="20"/>
                <w:color w:val="auto"/>
              </w:rPr>
            </w:pPr>
            <w:r>
              <w:rPr>
                <w:rFonts w:ascii="Arial" w:cs="Arial" w:eastAsia="Arial" w:hAnsi="Arial"/>
                <w:sz w:val="18"/>
                <w:szCs w:val="18"/>
                <w:color w:val="auto"/>
              </w:rPr>
              <w:t>10.48</w:t>
            </w:r>
          </w:p>
        </w:tc>
        <w:tc>
          <w:tcPr>
            <w:tcW w:w="10540" w:type="dxa"/>
            <w:vAlign w:val="bottom"/>
          </w:tcPr>
          <w:p>
            <w:pPr>
              <w:ind w:left="320"/>
              <w:spacing w:after="0"/>
              <w:rPr>
                <w:sz w:val="20"/>
                <w:szCs w:val="20"/>
                <w:color w:val="auto"/>
              </w:rPr>
            </w:pPr>
            <w:r>
              <w:rPr>
                <w:rFonts w:ascii="Arial" w:cs="Arial" w:eastAsia="Arial" w:hAnsi="Arial"/>
                <w:sz w:val="18"/>
                <w:szCs w:val="18"/>
                <w:color w:val="auto"/>
                <w:w w:val="88"/>
              </w:rPr>
              <w:t>Composite copy of Tolling and Optional Redemption Agreement, dated as of September 24, 2004, as amended by Amendment No. 1, dated as of</w:t>
            </w:r>
          </w:p>
        </w:tc>
      </w:tr>
      <w:tr>
        <w:trPr>
          <w:trHeight w:val="216"/>
        </w:trPr>
        <w:tc>
          <w:tcPr>
            <w:tcW w:w="720" w:type="dxa"/>
            <w:vAlign w:val="bottom"/>
          </w:tcPr>
          <w:p>
            <w:pPr>
              <w:spacing w:after="0"/>
              <w:rPr>
                <w:sz w:val="18"/>
                <w:szCs w:val="18"/>
                <w:color w:val="auto"/>
              </w:rPr>
            </w:pPr>
          </w:p>
        </w:tc>
        <w:tc>
          <w:tcPr>
            <w:tcW w:w="10540" w:type="dxa"/>
            <w:vAlign w:val="bottom"/>
          </w:tcPr>
          <w:p>
            <w:pPr>
              <w:ind w:left="320"/>
              <w:spacing w:after="0"/>
              <w:rPr>
                <w:sz w:val="20"/>
                <w:szCs w:val="20"/>
                <w:color w:val="auto"/>
              </w:rPr>
            </w:pPr>
            <w:r>
              <w:rPr>
                <w:rFonts w:ascii="Arial" w:cs="Arial" w:eastAsia="Arial" w:hAnsi="Arial"/>
                <w:sz w:val="18"/>
                <w:szCs w:val="18"/>
                <w:color w:val="auto"/>
                <w:w w:val="89"/>
              </w:rPr>
              <w:t>February 17, 2005, and by Amendment No. 2, dated as of April 20, 2005, by and among Comcast Cable Communications Holdings, Inc., MOC</w:t>
            </w:r>
          </w:p>
        </w:tc>
      </w:tr>
      <w:tr>
        <w:trPr>
          <w:trHeight w:val="216"/>
        </w:trPr>
        <w:tc>
          <w:tcPr>
            <w:tcW w:w="720" w:type="dxa"/>
            <w:vAlign w:val="bottom"/>
          </w:tcPr>
          <w:p>
            <w:pPr>
              <w:spacing w:after="0"/>
              <w:rPr>
                <w:sz w:val="18"/>
                <w:szCs w:val="18"/>
                <w:color w:val="auto"/>
              </w:rPr>
            </w:pPr>
          </w:p>
        </w:tc>
        <w:tc>
          <w:tcPr>
            <w:tcW w:w="10540" w:type="dxa"/>
            <w:vAlign w:val="bottom"/>
          </w:tcPr>
          <w:p>
            <w:pPr>
              <w:ind w:left="320"/>
              <w:spacing w:after="0"/>
              <w:rPr>
                <w:sz w:val="20"/>
                <w:szCs w:val="20"/>
                <w:color w:val="auto"/>
              </w:rPr>
            </w:pPr>
            <w:r>
              <w:rPr>
                <w:rFonts w:ascii="Arial" w:cs="Arial" w:eastAsia="Arial" w:hAnsi="Arial"/>
                <w:sz w:val="18"/>
                <w:szCs w:val="18"/>
                <w:color w:val="auto"/>
                <w:w w:val="93"/>
              </w:rPr>
              <w:t>Holdco II, Inc., TWE Holdings II Trust, Cable Holdco Inc., Time Warner Cable Inc. and, for certain limited purposes, Comcast Corporation,</w:t>
            </w:r>
          </w:p>
        </w:tc>
      </w:tr>
      <w:tr>
        <w:trPr>
          <w:trHeight w:val="216"/>
        </w:trPr>
        <w:tc>
          <w:tcPr>
            <w:tcW w:w="720" w:type="dxa"/>
            <w:vAlign w:val="bottom"/>
          </w:tcPr>
          <w:p>
            <w:pPr>
              <w:spacing w:after="0"/>
              <w:rPr>
                <w:sz w:val="18"/>
                <w:szCs w:val="18"/>
                <w:color w:val="auto"/>
              </w:rPr>
            </w:pPr>
          </w:p>
        </w:tc>
        <w:tc>
          <w:tcPr>
            <w:tcW w:w="10540" w:type="dxa"/>
            <w:vAlign w:val="bottom"/>
          </w:tcPr>
          <w:p>
            <w:pPr>
              <w:ind w:left="320"/>
              <w:spacing w:after="0"/>
              <w:rPr>
                <w:sz w:val="20"/>
                <w:szCs w:val="20"/>
                <w:color w:val="auto"/>
              </w:rPr>
            </w:pPr>
            <w:r>
              <w:rPr>
                <w:rFonts w:ascii="Arial" w:cs="Arial" w:eastAsia="Arial" w:hAnsi="Arial"/>
                <w:sz w:val="18"/>
                <w:szCs w:val="18"/>
                <w:color w:val="auto"/>
                <w:w w:val="93"/>
              </w:rPr>
              <w:t>Time Warner Inc. and TWE Holdings I Trust (incorporated by reference to Exhibit 2.5 to our Current Report on Form 8-K filed on April 26,</w:t>
            </w:r>
          </w:p>
        </w:tc>
      </w:tr>
      <w:tr>
        <w:trPr>
          <w:trHeight w:val="222"/>
        </w:trPr>
        <w:tc>
          <w:tcPr>
            <w:tcW w:w="720" w:type="dxa"/>
            <w:vAlign w:val="bottom"/>
          </w:tcPr>
          <w:p>
            <w:pPr>
              <w:spacing w:after="0"/>
              <w:rPr>
                <w:sz w:val="19"/>
                <w:szCs w:val="19"/>
                <w:color w:val="auto"/>
              </w:rPr>
            </w:pPr>
          </w:p>
        </w:tc>
        <w:tc>
          <w:tcPr>
            <w:tcW w:w="10540" w:type="dxa"/>
            <w:vAlign w:val="bottom"/>
          </w:tcPr>
          <w:p>
            <w:pPr>
              <w:ind w:left="320"/>
              <w:spacing w:after="0"/>
              <w:rPr>
                <w:sz w:val="20"/>
                <w:szCs w:val="20"/>
                <w:color w:val="auto"/>
              </w:rPr>
            </w:pPr>
            <w:r>
              <w:rPr>
                <w:rFonts w:ascii="Arial" w:cs="Arial" w:eastAsia="Arial" w:hAnsi="Arial"/>
                <w:sz w:val="18"/>
                <w:szCs w:val="18"/>
                <w:color w:val="auto"/>
              </w:rPr>
              <w:t>2005).</w:t>
            </w:r>
          </w:p>
        </w:tc>
      </w:tr>
      <w:tr>
        <w:trPr>
          <w:trHeight w:val="318"/>
        </w:trPr>
        <w:tc>
          <w:tcPr>
            <w:tcW w:w="720" w:type="dxa"/>
            <w:vAlign w:val="bottom"/>
          </w:tcPr>
          <w:p>
            <w:pPr>
              <w:spacing w:after="0"/>
              <w:rPr>
                <w:sz w:val="20"/>
                <w:szCs w:val="20"/>
                <w:color w:val="auto"/>
              </w:rPr>
            </w:pPr>
            <w:r>
              <w:rPr>
                <w:rFonts w:ascii="Arial" w:cs="Arial" w:eastAsia="Arial" w:hAnsi="Arial"/>
                <w:sz w:val="18"/>
                <w:szCs w:val="18"/>
                <w:color w:val="auto"/>
              </w:rPr>
              <w:t>10.49</w:t>
            </w:r>
          </w:p>
        </w:tc>
        <w:tc>
          <w:tcPr>
            <w:tcW w:w="10540" w:type="dxa"/>
            <w:vAlign w:val="bottom"/>
          </w:tcPr>
          <w:p>
            <w:pPr>
              <w:ind w:left="320"/>
              <w:spacing w:after="0"/>
              <w:rPr>
                <w:sz w:val="20"/>
                <w:szCs w:val="20"/>
                <w:color w:val="auto"/>
              </w:rPr>
            </w:pPr>
            <w:r>
              <w:rPr>
                <w:rFonts w:ascii="Arial" w:cs="Arial" w:eastAsia="Arial" w:hAnsi="Arial"/>
                <w:sz w:val="18"/>
                <w:szCs w:val="18"/>
                <w:color w:val="auto"/>
                <w:w w:val="90"/>
              </w:rPr>
              <w:t>Letter Agreement, dated April 20, 2005, among Adelphia Communications Corporation, Comcast Corporation and Time Warner NY Cable LLC</w:t>
            </w:r>
          </w:p>
        </w:tc>
      </w:tr>
      <w:tr>
        <w:trPr>
          <w:trHeight w:val="222"/>
        </w:trPr>
        <w:tc>
          <w:tcPr>
            <w:tcW w:w="720" w:type="dxa"/>
            <w:vAlign w:val="bottom"/>
          </w:tcPr>
          <w:p>
            <w:pPr>
              <w:spacing w:after="0"/>
              <w:rPr>
                <w:sz w:val="19"/>
                <w:szCs w:val="19"/>
                <w:color w:val="auto"/>
              </w:rPr>
            </w:pPr>
          </w:p>
        </w:tc>
        <w:tc>
          <w:tcPr>
            <w:tcW w:w="10540" w:type="dxa"/>
            <w:vAlign w:val="bottom"/>
          </w:tcPr>
          <w:p>
            <w:pPr>
              <w:ind w:left="320"/>
              <w:spacing w:after="0"/>
              <w:rPr>
                <w:sz w:val="20"/>
                <w:szCs w:val="20"/>
                <w:color w:val="auto"/>
              </w:rPr>
            </w:pPr>
            <w:r>
              <w:rPr>
                <w:rFonts w:ascii="Arial" w:cs="Arial" w:eastAsia="Arial" w:hAnsi="Arial"/>
                <w:sz w:val="18"/>
                <w:szCs w:val="18"/>
                <w:color w:val="auto"/>
              </w:rPr>
              <w:t>(incorporated by reference to Exhibit 2.6 to our Current Report on Form 8-K filed on April 26, 2005).</w:t>
            </w:r>
          </w:p>
        </w:tc>
      </w:tr>
      <w:tr>
        <w:trPr>
          <w:trHeight w:val="318"/>
        </w:trPr>
        <w:tc>
          <w:tcPr>
            <w:tcW w:w="720" w:type="dxa"/>
            <w:vAlign w:val="bottom"/>
          </w:tcPr>
          <w:p>
            <w:pPr>
              <w:spacing w:after="0"/>
              <w:rPr>
                <w:sz w:val="20"/>
                <w:szCs w:val="20"/>
                <w:color w:val="auto"/>
              </w:rPr>
            </w:pPr>
            <w:r>
              <w:rPr>
                <w:rFonts w:ascii="Arial" w:cs="Arial" w:eastAsia="Arial" w:hAnsi="Arial"/>
                <w:sz w:val="18"/>
                <w:szCs w:val="18"/>
                <w:color w:val="auto"/>
              </w:rPr>
              <w:t>10.50</w:t>
            </w:r>
          </w:p>
        </w:tc>
        <w:tc>
          <w:tcPr>
            <w:tcW w:w="10540" w:type="dxa"/>
            <w:vAlign w:val="bottom"/>
          </w:tcPr>
          <w:p>
            <w:pPr>
              <w:ind w:left="320"/>
              <w:spacing w:after="0"/>
              <w:rPr>
                <w:sz w:val="20"/>
                <w:szCs w:val="20"/>
                <w:color w:val="auto"/>
              </w:rPr>
            </w:pPr>
            <w:r>
              <w:rPr>
                <w:rFonts w:ascii="Arial" w:cs="Arial" w:eastAsia="Arial" w:hAnsi="Arial"/>
                <w:sz w:val="18"/>
                <w:szCs w:val="18"/>
                <w:color w:val="auto"/>
                <w:w w:val="89"/>
              </w:rPr>
              <w:t>Letter Agreement, dated April 20, 2005, between Time Warner Cable Inc. and Comcast Corporation (incorporated by reference to Exhibit 2.7 to</w:t>
            </w:r>
          </w:p>
        </w:tc>
      </w:tr>
      <w:tr>
        <w:trPr>
          <w:trHeight w:val="222"/>
        </w:trPr>
        <w:tc>
          <w:tcPr>
            <w:tcW w:w="720" w:type="dxa"/>
            <w:vAlign w:val="bottom"/>
          </w:tcPr>
          <w:p>
            <w:pPr>
              <w:spacing w:after="0"/>
              <w:rPr>
                <w:sz w:val="19"/>
                <w:szCs w:val="19"/>
                <w:color w:val="auto"/>
              </w:rPr>
            </w:pPr>
          </w:p>
        </w:tc>
        <w:tc>
          <w:tcPr>
            <w:tcW w:w="10540" w:type="dxa"/>
            <w:vAlign w:val="bottom"/>
          </w:tcPr>
          <w:p>
            <w:pPr>
              <w:ind w:left="320"/>
              <w:spacing w:after="0"/>
              <w:rPr>
                <w:sz w:val="20"/>
                <w:szCs w:val="20"/>
                <w:color w:val="auto"/>
              </w:rPr>
            </w:pPr>
            <w:r>
              <w:rPr>
                <w:rFonts w:ascii="Arial" w:cs="Arial" w:eastAsia="Arial" w:hAnsi="Arial"/>
                <w:sz w:val="18"/>
                <w:szCs w:val="18"/>
                <w:color w:val="auto"/>
              </w:rPr>
              <w:t>our Current Report on Form 8-K filed on April 26, 2005).</w:t>
            </w:r>
          </w:p>
        </w:tc>
      </w:tr>
      <w:tr>
        <w:trPr>
          <w:trHeight w:val="318"/>
        </w:trPr>
        <w:tc>
          <w:tcPr>
            <w:tcW w:w="720" w:type="dxa"/>
            <w:vAlign w:val="bottom"/>
          </w:tcPr>
          <w:p>
            <w:pPr>
              <w:spacing w:after="0"/>
              <w:rPr>
                <w:sz w:val="20"/>
                <w:szCs w:val="20"/>
                <w:color w:val="auto"/>
              </w:rPr>
            </w:pPr>
            <w:r>
              <w:rPr>
                <w:rFonts w:ascii="Arial" w:cs="Arial" w:eastAsia="Arial" w:hAnsi="Arial"/>
                <w:sz w:val="18"/>
                <w:szCs w:val="18"/>
                <w:color w:val="auto"/>
              </w:rPr>
              <w:t>10.51</w:t>
            </w:r>
          </w:p>
        </w:tc>
        <w:tc>
          <w:tcPr>
            <w:tcW w:w="10540" w:type="dxa"/>
            <w:vAlign w:val="bottom"/>
          </w:tcPr>
          <w:p>
            <w:pPr>
              <w:ind w:left="320"/>
              <w:spacing w:after="0"/>
              <w:rPr>
                <w:sz w:val="20"/>
                <w:szCs w:val="20"/>
                <w:color w:val="auto"/>
              </w:rPr>
            </w:pPr>
            <w:r>
              <w:rPr>
                <w:rFonts w:ascii="Arial" w:cs="Arial" w:eastAsia="Arial" w:hAnsi="Arial"/>
                <w:sz w:val="18"/>
                <w:szCs w:val="18"/>
                <w:color w:val="auto"/>
                <w:w w:val="89"/>
              </w:rPr>
              <w:t>Letter Agreement by and among TWE Holdings II Trust, Comcast Corporation, Adelphia Communications Corporation and Time Warner Cable</w:t>
            </w:r>
          </w:p>
        </w:tc>
      </w:tr>
      <w:tr>
        <w:trPr>
          <w:trHeight w:val="222"/>
        </w:trPr>
        <w:tc>
          <w:tcPr>
            <w:tcW w:w="720" w:type="dxa"/>
            <w:vAlign w:val="bottom"/>
          </w:tcPr>
          <w:p>
            <w:pPr>
              <w:spacing w:after="0"/>
              <w:rPr>
                <w:sz w:val="19"/>
                <w:szCs w:val="19"/>
                <w:color w:val="auto"/>
              </w:rPr>
            </w:pPr>
          </w:p>
        </w:tc>
        <w:tc>
          <w:tcPr>
            <w:tcW w:w="10540" w:type="dxa"/>
            <w:vAlign w:val="bottom"/>
          </w:tcPr>
          <w:p>
            <w:pPr>
              <w:ind w:left="320"/>
              <w:spacing w:after="0"/>
              <w:rPr>
                <w:sz w:val="20"/>
                <w:szCs w:val="20"/>
                <w:color w:val="auto"/>
              </w:rPr>
            </w:pPr>
            <w:r>
              <w:rPr>
                <w:rFonts w:ascii="Arial" w:cs="Arial" w:eastAsia="Arial" w:hAnsi="Arial"/>
                <w:sz w:val="18"/>
                <w:szCs w:val="18"/>
                <w:color w:val="auto"/>
              </w:rPr>
              <w:t>Inc., dated June 21, 2006 (incorporated by reference to Exhibit 2.2 to our Current Report on For 8-K filed on June 27, 2006).</w:t>
            </w:r>
          </w:p>
        </w:tc>
      </w:tr>
      <w:tr>
        <w:trPr>
          <w:trHeight w:val="318"/>
        </w:trPr>
        <w:tc>
          <w:tcPr>
            <w:tcW w:w="720" w:type="dxa"/>
            <w:vAlign w:val="bottom"/>
          </w:tcPr>
          <w:p>
            <w:pPr>
              <w:spacing w:after="0"/>
              <w:rPr>
                <w:sz w:val="20"/>
                <w:szCs w:val="20"/>
                <w:color w:val="auto"/>
              </w:rPr>
            </w:pPr>
            <w:r>
              <w:rPr>
                <w:rFonts w:ascii="Arial" w:cs="Arial" w:eastAsia="Arial" w:hAnsi="Arial"/>
                <w:sz w:val="18"/>
                <w:szCs w:val="18"/>
                <w:color w:val="auto"/>
              </w:rPr>
              <w:t>10.52</w:t>
            </w:r>
          </w:p>
        </w:tc>
        <w:tc>
          <w:tcPr>
            <w:tcW w:w="10540" w:type="dxa"/>
            <w:vAlign w:val="bottom"/>
          </w:tcPr>
          <w:p>
            <w:pPr>
              <w:ind w:left="320"/>
              <w:spacing w:after="0"/>
              <w:rPr>
                <w:sz w:val="20"/>
                <w:szCs w:val="20"/>
                <w:color w:val="auto"/>
              </w:rPr>
            </w:pPr>
            <w:r>
              <w:rPr>
                <w:rFonts w:ascii="Arial" w:cs="Arial" w:eastAsia="Arial" w:hAnsi="Arial"/>
                <w:sz w:val="18"/>
                <w:szCs w:val="18"/>
                <w:color w:val="auto"/>
                <w:w w:val="90"/>
              </w:rPr>
              <w:t>Five Year Revolving Credit Agreement dated as of October 7, 2005 among Comcast Corporation, Comcast Cable Communications Holdings,</w:t>
            </w:r>
          </w:p>
        </w:tc>
      </w:tr>
      <w:tr>
        <w:trPr>
          <w:trHeight w:val="216"/>
        </w:trPr>
        <w:tc>
          <w:tcPr>
            <w:tcW w:w="720" w:type="dxa"/>
            <w:vAlign w:val="bottom"/>
          </w:tcPr>
          <w:p>
            <w:pPr>
              <w:spacing w:after="0"/>
              <w:rPr>
                <w:sz w:val="18"/>
                <w:szCs w:val="18"/>
                <w:color w:val="auto"/>
              </w:rPr>
            </w:pPr>
          </w:p>
        </w:tc>
        <w:tc>
          <w:tcPr>
            <w:tcW w:w="10540" w:type="dxa"/>
            <w:vAlign w:val="bottom"/>
          </w:tcPr>
          <w:p>
            <w:pPr>
              <w:ind w:left="320"/>
              <w:spacing w:after="0"/>
              <w:rPr>
                <w:sz w:val="20"/>
                <w:szCs w:val="20"/>
                <w:color w:val="auto"/>
              </w:rPr>
            </w:pPr>
            <w:r>
              <w:rPr>
                <w:rFonts w:ascii="Arial" w:cs="Arial" w:eastAsia="Arial" w:hAnsi="Arial"/>
                <w:sz w:val="18"/>
                <w:szCs w:val="18"/>
                <w:color w:val="auto"/>
                <w:w w:val="92"/>
              </w:rPr>
              <w:t>Inc., the Financial Institutions party thereto and JP Morgan Chase Bank, N.A., as Administrative Agent (incorporated by reference to Exhibit</w:t>
            </w:r>
          </w:p>
        </w:tc>
      </w:tr>
      <w:tr>
        <w:trPr>
          <w:trHeight w:val="222"/>
        </w:trPr>
        <w:tc>
          <w:tcPr>
            <w:tcW w:w="720" w:type="dxa"/>
            <w:vAlign w:val="bottom"/>
          </w:tcPr>
          <w:p>
            <w:pPr>
              <w:spacing w:after="0"/>
              <w:rPr>
                <w:sz w:val="19"/>
                <w:szCs w:val="19"/>
                <w:color w:val="auto"/>
              </w:rPr>
            </w:pPr>
          </w:p>
        </w:tc>
        <w:tc>
          <w:tcPr>
            <w:tcW w:w="10540" w:type="dxa"/>
            <w:vAlign w:val="bottom"/>
          </w:tcPr>
          <w:p>
            <w:pPr>
              <w:ind w:left="320"/>
              <w:spacing w:after="0"/>
              <w:rPr>
                <w:sz w:val="20"/>
                <w:szCs w:val="20"/>
                <w:color w:val="auto"/>
              </w:rPr>
            </w:pPr>
            <w:r>
              <w:rPr>
                <w:rFonts w:ascii="Arial" w:cs="Arial" w:eastAsia="Arial" w:hAnsi="Arial"/>
                <w:sz w:val="18"/>
                <w:szCs w:val="18"/>
                <w:color w:val="auto"/>
              </w:rPr>
              <w:t>10.45 to our Annual Report on Form 10-K for the year ended December 31, 2005).</w:t>
            </w:r>
          </w:p>
        </w:tc>
      </w:tr>
      <w:tr>
        <w:trPr>
          <w:trHeight w:val="318"/>
        </w:trPr>
        <w:tc>
          <w:tcPr>
            <w:tcW w:w="720" w:type="dxa"/>
            <w:vAlign w:val="bottom"/>
          </w:tcPr>
          <w:p>
            <w:pPr>
              <w:spacing w:after="0"/>
              <w:rPr>
                <w:sz w:val="20"/>
                <w:szCs w:val="20"/>
                <w:color w:val="auto"/>
              </w:rPr>
            </w:pPr>
            <w:r>
              <w:rPr>
                <w:rFonts w:ascii="Arial" w:cs="Arial" w:eastAsia="Arial" w:hAnsi="Arial"/>
                <w:sz w:val="18"/>
                <w:szCs w:val="18"/>
                <w:color w:val="auto"/>
              </w:rPr>
              <w:t>13.1</w:t>
            </w:r>
          </w:p>
        </w:tc>
        <w:tc>
          <w:tcPr>
            <w:tcW w:w="10540" w:type="dxa"/>
            <w:vAlign w:val="bottom"/>
          </w:tcPr>
          <w:p>
            <w:pPr>
              <w:ind w:left="320"/>
              <w:spacing w:after="0"/>
              <w:rPr>
                <w:sz w:val="20"/>
                <w:szCs w:val="20"/>
                <w:color w:val="auto"/>
              </w:rPr>
            </w:pPr>
            <w:r>
              <w:rPr>
                <w:rFonts w:ascii="Arial" w:cs="Arial" w:eastAsia="Arial" w:hAnsi="Arial"/>
                <w:sz w:val="18"/>
                <w:szCs w:val="18"/>
                <w:color w:val="auto"/>
                <w:w w:val="91"/>
              </w:rPr>
              <w:t>Pages 25 to 75 and page78 of the 2006 Annual Report to Shareholders, but only to the extent set forth in Items 6-8 and 9A hereof. With the</w:t>
            </w:r>
          </w:p>
        </w:tc>
      </w:tr>
      <w:tr>
        <w:trPr>
          <w:trHeight w:val="216"/>
        </w:trPr>
        <w:tc>
          <w:tcPr>
            <w:tcW w:w="720" w:type="dxa"/>
            <w:vAlign w:val="bottom"/>
          </w:tcPr>
          <w:p>
            <w:pPr>
              <w:spacing w:after="0"/>
              <w:rPr>
                <w:sz w:val="18"/>
                <w:szCs w:val="18"/>
                <w:color w:val="auto"/>
              </w:rPr>
            </w:pPr>
          </w:p>
        </w:tc>
        <w:tc>
          <w:tcPr>
            <w:tcW w:w="10540" w:type="dxa"/>
            <w:vAlign w:val="bottom"/>
          </w:tcPr>
          <w:p>
            <w:pPr>
              <w:ind w:left="320"/>
              <w:spacing w:after="0"/>
              <w:rPr>
                <w:sz w:val="20"/>
                <w:szCs w:val="20"/>
                <w:color w:val="auto"/>
              </w:rPr>
            </w:pPr>
            <w:r>
              <w:rPr>
                <w:rFonts w:ascii="Arial" w:cs="Arial" w:eastAsia="Arial" w:hAnsi="Arial"/>
                <w:sz w:val="18"/>
                <w:szCs w:val="18"/>
                <w:color w:val="auto"/>
                <w:w w:val="95"/>
              </w:rPr>
              <w:t>exception of the aforementioned information incorporated by reference in this Annual Report on Form 10-K, the 2006 Annual Report to</w:t>
            </w:r>
          </w:p>
        </w:tc>
      </w:tr>
      <w:tr>
        <w:trPr>
          <w:trHeight w:val="222"/>
        </w:trPr>
        <w:tc>
          <w:tcPr>
            <w:tcW w:w="720" w:type="dxa"/>
            <w:vAlign w:val="bottom"/>
          </w:tcPr>
          <w:p>
            <w:pPr>
              <w:spacing w:after="0"/>
              <w:rPr>
                <w:sz w:val="19"/>
                <w:szCs w:val="19"/>
                <w:color w:val="auto"/>
              </w:rPr>
            </w:pPr>
          </w:p>
        </w:tc>
        <w:tc>
          <w:tcPr>
            <w:tcW w:w="10540" w:type="dxa"/>
            <w:vAlign w:val="bottom"/>
          </w:tcPr>
          <w:p>
            <w:pPr>
              <w:ind w:left="320"/>
              <w:spacing w:after="0"/>
              <w:rPr>
                <w:sz w:val="20"/>
                <w:szCs w:val="20"/>
                <w:color w:val="auto"/>
              </w:rPr>
            </w:pPr>
            <w:r>
              <w:rPr>
                <w:rFonts w:ascii="Arial" w:cs="Arial" w:eastAsia="Arial" w:hAnsi="Arial"/>
                <w:sz w:val="18"/>
                <w:szCs w:val="18"/>
                <w:color w:val="auto"/>
              </w:rPr>
              <w:t>Shareholders is not deemed “filed” as part hereof.</w:t>
            </w:r>
          </w:p>
        </w:tc>
      </w:tr>
      <w:tr>
        <w:trPr>
          <w:trHeight w:val="324"/>
        </w:trPr>
        <w:tc>
          <w:tcPr>
            <w:tcW w:w="720" w:type="dxa"/>
            <w:vAlign w:val="bottom"/>
          </w:tcPr>
          <w:p>
            <w:pPr>
              <w:ind w:left="20"/>
              <w:spacing w:after="0"/>
              <w:rPr>
                <w:sz w:val="20"/>
                <w:szCs w:val="20"/>
                <w:color w:val="auto"/>
              </w:rPr>
            </w:pPr>
            <w:r>
              <w:rPr>
                <w:rFonts w:ascii="Arial" w:cs="Arial" w:eastAsia="Arial" w:hAnsi="Arial"/>
                <w:sz w:val="18"/>
                <w:szCs w:val="18"/>
                <w:color w:val="auto"/>
              </w:rPr>
              <w:t>21</w:t>
            </w:r>
          </w:p>
        </w:tc>
        <w:tc>
          <w:tcPr>
            <w:tcW w:w="10540" w:type="dxa"/>
            <w:vAlign w:val="bottom"/>
          </w:tcPr>
          <w:p>
            <w:pPr>
              <w:ind w:left="320"/>
              <w:spacing w:after="0"/>
              <w:rPr>
                <w:sz w:val="20"/>
                <w:szCs w:val="20"/>
                <w:color w:val="auto"/>
              </w:rPr>
            </w:pPr>
            <w:r>
              <w:rPr>
                <w:rFonts w:ascii="Arial" w:cs="Arial" w:eastAsia="Arial" w:hAnsi="Arial"/>
                <w:sz w:val="18"/>
                <w:szCs w:val="18"/>
                <w:color w:val="auto"/>
              </w:rPr>
              <w:t>List of subsidiaries.</w:t>
            </w:r>
          </w:p>
        </w:tc>
      </w:tr>
      <w:tr>
        <w:trPr>
          <w:trHeight w:val="324"/>
        </w:trPr>
        <w:tc>
          <w:tcPr>
            <w:tcW w:w="720" w:type="dxa"/>
            <w:vAlign w:val="bottom"/>
          </w:tcPr>
          <w:p>
            <w:pPr>
              <w:ind w:left="20"/>
              <w:spacing w:after="0"/>
              <w:rPr>
                <w:sz w:val="20"/>
                <w:szCs w:val="20"/>
                <w:color w:val="auto"/>
              </w:rPr>
            </w:pPr>
            <w:r>
              <w:rPr>
                <w:rFonts w:ascii="Arial" w:cs="Arial" w:eastAsia="Arial" w:hAnsi="Arial"/>
                <w:sz w:val="18"/>
                <w:szCs w:val="18"/>
                <w:color w:val="auto"/>
              </w:rPr>
              <w:t>23.1</w:t>
            </w:r>
          </w:p>
        </w:tc>
        <w:tc>
          <w:tcPr>
            <w:tcW w:w="10540" w:type="dxa"/>
            <w:vAlign w:val="bottom"/>
          </w:tcPr>
          <w:p>
            <w:pPr>
              <w:ind w:left="320"/>
              <w:spacing w:after="0"/>
              <w:rPr>
                <w:sz w:val="20"/>
                <w:szCs w:val="20"/>
                <w:color w:val="auto"/>
              </w:rPr>
            </w:pPr>
            <w:r>
              <w:rPr>
                <w:rFonts w:ascii="Arial" w:cs="Arial" w:eastAsia="Arial" w:hAnsi="Arial"/>
                <w:sz w:val="18"/>
                <w:szCs w:val="18"/>
                <w:color w:val="auto"/>
              </w:rPr>
              <w:t>Consent of Deloitte &amp; Touche LLP.</w:t>
            </w:r>
          </w:p>
        </w:tc>
      </w:tr>
    </w:tbl>
    <w:p>
      <w:pPr>
        <w:spacing w:after="0" w:line="102" w:lineRule="exact"/>
        <w:rPr>
          <w:sz w:val="20"/>
          <w:szCs w:val="20"/>
          <w:color w:val="auto"/>
        </w:rPr>
      </w:pPr>
    </w:p>
    <w:p>
      <w:pPr>
        <w:ind w:left="1160" w:hanging="1020"/>
        <w:spacing w:after="0"/>
        <w:tabs>
          <w:tab w:leader="none" w:pos="1160" w:val="left"/>
        </w:tabs>
        <w:numPr>
          <w:ilvl w:val="1"/>
          <w:numId w:val="8"/>
        </w:numPr>
        <w:rPr>
          <w:rFonts w:ascii="Arial" w:cs="Arial" w:eastAsia="Arial" w:hAnsi="Arial"/>
          <w:sz w:val="16"/>
          <w:szCs w:val="16"/>
          <w:color w:val="auto"/>
        </w:rPr>
      </w:pPr>
      <w:r>
        <w:rPr>
          <w:rFonts w:ascii="Arial" w:cs="Arial" w:eastAsia="Arial" w:hAnsi="Arial"/>
          <w:sz w:val="16"/>
          <w:szCs w:val="16"/>
          <w:color w:val="auto"/>
        </w:rPr>
        <w:t>Certification of Chief Executive Officer and Co-Chief Financial Officers pursuant to Section 302 of the Sarbanes- Oxley Act of 2002.</w:t>
      </w:r>
    </w:p>
    <w:p>
      <w:pPr>
        <w:spacing w:after="0" w:line="140" w:lineRule="exact"/>
        <w:rPr>
          <w:rFonts w:ascii="Arial" w:cs="Arial" w:eastAsia="Arial" w:hAnsi="Arial"/>
          <w:sz w:val="16"/>
          <w:szCs w:val="16"/>
          <w:color w:val="auto"/>
        </w:rPr>
      </w:pPr>
    </w:p>
    <w:p>
      <w:pPr>
        <w:ind w:right="760" w:firstLine="140"/>
        <w:spacing w:after="0" w:line="469" w:lineRule="auto"/>
        <w:tabs>
          <w:tab w:leader="none" w:pos="1148" w:val="left"/>
        </w:tabs>
        <w:numPr>
          <w:ilvl w:val="1"/>
          <w:numId w:val="8"/>
        </w:numPr>
        <w:rPr>
          <w:rFonts w:ascii="Arial" w:cs="Arial" w:eastAsia="Arial" w:hAnsi="Arial"/>
          <w:sz w:val="18"/>
          <w:szCs w:val="18"/>
          <w:color w:val="auto"/>
        </w:rPr>
      </w:pPr>
      <w:r>
        <w:rPr>
          <w:rFonts w:ascii="Arial" w:cs="Arial" w:eastAsia="Arial" w:hAnsi="Arial"/>
          <w:sz w:val="18"/>
          <w:szCs w:val="18"/>
          <w:color w:val="auto"/>
        </w:rPr>
        <w:t>Certifications of Chief Executive Officer and Co-Chief Financial Officers pursuant to Section 906 of the Sarbanes- Oxley Act of 2002. * Constitutes a management contract or compensatory plan or arrangement.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-301625</wp:posOffset>
            </wp:positionV>
            <wp:extent cx="746125" cy="8890"/>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746125" cy="8890"/>
                    </a:xfrm>
                    <a:prstGeom prst="rect">
                      <a:avLst/>
                    </a:prstGeom>
                    <a:noFill/>
                  </pic:spPr>
                </pic:pic>
              </a:graphicData>
            </a:graphic>
          </wp:anchor>
        </w:drawing>
      </w:r>
    </w:p>
    <w:p>
      <w:pPr>
        <w:jc w:val="center"/>
        <w:ind w:right="-39"/>
        <w:spacing w:after="0"/>
        <w:rPr>
          <w:sz w:val="20"/>
          <w:szCs w:val="20"/>
          <w:color w:val="auto"/>
        </w:rPr>
      </w:pPr>
      <w:r>
        <w:rPr>
          <w:rFonts w:ascii="Arial" w:cs="Arial" w:eastAsia="Arial" w:hAnsi="Arial"/>
          <w:sz w:val="18"/>
          <w:szCs w:val="18"/>
          <w:color w:val="auto"/>
        </w:rPr>
        <w:t>30</w:t>
      </w:r>
    </w:p>
    <w:p>
      <w:pPr>
        <w:sectPr>
          <w:pgSz w:w="11900" w:h="16838" w:orient="portrait"/>
          <w:cols w:equalWidth="0" w:num="1">
            <w:col w:w="11380"/>
          </w:cols>
          <w:pgMar w:left="240" w:top="459" w:right="279" w:bottom="1440" w:gutter="0" w:footer="0" w:header="0"/>
        </w:sectPr>
      </w:pPr>
    </w:p>
    <w:bookmarkStart w:id="33" w:name="page34"/>
    <w:bookmarkEnd w:id="3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SIGNATURES</w:t>
      </w:r>
    </w:p>
    <w:p>
      <w:pPr>
        <w:spacing w:after="0" w:line="177" w:lineRule="exact"/>
        <w:rPr>
          <w:sz w:val="20"/>
          <w:szCs w:val="20"/>
          <w:color w:val="auto"/>
        </w:rPr>
      </w:pPr>
    </w:p>
    <w:p>
      <w:pPr>
        <w:ind w:right="240" w:firstLine="456"/>
        <w:spacing w:after="0" w:line="268" w:lineRule="auto"/>
        <w:rPr>
          <w:sz w:val="20"/>
          <w:szCs w:val="20"/>
          <w:color w:val="auto"/>
        </w:rPr>
      </w:pPr>
      <w:r>
        <w:rPr>
          <w:rFonts w:ascii="Arial" w:cs="Arial" w:eastAsia="Arial" w:hAnsi="Arial"/>
          <w:sz w:val="18"/>
          <w:szCs w:val="18"/>
          <w:color w:val="auto"/>
        </w:rPr>
        <w:t>Pursuant to the requirements of Section 13 or 15(d) of the Securities Exchange Act of 1934, the Registrant has duly caused this report to be signed on its behalf by the undersigned, thereunto duly authorized in Philadelphia, Pennsylvania on February 26, 2007.</w:t>
      </w:r>
    </w:p>
    <w:p>
      <w:pPr>
        <w:spacing w:after="0" w:line="172" w:lineRule="exact"/>
        <w:rPr>
          <w:sz w:val="20"/>
          <w:szCs w:val="20"/>
          <w:color w:val="auto"/>
        </w:rPr>
      </w:pPr>
    </w:p>
    <w:p>
      <w:pPr>
        <w:ind w:left="6860"/>
        <w:spacing w:after="0"/>
        <w:tabs>
          <w:tab w:leader="none" w:pos="8300" w:val="left"/>
          <w:tab w:leader="none" w:pos="8640" w:val="left"/>
        </w:tabs>
        <w:rPr>
          <w:sz w:val="20"/>
          <w:szCs w:val="20"/>
          <w:color w:val="auto"/>
        </w:rPr>
      </w:pPr>
      <w:r>
        <w:rPr>
          <w:rFonts w:ascii="Arial" w:cs="Arial" w:eastAsia="Arial" w:hAnsi="Arial"/>
          <w:sz w:val="18"/>
          <w:szCs w:val="18"/>
          <w:color w:val="auto"/>
        </w:rPr>
        <w:t>By:</w:t>
      </w:r>
      <w:r>
        <w:rPr>
          <w:sz w:val="20"/>
          <w:szCs w:val="20"/>
          <w:color w:val="auto"/>
        </w:rPr>
        <w:tab/>
      </w:r>
      <w:r>
        <w:rPr>
          <w:rFonts w:ascii="Arial" w:cs="Arial" w:eastAsia="Arial" w:hAnsi="Arial"/>
          <w:sz w:val="18"/>
          <w:szCs w:val="18"/>
          <w:color w:val="auto"/>
        </w:rPr>
        <w:t>/s/</w:t>
      </w:r>
      <w:r>
        <w:rPr>
          <w:sz w:val="20"/>
          <w:szCs w:val="20"/>
          <w:color w:val="auto"/>
        </w:rPr>
        <w:tab/>
      </w:r>
      <w:r>
        <w:rPr>
          <w:rFonts w:ascii="Arial" w:cs="Arial" w:eastAsia="Arial" w:hAnsi="Arial"/>
          <w:sz w:val="16"/>
          <w:szCs w:val="16"/>
          <w:color w:val="auto"/>
        </w:rPr>
        <w:t>B</w:t>
      </w:r>
      <w:r>
        <w:rPr>
          <w:rFonts w:ascii="Arial" w:cs="Arial" w:eastAsia="Arial" w:hAnsi="Arial"/>
          <w:sz w:val="13"/>
          <w:szCs w:val="13"/>
          <w:color w:val="auto"/>
        </w:rPr>
        <w:t>RIAN</w:t>
      </w:r>
      <w:r>
        <w:rPr>
          <w:rFonts w:ascii="Arial" w:cs="Arial" w:eastAsia="Arial" w:hAnsi="Arial"/>
          <w:sz w:val="16"/>
          <w:szCs w:val="16"/>
          <w:color w:val="auto"/>
        </w:rPr>
        <w:t xml:space="preserve"> L. R</w:t>
      </w:r>
      <w:r>
        <w:rPr>
          <w:rFonts w:ascii="Arial" w:cs="Arial" w:eastAsia="Arial" w:hAnsi="Arial"/>
          <w:sz w:val="13"/>
          <w:szCs w:val="13"/>
          <w:color w:val="auto"/>
        </w:rPr>
        <w:t>OBERTS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4558665</wp:posOffset>
            </wp:positionH>
            <wp:positionV relativeFrom="paragraph">
              <wp:posOffset>10795</wp:posOffset>
            </wp:positionV>
            <wp:extent cx="2693035" cy="8890"/>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2693035" cy="8890"/>
                    </a:xfrm>
                    <a:prstGeom prst="rect">
                      <a:avLst/>
                    </a:prstGeom>
                    <a:noFill/>
                  </pic:spPr>
                </pic:pic>
              </a:graphicData>
            </a:graphic>
          </wp:anchor>
        </w:drawing>
      </w:r>
    </w:p>
    <w:p>
      <w:pPr>
        <w:jc w:val="center"/>
        <w:ind w:left="7240"/>
        <w:spacing w:after="0"/>
        <w:rPr>
          <w:sz w:val="20"/>
          <w:szCs w:val="20"/>
          <w:color w:val="auto"/>
        </w:rPr>
      </w:pPr>
      <w:r>
        <w:rPr>
          <w:rFonts w:ascii="Arial" w:cs="Arial" w:eastAsia="Arial" w:hAnsi="Arial"/>
          <w:sz w:val="14"/>
          <w:szCs w:val="14"/>
          <w:b w:val="1"/>
          <w:bCs w:val="1"/>
          <w:color w:val="auto"/>
        </w:rPr>
        <w:t>Brian L. Roberts</w:t>
      </w:r>
    </w:p>
    <w:p>
      <w:pPr>
        <w:spacing w:after="0" w:line="6" w:lineRule="exact"/>
        <w:rPr>
          <w:sz w:val="20"/>
          <w:szCs w:val="20"/>
          <w:color w:val="auto"/>
        </w:rPr>
      </w:pPr>
    </w:p>
    <w:p>
      <w:pPr>
        <w:ind w:left="8600"/>
        <w:spacing w:after="0"/>
        <w:rPr>
          <w:sz w:val="20"/>
          <w:szCs w:val="20"/>
          <w:color w:val="auto"/>
        </w:rPr>
      </w:pPr>
      <w:r>
        <w:rPr>
          <w:rFonts w:ascii="Arial" w:cs="Arial" w:eastAsia="Arial" w:hAnsi="Arial"/>
          <w:sz w:val="18"/>
          <w:szCs w:val="18"/>
          <w:b w:val="1"/>
          <w:bCs w:val="1"/>
          <w:i w:val="1"/>
          <w:iCs w:val="1"/>
          <w:color w:val="auto"/>
        </w:rPr>
        <w:t>Chairman and CEO</w:t>
      </w:r>
    </w:p>
    <w:p>
      <w:pPr>
        <w:spacing w:after="0" w:line="157" w:lineRule="exact"/>
        <w:rPr>
          <w:sz w:val="20"/>
          <w:szCs w:val="20"/>
          <w:color w:val="auto"/>
        </w:rPr>
      </w:pPr>
    </w:p>
    <w:p>
      <w:pPr>
        <w:ind w:firstLine="456"/>
        <w:spacing w:after="0" w:line="268" w:lineRule="auto"/>
        <w:rPr>
          <w:sz w:val="20"/>
          <w:szCs w:val="20"/>
          <w:color w:val="auto"/>
        </w:rPr>
      </w:pPr>
      <w:r>
        <w:rPr>
          <w:rFonts w:ascii="Arial" w:cs="Arial" w:eastAsia="Arial" w:hAnsi="Arial"/>
          <w:sz w:val="18"/>
          <w:szCs w:val="18"/>
          <w:color w:val="auto"/>
        </w:rPr>
        <w:t>Pursuant to the requirements of the Securities Exchange Act of 1934, this report has been signed below by the following persons on behalf of the Registrant and in the capacities and on the dates indicated.</w:t>
      </w:r>
    </w:p>
    <w:p>
      <w:pPr>
        <w:spacing w:after="0" w:line="168"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1040" w:type="dxa"/>
            <w:vAlign w:val="bottom"/>
            <w:tcBorders>
              <w:bottom w:val="single" w:sz="8" w:color="auto"/>
            </w:tcBorders>
          </w:tcPr>
          <w:p>
            <w:pPr>
              <w:spacing w:after="0"/>
              <w:rPr>
                <w:sz w:val="14"/>
                <w:szCs w:val="14"/>
                <w:color w:val="auto"/>
              </w:rPr>
            </w:pPr>
          </w:p>
        </w:tc>
        <w:tc>
          <w:tcPr>
            <w:tcW w:w="240" w:type="dxa"/>
            <w:vAlign w:val="bottom"/>
            <w:tcBorders>
              <w:bottom w:val="single" w:sz="8" w:color="auto"/>
            </w:tcBorders>
          </w:tcPr>
          <w:p>
            <w:pPr>
              <w:spacing w:after="0"/>
              <w:rPr>
                <w:sz w:val="14"/>
                <w:szCs w:val="14"/>
                <w:color w:val="auto"/>
              </w:rPr>
            </w:pPr>
          </w:p>
        </w:tc>
        <w:tc>
          <w:tcPr>
            <w:tcW w:w="2840" w:type="dxa"/>
            <w:vAlign w:val="bottom"/>
            <w:tcBorders>
              <w:bottom w:val="single" w:sz="8" w:color="auto"/>
            </w:tcBorders>
          </w:tcPr>
          <w:p>
            <w:pPr>
              <w:jc w:val="center"/>
              <w:ind w:right="1204"/>
              <w:spacing w:after="0"/>
              <w:rPr>
                <w:sz w:val="20"/>
                <w:szCs w:val="20"/>
                <w:color w:val="auto"/>
              </w:rPr>
            </w:pPr>
            <w:r>
              <w:rPr>
                <w:rFonts w:ascii="Arial" w:cs="Arial" w:eastAsia="Arial" w:hAnsi="Arial"/>
                <w:sz w:val="14"/>
                <w:szCs w:val="14"/>
                <w:b w:val="1"/>
                <w:bCs w:val="1"/>
                <w:color w:val="auto"/>
                <w:w w:val="86"/>
              </w:rPr>
              <w:t>Signature</w:t>
            </w:r>
          </w:p>
        </w:tc>
        <w:tc>
          <w:tcPr>
            <w:tcW w:w="240" w:type="dxa"/>
            <w:vAlign w:val="bottom"/>
          </w:tcPr>
          <w:p>
            <w:pPr>
              <w:spacing w:after="0"/>
              <w:rPr>
                <w:sz w:val="14"/>
                <w:szCs w:val="14"/>
                <w:color w:val="auto"/>
              </w:rPr>
            </w:pPr>
          </w:p>
        </w:tc>
        <w:tc>
          <w:tcPr>
            <w:tcW w:w="446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90"/>
              </w:rPr>
              <w:t>Title</w:t>
            </w:r>
          </w:p>
        </w:tc>
        <w:tc>
          <w:tcPr>
            <w:tcW w:w="200" w:type="dxa"/>
            <w:vAlign w:val="bottom"/>
          </w:tcPr>
          <w:p>
            <w:pPr>
              <w:spacing w:after="0"/>
              <w:rPr>
                <w:sz w:val="14"/>
                <w:szCs w:val="14"/>
                <w:color w:val="auto"/>
              </w:rPr>
            </w:pPr>
          </w:p>
        </w:tc>
        <w:tc>
          <w:tcPr>
            <w:tcW w:w="240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92"/>
              </w:rPr>
              <w:t>Date</w:t>
            </w:r>
          </w:p>
        </w:tc>
      </w:tr>
      <w:tr>
        <w:trPr>
          <w:trHeight w:val="356"/>
        </w:trPr>
        <w:tc>
          <w:tcPr>
            <w:tcW w:w="1040" w:type="dxa"/>
            <w:vAlign w:val="bottom"/>
            <w:tcBorders>
              <w:bottom w:val="single" w:sz="8" w:color="auto"/>
            </w:tcBorders>
          </w:tcPr>
          <w:p>
            <w:pPr>
              <w:spacing w:after="0"/>
              <w:rPr>
                <w:sz w:val="24"/>
                <w:szCs w:val="24"/>
                <w:color w:val="auto"/>
              </w:rPr>
            </w:pPr>
          </w:p>
        </w:tc>
        <w:tc>
          <w:tcPr>
            <w:tcW w:w="240" w:type="dxa"/>
            <w:vAlign w:val="bottom"/>
            <w:tcBorders>
              <w:bottom w:val="single" w:sz="8" w:color="auto"/>
            </w:tcBorders>
          </w:tcPr>
          <w:p>
            <w:pPr>
              <w:ind w:left="20"/>
              <w:spacing w:after="0"/>
              <w:rPr>
                <w:sz w:val="20"/>
                <w:szCs w:val="20"/>
                <w:color w:val="auto"/>
              </w:rPr>
            </w:pPr>
            <w:r>
              <w:rPr>
                <w:rFonts w:ascii="Arial" w:cs="Arial" w:eastAsia="Arial" w:hAnsi="Arial"/>
                <w:sz w:val="18"/>
                <w:szCs w:val="18"/>
                <w:color w:val="auto"/>
              </w:rPr>
              <w:t>/s/</w:t>
            </w:r>
          </w:p>
        </w:tc>
        <w:tc>
          <w:tcPr>
            <w:tcW w:w="2840" w:type="dxa"/>
            <w:vAlign w:val="bottom"/>
            <w:tcBorders>
              <w:bottom w:val="single" w:sz="8" w:color="auto"/>
            </w:tcBorders>
          </w:tcPr>
          <w:p>
            <w:pPr>
              <w:jc w:val="center"/>
              <w:ind w:right="1144"/>
              <w:spacing w:after="0"/>
              <w:rPr>
                <w:sz w:val="20"/>
                <w:szCs w:val="20"/>
                <w:color w:val="auto"/>
              </w:rPr>
            </w:pPr>
            <w:r>
              <w:rPr>
                <w:rFonts w:ascii="Arial" w:cs="Arial" w:eastAsia="Arial" w:hAnsi="Arial"/>
                <w:sz w:val="18"/>
                <w:szCs w:val="18"/>
                <w:color w:val="auto"/>
                <w:w w:val="97"/>
              </w:rPr>
              <w:t>B</w:t>
            </w:r>
            <w:r>
              <w:rPr>
                <w:rFonts w:ascii="Arial" w:cs="Arial" w:eastAsia="Arial" w:hAnsi="Arial"/>
                <w:sz w:val="14"/>
                <w:szCs w:val="14"/>
                <w:color w:val="auto"/>
                <w:w w:val="97"/>
              </w:rPr>
              <w:t>RIAN</w:t>
            </w:r>
            <w:r>
              <w:rPr>
                <w:rFonts w:ascii="Arial" w:cs="Arial" w:eastAsia="Arial" w:hAnsi="Arial"/>
                <w:sz w:val="18"/>
                <w:szCs w:val="18"/>
                <w:color w:val="auto"/>
                <w:w w:val="97"/>
              </w:rPr>
              <w:t xml:space="preserve"> L. R</w:t>
            </w:r>
            <w:r>
              <w:rPr>
                <w:rFonts w:ascii="Arial" w:cs="Arial" w:eastAsia="Arial" w:hAnsi="Arial"/>
                <w:sz w:val="14"/>
                <w:szCs w:val="14"/>
                <w:color w:val="auto"/>
                <w:w w:val="97"/>
              </w:rPr>
              <w:t>OBERTS</w:t>
            </w:r>
          </w:p>
        </w:tc>
        <w:tc>
          <w:tcPr>
            <w:tcW w:w="240" w:type="dxa"/>
            <w:vAlign w:val="bottom"/>
          </w:tcPr>
          <w:p>
            <w:pPr>
              <w:spacing w:after="0"/>
              <w:rPr>
                <w:sz w:val="24"/>
                <w:szCs w:val="24"/>
                <w:color w:val="auto"/>
              </w:rPr>
            </w:pPr>
          </w:p>
        </w:tc>
        <w:tc>
          <w:tcPr>
            <w:tcW w:w="4460" w:type="dxa"/>
            <w:vAlign w:val="bottom"/>
          </w:tcPr>
          <w:p>
            <w:pPr>
              <w:jc w:val="center"/>
              <w:spacing w:after="0"/>
              <w:rPr>
                <w:sz w:val="20"/>
                <w:szCs w:val="20"/>
                <w:color w:val="auto"/>
              </w:rPr>
            </w:pPr>
            <w:r>
              <w:rPr>
                <w:rFonts w:ascii="Arial" w:cs="Arial" w:eastAsia="Arial" w:hAnsi="Arial"/>
                <w:sz w:val="18"/>
                <w:szCs w:val="18"/>
                <w:color w:val="auto"/>
                <w:w w:val="89"/>
              </w:rPr>
              <w:t>Chairman and CEO; Director</w:t>
            </w:r>
          </w:p>
        </w:tc>
        <w:tc>
          <w:tcPr>
            <w:tcW w:w="200" w:type="dxa"/>
            <w:vAlign w:val="bottom"/>
          </w:tcPr>
          <w:p>
            <w:pPr>
              <w:spacing w:after="0"/>
              <w:rPr>
                <w:sz w:val="24"/>
                <w:szCs w:val="24"/>
                <w:color w:val="auto"/>
              </w:rPr>
            </w:pPr>
          </w:p>
        </w:tc>
        <w:tc>
          <w:tcPr>
            <w:tcW w:w="2400" w:type="dxa"/>
            <w:vAlign w:val="bottom"/>
          </w:tcPr>
          <w:p>
            <w:pPr>
              <w:jc w:val="center"/>
              <w:spacing w:after="0"/>
              <w:rPr>
                <w:sz w:val="20"/>
                <w:szCs w:val="20"/>
                <w:color w:val="auto"/>
              </w:rPr>
            </w:pPr>
            <w:r>
              <w:rPr>
                <w:rFonts w:ascii="Arial" w:cs="Arial" w:eastAsia="Arial" w:hAnsi="Arial"/>
                <w:sz w:val="18"/>
                <w:szCs w:val="18"/>
                <w:color w:val="auto"/>
                <w:w w:val="88"/>
              </w:rPr>
              <w:t>February 26, 2007</w:t>
            </w:r>
          </w:p>
        </w:tc>
      </w:tr>
      <w:tr>
        <w:trPr>
          <w:trHeight w:val="202"/>
        </w:trPr>
        <w:tc>
          <w:tcPr>
            <w:tcW w:w="104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2840" w:type="dxa"/>
            <w:vAlign w:val="bottom"/>
          </w:tcPr>
          <w:p>
            <w:pPr>
              <w:jc w:val="center"/>
              <w:ind w:right="1184"/>
              <w:spacing w:after="0"/>
              <w:rPr>
                <w:sz w:val="20"/>
                <w:szCs w:val="20"/>
                <w:color w:val="auto"/>
              </w:rPr>
            </w:pPr>
            <w:r>
              <w:rPr>
                <w:rFonts w:ascii="Arial" w:cs="Arial" w:eastAsia="Arial" w:hAnsi="Arial"/>
                <w:sz w:val="14"/>
                <w:szCs w:val="14"/>
                <w:b w:val="1"/>
                <w:bCs w:val="1"/>
                <w:color w:val="auto"/>
                <w:w w:val="89"/>
              </w:rPr>
              <w:t>Brian L. Roberts</w:t>
            </w:r>
          </w:p>
        </w:tc>
        <w:tc>
          <w:tcPr>
            <w:tcW w:w="240" w:type="dxa"/>
            <w:vAlign w:val="bottom"/>
          </w:tcPr>
          <w:p>
            <w:pPr>
              <w:spacing w:after="0"/>
              <w:rPr>
                <w:sz w:val="17"/>
                <w:szCs w:val="17"/>
                <w:color w:val="auto"/>
              </w:rPr>
            </w:pPr>
          </w:p>
        </w:tc>
        <w:tc>
          <w:tcPr>
            <w:tcW w:w="4460" w:type="dxa"/>
            <w:vAlign w:val="bottom"/>
          </w:tcPr>
          <w:p>
            <w:pPr>
              <w:jc w:val="center"/>
              <w:spacing w:after="0" w:line="202" w:lineRule="exact"/>
              <w:rPr>
                <w:sz w:val="20"/>
                <w:szCs w:val="20"/>
                <w:color w:val="auto"/>
              </w:rPr>
            </w:pPr>
            <w:r>
              <w:rPr>
                <w:rFonts w:ascii="Arial" w:cs="Arial" w:eastAsia="Arial" w:hAnsi="Arial"/>
                <w:sz w:val="18"/>
                <w:szCs w:val="18"/>
                <w:color w:val="auto"/>
                <w:w w:val="91"/>
              </w:rPr>
              <w:t>(Principal Executive Officer)</w:t>
            </w:r>
          </w:p>
        </w:tc>
        <w:tc>
          <w:tcPr>
            <w:tcW w:w="200" w:type="dxa"/>
            <w:vAlign w:val="bottom"/>
          </w:tcPr>
          <w:p>
            <w:pPr>
              <w:spacing w:after="0"/>
              <w:rPr>
                <w:sz w:val="17"/>
                <w:szCs w:val="17"/>
                <w:color w:val="auto"/>
              </w:rPr>
            </w:pPr>
          </w:p>
        </w:tc>
        <w:tc>
          <w:tcPr>
            <w:tcW w:w="2400" w:type="dxa"/>
            <w:vAlign w:val="bottom"/>
          </w:tcPr>
          <w:p>
            <w:pPr>
              <w:spacing w:after="0"/>
              <w:rPr>
                <w:sz w:val="17"/>
                <w:szCs w:val="17"/>
                <w:color w:val="auto"/>
              </w:rPr>
            </w:pPr>
          </w:p>
        </w:tc>
      </w:tr>
      <w:tr>
        <w:trPr>
          <w:trHeight w:val="358"/>
        </w:trPr>
        <w:tc>
          <w:tcPr>
            <w:tcW w:w="1040" w:type="dxa"/>
            <w:vAlign w:val="bottom"/>
            <w:tcBorders>
              <w:bottom w:val="single" w:sz="8" w:color="auto"/>
            </w:tcBorders>
          </w:tcPr>
          <w:p>
            <w:pPr>
              <w:spacing w:after="0"/>
              <w:rPr>
                <w:sz w:val="24"/>
                <w:szCs w:val="24"/>
                <w:color w:val="auto"/>
              </w:rPr>
            </w:pPr>
          </w:p>
        </w:tc>
        <w:tc>
          <w:tcPr>
            <w:tcW w:w="240" w:type="dxa"/>
            <w:vAlign w:val="bottom"/>
            <w:tcBorders>
              <w:bottom w:val="single" w:sz="8" w:color="auto"/>
            </w:tcBorders>
          </w:tcPr>
          <w:p>
            <w:pPr>
              <w:ind w:left="20"/>
              <w:spacing w:after="0"/>
              <w:rPr>
                <w:sz w:val="20"/>
                <w:szCs w:val="20"/>
                <w:color w:val="auto"/>
              </w:rPr>
            </w:pPr>
            <w:r>
              <w:rPr>
                <w:rFonts w:ascii="Arial" w:cs="Arial" w:eastAsia="Arial" w:hAnsi="Arial"/>
                <w:sz w:val="18"/>
                <w:szCs w:val="18"/>
                <w:color w:val="auto"/>
              </w:rPr>
              <w:t>/s/</w:t>
            </w:r>
          </w:p>
        </w:tc>
        <w:tc>
          <w:tcPr>
            <w:tcW w:w="2840" w:type="dxa"/>
            <w:vAlign w:val="bottom"/>
            <w:tcBorders>
              <w:bottom w:val="single" w:sz="8" w:color="auto"/>
            </w:tcBorders>
          </w:tcPr>
          <w:p>
            <w:pPr>
              <w:jc w:val="center"/>
              <w:ind w:right="1144"/>
              <w:spacing w:after="0"/>
              <w:rPr>
                <w:sz w:val="20"/>
                <w:szCs w:val="20"/>
                <w:color w:val="auto"/>
              </w:rPr>
            </w:pPr>
            <w:r>
              <w:rPr>
                <w:rFonts w:ascii="Arial" w:cs="Arial" w:eastAsia="Arial" w:hAnsi="Arial"/>
                <w:sz w:val="18"/>
                <w:szCs w:val="18"/>
                <w:color w:val="auto"/>
                <w:w w:val="95"/>
              </w:rPr>
              <w:t>R</w:t>
            </w:r>
            <w:r>
              <w:rPr>
                <w:rFonts w:ascii="Arial" w:cs="Arial" w:eastAsia="Arial" w:hAnsi="Arial"/>
                <w:sz w:val="14"/>
                <w:szCs w:val="14"/>
                <w:color w:val="auto"/>
                <w:w w:val="95"/>
              </w:rPr>
              <w:t>ALPH</w:t>
            </w:r>
            <w:r>
              <w:rPr>
                <w:rFonts w:ascii="Arial" w:cs="Arial" w:eastAsia="Arial" w:hAnsi="Arial"/>
                <w:sz w:val="18"/>
                <w:szCs w:val="18"/>
                <w:color w:val="auto"/>
                <w:w w:val="95"/>
              </w:rPr>
              <w:t xml:space="preserve"> J. R</w:t>
            </w:r>
            <w:r>
              <w:rPr>
                <w:rFonts w:ascii="Arial" w:cs="Arial" w:eastAsia="Arial" w:hAnsi="Arial"/>
                <w:sz w:val="14"/>
                <w:szCs w:val="14"/>
                <w:color w:val="auto"/>
                <w:w w:val="95"/>
              </w:rPr>
              <w:t>OBERTS</w:t>
            </w:r>
          </w:p>
        </w:tc>
        <w:tc>
          <w:tcPr>
            <w:tcW w:w="240" w:type="dxa"/>
            <w:vAlign w:val="bottom"/>
          </w:tcPr>
          <w:p>
            <w:pPr>
              <w:spacing w:after="0"/>
              <w:rPr>
                <w:sz w:val="24"/>
                <w:szCs w:val="24"/>
                <w:color w:val="auto"/>
              </w:rPr>
            </w:pPr>
          </w:p>
        </w:tc>
        <w:tc>
          <w:tcPr>
            <w:tcW w:w="4460" w:type="dxa"/>
            <w:vAlign w:val="bottom"/>
          </w:tcPr>
          <w:p>
            <w:pPr>
              <w:jc w:val="center"/>
              <w:spacing w:after="0"/>
              <w:rPr>
                <w:sz w:val="20"/>
                <w:szCs w:val="20"/>
                <w:color w:val="auto"/>
              </w:rPr>
            </w:pPr>
            <w:r>
              <w:rPr>
                <w:rFonts w:ascii="Arial" w:cs="Arial" w:eastAsia="Arial" w:hAnsi="Arial"/>
                <w:sz w:val="18"/>
                <w:szCs w:val="18"/>
                <w:color w:val="auto"/>
                <w:w w:val="88"/>
              </w:rPr>
              <w:t>Chairman of the Executive and Finance Committee of the</w:t>
            </w:r>
          </w:p>
        </w:tc>
        <w:tc>
          <w:tcPr>
            <w:tcW w:w="200" w:type="dxa"/>
            <w:vAlign w:val="bottom"/>
          </w:tcPr>
          <w:p>
            <w:pPr>
              <w:spacing w:after="0"/>
              <w:rPr>
                <w:sz w:val="24"/>
                <w:szCs w:val="24"/>
                <w:color w:val="auto"/>
              </w:rPr>
            </w:pPr>
          </w:p>
        </w:tc>
        <w:tc>
          <w:tcPr>
            <w:tcW w:w="2400" w:type="dxa"/>
            <w:vAlign w:val="bottom"/>
          </w:tcPr>
          <w:p>
            <w:pPr>
              <w:jc w:val="center"/>
              <w:spacing w:after="0"/>
              <w:rPr>
                <w:sz w:val="20"/>
                <w:szCs w:val="20"/>
                <w:color w:val="auto"/>
              </w:rPr>
            </w:pPr>
            <w:r>
              <w:rPr>
                <w:rFonts w:ascii="Arial" w:cs="Arial" w:eastAsia="Arial" w:hAnsi="Arial"/>
                <w:sz w:val="18"/>
                <w:szCs w:val="18"/>
                <w:color w:val="auto"/>
                <w:w w:val="88"/>
              </w:rPr>
              <w:t>February 26, 2007</w:t>
            </w:r>
          </w:p>
        </w:tc>
      </w:tr>
      <w:tr>
        <w:trPr>
          <w:trHeight w:val="202"/>
        </w:trPr>
        <w:tc>
          <w:tcPr>
            <w:tcW w:w="104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2840" w:type="dxa"/>
            <w:vAlign w:val="bottom"/>
          </w:tcPr>
          <w:p>
            <w:pPr>
              <w:jc w:val="center"/>
              <w:ind w:right="1184"/>
              <w:spacing w:after="0"/>
              <w:rPr>
                <w:sz w:val="20"/>
                <w:szCs w:val="20"/>
                <w:color w:val="auto"/>
              </w:rPr>
            </w:pPr>
            <w:r>
              <w:rPr>
                <w:rFonts w:ascii="Arial" w:cs="Arial" w:eastAsia="Arial" w:hAnsi="Arial"/>
                <w:sz w:val="14"/>
                <w:szCs w:val="14"/>
                <w:b w:val="1"/>
                <w:bCs w:val="1"/>
                <w:color w:val="auto"/>
                <w:w w:val="88"/>
              </w:rPr>
              <w:t>Ralph J. Roberts</w:t>
            </w:r>
          </w:p>
        </w:tc>
        <w:tc>
          <w:tcPr>
            <w:tcW w:w="240" w:type="dxa"/>
            <w:vAlign w:val="bottom"/>
          </w:tcPr>
          <w:p>
            <w:pPr>
              <w:spacing w:after="0"/>
              <w:rPr>
                <w:sz w:val="17"/>
                <w:szCs w:val="17"/>
                <w:color w:val="auto"/>
              </w:rPr>
            </w:pPr>
          </w:p>
        </w:tc>
        <w:tc>
          <w:tcPr>
            <w:tcW w:w="4460" w:type="dxa"/>
            <w:vAlign w:val="bottom"/>
          </w:tcPr>
          <w:p>
            <w:pPr>
              <w:jc w:val="center"/>
              <w:spacing w:after="0" w:line="202" w:lineRule="exact"/>
              <w:rPr>
                <w:sz w:val="20"/>
                <w:szCs w:val="20"/>
                <w:color w:val="auto"/>
              </w:rPr>
            </w:pPr>
            <w:r>
              <w:rPr>
                <w:rFonts w:ascii="Arial" w:cs="Arial" w:eastAsia="Arial" w:hAnsi="Arial"/>
                <w:sz w:val="18"/>
                <w:szCs w:val="18"/>
                <w:color w:val="auto"/>
                <w:w w:val="91"/>
              </w:rPr>
              <w:t>Board of Directors; Director</w:t>
            </w:r>
          </w:p>
        </w:tc>
        <w:tc>
          <w:tcPr>
            <w:tcW w:w="200" w:type="dxa"/>
            <w:vAlign w:val="bottom"/>
          </w:tcPr>
          <w:p>
            <w:pPr>
              <w:spacing w:after="0"/>
              <w:rPr>
                <w:sz w:val="17"/>
                <w:szCs w:val="17"/>
                <w:color w:val="auto"/>
              </w:rPr>
            </w:pPr>
          </w:p>
        </w:tc>
        <w:tc>
          <w:tcPr>
            <w:tcW w:w="2400" w:type="dxa"/>
            <w:vAlign w:val="bottom"/>
          </w:tcPr>
          <w:p>
            <w:pPr>
              <w:spacing w:after="0"/>
              <w:rPr>
                <w:sz w:val="17"/>
                <w:szCs w:val="17"/>
                <w:color w:val="auto"/>
              </w:rPr>
            </w:pPr>
          </w:p>
        </w:tc>
      </w:tr>
      <w:tr>
        <w:trPr>
          <w:trHeight w:val="345"/>
        </w:trPr>
        <w:tc>
          <w:tcPr>
            <w:tcW w:w="1280" w:type="dxa"/>
            <w:vAlign w:val="bottom"/>
            <w:tcBorders>
              <w:bottom w:val="single" w:sz="8" w:color="auto"/>
            </w:tcBorders>
            <w:gridSpan w:val="2"/>
          </w:tcPr>
          <w:p>
            <w:pPr>
              <w:ind w:left="1000"/>
              <w:spacing w:after="0"/>
              <w:rPr>
                <w:sz w:val="20"/>
                <w:szCs w:val="20"/>
                <w:color w:val="auto"/>
              </w:rPr>
            </w:pPr>
            <w:r>
              <w:rPr>
                <w:rFonts w:ascii="Arial" w:cs="Arial" w:eastAsia="Arial" w:hAnsi="Arial"/>
                <w:sz w:val="18"/>
                <w:szCs w:val="18"/>
                <w:color w:val="auto"/>
              </w:rPr>
              <w:t>/s/</w:t>
            </w:r>
          </w:p>
        </w:tc>
        <w:tc>
          <w:tcPr>
            <w:tcW w:w="2840" w:type="dxa"/>
            <w:vAlign w:val="bottom"/>
            <w:tcBorders>
              <w:bottom w:val="single" w:sz="8" w:color="auto"/>
            </w:tcBorders>
          </w:tcPr>
          <w:p>
            <w:pPr>
              <w:jc w:val="center"/>
              <w:ind w:right="1144"/>
              <w:spacing w:after="0"/>
              <w:rPr>
                <w:sz w:val="20"/>
                <w:szCs w:val="20"/>
                <w:color w:val="auto"/>
              </w:rPr>
            </w:pPr>
            <w:r>
              <w:rPr>
                <w:rFonts w:ascii="Arial" w:cs="Arial" w:eastAsia="Arial" w:hAnsi="Arial"/>
                <w:sz w:val="18"/>
                <w:szCs w:val="18"/>
                <w:color w:val="auto"/>
              </w:rPr>
              <w:t>J</w:t>
            </w:r>
            <w:r>
              <w:rPr>
                <w:rFonts w:ascii="Arial" w:cs="Arial" w:eastAsia="Arial" w:hAnsi="Arial"/>
                <w:sz w:val="14"/>
                <w:szCs w:val="14"/>
                <w:color w:val="auto"/>
              </w:rPr>
              <w:t>ULIAN</w:t>
            </w:r>
            <w:r>
              <w:rPr>
                <w:rFonts w:ascii="Arial" w:cs="Arial" w:eastAsia="Arial" w:hAnsi="Arial"/>
                <w:sz w:val="18"/>
                <w:szCs w:val="18"/>
                <w:color w:val="auto"/>
              </w:rPr>
              <w:t xml:space="preserve"> A. B</w:t>
            </w:r>
            <w:r>
              <w:rPr>
                <w:rFonts w:ascii="Arial" w:cs="Arial" w:eastAsia="Arial" w:hAnsi="Arial"/>
                <w:sz w:val="14"/>
                <w:szCs w:val="14"/>
                <w:color w:val="auto"/>
              </w:rPr>
              <w:t>RODSKY</w:t>
            </w:r>
          </w:p>
        </w:tc>
        <w:tc>
          <w:tcPr>
            <w:tcW w:w="240" w:type="dxa"/>
            <w:vAlign w:val="bottom"/>
          </w:tcPr>
          <w:p>
            <w:pPr>
              <w:spacing w:after="0"/>
              <w:rPr>
                <w:sz w:val="24"/>
                <w:szCs w:val="24"/>
                <w:color w:val="auto"/>
              </w:rPr>
            </w:pPr>
          </w:p>
        </w:tc>
        <w:tc>
          <w:tcPr>
            <w:tcW w:w="4460" w:type="dxa"/>
            <w:vAlign w:val="bottom"/>
          </w:tcPr>
          <w:p>
            <w:pPr>
              <w:jc w:val="center"/>
              <w:spacing w:after="0"/>
              <w:rPr>
                <w:sz w:val="20"/>
                <w:szCs w:val="20"/>
                <w:color w:val="auto"/>
              </w:rPr>
            </w:pPr>
            <w:r>
              <w:rPr>
                <w:rFonts w:ascii="Arial" w:cs="Arial" w:eastAsia="Arial" w:hAnsi="Arial"/>
                <w:sz w:val="18"/>
                <w:szCs w:val="18"/>
                <w:color w:val="auto"/>
                <w:w w:val="90"/>
              </w:rPr>
              <w:t>Non-Executive Vice Chairman;</w:t>
            </w:r>
          </w:p>
        </w:tc>
        <w:tc>
          <w:tcPr>
            <w:tcW w:w="200" w:type="dxa"/>
            <w:vAlign w:val="bottom"/>
          </w:tcPr>
          <w:p>
            <w:pPr>
              <w:spacing w:after="0"/>
              <w:rPr>
                <w:sz w:val="24"/>
                <w:szCs w:val="24"/>
                <w:color w:val="auto"/>
              </w:rPr>
            </w:pPr>
          </w:p>
        </w:tc>
        <w:tc>
          <w:tcPr>
            <w:tcW w:w="2400" w:type="dxa"/>
            <w:vAlign w:val="bottom"/>
          </w:tcPr>
          <w:p>
            <w:pPr>
              <w:jc w:val="center"/>
              <w:spacing w:after="0"/>
              <w:rPr>
                <w:sz w:val="20"/>
                <w:szCs w:val="20"/>
                <w:color w:val="auto"/>
              </w:rPr>
            </w:pPr>
            <w:r>
              <w:rPr>
                <w:rFonts w:ascii="Arial" w:cs="Arial" w:eastAsia="Arial" w:hAnsi="Arial"/>
                <w:sz w:val="18"/>
                <w:szCs w:val="18"/>
                <w:color w:val="auto"/>
                <w:w w:val="88"/>
              </w:rPr>
              <w:t>February 26, 2007</w:t>
            </w:r>
          </w:p>
        </w:tc>
      </w:tr>
      <w:tr>
        <w:trPr>
          <w:trHeight w:val="202"/>
        </w:trPr>
        <w:tc>
          <w:tcPr>
            <w:tcW w:w="104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2840" w:type="dxa"/>
            <w:vAlign w:val="bottom"/>
          </w:tcPr>
          <w:p>
            <w:pPr>
              <w:jc w:val="center"/>
              <w:ind w:right="1204"/>
              <w:spacing w:after="0"/>
              <w:rPr>
                <w:sz w:val="20"/>
                <w:szCs w:val="20"/>
                <w:color w:val="auto"/>
              </w:rPr>
            </w:pPr>
            <w:r>
              <w:rPr>
                <w:rFonts w:ascii="Arial" w:cs="Arial" w:eastAsia="Arial" w:hAnsi="Arial"/>
                <w:sz w:val="14"/>
                <w:szCs w:val="14"/>
                <w:b w:val="1"/>
                <w:bCs w:val="1"/>
                <w:color w:val="auto"/>
                <w:w w:val="87"/>
              </w:rPr>
              <w:t>Julian A. Brodsky</w:t>
            </w:r>
          </w:p>
        </w:tc>
        <w:tc>
          <w:tcPr>
            <w:tcW w:w="240" w:type="dxa"/>
            <w:vAlign w:val="bottom"/>
          </w:tcPr>
          <w:p>
            <w:pPr>
              <w:spacing w:after="0"/>
              <w:rPr>
                <w:sz w:val="17"/>
                <w:szCs w:val="17"/>
                <w:color w:val="auto"/>
              </w:rPr>
            </w:pPr>
          </w:p>
        </w:tc>
        <w:tc>
          <w:tcPr>
            <w:tcW w:w="4460" w:type="dxa"/>
            <w:vAlign w:val="bottom"/>
          </w:tcPr>
          <w:p>
            <w:pPr>
              <w:jc w:val="center"/>
              <w:spacing w:after="0" w:line="202" w:lineRule="exact"/>
              <w:rPr>
                <w:sz w:val="20"/>
                <w:szCs w:val="20"/>
                <w:color w:val="auto"/>
              </w:rPr>
            </w:pPr>
            <w:r>
              <w:rPr>
                <w:rFonts w:ascii="Arial" w:cs="Arial" w:eastAsia="Arial" w:hAnsi="Arial"/>
                <w:sz w:val="18"/>
                <w:szCs w:val="18"/>
                <w:color w:val="auto"/>
                <w:w w:val="91"/>
              </w:rPr>
              <w:t>Director</w:t>
            </w:r>
          </w:p>
        </w:tc>
        <w:tc>
          <w:tcPr>
            <w:tcW w:w="200" w:type="dxa"/>
            <w:vAlign w:val="bottom"/>
          </w:tcPr>
          <w:p>
            <w:pPr>
              <w:spacing w:after="0"/>
              <w:rPr>
                <w:sz w:val="17"/>
                <w:szCs w:val="17"/>
                <w:color w:val="auto"/>
              </w:rPr>
            </w:pPr>
          </w:p>
        </w:tc>
        <w:tc>
          <w:tcPr>
            <w:tcW w:w="2400" w:type="dxa"/>
            <w:vAlign w:val="bottom"/>
          </w:tcPr>
          <w:p>
            <w:pPr>
              <w:spacing w:after="0"/>
              <w:rPr>
                <w:sz w:val="17"/>
                <w:szCs w:val="17"/>
                <w:color w:val="auto"/>
              </w:rPr>
            </w:pPr>
          </w:p>
        </w:tc>
      </w:tr>
      <w:tr>
        <w:trPr>
          <w:trHeight w:val="358"/>
        </w:trPr>
        <w:tc>
          <w:tcPr>
            <w:tcW w:w="1280" w:type="dxa"/>
            <w:vAlign w:val="bottom"/>
            <w:tcBorders>
              <w:bottom w:val="single" w:sz="8" w:color="auto"/>
            </w:tcBorders>
            <w:gridSpan w:val="2"/>
          </w:tcPr>
          <w:p>
            <w:pPr>
              <w:ind w:left="1000"/>
              <w:spacing w:after="0"/>
              <w:rPr>
                <w:sz w:val="20"/>
                <w:szCs w:val="20"/>
                <w:color w:val="auto"/>
              </w:rPr>
            </w:pPr>
            <w:r>
              <w:rPr>
                <w:rFonts w:ascii="Arial" w:cs="Arial" w:eastAsia="Arial" w:hAnsi="Arial"/>
                <w:sz w:val="18"/>
                <w:szCs w:val="18"/>
                <w:color w:val="auto"/>
              </w:rPr>
              <w:t>/s/</w:t>
            </w:r>
          </w:p>
        </w:tc>
        <w:tc>
          <w:tcPr>
            <w:tcW w:w="2840" w:type="dxa"/>
            <w:vAlign w:val="bottom"/>
            <w:tcBorders>
              <w:bottom w:val="single" w:sz="8" w:color="auto"/>
            </w:tcBorders>
          </w:tcPr>
          <w:p>
            <w:pPr>
              <w:jc w:val="center"/>
              <w:ind w:right="1124"/>
              <w:spacing w:after="0"/>
              <w:rPr>
                <w:sz w:val="20"/>
                <w:szCs w:val="20"/>
                <w:color w:val="auto"/>
              </w:rPr>
            </w:pPr>
            <w:r>
              <w:rPr>
                <w:rFonts w:ascii="Arial" w:cs="Arial" w:eastAsia="Arial" w:hAnsi="Arial"/>
                <w:sz w:val="18"/>
                <w:szCs w:val="18"/>
                <w:color w:val="auto"/>
                <w:w w:val="98"/>
              </w:rPr>
              <w:t>L</w:t>
            </w:r>
            <w:r>
              <w:rPr>
                <w:rFonts w:ascii="Arial" w:cs="Arial" w:eastAsia="Arial" w:hAnsi="Arial"/>
                <w:sz w:val="14"/>
                <w:szCs w:val="14"/>
                <w:color w:val="auto"/>
                <w:w w:val="98"/>
              </w:rPr>
              <w:t>AWRENCE</w:t>
            </w:r>
            <w:r>
              <w:rPr>
                <w:rFonts w:ascii="Arial" w:cs="Arial" w:eastAsia="Arial" w:hAnsi="Arial"/>
                <w:sz w:val="18"/>
                <w:szCs w:val="18"/>
                <w:color w:val="auto"/>
                <w:w w:val="98"/>
              </w:rPr>
              <w:t xml:space="preserve"> S. S</w:t>
            </w:r>
            <w:r>
              <w:rPr>
                <w:rFonts w:ascii="Arial" w:cs="Arial" w:eastAsia="Arial" w:hAnsi="Arial"/>
                <w:sz w:val="14"/>
                <w:szCs w:val="14"/>
                <w:color w:val="auto"/>
                <w:w w:val="98"/>
              </w:rPr>
              <w:t>MITH</w:t>
            </w:r>
          </w:p>
        </w:tc>
        <w:tc>
          <w:tcPr>
            <w:tcW w:w="240" w:type="dxa"/>
            <w:vAlign w:val="bottom"/>
          </w:tcPr>
          <w:p>
            <w:pPr>
              <w:spacing w:after="0"/>
              <w:rPr>
                <w:sz w:val="24"/>
                <w:szCs w:val="24"/>
                <w:color w:val="auto"/>
              </w:rPr>
            </w:pPr>
          </w:p>
        </w:tc>
        <w:tc>
          <w:tcPr>
            <w:tcW w:w="4460" w:type="dxa"/>
            <w:vAlign w:val="bottom"/>
          </w:tcPr>
          <w:p>
            <w:pPr>
              <w:jc w:val="center"/>
              <w:spacing w:after="0"/>
              <w:rPr>
                <w:sz w:val="20"/>
                <w:szCs w:val="20"/>
                <w:color w:val="auto"/>
              </w:rPr>
            </w:pPr>
            <w:r>
              <w:rPr>
                <w:rFonts w:ascii="Arial" w:cs="Arial" w:eastAsia="Arial" w:hAnsi="Arial"/>
                <w:sz w:val="18"/>
                <w:szCs w:val="18"/>
                <w:color w:val="auto"/>
                <w:w w:val="88"/>
              </w:rPr>
              <w:t>Executive Vice President</w:t>
            </w:r>
          </w:p>
        </w:tc>
        <w:tc>
          <w:tcPr>
            <w:tcW w:w="200" w:type="dxa"/>
            <w:vAlign w:val="bottom"/>
          </w:tcPr>
          <w:p>
            <w:pPr>
              <w:spacing w:after="0"/>
              <w:rPr>
                <w:sz w:val="24"/>
                <w:szCs w:val="24"/>
                <w:color w:val="auto"/>
              </w:rPr>
            </w:pPr>
          </w:p>
        </w:tc>
        <w:tc>
          <w:tcPr>
            <w:tcW w:w="2400" w:type="dxa"/>
            <w:vAlign w:val="bottom"/>
          </w:tcPr>
          <w:p>
            <w:pPr>
              <w:jc w:val="center"/>
              <w:spacing w:after="0"/>
              <w:rPr>
                <w:sz w:val="20"/>
                <w:szCs w:val="20"/>
                <w:color w:val="auto"/>
              </w:rPr>
            </w:pPr>
            <w:r>
              <w:rPr>
                <w:rFonts w:ascii="Arial" w:cs="Arial" w:eastAsia="Arial" w:hAnsi="Arial"/>
                <w:sz w:val="18"/>
                <w:szCs w:val="18"/>
                <w:color w:val="auto"/>
                <w:w w:val="88"/>
              </w:rPr>
              <w:t>February 26, 2007</w:t>
            </w:r>
          </w:p>
        </w:tc>
      </w:tr>
      <w:tr>
        <w:trPr>
          <w:trHeight w:val="202"/>
        </w:trPr>
        <w:tc>
          <w:tcPr>
            <w:tcW w:w="104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2840" w:type="dxa"/>
            <w:vAlign w:val="bottom"/>
          </w:tcPr>
          <w:p>
            <w:pPr>
              <w:jc w:val="center"/>
              <w:ind w:right="1184"/>
              <w:spacing w:after="0"/>
              <w:rPr>
                <w:sz w:val="20"/>
                <w:szCs w:val="20"/>
                <w:color w:val="auto"/>
              </w:rPr>
            </w:pPr>
            <w:r>
              <w:rPr>
                <w:rFonts w:ascii="Arial" w:cs="Arial" w:eastAsia="Arial" w:hAnsi="Arial"/>
                <w:sz w:val="14"/>
                <w:szCs w:val="14"/>
                <w:b w:val="1"/>
                <w:bCs w:val="1"/>
                <w:color w:val="auto"/>
                <w:w w:val="88"/>
              </w:rPr>
              <w:t>Lawrence S. Smith</w:t>
            </w:r>
          </w:p>
        </w:tc>
        <w:tc>
          <w:tcPr>
            <w:tcW w:w="240" w:type="dxa"/>
            <w:vAlign w:val="bottom"/>
          </w:tcPr>
          <w:p>
            <w:pPr>
              <w:spacing w:after="0"/>
              <w:rPr>
                <w:sz w:val="17"/>
                <w:szCs w:val="17"/>
                <w:color w:val="auto"/>
              </w:rPr>
            </w:pPr>
          </w:p>
        </w:tc>
        <w:tc>
          <w:tcPr>
            <w:tcW w:w="4460" w:type="dxa"/>
            <w:vAlign w:val="bottom"/>
          </w:tcPr>
          <w:p>
            <w:pPr>
              <w:jc w:val="center"/>
              <w:spacing w:after="0" w:line="202" w:lineRule="exact"/>
              <w:rPr>
                <w:sz w:val="20"/>
                <w:szCs w:val="20"/>
                <w:color w:val="auto"/>
              </w:rPr>
            </w:pPr>
            <w:r>
              <w:rPr>
                <w:rFonts w:ascii="Arial" w:cs="Arial" w:eastAsia="Arial" w:hAnsi="Arial"/>
                <w:sz w:val="18"/>
                <w:szCs w:val="18"/>
                <w:color w:val="auto"/>
                <w:w w:val="92"/>
              </w:rPr>
              <w:t>(Co-Principal Financial Officer)</w:t>
            </w:r>
          </w:p>
        </w:tc>
        <w:tc>
          <w:tcPr>
            <w:tcW w:w="200" w:type="dxa"/>
            <w:vAlign w:val="bottom"/>
          </w:tcPr>
          <w:p>
            <w:pPr>
              <w:spacing w:after="0"/>
              <w:rPr>
                <w:sz w:val="17"/>
                <w:szCs w:val="17"/>
                <w:color w:val="auto"/>
              </w:rPr>
            </w:pPr>
          </w:p>
        </w:tc>
        <w:tc>
          <w:tcPr>
            <w:tcW w:w="2400" w:type="dxa"/>
            <w:vAlign w:val="bottom"/>
          </w:tcPr>
          <w:p>
            <w:pPr>
              <w:spacing w:after="0"/>
              <w:rPr>
                <w:sz w:val="17"/>
                <w:szCs w:val="17"/>
                <w:color w:val="auto"/>
              </w:rPr>
            </w:pPr>
          </w:p>
        </w:tc>
      </w:tr>
      <w:tr>
        <w:trPr>
          <w:trHeight w:val="358"/>
        </w:trPr>
        <w:tc>
          <w:tcPr>
            <w:tcW w:w="1040" w:type="dxa"/>
            <w:vAlign w:val="bottom"/>
            <w:tcBorders>
              <w:bottom w:val="single" w:sz="8" w:color="auto"/>
            </w:tcBorders>
          </w:tcPr>
          <w:p>
            <w:pPr>
              <w:spacing w:after="0"/>
              <w:rPr>
                <w:sz w:val="24"/>
                <w:szCs w:val="24"/>
                <w:color w:val="auto"/>
              </w:rPr>
            </w:pPr>
          </w:p>
        </w:tc>
        <w:tc>
          <w:tcPr>
            <w:tcW w:w="3080" w:type="dxa"/>
            <w:vAlign w:val="bottom"/>
            <w:tcBorders>
              <w:bottom w:val="single" w:sz="8" w:color="auto"/>
            </w:tcBorders>
            <w:gridSpan w:val="2"/>
          </w:tcPr>
          <w:p>
            <w:pPr>
              <w:ind w:left="120"/>
              <w:spacing w:after="0"/>
              <w:rPr>
                <w:sz w:val="20"/>
                <w:szCs w:val="20"/>
                <w:color w:val="auto"/>
              </w:rPr>
            </w:pPr>
            <w:r>
              <w:rPr>
                <w:rFonts w:ascii="Arial" w:cs="Arial" w:eastAsia="Arial" w:hAnsi="Arial"/>
                <w:sz w:val="18"/>
                <w:szCs w:val="18"/>
                <w:color w:val="auto"/>
              </w:rPr>
              <w:t>/s/  J</w:t>
            </w:r>
            <w:r>
              <w:rPr>
                <w:rFonts w:ascii="Arial" w:cs="Arial" w:eastAsia="Arial" w:hAnsi="Arial"/>
                <w:sz w:val="14"/>
                <w:szCs w:val="14"/>
                <w:color w:val="auto"/>
              </w:rPr>
              <w:t>OHN</w:t>
            </w:r>
            <w:r>
              <w:rPr>
                <w:rFonts w:ascii="Arial" w:cs="Arial" w:eastAsia="Arial" w:hAnsi="Arial"/>
                <w:sz w:val="18"/>
                <w:szCs w:val="18"/>
                <w:color w:val="auto"/>
              </w:rPr>
              <w:t xml:space="preserve"> R. A</w:t>
            </w:r>
            <w:r>
              <w:rPr>
                <w:rFonts w:ascii="Arial" w:cs="Arial" w:eastAsia="Arial" w:hAnsi="Arial"/>
                <w:sz w:val="14"/>
                <w:szCs w:val="14"/>
                <w:color w:val="auto"/>
              </w:rPr>
              <w:t>LCHIN</w:t>
            </w:r>
          </w:p>
        </w:tc>
        <w:tc>
          <w:tcPr>
            <w:tcW w:w="240" w:type="dxa"/>
            <w:vAlign w:val="bottom"/>
          </w:tcPr>
          <w:p>
            <w:pPr>
              <w:spacing w:after="0"/>
              <w:rPr>
                <w:sz w:val="24"/>
                <w:szCs w:val="24"/>
                <w:color w:val="auto"/>
              </w:rPr>
            </w:pPr>
          </w:p>
        </w:tc>
        <w:tc>
          <w:tcPr>
            <w:tcW w:w="4460" w:type="dxa"/>
            <w:vAlign w:val="bottom"/>
          </w:tcPr>
          <w:p>
            <w:pPr>
              <w:jc w:val="center"/>
              <w:spacing w:after="0"/>
              <w:rPr>
                <w:sz w:val="20"/>
                <w:szCs w:val="20"/>
                <w:color w:val="auto"/>
              </w:rPr>
            </w:pPr>
            <w:r>
              <w:rPr>
                <w:rFonts w:ascii="Arial" w:cs="Arial" w:eastAsia="Arial" w:hAnsi="Arial"/>
                <w:sz w:val="18"/>
                <w:szCs w:val="18"/>
                <w:color w:val="auto"/>
                <w:w w:val="87"/>
              </w:rPr>
              <w:t>Executive Vice President and Treasurer</w:t>
            </w:r>
          </w:p>
        </w:tc>
        <w:tc>
          <w:tcPr>
            <w:tcW w:w="200" w:type="dxa"/>
            <w:vAlign w:val="bottom"/>
          </w:tcPr>
          <w:p>
            <w:pPr>
              <w:spacing w:after="0"/>
              <w:rPr>
                <w:sz w:val="24"/>
                <w:szCs w:val="24"/>
                <w:color w:val="auto"/>
              </w:rPr>
            </w:pPr>
          </w:p>
        </w:tc>
        <w:tc>
          <w:tcPr>
            <w:tcW w:w="2400" w:type="dxa"/>
            <w:vAlign w:val="bottom"/>
          </w:tcPr>
          <w:p>
            <w:pPr>
              <w:jc w:val="center"/>
              <w:spacing w:after="0"/>
              <w:rPr>
                <w:sz w:val="20"/>
                <w:szCs w:val="20"/>
                <w:color w:val="auto"/>
              </w:rPr>
            </w:pPr>
            <w:r>
              <w:rPr>
                <w:rFonts w:ascii="Arial" w:cs="Arial" w:eastAsia="Arial" w:hAnsi="Arial"/>
                <w:sz w:val="18"/>
                <w:szCs w:val="18"/>
                <w:color w:val="auto"/>
                <w:w w:val="88"/>
              </w:rPr>
              <w:t>February 26, 2007</w:t>
            </w:r>
          </w:p>
        </w:tc>
      </w:tr>
      <w:tr>
        <w:trPr>
          <w:trHeight w:val="202"/>
        </w:trPr>
        <w:tc>
          <w:tcPr>
            <w:tcW w:w="104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2840" w:type="dxa"/>
            <w:vAlign w:val="bottom"/>
          </w:tcPr>
          <w:p>
            <w:pPr>
              <w:jc w:val="center"/>
              <w:ind w:right="1184"/>
              <w:spacing w:after="0"/>
              <w:rPr>
                <w:sz w:val="20"/>
                <w:szCs w:val="20"/>
                <w:color w:val="auto"/>
              </w:rPr>
            </w:pPr>
            <w:r>
              <w:rPr>
                <w:rFonts w:ascii="Arial" w:cs="Arial" w:eastAsia="Arial" w:hAnsi="Arial"/>
                <w:sz w:val="14"/>
                <w:szCs w:val="14"/>
                <w:b w:val="1"/>
                <w:bCs w:val="1"/>
                <w:color w:val="auto"/>
                <w:w w:val="87"/>
              </w:rPr>
              <w:t>John R. Alchin</w:t>
            </w:r>
          </w:p>
        </w:tc>
        <w:tc>
          <w:tcPr>
            <w:tcW w:w="240" w:type="dxa"/>
            <w:vAlign w:val="bottom"/>
          </w:tcPr>
          <w:p>
            <w:pPr>
              <w:spacing w:after="0"/>
              <w:rPr>
                <w:sz w:val="17"/>
                <w:szCs w:val="17"/>
                <w:color w:val="auto"/>
              </w:rPr>
            </w:pPr>
          </w:p>
        </w:tc>
        <w:tc>
          <w:tcPr>
            <w:tcW w:w="4460" w:type="dxa"/>
            <w:vAlign w:val="bottom"/>
          </w:tcPr>
          <w:p>
            <w:pPr>
              <w:jc w:val="center"/>
              <w:spacing w:after="0" w:line="202" w:lineRule="exact"/>
              <w:rPr>
                <w:sz w:val="20"/>
                <w:szCs w:val="20"/>
                <w:color w:val="auto"/>
              </w:rPr>
            </w:pPr>
            <w:r>
              <w:rPr>
                <w:rFonts w:ascii="Arial" w:cs="Arial" w:eastAsia="Arial" w:hAnsi="Arial"/>
                <w:sz w:val="18"/>
                <w:szCs w:val="18"/>
                <w:color w:val="auto"/>
                <w:w w:val="92"/>
              </w:rPr>
              <w:t>(Co-Principal Financial Officer)</w:t>
            </w:r>
          </w:p>
        </w:tc>
        <w:tc>
          <w:tcPr>
            <w:tcW w:w="200" w:type="dxa"/>
            <w:vAlign w:val="bottom"/>
          </w:tcPr>
          <w:p>
            <w:pPr>
              <w:spacing w:after="0"/>
              <w:rPr>
                <w:sz w:val="17"/>
                <w:szCs w:val="17"/>
                <w:color w:val="auto"/>
              </w:rPr>
            </w:pPr>
          </w:p>
        </w:tc>
        <w:tc>
          <w:tcPr>
            <w:tcW w:w="2400" w:type="dxa"/>
            <w:vAlign w:val="bottom"/>
          </w:tcPr>
          <w:p>
            <w:pPr>
              <w:spacing w:after="0"/>
              <w:rPr>
                <w:sz w:val="17"/>
                <w:szCs w:val="17"/>
                <w:color w:val="auto"/>
              </w:rPr>
            </w:pPr>
          </w:p>
        </w:tc>
      </w:tr>
      <w:tr>
        <w:trPr>
          <w:trHeight w:val="358"/>
        </w:trPr>
        <w:tc>
          <w:tcPr>
            <w:tcW w:w="1280" w:type="dxa"/>
            <w:vAlign w:val="bottom"/>
            <w:tcBorders>
              <w:bottom w:val="single" w:sz="8" w:color="auto"/>
            </w:tcBorders>
            <w:gridSpan w:val="2"/>
          </w:tcPr>
          <w:p>
            <w:pPr>
              <w:ind w:left="1000"/>
              <w:spacing w:after="0"/>
              <w:rPr>
                <w:sz w:val="20"/>
                <w:szCs w:val="20"/>
                <w:color w:val="auto"/>
              </w:rPr>
            </w:pPr>
            <w:r>
              <w:rPr>
                <w:rFonts w:ascii="Arial" w:cs="Arial" w:eastAsia="Arial" w:hAnsi="Arial"/>
                <w:sz w:val="18"/>
                <w:szCs w:val="18"/>
                <w:color w:val="auto"/>
              </w:rPr>
              <w:t>/s/</w:t>
            </w:r>
          </w:p>
        </w:tc>
        <w:tc>
          <w:tcPr>
            <w:tcW w:w="2840" w:type="dxa"/>
            <w:vAlign w:val="bottom"/>
            <w:tcBorders>
              <w:bottom w:val="single" w:sz="8" w:color="auto"/>
            </w:tcBorders>
          </w:tcPr>
          <w:p>
            <w:pPr>
              <w:jc w:val="center"/>
              <w:ind w:right="1124"/>
              <w:spacing w:after="0"/>
              <w:rPr>
                <w:sz w:val="20"/>
                <w:szCs w:val="20"/>
                <w:color w:val="auto"/>
              </w:rPr>
            </w:pPr>
            <w:r>
              <w:rPr>
                <w:rFonts w:ascii="Arial" w:cs="Arial" w:eastAsia="Arial" w:hAnsi="Arial"/>
                <w:sz w:val="18"/>
                <w:szCs w:val="18"/>
                <w:color w:val="auto"/>
                <w:w w:val="96"/>
              </w:rPr>
              <w:t>L</w:t>
            </w:r>
            <w:r>
              <w:rPr>
                <w:rFonts w:ascii="Arial" w:cs="Arial" w:eastAsia="Arial" w:hAnsi="Arial"/>
                <w:sz w:val="14"/>
                <w:szCs w:val="14"/>
                <w:color w:val="auto"/>
                <w:w w:val="96"/>
              </w:rPr>
              <w:t>AWRENCE</w:t>
            </w:r>
            <w:r>
              <w:rPr>
                <w:rFonts w:ascii="Arial" w:cs="Arial" w:eastAsia="Arial" w:hAnsi="Arial"/>
                <w:sz w:val="18"/>
                <w:szCs w:val="18"/>
                <w:color w:val="auto"/>
                <w:w w:val="96"/>
              </w:rPr>
              <w:t xml:space="preserve"> J. S</w:t>
            </w:r>
            <w:r>
              <w:rPr>
                <w:rFonts w:ascii="Arial" w:cs="Arial" w:eastAsia="Arial" w:hAnsi="Arial"/>
                <w:sz w:val="14"/>
                <w:szCs w:val="14"/>
                <w:color w:val="auto"/>
                <w:w w:val="96"/>
              </w:rPr>
              <w:t>ALVA</w:t>
            </w:r>
          </w:p>
        </w:tc>
        <w:tc>
          <w:tcPr>
            <w:tcW w:w="240" w:type="dxa"/>
            <w:vAlign w:val="bottom"/>
          </w:tcPr>
          <w:p>
            <w:pPr>
              <w:spacing w:after="0"/>
              <w:rPr>
                <w:sz w:val="24"/>
                <w:szCs w:val="24"/>
                <w:color w:val="auto"/>
              </w:rPr>
            </w:pPr>
          </w:p>
        </w:tc>
        <w:tc>
          <w:tcPr>
            <w:tcW w:w="4460" w:type="dxa"/>
            <w:vAlign w:val="bottom"/>
          </w:tcPr>
          <w:p>
            <w:pPr>
              <w:jc w:val="center"/>
              <w:spacing w:after="0"/>
              <w:rPr>
                <w:sz w:val="20"/>
                <w:szCs w:val="20"/>
                <w:color w:val="auto"/>
              </w:rPr>
            </w:pPr>
            <w:r>
              <w:rPr>
                <w:rFonts w:ascii="Arial" w:cs="Arial" w:eastAsia="Arial" w:hAnsi="Arial"/>
                <w:sz w:val="18"/>
                <w:szCs w:val="18"/>
                <w:color w:val="auto"/>
                <w:w w:val="89"/>
              </w:rPr>
              <w:t>Senior Vice President, Chief Accounting Officer and</w:t>
            </w:r>
          </w:p>
        </w:tc>
        <w:tc>
          <w:tcPr>
            <w:tcW w:w="200" w:type="dxa"/>
            <w:vAlign w:val="bottom"/>
          </w:tcPr>
          <w:p>
            <w:pPr>
              <w:spacing w:after="0"/>
              <w:rPr>
                <w:sz w:val="24"/>
                <w:szCs w:val="24"/>
                <w:color w:val="auto"/>
              </w:rPr>
            </w:pPr>
          </w:p>
        </w:tc>
        <w:tc>
          <w:tcPr>
            <w:tcW w:w="2400" w:type="dxa"/>
            <w:vAlign w:val="bottom"/>
          </w:tcPr>
          <w:p>
            <w:pPr>
              <w:jc w:val="center"/>
              <w:spacing w:after="0"/>
              <w:rPr>
                <w:sz w:val="20"/>
                <w:szCs w:val="20"/>
                <w:color w:val="auto"/>
              </w:rPr>
            </w:pPr>
            <w:r>
              <w:rPr>
                <w:rFonts w:ascii="Arial" w:cs="Arial" w:eastAsia="Arial" w:hAnsi="Arial"/>
                <w:sz w:val="18"/>
                <w:szCs w:val="18"/>
                <w:color w:val="auto"/>
                <w:w w:val="88"/>
              </w:rPr>
              <w:t>February 26, 2007</w:t>
            </w:r>
          </w:p>
        </w:tc>
      </w:tr>
      <w:tr>
        <w:trPr>
          <w:trHeight w:val="190"/>
        </w:trPr>
        <w:tc>
          <w:tcPr>
            <w:tcW w:w="104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2840" w:type="dxa"/>
            <w:vAlign w:val="bottom"/>
          </w:tcPr>
          <w:p>
            <w:pPr>
              <w:jc w:val="center"/>
              <w:ind w:right="1184"/>
              <w:spacing w:after="0"/>
              <w:rPr>
                <w:sz w:val="20"/>
                <w:szCs w:val="20"/>
                <w:color w:val="auto"/>
              </w:rPr>
            </w:pPr>
            <w:r>
              <w:rPr>
                <w:rFonts w:ascii="Arial" w:cs="Arial" w:eastAsia="Arial" w:hAnsi="Arial"/>
                <w:sz w:val="14"/>
                <w:szCs w:val="14"/>
                <w:b w:val="1"/>
                <w:bCs w:val="1"/>
                <w:color w:val="auto"/>
                <w:w w:val="87"/>
              </w:rPr>
              <w:t>Lawrence J. Salva</w:t>
            </w:r>
          </w:p>
        </w:tc>
        <w:tc>
          <w:tcPr>
            <w:tcW w:w="240" w:type="dxa"/>
            <w:vAlign w:val="bottom"/>
          </w:tcPr>
          <w:p>
            <w:pPr>
              <w:spacing w:after="0"/>
              <w:rPr>
                <w:sz w:val="16"/>
                <w:szCs w:val="16"/>
                <w:color w:val="auto"/>
              </w:rPr>
            </w:pPr>
          </w:p>
        </w:tc>
        <w:tc>
          <w:tcPr>
            <w:tcW w:w="4460" w:type="dxa"/>
            <w:vAlign w:val="bottom"/>
          </w:tcPr>
          <w:p>
            <w:pPr>
              <w:jc w:val="center"/>
              <w:spacing w:after="0" w:line="190" w:lineRule="exact"/>
              <w:rPr>
                <w:sz w:val="20"/>
                <w:szCs w:val="20"/>
                <w:color w:val="auto"/>
              </w:rPr>
            </w:pPr>
            <w:r>
              <w:rPr>
                <w:rFonts w:ascii="Arial" w:cs="Arial" w:eastAsia="Arial" w:hAnsi="Arial"/>
                <w:sz w:val="18"/>
                <w:szCs w:val="18"/>
                <w:color w:val="auto"/>
                <w:w w:val="92"/>
              </w:rPr>
              <w:t>Controller</w:t>
            </w:r>
          </w:p>
        </w:tc>
        <w:tc>
          <w:tcPr>
            <w:tcW w:w="200" w:type="dxa"/>
            <w:vAlign w:val="bottom"/>
          </w:tcPr>
          <w:p>
            <w:pPr>
              <w:spacing w:after="0"/>
              <w:rPr>
                <w:sz w:val="16"/>
                <w:szCs w:val="16"/>
                <w:color w:val="auto"/>
              </w:rPr>
            </w:pPr>
          </w:p>
        </w:tc>
        <w:tc>
          <w:tcPr>
            <w:tcW w:w="2400" w:type="dxa"/>
            <w:vAlign w:val="bottom"/>
          </w:tcPr>
          <w:p>
            <w:pPr>
              <w:spacing w:after="0"/>
              <w:rPr>
                <w:sz w:val="16"/>
                <w:szCs w:val="16"/>
                <w:color w:val="auto"/>
              </w:rPr>
            </w:pPr>
          </w:p>
        </w:tc>
      </w:tr>
      <w:tr>
        <w:trPr>
          <w:trHeight w:val="222"/>
        </w:trPr>
        <w:tc>
          <w:tcPr>
            <w:tcW w:w="104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284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4460" w:type="dxa"/>
            <w:vAlign w:val="bottom"/>
          </w:tcPr>
          <w:p>
            <w:pPr>
              <w:jc w:val="center"/>
              <w:spacing w:after="0"/>
              <w:rPr>
                <w:sz w:val="20"/>
                <w:szCs w:val="20"/>
                <w:color w:val="auto"/>
              </w:rPr>
            </w:pPr>
            <w:r>
              <w:rPr>
                <w:rFonts w:ascii="Arial" w:cs="Arial" w:eastAsia="Arial" w:hAnsi="Arial"/>
                <w:sz w:val="18"/>
                <w:szCs w:val="18"/>
                <w:color w:val="auto"/>
                <w:w w:val="92"/>
              </w:rPr>
              <w:t>(Principal Accounting Officer)</w:t>
            </w:r>
          </w:p>
        </w:tc>
        <w:tc>
          <w:tcPr>
            <w:tcW w:w="200" w:type="dxa"/>
            <w:vAlign w:val="bottom"/>
          </w:tcPr>
          <w:p>
            <w:pPr>
              <w:spacing w:after="0"/>
              <w:rPr>
                <w:sz w:val="19"/>
                <w:szCs w:val="19"/>
                <w:color w:val="auto"/>
              </w:rPr>
            </w:pPr>
          </w:p>
        </w:tc>
        <w:tc>
          <w:tcPr>
            <w:tcW w:w="2400" w:type="dxa"/>
            <w:vAlign w:val="bottom"/>
          </w:tcPr>
          <w:p>
            <w:pPr>
              <w:spacing w:after="0"/>
              <w:rPr>
                <w:sz w:val="19"/>
                <w:szCs w:val="19"/>
                <w:color w:val="auto"/>
              </w:rPr>
            </w:pPr>
          </w:p>
        </w:tc>
      </w:tr>
      <w:tr>
        <w:trPr>
          <w:trHeight w:val="366"/>
        </w:trPr>
        <w:tc>
          <w:tcPr>
            <w:tcW w:w="1280" w:type="dxa"/>
            <w:vAlign w:val="bottom"/>
            <w:tcBorders>
              <w:bottom w:val="single" w:sz="8" w:color="auto"/>
            </w:tcBorders>
            <w:gridSpan w:val="2"/>
          </w:tcPr>
          <w:p>
            <w:pPr>
              <w:ind w:left="960"/>
              <w:spacing w:after="0"/>
              <w:rPr>
                <w:sz w:val="20"/>
                <w:szCs w:val="20"/>
                <w:color w:val="auto"/>
              </w:rPr>
            </w:pPr>
            <w:r>
              <w:rPr>
                <w:rFonts w:ascii="Arial" w:cs="Arial" w:eastAsia="Arial" w:hAnsi="Arial"/>
                <w:sz w:val="18"/>
                <w:szCs w:val="18"/>
                <w:color w:val="auto"/>
              </w:rPr>
              <w:t>/s/</w:t>
            </w:r>
          </w:p>
        </w:tc>
        <w:tc>
          <w:tcPr>
            <w:tcW w:w="2840" w:type="dxa"/>
            <w:vAlign w:val="bottom"/>
            <w:tcBorders>
              <w:bottom w:val="single" w:sz="8" w:color="auto"/>
            </w:tcBorders>
          </w:tcPr>
          <w:p>
            <w:pPr>
              <w:jc w:val="center"/>
              <w:ind w:right="1144"/>
              <w:spacing w:after="0"/>
              <w:rPr>
                <w:sz w:val="20"/>
                <w:szCs w:val="20"/>
                <w:color w:val="auto"/>
              </w:rPr>
            </w:pPr>
            <w:r>
              <w:rPr>
                <w:rFonts w:ascii="Arial" w:cs="Arial" w:eastAsia="Arial" w:hAnsi="Arial"/>
                <w:sz w:val="18"/>
                <w:szCs w:val="18"/>
                <w:color w:val="auto"/>
                <w:w w:val="98"/>
              </w:rPr>
              <w:t>S. D</w:t>
            </w:r>
            <w:r>
              <w:rPr>
                <w:rFonts w:ascii="Arial" w:cs="Arial" w:eastAsia="Arial" w:hAnsi="Arial"/>
                <w:sz w:val="14"/>
                <w:szCs w:val="14"/>
                <w:color w:val="auto"/>
                <w:w w:val="98"/>
              </w:rPr>
              <w:t>ECKER</w:t>
            </w:r>
            <w:r>
              <w:rPr>
                <w:rFonts w:ascii="Arial" w:cs="Arial" w:eastAsia="Arial" w:hAnsi="Arial"/>
                <w:sz w:val="18"/>
                <w:szCs w:val="18"/>
                <w:color w:val="auto"/>
                <w:w w:val="98"/>
              </w:rPr>
              <w:t xml:space="preserve"> A</w:t>
            </w:r>
            <w:r>
              <w:rPr>
                <w:rFonts w:ascii="Arial" w:cs="Arial" w:eastAsia="Arial" w:hAnsi="Arial"/>
                <w:sz w:val="14"/>
                <w:szCs w:val="14"/>
                <w:color w:val="auto"/>
                <w:w w:val="98"/>
              </w:rPr>
              <w:t>NSTROM</w:t>
            </w:r>
          </w:p>
        </w:tc>
        <w:tc>
          <w:tcPr>
            <w:tcW w:w="240" w:type="dxa"/>
            <w:vAlign w:val="bottom"/>
          </w:tcPr>
          <w:p>
            <w:pPr>
              <w:spacing w:after="0"/>
              <w:rPr>
                <w:sz w:val="24"/>
                <w:szCs w:val="24"/>
                <w:color w:val="auto"/>
              </w:rPr>
            </w:pPr>
          </w:p>
        </w:tc>
        <w:tc>
          <w:tcPr>
            <w:tcW w:w="4460" w:type="dxa"/>
            <w:vAlign w:val="bottom"/>
          </w:tcPr>
          <w:p>
            <w:pPr>
              <w:jc w:val="center"/>
              <w:spacing w:after="0"/>
              <w:rPr>
                <w:sz w:val="20"/>
                <w:szCs w:val="20"/>
                <w:color w:val="auto"/>
              </w:rPr>
            </w:pPr>
            <w:r>
              <w:rPr>
                <w:rFonts w:ascii="Arial" w:cs="Arial" w:eastAsia="Arial" w:hAnsi="Arial"/>
                <w:sz w:val="18"/>
                <w:szCs w:val="18"/>
                <w:color w:val="auto"/>
                <w:w w:val="91"/>
              </w:rPr>
              <w:t>Director</w:t>
            </w:r>
          </w:p>
        </w:tc>
        <w:tc>
          <w:tcPr>
            <w:tcW w:w="200" w:type="dxa"/>
            <w:vAlign w:val="bottom"/>
          </w:tcPr>
          <w:p>
            <w:pPr>
              <w:spacing w:after="0"/>
              <w:rPr>
                <w:sz w:val="24"/>
                <w:szCs w:val="24"/>
                <w:color w:val="auto"/>
              </w:rPr>
            </w:pPr>
          </w:p>
        </w:tc>
        <w:tc>
          <w:tcPr>
            <w:tcW w:w="2400" w:type="dxa"/>
            <w:vAlign w:val="bottom"/>
          </w:tcPr>
          <w:p>
            <w:pPr>
              <w:jc w:val="center"/>
              <w:spacing w:after="0"/>
              <w:rPr>
                <w:sz w:val="20"/>
                <w:szCs w:val="20"/>
                <w:color w:val="auto"/>
              </w:rPr>
            </w:pPr>
            <w:r>
              <w:rPr>
                <w:rFonts w:ascii="Arial" w:cs="Arial" w:eastAsia="Arial" w:hAnsi="Arial"/>
                <w:sz w:val="18"/>
                <w:szCs w:val="18"/>
                <w:color w:val="auto"/>
                <w:w w:val="88"/>
              </w:rPr>
              <w:t>February 26, 2007</w:t>
            </w:r>
          </w:p>
        </w:tc>
      </w:tr>
      <w:tr>
        <w:trPr>
          <w:trHeight w:val="169"/>
        </w:trPr>
        <w:tc>
          <w:tcPr>
            <w:tcW w:w="104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2840" w:type="dxa"/>
            <w:vAlign w:val="bottom"/>
          </w:tcPr>
          <w:p>
            <w:pPr>
              <w:jc w:val="center"/>
              <w:ind w:right="1184"/>
              <w:spacing w:after="0"/>
              <w:rPr>
                <w:sz w:val="20"/>
                <w:szCs w:val="20"/>
                <w:color w:val="auto"/>
              </w:rPr>
            </w:pPr>
            <w:r>
              <w:rPr>
                <w:rFonts w:ascii="Arial" w:cs="Arial" w:eastAsia="Arial" w:hAnsi="Arial"/>
                <w:sz w:val="14"/>
                <w:szCs w:val="14"/>
                <w:b w:val="1"/>
                <w:bCs w:val="1"/>
                <w:color w:val="auto"/>
                <w:w w:val="87"/>
              </w:rPr>
              <w:t>S. Decker Anstrom</w:t>
            </w:r>
          </w:p>
        </w:tc>
        <w:tc>
          <w:tcPr>
            <w:tcW w:w="240" w:type="dxa"/>
            <w:vAlign w:val="bottom"/>
          </w:tcPr>
          <w:p>
            <w:pPr>
              <w:spacing w:after="0"/>
              <w:rPr>
                <w:sz w:val="14"/>
                <w:szCs w:val="14"/>
                <w:color w:val="auto"/>
              </w:rPr>
            </w:pPr>
          </w:p>
        </w:tc>
        <w:tc>
          <w:tcPr>
            <w:tcW w:w="446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2400" w:type="dxa"/>
            <w:vAlign w:val="bottom"/>
          </w:tcPr>
          <w:p>
            <w:pPr>
              <w:spacing w:after="0"/>
              <w:rPr>
                <w:sz w:val="14"/>
                <w:szCs w:val="14"/>
                <w:color w:val="auto"/>
              </w:rPr>
            </w:pPr>
          </w:p>
        </w:tc>
      </w:tr>
      <w:tr>
        <w:trPr>
          <w:trHeight w:val="338"/>
        </w:trPr>
        <w:tc>
          <w:tcPr>
            <w:tcW w:w="1040" w:type="dxa"/>
            <w:vAlign w:val="bottom"/>
            <w:tcBorders>
              <w:bottom w:val="single" w:sz="8" w:color="auto"/>
            </w:tcBorders>
          </w:tcPr>
          <w:p>
            <w:pPr>
              <w:spacing w:after="0"/>
              <w:rPr>
                <w:sz w:val="24"/>
                <w:szCs w:val="24"/>
                <w:color w:val="auto"/>
              </w:rPr>
            </w:pPr>
          </w:p>
        </w:tc>
        <w:tc>
          <w:tcPr>
            <w:tcW w:w="240" w:type="dxa"/>
            <w:vAlign w:val="bottom"/>
            <w:tcBorders>
              <w:bottom w:val="single" w:sz="8" w:color="auto"/>
            </w:tcBorders>
          </w:tcPr>
          <w:p>
            <w:pPr>
              <w:ind w:left="20"/>
              <w:spacing w:after="0"/>
              <w:rPr>
                <w:sz w:val="20"/>
                <w:szCs w:val="20"/>
                <w:color w:val="auto"/>
              </w:rPr>
            </w:pPr>
            <w:r>
              <w:rPr>
                <w:rFonts w:ascii="Arial" w:cs="Arial" w:eastAsia="Arial" w:hAnsi="Arial"/>
                <w:sz w:val="18"/>
                <w:szCs w:val="18"/>
                <w:color w:val="auto"/>
              </w:rPr>
              <w:t>/s/</w:t>
            </w:r>
          </w:p>
        </w:tc>
        <w:tc>
          <w:tcPr>
            <w:tcW w:w="2840" w:type="dxa"/>
            <w:vAlign w:val="bottom"/>
            <w:tcBorders>
              <w:bottom w:val="single" w:sz="8" w:color="auto"/>
            </w:tcBorders>
          </w:tcPr>
          <w:p>
            <w:pPr>
              <w:jc w:val="center"/>
              <w:ind w:right="1124"/>
              <w:spacing w:after="0"/>
              <w:rPr>
                <w:sz w:val="20"/>
                <w:szCs w:val="20"/>
                <w:color w:val="auto"/>
              </w:rPr>
            </w:pPr>
            <w:r>
              <w:rPr>
                <w:rFonts w:ascii="Arial" w:cs="Arial" w:eastAsia="Arial" w:hAnsi="Arial"/>
                <w:sz w:val="18"/>
                <w:szCs w:val="18"/>
                <w:color w:val="auto"/>
                <w:w w:val="97"/>
              </w:rPr>
              <w:t>E</w:t>
            </w:r>
            <w:r>
              <w:rPr>
                <w:rFonts w:ascii="Arial" w:cs="Arial" w:eastAsia="Arial" w:hAnsi="Arial"/>
                <w:sz w:val="14"/>
                <w:szCs w:val="14"/>
                <w:color w:val="auto"/>
                <w:w w:val="97"/>
              </w:rPr>
              <w:t>DWARD</w:t>
            </w:r>
            <w:r>
              <w:rPr>
                <w:rFonts w:ascii="Arial" w:cs="Arial" w:eastAsia="Arial" w:hAnsi="Arial"/>
                <w:sz w:val="18"/>
                <w:szCs w:val="18"/>
                <w:color w:val="auto"/>
                <w:w w:val="97"/>
              </w:rPr>
              <w:t xml:space="preserve"> D. B</w:t>
            </w:r>
            <w:r>
              <w:rPr>
                <w:rFonts w:ascii="Arial" w:cs="Arial" w:eastAsia="Arial" w:hAnsi="Arial"/>
                <w:sz w:val="14"/>
                <w:szCs w:val="14"/>
                <w:color w:val="auto"/>
                <w:w w:val="97"/>
              </w:rPr>
              <w:t>REEN</w:t>
            </w:r>
          </w:p>
        </w:tc>
        <w:tc>
          <w:tcPr>
            <w:tcW w:w="240" w:type="dxa"/>
            <w:vAlign w:val="bottom"/>
          </w:tcPr>
          <w:p>
            <w:pPr>
              <w:spacing w:after="0"/>
              <w:rPr>
                <w:sz w:val="24"/>
                <w:szCs w:val="24"/>
                <w:color w:val="auto"/>
              </w:rPr>
            </w:pPr>
          </w:p>
        </w:tc>
        <w:tc>
          <w:tcPr>
            <w:tcW w:w="4460" w:type="dxa"/>
            <w:vAlign w:val="bottom"/>
          </w:tcPr>
          <w:p>
            <w:pPr>
              <w:jc w:val="center"/>
              <w:spacing w:after="0"/>
              <w:rPr>
                <w:sz w:val="20"/>
                <w:szCs w:val="20"/>
                <w:color w:val="auto"/>
              </w:rPr>
            </w:pPr>
            <w:r>
              <w:rPr>
                <w:rFonts w:ascii="Arial" w:cs="Arial" w:eastAsia="Arial" w:hAnsi="Arial"/>
                <w:sz w:val="18"/>
                <w:szCs w:val="18"/>
                <w:color w:val="auto"/>
                <w:w w:val="91"/>
              </w:rPr>
              <w:t>Director</w:t>
            </w:r>
          </w:p>
        </w:tc>
        <w:tc>
          <w:tcPr>
            <w:tcW w:w="200" w:type="dxa"/>
            <w:vAlign w:val="bottom"/>
          </w:tcPr>
          <w:p>
            <w:pPr>
              <w:spacing w:after="0"/>
              <w:rPr>
                <w:sz w:val="24"/>
                <w:szCs w:val="24"/>
                <w:color w:val="auto"/>
              </w:rPr>
            </w:pPr>
          </w:p>
        </w:tc>
        <w:tc>
          <w:tcPr>
            <w:tcW w:w="2400" w:type="dxa"/>
            <w:vAlign w:val="bottom"/>
          </w:tcPr>
          <w:p>
            <w:pPr>
              <w:jc w:val="center"/>
              <w:spacing w:after="0"/>
              <w:rPr>
                <w:sz w:val="20"/>
                <w:szCs w:val="20"/>
                <w:color w:val="auto"/>
              </w:rPr>
            </w:pPr>
            <w:r>
              <w:rPr>
                <w:rFonts w:ascii="Arial" w:cs="Arial" w:eastAsia="Arial" w:hAnsi="Arial"/>
                <w:sz w:val="18"/>
                <w:szCs w:val="18"/>
                <w:color w:val="auto"/>
                <w:w w:val="88"/>
              </w:rPr>
              <w:t>February 26, 2007</w:t>
            </w:r>
          </w:p>
        </w:tc>
      </w:tr>
      <w:tr>
        <w:trPr>
          <w:trHeight w:val="169"/>
        </w:trPr>
        <w:tc>
          <w:tcPr>
            <w:tcW w:w="104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2840" w:type="dxa"/>
            <w:vAlign w:val="bottom"/>
          </w:tcPr>
          <w:p>
            <w:pPr>
              <w:jc w:val="center"/>
              <w:ind w:right="1184"/>
              <w:spacing w:after="0"/>
              <w:rPr>
                <w:sz w:val="20"/>
                <w:szCs w:val="20"/>
                <w:color w:val="auto"/>
              </w:rPr>
            </w:pPr>
            <w:r>
              <w:rPr>
                <w:rFonts w:ascii="Arial" w:cs="Arial" w:eastAsia="Arial" w:hAnsi="Arial"/>
                <w:sz w:val="14"/>
                <w:szCs w:val="14"/>
                <w:b w:val="1"/>
                <w:bCs w:val="1"/>
                <w:color w:val="auto"/>
                <w:w w:val="91"/>
              </w:rPr>
              <w:t>Edward D. Breen</w:t>
            </w:r>
          </w:p>
        </w:tc>
        <w:tc>
          <w:tcPr>
            <w:tcW w:w="240" w:type="dxa"/>
            <w:vAlign w:val="bottom"/>
          </w:tcPr>
          <w:p>
            <w:pPr>
              <w:spacing w:after="0"/>
              <w:rPr>
                <w:sz w:val="14"/>
                <w:szCs w:val="14"/>
                <w:color w:val="auto"/>
              </w:rPr>
            </w:pPr>
          </w:p>
        </w:tc>
        <w:tc>
          <w:tcPr>
            <w:tcW w:w="446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2400" w:type="dxa"/>
            <w:vAlign w:val="bottom"/>
          </w:tcPr>
          <w:p>
            <w:pPr>
              <w:spacing w:after="0"/>
              <w:rPr>
                <w:sz w:val="14"/>
                <w:szCs w:val="14"/>
                <w:color w:val="auto"/>
              </w:rPr>
            </w:pPr>
          </w:p>
        </w:tc>
      </w:tr>
      <w:tr>
        <w:trPr>
          <w:trHeight w:val="338"/>
        </w:trPr>
        <w:tc>
          <w:tcPr>
            <w:tcW w:w="1280" w:type="dxa"/>
            <w:vAlign w:val="bottom"/>
            <w:tcBorders>
              <w:bottom w:val="single" w:sz="8" w:color="auto"/>
            </w:tcBorders>
            <w:gridSpan w:val="2"/>
          </w:tcPr>
          <w:p>
            <w:pPr>
              <w:ind w:left="1020"/>
              <w:spacing w:after="0"/>
              <w:rPr>
                <w:sz w:val="20"/>
                <w:szCs w:val="20"/>
                <w:color w:val="auto"/>
              </w:rPr>
            </w:pPr>
            <w:r>
              <w:rPr>
                <w:rFonts w:ascii="Arial" w:cs="Arial" w:eastAsia="Arial" w:hAnsi="Arial"/>
                <w:sz w:val="18"/>
                <w:szCs w:val="18"/>
                <w:color w:val="auto"/>
              </w:rPr>
              <w:t>/s/</w:t>
            </w:r>
          </w:p>
        </w:tc>
        <w:tc>
          <w:tcPr>
            <w:tcW w:w="2840" w:type="dxa"/>
            <w:vAlign w:val="bottom"/>
            <w:tcBorders>
              <w:bottom w:val="single" w:sz="8" w:color="auto"/>
            </w:tcBorders>
          </w:tcPr>
          <w:p>
            <w:pPr>
              <w:jc w:val="center"/>
              <w:ind w:right="1124"/>
              <w:spacing w:after="0"/>
              <w:rPr>
                <w:sz w:val="20"/>
                <w:szCs w:val="20"/>
                <w:color w:val="auto"/>
              </w:rPr>
            </w:pPr>
            <w:r>
              <w:rPr>
                <w:rFonts w:ascii="Arial" w:cs="Arial" w:eastAsia="Arial" w:hAnsi="Arial"/>
                <w:sz w:val="18"/>
                <w:szCs w:val="18"/>
                <w:color w:val="auto"/>
                <w:w w:val="98"/>
              </w:rPr>
              <w:t>K</w:t>
            </w:r>
            <w:r>
              <w:rPr>
                <w:rFonts w:ascii="Arial" w:cs="Arial" w:eastAsia="Arial" w:hAnsi="Arial"/>
                <w:sz w:val="14"/>
                <w:szCs w:val="14"/>
                <w:color w:val="auto"/>
                <w:w w:val="98"/>
              </w:rPr>
              <w:t>ENNETH</w:t>
            </w:r>
            <w:r>
              <w:rPr>
                <w:rFonts w:ascii="Arial" w:cs="Arial" w:eastAsia="Arial" w:hAnsi="Arial"/>
                <w:sz w:val="18"/>
                <w:szCs w:val="18"/>
                <w:color w:val="auto"/>
                <w:w w:val="98"/>
              </w:rPr>
              <w:t xml:space="preserve"> J. B</w:t>
            </w:r>
            <w:r>
              <w:rPr>
                <w:rFonts w:ascii="Arial" w:cs="Arial" w:eastAsia="Arial" w:hAnsi="Arial"/>
                <w:sz w:val="14"/>
                <w:szCs w:val="14"/>
                <w:color w:val="auto"/>
                <w:w w:val="98"/>
              </w:rPr>
              <w:t>ACON</w:t>
            </w:r>
          </w:p>
        </w:tc>
        <w:tc>
          <w:tcPr>
            <w:tcW w:w="240" w:type="dxa"/>
            <w:vAlign w:val="bottom"/>
          </w:tcPr>
          <w:p>
            <w:pPr>
              <w:spacing w:after="0"/>
              <w:rPr>
                <w:sz w:val="24"/>
                <w:szCs w:val="24"/>
                <w:color w:val="auto"/>
              </w:rPr>
            </w:pPr>
          </w:p>
        </w:tc>
        <w:tc>
          <w:tcPr>
            <w:tcW w:w="4460" w:type="dxa"/>
            <w:vAlign w:val="bottom"/>
          </w:tcPr>
          <w:p>
            <w:pPr>
              <w:jc w:val="center"/>
              <w:spacing w:after="0"/>
              <w:rPr>
                <w:sz w:val="20"/>
                <w:szCs w:val="20"/>
                <w:color w:val="auto"/>
              </w:rPr>
            </w:pPr>
            <w:r>
              <w:rPr>
                <w:rFonts w:ascii="Arial" w:cs="Arial" w:eastAsia="Arial" w:hAnsi="Arial"/>
                <w:sz w:val="18"/>
                <w:szCs w:val="18"/>
                <w:color w:val="auto"/>
                <w:w w:val="91"/>
              </w:rPr>
              <w:t>Director</w:t>
            </w:r>
          </w:p>
        </w:tc>
        <w:tc>
          <w:tcPr>
            <w:tcW w:w="200" w:type="dxa"/>
            <w:vAlign w:val="bottom"/>
          </w:tcPr>
          <w:p>
            <w:pPr>
              <w:spacing w:after="0"/>
              <w:rPr>
                <w:sz w:val="24"/>
                <w:szCs w:val="24"/>
                <w:color w:val="auto"/>
              </w:rPr>
            </w:pPr>
          </w:p>
        </w:tc>
        <w:tc>
          <w:tcPr>
            <w:tcW w:w="2400" w:type="dxa"/>
            <w:vAlign w:val="bottom"/>
          </w:tcPr>
          <w:p>
            <w:pPr>
              <w:jc w:val="center"/>
              <w:spacing w:after="0"/>
              <w:rPr>
                <w:sz w:val="20"/>
                <w:szCs w:val="20"/>
                <w:color w:val="auto"/>
              </w:rPr>
            </w:pPr>
            <w:r>
              <w:rPr>
                <w:rFonts w:ascii="Arial" w:cs="Arial" w:eastAsia="Arial" w:hAnsi="Arial"/>
                <w:sz w:val="18"/>
                <w:szCs w:val="18"/>
                <w:color w:val="auto"/>
                <w:w w:val="88"/>
              </w:rPr>
              <w:t>February 26, 2007</w:t>
            </w:r>
          </w:p>
        </w:tc>
      </w:tr>
      <w:tr>
        <w:trPr>
          <w:trHeight w:val="169"/>
        </w:trPr>
        <w:tc>
          <w:tcPr>
            <w:tcW w:w="104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2840" w:type="dxa"/>
            <w:vAlign w:val="bottom"/>
          </w:tcPr>
          <w:p>
            <w:pPr>
              <w:jc w:val="center"/>
              <w:ind w:right="1184"/>
              <w:spacing w:after="0"/>
              <w:rPr>
                <w:sz w:val="20"/>
                <w:szCs w:val="20"/>
                <w:color w:val="auto"/>
              </w:rPr>
            </w:pPr>
            <w:r>
              <w:rPr>
                <w:rFonts w:ascii="Arial" w:cs="Arial" w:eastAsia="Arial" w:hAnsi="Arial"/>
                <w:sz w:val="14"/>
                <w:szCs w:val="14"/>
                <w:b w:val="1"/>
                <w:bCs w:val="1"/>
                <w:color w:val="auto"/>
                <w:w w:val="86"/>
              </w:rPr>
              <w:t>Kenneth J. Bacon</w:t>
            </w:r>
          </w:p>
        </w:tc>
        <w:tc>
          <w:tcPr>
            <w:tcW w:w="240" w:type="dxa"/>
            <w:vAlign w:val="bottom"/>
          </w:tcPr>
          <w:p>
            <w:pPr>
              <w:spacing w:after="0"/>
              <w:rPr>
                <w:sz w:val="14"/>
                <w:szCs w:val="14"/>
                <w:color w:val="auto"/>
              </w:rPr>
            </w:pPr>
          </w:p>
        </w:tc>
        <w:tc>
          <w:tcPr>
            <w:tcW w:w="446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2400" w:type="dxa"/>
            <w:vAlign w:val="bottom"/>
          </w:tcPr>
          <w:p>
            <w:pPr>
              <w:spacing w:after="0"/>
              <w:rPr>
                <w:sz w:val="14"/>
                <w:szCs w:val="14"/>
                <w:color w:val="auto"/>
              </w:rPr>
            </w:pPr>
          </w:p>
        </w:tc>
      </w:tr>
      <w:tr>
        <w:trPr>
          <w:trHeight w:val="338"/>
        </w:trPr>
        <w:tc>
          <w:tcPr>
            <w:tcW w:w="1040" w:type="dxa"/>
            <w:vAlign w:val="bottom"/>
            <w:tcBorders>
              <w:bottom w:val="single" w:sz="8" w:color="auto"/>
            </w:tcBorders>
          </w:tcPr>
          <w:p>
            <w:pPr>
              <w:ind w:left="880"/>
              <w:spacing w:after="0"/>
              <w:rPr>
                <w:sz w:val="20"/>
                <w:szCs w:val="20"/>
                <w:color w:val="auto"/>
              </w:rPr>
            </w:pPr>
            <w:r>
              <w:rPr>
                <w:rFonts w:ascii="Arial" w:cs="Arial" w:eastAsia="Arial" w:hAnsi="Arial"/>
                <w:sz w:val="18"/>
                <w:szCs w:val="18"/>
                <w:color w:val="auto"/>
                <w:w w:val="73"/>
              </w:rPr>
              <w:t>/s/</w:t>
            </w:r>
          </w:p>
        </w:tc>
        <w:tc>
          <w:tcPr>
            <w:tcW w:w="3080" w:type="dxa"/>
            <w:vAlign w:val="bottom"/>
            <w:tcBorders>
              <w:bottom w:val="single" w:sz="8" w:color="auto"/>
            </w:tcBorders>
            <w:gridSpan w:val="2"/>
          </w:tcPr>
          <w:p>
            <w:pPr>
              <w:jc w:val="center"/>
              <w:ind w:right="904"/>
              <w:spacing w:after="0"/>
              <w:rPr>
                <w:sz w:val="20"/>
                <w:szCs w:val="20"/>
                <w:color w:val="auto"/>
              </w:rPr>
            </w:pPr>
            <w:r>
              <w:rPr>
                <w:rFonts w:ascii="Arial" w:cs="Arial" w:eastAsia="Arial" w:hAnsi="Arial"/>
                <w:sz w:val="18"/>
                <w:szCs w:val="18"/>
                <w:color w:val="auto"/>
                <w:w w:val="99"/>
              </w:rPr>
              <w:t>S</w:t>
            </w:r>
            <w:r>
              <w:rPr>
                <w:rFonts w:ascii="Arial" w:cs="Arial" w:eastAsia="Arial" w:hAnsi="Arial"/>
                <w:sz w:val="14"/>
                <w:szCs w:val="14"/>
                <w:color w:val="auto"/>
                <w:w w:val="99"/>
              </w:rPr>
              <w:t>HELDON</w:t>
            </w:r>
            <w:r>
              <w:rPr>
                <w:rFonts w:ascii="Arial" w:cs="Arial" w:eastAsia="Arial" w:hAnsi="Arial"/>
                <w:sz w:val="18"/>
                <w:szCs w:val="18"/>
                <w:color w:val="auto"/>
                <w:w w:val="99"/>
              </w:rPr>
              <w:t xml:space="preserve"> M. B</w:t>
            </w:r>
            <w:r>
              <w:rPr>
                <w:rFonts w:ascii="Arial" w:cs="Arial" w:eastAsia="Arial" w:hAnsi="Arial"/>
                <w:sz w:val="14"/>
                <w:szCs w:val="14"/>
                <w:color w:val="auto"/>
                <w:w w:val="99"/>
              </w:rPr>
              <w:t>ONOVITZ</w:t>
            </w:r>
          </w:p>
        </w:tc>
        <w:tc>
          <w:tcPr>
            <w:tcW w:w="240" w:type="dxa"/>
            <w:vAlign w:val="bottom"/>
          </w:tcPr>
          <w:p>
            <w:pPr>
              <w:spacing w:after="0"/>
              <w:rPr>
                <w:sz w:val="24"/>
                <w:szCs w:val="24"/>
                <w:color w:val="auto"/>
              </w:rPr>
            </w:pPr>
          </w:p>
        </w:tc>
        <w:tc>
          <w:tcPr>
            <w:tcW w:w="4460" w:type="dxa"/>
            <w:vAlign w:val="bottom"/>
          </w:tcPr>
          <w:p>
            <w:pPr>
              <w:jc w:val="center"/>
              <w:spacing w:after="0"/>
              <w:rPr>
                <w:sz w:val="20"/>
                <w:szCs w:val="20"/>
                <w:color w:val="auto"/>
              </w:rPr>
            </w:pPr>
            <w:r>
              <w:rPr>
                <w:rFonts w:ascii="Arial" w:cs="Arial" w:eastAsia="Arial" w:hAnsi="Arial"/>
                <w:sz w:val="18"/>
                <w:szCs w:val="18"/>
                <w:color w:val="auto"/>
                <w:w w:val="91"/>
              </w:rPr>
              <w:t>Director</w:t>
            </w:r>
          </w:p>
        </w:tc>
        <w:tc>
          <w:tcPr>
            <w:tcW w:w="200" w:type="dxa"/>
            <w:vAlign w:val="bottom"/>
          </w:tcPr>
          <w:p>
            <w:pPr>
              <w:spacing w:after="0"/>
              <w:rPr>
                <w:sz w:val="24"/>
                <w:szCs w:val="24"/>
                <w:color w:val="auto"/>
              </w:rPr>
            </w:pPr>
          </w:p>
        </w:tc>
        <w:tc>
          <w:tcPr>
            <w:tcW w:w="2400" w:type="dxa"/>
            <w:vAlign w:val="bottom"/>
          </w:tcPr>
          <w:p>
            <w:pPr>
              <w:jc w:val="center"/>
              <w:spacing w:after="0"/>
              <w:rPr>
                <w:sz w:val="20"/>
                <w:szCs w:val="20"/>
                <w:color w:val="auto"/>
              </w:rPr>
            </w:pPr>
            <w:r>
              <w:rPr>
                <w:rFonts w:ascii="Arial" w:cs="Arial" w:eastAsia="Arial" w:hAnsi="Arial"/>
                <w:sz w:val="18"/>
                <w:szCs w:val="18"/>
                <w:color w:val="auto"/>
                <w:w w:val="88"/>
              </w:rPr>
              <w:t>February 26, 2007</w:t>
            </w:r>
          </w:p>
        </w:tc>
      </w:tr>
      <w:tr>
        <w:trPr>
          <w:trHeight w:val="169"/>
        </w:trPr>
        <w:tc>
          <w:tcPr>
            <w:tcW w:w="104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2840" w:type="dxa"/>
            <w:vAlign w:val="bottom"/>
          </w:tcPr>
          <w:p>
            <w:pPr>
              <w:jc w:val="center"/>
              <w:ind w:right="1204"/>
              <w:spacing w:after="0"/>
              <w:rPr>
                <w:sz w:val="20"/>
                <w:szCs w:val="20"/>
                <w:color w:val="auto"/>
              </w:rPr>
            </w:pPr>
            <w:r>
              <w:rPr>
                <w:rFonts w:ascii="Arial" w:cs="Arial" w:eastAsia="Arial" w:hAnsi="Arial"/>
                <w:sz w:val="14"/>
                <w:szCs w:val="14"/>
                <w:b w:val="1"/>
                <w:bCs w:val="1"/>
                <w:color w:val="auto"/>
                <w:w w:val="87"/>
              </w:rPr>
              <w:t>Sheldon M. Bonovitz</w:t>
            </w:r>
          </w:p>
        </w:tc>
        <w:tc>
          <w:tcPr>
            <w:tcW w:w="240" w:type="dxa"/>
            <w:vAlign w:val="bottom"/>
          </w:tcPr>
          <w:p>
            <w:pPr>
              <w:spacing w:after="0"/>
              <w:rPr>
                <w:sz w:val="14"/>
                <w:szCs w:val="14"/>
                <w:color w:val="auto"/>
              </w:rPr>
            </w:pPr>
          </w:p>
        </w:tc>
        <w:tc>
          <w:tcPr>
            <w:tcW w:w="446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2400" w:type="dxa"/>
            <w:vAlign w:val="bottom"/>
          </w:tcPr>
          <w:p>
            <w:pPr>
              <w:spacing w:after="0"/>
              <w:rPr>
                <w:sz w:val="14"/>
                <w:szCs w:val="14"/>
                <w:color w:val="auto"/>
              </w:rPr>
            </w:pPr>
          </w:p>
        </w:tc>
      </w:tr>
      <w:tr>
        <w:trPr>
          <w:trHeight w:val="338"/>
        </w:trPr>
        <w:tc>
          <w:tcPr>
            <w:tcW w:w="1040" w:type="dxa"/>
            <w:vAlign w:val="bottom"/>
            <w:tcBorders>
              <w:bottom w:val="single" w:sz="8" w:color="auto"/>
            </w:tcBorders>
          </w:tcPr>
          <w:p>
            <w:pPr>
              <w:spacing w:after="0"/>
              <w:rPr>
                <w:sz w:val="24"/>
                <w:szCs w:val="24"/>
                <w:color w:val="auto"/>
              </w:rPr>
            </w:pPr>
          </w:p>
        </w:tc>
        <w:tc>
          <w:tcPr>
            <w:tcW w:w="240" w:type="dxa"/>
            <w:vAlign w:val="bottom"/>
            <w:tcBorders>
              <w:bottom w:val="single" w:sz="8" w:color="auto"/>
            </w:tcBorders>
          </w:tcPr>
          <w:p>
            <w:pPr>
              <w:ind w:left="20"/>
              <w:spacing w:after="0"/>
              <w:rPr>
                <w:sz w:val="20"/>
                <w:szCs w:val="20"/>
                <w:color w:val="auto"/>
              </w:rPr>
            </w:pPr>
            <w:r>
              <w:rPr>
                <w:rFonts w:ascii="Arial" w:cs="Arial" w:eastAsia="Arial" w:hAnsi="Arial"/>
                <w:sz w:val="18"/>
                <w:szCs w:val="18"/>
                <w:color w:val="auto"/>
              </w:rPr>
              <w:t>/s/</w:t>
            </w:r>
          </w:p>
        </w:tc>
        <w:tc>
          <w:tcPr>
            <w:tcW w:w="2840" w:type="dxa"/>
            <w:vAlign w:val="bottom"/>
            <w:tcBorders>
              <w:bottom w:val="single" w:sz="8" w:color="auto"/>
            </w:tcBorders>
          </w:tcPr>
          <w:p>
            <w:pPr>
              <w:jc w:val="center"/>
              <w:ind w:right="1144"/>
              <w:spacing w:after="0"/>
              <w:rPr>
                <w:sz w:val="20"/>
                <w:szCs w:val="20"/>
                <w:color w:val="auto"/>
              </w:rPr>
            </w:pPr>
            <w:r>
              <w:rPr>
                <w:rFonts w:ascii="Arial" w:cs="Arial" w:eastAsia="Arial" w:hAnsi="Arial"/>
                <w:sz w:val="18"/>
                <w:szCs w:val="18"/>
                <w:color w:val="auto"/>
                <w:w w:val="95"/>
              </w:rPr>
              <w:t>J</w:t>
            </w:r>
            <w:r>
              <w:rPr>
                <w:rFonts w:ascii="Arial" w:cs="Arial" w:eastAsia="Arial" w:hAnsi="Arial"/>
                <w:sz w:val="14"/>
                <w:szCs w:val="14"/>
                <w:color w:val="auto"/>
                <w:w w:val="95"/>
              </w:rPr>
              <w:t>OSEPH</w:t>
            </w:r>
            <w:r>
              <w:rPr>
                <w:rFonts w:ascii="Arial" w:cs="Arial" w:eastAsia="Arial" w:hAnsi="Arial"/>
                <w:sz w:val="18"/>
                <w:szCs w:val="18"/>
                <w:color w:val="auto"/>
                <w:w w:val="95"/>
              </w:rPr>
              <w:t xml:space="preserve"> J. C</w:t>
            </w:r>
            <w:r>
              <w:rPr>
                <w:rFonts w:ascii="Arial" w:cs="Arial" w:eastAsia="Arial" w:hAnsi="Arial"/>
                <w:sz w:val="14"/>
                <w:szCs w:val="14"/>
                <w:color w:val="auto"/>
                <w:w w:val="95"/>
              </w:rPr>
              <w:t>OLLINS</w:t>
            </w:r>
          </w:p>
        </w:tc>
        <w:tc>
          <w:tcPr>
            <w:tcW w:w="240" w:type="dxa"/>
            <w:vAlign w:val="bottom"/>
          </w:tcPr>
          <w:p>
            <w:pPr>
              <w:spacing w:after="0"/>
              <w:rPr>
                <w:sz w:val="24"/>
                <w:szCs w:val="24"/>
                <w:color w:val="auto"/>
              </w:rPr>
            </w:pPr>
          </w:p>
        </w:tc>
        <w:tc>
          <w:tcPr>
            <w:tcW w:w="4460" w:type="dxa"/>
            <w:vAlign w:val="bottom"/>
          </w:tcPr>
          <w:p>
            <w:pPr>
              <w:jc w:val="center"/>
              <w:spacing w:after="0"/>
              <w:rPr>
                <w:sz w:val="20"/>
                <w:szCs w:val="20"/>
                <w:color w:val="auto"/>
              </w:rPr>
            </w:pPr>
            <w:r>
              <w:rPr>
                <w:rFonts w:ascii="Arial" w:cs="Arial" w:eastAsia="Arial" w:hAnsi="Arial"/>
                <w:sz w:val="18"/>
                <w:szCs w:val="18"/>
                <w:color w:val="auto"/>
                <w:w w:val="91"/>
              </w:rPr>
              <w:t>Director</w:t>
            </w:r>
          </w:p>
        </w:tc>
        <w:tc>
          <w:tcPr>
            <w:tcW w:w="200" w:type="dxa"/>
            <w:vAlign w:val="bottom"/>
          </w:tcPr>
          <w:p>
            <w:pPr>
              <w:spacing w:after="0"/>
              <w:rPr>
                <w:sz w:val="24"/>
                <w:szCs w:val="24"/>
                <w:color w:val="auto"/>
              </w:rPr>
            </w:pPr>
          </w:p>
        </w:tc>
        <w:tc>
          <w:tcPr>
            <w:tcW w:w="2400" w:type="dxa"/>
            <w:vAlign w:val="bottom"/>
          </w:tcPr>
          <w:p>
            <w:pPr>
              <w:jc w:val="center"/>
              <w:spacing w:after="0"/>
              <w:rPr>
                <w:sz w:val="20"/>
                <w:szCs w:val="20"/>
                <w:color w:val="auto"/>
              </w:rPr>
            </w:pPr>
            <w:r>
              <w:rPr>
                <w:rFonts w:ascii="Arial" w:cs="Arial" w:eastAsia="Arial" w:hAnsi="Arial"/>
                <w:sz w:val="18"/>
                <w:szCs w:val="18"/>
                <w:color w:val="auto"/>
                <w:w w:val="88"/>
              </w:rPr>
              <w:t>February 26, 2007</w:t>
            </w:r>
          </w:p>
        </w:tc>
      </w:tr>
      <w:tr>
        <w:trPr>
          <w:trHeight w:val="169"/>
        </w:trPr>
        <w:tc>
          <w:tcPr>
            <w:tcW w:w="104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2840" w:type="dxa"/>
            <w:vAlign w:val="bottom"/>
          </w:tcPr>
          <w:p>
            <w:pPr>
              <w:jc w:val="center"/>
              <w:ind w:right="1184"/>
              <w:spacing w:after="0"/>
              <w:rPr>
                <w:sz w:val="20"/>
                <w:szCs w:val="20"/>
                <w:color w:val="auto"/>
              </w:rPr>
            </w:pPr>
            <w:r>
              <w:rPr>
                <w:rFonts w:ascii="Arial" w:cs="Arial" w:eastAsia="Arial" w:hAnsi="Arial"/>
                <w:sz w:val="14"/>
                <w:szCs w:val="14"/>
                <w:b w:val="1"/>
                <w:bCs w:val="1"/>
                <w:color w:val="auto"/>
                <w:w w:val="85"/>
              </w:rPr>
              <w:t>Joseph J. Collins</w:t>
            </w:r>
          </w:p>
        </w:tc>
        <w:tc>
          <w:tcPr>
            <w:tcW w:w="240" w:type="dxa"/>
            <w:vAlign w:val="bottom"/>
          </w:tcPr>
          <w:p>
            <w:pPr>
              <w:spacing w:after="0"/>
              <w:rPr>
                <w:sz w:val="14"/>
                <w:szCs w:val="14"/>
                <w:color w:val="auto"/>
              </w:rPr>
            </w:pPr>
          </w:p>
        </w:tc>
        <w:tc>
          <w:tcPr>
            <w:tcW w:w="446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2400" w:type="dxa"/>
            <w:vAlign w:val="bottom"/>
          </w:tcPr>
          <w:p>
            <w:pPr>
              <w:spacing w:after="0"/>
              <w:rPr>
                <w:sz w:val="14"/>
                <w:szCs w:val="14"/>
                <w:color w:val="auto"/>
              </w:rPr>
            </w:pPr>
          </w:p>
        </w:tc>
      </w:tr>
      <w:tr>
        <w:trPr>
          <w:trHeight w:val="338"/>
        </w:trPr>
        <w:tc>
          <w:tcPr>
            <w:tcW w:w="1040" w:type="dxa"/>
            <w:vAlign w:val="bottom"/>
            <w:tcBorders>
              <w:bottom w:val="single" w:sz="8" w:color="auto"/>
            </w:tcBorders>
          </w:tcPr>
          <w:p>
            <w:pPr>
              <w:spacing w:after="0"/>
              <w:rPr>
                <w:sz w:val="24"/>
                <w:szCs w:val="24"/>
                <w:color w:val="auto"/>
              </w:rPr>
            </w:pPr>
          </w:p>
        </w:tc>
        <w:tc>
          <w:tcPr>
            <w:tcW w:w="240" w:type="dxa"/>
            <w:vAlign w:val="bottom"/>
            <w:tcBorders>
              <w:bottom w:val="single" w:sz="8" w:color="auto"/>
            </w:tcBorders>
          </w:tcPr>
          <w:p>
            <w:pPr>
              <w:ind w:left="40"/>
              <w:spacing w:after="0"/>
              <w:rPr>
                <w:sz w:val="20"/>
                <w:szCs w:val="20"/>
                <w:color w:val="auto"/>
              </w:rPr>
            </w:pPr>
            <w:r>
              <w:rPr>
                <w:rFonts w:ascii="Arial" w:cs="Arial" w:eastAsia="Arial" w:hAnsi="Arial"/>
                <w:sz w:val="18"/>
                <w:szCs w:val="18"/>
                <w:color w:val="auto"/>
                <w:w w:val="94"/>
              </w:rPr>
              <w:t>/s/</w:t>
            </w:r>
          </w:p>
        </w:tc>
        <w:tc>
          <w:tcPr>
            <w:tcW w:w="2840" w:type="dxa"/>
            <w:vAlign w:val="bottom"/>
            <w:tcBorders>
              <w:bottom w:val="single" w:sz="8" w:color="auto"/>
            </w:tcBorders>
          </w:tcPr>
          <w:p>
            <w:pPr>
              <w:jc w:val="center"/>
              <w:ind w:right="1144"/>
              <w:spacing w:after="0"/>
              <w:rPr>
                <w:sz w:val="20"/>
                <w:szCs w:val="20"/>
                <w:color w:val="auto"/>
              </w:rPr>
            </w:pPr>
            <w:r>
              <w:rPr>
                <w:rFonts w:ascii="Arial" w:cs="Arial" w:eastAsia="Arial" w:hAnsi="Arial"/>
                <w:sz w:val="18"/>
                <w:szCs w:val="18"/>
                <w:color w:val="auto"/>
              </w:rPr>
              <w:t>J. M</w:t>
            </w:r>
            <w:r>
              <w:rPr>
                <w:rFonts w:ascii="Arial" w:cs="Arial" w:eastAsia="Arial" w:hAnsi="Arial"/>
                <w:sz w:val="14"/>
                <w:szCs w:val="14"/>
                <w:color w:val="auto"/>
              </w:rPr>
              <w:t>ICHAEL</w:t>
            </w:r>
            <w:r>
              <w:rPr>
                <w:rFonts w:ascii="Arial" w:cs="Arial" w:eastAsia="Arial" w:hAnsi="Arial"/>
                <w:sz w:val="18"/>
                <w:szCs w:val="18"/>
                <w:color w:val="auto"/>
              </w:rPr>
              <w:t xml:space="preserve"> C</w:t>
            </w:r>
            <w:r>
              <w:rPr>
                <w:rFonts w:ascii="Arial" w:cs="Arial" w:eastAsia="Arial" w:hAnsi="Arial"/>
                <w:sz w:val="14"/>
                <w:szCs w:val="14"/>
                <w:color w:val="auto"/>
              </w:rPr>
              <w:t>OOK</w:t>
            </w:r>
          </w:p>
        </w:tc>
        <w:tc>
          <w:tcPr>
            <w:tcW w:w="240" w:type="dxa"/>
            <w:vAlign w:val="bottom"/>
          </w:tcPr>
          <w:p>
            <w:pPr>
              <w:spacing w:after="0"/>
              <w:rPr>
                <w:sz w:val="24"/>
                <w:szCs w:val="24"/>
                <w:color w:val="auto"/>
              </w:rPr>
            </w:pPr>
          </w:p>
        </w:tc>
        <w:tc>
          <w:tcPr>
            <w:tcW w:w="4460" w:type="dxa"/>
            <w:vAlign w:val="bottom"/>
          </w:tcPr>
          <w:p>
            <w:pPr>
              <w:jc w:val="center"/>
              <w:spacing w:after="0"/>
              <w:rPr>
                <w:sz w:val="20"/>
                <w:szCs w:val="20"/>
                <w:color w:val="auto"/>
              </w:rPr>
            </w:pPr>
            <w:r>
              <w:rPr>
                <w:rFonts w:ascii="Arial" w:cs="Arial" w:eastAsia="Arial" w:hAnsi="Arial"/>
                <w:sz w:val="18"/>
                <w:szCs w:val="18"/>
                <w:color w:val="auto"/>
                <w:w w:val="91"/>
              </w:rPr>
              <w:t>Director</w:t>
            </w:r>
          </w:p>
        </w:tc>
        <w:tc>
          <w:tcPr>
            <w:tcW w:w="200" w:type="dxa"/>
            <w:vAlign w:val="bottom"/>
          </w:tcPr>
          <w:p>
            <w:pPr>
              <w:spacing w:after="0"/>
              <w:rPr>
                <w:sz w:val="24"/>
                <w:szCs w:val="24"/>
                <w:color w:val="auto"/>
              </w:rPr>
            </w:pPr>
          </w:p>
        </w:tc>
        <w:tc>
          <w:tcPr>
            <w:tcW w:w="2400" w:type="dxa"/>
            <w:vAlign w:val="bottom"/>
          </w:tcPr>
          <w:p>
            <w:pPr>
              <w:jc w:val="center"/>
              <w:spacing w:after="0"/>
              <w:rPr>
                <w:sz w:val="20"/>
                <w:szCs w:val="20"/>
                <w:color w:val="auto"/>
              </w:rPr>
            </w:pPr>
            <w:r>
              <w:rPr>
                <w:rFonts w:ascii="Arial" w:cs="Arial" w:eastAsia="Arial" w:hAnsi="Arial"/>
                <w:sz w:val="18"/>
                <w:szCs w:val="18"/>
                <w:color w:val="auto"/>
                <w:w w:val="88"/>
              </w:rPr>
              <w:t>February 26, 2007</w:t>
            </w:r>
          </w:p>
        </w:tc>
      </w:tr>
      <w:tr>
        <w:trPr>
          <w:trHeight w:val="169"/>
        </w:trPr>
        <w:tc>
          <w:tcPr>
            <w:tcW w:w="104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2840" w:type="dxa"/>
            <w:vAlign w:val="bottom"/>
          </w:tcPr>
          <w:p>
            <w:pPr>
              <w:jc w:val="center"/>
              <w:ind w:right="1184"/>
              <w:spacing w:after="0"/>
              <w:rPr>
                <w:sz w:val="20"/>
                <w:szCs w:val="20"/>
                <w:color w:val="auto"/>
              </w:rPr>
            </w:pPr>
            <w:r>
              <w:rPr>
                <w:rFonts w:ascii="Arial" w:cs="Arial" w:eastAsia="Arial" w:hAnsi="Arial"/>
                <w:sz w:val="14"/>
                <w:szCs w:val="14"/>
                <w:b w:val="1"/>
                <w:bCs w:val="1"/>
                <w:color w:val="auto"/>
                <w:w w:val="88"/>
              </w:rPr>
              <w:t>J. Michael Cook</w:t>
            </w:r>
          </w:p>
        </w:tc>
        <w:tc>
          <w:tcPr>
            <w:tcW w:w="240" w:type="dxa"/>
            <w:vAlign w:val="bottom"/>
          </w:tcPr>
          <w:p>
            <w:pPr>
              <w:spacing w:after="0"/>
              <w:rPr>
                <w:sz w:val="14"/>
                <w:szCs w:val="14"/>
                <w:color w:val="auto"/>
              </w:rPr>
            </w:pPr>
          </w:p>
        </w:tc>
        <w:tc>
          <w:tcPr>
            <w:tcW w:w="446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2400" w:type="dxa"/>
            <w:vAlign w:val="bottom"/>
          </w:tcPr>
          <w:p>
            <w:pPr>
              <w:spacing w:after="0"/>
              <w:rPr>
                <w:sz w:val="14"/>
                <w:szCs w:val="14"/>
                <w:color w:val="auto"/>
              </w:rPr>
            </w:pPr>
          </w:p>
        </w:tc>
      </w:tr>
      <w:tr>
        <w:trPr>
          <w:trHeight w:val="338"/>
        </w:trPr>
        <w:tc>
          <w:tcPr>
            <w:tcW w:w="1040" w:type="dxa"/>
            <w:vAlign w:val="bottom"/>
            <w:tcBorders>
              <w:bottom w:val="single" w:sz="8" w:color="auto"/>
            </w:tcBorders>
          </w:tcPr>
          <w:p>
            <w:pPr>
              <w:ind w:left="840"/>
              <w:spacing w:after="0"/>
              <w:rPr>
                <w:sz w:val="20"/>
                <w:szCs w:val="20"/>
                <w:color w:val="auto"/>
              </w:rPr>
            </w:pPr>
            <w:r>
              <w:rPr>
                <w:rFonts w:ascii="Arial" w:cs="Arial" w:eastAsia="Arial" w:hAnsi="Arial"/>
                <w:sz w:val="18"/>
                <w:szCs w:val="18"/>
                <w:color w:val="auto"/>
                <w:w w:val="94"/>
              </w:rPr>
              <w:t>/s/</w:t>
            </w:r>
          </w:p>
        </w:tc>
        <w:tc>
          <w:tcPr>
            <w:tcW w:w="3080" w:type="dxa"/>
            <w:vAlign w:val="bottom"/>
            <w:tcBorders>
              <w:bottom w:val="single" w:sz="8" w:color="auto"/>
            </w:tcBorders>
            <w:gridSpan w:val="2"/>
          </w:tcPr>
          <w:p>
            <w:pPr>
              <w:jc w:val="center"/>
              <w:ind w:right="884"/>
              <w:spacing w:after="0"/>
              <w:rPr>
                <w:sz w:val="20"/>
                <w:szCs w:val="20"/>
                <w:color w:val="auto"/>
              </w:rPr>
            </w:pPr>
            <w:r>
              <w:rPr>
                <w:rFonts w:ascii="Arial" w:cs="Arial" w:eastAsia="Arial" w:hAnsi="Arial"/>
                <w:sz w:val="18"/>
                <w:szCs w:val="18"/>
                <w:color w:val="auto"/>
              </w:rPr>
              <w:t>J</w:t>
            </w:r>
            <w:r>
              <w:rPr>
                <w:rFonts w:ascii="Arial" w:cs="Arial" w:eastAsia="Arial" w:hAnsi="Arial"/>
                <w:sz w:val="14"/>
                <w:szCs w:val="14"/>
                <w:color w:val="auto"/>
              </w:rPr>
              <w:t>EFFREY</w:t>
            </w:r>
            <w:r>
              <w:rPr>
                <w:rFonts w:ascii="Arial" w:cs="Arial" w:eastAsia="Arial" w:hAnsi="Arial"/>
                <w:sz w:val="18"/>
                <w:szCs w:val="18"/>
                <w:color w:val="auto"/>
              </w:rPr>
              <w:t xml:space="preserve"> A. H</w:t>
            </w:r>
            <w:r>
              <w:rPr>
                <w:rFonts w:ascii="Arial" w:cs="Arial" w:eastAsia="Arial" w:hAnsi="Arial"/>
                <w:sz w:val="14"/>
                <w:szCs w:val="14"/>
                <w:color w:val="auto"/>
              </w:rPr>
              <w:t>ONICKMAN</w:t>
            </w:r>
          </w:p>
        </w:tc>
        <w:tc>
          <w:tcPr>
            <w:tcW w:w="240" w:type="dxa"/>
            <w:vAlign w:val="bottom"/>
          </w:tcPr>
          <w:p>
            <w:pPr>
              <w:spacing w:after="0"/>
              <w:rPr>
                <w:sz w:val="24"/>
                <w:szCs w:val="24"/>
                <w:color w:val="auto"/>
              </w:rPr>
            </w:pPr>
          </w:p>
        </w:tc>
        <w:tc>
          <w:tcPr>
            <w:tcW w:w="4460" w:type="dxa"/>
            <w:vAlign w:val="bottom"/>
          </w:tcPr>
          <w:p>
            <w:pPr>
              <w:jc w:val="center"/>
              <w:spacing w:after="0"/>
              <w:rPr>
                <w:sz w:val="20"/>
                <w:szCs w:val="20"/>
                <w:color w:val="auto"/>
              </w:rPr>
            </w:pPr>
            <w:r>
              <w:rPr>
                <w:rFonts w:ascii="Arial" w:cs="Arial" w:eastAsia="Arial" w:hAnsi="Arial"/>
                <w:sz w:val="18"/>
                <w:szCs w:val="18"/>
                <w:color w:val="auto"/>
                <w:w w:val="91"/>
              </w:rPr>
              <w:t>Director</w:t>
            </w:r>
          </w:p>
        </w:tc>
        <w:tc>
          <w:tcPr>
            <w:tcW w:w="200" w:type="dxa"/>
            <w:vAlign w:val="bottom"/>
          </w:tcPr>
          <w:p>
            <w:pPr>
              <w:spacing w:after="0"/>
              <w:rPr>
                <w:sz w:val="24"/>
                <w:szCs w:val="24"/>
                <w:color w:val="auto"/>
              </w:rPr>
            </w:pPr>
          </w:p>
        </w:tc>
        <w:tc>
          <w:tcPr>
            <w:tcW w:w="2400" w:type="dxa"/>
            <w:vAlign w:val="bottom"/>
          </w:tcPr>
          <w:p>
            <w:pPr>
              <w:jc w:val="center"/>
              <w:spacing w:after="0"/>
              <w:rPr>
                <w:sz w:val="20"/>
                <w:szCs w:val="20"/>
                <w:color w:val="auto"/>
              </w:rPr>
            </w:pPr>
            <w:r>
              <w:rPr>
                <w:rFonts w:ascii="Arial" w:cs="Arial" w:eastAsia="Arial" w:hAnsi="Arial"/>
                <w:sz w:val="18"/>
                <w:szCs w:val="18"/>
                <w:color w:val="auto"/>
                <w:w w:val="88"/>
              </w:rPr>
              <w:t>February 26, 2007</w:t>
            </w:r>
          </w:p>
        </w:tc>
      </w:tr>
      <w:tr>
        <w:trPr>
          <w:trHeight w:val="169"/>
        </w:trPr>
        <w:tc>
          <w:tcPr>
            <w:tcW w:w="104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2840" w:type="dxa"/>
            <w:vAlign w:val="bottom"/>
          </w:tcPr>
          <w:p>
            <w:pPr>
              <w:jc w:val="center"/>
              <w:ind w:right="1204"/>
              <w:spacing w:after="0"/>
              <w:rPr>
                <w:sz w:val="20"/>
                <w:szCs w:val="20"/>
                <w:color w:val="auto"/>
              </w:rPr>
            </w:pPr>
            <w:r>
              <w:rPr>
                <w:rFonts w:ascii="Arial" w:cs="Arial" w:eastAsia="Arial" w:hAnsi="Arial"/>
                <w:sz w:val="14"/>
                <w:szCs w:val="14"/>
                <w:b w:val="1"/>
                <w:bCs w:val="1"/>
                <w:color w:val="auto"/>
                <w:w w:val="89"/>
              </w:rPr>
              <w:t>Jeffrey A. Honickman</w:t>
            </w:r>
          </w:p>
        </w:tc>
        <w:tc>
          <w:tcPr>
            <w:tcW w:w="240" w:type="dxa"/>
            <w:vAlign w:val="bottom"/>
          </w:tcPr>
          <w:p>
            <w:pPr>
              <w:spacing w:after="0"/>
              <w:rPr>
                <w:sz w:val="14"/>
                <w:szCs w:val="14"/>
                <w:color w:val="auto"/>
              </w:rPr>
            </w:pPr>
          </w:p>
        </w:tc>
        <w:tc>
          <w:tcPr>
            <w:tcW w:w="446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2400" w:type="dxa"/>
            <w:vAlign w:val="bottom"/>
          </w:tcPr>
          <w:p>
            <w:pPr>
              <w:spacing w:after="0"/>
              <w:rPr>
                <w:sz w:val="14"/>
                <w:szCs w:val="14"/>
                <w:color w:val="auto"/>
              </w:rPr>
            </w:pPr>
          </w:p>
        </w:tc>
      </w:tr>
      <w:tr>
        <w:trPr>
          <w:trHeight w:val="338"/>
        </w:trPr>
        <w:tc>
          <w:tcPr>
            <w:tcW w:w="1040" w:type="dxa"/>
            <w:vAlign w:val="bottom"/>
            <w:tcBorders>
              <w:bottom w:val="single" w:sz="8" w:color="auto"/>
            </w:tcBorders>
          </w:tcPr>
          <w:p>
            <w:pPr>
              <w:spacing w:after="0"/>
              <w:rPr>
                <w:sz w:val="24"/>
                <w:szCs w:val="24"/>
                <w:color w:val="auto"/>
              </w:rPr>
            </w:pPr>
          </w:p>
        </w:tc>
        <w:tc>
          <w:tcPr>
            <w:tcW w:w="240" w:type="dxa"/>
            <w:vAlign w:val="bottom"/>
            <w:tcBorders>
              <w:bottom w:val="single" w:sz="8" w:color="auto"/>
            </w:tcBorders>
          </w:tcPr>
          <w:p>
            <w:pPr>
              <w:ind w:left="40"/>
              <w:spacing w:after="0"/>
              <w:rPr>
                <w:sz w:val="20"/>
                <w:szCs w:val="20"/>
                <w:color w:val="auto"/>
              </w:rPr>
            </w:pPr>
            <w:r>
              <w:rPr>
                <w:rFonts w:ascii="Arial" w:cs="Arial" w:eastAsia="Arial" w:hAnsi="Arial"/>
                <w:sz w:val="18"/>
                <w:szCs w:val="18"/>
                <w:color w:val="auto"/>
                <w:w w:val="94"/>
              </w:rPr>
              <w:t>/s/</w:t>
            </w:r>
          </w:p>
        </w:tc>
        <w:tc>
          <w:tcPr>
            <w:tcW w:w="2840" w:type="dxa"/>
            <w:vAlign w:val="bottom"/>
            <w:tcBorders>
              <w:bottom w:val="single" w:sz="8" w:color="auto"/>
            </w:tcBorders>
          </w:tcPr>
          <w:p>
            <w:pPr>
              <w:jc w:val="center"/>
              <w:ind w:right="1124"/>
              <w:spacing w:after="0"/>
              <w:rPr>
                <w:sz w:val="20"/>
                <w:szCs w:val="20"/>
                <w:color w:val="auto"/>
              </w:rPr>
            </w:pPr>
            <w:r>
              <w:rPr>
                <w:rFonts w:ascii="Arial" w:cs="Arial" w:eastAsia="Arial" w:hAnsi="Arial"/>
                <w:sz w:val="18"/>
                <w:szCs w:val="18"/>
                <w:color w:val="auto"/>
                <w:w w:val="98"/>
              </w:rPr>
              <w:t>D</w:t>
            </w:r>
            <w:r>
              <w:rPr>
                <w:rFonts w:ascii="Arial" w:cs="Arial" w:eastAsia="Arial" w:hAnsi="Arial"/>
                <w:sz w:val="14"/>
                <w:szCs w:val="14"/>
                <w:color w:val="auto"/>
                <w:w w:val="98"/>
              </w:rPr>
              <w:t>R</w:t>
            </w:r>
            <w:r>
              <w:rPr>
                <w:rFonts w:ascii="Arial" w:cs="Arial" w:eastAsia="Arial" w:hAnsi="Arial"/>
                <w:sz w:val="18"/>
                <w:szCs w:val="18"/>
                <w:color w:val="auto"/>
                <w:w w:val="98"/>
              </w:rPr>
              <w:t>. J</w:t>
            </w:r>
            <w:r>
              <w:rPr>
                <w:rFonts w:ascii="Arial" w:cs="Arial" w:eastAsia="Arial" w:hAnsi="Arial"/>
                <w:sz w:val="14"/>
                <w:szCs w:val="14"/>
                <w:color w:val="auto"/>
                <w:w w:val="98"/>
              </w:rPr>
              <w:t>UDITH</w:t>
            </w:r>
            <w:r>
              <w:rPr>
                <w:rFonts w:ascii="Arial" w:cs="Arial" w:eastAsia="Arial" w:hAnsi="Arial"/>
                <w:sz w:val="18"/>
                <w:szCs w:val="18"/>
                <w:color w:val="auto"/>
                <w:w w:val="98"/>
              </w:rPr>
              <w:t xml:space="preserve"> R</w:t>
            </w:r>
            <w:r>
              <w:rPr>
                <w:rFonts w:ascii="Arial" w:cs="Arial" w:eastAsia="Arial" w:hAnsi="Arial"/>
                <w:sz w:val="14"/>
                <w:szCs w:val="14"/>
                <w:color w:val="auto"/>
                <w:w w:val="98"/>
              </w:rPr>
              <w:t>ODIN</w:t>
            </w:r>
          </w:p>
        </w:tc>
        <w:tc>
          <w:tcPr>
            <w:tcW w:w="240" w:type="dxa"/>
            <w:vAlign w:val="bottom"/>
          </w:tcPr>
          <w:p>
            <w:pPr>
              <w:spacing w:after="0"/>
              <w:rPr>
                <w:sz w:val="24"/>
                <w:szCs w:val="24"/>
                <w:color w:val="auto"/>
              </w:rPr>
            </w:pPr>
          </w:p>
        </w:tc>
        <w:tc>
          <w:tcPr>
            <w:tcW w:w="4460" w:type="dxa"/>
            <w:vAlign w:val="bottom"/>
          </w:tcPr>
          <w:p>
            <w:pPr>
              <w:jc w:val="center"/>
              <w:spacing w:after="0"/>
              <w:rPr>
                <w:sz w:val="20"/>
                <w:szCs w:val="20"/>
                <w:color w:val="auto"/>
              </w:rPr>
            </w:pPr>
            <w:r>
              <w:rPr>
                <w:rFonts w:ascii="Arial" w:cs="Arial" w:eastAsia="Arial" w:hAnsi="Arial"/>
                <w:sz w:val="18"/>
                <w:szCs w:val="18"/>
                <w:color w:val="auto"/>
                <w:w w:val="91"/>
              </w:rPr>
              <w:t>Director</w:t>
            </w:r>
          </w:p>
        </w:tc>
        <w:tc>
          <w:tcPr>
            <w:tcW w:w="200" w:type="dxa"/>
            <w:vAlign w:val="bottom"/>
          </w:tcPr>
          <w:p>
            <w:pPr>
              <w:spacing w:after="0"/>
              <w:rPr>
                <w:sz w:val="24"/>
                <w:szCs w:val="24"/>
                <w:color w:val="auto"/>
              </w:rPr>
            </w:pPr>
          </w:p>
        </w:tc>
        <w:tc>
          <w:tcPr>
            <w:tcW w:w="2400" w:type="dxa"/>
            <w:vAlign w:val="bottom"/>
          </w:tcPr>
          <w:p>
            <w:pPr>
              <w:jc w:val="center"/>
              <w:spacing w:after="0"/>
              <w:rPr>
                <w:sz w:val="20"/>
                <w:szCs w:val="20"/>
                <w:color w:val="auto"/>
              </w:rPr>
            </w:pPr>
            <w:r>
              <w:rPr>
                <w:rFonts w:ascii="Arial" w:cs="Arial" w:eastAsia="Arial" w:hAnsi="Arial"/>
                <w:sz w:val="18"/>
                <w:szCs w:val="18"/>
                <w:color w:val="auto"/>
                <w:w w:val="88"/>
              </w:rPr>
              <w:t>February 26, 2007</w:t>
            </w:r>
          </w:p>
        </w:tc>
      </w:tr>
      <w:tr>
        <w:trPr>
          <w:trHeight w:val="169"/>
        </w:trPr>
        <w:tc>
          <w:tcPr>
            <w:tcW w:w="104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2840" w:type="dxa"/>
            <w:vAlign w:val="bottom"/>
          </w:tcPr>
          <w:p>
            <w:pPr>
              <w:jc w:val="center"/>
              <w:ind w:right="1184"/>
              <w:spacing w:after="0"/>
              <w:rPr>
                <w:sz w:val="20"/>
                <w:szCs w:val="20"/>
                <w:color w:val="auto"/>
              </w:rPr>
            </w:pPr>
            <w:r>
              <w:rPr>
                <w:rFonts w:ascii="Arial" w:cs="Arial" w:eastAsia="Arial" w:hAnsi="Arial"/>
                <w:sz w:val="14"/>
                <w:szCs w:val="14"/>
                <w:b w:val="1"/>
                <w:bCs w:val="1"/>
                <w:color w:val="auto"/>
                <w:w w:val="89"/>
              </w:rPr>
              <w:t>Dr. Judith Rodin</w:t>
            </w:r>
          </w:p>
        </w:tc>
        <w:tc>
          <w:tcPr>
            <w:tcW w:w="240" w:type="dxa"/>
            <w:vAlign w:val="bottom"/>
          </w:tcPr>
          <w:p>
            <w:pPr>
              <w:spacing w:after="0"/>
              <w:rPr>
                <w:sz w:val="14"/>
                <w:szCs w:val="14"/>
                <w:color w:val="auto"/>
              </w:rPr>
            </w:pPr>
          </w:p>
        </w:tc>
        <w:tc>
          <w:tcPr>
            <w:tcW w:w="446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2400" w:type="dxa"/>
            <w:vAlign w:val="bottom"/>
          </w:tcPr>
          <w:p>
            <w:pPr>
              <w:spacing w:after="0"/>
              <w:rPr>
                <w:sz w:val="14"/>
                <w:szCs w:val="14"/>
                <w:color w:val="auto"/>
              </w:rPr>
            </w:pPr>
          </w:p>
        </w:tc>
      </w:tr>
      <w:tr>
        <w:trPr>
          <w:trHeight w:val="338"/>
        </w:trPr>
        <w:tc>
          <w:tcPr>
            <w:tcW w:w="1280" w:type="dxa"/>
            <w:vAlign w:val="bottom"/>
            <w:tcBorders>
              <w:bottom w:val="single" w:sz="8" w:color="auto"/>
            </w:tcBorders>
            <w:gridSpan w:val="2"/>
          </w:tcPr>
          <w:p>
            <w:pPr>
              <w:ind w:left="1000"/>
              <w:spacing w:after="0"/>
              <w:rPr>
                <w:sz w:val="20"/>
                <w:szCs w:val="20"/>
                <w:color w:val="auto"/>
              </w:rPr>
            </w:pPr>
            <w:r>
              <w:rPr>
                <w:rFonts w:ascii="Arial" w:cs="Arial" w:eastAsia="Arial" w:hAnsi="Arial"/>
                <w:sz w:val="18"/>
                <w:szCs w:val="18"/>
                <w:color w:val="auto"/>
              </w:rPr>
              <w:t>/s/</w:t>
            </w:r>
          </w:p>
        </w:tc>
        <w:tc>
          <w:tcPr>
            <w:tcW w:w="2840" w:type="dxa"/>
            <w:vAlign w:val="bottom"/>
            <w:tcBorders>
              <w:bottom w:val="single" w:sz="8" w:color="auto"/>
            </w:tcBorders>
          </w:tcPr>
          <w:p>
            <w:pPr>
              <w:jc w:val="center"/>
              <w:ind w:right="1124"/>
              <w:spacing w:after="0"/>
              <w:rPr>
                <w:sz w:val="20"/>
                <w:szCs w:val="20"/>
                <w:color w:val="auto"/>
              </w:rPr>
            </w:pPr>
            <w:r>
              <w:rPr>
                <w:rFonts w:ascii="Arial" w:cs="Arial" w:eastAsia="Arial" w:hAnsi="Arial"/>
                <w:sz w:val="18"/>
                <w:szCs w:val="18"/>
                <w:color w:val="auto"/>
              </w:rPr>
              <w:t>M</w:t>
            </w:r>
            <w:r>
              <w:rPr>
                <w:rFonts w:ascii="Arial" w:cs="Arial" w:eastAsia="Arial" w:hAnsi="Arial"/>
                <w:sz w:val="14"/>
                <w:szCs w:val="14"/>
                <w:color w:val="auto"/>
              </w:rPr>
              <w:t>ICHAEL</w:t>
            </w:r>
            <w:r>
              <w:rPr>
                <w:rFonts w:ascii="Arial" w:cs="Arial" w:eastAsia="Arial" w:hAnsi="Arial"/>
                <w:sz w:val="18"/>
                <w:szCs w:val="18"/>
                <w:color w:val="auto"/>
              </w:rPr>
              <w:t xml:space="preserve"> I. S</w:t>
            </w:r>
            <w:r>
              <w:rPr>
                <w:rFonts w:ascii="Arial" w:cs="Arial" w:eastAsia="Arial" w:hAnsi="Arial"/>
                <w:sz w:val="14"/>
                <w:szCs w:val="14"/>
                <w:color w:val="auto"/>
              </w:rPr>
              <w:t>OVERN</w:t>
            </w:r>
          </w:p>
        </w:tc>
        <w:tc>
          <w:tcPr>
            <w:tcW w:w="240" w:type="dxa"/>
            <w:vAlign w:val="bottom"/>
          </w:tcPr>
          <w:p>
            <w:pPr>
              <w:spacing w:after="0"/>
              <w:rPr>
                <w:sz w:val="24"/>
                <w:szCs w:val="24"/>
                <w:color w:val="auto"/>
              </w:rPr>
            </w:pPr>
          </w:p>
        </w:tc>
        <w:tc>
          <w:tcPr>
            <w:tcW w:w="4460" w:type="dxa"/>
            <w:vAlign w:val="bottom"/>
          </w:tcPr>
          <w:p>
            <w:pPr>
              <w:jc w:val="center"/>
              <w:spacing w:after="0"/>
              <w:rPr>
                <w:sz w:val="20"/>
                <w:szCs w:val="20"/>
                <w:color w:val="auto"/>
              </w:rPr>
            </w:pPr>
            <w:r>
              <w:rPr>
                <w:rFonts w:ascii="Arial" w:cs="Arial" w:eastAsia="Arial" w:hAnsi="Arial"/>
                <w:sz w:val="18"/>
                <w:szCs w:val="18"/>
                <w:color w:val="auto"/>
                <w:w w:val="91"/>
              </w:rPr>
              <w:t>Director</w:t>
            </w:r>
          </w:p>
        </w:tc>
        <w:tc>
          <w:tcPr>
            <w:tcW w:w="200" w:type="dxa"/>
            <w:vAlign w:val="bottom"/>
          </w:tcPr>
          <w:p>
            <w:pPr>
              <w:spacing w:after="0"/>
              <w:rPr>
                <w:sz w:val="24"/>
                <w:szCs w:val="24"/>
                <w:color w:val="auto"/>
              </w:rPr>
            </w:pPr>
          </w:p>
        </w:tc>
        <w:tc>
          <w:tcPr>
            <w:tcW w:w="2400" w:type="dxa"/>
            <w:vAlign w:val="bottom"/>
          </w:tcPr>
          <w:p>
            <w:pPr>
              <w:jc w:val="center"/>
              <w:spacing w:after="0"/>
              <w:rPr>
                <w:sz w:val="20"/>
                <w:szCs w:val="20"/>
                <w:color w:val="auto"/>
              </w:rPr>
            </w:pPr>
            <w:r>
              <w:rPr>
                <w:rFonts w:ascii="Arial" w:cs="Arial" w:eastAsia="Arial" w:hAnsi="Arial"/>
                <w:sz w:val="18"/>
                <w:szCs w:val="18"/>
                <w:color w:val="auto"/>
                <w:w w:val="88"/>
              </w:rPr>
              <w:t>February 26, 2007</w:t>
            </w:r>
          </w:p>
        </w:tc>
      </w:tr>
      <w:tr>
        <w:trPr>
          <w:trHeight w:val="169"/>
        </w:trPr>
        <w:tc>
          <w:tcPr>
            <w:tcW w:w="104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2840" w:type="dxa"/>
            <w:vAlign w:val="bottom"/>
          </w:tcPr>
          <w:p>
            <w:pPr>
              <w:jc w:val="center"/>
              <w:ind w:right="1184"/>
              <w:spacing w:after="0"/>
              <w:rPr>
                <w:sz w:val="20"/>
                <w:szCs w:val="20"/>
                <w:color w:val="auto"/>
              </w:rPr>
            </w:pPr>
            <w:r>
              <w:rPr>
                <w:rFonts w:ascii="Arial" w:cs="Arial" w:eastAsia="Arial" w:hAnsi="Arial"/>
                <w:sz w:val="14"/>
                <w:szCs w:val="14"/>
                <w:b w:val="1"/>
                <w:bCs w:val="1"/>
                <w:color w:val="auto"/>
                <w:w w:val="89"/>
              </w:rPr>
              <w:t>Michael I. Sovern</w:t>
            </w:r>
          </w:p>
        </w:tc>
        <w:tc>
          <w:tcPr>
            <w:tcW w:w="240" w:type="dxa"/>
            <w:vAlign w:val="bottom"/>
          </w:tcPr>
          <w:p>
            <w:pPr>
              <w:spacing w:after="0"/>
              <w:rPr>
                <w:sz w:val="14"/>
                <w:szCs w:val="14"/>
                <w:color w:val="auto"/>
              </w:rPr>
            </w:pPr>
          </w:p>
        </w:tc>
        <w:tc>
          <w:tcPr>
            <w:tcW w:w="446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2400" w:type="dxa"/>
            <w:vAlign w:val="bottom"/>
          </w:tcPr>
          <w:p>
            <w:pPr>
              <w:spacing w:after="0"/>
              <w:rPr>
                <w:sz w:val="14"/>
                <w:szCs w:val="14"/>
                <w:color w:val="auto"/>
              </w:rPr>
            </w:pPr>
          </w:p>
        </w:tc>
      </w:tr>
      <w:tr>
        <w:trPr>
          <w:trHeight w:val="350"/>
        </w:trPr>
        <w:tc>
          <w:tcPr>
            <w:tcW w:w="104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2840" w:type="dxa"/>
            <w:vAlign w:val="bottom"/>
          </w:tcPr>
          <w:p>
            <w:pPr>
              <w:spacing w:after="0"/>
              <w:rPr>
                <w:sz w:val="24"/>
                <w:szCs w:val="24"/>
                <w:color w:val="auto"/>
              </w:rPr>
            </w:pPr>
          </w:p>
        </w:tc>
        <w:tc>
          <w:tcPr>
            <w:tcW w:w="4700" w:type="dxa"/>
            <w:vAlign w:val="bottom"/>
            <w:gridSpan w:val="2"/>
          </w:tcPr>
          <w:p>
            <w:pPr>
              <w:jc w:val="right"/>
              <w:ind w:right="2933"/>
              <w:spacing w:after="0"/>
              <w:rPr>
                <w:sz w:val="20"/>
                <w:szCs w:val="20"/>
                <w:color w:val="auto"/>
              </w:rPr>
            </w:pPr>
            <w:r>
              <w:rPr>
                <w:rFonts w:ascii="Arial" w:cs="Arial" w:eastAsia="Arial" w:hAnsi="Arial"/>
                <w:sz w:val="18"/>
                <w:szCs w:val="18"/>
                <w:color w:val="auto"/>
              </w:rPr>
              <w:t>31</w:t>
            </w:r>
          </w:p>
        </w:tc>
        <w:tc>
          <w:tcPr>
            <w:tcW w:w="200" w:type="dxa"/>
            <w:vAlign w:val="bottom"/>
          </w:tcPr>
          <w:p>
            <w:pPr>
              <w:spacing w:after="0"/>
              <w:rPr>
                <w:sz w:val="24"/>
                <w:szCs w:val="24"/>
                <w:color w:val="auto"/>
              </w:rPr>
            </w:pPr>
          </w:p>
        </w:tc>
        <w:tc>
          <w:tcPr>
            <w:tcW w:w="2400" w:type="dxa"/>
            <w:vAlign w:val="bottom"/>
          </w:tcPr>
          <w:p>
            <w:pPr>
              <w:spacing w:after="0"/>
              <w:rPr>
                <w:sz w:val="24"/>
                <w:szCs w:val="24"/>
                <w:color w:val="auto"/>
              </w:rPr>
            </w:pPr>
          </w:p>
        </w:tc>
      </w:tr>
    </w:tbl>
    <w:p>
      <w:pPr>
        <w:sectPr>
          <w:pgSz w:w="11900" w:h="16838" w:orient="portrait"/>
          <w:cols w:equalWidth="0" w:num="1">
            <w:col w:w="11420"/>
          </w:cols>
          <w:pgMar w:left="240" w:top="459" w:right="239" w:bottom="1440" w:gutter="0" w:footer="0" w:header="0"/>
        </w:sectPr>
      </w:pPr>
    </w:p>
    <w:bookmarkStart w:id="34" w:name="page35"/>
    <w:bookmarkEnd w:id="3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REPORT OF INDEPENDENT REGISTERED PUBLIC ACCOUNTING FIRM</w:t>
      </w:r>
    </w:p>
    <w:p>
      <w:pPr>
        <w:spacing w:after="0" w:line="177" w:lineRule="exact"/>
        <w:rPr>
          <w:sz w:val="20"/>
          <w:szCs w:val="20"/>
          <w:color w:val="auto"/>
        </w:rPr>
      </w:pPr>
    </w:p>
    <w:p>
      <w:pPr>
        <w:spacing w:after="0"/>
        <w:rPr>
          <w:sz w:val="20"/>
          <w:szCs w:val="20"/>
          <w:color w:val="auto"/>
        </w:rPr>
      </w:pPr>
      <w:r>
        <w:rPr>
          <w:rFonts w:ascii="Arial" w:cs="Arial" w:eastAsia="Arial" w:hAnsi="Arial"/>
          <w:sz w:val="18"/>
          <w:szCs w:val="18"/>
          <w:color w:val="auto"/>
        </w:rPr>
        <w:t>Board of Directors and Stockholders</w:t>
      </w:r>
    </w:p>
    <w:p>
      <w:pPr>
        <w:spacing w:after="0" w:line="15" w:lineRule="exact"/>
        <w:rPr>
          <w:sz w:val="20"/>
          <w:szCs w:val="20"/>
          <w:color w:val="auto"/>
        </w:rPr>
      </w:pPr>
    </w:p>
    <w:p>
      <w:pPr>
        <w:spacing w:after="0"/>
        <w:rPr>
          <w:sz w:val="20"/>
          <w:szCs w:val="20"/>
          <w:color w:val="auto"/>
        </w:rPr>
      </w:pPr>
      <w:r>
        <w:rPr>
          <w:rFonts w:ascii="Arial" w:cs="Arial" w:eastAsia="Arial" w:hAnsi="Arial"/>
          <w:sz w:val="18"/>
          <w:szCs w:val="18"/>
          <w:color w:val="auto"/>
        </w:rPr>
        <w:t>Comcast Corporation</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Philadelphia, Pennsylvania</w:t>
      </w:r>
    </w:p>
    <w:p>
      <w:pPr>
        <w:spacing w:after="0" w:line="165" w:lineRule="exact"/>
        <w:rPr>
          <w:sz w:val="20"/>
          <w:szCs w:val="20"/>
          <w:color w:val="auto"/>
        </w:rPr>
      </w:pPr>
    </w:p>
    <w:p>
      <w:pPr>
        <w:ind w:firstLine="456"/>
        <w:spacing w:after="0" w:line="288" w:lineRule="auto"/>
        <w:rPr>
          <w:sz w:val="20"/>
          <w:szCs w:val="20"/>
          <w:color w:val="auto"/>
        </w:rPr>
      </w:pPr>
      <w:r>
        <w:rPr>
          <w:rFonts w:ascii="Arial" w:cs="Arial" w:eastAsia="Arial" w:hAnsi="Arial"/>
          <w:sz w:val="16"/>
          <w:szCs w:val="16"/>
          <w:color w:val="auto"/>
        </w:rPr>
        <w:t>We have audited the consolidated financial statements of Comcast Corporation and subsidiaries (the “Company”) as of December 31, 2006 and 2005, and for each of the three years in the period ended December 31, 2006, management’s assessment of the effectiveness of the Company’s internal control over financial reporting as of December 31, 2006, and the effectiveness of the Company’s internal control over financial reporting as of December 31, 2006, and have issued our report thereon dated February 23, 2007 (which report expresses an unqualified opinion and includes an explanatory paragraph concerning the adopting of a new accounting pronouncement in 2006); such consolidated financial statements and report are included in the 2006 Annual Report to Shareholders and incorporated by reference in this Form 10-K. Our audits also included the consolidated financial statement schedule of Comcast Corporation and its subsidiaries, listed in Item 15(a). This consolidated financial statement schedule is the responsibility of the Company’s management. Our responsibility is to express an opinion based on our audits. In our opinion, such consolidated financial statement schedule, when considered in relation to the basic consolidated financial statements taken as a whole, presents fairly, in all material respects, the information set forth therein.</w:t>
      </w:r>
    </w:p>
    <w:p>
      <w:pPr>
        <w:spacing w:after="0" w:line="120" w:lineRule="exact"/>
        <w:rPr>
          <w:sz w:val="20"/>
          <w:szCs w:val="20"/>
          <w:color w:val="auto"/>
        </w:rPr>
      </w:pPr>
    </w:p>
    <w:p>
      <w:pPr>
        <w:spacing w:after="0"/>
        <w:rPr>
          <w:sz w:val="20"/>
          <w:szCs w:val="20"/>
          <w:color w:val="auto"/>
        </w:rPr>
      </w:pPr>
      <w:r>
        <w:rPr>
          <w:rFonts w:ascii="Arial" w:cs="Arial" w:eastAsia="Arial" w:hAnsi="Arial"/>
          <w:sz w:val="18"/>
          <w:szCs w:val="18"/>
          <w:color w:val="auto"/>
        </w:rPr>
        <w:t>/s/ Deloitte &amp; Touche LLP</w:t>
      </w:r>
    </w:p>
    <w:p>
      <w:pPr>
        <w:spacing w:after="0" w:line="15" w:lineRule="exact"/>
        <w:rPr>
          <w:sz w:val="20"/>
          <w:szCs w:val="20"/>
          <w:color w:val="auto"/>
        </w:rPr>
      </w:pPr>
    </w:p>
    <w:p>
      <w:pPr>
        <w:spacing w:after="0"/>
        <w:rPr>
          <w:sz w:val="20"/>
          <w:szCs w:val="20"/>
          <w:color w:val="auto"/>
        </w:rPr>
      </w:pPr>
      <w:r>
        <w:rPr>
          <w:rFonts w:ascii="Arial" w:cs="Arial" w:eastAsia="Arial" w:hAnsi="Arial"/>
          <w:sz w:val="18"/>
          <w:szCs w:val="18"/>
          <w:color w:val="auto"/>
        </w:rPr>
        <w:t>Philadelphia, Pennsylvania</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February 23, 2007</w:t>
      </w:r>
    </w:p>
    <w:p>
      <w:pPr>
        <w:spacing w:after="0" w:line="15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32</w:t>
      </w:r>
    </w:p>
    <w:p>
      <w:pPr>
        <w:sectPr>
          <w:pgSz w:w="11900" w:h="16838" w:orient="portrait"/>
          <w:cols w:equalWidth="0" w:num="1">
            <w:col w:w="11420"/>
          </w:cols>
          <w:pgMar w:left="240" w:top="459" w:right="239" w:bottom="1440" w:gutter="0" w:footer="0" w:header="0"/>
        </w:sectPr>
      </w:pPr>
    </w:p>
    <w:bookmarkStart w:id="35" w:name="page36"/>
    <w:bookmarkEnd w:id="3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Comcast Corporation and Subsidiaries</w:t>
      </w:r>
    </w:p>
    <w:p>
      <w:pPr>
        <w:spacing w:after="0" w:line="90"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Schedule II—Valuation and Qualifying Accounts</w:t>
      </w:r>
    </w:p>
    <w:p>
      <w:pPr>
        <w:spacing w:after="0" w:line="90"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Years Ended December 31, 2006, 2005 and 2004</w:t>
      </w:r>
    </w:p>
    <w:p>
      <w:pPr>
        <w:spacing w:after="0" w:line="201"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656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680" w:type="dxa"/>
            <w:vAlign w:val="bottom"/>
            <w:gridSpan w:val="2"/>
          </w:tcPr>
          <w:p>
            <w:pPr>
              <w:ind w:left="60"/>
              <w:spacing w:after="0"/>
              <w:rPr>
                <w:sz w:val="20"/>
                <w:szCs w:val="20"/>
                <w:color w:val="auto"/>
              </w:rPr>
            </w:pPr>
            <w:r>
              <w:rPr>
                <w:rFonts w:ascii="Arial" w:cs="Arial" w:eastAsia="Arial" w:hAnsi="Arial"/>
                <w:sz w:val="14"/>
                <w:szCs w:val="14"/>
                <w:b w:val="1"/>
                <w:bCs w:val="1"/>
                <w:color w:val="auto"/>
                <w:w w:val="92"/>
              </w:rPr>
              <w:t>Additions</w:t>
            </w:r>
          </w:p>
        </w:tc>
        <w:tc>
          <w:tcPr>
            <w:tcW w:w="6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656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900" w:type="dxa"/>
            <w:vAlign w:val="bottom"/>
            <w:gridSpan w:val="2"/>
          </w:tcPr>
          <w:p>
            <w:pPr>
              <w:jc w:val="center"/>
              <w:ind w:right="300"/>
              <w:spacing w:after="0" w:line="149" w:lineRule="exact"/>
              <w:rPr>
                <w:sz w:val="20"/>
                <w:szCs w:val="20"/>
                <w:color w:val="auto"/>
              </w:rPr>
            </w:pPr>
            <w:r>
              <w:rPr>
                <w:rFonts w:ascii="Arial" w:cs="Arial" w:eastAsia="Arial" w:hAnsi="Arial"/>
                <w:sz w:val="14"/>
                <w:szCs w:val="14"/>
                <w:b w:val="1"/>
                <w:bCs w:val="1"/>
                <w:color w:val="auto"/>
                <w:w w:val="85"/>
              </w:rPr>
              <w:t>Balance at</w:t>
            </w:r>
          </w:p>
        </w:tc>
        <w:tc>
          <w:tcPr>
            <w:tcW w:w="300" w:type="dxa"/>
            <w:vAlign w:val="bottom"/>
          </w:tcPr>
          <w:p>
            <w:pPr>
              <w:spacing w:after="0"/>
              <w:rPr>
                <w:sz w:val="12"/>
                <w:szCs w:val="12"/>
                <w:color w:val="auto"/>
              </w:rPr>
            </w:pPr>
          </w:p>
        </w:tc>
        <w:tc>
          <w:tcPr>
            <w:tcW w:w="680" w:type="dxa"/>
            <w:vAlign w:val="bottom"/>
            <w:gridSpan w:val="2"/>
          </w:tcPr>
          <w:p>
            <w:pPr>
              <w:jc w:val="right"/>
              <w:spacing w:after="0" w:line="149" w:lineRule="exact"/>
              <w:rPr>
                <w:sz w:val="20"/>
                <w:szCs w:val="20"/>
                <w:color w:val="auto"/>
              </w:rPr>
            </w:pPr>
            <w:r>
              <w:rPr>
                <w:rFonts w:ascii="Arial" w:cs="Arial" w:eastAsia="Arial" w:hAnsi="Arial"/>
                <w:sz w:val="14"/>
                <w:szCs w:val="14"/>
                <w:b w:val="1"/>
                <w:bCs w:val="1"/>
                <w:color w:val="auto"/>
                <w:w w:val="86"/>
              </w:rPr>
              <w:t>Charged to</w:t>
            </w:r>
          </w:p>
        </w:tc>
        <w:tc>
          <w:tcPr>
            <w:tcW w:w="600" w:type="dxa"/>
            <w:vAlign w:val="bottom"/>
          </w:tcPr>
          <w:p>
            <w:pPr>
              <w:spacing w:after="0"/>
              <w:rPr>
                <w:sz w:val="12"/>
                <w:szCs w:val="12"/>
                <w:color w:val="auto"/>
              </w:rPr>
            </w:pPr>
          </w:p>
        </w:tc>
        <w:tc>
          <w:tcPr>
            <w:tcW w:w="680" w:type="dxa"/>
            <w:vAlign w:val="bottom"/>
            <w:gridSpan w:val="2"/>
          </w:tcPr>
          <w:p>
            <w:pPr>
              <w:ind w:left="20"/>
              <w:spacing w:after="0" w:line="149" w:lineRule="exact"/>
              <w:rPr>
                <w:sz w:val="20"/>
                <w:szCs w:val="20"/>
                <w:color w:val="auto"/>
              </w:rPr>
            </w:pPr>
            <w:r>
              <w:rPr>
                <w:rFonts w:ascii="Arial" w:cs="Arial" w:eastAsia="Arial" w:hAnsi="Arial"/>
                <w:sz w:val="14"/>
                <w:szCs w:val="14"/>
                <w:b w:val="1"/>
                <w:bCs w:val="1"/>
                <w:color w:val="auto"/>
                <w:w w:val="83"/>
              </w:rPr>
              <w:t>Deductions</w:t>
            </w:r>
          </w:p>
        </w:tc>
        <w:tc>
          <w:tcPr>
            <w:tcW w:w="600" w:type="dxa"/>
            <w:vAlign w:val="bottom"/>
          </w:tcPr>
          <w:p>
            <w:pPr>
              <w:spacing w:after="0"/>
              <w:rPr>
                <w:sz w:val="12"/>
                <w:szCs w:val="12"/>
                <w:color w:val="auto"/>
              </w:rPr>
            </w:pPr>
          </w:p>
        </w:tc>
        <w:tc>
          <w:tcPr>
            <w:tcW w:w="46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85"/>
              </w:rPr>
              <w:t>Balance</w:t>
            </w:r>
          </w:p>
        </w:tc>
        <w:tc>
          <w:tcPr>
            <w:tcW w:w="0" w:type="dxa"/>
            <w:vAlign w:val="bottom"/>
          </w:tcPr>
          <w:p>
            <w:pPr>
              <w:spacing w:after="0"/>
              <w:rPr>
                <w:sz w:val="1"/>
                <w:szCs w:val="1"/>
                <w:color w:val="auto"/>
              </w:rPr>
            </w:pPr>
          </w:p>
        </w:tc>
      </w:tr>
      <w:tr>
        <w:trPr>
          <w:trHeight w:val="149"/>
        </w:trPr>
        <w:tc>
          <w:tcPr>
            <w:tcW w:w="6580" w:type="dxa"/>
            <w:vAlign w:val="bottom"/>
            <w:gridSpan w:val="2"/>
            <w:vMerge w:val="restart"/>
          </w:tcPr>
          <w:p>
            <w:pPr>
              <w:spacing w:after="0"/>
              <w:rPr>
                <w:sz w:val="20"/>
                <w:szCs w:val="20"/>
                <w:color w:val="auto"/>
              </w:rPr>
            </w:pPr>
            <w:r>
              <w:rPr>
                <w:rFonts w:ascii="Arial" w:cs="Arial" w:eastAsia="Arial" w:hAnsi="Arial"/>
                <w:sz w:val="14"/>
                <w:szCs w:val="14"/>
                <w:b w:val="1"/>
                <w:bCs w:val="1"/>
                <w:color w:val="auto"/>
              </w:rPr>
              <w:t>(In millions)</w:t>
            </w:r>
          </w:p>
        </w:tc>
        <w:tc>
          <w:tcPr>
            <w:tcW w:w="620" w:type="dxa"/>
            <w:vAlign w:val="bottom"/>
          </w:tcPr>
          <w:p>
            <w:pPr>
              <w:spacing w:after="0"/>
              <w:rPr>
                <w:sz w:val="12"/>
                <w:szCs w:val="12"/>
                <w:color w:val="auto"/>
              </w:rPr>
            </w:pPr>
          </w:p>
        </w:tc>
        <w:tc>
          <w:tcPr>
            <w:tcW w:w="900" w:type="dxa"/>
            <w:vAlign w:val="bottom"/>
            <w:gridSpan w:val="2"/>
          </w:tcPr>
          <w:p>
            <w:pPr>
              <w:jc w:val="center"/>
              <w:ind w:right="320"/>
              <w:spacing w:after="0" w:line="149" w:lineRule="exact"/>
              <w:rPr>
                <w:sz w:val="20"/>
                <w:szCs w:val="20"/>
                <w:color w:val="auto"/>
              </w:rPr>
            </w:pPr>
            <w:r>
              <w:rPr>
                <w:rFonts w:ascii="Arial" w:cs="Arial" w:eastAsia="Arial" w:hAnsi="Arial"/>
                <w:sz w:val="14"/>
                <w:szCs w:val="14"/>
                <w:b w:val="1"/>
                <w:bCs w:val="1"/>
                <w:color w:val="auto"/>
                <w:w w:val="84"/>
              </w:rPr>
              <w:t>Beginning</w:t>
            </w:r>
          </w:p>
        </w:tc>
        <w:tc>
          <w:tcPr>
            <w:tcW w:w="300" w:type="dxa"/>
            <w:vAlign w:val="bottom"/>
          </w:tcPr>
          <w:p>
            <w:pPr>
              <w:spacing w:after="0"/>
              <w:rPr>
                <w:sz w:val="12"/>
                <w:szCs w:val="12"/>
                <w:color w:val="auto"/>
              </w:rPr>
            </w:pPr>
          </w:p>
        </w:tc>
        <w:tc>
          <w:tcPr>
            <w:tcW w:w="680" w:type="dxa"/>
            <w:vAlign w:val="bottom"/>
            <w:gridSpan w:val="2"/>
          </w:tcPr>
          <w:p>
            <w:pPr>
              <w:ind w:left="60"/>
              <w:spacing w:after="0" w:line="149" w:lineRule="exact"/>
              <w:rPr>
                <w:sz w:val="20"/>
                <w:szCs w:val="20"/>
                <w:color w:val="auto"/>
              </w:rPr>
            </w:pPr>
            <w:r>
              <w:rPr>
                <w:rFonts w:ascii="Arial" w:cs="Arial" w:eastAsia="Arial" w:hAnsi="Arial"/>
                <w:sz w:val="14"/>
                <w:szCs w:val="14"/>
                <w:b w:val="1"/>
                <w:bCs w:val="1"/>
                <w:color w:val="auto"/>
                <w:w w:val="88"/>
              </w:rPr>
              <w:t>Costs and</w:t>
            </w:r>
          </w:p>
        </w:tc>
        <w:tc>
          <w:tcPr>
            <w:tcW w:w="6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540" w:type="dxa"/>
            <w:vAlign w:val="bottom"/>
          </w:tcPr>
          <w:p>
            <w:pPr>
              <w:jc w:val="right"/>
              <w:ind w:right="117"/>
              <w:spacing w:after="0" w:line="149" w:lineRule="exact"/>
              <w:rPr>
                <w:sz w:val="20"/>
                <w:szCs w:val="20"/>
                <w:color w:val="auto"/>
              </w:rPr>
            </w:pPr>
            <w:r>
              <w:rPr>
                <w:rFonts w:ascii="Arial" w:cs="Arial" w:eastAsia="Arial" w:hAnsi="Arial"/>
                <w:sz w:val="14"/>
                <w:szCs w:val="14"/>
                <w:b w:val="1"/>
                <w:bCs w:val="1"/>
                <w:color w:val="auto"/>
              </w:rPr>
              <w:t>from</w:t>
            </w:r>
          </w:p>
        </w:tc>
        <w:tc>
          <w:tcPr>
            <w:tcW w:w="600" w:type="dxa"/>
            <w:vAlign w:val="bottom"/>
          </w:tcPr>
          <w:p>
            <w:pPr>
              <w:spacing w:after="0"/>
              <w:rPr>
                <w:sz w:val="12"/>
                <w:szCs w:val="12"/>
                <w:color w:val="auto"/>
              </w:rPr>
            </w:pPr>
          </w:p>
        </w:tc>
        <w:tc>
          <w:tcPr>
            <w:tcW w:w="46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88"/>
              </w:rPr>
              <w:t>at End</w:t>
            </w:r>
          </w:p>
        </w:tc>
        <w:tc>
          <w:tcPr>
            <w:tcW w:w="0" w:type="dxa"/>
            <w:vAlign w:val="bottom"/>
          </w:tcPr>
          <w:p>
            <w:pPr>
              <w:spacing w:after="0"/>
              <w:rPr>
                <w:sz w:val="1"/>
                <w:szCs w:val="1"/>
                <w:color w:val="auto"/>
              </w:rPr>
            </w:pPr>
          </w:p>
        </w:tc>
      </w:tr>
      <w:tr>
        <w:trPr>
          <w:trHeight w:val="155"/>
        </w:trPr>
        <w:tc>
          <w:tcPr>
            <w:tcW w:w="6580" w:type="dxa"/>
            <w:vAlign w:val="bottom"/>
            <w:gridSpan w:val="2"/>
            <w:vMerge w:val="continue"/>
          </w:tcPr>
          <w:p>
            <w:pPr>
              <w:spacing w:after="0"/>
              <w:rPr>
                <w:sz w:val="13"/>
                <w:szCs w:val="13"/>
                <w:color w:val="auto"/>
              </w:rPr>
            </w:pPr>
          </w:p>
        </w:tc>
        <w:tc>
          <w:tcPr>
            <w:tcW w:w="620" w:type="dxa"/>
            <w:vAlign w:val="bottom"/>
          </w:tcPr>
          <w:p>
            <w:pPr>
              <w:spacing w:after="0"/>
              <w:rPr>
                <w:sz w:val="13"/>
                <w:szCs w:val="13"/>
                <w:color w:val="auto"/>
              </w:rPr>
            </w:pPr>
          </w:p>
        </w:tc>
        <w:tc>
          <w:tcPr>
            <w:tcW w:w="900" w:type="dxa"/>
            <w:vAlign w:val="bottom"/>
            <w:gridSpan w:val="2"/>
          </w:tcPr>
          <w:p>
            <w:pPr>
              <w:jc w:val="center"/>
              <w:ind w:right="320"/>
              <w:spacing w:after="0" w:line="148" w:lineRule="exact"/>
              <w:rPr>
                <w:sz w:val="20"/>
                <w:szCs w:val="20"/>
                <w:color w:val="auto"/>
              </w:rPr>
            </w:pPr>
            <w:r>
              <w:rPr>
                <w:rFonts w:ascii="Arial" w:cs="Arial" w:eastAsia="Arial" w:hAnsi="Arial"/>
                <w:sz w:val="14"/>
                <w:szCs w:val="14"/>
                <w:b w:val="1"/>
                <w:bCs w:val="1"/>
                <w:color w:val="auto"/>
                <w:w w:val="88"/>
              </w:rPr>
              <w:t>of Year</w:t>
            </w:r>
          </w:p>
        </w:tc>
        <w:tc>
          <w:tcPr>
            <w:tcW w:w="300" w:type="dxa"/>
            <w:vAlign w:val="bottom"/>
          </w:tcPr>
          <w:p>
            <w:pPr>
              <w:spacing w:after="0"/>
              <w:rPr>
                <w:sz w:val="13"/>
                <w:szCs w:val="13"/>
                <w:color w:val="auto"/>
              </w:rPr>
            </w:pPr>
          </w:p>
        </w:tc>
        <w:tc>
          <w:tcPr>
            <w:tcW w:w="680" w:type="dxa"/>
            <w:vAlign w:val="bottom"/>
            <w:gridSpan w:val="2"/>
          </w:tcPr>
          <w:p>
            <w:pPr>
              <w:ind w:left="80"/>
              <w:spacing w:after="0" w:line="148" w:lineRule="exact"/>
              <w:rPr>
                <w:sz w:val="20"/>
                <w:szCs w:val="20"/>
                <w:color w:val="auto"/>
              </w:rPr>
            </w:pPr>
            <w:r>
              <w:rPr>
                <w:rFonts w:ascii="Arial" w:cs="Arial" w:eastAsia="Arial" w:hAnsi="Arial"/>
                <w:sz w:val="14"/>
                <w:szCs w:val="14"/>
                <w:b w:val="1"/>
                <w:bCs w:val="1"/>
                <w:color w:val="auto"/>
                <w:w w:val="88"/>
              </w:rPr>
              <w:t>Expenses</w:t>
            </w:r>
          </w:p>
        </w:tc>
        <w:tc>
          <w:tcPr>
            <w:tcW w:w="600" w:type="dxa"/>
            <w:vAlign w:val="bottom"/>
          </w:tcPr>
          <w:p>
            <w:pPr>
              <w:spacing w:after="0"/>
              <w:rPr>
                <w:sz w:val="13"/>
                <w:szCs w:val="13"/>
                <w:color w:val="auto"/>
              </w:rPr>
            </w:pPr>
          </w:p>
        </w:tc>
        <w:tc>
          <w:tcPr>
            <w:tcW w:w="680" w:type="dxa"/>
            <w:vAlign w:val="bottom"/>
            <w:gridSpan w:val="2"/>
          </w:tcPr>
          <w:p>
            <w:pPr>
              <w:jc w:val="right"/>
              <w:spacing w:after="0" w:line="148" w:lineRule="exact"/>
              <w:rPr>
                <w:sz w:val="20"/>
                <w:szCs w:val="20"/>
                <w:color w:val="auto"/>
              </w:rPr>
            </w:pPr>
            <w:r>
              <w:rPr>
                <w:rFonts w:ascii="Arial" w:cs="Arial" w:eastAsia="Arial" w:hAnsi="Arial"/>
                <w:sz w:val="14"/>
                <w:szCs w:val="14"/>
                <w:b w:val="1"/>
                <w:bCs w:val="1"/>
                <w:color w:val="auto"/>
                <w:w w:val="80"/>
              </w:rPr>
              <w:t>Reserves(a)</w:t>
            </w:r>
          </w:p>
        </w:tc>
        <w:tc>
          <w:tcPr>
            <w:tcW w:w="600" w:type="dxa"/>
            <w:vAlign w:val="bottom"/>
          </w:tcPr>
          <w:p>
            <w:pPr>
              <w:spacing w:after="0"/>
              <w:rPr>
                <w:sz w:val="13"/>
                <w:szCs w:val="13"/>
                <w:color w:val="auto"/>
              </w:rPr>
            </w:pPr>
          </w:p>
        </w:tc>
        <w:tc>
          <w:tcPr>
            <w:tcW w:w="460" w:type="dxa"/>
            <w:vAlign w:val="bottom"/>
          </w:tcPr>
          <w:p>
            <w:pPr>
              <w:jc w:val="center"/>
              <w:spacing w:after="0" w:line="148" w:lineRule="exact"/>
              <w:rPr>
                <w:sz w:val="20"/>
                <w:szCs w:val="20"/>
                <w:color w:val="auto"/>
              </w:rPr>
            </w:pPr>
            <w:r>
              <w:rPr>
                <w:rFonts w:ascii="Arial" w:cs="Arial" w:eastAsia="Arial" w:hAnsi="Arial"/>
                <w:sz w:val="14"/>
                <w:szCs w:val="14"/>
                <w:b w:val="1"/>
                <w:bCs w:val="1"/>
                <w:color w:val="auto"/>
                <w:w w:val="88"/>
              </w:rPr>
              <w:t>of Year</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56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rPr>
              <w:t>Allowance for Doubtful Accounts</w:t>
            </w:r>
          </w:p>
        </w:tc>
        <w:tc>
          <w:tcPr>
            <w:tcW w:w="620" w:type="dxa"/>
            <w:vAlign w:val="bottom"/>
            <w:shd w:val="clear" w:color="auto" w:fill="CCEEFF"/>
          </w:tcPr>
          <w:p>
            <w:pPr>
              <w:spacing w:after="0"/>
              <w:rPr>
                <w:sz w:val="18"/>
                <w:szCs w:val="18"/>
                <w:color w:val="auto"/>
              </w:rPr>
            </w:pPr>
          </w:p>
        </w:tc>
        <w:tc>
          <w:tcPr>
            <w:tcW w:w="600" w:type="dxa"/>
            <w:vAlign w:val="bottom"/>
            <w:tcBorders>
              <w:top w:val="single" w:sz="8" w:color="auto"/>
            </w:tcBorders>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260" w:type="dxa"/>
            <w:vAlign w:val="bottom"/>
            <w:tcBorders>
              <w:top w:val="single" w:sz="8" w:color="auto"/>
            </w:tcBorders>
            <w:shd w:val="clear" w:color="auto" w:fill="CCEEFF"/>
          </w:tcPr>
          <w:p>
            <w:pPr>
              <w:spacing w:after="0"/>
              <w:rPr>
                <w:sz w:val="18"/>
                <w:szCs w:val="18"/>
                <w:color w:val="auto"/>
              </w:rPr>
            </w:pPr>
          </w:p>
        </w:tc>
        <w:tc>
          <w:tcPr>
            <w:tcW w:w="420" w:type="dxa"/>
            <w:vAlign w:val="bottom"/>
            <w:tcBorders>
              <w:top w:val="single" w:sz="8" w:color="auto"/>
            </w:tcBorders>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140" w:type="dxa"/>
            <w:vAlign w:val="bottom"/>
            <w:tcBorders>
              <w:top w:val="single" w:sz="8" w:color="auto"/>
            </w:tcBorders>
            <w:shd w:val="clear" w:color="auto" w:fill="CCEEFF"/>
          </w:tcPr>
          <w:p>
            <w:pPr>
              <w:spacing w:after="0"/>
              <w:rPr>
                <w:sz w:val="18"/>
                <w:szCs w:val="18"/>
                <w:color w:val="auto"/>
              </w:rPr>
            </w:pPr>
          </w:p>
        </w:tc>
        <w:tc>
          <w:tcPr>
            <w:tcW w:w="540" w:type="dxa"/>
            <w:vAlign w:val="bottom"/>
            <w:tcBorders>
              <w:top w:val="single" w:sz="8" w:color="auto"/>
            </w:tcBorders>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460" w:type="dxa"/>
            <w:vAlign w:val="bottom"/>
            <w:tcBorders>
              <w:top w:val="single" w:sz="8" w:color="auto"/>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560" w:type="dxa"/>
            <w:vAlign w:val="bottom"/>
          </w:tcPr>
          <w:p>
            <w:pPr>
              <w:spacing w:after="0"/>
              <w:rPr>
                <w:sz w:val="20"/>
                <w:szCs w:val="20"/>
                <w:color w:val="auto"/>
              </w:rPr>
            </w:pPr>
            <w:r>
              <w:rPr>
                <w:rFonts w:ascii="Arial" w:cs="Arial" w:eastAsia="Arial" w:hAnsi="Arial"/>
                <w:sz w:val="18"/>
                <w:szCs w:val="18"/>
                <w:color w:val="auto"/>
              </w:rPr>
              <w:t>2006</w:t>
            </w:r>
          </w:p>
        </w:tc>
        <w:tc>
          <w:tcPr>
            <w:tcW w:w="1520" w:type="dxa"/>
            <w:vAlign w:val="bottom"/>
            <w:gridSpan w:val="3"/>
          </w:tcPr>
          <w:p>
            <w:pPr>
              <w:jc w:val="right"/>
              <w:ind w:right="300"/>
              <w:spacing w:after="0"/>
              <w:rPr>
                <w:sz w:val="20"/>
                <w:szCs w:val="20"/>
                <w:color w:val="auto"/>
              </w:rPr>
            </w:pPr>
            <w:r>
              <w:rPr>
                <w:rFonts w:ascii="Arial" w:cs="Arial" w:eastAsia="Arial" w:hAnsi="Arial"/>
                <w:sz w:val="18"/>
                <w:szCs w:val="18"/>
                <w:color w:val="auto"/>
              </w:rPr>
              <w:t>$   132</w:t>
            </w:r>
          </w:p>
        </w:tc>
        <w:tc>
          <w:tcPr>
            <w:tcW w:w="560" w:type="dxa"/>
            <w:vAlign w:val="bottom"/>
            <w:gridSpan w:val="2"/>
          </w:tcPr>
          <w:p>
            <w:pPr>
              <w:jc w:val="right"/>
              <w:ind w:right="92"/>
              <w:spacing w:after="0"/>
              <w:rPr>
                <w:sz w:val="20"/>
                <w:szCs w:val="20"/>
                <w:color w:val="auto"/>
              </w:rPr>
            </w:pPr>
            <w:r>
              <w:rPr>
                <w:rFonts w:ascii="Arial" w:cs="Arial" w:eastAsia="Arial" w:hAnsi="Arial"/>
                <w:sz w:val="18"/>
                <w:szCs w:val="18"/>
                <w:color w:val="auto"/>
              </w:rPr>
              <w:t>$</w:t>
            </w:r>
          </w:p>
        </w:tc>
        <w:tc>
          <w:tcPr>
            <w:tcW w:w="420" w:type="dxa"/>
            <w:vAlign w:val="bottom"/>
          </w:tcPr>
          <w:p>
            <w:pPr>
              <w:jc w:val="right"/>
              <w:spacing w:after="0"/>
              <w:rPr>
                <w:sz w:val="20"/>
                <w:szCs w:val="20"/>
                <w:color w:val="auto"/>
              </w:rPr>
            </w:pPr>
            <w:r>
              <w:rPr>
                <w:rFonts w:ascii="Arial" w:cs="Arial" w:eastAsia="Arial" w:hAnsi="Arial"/>
                <w:sz w:val="18"/>
                <w:szCs w:val="18"/>
                <w:color w:val="auto"/>
              </w:rPr>
              <w:t>279</w:t>
            </w:r>
          </w:p>
        </w:tc>
        <w:tc>
          <w:tcPr>
            <w:tcW w:w="740" w:type="dxa"/>
            <w:vAlign w:val="bottom"/>
            <w:gridSpan w:val="2"/>
          </w:tcPr>
          <w:p>
            <w:pPr>
              <w:ind w:left="600"/>
              <w:spacing w:after="0"/>
              <w:rPr>
                <w:sz w:val="20"/>
                <w:szCs w:val="20"/>
                <w:color w:val="auto"/>
              </w:rPr>
            </w:pPr>
            <w:r>
              <w:rPr>
                <w:rFonts w:ascii="Arial" w:cs="Arial" w:eastAsia="Arial" w:hAnsi="Arial"/>
                <w:sz w:val="18"/>
                <w:szCs w:val="18"/>
                <w:color w:val="auto"/>
              </w:rPr>
              <w:t>$</w:t>
            </w:r>
          </w:p>
        </w:tc>
        <w:tc>
          <w:tcPr>
            <w:tcW w:w="540" w:type="dxa"/>
            <w:vAlign w:val="bottom"/>
          </w:tcPr>
          <w:p>
            <w:pPr>
              <w:jc w:val="right"/>
              <w:spacing w:after="0"/>
              <w:rPr>
                <w:sz w:val="20"/>
                <w:szCs w:val="20"/>
                <w:color w:val="auto"/>
              </w:rPr>
            </w:pPr>
            <w:r>
              <w:rPr>
                <w:rFonts w:ascii="Arial" w:cs="Arial" w:eastAsia="Arial" w:hAnsi="Arial"/>
                <w:sz w:val="18"/>
                <w:szCs w:val="18"/>
                <w:color w:val="auto"/>
              </w:rPr>
              <w:t>254</w:t>
            </w:r>
          </w:p>
        </w:tc>
        <w:tc>
          <w:tcPr>
            <w:tcW w:w="1060" w:type="dxa"/>
            <w:vAlign w:val="bottom"/>
            <w:gridSpan w:val="2"/>
          </w:tcPr>
          <w:p>
            <w:pPr>
              <w:jc w:val="right"/>
              <w:spacing w:after="0"/>
              <w:rPr>
                <w:sz w:val="20"/>
                <w:szCs w:val="20"/>
                <w:color w:val="auto"/>
              </w:rPr>
            </w:pPr>
            <w:r>
              <w:rPr>
                <w:rFonts w:ascii="Arial" w:cs="Arial" w:eastAsia="Arial" w:hAnsi="Arial"/>
                <w:sz w:val="18"/>
                <w:szCs w:val="18"/>
                <w:color w:val="auto"/>
              </w:rPr>
              <w:t>$ 157</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560" w:type="dxa"/>
            <w:vAlign w:val="bottom"/>
            <w:shd w:val="clear" w:color="auto" w:fill="CCEEFF"/>
          </w:tcPr>
          <w:p>
            <w:pPr>
              <w:spacing w:after="0"/>
              <w:rPr>
                <w:sz w:val="20"/>
                <w:szCs w:val="20"/>
                <w:color w:val="auto"/>
              </w:rPr>
            </w:pPr>
            <w:r>
              <w:rPr>
                <w:rFonts w:ascii="Arial" w:cs="Arial" w:eastAsia="Arial" w:hAnsi="Arial"/>
                <w:sz w:val="18"/>
                <w:szCs w:val="18"/>
                <w:color w:val="auto"/>
              </w:rPr>
              <w:t>2005</w:t>
            </w:r>
          </w:p>
        </w:tc>
        <w:tc>
          <w:tcPr>
            <w:tcW w:w="1520" w:type="dxa"/>
            <w:vAlign w:val="bottom"/>
            <w:gridSpan w:val="3"/>
            <w:shd w:val="clear" w:color="auto" w:fill="CCEEFF"/>
          </w:tcPr>
          <w:p>
            <w:pPr>
              <w:jc w:val="right"/>
              <w:ind w:right="300"/>
              <w:spacing w:after="0"/>
              <w:rPr>
                <w:sz w:val="20"/>
                <w:szCs w:val="20"/>
                <w:color w:val="auto"/>
              </w:rPr>
            </w:pPr>
            <w:r>
              <w:rPr>
                <w:rFonts w:ascii="Arial" w:cs="Arial" w:eastAsia="Arial" w:hAnsi="Arial"/>
                <w:sz w:val="18"/>
                <w:szCs w:val="18"/>
                <w:color w:val="auto"/>
              </w:rPr>
              <w:t>127</w:t>
            </w:r>
          </w:p>
        </w:tc>
        <w:tc>
          <w:tcPr>
            <w:tcW w:w="30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4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245</w:t>
            </w:r>
          </w:p>
        </w:tc>
        <w:tc>
          <w:tcPr>
            <w:tcW w:w="6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5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240</w:t>
            </w:r>
          </w:p>
        </w:tc>
        <w:tc>
          <w:tcPr>
            <w:tcW w:w="10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132</w:t>
            </w: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6560" w:type="dxa"/>
            <w:vAlign w:val="bottom"/>
          </w:tcPr>
          <w:p>
            <w:pPr>
              <w:spacing w:after="0"/>
              <w:rPr>
                <w:sz w:val="20"/>
                <w:szCs w:val="20"/>
                <w:color w:val="auto"/>
              </w:rPr>
            </w:pPr>
            <w:r>
              <w:rPr>
                <w:rFonts w:ascii="Arial" w:cs="Arial" w:eastAsia="Arial" w:hAnsi="Arial"/>
                <w:sz w:val="18"/>
                <w:szCs w:val="18"/>
                <w:color w:val="auto"/>
              </w:rPr>
              <w:t>2004</w:t>
            </w:r>
          </w:p>
        </w:tc>
        <w:tc>
          <w:tcPr>
            <w:tcW w:w="1520" w:type="dxa"/>
            <w:vAlign w:val="bottom"/>
            <w:gridSpan w:val="3"/>
          </w:tcPr>
          <w:p>
            <w:pPr>
              <w:jc w:val="right"/>
              <w:ind w:right="300"/>
              <w:spacing w:after="0"/>
              <w:rPr>
                <w:sz w:val="20"/>
                <w:szCs w:val="20"/>
                <w:color w:val="auto"/>
              </w:rPr>
            </w:pPr>
            <w:r>
              <w:rPr>
                <w:rFonts w:ascii="Arial" w:cs="Arial" w:eastAsia="Arial" w:hAnsi="Arial"/>
                <w:sz w:val="18"/>
                <w:szCs w:val="18"/>
                <w:color w:val="auto"/>
              </w:rPr>
              <w:t>142</w:t>
            </w:r>
          </w:p>
        </w:tc>
        <w:tc>
          <w:tcPr>
            <w:tcW w:w="3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420" w:type="dxa"/>
            <w:vAlign w:val="bottom"/>
          </w:tcPr>
          <w:p>
            <w:pPr>
              <w:jc w:val="right"/>
              <w:spacing w:after="0"/>
              <w:rPr>
                <w:sz w:val="20"/>
                <w:szCs w:val="20"/>
                <w:color w:val="auto"/>
              </w:rPr>
            </w:pPr>
            <w:r>
              <w:rPr>
                <w:rFonts w:ascii="Arial" w:cs="Arial" w:eastAsia="Arial" w:hAnsi="Arial"/>
                <w:sz w:val="18"/>
                <w:szCs w:val="18"/>
                <w:color w:val="auto"/>
              </w:rPr>
              <w:t>226</w:t>
            </w:r>
          </w:p>
        </w:tc>
        <w:tc>
          <w:tcPr>
            <w:tcW w:w="6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540" w:type="dxa"/>
            <w:vAlign w:val="bottom"/>
          </w:tcPr>
          <w:p>
            <w:pPr>
              <w:jc w:val="right"/>
              <w:spacing w:after="0"/>
              <w:rPr>
                <w:sz w:val="20"/>
                <w:szCs w:val="20"/>
                <w:color w:val="auto"/>
              </w:rPr>
            </w:pPr>
            <w:r>
              <w:rPr>
                <w:rFonts w:ascii="Arial" w:cs="Arial" w:eastAsia="Arial" w:hAnsi="Arial"/>
                <w:sz w:val="18"/>
                <w:szCs w:val="18"/>
                <w:color w:val="auto"/>
              </w:rPr>
              <w:t>241</w:t>
            </w:r>
          </w:p>
        </w:tc>
        <w:tc>
          <w:tcPr>
            <w:tcW w:w="1060" w:type="dxa"/>
            <w:vAlign w:val="bottom"/>
            <w:gridSpan w:val="2"/>
          </w:tcPr>
          <w:p>
            <w:pPr>
              <w:jc w:val="right"/>
              <w:spacing w:after="0"/>
              <w:rPr>
                <w:sz w:val="20"/>
                <w:szCs w:val="20"/>
                <w:color w:val="auto"/>
              </w:rPr>
            </w:pPr>
            <w:r>
              <w:rPr>
                <w:rFonts w:ascii="Arial" w:cs="Arial" w:eastAsia="Arial" w:hAnsi="Arial"/>
                <w:sz w:val="18"/>
                <w:szCs w:val="18"/>
                <w:color w:val="auto"/>
              </w:rPr>
              <w:t>127</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64770</wp:posOffset>
            </wp:positionV>
            <wp:extent cx="746125" cy="8890"/>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746125" cy="8890"/>
                    </a:xfrm>
                    <a:prstGeom prst="rect">
                      <a:avLst/>
                    </a:prstGeom>
                    <a:noFill/>
                  </pic:spPr>
                </pic:pic>
              </a:graphicData>
            </a:graphic>
          </wp:anchor>
        </w:drawing>
      </w:r>
    </w:p>
    <w:p>
      <w:pPr>
        <w:spacing w:after="0" w:line="195" w:lineRule="exact"/>
        <w:rPr>
          <w:sz w:val="20"/>
          <w:szCs w:val="20"/>
          <w:color w:val="auto"/>
        </w:rPr>
      </w:pPr>
    </w:p>
    <w:p>
      <w:pPr>
        <w:spacing w:after="0"/>
        <w:tabs>
          <w:tab w:leader="none" w:pos="440" w:val="left"/>
        </w:tabs>
        <w:rPr>
          <w:sz w:val="20"/>
          <w:szCs w:val="20"/>
          <w:color w:val="auto"/>
        </w:rPr>
      </w:pPr>
      <w:r>
        <w:rPr>
          <w:rFonts w:ascii="Arial" w:cs="Arial" w:eastAsia="Arial" w:hAnsi="Arial"/>
          <w:sz w:val="18"/>
          <w:szCs w:val="18"/>
          <w:color w:val="auto"/>
        </w:rPr>
        <w:t>(a)</w:t>
        <w:tab/>
        <w:t>Uncollectible accounts written off.</w:t>
      </w:r>
    </w:p>
    <w:p>
      <w:pPr>
        <w:spacing w:after="0" w:line="15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33</w:t>
      </w:r>
    </w:p>
    <w:p>
      <w:pPr>
        <w:sectPr>
          <w:pgSz w:w="11900" w:h="16838" w:orient="portrait"/>
          <w:cols w:equalWidth="0" w:num="1">
            <w:col w:w="11420"/>
          </w:cols>
          <w:pgMar w:left="240" w:top="459" w:right="239" w:bottom="1440" w:gutter="0" w:footer="0" w:header="0"/>
        </w:sectPr>
      </w:pPr>
    </w:p>
    <w:bookmarkStart w:id="36" w:name="page37"/>
    <w:bookmarkEnd w:id="36"/>
    <w:p>
      <w:pPr>
        <w:jc w:val="right"/>
        <w:spacing w:after="0"/>
        <w:rPr>
          <w:sz w:val="20"/>
          <w:szCs w:val="20"/>
          <w:color w:val="auto"/>
        </w:rPr>
      </w:pPr>
      <w:r>
        <w:rPr>
          <w:rFonts w:ascii="Arial" w:cs="Arial" w:eastAsia="Arial" w:hAnsi="Arial"/>
          <w:sz w:val="18"/>
          <w:szCs w:val="18"/>
          <w:b w:val="1"/>
          <w:bCs w:val="1"/>
          <w:color w:val="auto"/>
        </w:rPr>
        <w:t>Exhibit 10.3</w:t>
      </w:r>
    </w:p>
    <w:p>
      <w:pPr>
        <w:spacing w:after="0" w:line="17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COMCAST CORPORATION</w:t>
      </w:r>
    </w:p>
    <w:p>
      <w:pPr>
        <w:spacing w:after="0" w:line="17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2003 STOCK OPTION PLAN</w:t>
      </w:r>
    </w:p>
    <w:p>
      <w:pPr>
        <w:spacing w:after="0" w:line="17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(AS AMENDED AND RESTATED EFFECTIVE DECEMBER 5, 2006)</w:t>
      </w:r>
    </w:p>
    <w:p>
      <w:pPr>
        <w:spacing w:after="0" w:line="171" w:lineRule="exact"/>
        <w:rPr>
          <w:sz w:val="20"/>
          <w:szCs w:val="20"/>
          <w:color w:val="auto"/>
        </w:rPr>
      </w:pPr>
    </w:p>
    <w:p>
      <w:pPr>
        <w:ind w:left="640" w:hanging="176"/>
        <w:spacing w:after="0"/>
        <w:tabs>
          <w:tab w:leader="none" w:pos="640" w:val="left"/>
        </w:tabs>
        <w:numPr>
          <w:ilvl w:val="1"/>
          <w:numId w:val="9"/>
        </w:numPr>
        <w:rPr>
          <w:rFonts w:ascii="Arial" w:cs="Arial" w:eastAsia="Arial" w:hAnsi="Arial"/>
          <w:sz w:val="18"/>
          <w:szCs w:val="18"/>
          <w:b w:val="1"/>
          <w:bCs w:val="1"/>
          <w:color w:val="auto"/>
        </w:rPr>
      </w:pPr>
      <w:r>
        <w:rPr>
          <w:rFonts w:ascii="Arial" w:cs="Arial" w:eastAsia="Arial" w:hAnsi="Arial"/>
          <w:sz w:val="18"/>
          <w:szCs w:val="18"/>
          <w:b w:val="1"/>
          <w:bCs w:val="1"/>
          <w:color w:val="auto"/>
        </w:rPr>
        <w:t>Background and Purpose of Plan</w:t>
      </w:r>
    </w:p>
    <w:p>
      <w:pPr>
        <w:spacing w:after="0" w:line="96" w:lineRule="exact"/>
        <w:rPr>
          <w:rFonts w:ascii="Arial" w:cs="Arial" w:eastAsia="Arial" w:hAnsi="Arial"/>
          <w:sz w:val="18"/>
          <w:szCs w:val="18"/>
          <w:b w:val="1"/>
          <w:bCs w:val="1"/>
          <w:color w:val="auto"/>
        </w:rPr>
      </w:pPr>
    </w:p>
    <w:p>
      <w:pPr>
        <w:ind w:right="40" w:firstLine="921"/>
        <w:spacing w:after="0" w:line="268" w:lineRule="auto"/>
        <w:tabs>
          <w:tab w:leader="none" w:pos="1152" w:val="left"/>
        </w:tabs>
        <w:numPr>
          <w:ilvl w:val="2"/>
          <w:numId w:val="9"/>
        </w:numPr>
        <w:rPr>
          <w:rFonts w:ascii="Arial" w:cs="Arial" w:eastAsia="Arial" w:hAnsi="Arial"/>
          <w:sz w:val="18"/>
          <w:szCs w:val="18"/>
          <w:color w:val="auto"/>
        </w:rPr>
      </w:pPr>
      <w:r>
        <w:rPr>
          <w:rFonts w:ascii="Arial" w:cs="Arial" w:eastAsia="Arial" w:hAnsi="Arial"/>
          <w:sz w:val="18"/>
          <w:szCs w:val="18"/>
          <w:u w:val="single" w:color="auto"/>
          <w:color w:val="auto"/>
        </w:rPr>
        <w:t>Background</w:t>
      </w:r>
      <w:r>
        <w:rPr>
          <w:rFonts w:ascii="Arial" w:cs="Arial" w:eastAsia="Arial" w:hAnsi="Arial"/>
          <w:sz w:val="18"/>
          <w:szCs w:val="18"/>
          <w:color w:val="auto"/>
        </w:rPr>
        <w:t>. COMCAST CORPORATION, a Pennsylvania corporation hereby amends and restates the Comcast Corporation 2003 Stock Option Plan, (the “Plan”), effective December 5, 2006.</w:t>
      </w:r>
    </w:p>
    <w:p>
      <w:pPr>
        <w:spacing w:after="0" w:line="131" w:lineRule="exact"/>
        <w:rPr>
          <w:rFonts w:ascii="Arial" w:cs="Arial" w:eastAsia="Arial" w:hAnsi="Arial"/>
          <w:sz w:val="18"/>
          <w:szCs w:val="18"/>
          <w:color w:val="auto"/>
        </w:rPr>
      </w:pPr>
    </w:p>
    <w:p>
      <w:pPr>
        <w:ind w:right="20" w:firstLine="921"/>
        <w:spacing w:after="0" w:line="259" w:lineRule="auto"/>
        <w:tabs>
          <w:tab w:leader="none" w:pos="1161" w:val="left"/>
        </w:tabs>
        <w:numPr>
          <w:ilvl w:val="2"/>
          <w:numId w:val="9"/>
        </w:numPr>
        <w:rPr>
          <w:rFonts w:ascii="Arial" w:cs="Arial" w:eastAsia="Arial" w:hAnsi="Arial"/>
          <w:sz w:val="18"/>
          <w:szCs w:val="18"/>
          <w:color w:val="auto"/>
        </w:rPr>
      </w:pPr>
      <w:r>
        <w:rPr>
          <w:rFonts w:ascii="Arial" w:cs="Arial" w:eastAsia="Arial" w:hAnsi="Arial"/>
          <w:sz w:val="18"/>
          <w:szCs w:val="18"/>
          <w:u w:val="single" w:color="auto"/>
          <w:color w:val="auto"/>
        </w:rPr>
        <w:t>Purpose</w:t>
      </w:r>
      <w:r>
        <w:rPr>
          <w:rFonts w:ascii="Arial" w:cs="Arial" w:eastAsia="Arial" w:hAnsi="Arial"/>
          <w:sz w:val="18"/>
          <w:szCs w:val="18"/>
          <w:color w:val="auto"/>
        </w:rPr>
        <w:t>. The purpose of the Plan is to assist the Sponsor and its Affiliates in retaining valued employees, officers and directors by offering them a greater stake in the Sponsor’s success and a closer identity with it, and to aid in attracting individuals whose services would be helpful to the Sponsor and would contribute to its success.</w:t>
      </w:r>
    </w:p>
    <w:p>
      <w:pPr>
        <w:spacing w:after="0" w:line="215" w:lineRule="exact"/>
        <w:rPr>
          <w:rFonts w:ascii="Arial" w:cs="Arial" w:eastAsia="Arial" w:hAnsi="Arial"/>
          <w:sz w:val="18"/>
          <w:szCs w:val="18"/>
          <w:color w:val="auto"/>
        </w:rPr>
      </w:pPr>
    </w:p>
    <w:p>
      <w:pPr>
        <w:ind w:left="640" w:hanging="176"/>
        <w:spacing w:after="0"/>
        <w:tabs>
          <w:tab w:leader="none" w:pos="640" w:val="left"/>
        </w:tabs>
        <w:numPr>
          <w:ilvl w:val="1"/>
          <w:numId w:val="9"/>
        </w:numPr>
        <w:rPr>
          <w:rFonts w:ascii="Arial" w:cs="Arial" w:eastAsia="Arial" w:hAnsi="Arial"/>
          <w:sz w:val="18"/>
          <w:szCs w:val="18"/>
          <w:b w:val="1"/>
          <w:bCs w:val="1"/>
          <w:color w:val="auto"/>
        </w:rPr>
      </w:pPr>
      <w:r>
        <w:rPr>
          <w:rFonts w:ascii="Arial" w:cs="Arial" w:eastAsia="Arial" w:hAnsi="Arial"/>
          <w:sz w:val="18"/>
          <w:szCs w:val="18"/>
          <w:b w:val="1"/>
          <w:bCs w:val="1"/>
          <w:color w:val="auto"/>
        </w:rPr>
        <w:t>Definitions</w:t>
      </w:r>
    </w:p>
    <w:p>
      <w:pPr>
        <w:spacing w:after="0" w:line="96" w:lineRule="exact"/>
        <w:rPr>
          <w:rFonts w:ascii="Arial" w:cs="Arial" w:eastAsia="Arial" w:hAnsi="Arial"/>
          <w:sz w:val="18"/>
          <w:szCs w:val="18"/>
          <w:b w:val="1"/>
          <w:bCs w:val="1"/>
          <w:color w:val="auto"/>
        </w:rPr>
      </w:pPr>
    </w:p>
    <w:p>
      <w:pPr>
        <w:jc w:val="both"/>
        <w:ind w:right="200" w:firstLine="921"/>
        <w:spacing w:after="0" w:line="256" w:lineRule="auto"/>
        <w:tabs>
          <w:tab w:leader="none" w:pos="1152" w:val="left"/>
        </w:tabs>
        <w:numPr>
          <w:ilvl w:val="2"/>
          <w:numId w:val="9"/>
        </w:numPr>
        <w:rPr>
          <w:rFonts w:ascii="Arial" w:cs="Arial" w:eastAsia="Arial" w:hAnsi="Arial"/>
          <w:sz w:val="18"/>
          <w:szCs w:val="18"/>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Affiliate</w:t>
      </w:r>
      <w:r>
        <w:rPr>
          <w:rFonts w:ascii="Arial" w:cs="Arial" w:eastAsia="Arial" w:hAnsi="Arial"/>
          <w:sz w:val="18"/>
          <w:szCs w:val="18"/>
          <w:color w:val="auto"/>
        </w:rPr>
        <w:t>” means, with respect to any Person, any other Person that, directly or indirectly, is in control of, is controlled by, or is under common control with, such Person. For purposes of this definition, the term “control,” including its correlative terms “controlled by” and “under common control with,” mean, with respect to any Person, the possession, directly or indirectly, of the power to direct or cause the direction of the management and policies of such Person, whether through the ownership of voting securities, by contract or otherwise.</w:t>
      </w:r>
    </w:p>
    <w:p>
      <w:pPr>
        <w:spacing w:after="0" w:line="143" w:lineRule="exact"/>
        <w:rPr>
          <w:rFonts w:ascii="Arial" w:cs="Arial" w:eastAsia="Arial" w:hAnsi="Arial"/>
          <w:sz w:val="18"/>
          <w:szCs w:val="18"/>
          <w:color w:val="auto"/>
        </w:rPr>
      </w:pPr>
    </w:p>
    <w:p>
      <w:pPr>
        <w:ind w:right="240" w:firstLine="921"/>
        <w:spacing w:after="0" w:line="268" w:lineRule="auto"/>
        <w:tabs>
          <w:tab w:leader="none" w:pos="1162" w:val="left"/>
        </w:tabs>
        <w:numPr>
          <w:ilvl w:val="2"/>
          <w:numId w:val="9"/>
        </w:numPr>
        <w:rPr>
          <w:rFonts w:ascii="Arial" w:cs="Arial" w:eastAsia="Arial" w:hAnsi="Arial"/>
          <w:sz w:val="18"/>
          <w:szCs w:val="18"/>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AT&amp;T Broadband Transaction</w:t>
      </w:r>
      <w:r>
        <w:rPr>
          <w:rFonts w:ascii="Arial" w:cs="Arial" w:eastAsia="Arial" w:hAnsi="Arial"/>
          <w:sz w:val="18"/>
          <w:szCs w:val="18"/>
          <w:color w:val="auto"/>
        </w:rPr>
        <w:t>” means the acquisition of AT&amp;T Broadband Corp. (now known as Comcast Cable Communications Holdings, Inc.) by the Sponsor.</w:t>
      </w:r>
    </w:p>
    <w:p>
      <w:pPr>
        <w:spacing w:after="0" w:line="131" w:lineRule="exact"/>
        <w:rPr>
          <w:rFonts w:ascii="Arial" w:cs="Arial" w:eastAsia="Arial" w:hAnsi="Arial"/>
          <w:sz w:val="18"/>
          <w:szCs w:val="18"/>
          <w:color w:val="auto"/>
        </w:rPr>
      </w:pPr>
    </w:p>
    <w:p>
      <w:pPr>
        <w:ind w:left="1160" w:hanging="239"/>
        <w:spacing w:after="0"/>
        <w:tabs>
          <w:tab w:leader="none" w:pos="1160" w:val="left"/>
        </w:tabs>
        <w:numPr>
          <w:ilvl w:val="2"/>
          <w:numId w:val="9"/>
        </w:numPr>
        <w:rPr>
          <w:rFonts w:ascii="Arial" w:cs="Arial" w:eastAsia="Arial" w:hAnsi="Arial"/>
          <w:sz w:val="18"/>
          <w:szCs w:val="18"/>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Board</w:t>
      </w:r>
      <w:r>
        <w:rPr>
          <w:rFonts w:ascii="Arial" w:cs="Arial" w:eastAsia="Arial" w:hAnsi="Arial"/>
          <w:sz w:val="18"/>
          <w:szCs w:val="18"/>
          <w:color w:val="auto"/>
        </w:rPr>
        <w:t>” means the board of directors of the Sponsor.</w:t>
      </w:r>
    </w:p>
    <w:p>
      <w:pPr>
        <w:spacing w:after="0" w:line="171" w:lineRule="exact"/>
        <w:rPr>
          <w:rFonts w:ascii="Arial" w:cs="Arial" w:eastAsia="Arial" w:hAnsi="Arial"/>
          <w:sz w:val="18"/>
          <w:szCs w:val="18"/>
          <w:color w:val="auto"/>
        </w:rPr>
      </w:pPr>
    </w:p>
    <w:p>
      <w:pPr>
        <w:ind w:left="1160" w:hanging="239"/>
        <w:spacing w:after="0"/>
        <w:tabs>
          <w:tab w:leader="none" w:pos="1160" w:val="left"/>
        </w:tabs>
        <w:numPr>
          <w:ilvl w:val="2"/>
          <w:numId w:val="9"/>
        </w:numPr>
        <w:rPr>
          <w:rFonts w:ascii="Arial" w:cs="Arial" w:eastAsia="Arial" w:hAnsi="Arial"/>
          <w:sz w:val="18"/>
          <w:szCs w:val="18"/>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Cash Right</w:t>
      </w:r>
      <w:r>
        <w:rPr>
          <w:rFonts w:ascii="Arial" w:cs="Arial" w:eastAsia="Arial" w:hAnsi="Arial"/>
          <w:sz w:val="18"/>
          <w:szCs w:val="18"/>
          <w:color w:val="auto"/>
        </w:rPr>
        <w:t>” means any right to receive cash in lieu of Shares granted under the Plan and described in Paragraph 3(a)(iii).</w:t>
      </w:r>
    </w:p>
    <w:p>
      <w:pPr>
        <w:spacing w:after="0" w:line="171" w:lineRule="exact"/>
        <w:rPr>
          <w:rFonts w:ascii="Arial" w:cs="Arial" w:eastAsia="Arial" w:hAnsi="Arial"/>
          <w:sz w:val="18"/>
          <w:szCs w:val="18"/>
          <w:color w:val="auto"/>
        </w:rPr>
      </w:pPr>
    </w:p>
    <w:p>
      <w:pPr>
        <w:ind w:left="1160" w:hanging="239"/>
        <w:spacing w:after="0"/>
        <w:tabs>
          <w:tab w:leader="none" w:pos="1160" w:val="left"/>
        </w:tabs>
        <w:numPr>
          <w:ilvl w:val="2"/>
          <w:numId w:val="9"/>
        </w:numPr>
        <w:rPr>
          <w:rFonts w:ascii="Arial" w:cs="Arial" w:eastAsia="Arial" w:hAnsi="Arial"/>
          <w:sz w:val="16"/>
          <w:szCs w:val="16"/>
          <w:color w:val="auto"/>
        </w:rPr>
      </w:pPr>
      <w:r>
        <w:rPr>
          <w:rFonts w:ascii="Arial" w:cs="Arial" w:eastAsia="Arial" w:hAnsi="Arial"/>
          <w:sz w:val="16"/>
          <w:szCs w:val="16"/>
          <w:color w:val="auto"/>
        </w:rPr>
        <w:t>“</w:t>
      </w:r>
      <w:r>
        <w:rPr>
          <w:rFonts w:ascii="Arial" w:cs="Arial" w:eastAsia="Arial" w:hAnsi="Arial"/>
          <w:sz w:val="16"/>
          <w:szCs w:val="16"/>
          <w:u w:val="single" w:color="auto"/>
          <w:color w:val="auto"/>
        </w:rPr>
        <w:t>Cause</w:t>
      </w:r>
      <w:r>
        <w:rPr>
          <w:rFonts w:ascii="Arial" w:cs="Arial" w:eastAsia="Arial" w:hAnsi="Arial"/>
          <w:sz w:val="16"/>
          <w:szCs w:val="16"/>
          <w:color w:val="auto"/>
        </w:rPr>
        <w:t>” means (i) fraud; (ii) misappropriation; (iii) embezzlement; (iv) gross negligence in the performance of duties; (v) self-dealing;</w:t>
      </w:r>
    </w:p>
    <w:p>
      <w:pPr>
        <w:spacing w:after="0" w:line="38" w:lineRule="exact"/>
        <w:rPr>
          <w:rFonts w:ascii="Arial" w:cs="Arial" w:eastAsia="Arial" w:hAnsi="Arial"/>
          <w:sz w:val="16"/>
          <w:szCs w:val="16"/>
          <w:color w:val="auto"/>
        </w:rPr>
      </w:pPr>
    </w:p>
    <w:p>
      <w:pPr>
        <w:ind w:right="80" w:firstLine="8"/>
        <w:spacing w:after="0" w:line="254" w:lineRule="auto"/>
        <w:tabs>
          <w:tab w:leader="none" w:pos="297" w:val="left"/>
        </w:tabs>
        <w:numPr>
          <w:ilvl w:val="0"/>
          <w:numId w:val="10"/>
        </w:numPr>
        <w:rPr>
          <w:rFonts w:ascii="Arial" w:cs="Arial" w:eastAsia="Arial" w:hAnsi="Arial"/>
          <w:sz w:val="18"/>
          <w:szCs w:val="18"/>
          <w:color w:val="auto"/>
        </w:rPr>
      </w:pPr>
      <w:r>
        <w:rPr>
          <w:rFonts w:ascii="Arial" w:cs="Arial" w:eastAsia="Arial" w:hAnsi="Arial"/>
          <w:sz w:val="18"/>
          <w:szCs w:val="18"/>
          <w:color w:val="auto"/>
        </w:rPr>
        <w:t xml:space="preserve">dishonesty; (vii) misrepresentation; (viii) conviction of a crime of a felony; (ix) material violation of any Company policy; (x) material violation of the Company’s Code of Ethics and Business Conduct or, (xi) in the case of an employee of a Company who is a party to an employment agreement with a Company, material breach of such agreement; </w:t>
      </w:r>
      <w:r>
        <w:rPr>
          <w:rFonts w:ascii="Arial" w:cs="Arial" w:eastAsia="Arial" w:hAnsi="Arial"/>
          <w:sz w:val="18"/>
          <w:szCs w:val="18"/>
          <w:u w:val="single" w:color="auto"/>
          <w:color w:val="auto"/>
        </w:rPr>
        <w:t>provided that</w:t>
      </w:r>
      <w:r>
        <w:rPr>
          <w:rFonts w:ascii="Arial" w:cs="Arial" w:eastAsia="Arial" w:hAnsi="Arial"/>
          <w:sz w:val="18"/>
          <w:szCs w:val="18"/>
          <w:color w:val="auto"/>
        </w:rPr>
        <w:t xml:space="preserve"> as to items (ix), (x) and (xi), if capable of being cured, such event or condition remains uncured following 30 days written notice thereof.</w:t>
      </w:r>
    </w:p>
    <w:p>
      <w:pPr>
        <w:sectPr>
          <w:pgSz w:w="11900" w:h="16838" w:orient="portrait"/>
          <w:cols w:equalWidth="0" w:num="1">
            <w:col w:w="11420"/>
          </w:cols>
          <w:pgMar w:left="240" w:top="125" w:right="239" w:bottom="1440" w:gutter="0" w:footer="0" w:header="0"/>
        </w:sectPr>
      </w:pPr>
    </w:p>
    <w:bookmarkStart w:id="37" w:name="page38"/>
    <w:bookmarkEnd w:id="37"/>
    <w:p>
      <w:pPr>
        <w:ind w:right="220" w:firstLine="921"/>
        <w:spacing w:after="0" w:line="298" w:lineRule="auto"/>
        <w:tabs>
          <w:tab w:leader="none" w:pos="1132" w:val="left"/>
        </w:tabs>
        <w:numPr>
          <w:ilvl w:val="0"/>
          <w:numId w:val="11"/>
        </w:numPr>
        <w:rPr>
          <w:rFonts w:ascii="Arial" w:cs="Arial" w:eastAsia="Arial" w:hAnsi="Arial"/>
          <w:sz w:val="16"/>
          <w:szCs w:val="16"/>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7267575" cy="27940"/>
                    </a:xfrm>
                    <a:prstGeom prst="rect">
                      <a:avLst/>
                    </a:prstGeom>
                    <a:noFill/>
                  </pic:spPr>
                </pic:pic>
              </a:graphicData>
            </a:graphic>
          </wp:anchor>
        </w:drawing>
        <w:t>“</w:t>
      </w:r>
      <w:r>
        <w:rPr>
          <w:rFonts w:ascii="Arial" w:cs="Arial" w:eastAsia="Arial" w:hAnsi="Arial"/>
          <w:sz w:val="16"/>
          <w:szCs w:val="16"/>
          <w:u w:val="single" w:color="auto"/>
          <w:color w:val="auto"/>
        </w:rPr>
        <w:t>Change of Control</w:t>
      </w:r>
      <w:r>
        <w:rPr>
          <w:rFonts w:ascii="Arial" w:cs="Arial" w:eastAsia="Arial" w:hAnsi="Arial"/>
          <w:sz w:val="16"/>
          <w:szCs w:val="16"/>
          <w:color w:val="auto"/>
        </w:rPr>
        <w:t>” means any transaction or series of transactions as a result of which any Person who was a Third Party immediately before such transaction or series of transactions owns then-outstanding securities of the Sponsor such that such Person has the ability to direct the management of the Sponsor, as determined by the Board in its discretion. The Board may also determine that a Change of Control shall occur upon the completion of one or more proposed transactions. The Board’s determination shall be final and binding.</w:t>
      </w:r>
    </w:p>
    <w:p>
      <w:pPr>
        <w:spacing w:after="0" w:line="112" w:lineRule="exact"/>
        <w:rPr>
          <w:rFonts w:ascii="Arial" w:cs="Arial" w:eastAsia="Arial" w:hAnsi="Arial"/>
          <w:sz w:val="16"/>
          <w:szCs w:val="16"/>
          <w:color w:val="auto"/>
        </w:rPr>
      </w:pPr>
    </w:p>
    <w:p>
      <w:pPr>
        <w:ind w:left="1160" w:hanging="239"/>
        <w:spacing w:after="0"/>
        <w:tabs>
          <w:tab w:leader="none" w:pos="1160" w:val="left"/>
        </w:tabs>
        <w:numPr>
          <w:ilvl w:val="0"/>
          <w:numId w:val="11"/>
        </w:numPr>
        <w:rPr>
          <w:rFonts w:ascii="Arial" w:cs="Arial" w:eastAsia="Arial" w:hAnsi="Arial"/>
          <w:sz w:val="18"/>
          <w:szCs w:val="18"/>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Code</w:t>
      </w:r>
      <w:r>
        <w:rPr>
          <w:rFonts w:ascii="Arial" w:cs="Arial" w:eastAsia="Arial" w:hAnsi="Arial"/>
          <w:sz w:val="18"/>
          <w:szCs w:val="18"/>
          <w:color w:val="auto"/>
        </w:rPr>
        <w:t>” means the Internal Revenue Code of 1986, as amended.</w:t>
      </w:r>
    </w:p>
    <w:p>
      <w:pPr>
        <w:spacing w:after="0" w:line="90" w:lineRule="exact"/>
        <w:rPr>
          <w:rFonts w:ascii="Arial" w:cs="Arial" w:eastAsia="Arial" w:hAnsi="Arial"/>
          <w:sz w:val="18"/>
          <w:szCs w:val="18"/>
          <w:color w:val="auto"/>
        </w:rPr>
      </w:pPr>
    </w:p>
    <w:p>
      <w:pPr>
        <w:ind w:right="180" w:firstLine="921"/>
        <w:spacing w:after="0" w:line="306" w:lineRule="auto"/>
        <w:tabs>
          <w:tab w:leader="none" w:pos="1162" w:val="left"/>
        </w:tabs>
        <w:numPr>
          <w:ilvl w:val="0"/>
          <w:numId w:val="11"/>
        </w:numPr>
        <w:rPr>
          <w:rFonts w:ascii="Arial" w:cs="Arial" w:eastAsia="Arial" w:hAnsi="Arial"/>
          <w:sz w:val="16"/>
          <w:szCs w:val="16"/>
          <w:color w:val="auto"/>
        </w:rPr>
      </w:pPr>
      <w:r>
        <w:rPr>
          <w:rFonts w:ascii="Arial" w:cs="Arial" w:eastAsia="Arial" w:hAnsi="Arial"/>
          <w:sz w:val="16"/>
          <w:szCs w:val="16"/>
          <w:color w:val="auto"/>
        </w:rPr>
        <w:t>“</w:t>
      </w:r>
      <w:r>
        <w:rPr>
          <w:rFonts w:ascii="Arial" w:cs="Arial" w:eastAsia="Arial" w:hAnsi="Arial"/>
          <w:sz w:val="16"/>
          <w:szCs w:val="16"/>
          <w:u w:val="single" w:color="auto"/>
          <w:color w:val="auto"/>
        </w:rPr>
        <w:t>Comcast Plan</w:t>
      </w:r>
      <w:r>
        <w:rPr>
          <w:rFonts w:ascii="Arial" w:cs="Arial" w:eastAsia="Arial" w:hAnsi="Arial"/>
          <w:sz w:val="16"/>
          <w:szCs w:val="16"/>
          <w:color w:val="auto"/>
        </w:rPr>
        <w:t>” means any restricted stock, stock bonus, stock option or other compensation plan, program or arrangement established or maintained by the Sponsor or an Affiliate of the Sponsor, including, but not limited to this Plan, the Comcast Corporation 2002 Stock Option Plan, the Comcast Corporation 2002 Restricted Stock Plan, the Comcast Corporation 1987 Stock Option Plan and the AT&amp;T Broadband Corp. Adjustment Plan.</w:t>
      </w:r>
    </w:p>
    <w:p>
      <w:pPr>
        <w:spacing w:after="0" w:line="187" w:lineRule="exact"/>
        <w:rPr>
          <w:rFonts w:ascii="Arial" w:cs="Arial" w:eastAsia="Arial" w:hAnsi="Arial"/>
          <w:sz w:val="16"/>
          <w:szCs w:val="16"/>
          <w:color w:val="auto"/>
        </w:rPr>
      </w:pPr>
    </w:p>
    <w:p>
      <w:pPr>
        <w:ind w:left="1140" w:hanging="219"/>
        <w:spacing w:after="0"/>
        <w:tabs>
          <w:tab w:leader="none" w:pos="1140" w:val="left"/>
        </w:tabs>
        <w:numPr>
          <w:ilvl w:val="0"/>
          <w:numId w:val="11"/>
        </w:numPr>
        <w:rPr>
          <w:rFonts w:ascii="Arial" w:cs="Arial" w:eastAsia="Arial" w:hAnsi="Arial"/>
          <w:sz w:val="18"/>
          <w:szCs w:val="18"/>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Committee</w:t>
      </w:r>
      <w:r>
        <w:rPr>
          <w:rFonts w:ascii="Arial" w:cs="Arial" w:eastAsia="Arial" w:hAnsi="Arial"/>
          <w:sz w:val="18"/>
          <w:szCs w:val="18"/>
          <w:color w:val="auto"/>
        </w:rPr>
        <w:t>” means the committee described in Paragraph 5, provided that for purposes of Paragraph 7:</w:t>
      </w:r>
    </w:p>
    <w:p>
      <w:pPr>
        <w:spacing w:after="0" w:line="90" w:lineRule="exact"/>
        <w:rPr>
          <w:rFonts w:ascii="Arial" w:cs="Arial" w:eastAsia="Arial" w:hAnsi="Arial"/>
          <w:sz w:val="18"/>
          <w:szCs w:val="18"/>
          <w:color w:val="auto"/>
        </w:rPr>
      </w:pPr>
    </w:p>
    <w:p>
      <w:pPr>
        <w:ind w:left="1700" w:hanging="208"/>
        <w:spacing w:after="0"/>
        <w:tabs>
          <w:tab w:leader="none" w:pos="1700" w:val="left"/>
        </w:tabs>
        <w:numPr>
          <w:ilvl w:val="1"/>
          <w:numId w:val="11"/>
        </w:numPr>
        <w:rPr>
          <w:rFonts w:ascii="Arial" w:cs="Arial" w:eastAsia="Arial" w:hAnsi="Arial"/>
          <w:sz w:val="16"/>
          <w:szCs w:val="16"/>
          <w:color w:val="auto"/>
        </w:rPr>
      </w:pPr>
      <w:r>
        <w:rPr>
          <w:rFonts w:ascii="Arial" w:cs="Arial" w:eastAsia="Arial" w:hAnsi="Arial"/>
          <w:sz w:val="16"/>
          <w:szCs w:val="16"/>
          <w:color w:val="auto"/>
        </w:rPr>
        <w:t>all references to the Committee shall be treated as references to the Board with respect to any Option granted to or held by a Non-</w:t>
      </w:r>
    </w:p>
    <w:p>
      <w:pPr>
        <w:spacing w:after="0" w:line="38" w:lineRule="exact"/>
        <w:rPr>
          <w:rFonts w:ascii="Arial" w:cs="Arial" w:eastAsia="Arial" w:hAnsi="Arial"/>
          <w:sz w:val="16"/>
          <w:szCs w:val="16"/>
          <w:color w:val="auto"/>
        </w:rPr>
      </w:pPr>
    </w:p>
    <w:p>
      <w:pPr>
        <w:spacing w:after="0"/>
        <w:rPr>
          <w:rFonts w:ascii="Arial" w:cs="Arial" w:eastAsia="Arial" w:hAnsi="Arial"/>
          <w:sz w:val="16"/>
          <w:szCs w:val="16"/>
          <w:color w:val="auto"/>
        </w:rPr>
      </w:pPr>
      <w:r>
        <w:rPr>
          <w:rFonts w:ascii="Arial" w:cs="Arial" w:eastAsia="Arial" w:hAnsi="Arial"/>
          <w:sz w:val="18"/>
          <w:szCs w:val="18"/>
          <w:color w:val="auto"/>
        </w:rPr>
        <w:t>Employee Director; and</w:t>
      </w:r>
    </w:p>
    <w:p>
      <w:pPr>
        <w:spacing w:after="0" w:line="164" w:lineRule="exact"/>
        <w:rPr>
          <w:rFonts w:ascii="Arial" w:cs="Arial" w:eastAsia="Arial" w:hAnsi="Arial"/>
          <w:sz w:val="16"/>
          <w:szCs w:val="16"/>
          <w:color w:val="auto"/>
        </w:rPr>
      </w:pPr>
    </w:p>
    <w:p>
      <w:pPr>
        <w:ind w:right="140" w:firstLine="1492"/>
        <w:spacing w:after="0" w:line="268" w:lineRule="auto"/>
        <w:tabs>
          <w:tab w:leader="none" w:pos="1742" w:val="left"/>
        </w:tabs>
        <w:numPr>
          <w:ilvl w:val="1"/>
          <w:numId w:val="11"/>
        </w:numPr>
        <w:rPr>
          <w:rFonts w:ascii="Arial" w:cs="Arial" w:eastAsia="Arial" w:hAnsi="Arial"/>
          <w:sz w:val="18"/>
          <w:szCs w:val="18"/>
          <w:color w:val="auto"/>
        </w:rPr>
      </w:pPr>
      <w:r>
        <w:rPr>
          <w:rFonts w:ascii="Arial" w:cs="Arial" w:eastAsia="Arial" w:hAnsi="Arial"/>
          <w:sz w:val="18"/>
          <w:szCs w:val="18"/>
          <w:color w:val="auto"/>
        </w:rPr>
        <w:t>all references to the Committee shall be treated as references to the Committee’s delegate with respect to any Option granted within the scope of the delegate’s authority pursuant to Paragraph 5(b).</w:t>
      </w:r>
    </w:p>
    <w:p>
      <w:pPr>
        <w:spacing w:after="0" w:line="131" w:lineRule="exact"/>
        <w:rPr>
          <w:rFonts w:ascii="Arial" w:cs="Arial" w:eastAsia="Arial" w:hAnsi="Arial"/>
          <w:sz w:val="18"/>
          <w:szCs w:val="18"/>
          <w:color w:val="auto"/>
        </w:rPr>
      </w:pPr>
    </w:p>
    <w:p>
      <w:pPr>
        <w:ind w:left="1140" w:hanging="219"/>
        <w:spacing w:after="0"/>
        <w:tabs>
          <w:tab w:leader="none" w:pos="1140" w:val="left"/>
        </w:tabs>
        <w:numPr>
          <w:ilvl w:val="0"/>
          <w:numId w:val="11"/>
        </w:numPr>
        <w:rPr>
          <w:rFonts w:ascii="Arial" w:cs="Arial" w:eastAsia="Arial" w:hAnsi="Arial"/>
          <w:sz w:val="18"/>
          <w:szCs w:val="18"/>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Common Stock</w:t>
      </w:r>
      <w:r>
        <w:rPr>
          <w:rFonts w:ascii="Arial" w:cs="Arial" w:eastAsia="Arial" w:hAnsi="Arial"/>
          <w:sz w:val="18"/>
          <w:szCs w:val="18"/>
          <w:color w:val="auto"/>
        </w:rPr>
        <w:t>” means the Sponsor’s Class A Common Stock, par value, $.01.</w:t>
      </w:r>
    </w:p>
    <w:p>
      <w:pPr>
        <w:spacing w:after="0" w:line="171" w:lineRule="exact"/>
        <w:rPr>
          <w:rFonts w:ascii="Arial" w:cs="Arial" w:eastAsia="Arial" w:hAnsi="Arial"/>
          <w:sz w:val="18"/>
          <w:szCs w:val="18"/>
          <w:color w:val="auto"/>
        </w:rPr>
      </w:pPr>
    </w:p>
    <w:p>
      <w:pPr>
        <w:ind w:left="1160" w:hanging="239"/>
        <w:spacing w:after="0"/>
        <w:tabs>
          <w:tab w:leader="none" w:pos="1160" w:val="left"/>
        </w:tabs>
        <w:numPr>
          <w:ilvl w:val="0"/>
          <w:numId w:val="11"/>
        </w:numPr>
        <w:rPr>
          <w:rFonts w:ascii="Arial" w:cs="Arial" w:eastAsia="Arial" w:hAnsi="Arial"/>
          <w:sz w:val="18"/>
          <w:szCs w:val="18"/>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Company</w:t>
      </w:r>
      <w:r>
        <w:rPr>
          <w:rFonts w:ascii="Arial" w:cs="Arial" w:eastAsia="Arial" w:hAnsi="Arial"/>
          <w:sz w:val="18"/>
          <w:szCs w:val="18"/>
          <w:color w:val="auto"/>
        </w:rPr>
        <w:t>” means the Sponsor and the Subsidiary Companies.</w:t>
      </w:r>
    </w:p>
    <w:p>
      <w:pPr>
        <w:spacing w:after="0" w:line="171" w:lineRule="exact"/>
        <w:rPr>
          <w:rFonts w:ascii="Arial" w:cs="Arial" w:eastAsia="Arial" w:hAnsi="Arial"/>
          <w:sz w:val="18"/>
          <w:szCs w:val="18"/>
          <w:color w:val="auto"/>
        </w:rPr>
      </w:pPr>
    </w:p>
    <w:p>
      <w:pPr>
        <w:ind w:left="1140" w:hanging="219"/>
        <w:spacing w:after="0"/>
        <w:tabs>
          <w:tab w:leader="none" w:pos="1140" w:val="left"/>
        </w:tabs>
        <w:numPr>
          <w:ilvl w:val="0"/>
          <w:numId w:val="11"/>
        </w:numPr>
        <w:rPr>
          <w:rFonts w:ascii="Arial" w:cs="Arial" w:eastAsia="Arial" w:hAnsi="Arial"/>
          <w:sz w:val="18"/>
          <w:szCs w:val="18"/>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Date of Grant</w:t>
      </w:r>
      <w:r>
        <w:rPr>
          <w:rFonts w:ascii="Arial" w:cs="Arial" w:eastAsia="Arial" w:hAnsi="Arial"/>
          <w:sz w:val="18"/>
          <w:szCs w:val="18"/>
          <w:color w:val="auto"/>
        </w:rPr>
        <w:t>” means the date as of which an Option is granted.</w:t>
      </w:r>
    </w:p>
    <w:p>
      <w:pPr>
        <w:spacing w:after="0" w:line="171" w:lineRule="exact"/>
        <w:rPr>
          <w:rFonts w:ascii="Arial" w:cs="Arial" w:eastAsia="Arial" w:hAnsi="Arial"/>
          <w:sz w:val="18"/>
          <w:szCs w:val="18"/>
          <w:color w:val="auto"/>
        </w:rPr>
      </w:pPr>
    </w:p>
    <w:p>
      <w:pPr>
        <w:ind w:left="1220" w:hanging="299"/>
        <w:spacing w:after="0"/>
        <w:tabs>
          <w:tab w:leader="none" w:pos="1220" w:val="left"/>
        </w:tabs>
        <w:numPr>
          <w:ilvl w:val="0"/>
          <w:numId w:val="11"/>
        </w:numPr>
        <w:rPr>
          <w:rFonts w:ascii="Arial" w:cs="Arial" w:eastAsia="Arial" w:hAnsi="Arial"/>
          <w:sz w:val="18"/>
          <w:szCs w:val="18"/>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Disability</w:t>
      </w:r>
      <w:r>
        <w:rPr>
          <w:rFonts w:ascii="Arial" w:cs="Arial" w:eastAsia="Arial" w:hAnsi="Arial"/>
          <w:sz w:val="18"/>
          <w:szCs w:val="18"/>
          <w:color w:val="auto"/>
        </w:rPr>
        <w:t>” means a disability within the meaning of section 22(e)(3) of the Code.</w:t>
      </w:r>
    </w:p>
    <w:p>
      <w:pPr>
        <w:spacing w:after="0" w:line="171" w:lineRule="exact"/>
        <w:rPr>
          <w:rFonts w:ascii="Arial" w:cs="Arial" w:eastAsia="Arial" w:hAnsi="Arial"/>
          <w:sz w:val="18"/>
          <w:szCs w:val="18"/>
          <w:color w:val="auto"/>
        </w:rPr>
      </w:pPr>
    </w:p>
    <w:p>
      <w:pPr>
        <w:ind w:firstLine="921"/>
        <w:spacing w:after="0" w:line="294" w:lineRule="auto"/>
        <w:tabs>
          <w:tab w:leader="none" w:pos="1162" w:val="left"/>
        </w:tabs>
        <w:numPr>
          <w:ilvl w:val="0"/>
          <w:numId w:val="11"/>
        </w:numPr>
        <w:rPr>
          <w:rFonts w:ascii="Arial" w:cs="Arial" w:eastAsia="Arial" w:hAnsi="Arial"/>
          <w:sz w:val="16"/>
          <w:szCs w:val="16"/>
          <w:color w:val="auto"/>
        </w:rPr>
      </w:pPr>
      <w:r>
        <w:rPr>
          <w:rFonts w:ascii="Arial" w:cs="Arial" w:eastAsia="Arial" w:hAnsi="Arial"/>
          <w:sz w:val="16"/>
          <w:szCs w:val="16"/>
          <w:color w:val="auto"/>
        </w:rPr>
        <w:t>“</w:t>
      </w:r>
      <w:r>
        <w:rPr>
          <w:rFonts w:ascii="Arial" w:cs="Arial" w:eastAsia="Arial" w:hAnsi="Arial"/>
          <w:sz w:val="16"/>
          <w:szCs w:val="16"/>
          <w:u w:val="single" w:color="auto"/>
          <w:color w:val="auto"/>
        </w:rPr>
        <w:t>Fair Market Value</w:t>
      </w:r>
      <w:r>
        <w:rPr>
          <w:rFonts w:ascii="Arial" w:cs="Arial" w:eastAsia="Arial" w:hAnsi="Arial"/>
          <w:sz w:val="16"/>
          <w:szCs w:val="16"/>
          <w:color w:val="auto"/>
        </w:rPr>
        <w:t>.” If Shares are listed on a stock exchange, Fair Market Value shall be determined based on the last reported sale price of a Share on the principal exchange on which Shares are listed on the date of determination, or if such date is not a trading day, the next trading date. If Shares are not so listed, but trades of Shares are reported on the Nasdaq National Market, Fair Market Value shall be determined based on the last quoted sale price of a Share on the Nasdaq National Market on the date of determination, or if such date is not a trading day, the next trading date. If Shares are not so listed nor trades of Shares so reported, Fair Market Value shall be determined by the Board or the Committee in good faith.</w:t>
      </w:r>
    </w:p>
    <w:p>
      <w:pPr>
        <w:spacing w:after="0" w:line="102"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w:t>
      </w:r>
    </w:p>
    <w:p>
      <w:pPr>
        <w:sectPr>
          <w:pgSz w:w="11900" w:h="16838" w:orient="portrait"/>
          <w:cols w:equalWidth="0" w:num="1">
            <w:col w:w="11400"/>
          </w:cols>
          <w:pgMar w:left="240" w:top="280" w:right="259" w:bottom="1440" w:gutter="0" w:footer="0" w:header="0"/>
        </w:sectPr>
      </w:pPr>
    </w:p>
    <w:bookmarkStart w:id="38" w:name="page39"/>
    <w:bookmarkEnd w:id="38"/>
    <w:p>
      <w:pPr>
        <w:ind w:right="320" w:firstLine="921"/>
        <w:spacing w:after="0" w:line="268" w:lineRule="auto"/>
        <w:tabs>
          <w:tab w:leader="none" w:pos="1162" w:val="left"/>
        </w:tabs>
        <w:numPr>
          <w:ilvl w:val="0"/>
          <w:numId w:val="12"/>
        </w:numPr>
        <w:rPr>
          <w:rFonts w:ascii="Arial" w:cs="Arial" w:eastAsia="Arial" w:hAnsi="Arial"/>
          <w:sz w:val="18"/>
          <w:szCs w:val="18"/>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5">
                      <a:extLst>
                        <a:ext uri="{28A0092B-C50C-407E-A947-70E740481C1C}"/>
                      </a:extLst>
                    </a:blip>
                    <a:srcRect/>
                    <a:stretch>
                      <a:fillRect/>
                    </a:stretch>
                  </pic:blipFill>
                  <pic:spPr bwMode="auto">
                    <a:xfrm>
                      <a:off x="0" y="0"/>
                      <a:ext cx="7267575" cy="27940"/>
                    </a:xfrm>
                    <a:prstGeom prst="rect">
                      <a:avLst/>
                    </a:prstGeom>
                    <a:noFill/>
                  </pic:spPr>
                </pic:pic>
              </a:graphicData>
            </a:graphic>
          </wp:anchor>
        </w:drawing>
        <w:t>“</w:t>
      </w:r>
      <w:r>
        <w:rPr>
          <w:rFonts w:ascii="Arial" w:cs="Arial" w:eastAsia="Arial" w:hAnsi="Arial"/>
          <w:sz w:val="18"/>
          <w:szCs w:val="18"/>
          <w:u w:val="single" w:color="auto"/>
          <w:color w:val="auto"/>
        </w:rPr>
        <w:t>Immediate Family</w:t>
      </w:r>
      <w:r>
        <w:rPr>
          <w:rFonts w:ascii="Arial" w:cs="Arial" w:eastAsia="Arial" w:hAnsi="Arial"/>
          <w:sz w:val="18"/>
          <w:szCs w:val="18"/>
          <w:color w:val="auto"/>
        </w:rPr>
        <w:t>” means an Optionee’s spouse and lineal descendants, any trust all beneficiaries of which are any of such persons and any partnership all partners of which are any of such persons.</w:t>
      </w:r>
    </w:p>
    <w:p>
      <w:pPr>
        <w:spacing w:after="0" w:line="131" w:lineRule="exact"/>
        <w:rPr>
          <w:rFonts w:ascii="Arial" w:cs="Arial" w:eastAsia="Arial" w:hAnsi="Arial"/>
          <w:sz w:val="18"/>
          <w:szCs w:val="18"/>
          <w:color w:val="auto"/>
        </w:rPr>
      </w:pPr>
    </w:p>
    <w:p>
      <w:pPr>
        <w:ind w:firstLine="921"/>
        <w:spacing w:after="0" w:line="298" w:lineRule="auto"/>
        <w:tabs>
          <w:tab w:leader="none" w:pos="1162" w:val="left"/>
        </w:tabs>
        <w:numPr>
          <w:ilvl w:val="0"/>
          <w:numId w:val="12"/>
        </w:numPr>
        <w:rPr>
          <w:rFonts w:ascii="Arial" w:cs="Arial" w:eastAsia="Arial" w:hAnsi="Arial"/>
          <w:sz w:val="16"/>
          <w:szCs w:val="16"/>
          <w:color w:val="auto"/>
        </w:rPr>
      </w:pPr>
      <w:r>
        <w:rPr>
          <w:rFonts w:ascii="Arial" w:cs="Arial" w:eastAsia="Arial" w:hAnsi="Arial"/>
          <w:sz w:val="16"/>
          <w:szCs w:val="16"/>
          <w:color w:val="auto"/>
        </w:rPr>
        <w:t>“</w:t>
      </w:r>
      <w:r>
        <w:rPr>
          <w:rFonts w:ascii="Arial" w:cs="Arial" w:eastAsia="Arial" w:hAnsi="Arial"/>
          <w:sz w:val="16"/>
          <w:szCs w:val="16"/>
          <w:u w:val="single" w:color="auto"/>
          <w:color w:val="auto"/>
        </w:rPr>
        <w:t>Incentive Stock Option</w:t>
      </w:r>
      <w:r>
        <w:rPr>
          <w:rFonts w:ascii="Arial" w:cs="Arial" w:eastAsia="Arial" w:hAnsi="Arial"/>
          <w:sz w:val="16"/>
          <w:szCs w:val="16"/>
          <w:color w:val="auto"/>
        </w:rPr>
        <w:t xml:space="preserve">” means an Option granted under the Plan, designated by the Committee at the time of such grant as an Incentive Stock Option within the meaning of section 422 of the Code and containing the terms specified herein for Incentive Stock Options; </w:t>
      </w:r>
      <w:r>
        <w:rPr>
          <w:rFonts w:ascii="Arial" w:cs="Arial" w:eastAsia="Arial" w:hAnsi="Arial"/>
          <w:sz w:val="16"/>
          <w:szCs w:val="16"/>
          <w:u w:val="single" w:color="auto"/>
          <w:color w:val="auto"/>
        </w:rPr>
        <w:t>provided, however</w:t>
      </w:r>
      <w:r>
        <w:rPr>
          <w:rFonts w:ascii="Arial" w:cs="Arial" w:eastAsia="Arial" w:hAnsi="Arial"/>
          <w:sz w:val="16"/>
          <w:szCs w:val="16"/>
          <w:color w:val="auto"/>
        </w:rPr>
        <w:t>, that to the extent an Option granted under the Plan and designated by the Committee at the time of grant as an Incentive Stock Option fails to satisfy the requirements for an incentive stock option under section 422 of the Code for any reason, such Option shall be treated as a Non-Qualified Option.</w:t>
      </w:r>
    </w:p>
    <w:p>
      <w:pPr>
        <w:spacing w:after="0" w:line="112" w:lineRule="exact"/>
        <w:rPr>
          <w:rFonts w:ascii="Arial" w:cs="Arial" w:eastAsia="Arial" w:hAnsi="Arial"/>
          <w:sz w:val="16"/>
          <w:szCs w:val="16"/>
          <w:color w:val="auto"/>
        </w:rPr>
      </w:pPr>
    </w:p>
    <w:p>
      <w:pPr>
        <w:ind w:right="700" w:firstLine="921"/>
        <w:spacing w:after="0" w:line="332" w:lineRule="auto"/>
        <w:tabs>
          <w:tab w:leader="none" w:pos="1162" w:val="left"/>
        </w:tabs>
        <w:numPr>
          <w:ilvl w:val="0"/>
          <w:numId w:val="12"/>
        </w:numPr>
        <w:rPr>
          <w:rFonts w:ascii="Arial" w:cs="Arial" w:eastAsia="Arial" w:hAnsi="Arial"/>
          <w:sz w:val="16"/>
          <w:szCs w:val="16"/>
          <w:color w:val="auto"/>
        </w:rPr>
      </w:pPr>
      <w:r>
        <w:rPr>
          <w:rFonts w:ascii="Arial" w:cs="Arial" w:eastAsia="Arial" w:hAnsi="Arial"/>
          <w:sz w:val="16"/>
          <w:szCs w:val="16"/>
          <w:color w:val="auto"/>
        </w:rPr>
        <w:t>“</w:t>
      </w:r>
      <w:r>
        <w:rPr>
          <w:rFonts w:ascii="Arial" w:cs="Arial" w:eastAsia="Arial" w:hAnsi="Arial"/>
          <w:sz w:val="16"/>
          <w:szCs w:val="16"/>
          <w:u w:val="single" w:color="auto"/>
          <w:color w:val="auto"/>
        </w:rPr>
        <w:t>Non-Employee Director</w:t>
      </w:r>
      <w:r>
        <w:rPr>
          <w:rFonts w:ascii="Arial" w:cs="Arial" w:eastAsia="Arial" w:hAnsi="Arial"/>
          <w:sz w:val="16"/>
          <w:szCs w:val="16"/>
          <w:color w:val="auto"/>
        </w:rPr>
        <w:t>” means an individual who is a member of the Board, and who is not an employee of a Company, including an individual who is a member of the Board and who previously was, but at the time of reference is not, an employee of a Company.</w:t>
      </w:r>
    </w:p>
    <w:p>
      <w:pPr>
        <w:spacing w:after="0" w:line="166" w:lineRule="exact"/>
        <w:rPr>
          <w:rFonts w:ascii="Arial" w:cs="Arial" w:eastAsia="Arial" w:hAnsi="Arial"/>
          <w:sz w:val="16"/>
          <w:szCs w:val="16"/>
          <w:color w:val="auto"/>
        </w:rPr>
      </w:pPr>
    </w:p>
    <w:p>
      <w:pPr>
        <w:ind w:left="1140" w:hanging="219"/>
        <w:spacing w:after="0"/>
        <w:tabs>
          <w:tab w:leader="none" w:pos="1140" w:val="left"/>
        </w:tabs>
        <w:numPr>
          <w:ilvl w:val="0"/>
          <w:numId w:val="12"/>
        </w:numPr>
        <w:rPr>
          <w:rFonts w:ascii="Arial" w:cs="Arial" w:eastAsia="Arial" w:hAnsi="Arial"/>
          <w:sz w:val="18"/>
          <w:szCs w:val="18"/>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Non-Qualified Option</w:t>
      </w:r>
      <w:r>
        <w:rPr>
          <w:rFonts w:ascii="Arial" w:cs="Arial" w:eastAsia="Arial" w:hAnsi="Arial"/>
          <w:sz w:val="18"/>
          <w:szCs w:val="18"/>
          <w:color w:val="auto"/>
        </w:rPr>
        <w:t>” means:</w:t>
      </w:r>
    </w:p>
    <w:p>
      <w:pPr>
        <w:spacing w:after="0" w:line="90" w:lineRule="exact"/>
        <w:rPr>
          <w:rFonts w:ascii="Arial" w:cs="Arial" w:eastAsia="Arial" w:hAnsi="Arial"/>
          <w:sz w:val="18"/>
          <w:szCs w:val="18"/>
          <w:color w:val="auto"/>
        </w:rPr>
      </w:pPr>
    </w:p>
    <w:p>
      <w:pPr>
        <w:ind w:right="240" w:firstLine="1492"/>
        <w:spacing w:after="0" w:line="268" w:lineRule="auto"/>
        <w:tabs>
          <w:tab w:leader="none" w:pos="1693" w:val="left"/>
        </w:tabs>
        <w:numPr>
          <w:ilvl w:val="1"/>
          <w:numId w:val="12"/>
        </w:numPr>
        <w:rPr>
          <w:rFonts w:ascii="Arial" w:cs="Arial" w:eastAsia="Arial" w:hAnsi="Arial"/>
          <w:sz w:val="18"/>
          <w:szCs w:val="18"/>
          <w:color w:val="auto"/>
        </w:rPr>
      </w:pPr>
      <w:r>
        <w:rPr>
          <w:rFonts w:ascii="Arial" w:cs="Arial" w:eastAsia="Arial" w:hAnsi="Arial"/>
          <w:sz w:val="18"/>
          <w:szCs w:val="18"/>
          <w:color w:val="auto"/>
        </w:rPr>
        <w:t>an Option granted under the Plan, designated by the Committee at the time of such grant as a Non-Qualified Option and containing the terms specified herein for Non-Qualified Options; and</w:t>
      </w:r>
    </w:p>
    <w:p>
      <w:pPr>
        <w:spacing w:after="0" w:line="131" w:lineRule="exact"/>
        <w:rPr>
          <w:rFonts w:ascii="Arial" w:cs="Arial" w:eastAsia="Arial" w:hAnsi="Arial"/>
          <w:sz w:val="18"/>
          <w:szCs w:val="18"/>
          <w:color w:val="auto"/>
        </w:rPr>
      </w:pPr>
    </w:p>
    <w:p>
      <w:pPr>
        <w:ind w:right="160" w:firstLine="1492"/>
        <w:spacing w:after="0" w:line="268" w:lineRule="auto"/>
        <w:tabs>
          <w:tab w:leader="none" w:pos="1742" w:val="left"/>
        </w:tabs>
        <w:numPr>
          <w:ilvl w:val="1"/>
          <w:numId w:val="12"/>
        </w:numPr>
        <w:rPr>
          <w:rFonts w:ascii="Arial" w:cs="Arial" w:eastAsia="Arial" w:hAnsi="Arial"/>
          <w:sz w:val="18"/>
          <w:szCs w:val="18"/>
          <w:color w:val="auto"/>
        </w:rPr>
      </w:pPr>
      <w:r>
        <w:rPr>
          <w:rFonts w:ascii="Arial" w:cs="Arial" w:eastAsia="Arial" w:hAnsi="Arial"/>
          <w:sz w:val="18"/>
          <w:szCs w:val="18"/>
          <w:color w:val="auto"/>
        </w:rPr>
        <w:t>an Option granted under the Plan and designated by the Committee at the time of grant as an Incentive Stock Option, to the extent such Option fails to satisfy the requirements for an incentive stock option under section 422 of the Code for any reason.</w:t>
      </w:r>
    </w:p>
    <w:p>
      <w:pPr>
        <w:spacing w:after="0" w:line="131" w:lineRule="exact"/>
        <w:rPr>
          <w:rFonts w:ascii="Arial" w:cs="Arial" w:eastAsia="Arial" w:hAnsi="Arial"/>
          <w:sz w:val="18"/>
          <w:szCs w:val="18"/>
          <w:color w:val="auto"/>
        </w:rPr>
      </w:pPr>
    </w:p>
    <w:p>
      <w:pPr>
        <w:ind w:left="1160" w:hanging="239"/>
        <w:spacing w:after="0"/>
        <w:tabs>
          <w:tab w:leader="none" w:pos="1160" w:val="left"/>
        </w:tabs>
        <w:numPr>
          <w:ilvl w:val="0"/>
          <w:numId w:val="12"/>
        </w:numPr>
        <w:rPr>
          <w:rFonts w:ascii="Arial" w:cs="Arial" w:eastAsia="Arial" w:hAnsi="Arial"/>
          <w:sz w:val="18"/>
          <w:szCs w:val="18"/>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Officer</w:t>
      </w:r>
      <w:r>
        <w:rPr>
          <w:rFonts w:ascii="Arial" w:cs="Arial" w:eastAsia="Arial" w:hAnsi="Arial"/>
          <w:sz w:val="18"/>
          <w:szCs w:val="18"/>
          <w:color w:val="auto"/>
        </w:rPr>
        <w:t>” means an officer of the Sponsor (as defined in section 16 of the 1934 Act).</w:t>
      </w:r>
    </w:p>
    <w:p>
      <w:pPr>
        <w:spacing w:after="0" w:line="171" w:lineRule="exact"/>
        <w:rPr>
          <w:rFonts w:ascii="Arial" w:cs="Arial" w:eastAsia="Arial" w:hAnsi="Arial"/>
          <w:sz w:val="18"/>
          <w:szCs w:val="18"/>
          <w:color w:val="auto"/>
        </w:rPr>
      </w:pPr>
    </w:p>
    <w:p>
      <w:pPr>
        <w:ind w:left="1140" w:hanging="219"/>
        <w:spacing w:after="0"/>
        <w:tabs>
          <w:tab w:leader="none" w:pos="1140" w:val="left"/>
        </w:tabs>
        <w:numPr>
          <w:ilvl w:val="0"/>
          <w:numId w:val="12"/>
        </w:numPr>
        <w:rPr>
          <w:rFonts w:ascii="Arial" w:cs="Arial" w:eastAsia="Arial" w:hAnsi="Arial"/>
          <w:sz w:val="18"/>
          <w:szCs w:val="18"/>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Option</w:t>
      </w:r>
      <w:r>
        <w:rPr>
          <w:rFonts w:ascii="Arial" w:cs="Arial" w:eastAsia="Arial" w:hAnsi="Arial"/>
          <w:sz w:val="18"/>
          <w:szCs w:val="18"/>
          <w:color w:val="auto"/>
        </w:rPr>
        <w:t>” means any stock option granted under the Plan and described in Paragraph 3(a)(i) or Paragraph 3(a)(ii).</w:t>
      </w:r>
    </w:p>
    <w:p>
      <w:pPr>
        <w:spacing w:after="0" w:line="171" w:lineRule="exact"/>
        <w:rPr>
          <w:rFonts w:ascii="Arial" w:cs="Arial" w:eastAsia="Arial" w:hAnsi="Arial"/>
          <w:sz w:val="18"/>
          <w:szCs w:val="18"/>
          <w:color w:val="auto"/>
        </w:rPr>
      </w:pPr>
    </w:p>
    <w:p>
      <w:pPr>
        <w:ind w:left="1160" w:hanging="239"/>
        <w:spacing w:after="0"/>
        <w:tabs>
          <w:tab w:leader="none" w:pos="1160" w:val="left"/>
        </w:tabs>
        <w:numPr>
          <w:ilvl w:val="0"/>
          <w:numId w:val="12"/>
        </w:numPr>
        <w:rPr>
          <w:rFonts w:ascii="Arial" w:cs="Arial" w:eastAsia="Arial" w:hAnsi="Arial"/>
          <w:sz w:val="15"/>
          <w:szCs w:val="15"/>
          <w:color w:val="auto"/>
        </w:rPr>
      </w:pPr>
      <w:r>
        <w:rPr>
          <w:rFonts w:ascii="Arial" w:cs="Arial" w:eastAsia="Arial" w:hAnsi="Arial"/>
          <w:sz w:val="15"/>
          <w:szCs w:val="15"/>
          <w:color w:val="auto"/>
        </w:rPr>
        <w:t>“</w:t>
      </w:r>
      <w:r>
        <w:rPr>
          <w:rFonts w:ascii="Arial" w:cs="Arial" w:eastAsia="Arial" w:hAnsi="Arial"/>
          <w:sz w:val="15"/>
          <w:szCs w:val="15"/>
          <w:u w:val="single" w:color="auto"/>
          <w:color w:val="auto"/>
        </w:rPr>
        <w:t>Optionee</w:t>
      </w:r>
      <w:r>
        <w:rPr>
          <w:rFonts w:ascii="Arial" w:cs="Arial" w:eastAsia="Arial" w:hAnsi="Arial"/>
          <w:sz w:val="15"/>
          <w:szCs w:val="15"/>
          <w:color w:val="auto"/>
        </w:rPr>
        <w:t>” means a person to whom an Option has been granted under the Plan, which Option has not been exercised in full and has not expired</w:t>
      </w:r>
    </w:p>
    <w:p>
      <w:pPr>
        <w:spacing w:after="0" w:line="49" w:lineRule="exact"/>
        <w:rPr>
          <w:rFonts w:ascii="Arial" w:cs="Arial" w:eastAsia="Arial" w:hAnsi="Arial"/>
          <w:sz w:val="15"/>
          <w:szCs w:val="15"/>
          <w:color w:val="auto"/>
        </w:rPr>
      </w:pPr>
    </w:p>
    <w:p>
      <w:pPr>
        <w:spacing w:after="0"/>
        <w:rPr>
          <w:rFonts w:ascii="Arial" w:cs="Arial" w:eastAsia="Arial" w:hAnsi="Arial"/>
          <w:sz w:val="15"/>
          <w:szCs w:val="15"/>
          <w:color w:val="auto"/>
        </w:rPr>
      </w:pPr>
      <w:r>
        <w:rPr>
          <w:rFonts w:ascii="Arial" w:cs="Arial" w:eastAsia="Arial" w:hAnsi="Arial"/>
          <w:sz w:val="18"/>
          <w:szCs w:val="18"/>
          <w:color w:val="auto"/>
        </w:rPr>
        <w:t>or terminated.</w:t>
      </w:r>
    </w:p>
    <w:p>
      <w:pPr>
        <w:spacing w:after="0" w:line="245" w:lineRule="exact"/>
        <w:rPr>
          <w:rFonts w:ascii="Arial" w:cs="Arial" w:eastAsia="Arial" w:hAnsi="Arial"/>
          <w:sz w:val="15"/>
          <w:szCs w:val="15"/>
          <w:color w:val="auto"/>
        </w:rPr>
      </w:pPr>
    </w:p>
    <w:p>
      <w:pPr>
        <w:ind w:left="1160" w:hanging="239"/>
        <w:spacing w:after="0"/>
        <w:tabs>
          <w:tab w:leader="none" w:pos="1160" w:val="left"/>
        </w:tabs>
        <w:numPr>
          <w:ilvl w:val="0"/>
          <w:numId w:val="12"/>
        </w:numPr>
        <w:rPr>
          <w:rFonts w:ascii="Arial" w:cs="Arial" w:eastAsia="Arial" w:hAnsi="Arial"/>
          <w:sz w:val="18"/>
          <w:szCs w:val="18"/>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Other Available Shares</w:t>
      </w:r>
      <w:r>
        <w:rPr>
          <w:rFonts w:ascii="Arial" w:cs="Arial" w:eastAsia="Arial" w:hAnsi="Arial"/>
          <w:sz w:val="18"/>
          <w:szCs w:val="18"/>
          <w:color w:val="auto"/>
        </w:rPr>
        <w:t>” means, as of any date, the sum of:</w:t>
      </w:r>
    </w:p>
    <w:p>
      <w:pPr>
        <w:spacing w:after="0" w:line="90" w:lineRule="exact"/>
        <w:rPr>
          <w:rFonts w:ascii="Arial" w:cs="Arial" w:eastAsia="Arial" w:hAnsi="Arial"/>
          <w:sz w:val="18"/>
          <w:szCs w:val="18"/>
          <w:color w:val="auto"/>
        </w:rPr>
      </w:pPr>
    </w:p>
    <w:p>
      <w:pPr>
        <w:ind w:right="280" w:firstLine="1492"/>
        <w:spacing w:after="0" w:line="268" w:lineRule="auto"/>
        <w:tabs>
          <w:tab w:leader="none" w:pos="1693" w:val="left"/>
        </w:tabs>
        <w:numPr>
          <w:ilvl w:val="1"/>
          <w:numId w:val="12"/>
        </w:numPr>
        <w:rPr>
          <w:rFonts w:ascii="Arial" w:cs="Arial" w:eastAsia="Arial" w:hAnsi="Arial"/>
          <w:sz w:val="18"/>
          <w:szCs w:val="18"/>
          <w:color w:val="auto"/>
        </w:rPr>
      </w:pPr>
      <w:r>
        <w:rPr>
          <w:rFonts w:ascii="Arial" w:cs="Arial" w:eastAsia="Arial" w:hAnsi="Arial"/>
          <w:sz w:val="18"/>
          <w:szCs w:val="18"/>
          <w:color w:val="auto"/>
        </w:rPr>
        <w:t>the total number of Shares owned by an Optionee that were not acquired by such Optionee pursuant to a Comcast Plan or otherwise in connection with the performance of services to the Sponsor or an Affiliate; plus</w:t>
      </w:r>
    </w:p>
    <w:p>
      <w:pPr>
        <w:spacing w:after="0" w:line="212" w:lineRule="exact"/>
        <w:rPr>
          <w:rFonts w:ascii="Arial" w:cs="Arial" w:eastAsia="Arial" w:hAnsi="Arial"/>
          <w:sz w:val="18"/>
          <w:szCs w:val="18"/>
          <w:color w:val="auto"/>
        </w:rPr>
      </w:pPr>
    </w:p>
    <w:p>
      <w:pPr>
        <w:ind w:left="1760" w:hanging="268"/>
        <w:spacing w:after="0"/>
        <w:tabs>
          <w:tab w:leader="none" w:pos="1760" w:val="left"/>
        </w:tabs>
        <w:numPr>
          <w:ilvl w:val="1"/>
          <w:numId w:val="12"/>
        </w:numPr>
        <w:rPr>
          <w:rFonts w:ascii="Arial" w:cs="Arial" w:eastAsia="Arial" w:hAnsi="Arial"/>
          <w:sz w:val="18"/>
          <w:szCs w:val="18"/>
          <w:color w:val="auto"/>
        </w:rPr>
      </w:pPr>
      <w:r>
        <w:rPr>
          <w:rFonts w:ascii="Arial" w:cs="Arial" w:eastAsia="Arial" w:hAnsi="Arial"/>
          <w:sz w:val="18"/>
          <w:szCs w:val="18"/>
          <w:color w:val="auto"/>
        </w:rPr>
        <w:t>the excess, if any of:</w:t>
      </w:r>
    </w:p>
    <w:p>
      <w:pPr>
        <w:spacing w:after="0" w:line="90" w:lineRule="exact"/>
        <w:rPr>
          <w:rFonts w:ascii="Arial" w:cs="Arial" w:eastAsia="Arial" w:hAnsi="Arial"/>
          <w:sz w:val="18"/>
          <w:szCs w:val="18"/>
          <w:color w:val="auto"/>
        </w:rPr>
      </w:pPr>
    </w:p>
    <w:p>
      <w:pPr>
        <w:ind w:left="2240" w:hanging="292"/>
        <w:spacing w:after="0"/>
        <w:tabs>
          <w:tab w:leader="none" w:pos="2240" w:val="left"/>
        </w:tabs>
        <w:numPr>
          <w:ilvl w:val="2"/>
          <w:numId w:val="12"/>
        </w:numPr>
        <w:rPr>
          <w:rFonts w:ascii="Arial" w:cs="Arial" w:eastAsia="Arial" w:hAnsi="Arial"/>
          <w:sz w:val="18"/>
          <w:szCs w:val="18"/>
          <w:color w:val="auto"/>
        </w:rPr>
      </w:pPr>
      <w:r>
        <w:rPr>
          <w:rFonts w:ascii="Arial" w:cs="Arial" w:eastAsia="Arial" w:hAnsi="Arial"/>
          <w:sz w:val="18"/>
          <w:szCs w:val="18"/>
          <w:color w:val="auto"/>
        </w:rPr>
        <w:t>the total number of Shares owned by an Optionee other than the Shares described in Paragraph 2(v)(i); over</w:t>
      </w:r>
    </w:p>
    <w:p>
      <w:pPr>
        <w:spacing w:after="0" w:line="158"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-3-</w:t>
      </w:r>
    </w:p>
    <w:p>
      <w:pPr>
        <w:sectPr>
          <w:pgSz w:w="11900" w:h="16838" w:orient="portrait"/>
          <w:cols w:equalWidth="0" w:num="1">
            <w:col w:w="11400"/>
          </w:cols>
          <w:pgMar w:left="240" w:top="280" w:right="259" w:bottom="1440" w:gutter="0" w:footer="0" w:header="0"/>
        </w:sectPr>
      </w:pPr>
    </w:p>
    <w:bookmarkStart w:id="39" w:name="page40"/>
    <w:bookmarkEnd w:id="39"/>
    <w:p>
      <w:pPr>
        <w:ind w:left="2220" w:hanging="272"/>
        <w:spacing w:after="0"/>
        <w:tabs>
          <w:tab w:leader="none" w:pos="2220" w:val="left"/>
        </w:tabs>
        <w:numPr>
          <w:ilvl w:val="0"/>
          <w:numId w:val="13"/>
        </w:numPr>
        <w:rPr>
          <w:rFonts w:ascii="Arial" w:cs="Arial" w:eastAsia="Arial" w:hAnsi="Arial"/>
          <w:sz w:val="18"/>
          <w:szCs w:val="18"/>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6">
                      <a:extLst>
                        <a:ext uri="{28A0092B-C50C-407E-A947-70E740481C1C}"/>
                      </a:extLst>
                    </a:blip>
                    <a:srcRect/>
                    <a:stretch>
                      <a:fillRect/>
                    </a:stretch>
                  </pic:blipFill>
                  <pic:spPr bwMode="auto">
                    <a:xfrm>
                      <a:off x="0" y="0"/>
                      <a:ext cx="7267575" cy="27940"/>
                    </a:xfrm>
                    <a:prstGeom prst="rect">
                      <a:avLst/>
                    </a:prstGeom>
                    <a:noFill/>
                  </pic:spPr>
                </pic:pic>
              </a:graphicData>
            </a:graphic>
          </wp:anchor>
        </w:drawing>
        <w:t>the sum of:</w:t>
      </w:r>
    </w:p>
    <w:p>
      <w:pPr>
        <w:spacing w:after="0" w:line="90" w:lineRule="exact"/>
        <w:rPr>
          <w:rFonts w:ascii="Arial" w:cs="Arial" w:eastAsia="Arial" w:hAnsi="Arial"/>
          <w:sz w:val="18"/>
          <w:szCs w:val="18"/>
          <w:color w:val="auto"/>
        </w:rPr>
      </w:pPr>
    </w:p>
    <w:p>
      <w:pPr>
        <w:ind w:left="2660" w:hanging="256"/>
        <w:spacing w:after="0"/>
        <w:tabs>
          <w:tab w:leader="none" w:pos="2660" w:val="left"/>
        </w:tabs>
        <w:numPr>
          <w:ilvl w:val="1"/>
          <w:numId w:val="13"/>
        </w:numPr>
        <w:rPr>
          <w:rFonts w:ascii="Arial" w:cs="Arial" w:eastAsia="Arial" w:hAnsi="Arial"/>
          <w:sz w:val="18"/>
          <w:szCs w:val="18"/>
          <w:color w:val="auto"/>
        </w:rPr>
      </w:pPr>
      <w:r>
        <w:rPr>
          <w:rFonts w:ascii="Arial" w:cs="Arial" w:eastAsia="Arial" w:hAnsi="Arial"/>
          <w:sz w:val="18"/>
          <w:szCs w:val="18"/>
          <w:color w:val="auto"/>
        </w:rPr>
        <w:t>the number of such Shares owned by such Optionee for less than six months; plus</w:t>
      </w:r>
    </w:p>
    <w:p>
      <w:pPr>
        <w:spacing w:after="0" w:line="171" w:lineRule="exact"/>
        <w:rPr>
          <w:rFonts w:ascii="Arial" w:cs="Arial" w:eastAsia="Arial" w:hAnsi="Arial"/>
          <w:sz w:val="18"/>
          <w:szCs w:val="18"/>
          <w:color w:val="auto"/>
        </w:rPr>
      </w:pPr>
    </w:p>
    <w:p>
      <w:pPr>
        <w:ind w:right="660" w:firstLine="2404"/>
        <w:spacing w:after="0" w:line="332" w:lineRule="auto"/>
        <w:tabs>
          <w:tab w:leader="none" w:pos="2645" w:val="left"/>
        </w:tabs>
        <w:numPr>
          <w:ilvl w:val="1"/>
          <w:numId w:val="13"/>
        </w:numPr>
        <w:rPr>
          <w:rFonts w:ascii="Arial" w:cs="Arial" w:eastAsia="Arial" w:hAnsi="Arial"/>
          <w:sz w:val="16"/>
          <w:szCs w:val="16"/>
          <w:color w:val="auto"/>
        </w:rPr>
      </w:pPr>
      <w:r>
        <w:rPr>
          <w:rFonts w:ascii="Arial" w:cs="Arial" w:eastAsia="Arial" w:hAnsi="Arial"/>
          <w:sz w:val="16"/>
          <w:szCs w:val="16"/>
          <w:color w:val="auto"/>
        </w:rPr>
        <w:t>the number of such Shares owned by such Optionee that has, within the preceding six months, been the subject of a withholding certification pursuant to Paragraph 15(b) or any similar withholding certification under any other Comcast Plan; plus</w:t>
      </w:r>
    </w:p>
    <w:p>
      <w:pPr>
        <w:spacing w:after="0" w:line="85" w:lineRule="exact"/>
        <w:rPr>
          <w:rFonts w:ascii="Arial" w:cs="Arial" w:eastAsia="Arial" w:hAnsi="Arial"/>
          <w:sz w:val="16"/>
          <w:szCs w:val="16"/>
          <w:color w:val="auto"/>
        </w:rPr>
      </w:pPr>
    </w:p>
    <w:p>
      <w:pPr>
        <w:ind w:firstLine="2404"/>
        <w:spacing w:after="0" w:line="256" w:lineRule="auto"/>
        <w:tabs>
          <w:tab w:leader="none" w:pos="2645" w:val="left"/>
        </w:tabs>
        <w:numPr>
          <w:ilvl w:val="1"/>
          <w:numId w:val="13"/>
        </w:numPr>
        <w:rPr>
          <w:rFonts w:ascii="Arial" w:cs="Arial" w:eastAsia="Arial" w:hAnsi="Arial"/>
          <w:sz w:val="18"/>
          <w:szCs w:val="18"/>
          <w:color w:val="auto"/>
        </w:rPr>
      </w:pPr>
      <w:r>
        <w:rPr>
          <w:rFonts w:ascii="Arial" w:cs="Arial" w:eastAsia="Arial" w:hAnsi="Arial"/>
          <w:sz w:val="18"/>
          <w:szCs w:val="18"/>
          <w:color w:val="auto"/>
        </w:rPr>
        <w:t>the number of such Shares owned by such Optionee that has, within the preceding six months, been received in exchange for Shares surrendered as payment, in full or in part, or as to which ownership was attested to as payment, in full or in part, of the exercise price for an option to purchase any securities of the Sponsor or an Affiliate of the Sponsor, under any Comcast Plan, but only to the extent of the number of Shares surrendered or attested to; plus</w:t>
      </w:r>
    </w:p>
    <w:p>
      <w:pPr>
        <w:spacing w:after="0" w:line="143" w:lineRule="exact"/>
        <w:rPr>
          <w:rFonts w:ascii="Arial" w:cs="Arial" w:eastAsia="Arial" w:hAnsi="Arial"/>
          <w:sz w:val="18"/>
          <w:szCs w:val="18"/>
          <w:color w:val="auto"/>
        </w:rPr>
      </w:pPr>
    </w:p>
    <w:p>
      <w:pPr>
        <w:ind w:right="340" w:firstLine="2404"/>
        <w:spacing w:after="0" w:line="259" w:lineRule="auto"/>
        <w:tabs>
          <w:tab w:leader="none" w:pos="2645" w:val="left"/>
        </w:tabs>
        <w:numPr>
          <w:ilvl w:val="1"/>
          <w:numId w:val="13"/>
        </w:numPr>
        <w:rPr>
          <w:rFonts w:ascii="Arial" w:cs="Arial" w:eastAsia="Arial" w:hAnsi="Arial"/>
          <w:sz w:val="18"/>
          <w:szCs w:val="18"/>
          <w:color w:val="auto"/>
        </w:rPr>
      </w:pPr>
      <w:r>
        <w:rPr>
          <w:rFonts w:ascii="Arial" w:cs="Arial" w:eastAsia="Arial" w:hAnsi="Arial"/>
          <w:sz w:val="18"/>
          <w:szCs w:val="18"/>
          <w:color w:val="auto"/>
        </w:rPr>
        <w:t>the number of such Shares owned by such Optionee as to which evidence of ownership has, within the preceding six months, been provided to the Sponsor in connection with the crediting of “Deferred Stock Units” to such Optionee’s Account under the Comcast Corporation 2002 Deferred Stock Option Plan (as in effect from time to time).</w:t>
      </w:r>
    </w:p>
    <w:p>
      <w:pPr>
        <w:spacing w:after="0" w:line="140" w:lineRule="exact"/>
        <w:rPr>
          <w:sz w:val="20"/>
          <w:szCs w:val="20"/>
          <w:color w:val="auto"/>
        </w:rPr>
      </w:pPr>
    </w:p>
    <w:p>
      <w:pPr>
        <w:ind w:right="160"/>
        <w:spacing w:after="0" w:line="255" w:lineRule="auto"/>
        <w:rPr>
          <w:sz w:val="20"/>
          <w:szCs w:val="20"/>
          <w:color w:val="auto"/>
        </w:rPr>
      </w:pPr>
      <w:r>
        <w:rPr>
          <w:rFonts w:ascii="Arial" w:cs="Arial" w:eastAsia="Arial" w:hAnsi="Arial"/>
          <w:sz w:val="18"/>
          <w:szCs w:val="18"/>
          <w:color w:val="auto"/>
        </w:rPr>
        <w:t>For purposes of this Paragraph 2(v), a Share that is subject to a deferral election pursuant to another Comcast Plan shall not be treated as owned by an Optionee until all conditions to the delivery of such Share have lapsed. The number of Other Available Shares shall be determined separately for Common Stock and for Special Common Stock. For purposes of determining the number of Other Available Shares, the term “Shares” shall also include the securities held by a Participant immediately before the consummation of the AT&amp;T Broadband Transaction that became Common Stock or Special Common Stock as a result of the AT&amp;T Broadband Transaction.</w:t>
      </w:r>
    </w:p>
    <w:p>
      <w:pPr>
        <w:spacing w:after="0" w:line="143" w:lineRule="exact"/>
        <w:rPr>
          <w:sz w:val="20"/>
          <w:szCs w:val="20"/>
          <w:color w:val="auto"/>
        </w:rPr>
      </w:pPr>
    </w:p>
    <w:p>
      <w:pPr>
        <w:ind w:right="420" w:firstLine="921"/>
        <w:spacing w:after="0" w:line="268" w:lineRule="auto"/>
        <w:tabs>
          <w:tab w:leader="none" w:pos="1200" w:val="left"/>
        </w:tabs>
        <w:numPr>
          <w:ilvl w:val="0"/>
          <w:numId w:val="14"/>
        </w:numPr>
        <w:rPr>
          <w:rFonts w:ascii="Arial" w:cs="Arial" w:eastAsia="Arial" w:hAnsi="Arial"/>
          <w:sz w:val="18"/>
          <w:szCs w:val="18"/>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Outside Director</w:t>
      </w:r>
      <w:r>
        <w:rPr>
          <w:rFonts w:ascii="Arial" w:cs="Arial" w:eastAsia="Arial" w:hAnsi="Arial"/>
          <w:sz w:val="18"/>
          <w:szCs w:val="18"/>
          <w:color w:val="auto"/>
        </w:rPr>
        <w:t>” means a member of the Board who is an “outside director” within the meaning of section 162(m)(4)(C) of the Code and applicable Treasury Regulations issued thereunder.</w:t>
      </w:r>
    </w:p>
    <w:p>
      <w:pPr>
        <w:spacing w:after="0" w:line="131" w:lineRule="exact"/>
        <w:rPr>
          <w:rFonts w:ascii="Arial" w:cs="Arial" w:eastAsia="Arial" w:hAnsi="Arial"/>
          <w:sz w:val="18"/>
          <w:szCs w:val="18"/>
          <w:color w:val="auto"/>
        </w:rPr>
      </w:pPr>
    </w:p>
    <w:p>
      <w:pPr>
        <w:ind w:left="1160" w:hanging="239"/>
        <w:spacing w:after="0"/>
        <w:tabs>
          <w:tab w:leader="none" w:pos="1160" w:val="left"/>
        </w:tabs>
        <w:numPr>
          <w:ilvl w:val="0"/>
          <w:numId w:val="14"/>
        </w:numPr>
        <w:rPr>
          <w:rFonts w:ascii="Arial" w:cs="Arial" w:eastAsia="Arial" w:hAnsi="Arial"/>
          <w:sz w:val="18"/>
          <w:szCs w:val="18"/>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Person</w:t>
      </w:r>
      <w:r>
        <w:rPr>
          <w:rFonts w:ascii="Arial" w:cs="Arial" w:eastAsia="Arial" w:hAnsi="Arial"/>
          <w:sz w:val="18"/>
          <w:szCs w:val="18"/>
          <w:color w:val="auto"/>
        </w:rPr>
        <w:t>” means an individual, a corporation, a partnership, an association, a trust or any other entity or organization.</w:t>
      </w:r>
    </w:p>
    <w:p>
      <w:pPr>
        <w:spacing w:after="0" w:line="171" w:lineRule="exact"/>
        <w:rPr>
          <w:rFonts w:ascii="Arial" w:cs="Arial" w:eastAsia="Arial" w:hAnsi="Arial"/>
          <w:sz w:val="18"/>
          <w:szCs w:val="18"/>
          <w:color w:val="auto"/>
        </w:rPr>
      </w:pPr>
    </w:p>
    <w:p>
      <w:pPr>
        <w:ind w:left="1160" w:hanging="239"/>
        <w:spacing w:after="0"/>
        <w:tabs>
          <w:tab w:leader="none" w:pos="1160" w:val="left"/>
        </w:tabs>
        <w:numPr>
          <w:ilvl w:val="0"/>
          <w:numId w:val="14"/>
        </w:numPr>
        <w:rPr>
          <w:rFonts w:ascii="Arial" w:cs="Arial" w:eastAsia="Arial" w:hAnsi="Arial"/>
          <w:sz w:val="18"/>
          <w:szCs w:val="18"/>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Plan</w:t>
      </w:r>
      <w:r>
        <w:rPr>
          <w:rFonts w:ascii="Arial" w:cs="Arial" w:eastAsia="Arial" w:hAnsi="Arial"/>
          <w:sz w:val="18"/>
          <w:szCs w:val="18"/>
          <w:color w:val="auto"/>
        </w:rPr>
        <w:t>” means the Comcast Corporation 2002 Stock Option Plan.</w:t>
      </w:r>
    </w:p>
    <w:p>
      <w:pPr>
        <w:spacing w:after="0" w:line="252" w:lineRule="exact"/>
        <w:rPr>
          <w:rFonts w:ascii="Arial" w:cs="Arial" w:eastAsia="Arial" w:hAnsi="Arial"/>
          <w:sz w:val="18"/>
          <w:szCs w:val="18"/>
          <w:color w:val="auto"/>
        </w:rPr>
      </w:pPr>
    </w:p>
    <w:p>
      <w:pPr>
        <w:ind w:left="1160" w:hanging="239"/>
        <w:spacing w:after="0"/>
        <w:tabs>
          <w:tab w:leader="none" w:pos="1160" w:val="left"/>
        </w:tabs>
        <w:numPr>
          <w:ilvl w:val="0"/>
          <w:numId w:val="14"/>
        </w:numPr>
        <w:rPr>
          <w:rFonts w:ascii="Arial" w:cs="Arial" w:eastAsia="Arial" w:hAnsi="Arial"/>
          <w:sz w:val="18"/>
          <w:szCs w:val="18"/>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Share</w:t>
      </w:r>
      <w:r>
        <w:rPr>
          <w:rFonts w:ascii="Arial" w:cs="Arial" w:eastAsia="Arial" w:hAnsi="Arial"/>
          <w:sz w:val="18"/>
          <w:szCs w:val="18"/>
          <w:color w:val="auto"/>
        </w:rPr>
        <w:t>” or “</w:t>
      </w:r>
      <w:r>
        <w:rPr>
          <w:rFonts w:ascii="Arial" w:cs="Arial" w:eastAsia="Arial" w:hAnsi="Arial"/>
          <w:sz w:val="18"/>
          <w:szCs w:val="18"/>
          <w:u w:val="single" w:color="auto"/>
          <w:color w:val="auto"/>
        </w:rPr>
        <w:t>Shares</w:t>
      </w:r>
      <w:r>
        <w:rPr>
          <w:rFonts w:ascii="Arial" w:cs="Arial" w:eastAsia="Arial" w:hAnsi="Arial"/>
          <w:sz w:val="18"/>
          <w:szCs w:val="18"/>
          <w:color w:val="auto"/>
        </w:rPr>
        <w:t>.”</w:t>
      </w:r>
    </w:p>
    <w:p>
      <w:pPr>
        <w:spacing w:after="0" w:line="90" w:lineRule="exact"/>
        <w:rPr>
          <w:rFonts w:ascii="Arial" w:cs="Arial" w:eastAsia="Arial" w:hAnsi="Arial"/>
          <w:sz w:val="18"/>
          <w:szCs w:val="18"/>
          <w:color w:val="auto"/>
        </w:rPr>
      </w:pPr>
    </w:p>
    <w:p>
      <w:pPr>
        <w:ind w:left="1700" w:hanging="208"/>
        <w:spacing w:after="0"/>
        <w:tabs>
          <w:tab w:leader="none" w:pos="1700" w:val="left"/>
        </w:tabs>
        <w:numPr>
          <w:ilvl w:val="1"/>
          <w:numId w:val="14"/>
        </w:numPr>
        <w:rPr>
          <w:rFonts w:ascii="Arial" w:cs="Arial" w:eastAsia="Arial" w:hAnsi="Arial"/>
          <w:sz w:val="18"/>
          <w:szCs w:val="18"/>
          <w:color w:val="auto"/>
        </w:rPr>
      </w:pPr>
      <w:r>
        <w:rPr>
          <w:rFonts w:ascii="Arial" w:cs="Arial" w:eastAsia="Arial" w:hAnsi="Arial"/>
          <w:sz w:val="18"/>
          <w:szCs w:val="18"/>
          <w:color w:val="auto"/>
        </w:rPr>
        <w:t>Except as provided in this Paragraph 2(z), a share or shares Common Stock;</w:t>
      </w:r>
    </w:p>
    <w:p>
      <w:pPr>
        <w:spacing w:after="0" w:line="171" w:lineRule="exact"/>
        <w:rPr>
          <w:rFonts w:ascii="Arial" w:cs="Arial" w:eastAsia="Arial" w:hAnsi="Arial"/>
          <w:sz w:val="18"/>
          <w:szCs w:val="18"/>
          <w:color w:val="auto"/>
        </w:rPr>
      </w:pPr>
    </w:p>
    <w:p>
      <w:pPr>
        <w:ind w:left="1760" w:hanging="268"/>
        <w:spacing w:after="0"/>
        <w:tabs>
          <w:tab w:leader="none" w:pos="1760" w:val="left"/>
        </w:tabs>
        <w:numPr>
          <w:ilvl w:val="1"/>
          <w:numId w:val="14"/>
        </w:numPr>
        <w:rPr>
          <w:rFonts w:ascii="Arial" w:cs="Arial" w:eastAsia="Arial" w:hAnsi="Arial"/>
          <w:sz w:val="15"/>
          <w:szCs w:val="15"/>
          <w:color w:val="auto"/>
        </w:rPr>
      </w:pPr>
      <w:r>
        <w:rPr>
          <w:rFonts w:ascii="Arial" w:cs="Arial" w:eastAsia="Arial" w:hAnsi="Arial"/>
          <w:sz w:val="15"/>
          <w:szCs w:val="15"/>
          <w:color w:val="auto"/>
        </w:rPr>
        <w:t>For purposes of Paragraphs 2(v), 7(d) and Paragraph 15, the term “Share” or “Shares” also means a share or shares of Special Common</w:t>
      </w:r>
    </w:p>
    <w:p>
      <w:pPr>
        <w:spacing w:after="0" w:line="49" w:lineRule="exact"/>
        <w:rPr>
          <w:rFonts w:ascii="Arial" w:cs="Arial" w:eastAsia="Arial" w:hAnsi="Arial"/>
          <w:sz w:val="15"/>
          <w:szCs w:val="15"/>
          <w:color w:val="auto"/>
        </w:rPr>
      </w:pPr>
    </w:p>
    <w:p>
      <w:pPr>
        <w:spacing w:after="0"/>
        <w:rPr>
          <w:rFonts w:ascii="Arial" w:cs="Arial" w:eastAsia="Arial" w:hAnsi="Arial"/>
          <w:sz w:val="15"/>
          <w:szCs w:val="15"/>
          <w:color w:val="auto"/>
        </w:rPr>
      </w:pPr>
      <w:r>
        <w:rPr>
          <w:rFonts w:ascii="Arial" w:cs="Arial" w:eastAsia="Arial" w:hAnsi="Arial"/>
          <w:sz w:val="18"/>
          <w:szCs w:val="18"/>
          <w:color w:val="auto"/>
        </w:rPr>
        <w:t>Stock.</w:t>
      </w:r>
    </w:p>
    <w:p>
      <w:pPr>
        <w:spacing w:after="0" w:line="15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w:t>
      </w:r>
    </w:p>
    <w:p>
      <w:pPr>
        <w:sectPr>
          <w:pgSz w:w="11900" w:h="16838" w:orient="portrait"/>
          <w:cols w:equalWidth="0" w:num="1">
            <w:col w:w="11420"/>
          </w:cols>
          <w:pgMar w:left="240" w:top="280" w:right="239" w:bottom="1440" w:gutter="0" w:footer="0" w:header="0"/>
        </w:sectPr>
      </w:pPr>
    </w:p>
    <w:bookmarkStart w:id="40" w:name="page41"/>
    <w:bookmarkEnd w:id="40"/>
    <w:p>
      <w:pPr>
        <w:ind w:left="-20" w:right="240" w:firstLine="1492"/>
        <w:spacing w:after="0" w:line="259" w:lineRule="auto"/>
        <w:tabs>
          <w:tab w:leader="none" w:pos="1771" w:val="left"/>
        </w:tabs>
        <w:numPr>
          <w:ilvl w:val="1"/>
          <w:numId w:val="15"/>
        </w:numPr>
        <w:rPr>
          <w:rFonts w:ascii="Arial" w:cs="Arial" w:eastAsia="Arial" w:hAnsi="Arial"/>
          <w:sz w:val="18"/>
          <w:szCs w:val="18"/>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7">
                      <a:extLst>
                        <a:ext uri="{28A0092B-C50C-407E-A947-70E740481C1C}"/>
                      </a:extLst>
                    </a:blip>
                    <a:srcRect/>
                    <a:stretch>
                      <a:fillRect/>
                    </a:stretch>
                  </pic:blipFill>
                  <pic:spPr bwMode="auto">
                    <a:xfrm>
                      <a:off x="0" y="0"/>
                      <a:ext cx="7267575" cy="27940"/>
                    </a:xfrm>
                    <a:prstGeom prst="rect">
                      <a:avLst/>
                    </a:prstGeom>
                    <a:noFill/>
                  </pic:spPr>
                </pic:pic>
              </a:graphicData>
            </a:graphic>
          </wp:anchor>
        </w:drawing>
        <w:t>The term “Share” or “Shares” also means such other securities issued by the Sponsor as may be the subject of an adjustment under Paragraph 10, or for purposes of Paragraph 2(v) and Paragraph 15, as may have been the subject of a similar adjustment under similar provisions of a Comcast Plan as now in effect or as may have been in effect before the AT&amp;T Broadband Transaction.</w:t>
      </w:r>
    </w:p>
    <w:p>
      <w:pPr>
        <w:spacing w:after="0" w:line="140" w:lineRule="exact"/>
        <w:rPr>
          <w:rFonts w:ascii="Arial" w:cs="Arial" w:eastAsia="Arial" w:hAnsi="Arial"/>
          <w:sz w:val="18"/>
          <w:szCs w:val="18"/>
          <w:color w:val="auto"/>
        </w:rPr>
      </w:pPr>
    </w:p>
    <w:p>
      <w:pPr>
        <w:ind w:left="1220" w:hanging="319"/>
        <w:spacing w:after="0"/>
        <w:tabs>
          <w:tab w:leader="none" w:pos="1220" w:val="left"/>
        </w:tabs>
        <w:numPr>
          <w:ilvl w:val="0"/>
          <w:numId w:val="16"/>
        </w:numPr>
        <w:rPr>
          <w:rFonts w:ascii="Arial" w:cs="Arial" w:eastAsia="Arial" w:hAnsi="Arial"/>
          <w:sz w:val="16"/>
          <w:szCs w:val="16"/>
          <w:color w:val="auto"/>
        </w:rPr>
      </w:pPr>
      <w:r>
        <w:rPr>
          <w:rFonts w:ascii="Arial" w:cs="Arial" w:eastAsia="Arial" w:hAnsi="Arial"/>
          <w:sz w:val="16"/>
          <w:szCs w:val="16"/>
          <w:color w:val="auto"/>
        </w:rPr>
        <w:t>“</w:t>
      </w:r>
      <w:r>
        <w:rPr>
          <w:rFonts w:ascii="Arial" w:cs="Arial" w:eastAsia="Arial" w:hAnsi="Arial"/>
          <w:sz w:val="16"/>
          <w:szCs w:val="16"/>
          <w:u w:val="single" w:color="auto"/>
          <w:color w:val="auto"/>
        </w:rPr>
        <w:t>Special Common Stock</w:t>
      </w:r>
      <w:r>
        <w:rPr>
          <w:rFonts w:ascii="Arial" w:cs="Arial" w:eastAsia="Arial" w:hAnsi="Arial"/>
          <w:sz w:val="16"/>
          <w:szCs w:val="16"/>
          <w:color w:val="auto"/>
        </w:rPr>
        <w:t>” means the Sponsor’s Class A Special Common Stock, par value $0.01.</w:t>
      </w:r>
    </w:p>
    <w:p>
      <w:pPr>
        <w:spacing w:after="0" w:line="194" w:lineRule="exact"/>
        <w:rPr>
          <w:rFonts w:ascii="Arial" w:cs="Arial" w:eastAsia="Arial" w:hAnsi="Arial"/>
          <w:sz w:val="16"/>
          <w:szCs w:val="16"/>
          <w:color w:val="auto"/>
        </w:rPr>
      </w:pPr>
    </w:p>
    <w:p>
      <w:pPr>
        <w:ind w:left="-20" w:right="580" w:firstLine="921"/>
        <w:spacing w:after="0" w:line="332" w:lineRule="auto"/>
        <w:tabs>
          <w:tab w:leader="none" w:pos="1229" w:val="left"/>
        </w:tabs>
        <w:numPr>
          <w:ilvl w:val="0"/>
          <w:numId w:val="16"/>
        </w:numPr>
        <w:rPr>
          <w:rFonts w:ascii="Arial" w:cs="Arial" w:eastAsia="Arial" w:hAnsi="Arial"/>
          <w:sz w:val="16"/>
          <w:szCs w:val="16"/>
          <w:color w:val="auto"/>
        </w:rPr>
      </w:pPr>
      <w:r>
        <w:rPr>
          <w:rFonts w:ascii="Arial" w:cs="Arial" w:eastAsia="Arial" w:hAnsi="Arial"/>
          <w:sz w:val="16"/>
          <w:szCs w:val="16"/>
          <w:color w:val="auto"/>
        </w:rPr>
        <w:t>“</w:t>
      </w:r>
      <w:r>
        <w:rPr>
          <w:rFonts w:ascii="Arial" w:cs="Arial" w:eastAsia="Arial" w:hAnsi="Arial"/>
          <w:sz w:val="16"/>
          <w:szCs w:val="16"/>
          <w:u w:val="single" w:color="auto"/>
          <w:color w:val="auto"/>
        </w:rPr>
        <w:t>Sponsor</w:t>
      </w:r>
      <w:r>
        <w:rPr>
          <w:rFonts w:ascii="Arial" w:cs="Arial" w:eastAsia="Arial" w:hAnsi="Arial"/>
          <w:sz w:val="16"/>
          <w:szCs w:val="16"/>
          <w:color w:val="auto"/>
        </w:rPr>
        <w:t>” means Comcast Corporation, a Pennsylvania corporation, as successor to Comcast Holdings Corporation (formerly known as Comcast Corporation), including any successor thereto by merger, consolidation, acquisition of all or substantially all the assets thereof, or otherwise.</w:t>
      </w:r>
    </w:p>
    <w:p>
      <w:pPr>
        <w:spacing w:after="0" w:line="85" w:lineRule="exact"/>
        <w:rPr>
          <w:rFonts w:ascii="Arial" w:cs="Arial" w:eastAsia="Arial" w:hAnsi="Arial"/>
          <w:sz w:val="16"/>
          <w:szCs w:val="16"/>
          <w:color w:val="auto"/>
        </w:rPr>
      </w:pPr>
    </w:p>
    <w:p>
      <w:pPr>
        <w:ind w:left="-20" w:right="200" w:firstLine="921"/>
        <w:spacing w:after="0" w:line="268" w:lineRule="auto"/>
        <w:tabs>
          <w:tab w:leader="none" w:pos="1210" w:val="left"/>
        </w:tabs>
        <w:numPr>
          <w:ilvl w:val="0"/>
          <w:numId w:val="16"/>
        </w:numPr>
        <w:rPr>
          <w:rFonts w:ascii="Arial" w:cs="Arial" w:eastAsia="Arial" w:hAnsi="Arial"/>
          <w:sz w:val="18"/>
          <w:szCs w:val="18"/>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Subsidiary Companies</w:t>
      </w:r>
      <w:r>
        <w:rPr>
          <w:rFonts w:ascii="Arial" w:cs="Arial" w:eastAsia="Arial" w:hAnsi="Arial"/>
          <w:sz w:val="18"/>
          <w:szCs w:val="18"/>
          <w:color w:val="auto"/>
        </w:rPr>
        <w:t>” means all business entities that, at the time in question, are subsidiaries of the Sponsor within the meaning of section 424(f) of the Code.</w:t>
      </w:r>
    </w:p>
    <w:p>
      <w:pPr>
        <w:spacing w:after="0" w:line="131" w:lineRule="exact"/>
        <w:rPr>
          <w:rFonts w:ascii="Arial" w:cs="Arial" w:eastAsia="Arial" w:hAnsi="Arial"/>
          <w:sz w:val="18"/>
          <w:szCs w:val="18"/>
          <w:color w:val="auto"/>
        </w:rPr>
      </w:pPr>
    </w:p>
    <w:p>
      <w:pPr>
        <w:ind w:left="-20" w:firstLine="921"/>
        <w:spacing w:after="0" w:line="306" w:lineRule="auto"/>
        <w:tabs>
          <w:tab w:leader="none" w:pos="1229" w:val="left"/>
        </w:tabs>
        <w:numPr>
          <w:ilvl w:val="0"/>
          <w:numId w:val="16"/>
        </w:numPr>
        <w:rPr>
          <w:rFonts w:ascii="Arial" w:cs="Arial" w:eastAsia="Arial" w:hAnsi="Arial"/>
          <w:sz w:val="16"/>
          <w:szCs w:val="16"/>
          <w:color w:val="auto"/>
        </w:rPr>
      </w:pPr>
      <w:r>
        <w:rPr>
          <w:rFonts w:ascii="Arial" w:cs="Arial" w:eastAsia="Arial" w:hAnsi="Arial"/>
          <w:sz w:val="16"/>
          <w:szCs w:val="16"/>
          <w:color w:val="auto"/>
        </w:rPr>
        <w:t>“</w:t>
      </w:r>
      <w:r>
        <w:rPr>
          <w:rFonts w:ascii="Arial" w:cs="Arial" w:eastAsia="Arial" w:hAnsi="Arial"/>
          <w:sz w:val="16"/>
          <w:szCs w:val="16"/>
          <w:u w:val="single" w:color="auto"/>
          <w:color w:val="auto"/>
        </w:rPr>
        <w:t>Ten Percent Shareholder</w:t>
      </w:r>
      <w:r>
        <w:rPr>
          <w:rFonts w:ascii="Arial" w:cs="Arial" w:eastAsia="Arial" w:hAnsi="Arial"/>
          <w:sz w:val="16"/>
          <w:szCs w:val="16"/>
          <w:color w:val="auto"/>
        </w:rPr>
        <w:t>” means a person who on the Date of Grant owns, either directly or within the meaning of the attribution rules contained in section 424(d) of the Code, stock possessing more than 10% of the total combined voting power of all classes of stock of his employer corporation or of its parent or subsidiary corporations, as defined respectively in sections 424(e) and (f) of the Code, provided that the employer corporation is a Company.</w:t>
      </w:r>
    </w:p>
    <w:p>
      <w:pPr>
        <w:spacing w:after="0" w:line="187" w:lineRule="exact"/>
        <w:rPr>
          <w:rFonts w:ascii="Arial" w:cs="Arial" w:eastAsia="Arial" w:hAnsi="Arial"/>
          <w:sz w:val="16"/>
          <w:szCs w:val="16"/>
          <w:color w:val="auto"/>
        </w:rPr>
      </w:pPr>
    </w:p>
    <w:p>
      <w:pPr>
        <w:ind w:left="1220" w:hanging="319"/>
        <w:spacing w:after="0"/>
        <w:tabs>
          <w:tab w:leader="none" w:pos="1220" w:val="left"/>
        </w:tabs>
        <w:numPr>
          <w:ilvl w:val="0"/>
          <w:numId w:val="16"/>
        </w:numPr>
        <w:rPr>
          <w:rFonts w:ascii="Arial" w:cs="Arial" w:eastAsia="Arial" w:hAnsi="Arial"/>
          <w:sz w:val="16"/>
          <w:szCs w:val="16"/>
          <w:color w:val="auto"/>
        </w:rPr>
      </w:pPr>
      <w:r>
        <w:rPr>
          <w:rFonts w:ascii="Arial" w:cs="Arial" w:eastAsia="Arial" w:hAnsi="Arial"/>
          <w:sz w:val="16"/>
          <w:szCs w:val="16"/>
          <w:color w:val="auto"/>
        </w:rPr>
        <w:t>“</w:t>
      </w:r>
      <w:r>
        <w:rPr>
          <w:rFonts w:ascii="Arial" w:cs="Arial" w:eastAsia="Arial" w:hAnsi="Arial"/>
          <w:sz w:val="16"/>
          <w:szCs w:val="16"/>
          <w:u w:val="single" w:color="auto"/>
          <w:color w:val="auto"/>
        </w:rPr>
        <w:t>Terminating Event</w:t>
      </w:r>
      <w:r>
        <w:rPr>
          <w:rFonts w:ascii="Arial" w:cs="Arial" w:eastAsia="Arial" w:hAnsi="Arial"/>
          <w:sz w:val="16"/>
          <w:szCs w:val="16"/>
          <w:color w:val="auto"/>
        </w:rPr>
        <w:t>” means any of the following events:</w:t>
      </w:r>
    </w:p>
    <w:p>
      <w:pPr>
        <w:spacing w:after="0" w:line="113" w:lineRule="exact"/>
        <w:rPr>
          <w:rFonts w:ascii="Arial" w:cs="Arial" w:eastAsia="Arial" w:hAnsi="Arial"/>
          <w:sz w:val="16"/>
          <w:szCs w:val="16"/>
          <w:color w:val="auto"/>
        </w:rPr>
      </w:pPr>
    </w:p>
    <w:p>
      <w:pPr>
        <w:ind w:left="1680" w:hanging="208"/>
        <w:spacing w:after="0"/>
        <w:tabs>
          <w:tab w:leader="none" w:pos="1680" w:val="left"/>
        </w:tabs>
        <w:numPr>
          <w:ilvl w:val="1"/>
          <w:numId w:val="16"/>
        </w:numPr>
        <w:rPr>
          <w:rFonts w:ascii="Arial" w:cs="Arial" w:eastAsia="Arial" w:hAnsi="Arial"/>
          <w:sz w:val="18"/>
          <w:szCs w:val="18"/>
          <w:color w:val="auto"/>
        </w:rPr>
      </w:pPr>
      <w:r>
        <w:rPr>
          <w:rFonts w:ascii="Arial" w:cs="Arial" w:eastAsia="Arial" w:hAnsi="Arial"/>
          <w:sz w:val="18"/>
          <w:szCs w:val="18"/>
          <w:color w:val="auto"/>
        </w:rPr>
        <w:t>the liquidation of the Sponsor; or</w:t>
      </w:r>
    </w:p>
    <w:p>
      <w:pPr>
        <w:spacing w:after="0" w:line="171" w:lineRule="exact"/>
        <w:rPr>
          <w:sz w:val="20"/>
          <w:szCs w:val="20"/>
          <w:color w:val="auto"/>
        </w:rPr>
      </w:pPr>
    </w:p>
    <w:p>
      <w:pPr>
        <w:ind w:left="1740" w:hanging="268"/>
        <w:spacing w:after="0"/>
        <w:tabs>
          <w:tab w:leader="none" w:pos="1740" w:val="left"/>
        </w:tabs>
        <w:numPr>
          <w:ilvl w:val="2"/>
          <w:numId w:val="17"/>
        </w:numPr>
        <w:rPr>
          <w:rFonts w:ascii="Arial" w:cs="Arial" w:eastAsia="Arial" w:hAnsi="Arial"/>
          <w:sz w:val="18"/>
          <w:szCs w:val="18"/>
          <w:color w:val="auto"/>
        </w:rPr>
      </w:pPr>
      <w:r>
        <w:rPr>
          <w:rFonts w:ascii="Arial" w:cs="Arial" w:eastAsia="Arial" w:hAnsi="Arial"/>
          <w:sz w:val="18"/>
          <w:szCs w:val="18"/>
          <w:color w:val="auto"/>
        </w:rPr>
        <w:t>a Change of Control.</w:t>
      </w:r>
    </w:p>
    <w:p>
      <w:pPr>
        <w:spacing w:after="0" w:line="171" w:lineRule="exact"/>
        <w:rPr>
          <w:rFonts w:ascii="Arial" w:cs="Arial" w:eastAsia="Arial" w:hAnsi="Arial"/>
          <w:sz w:val="18"/>
          <w:szCs w:val="18"/>
          <w:color w:val="auto"/>
        </w:rPr>
      </w:pPr>
    </w:p>
    <w:p>
      <w:pPr>
        <w:ind w:left="-20" w:right="320" w:firstLine="921"/>
        <w:spacing w:after="0" w:line="268" w:lineRule="auto"/>
        <w:tabs>
          <w:tab w:leader="none" w:pos="1167" w:val="left"/>
        </w:tabs>
        <w:numPr>
          <w:ilvl w:val="1"/>
          <w:numId w:val="18"/>
        </w:numPr>
        <w:rPr>
          <w:rFonts w:ascii="Arial" w:cs="Arial" w:eastAsia="Arial" w:hAnsi="Arial"/>
          <w:sz w:val="18"/>
          <w:szCs w:val="18"/>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Third Party</w:t>
      </w:r>
      <w:r>
        <w:rPr>
          <w:rFonts w:ascii="Arial" w:cs="Arial" w:eastAsia="Arial" w:hAnsi="Arial"/>
          <w:sz w:val="18"/>
          <w:szCs w:val="18"/>
          <w:color w:val="auto"/>
        </w:rPr>
        <w:t>” means any Person other than a Company, together with such Person’s Affiliates, provided that the term “Third Party” shall not include the Sponsor or an Affiliate of the Sponsor.</w:t>
      </w:r>
    </w:p>
    <w:p>
      <w:pPr>
        <w:spacing w:after="0" w:line="131" w:lineRule="exact"/>
        <w:rPr>
          <w:rFonts w:ascii="Arial" w:cs="Arial" w:eastAsia="Arial" w:hAnsi="Arial"/>
          <w:sz w:val="18"/>
          <w:szCs w:val="18"/>
          <w:color w:val="auto"/>
        </w:rPr>
      </w:pPr>
    </w:p>
    <w:p>
      <w:pPr>
        <w:ind w:left="1240" w:hanging="339"/>
        <w:spacing w:after="0"/>
        <w:tabs>
          <w:tab w:leader="none" w:pos="1240" w:val="left"/>
        </w:tabs>
        <w:numPr>
          <w:ilvl w:val="1"/>
          <w:numId w:val="18"/>
        </w:numPr>
        <w:rPr>
          <w:rFonts w:ascii="Arial" w:cs="Arial" w:eastAsia="Arial" w:hAnsi="Arial"/>
          <w:sz w:val="18"/>
          <w:szCs w:val="18"/>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1933 Act</w:t>
      </w:r>
      <w:r>
        <w:rPr>
          <w:rFonts w:ascii="Arial" w:cs="Arial" w:eastAsia="Arial" w:hAnsi="Arial"/>
          <w:sz w:val="18"/>
          <w:szCs w:val="18"/>
          <w:color w:val="auto"/>
        </w:rPr>
        <w:t>” means the Securities Act of 1933, as amended.</w:t>
      </w:r>
    </w:p>
    <w:p>
      <w:pPr>
        <w:spacing w:after="0" w:line="171" w:lineRule="exact"/>
        <w:rPr>
          <w:rFonts w:ascii="Arial" w:cs="Arial" w:eastAsia="Arial" w:hAnsi="Arial"/>
          <w:sz w:val="18"/>
          <w:szCs w:val="18"/>
          <w:color w:val="auto"/>
        </w:rPr>
      </w:pPr>
    </w:p>
    <w:p>
      <w:pPr>
        <w:ind w:left="1240" w:hanging="339"/>
        <w:spacing w:after="0"/>
        <w:tabs>
          <w:tab w:leader="none" w:pos="1240" w:val="left"/>
        </w:tabs>
        <w:numPr>
          <w:ilvl w:val="1"/>
          <w:numId w:val="18"/>
        </w:numPr>
        <w:rPr>
          <w:rFonts w:ascii="Arial" w:cs="Arial" w:eastAsia="Arial" w:hAnsi="Arial"/>
          <w:sz w:val="18"/>
          <w:szCs w:val="18"/>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1934 Act</w:t>
      </w:r>
      <w:r>
        <w:rPr>
          <w:rFonts w:ascii="Arial" w:cs="Arial" w:eastAsia="Arial" w:hAnsi="Arial"/>
          <w:sz w:val="18"/>
          <w:szCs w:val="18"/>
          <w:color w:val="auto"/>
        </w:rPr>
        <w:t>” means the Securities Exchange Act of 1934, as amended.</w:t>
      </w:r>
    </w:p>
    <w:p>
      <w:pPr>
        <w:spacing w:after="0" w:line="246" w:lineRule="exact"/>
        <w:rPr>
          <w:rFonts w:ascii="Arial" w:cs="Arial" w:eastAsia="Arial" w:hAnsi="Arial"/>
          <w:sz w:val="18"/>
          <w:szCs w:val="18"/>
          <w:color w:val="auto"/>
        </w:rPr>
      </w:pPr>
    </w:p>
    <w:p>
      <w:pPr>
        <w:ind w:left="620" w:hanging="176"/>
        <w:spacing w:after="0"/>
        <w:tabs>
          <w:tab w:leader="none" w:pos="620" w:val="left"/>
        </w:tabs>
        <w:numPr>
          <w:ilvl w:val="0"/>
          <w:numId w:val="19"/>
        </w:numPr>
        <w:rPr>
          <w:rFonts w:ascii="Arial" w:cs="Arial" w:eastAsia="Arial" w:hAnsi="Arial"/>
          <w:sz w:val="18"/>
          <w:szCs w:val="18"/>
          <w:b w:val="1"/>
          <w:bCs w:val="1"/>
          <w:color w:val="auto"/>
        </w:rPr>
      </w:pPr>
      <w:r>
        <w:rPr>
          <w:rFonts w:ascii="Arial" w:cs="Arial" w:eastAsia="Arial" w:hAnsi="Arial"/>
          <w:sz w:val="18"/>
          <w:szCs w:val="18"/>
          <w:b w:val="1"/>
          <w:bCs w:val="1"/>
          <w:color w:val="auto"/>
        </w:rPr>
        <w:t>Rights To Be Granted</w:t>
      </w:r>
    </w:p>
    <w:p>
      <w:pPr>
        <w:spacing w:after="0" w:line="96" w:lineRule="exact"/>
        <w:rPr>
          <w:rFonts w:ascii="Arial" w:cs="Arial" w:eastAsia="Arial" w:hAnsi="Arial"/>
          <w:sz w:val="18"/>
          <w:szCs w:val="18"/>
          <w:b w:val="1"/>
          <w:bCs w:val="1"/>
          <w:color w:val="auto"/>
        </w:rPr>
      </w:pPr>
    </w:p>
    <w:p>
      <w:pPr>
        <w:ind w:left="1140" w:hanging="239"/>
        <w:spacing w:after="0"/>
        <w:tabs>
          <w:tab w:leader="none" w:pos="1140" w:val="left"/>
        </w:tabs>
        <w:numPr>
          <w:ilvl w:val="1"/>
          <w:numId w:val="19"/>
        </w:numPr>
        <w:rPr>
          <w:rFonts w:ascii="Arial" w:cs="Arial" w:eastAsia="Arial" w:hAnsi="Arial"/>
          <w:sz w:val="18"/>
          <w:szCs w:val="18"/>
          <w:color w:val="auto"/>
        </w:rPr>
      </w:pPr>
      <w:r>
        <w:rPr>
          <w:rFonts w:ascii="Arial" w:cs="Arial" w:eastAsia="Arial" w:hAnsi="Arial"/>
          <w:sz w:val="18"/>
          <w:szCs w:val="18"/>
          <w:color w:val="auto"/>
        </w:rPr>
        <w:t>Types of Options and Other Rights Available for Grant. Rights that may be granted under the Plan are:</w:t>
      </w:r>
    </w:p>
    <w:p>
      <w:pPr>
        <w:spacing w:after="0" w:line="171" w:lineRule="exact"/>
        <w:rPr>
          <w:sz w:val="20"/>
          <w:szCs w:val="20"/>
          <w:color w:val="auto"/>
        </w:rPr>
      </w:pPr>
    </w:p>
    <w:p>
      <w:pPr>
        <w:ind w:left="-20" w:right="160" w:firstLine="921"/>
        <w:spacing w:after="0" w:line="268" w:lineRule="auto"/>
        <w:tabs>
          <w:tab w:leader="none" w:pos="1103" w:val="left"/>
        </w:tabs>
        <w:numPr>
          <w:ilvl w:val="0"/>
          <w:numId w:val="20"/>
        </w:numPr>
        <w:rPr>
          <w:rFonts w:ascii="Arial" w:cs="Arial" w:eastAsia="Arial" w:hAnsi="Arial"/>
          <w:sz w:val="18"/>
          <w:szCs w:val="18"/>
          <w:color w:val="auto"/>
        </w:rPr>
      </w:pPr>
      <w:r>
        <w:rPr>
          <w:rFonts w:ascii="Arial" w:cs="Arial" w:eastAsia="Arial" w:hAnsi="Arial"/>
          <w:sz w:val="18"/>
          <w:szCs w:val="18"/>
          <w:color w:val="auto"/>
        </w:rPr>
        <w:t>Incentive Stock Options, which give an Optionee who is an employee of a Company the right for a specified time period to purchase a specified number of Shares for a price not less than the Fair Market Value on the Date of Grant.</w:t>
      </w:r>
    </w:p>
    <w:p>
      <w:pPr>
        <w:spacing w:after="0" w:line="11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w:t>
      </w:r>
    </w:p>
    <w:p>
      <w:pPr>
        <w:sectPr>
          <w:pgSz w:w="11900" w:h="16838" w:orient="portrait"/>
          <w:cols w:equalWidth="0" w:num="1">
            <w:col w:w="11380"/>
          </w:cols>
          <w:pgMar w:left="260" w:top="280" w:right="259" w:bottom="1440" w:gutter="0" w:footer="0" w:header="0"/>
        </w:sectPr>
      </w:pPr>
    </w:p>
    <w:bookmarkStart w:id="41" w:name="page42"/>
    <w:bookmarkEnd w:id="41"/>
    <w:p>
      <w:pPr>
        <w:ind w:firstLine="1492"/>
        <w:spacing w:after="0" w:line="268" w:lineRule="auto"/>
        <w:tabs>
          <w:tab w:leader="none" w:pos="1742" w:val="left"/>
        </w:tabs>
        <w:numPr>
          <w:ilvl w:val="1"/>
          <w:numId w:val="21"/>
        </w:numPr>
        <w:rPr>
          <w:rFonts w:ascii="Arial" w:cs="Arial" w:eastAsia="Arial" w:hAnsi="Arial"/>
          <w:sz w:val="18"/>
          <w:szCs w:val="18"/>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58">
                      <a:extLst>
                        <a:ext uri="{28A0092B-C50C-407E-A947-70E740481C1C}"/>
                      </a:extLst>
                    </a:blip>
                    <a:srcRect/>
                    <a:stretch>
                      <a:fillRect/>
                    </a:stretch>
                  </pic:blipFill>
                  <pic:spPr bwMode="auto">
                    <a:xfrm>
                      <a:off x="0" y="0"/>
                      <a:ext cx="7267575" cy="27940"/>
                    </a:xfrm>
                    <a:prstGeom prst="rect">
                      <a:avLst/>
                    </a:prstGeom>
                    <a:noFill/>
                  </pic:spPr>
                </pic:pic>
              </a:graphicData>
            </a:graphic>
          </wp:anchor>
        </w:drawing>
        <w:t>Non-Qualified Options, which give the Optionee the right for a specified time period to purchase a specified number of Shares for a price determined by the Committee; and</w:t>
      </w:r>
    </w:p>
    <w:p>
      <w:pPr>
        <w:spacing w:after="0" w:line="131" w:lineRule="exact"/>
        <w:rPr>
          <w:rFonts w:ascii="Arial" w:cs="Arial" w:eastAsia="Arial" w:hAnsi="Arial"/>
          <w:sz w:val="18"/>
          <w:szCs w:val="18"/>
          <w:color w:val="auto"/>
        </w:rPr>
      </w:pPr>
    </w:p>
    <w:p>
      <w:pPr>
        <w:jc w:val="both"/>
        <w:ind w:right="120" w:firstLine="1492"/>
        <w:spacing w:after="0" w:line="259" w:lineRule="auto"/>
        <w:tabs>
          <w:tab w:leader="none" w:pos="1791" w:val="left"/>
        </w:tabs>
        <w:numPr>
          <w:ilvl w:val="1"/>
          <w:numId w:val="21"/>
        </w:numPr>
        <w:rPr>
          <w:rFonts w:ascii="Arial" w:cs="Arial" w:eastAsia="Arial" w:hAnsi="Arial"/>
          <w:sz w:val="18"/>
          <w:szCs w:val="18"/>
          <w:color w:val="auto"/>
        </w:rPr>
      </w:pPr>
      <w:r>
        <w:rPr>
          <w:rFonts w:ascii="Arial" w:cs="Arial" w:eastAsia="Arial" w:hAnsi="Arial"/>
          <w:sz w:val="18"/>
          <w:szCs w:val="18"/>
          <w:color w:val="auto"/>
        </w:rPr>
        <w:t>Cash Rights, which give an Optionee the right for a specified time period, and subject to such conditions, if any, as shall be determined by the Committee and stated in the option document, to receive a cash payment of such amount per Share as shall be determined by the Committee and stated in the option document, in lieu of exercising a Non-Qualified Option.</w:t>
      </w:r>
    </w:p>
    <w:p>
      <w:pPr>
        <w:spacing w:after="0" w:line="140" w:lineRule="exact"/>
        <w:rPr>
          <w:rFonts w:ascii="Arial" w:cs="Arial" w:eastAsia="Arial" w:hAnsi="Arial"/>
          <w:sz w:val="18"/>
          <w:szCs w:val="18"/>
          <w:color w:val="auto"/>
        </w:rPr>
      </w:pPr>
    </w:p>
    <w:p>
      <w:pPr>
        <w:ind w:right="340" w:firstLine="921"/>
        <w:spacing w:after="0" w:line="268" w:lineRule="auto"/>
        <w:tabs>
          <w:tab w:leader="none" w:pos="1161" w:val="left"/>
        </w:tabs>
        <w:numPr>
          <w:ilvl w:val="0"/>
          <w:numId w:val="22"/>
        </w:numPr>
        <w:rPr>
          <w:rFonts w:ascii="Arial" w:cs="Arial" w:eastAsia="Arial" w:hAnsi="Arial"/>
          <w:sz w:val="18"/>
          <w:szCs w:val="18"/>
          <w:color w:val="auto"/>
        </w:rPr>
      </w:pPr>
      <w:r>
        <w:rPr>
          <w:rFonts w:ascii="Arial" w:cs="Arial" w:eastAsia="Arial" w:hAnsi="Arial"/>
          <w:sz w:val="18"/>
          <w:szCs w:val="18"/>
          <w:u w:val="single" w:color="auto"/>
          <w:color w:val="auto"/>
        </w:rPr>
        <w:t>Limit on Grant of Options</w:t>
      </w:r>
      <w:r>
        <w:rPr>
          <w:rFonts w:ascii="Arial" w:cs="Arial" w:eastAsia="Arial" w:hAnsi="Arial"/>
          <w:sz w:val="18"/>
          <w:szCs w:val="18"/>
          <w:color w:val="auto"/>
        </w:rPr>
        <w:t>. The maximum number of Shares for which Options may be granted to any single individual in any calendar year, adjusted as provided in Paragraph 10, shall be 10,000,000 Shares.</w:t>
      </w:r>
    </w:p>
    <w:p>
      <w:pPr>
        <w:spacing w:after="0" w:line="207" w:lineRule="exact"/>
        <w:rPr>
          <w:sz w:val="20"/>
          <w:szCs w:val="20"/>
          <w:color w:val="auto"/>
        </w:rPr>
      </w:pPr>
    </w:p>
    <w:p>
      <w:pPr>
        <w:ind w:left="460"/>
        <w:spacing w:after="0"/>
        <w:rPr>
          <w:sz w:val="20"/>
          <w:szCs w:val="20"/>
          <w:color w:val="auto"/>
        </w:rPr>
      </w:pPr>
      <w:r>
        <w:rPr>
          <w:rFonts w:ascii="Arial" w:cs="Arial" w:eastAsia="Arial" w:hAnsi="Arial"/>
          <w:sz w:val="18"/>
          <w:szCs w:val="18"/>
          <w:b w:val="1"/>
          <w:bCs w:val="1"/>
          <w:color w:val="auto"/>
        </w:rPr>
        <w:t>4. Shares Subject to Plan</w:t>
      </w:r>
    </w:p>
    <w:p>
      <w:pPr>
        <w:spacing w:after="0" w:line="96" w:lineRule="exact"/>
        <w:rPr>
          <w:sz w:val="20"/>
          <w:szCs w:val="20"/>
          <w:color w:val="auto"/>
        </w:rPr>
      </w:pPr>
    </w:p>
    <w:p>
      <w:pPr>
        <w:ind w:right="200" w:firstLine="456"/>
        <w:spacing w:after="0" w:line="255" w:lineRule="auto"/>
        <w:rPr>
          <w:sz w:val="20"/>
          <w:szCs w:val="20"/>
          <w:color w:val="auto"/>
        </w:rPr>
      </w:pPr>
      <w:r>
        <w:rPr>
          <w:rFonts w:ascii="Arial" w:cs="Arial" w:eastAsia="Arial" w:hAnsi="Arial"/>
          <w:sz w:val="18"/>
          <w:szCs w:val="18"/>
          <w:color w:val="auto"/>
        </w:rPr>
        <w:t>Subject to adjustment as provided in Paragraph 10, not more than 70 million Shares in the aggregate (including Shares granted pursuant to the Plan as in effect immediately before the closing of the AT&amp;T Broadband Transaction) may be issued pursuant to the Plan upon exercise of Options. Shares delivered pursuant to the exercise of an Option may, at the Sponsor’s option, be either treasury Shares or Shares originally issued for such purpose. If an Option covering Shares terminates or expires without having been exercised in full, other Options may be granted covering the Shares as to which the Option terminated or expired.</w:t>
      </w:r>
    </w:p>
    <w:p>
      <w:pPr>
        <w:spacing w:after="0" w:line="218" w:lineRule="exact"/>
        <w:rPr>
          <w:sz w:val="20"/>
          <w:szCs w:val="20"/>
          <w:color w:val="auto"/>
        </w:rPr>
      </w:pPr>
    </w:p>
    <w:p>
      <w:pPr>
        <w:ind w:left="640" w:hanging="176"/>
        <w:spacing w:after="0"/>
        <w:tabs>
          <w:tab w:leader="none" w:pos="640" w:val="left"/>
        </w:tabs>
        <w:numPr>
          <w:ilvl w:val="0"/>
          <w:numId w:val="23"/>
        </w:numPr>
        <w:rPr>
          <w:rFonts w:ascii="Arial" w:cs="Arial" w:eastAsia="Arial" w:hAnsi="Arial"/>
          <w:sz w:val="18"/>
          <w:szCs w:val="18"/>
          <w:b w:val="1"/>
          <w:bCs w:val="1"/>
          <w:color w:val="auto"/>
        </w:rPr>
      </w:pPr>
      <w:r>
        <w:rPr>
          <w:rFonts w:ascii="Arial" w:cs="Arial" w:eastAsia="Arial" w:hAnsi="Arial"/>
          <w:sz w:val="18"/>
          <w:szCs w:val="18"/>
          <w:b w:val="1"/>
          <w:bCs w:val="1"/>
          <w:color w:val="auto"/>
        </w:rPr>
        <w:t>Administration of Plan</w:t>
      </w:r>
    </w:p>
    <w:p>
      <w:pPr>
        <w:spacing w:after="0" w:line="96" w:lineRule="exact"/>
        <w:rPr>
          <w:rFonts w:ascii="Arial" w:cs="Arial" w:eastAsia="Arial" w:hAnsi="Arial"/>
          <w:sz w:val="18"/>
          <w:szCs w:val="18"/>
          <w:b w:val="1"/>
          <w:bCs w:val="1"/>
          <w:color w:val="auto"/>
        </w:rPr>
      </w:pPr>
    </w:p>
    <w:p>
      <w:pPr>
        <w:ind w:right="20" w:firstLine="921"/>
        <w:spacing w:after="0" w:line="259" w:lineRule="auto"/>
        <w:tabs>
          <w:tab w:leader="none" w:pos="1152" w:val="left"/>
        </w:tabs>
        <w:numPr>
          <w:ilvl w:val="1"/>
          <w:numId w:val="23"/>
        </w:numPr>
        <w:rPr>
          <w:rFonts w:ascii="Arial" w:cs="Arial" w:eastAsia="Arial" w:hAnsi="Arial"/>
          <w:sz w:val="18"/>
          <w:szCs w:val="18"/>
          <w:color w:val="auto"/>
        </w:rPr>
      </w:pPr>
      <w:r>
        <w:rPr>
          <w:rFonts w:ascii="Arial" w:cs="Arial" w:eastAsia="Arial" w:hAnsi="Arial"/>
          <w:sz w:val="18"/>
          <w:szCs w:val="18"/>
          <w:u w:val="single" w:color="auto"/>
          <w:color w:val="auto"/>
        </w:rPr>
        <w:t>Committee</w:t>
      </w:r>
      <w:r>
        <w:rPr>
          <w:rFonts w:ascii="Arial" w:cs="Arial" w:eastAsia="Arial" w:hAnsi="Arial"/>
          <w:sz w:val="18"/>
          <w:szCs w:val="18"/>
          <w:color w:val="auto"/>
        </w:rPr>
        <w:t>. The Plan shall be administered by the Compensation Committee of the Board or any other committee or subcommittee designated by the Board, provided that the committee administering the Plan is composed of two or more non-employee members of the Board, each of whom is an Outside Director.</w:t>
      </w:r>
    </w:p>
    <w:p>
      <w:pPr>
        <w:spacing w:after="0" w:line="221" w:lineRule="exact"/>
        <w:rPr>
          <w:rFonts w:ascii="Arial" w:cs="Arial" w:eastAsia="Arial" w:hAnsi="Arial"/>
          <w:sz w:val="18"/>
          <w:szCs w:val="18"/>
          <w:color w:val="auto"/>
        </w:rPr>
      </w:pPr>
    </w:p>
    <w:p>
      <w:pPr>
        <w:ind w:left="1160" w:hanging="239"/>
        <w:spacing w:after="0"/>
        <w:tabs>
          <w:tab w:leader="none" w:pos="1160" w:val="left"/>
        </w:tabs>
        <w:numPr>
          <w:ilvl w:val="1"/>
          <w:numId w:val="23"/>
        </w:numPr>
        <w:rPr>
          <w:rFonts w:ascii="Arial" w:cs="Arial" w:eastAsia="Arial" w:hAnsi="Arial"/>
          <w:sz w:val="18"/>
          <w:szCs w:val="18"/>
          <w:color w:val="auto"/>
        </w:rPr>
      </w:pPr>
      <w:r>
        <w:rPr>
          <w:rFonts w:ascii="Arial" w:cs="Arial" w:eastAsia="Arial" w:hAnsi="Arial"/>
          <w:sz w:val="18"/>
          <w:szCs w:val="18"/>
          <w:u w:val="single" w:color="auto"/>
          <w:color w:val="auto"/>
        </w:rPr>
        <w:t>Delegation of Authority</w:t>
      </w:r>
      <w:r>
        <w:rPr>
          <w:rFonts w:ascii="Arial" w:cs="Arial" w:eastAsia="Arial" w:hAnsi="Arial"/>
          <w:sz w:val="18"/>
          <w:szCs w:val="18"/>
          <w:color w:val="auto"/>
        </w:rPr>
        <w:t>.</w:t>
      </w:r>
    </w:p>
    <w:p>
      <w:pPr>
        <w:spacing w:after="0" w:line="90" w:lineRule="exact"/>
        <w:rPr>
          <w:rFonts w:ascii="Arial" w:cs="Arial" w:eastAsia="Arial" w:hAnsi="Arial"/>
          <w:sz w:val="18"/>
          <w:szCs w:val="18"/>
          <w:color w:val="auto"/>
        </w:rPr>
      </w:pPr>
    </w:p>
    <w:p>
      <w:pPr>
        <w:ind w:right="180" w:firstLine="1492"/>
        <w:spacing w:after="0" w:line="256" w:lineRule="auto"/>
        <w:tabs>
          <w:tab w:leader="none" w:pos="1693" w:val="left"/>
        </w:tabs>
        <w:numPr>
          <w:ilvl w:val="2"/>
          <w:numId w:val="23"/>
        </w:numPr>
        <w:rPr>
          <w:rFonts w:ascii="Arial" w:cs="Arial" w:eastAsia="Arial" w:hAnsi="Arial"/>
          <w:sz w:val="18"/>
          <w:szCs w:val="18"/>
          <w:color w:val="auto"/>
        </w:rPr>
      </w:pPr>
      <w:r>
        <w:rPr>
          <w:rFonts w:ascii="Arial" w:cs="Arial" w:eastAsia="Arial" w:hAnsi="Arial"/>
          <w:sz w:val="18"/>
          <w:szCs w:val="18"/>
          <w:u w:val="single" w:color="auto"/>
          <w:color w:val="auto"/>
        </w:rPr>
        <w:t>Named Executive Officers and Section 16(b) Officers</w:t>
      </w:r>
      <w:r>
        <w:rPr>
          <w:rFonts w:ascii="Arial" w:cs="Arial" w:eastAsia="Arial" w:hAnsi="Arial"/>
          <w:sz w:val="18"/>
          <w:szCs w:val="18"/>
          <w:color w:val="auto"/>
        </w:rPr>
        <w:t>. All authority with respect to the grant, amendment, interpretation and administration of Options with respect to any employee or officer of a Company who is either (x) a Named Executive Officer (</w:t>
      </w:r>
      <w:r>
        <w:rPr>
          <w:rFonts w:ascii="Arial" w:cs="Arial" w:eastAsia="Arial" w:hAnsi="Arial"/>
          <w:sz w:val="18"/>
          <w:szCs w:val="18"/>
          <w:i w:val="1"/>
          <w:iCs w:val="1"/>
          <w:color w:val="auto"/>
        </w:rPr>
        <w:t>i.e.</w:t>
      </w:r>
      <w:r>
        <w:rPr>
          <w:rFonts w:ascii="Arial" w:cs="Arial" w:eastAsia="Arial" w:hAnsi="Arial"/>
          <w:sz w:val="18"/>
          <w:szCs w:val="18"/>
          <w:color w:val="auto"/>
        </w:rPr>
        <w:t>, an officer who is required to be listed in the Company’s Proxy Statement Compensation Table) or (y) is subject to the short-swing profit recapture rules of section 16(b) of the 1934 Act, is reserved to the Committee.</w:t>
      </w:r>
    </w:p>
    <w:p>
      <w:pPr>
        <w:spacing w:after="0" w:line="143" w:lineRule="exact"/>
        <w:rPr>
          <w:rFonts w:ascii="Arial" w:cs="Arial" w:eastAsia="Arial" w:hAnsi="Arial"/>
          <w:sz w:val="18"/>
          <w:szCs w:val="18"/>
          <w:color w:val="auto"/>
        </w:rPr>
      </w:pPr>
    </w:p>
    <w:p>
      <w:pPr>
        <w:ind w:right="220" w:firstLine="1492"/>
        <w:spacing w:after="0" w:line="294" w:lineRule="auto"/>
        <w:tabs>
          <w:tab w:leader="none" w:pos="1742" w:val="left"/>
        </w:tabs>
        <w:numPr>
          <w:ilvl w:val="2"/>
          <w:numId w:val="23"/>
        </w:numPr>
        <w:rPr>
          <w:rFonts w:ascii="Arial" w:cs="Arial" w:eastAsia="Arial" w:hAnsi="Arial"/>
          <w:sz w:val="16"/>
          <w:szCs w:val="16"/>
          <w:color w:val="auto"/>
        </w:rPr>
      </w:pPr>
      <w:r>
        <w:rPr>
          <w:rFonts w:ascii="Arial" w:cs="Arial" w:eastAsia="Arial" w:hAnsi="Arial"/>
          <w:sz w:val="16"/>
          <w:szCs w:val="16"/>
          <w:u w:val="single" w:color="auto"/>
          <w:color w:val="auto"/>
        </w:rPr>
        <w:t>Senior Officers and Highly Compensated Employees</w:t>
      </w:r>
      <w:r>
        <w:rPr>
          <w:rFonts w:ascii="Arial" w:cs="Arial" w:eastAsia="Arial" w:hAnsi="Arial"/>
          <w:sz w:val="16"/>
          <w:szCs w:val="16"/>
          <w:color w:val="auto"/>
        </w:rPr>
        <w:t>. The Committee may delegate to a committee consisting of the Chairman of the Committee and one or more officers of the Company designated by the Committee, discretion under the Plan to grant, amend, interpret and administer Options with respect to any employee or officer of a Company who (x) holds a position with Comcast Corporation of Senior Vice President or a position of higher rank than Senior Vice President or (y) has a base salary of $500,000 or more, provided that an Option granted pursuant to this delegated authority may not have an exercise price per Share that is less than the Fair Market Value on the Date of Grant.</w:t>
      </w:r>
    </w:p>
    <w:p>
      <w:pPr>
        <w:spacing w:after="0" w:line="102"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-6-</w:t>
      </w:r>
    </w:p>
    <w:p>
      <w:pPr>
        <w:sectPr>
          <w:pgSz w:w="11900" w:h="16838" w:orient="portrait"/>
          <w:cols w:equalWidth="0" w:num="1">
            <w:col w:w="11400"/>
          </w:cols>
          <w:pgMar w:left="240" w:top="280" w:right="259" w:bottom="1440" w:gutter="0" w:footer="0" w:header="0"/>
        </w:sectPr>
      </w:pPr>
    </w:p>
    <w:bookmarkStart w:id="42" w:name="page43"/>
    <w:bookmarkEnd w:id="42"/>
    <w:p>
      <w:pPr>
        <w:ind w:right="140" w:firstLine="1492"/>
        <w:spacing w:after="0" w:line="256" w:lineRule="auto"/>
        <w:tabs>
          <w:tab w:leader="none" w:pos="1791" w:val="left"/>
        </w:tabs>
        <w:numPr>
          <w:ilvl w:val="2"/>
          <w:numId w:val="24"/>
        </w:numPr>
        <w:rPr>
          <w:rFonts w:ascii="Arial" w:cs="Arial" w:eastAsia="Arial" w:hAnsi="Arial"/>
          <w:sz w:val="18"/>
          <w:szCs w:val="18"/>
          <w:color w:val="auto"/>
        </w:rPr>
      </w:pPr>
      <w:r>
        <w:rPr>
          <w:rFonts w:ascii="Arial" w:cs="Arial" w:eastAsia="Arial" w:hAnsi="Arial"/>
          <w:sz w:val="18"/>
          <w:szCs w:val="18"/>
          <w:u w:val="single" w:color="auto"/>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59">
                      <a:extLst>
                        <a:ext uri="{28A0092B-C50C-407E-A947-70E740481C1C}"/>
                      </a:extLst>
                    </a:blip>
                    <a:srcRect/>
                    <a:stretch>
                      <a:fillRect/>
                    </a:stretch>
                  </pic:blipFill>
                  <pic:spPr bwMode="auto">
                    <a:xfrm>
                      <a:off x="0" y="0"/>
                      <a:ext cx="7267575" cy="27940"/>
                    </a:xfrm>
                    <a:prstGeom prst="rect">
                      <a:avLst/>
                    </a:prstGeom>
                    <a:noFill/>
                  </pic:spPr>
                </pic:pic>
              </a:graphicData>
            </a:graphic>
          </wp:anchor>
        </w:drawing>
        <w:t>Other Employees</w:t>
      </w:r>
      <w:r>
        <w:rPr>
          <w:rFonts w:ascii="Arial" w:cs="Arial" w:eastAsia="Arial" w:hAnsi="Arial"/>
          <w:sz w:val="18"/>
          <w:szCs w:val="18"/>
          <w:color w:val="auto"/>
        </w:rPr>
        <w:t>. The Committee may delegate to an officer of the Company, or a committee of two or more officers of the Company, discretion under the Plan to grant, amend, interpret and administer Options with respect to any employee or officer of a Company other than an employee or officer described in Paragraph 5(b)(i) or Paragraph 5(b)(ii), provided that an Option granted pursuant to this delegated authority may not have an exercise price per Share that is less than the Fair Market Value on the Date of Grant.</w:t>
      </w:r>
    </w:p>
    <w:p>
      <w:pPr>
        <w:spacing w:after="0" w:line="224" w:lineRule="exact"/>
        <w:rPr>
          <w:rFonts w:ascii="Arial" w:cs="Arial" w:eastAsia="Arial" w:hAnsi="Arial"/>
          <w:sz w:val="18"/>
          <w:szCs w:val="18"/>
          <w:color w:val="auto"/>
        </w:rPr>
      </w:pPr>
    </w:p>
    <w:p>
      <w:pPr>
        <w:ind w:left="1780" w:hanging="288"/>
        <w:spacing w:after="0"/>
        <w:tabs>
          <w:tab w:leader="none" w:pos="1780" w:val="left"/>
        </w:tabs>
        <w:numPr>
          <w:ilvl w:val="2"/>
          <w:numId w:val="24"/>
        </w:numPr>
        <w:rPr>
          <w:rFonts w:ascii="Arial" w:cs="Arial" w:eastAsia="Arial" w:hAnsi="Arial"/>
          <w:sz w:val="16"/>
          <w:szCs w:val="16"/>
          <w:color w:val="auto"/>
        </w:rPr>
      </w:pPr>
      <w:r>
        <w:rPr>
          <w:rFonts w:ascii="Arial" w:cs="Arial" w:eastAsia="Arial" w:hAnsi="Arial"/>
          <w:sz w:val="16"/>
          <w:szCs w:val="16"/>
          <w:u w:val="single" w:color="auto"/>
          <w:color w:val="auto"/>
        </w:rPr>
        <w:t>Termination of Delegation of Authority</w:t>
      </w:r>
      <w:r>
        <w:rPr>
          <w:rFonts w:ascii="Arial" w:cs="Arial" w:eastAsia="Arial" w:hAnsi="Arial"/>
          <w:sz w:val="16"/>
          <w:szCs w:val="16"/>
          <w:color w:val="auto"/>
        </w:rPr>
        <w:t>. Delegation of authority as provided under this Paragraph 5(b) shall continue in effect until the</w:t>
      </w:r>
    </w:p>
    <w:p>
      <w:pPr>
        <w:spacing w:after="0" w:line="38" w:lineRule="exact"/>
        <w:rPr>
          <w:rFonts w:ascii="Arial" w:cs="Arial" w:eastAsia="Arial" w:hAnsi="Arial"/>
          <w:sz w:val="16"/>
          <w:szCs w:val="16"/>
          <w:color w:val="auto"/>
        </w:rPr>
      </w:pPr>
    </w:p>
    <w:p>
      <w:pPr>
        <w:spacing w:after="0"/>
        <w:rPr>
          <w:rFonts w:ascii="Arial" w:cs="Arial" w:eastAsia="Arial" w:hAnsi="Arial"/>
          <w:sz w:val="16"/>
          <w:szCs w:val="16"/>
          <w:color w:val="auto"/>
        </w:rPr>
      </w:pPr>
      <w:r>
        <w:rPr>
          <w:rFonts w:ascii="Arial" w:cs="Arial" w:eastAsia="Arial" w:hAnsi="Arial"/>
          <w:sz w:val="18"/>
          <w:szCs w:val="18"/>
          <w:color w:val="auto"/>
        </w:rPr>
        <w:t>earliest of:</w:t>
      </w:r>
    </w:p>
    <w:p>
      <w:pPr>
        <w:spacing w:after="0" w:line="83" w:lineRule="exact"/>
        <w:rPr>
          <w:rFonts w:ascii="Arial" w:cs="Arial" w:eastAsia="Arial" w:hAnsi="Arial"/>
          <w:sz w:val="16"/>
          <w:szCs w:val="16"/>
          <w:color w:val="auto"/>
        </w:rPr>
      </w:pPr>
    </w:p>
    <w:p>
      <w:pPr>
        <w:ind w:left="2200" w:hanging="252"/>
        <w:spacing w:after="0"/>
        <w:tabs>
          <w:tab w:leader="none" w:pos="2200" w:val="left"/>
        </w:tabs>
        <w:numPr>
          <w:ilvl w:val="3"/>
          <w:numId w:val="24"/>
        </w:numPr>
        <w:rPr>
          <w:rFonts w:ascii="Arial" w:cs="Arial" w:eastAsia="Arial" w:hAnsi="Arial"/>
          <w:sz w:val="18"/>
          <w:szCs w:val="18"/>
          <w:color w:val="auto"/>
        </w:rPr>
      </w:pPr>
      <w:r>
        <w:rPr>
          <w:rFonts w:ascii="Arial" w:cs="Arial" w:eastAsia="Arial" w:hAnsi="Arial"/>
          <w:sz w:val="18"/>
          <w:szCs w:val="18"/>
          <w:color w:val="auto"/>
        </w:rPr>
        <w:t>such time as the Committee shall, in its discretion, revoke such delegation of authority;</w:t>
      </w:r>
    </w:p>
    <w:p>
      <w:pPr>
        <w:spacing w:after="0" w:line="171" w:lineRule="exact"/>
        <w:rPr>
          <w:rFonts w:ascii="Arial" w:cs="Arial" w:eastAsia="Arial" w:hAnsi="Arial"/>
          <w:sz w:val="18"/>
          <w:szCs w:val="18"/>
          <w:color w:val="auto"/>
        </w:rPr>
      </w:pPr>
    </w:p>
    <w:p>
      <w:pPr>
        <w:ind w:right="220" w:firstLine="1948"/>
        <w:spacing w:after="0" w:line="259" w:lineRule="auto"/>
        <w:tabs>
          <w:tab w:leader="none" w:pos="2189" w:val="left"/>
        </w:tabs>
        <w:numPr>
          <w:ilvl w:val="3"/>
          <w:numId w:val="24"/>
        </w:numPr>
        <w:rPr>
          <w:rFonts w:ascii="Arial" w:cs="Arial" w:eastAsia="Arial" w:hAnsi="Arial"/>
          <w:sz w:val="18"/>
          <w:szCs w:val="18"/>
          <w:color w:val="auto"/>
        </w:rPr>
      </w:pPr>
      <w:r>
        <w:rPr>
          <w:rFonts w:ascii="Arial" w:cs="Arial" w:eastAsia="Arial" w:hAnsi="Arial"/>
          <w:sz w:val="18"/>
          <w:szCs w:val="18"/>
          <w:color w:val="auto"/>
        </w:rPr>
        <w:t>in the case of delegation under Paragraph 5(b)(ii), the delegate shall cease to serve as Chairman of the Committee or serve as an employee of the Company for any reason, as the case may be and in the case of delegation under Paragraph 5(b)(iii), the delegate shall cease to serve as an employee of the Company for any reason; or</w:t>
      </w:r>
    </w:p>
    <w:p>
      <w:pPr>
        <w:spacing w:after="0" w:line="140" w:lineRule="exact"/>
        <w:rPr>
          <w:rFonts w:ascii="Arial" w:cs="Arial" w:eastAsia="Arial" w:hAnsi="Arial"/>
          <w:sz w:val="18"/>
          <w:szCs w:val="18"/>
          <w:color w:val="auto"/>
        </w:rPr>
      </w:pPr>
    </w:p>
    <w:p>
      <w:pPr>
        <w:ind w:left="2180" w:hanging="232"/>
        <w:spacing w:after="0"/>
        <w:tabs>
          <w:tab w:leader="none" w:pos="2180" w:val="left"/>
        </w:tabs>
        <w:numPr>
          <w:ilvl w:val="3"/>
          <w:numId w:val="24"/>
        </w:numPr>
        <w:rPr>
          <w:rFonts w:ascii="Arial" w:cs="Arial" w:eastAsia="Arial" w:hAnsi="Arial"/>
          <w:sz w:val="18"/>
          <w:szCs w:val="18"/>
          <w:color w:val="auto"/>
        </w:rPr>
      </w:pPr>
      <w:r>
        <w:rPr>
          <w:rFonts w:ascii="Arial" w:cs="Arial" w:eastAsia="Arial" w:hAnsi="Arial"/>
          <w:sz w:val="18"/>
          <w:szCs w:val="18"/>
          <w:color w:val="auto"/>
        </w:rPr>
        <w:t>the delegate shall notify the Committee that he declines to continue to exercise such authority.</w:t>
      </w:r>
    </w:p>
    <w:p>
      <w:pPr>
        <w:spacing w:after="0" w:line="171" w:lineRule="exact"/>
        <w:rPr>
          <w:rFonts w:ascii="Arial" w:cs="Arial" w:eastAsia="Arial" w:hAnsi="Arial"/>
          <w:sz w:val="18"/>
          <w:szCs w:val="18"/>
          <w:color w:val="auto"/>
        </w:rPr>
      </w:pPr>
    </w:p>
    <w:p>
      <w:pPr>
        <w:ind w:right="400" w:firstLine="921"/>
        <w:spacing w:after="0" w:line="332" w:lineRule="auto"/>
        <w:tabs>
          <w:tab w:leader="none" w:pos="1152" w:val="left"/>
        </w:tabs>
        <w:numPr>
          <w:ilvl w:val="1"/>
          <w:numId w:val="25"/>
        </w:numPr>
        <w:rPr>
          <w:rFonts w:ascii="Arial" w:cs="Arial" w:eastAsia="Arial" w:hAnsi="Arial"/>
          <w:sz w:val="16"/>
          <w:szCs w:val="16"/>
          <w:color w:val="auto"/>
        </w:rPr>
      </w:pPr>
      <w:r>
        <w:rPr>
          <w:rFonts w:ascii="Arial" w:cs="Arial" w:eastAsia="Arial" w:hAnsi="Arial"/>
          <w:sz w:val="16"/>
          <w:szCs w:val="16"/>
          <w:u w:val="single" w:color="auto"/>
          <w:color w:val="auto"/>
        </w:rPr>
        <w:t>Meetings</w:t>
      </w:r>
      <w:r>
        <w:rPr>
          <w:rFonts w:ascii="Arial" w:cs="Arial" w:eastAsia="Arial" w:hAnsi="Arial"/>
          <w:sz w:val="16"/>
          <w:szCs w:val="16"/>
          <w:color w:val="auto"/>
        </w:rPr>
        <w:t>. The Committee shall hold meetings at such times and places as it may determine. Acts approved at a meeting by a majority of the members of the Committee or acts approved by the unanimous consent of the members of the Committee shall be the valid acts of the Committee.</w:t>
      </w:r>
    </w:p>
    <w:p>
      <w:pPr>
        <w:spacing w:after="0" w:line="85" w:lineRule="exact"/>
        <w:rPr>
          <w:rFonts w:ascii="Arial" w:cs="Arial" w:eastAsia="Arial" w:hAnsi="Arial"/>
          <w:sz w:val="16"/>
          <w:szCs w:val="16"/>
          <w:color w:val="auto"/>
        </w:rPr>
      </w:pPr>
    </w:p>
    <w:p>
      <w:pPr>
        <w:jc w:val="both"/>
        <w:ind w:firstLine="921"/>
        <w:spacing w:after="0" w:line="298" w:lineRule="auto"/>
        <w:tabs>
          <w:tab w:leader="none" w:pos="1161" w:val="left"/>
        </w:tabs>
        <w:numPr>
          <w:ilvl w:val="1"/>
          <w:numId w:val="25"/>
        </w:numPr>
        <w:rPr>
          <w:rFonts w:ascii="Arial" w:cs="Arial" w:eastAsia="Arial" w:hAnsi="Arial"/>
          <w:sz w:val="16"/>
          <w:szCs w:val="16"/>
          <w:color w:val="auto"/>
        </w:rPr>
      </w:pPr>
      <w:r>
        <w:rPr>
          <w:rFonts w:ascii="Arial" w:cs="Arial" w:eastAsia="Arial" w:hAnsi="Arial"/>
          <w:sz w:val="16"/>
          <w:szCs w:val="16"/>
          <w:u w:val="single" w:color="auto"/>
          <w:color w:val="auto"/>
        </w:rPr>
        <w:t>Exculpation</w:t>
      </w:r>
      <w:r>
        <w:rPr>
          <w:rFonts w:ascii="Arial" w:cs="Arial" w:eastAsia="Arial" w:hAnsi="Arial"/>
          <w:sz w:val="16"/>
          <w:szCs w:val="16"/>
          <w:color w:val="auto"/>
        </w:rPr>
        <w:t xml:space="preserve">. No member of the Committee shall be personally liable for monetary damages for any action taken or any failure to take any action in connection with the administration of the Plan or the granting of Options thereunder unless (i) the member of the Committee has breached or failed to perform the duties of his office, and (ii) the breach or failure to perform constitutes self-dealing, willful misconduct or recklessness; </w:t>
      </w:r>
      <w:r>
        <w:rPr>
          <w:rFonts w:ascii="Arial" w:cs="Arial" w:eastAsia="Arial" w:hAnsi="Arial"/>
          <w:sz w:val="16"/>
          <w:szCs w:val="16"/>
          <w:u w:val="single" w:color="auto"/>
          <w:color w:val="auto"/>
        </w:rPr>
        <w:t>provided, however</w:t>
      </w:r>
      <w:r>
        <w:rPr>
          <w:rFonts w:ascii="Arial" w:cs="Arial" w:eastAsia="Arial" w:hAnsi="Arial"/>
          <w:sz w:val="16"/>
          <w:szCs w:val="16"/>
          <w:color w:val="auto"/>
        </w:rPr>
        <w:t>, that the provisions of this Paragraph 5(d) shall not apply to the responsibility or liability of a member of the Committee pursuant to any criminal statute.</w:t>
      </w:r>
    </w:p>
    <w:p>
      <w:pPr>
        <w:spacing w:after="0" w:line="112" w:lineRule="exact"/>
        <w:rPr>
          <w:rFonts w:ascii="Arial" w:cs="Arial" w:eastAsia="Arial" w:hAnsi="Arial"/>
          <w:sz w:val="16"/>
          <w:szCs w:val="16"/>
          <w:color w:val="auto"/>
        </w:rPr>
      </w:pPr>
    </w:p>
    <w:p>
      <w:pPr>
        <w:ind w:right="100" w:firstLine="921"/>
        <w:spacing w:after="0" w:line="255" w:lineRule="auto"/>
        <w:tabs>
          <w:tab w:leader="none" w:pos="1152" w:val="left"/>
        </w:tabs>
        <w:numPr>
          <w:ilvl w:val="1"/>
          <w:numId w:val="25"/>
        </w:numPr>
        <w:rPr>
          <w:rFonts w:ascii="Arial" w:cs="Arial" w:eastAsia="Arial" w:hAnsi="Arial"/>
          <w:sz w:val="18"/>
          <w:szCs w:val="18"/>
          <w:color w:val="auto"/>
        </w:rPr>
      </w:pPr>
      <w:r>
        <w:rPr>
          <w:rFonts w:ascii="Arial" w:cs="Arial" w:eastAsia="Arial" w:hAnsi="Arial"/>
          <w:sz w:val="18"/>
          <w:szCs w:val="18"/>
          <w:u w:val="single" w:color="auto"/>
          <w:color w:val="auto"/>
        </w:rPr>
        <w:t>Indemnification</w:t>
      </w:r>
      <w:r>
        <w:rPr>
          <w:rFonts w:ascii="Arial" w:cs="Arial" w:eastAsia="Arial" w:hAnsi="Arial"/>
          <w:sz w:val="18"/>
          <w:szCs w:val="18"/>
          <w:color w:val="auto"/>
        </w:rPr>
        <w:t>. Service on the Committee shall constitute service as a member of the Board. Each member of the Committee shall be entitled without further act on his part to indemnity from the Sponsor to the fullest extent provided by applicable law and the Sponsor’s By-laws in connection with or arising out of any actions, suit or proceeding with respect to the administration of the Plan or the granting of Options thereunder in which he may be involved by reasons of his being or having been a member of the Committee, whether or not he continues to be such member of the Committee at the time of the action, suit or proceeding.</w:t>
      </w:r>
    </w:p>
    <w:p>
      <w:pPr>
        <w:spacing w:after="0" w:line="217" w:lineRule="exact"/>
        <w:rPr>
          <w:rFonts w:ascii="Arial" w:cs="Arial" w:eastAsia="Arial" w:hAnsi="Arial"/>
          <w:sz w:val="18"/>
          <w:szCs w:val="18"/>
          <w:color w:val="auto"/>
        </w:rPr>
      </w:pPr>
    </w:p>
    <w:p>
      <w:pPr>
        <w:ind w:left="640" w:hanging="176"/>
        <w:spacing w:after="0"/>
        <w:tabs>
          <w:tab w:leader="none" w:pos="640" w:val="left"/>
        </w:tabs>
        <w:numPr>
          <w:ilvl w:val="0"/>
          <w:numId w:val="26"/>
        </w:numPr>
        <w:rPr>
          <w:rFonts w:ascii="Arial" w:cs="Arial" w:eastAsia="Arial" w:hAnsi="Arial"/>
          <w:sz w:val="18"/>
          <w:szCs w:val="18"/>
          <w:b w:val="1"/>
          <w:bCs w:val="1"/>
          <w:color w:val="auto"/>
        </w:rPr>
      </w:pPr>
      <w:r>
        <w:rPr>
          <w:rFonts w:ascii="Arial" w:cs="Arial" w:eastAsia="Arial" w:hAnsi="Arial"/>
          <w:sz w:val="18"/>
          <w:szCs w:val="18"/>
          <w:b w:val="1"/>
          <w:bCs w:val="1"/>
          <w:color w:val="auto"/>
        </w:rPr>
        <w:t>Eligibility</w:t>
      </w:r>
    </w:p>
    <w:p>
      <w:pPr>
        <w:spacing w:after="0" w:line="96" w:lineRule="exact"/>
        <w:rPr>
          <w:rFonts w:ascii="Arial" w:cs="Arial" w:eastAsia="Arial" w:hAnsi="Arial"/>
          <w:sz w:val="18"/>
          <w:szCs w:val="18"/>
          <w:b w:val="1"/>
          <w:bCs w:val="1"/>
          <w:color w:val="auto"/>
        </w:rPr>
      </w:pPr>
    </w:p>
    <w:p>
      <w:pPr>
        <w:ind w:right="60" w:firstLine="921"/>
        <w:spacing w:after="0" w:line="268" w:lineRule="auto"/>
        <w:tabs>
          <w:tab w:leader="none" w:pos="1152" w:val="left"/>
        </w:tabs>
        <w:numPr>
          <w:ilvl w:val="1"/>
          <w:numId w:val="26"/>
        </w:numPr>
        <w:rPr>
          <w:rFonts w:ascii="Arial" w:cs="Arial" w:eastAsia="Arial" w:hAnsi="Arial"/>
          <w:sz w:val="18"/>
          <w:szCs w:val="18"/>
          <w:color w:val="auto"/>
        </w:rPr>
      </w:pPr>
      <w:r>
        <w:rPr>
          <w:rFonts w:ascii="Arial" w:cs="Arial" w:eastAsia="Arial" w:hAnsi="Arial"/>
          <w:sz w:val="18"/>
          <w:szCs w:val="18"/>
          <w:color w:val="auto"/>
        </w:rPr>
        <w:t>Eligible individuals to whom Options may be granted shall be employees, officers or directors of a Company who are selected by the Committee for the grant of Options. Eligible individuals to whom Cash Rights may be granted shall be individuals who</w:t>
      </w:r>
    </w:p>
    <w:p>
      <w:pPr>
        <w:spacing w:after="0" w:line="11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-7-</w:t>
      </w:r>
    </w:p>
    <w:p>
      <w:pPr>
        <w:sectPr>
          <w:pgSz w:w="11900" w:h="16838" w:orient="portrait"/>
          <w:cols w:equalWidth="0" w:num="1">
            <w:col w:w="11400"/>
          </w:cols>
          <w:pgMar w:left="240" w:top="280" w:right="259" w:bottom="1440" w:gutter="0" w:footer="0" w:header="0"/>
        </w:sectPr>
      </w:pPr>
    </w:p>
    <w:bookmarkStart w:id="43" w:name="page44"/>
    <w:bookmarkEnd w:id="43"/>
    <w:p>
      <w:pPr>
        <w:ind w:right="100"/>
        <w:spacing w:after="0" w:line="306" w:lineRule="auto"/>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0">
                      <a:extLst>
                        <a:ext uri="{28A0092B-C50C-407E-A947-70E740481C1C}"/>
                      </a:extLst>
                    </a:blip>
                    <a:srcRect/>
                    <a:stretch>
                      <a:fillRect/>
                    </a:stretch>
                  </pic:blipFill>
                  <pic:spPr bwMode="auto">
                    <a:xfrm>
                      <a:off x="0" y="0"/>
                      <a:ext cx="7267575" cy="27940"/>
                    </a:xfrm>
                    <a:prstGeom prst="rect">
                      <a:avLst/>
                    </a:prstGeom>
                    <a:noFill/>
                  </pic:spPr>
                </pic:pic>
              </a:graphicData>
            </a:graphic>
          </wp:anchor>
        </w:drawing>
        <w:t>are employees of a Company on the Date of Grant other than Officers. The terms and conditions of Options granted to individuals other than Non-Employee Directors shall be determined by the Committee, subject to Paragraph 7. The terms and conditions of Cash Rights shall be determined by the Committee, subject to Paragraph 7. The terms and conditions of Options granted to Non-Employee Directors shall be determined by the Board, subject to Paragraph 7.</w:t>
      </w:r>
    </w:p>
    <w:p>
      <w:pPr>
        <w:spacing w:after="0" w:line="107" w:lineRule="exact"/>
        <w:rPr>
          <w:sz w:val="20"/>
          <w:szCs w:val="20"/>
          <w:color w:val="auto"/>
        </w:rPr>
      </w:pPr>
    </w:p>
    <w:p>
      <w:pPr>
        <w:ind w:right="160" w:firstLine="921"/>
        <w:spacing w:after="0" w:line="298" w:lineRule="auto"/>
        <w:tabs>
          <w:tab w:leader="none" w:pos="1162" w:val="left"/>
        </w:tabs>
        <w:numPr>
          <w:ilvl w:val="1"/>
          <w:numId w:val="27"/>
        </w:numPr>
        <w:rPr>
          <w:rFonts w:ascii="Arial" w:cs="Arial" w:eastAsia="Arial" w:hAnsi="Arial"/>
          <w:sz w:val="16"/>
          <w:szCs w:val="16"/>
          <w:color w:val="auto"/>
        </w:rPr>
      </w:pPr>
      <w:r>
        <w:rPr>
          <w:rFonts w:ascii="Arial" w:cs="Arial" w:eastAsia="Arial" w:hAnsi="Arial"/>
          <w:sz w:val="16"/>
          <w:szCs w:val="16"/>
          <w:color w:val="auto"/>
        </w:rPr>
        <w:t>An Incentive Stock Option shall not be granted to a Ten Percent Shareholder except on such terms concerning the option price and term as are provided in Paragraph 7(b) and 7(g) with respect to such a person. An Option designated as Incentive Stock Option granted to a Ten Percent Shareholder but which does not comply with the requirements of the preceding sentence shall be treated as a Non-Qualified Option. An Option designated as an Incentive Stock Option shall be treated as a Non-Qualified Option if the Optionee is not an employee of a Company on the Date of Grant.</w:t>
      </w:r>
    </w:p>
    <w:p>
      <w:pPr>
        <w:spacing w:after="0" w:line="187" w:lineRule="exact"/>
        <w:rPr>
          <w:rFonts w:ascii="Arial" w:cs="Arial" w:eastAsia="Arial" w:hAnsi="Arial"/>
          <w:sz w:val="16"/>
          <w:szCs w:val="16"/>
          <w:color w:val="auto"/>
        </w:rPr>
      </w:pPr>
    </w:p>
    <w:p>
      <w:pPr>
        <w:ind w:left="640" w:hanging="176"/>
        <w:spacing w:after="0"/>
        <w:tabs>
          <w:tab w:leader="none" w:pos="640" w:val="left"/>
        </w:tabs>
        <w:numPr>
          <w:ilvl w:val="0"/>
          <w:numId w:val="28"/>
        </w:numPr>
        <w:rPr>
          <w:rFonts w:ascii="Arial" w:cs="Arial" w:eastAsia="Arial" w:hAnsi="Arial"/>
          <w:sz w:val="18"/>
          <w:szCs w:val="18"/>
          <w:b w:val="1"/>
          <w:bCs w:val="1"/>
          <w:color w:val="auto"/>
        </w:rPr>
      </w:pPr>
      <w:r>
        <w:rPr>
          <w:rFonts w:ascii="Arial" w:cs="Arial" w:eastAsia="Arial" w:hAnsi="Arial"/>
          <w:sz w:val="18"/>
          <w:szCs w:val="18"/>
          <w:b w:val="1"/>
          <w:bCs w:val="1"/>
          <w:color w:val="auto"/>
        </w:rPr>
        <w:t>Option Documents and Terms - In General</w:t>
      </w:r>
    </w:p>
    <w:p>
      <w:pPr>
        <w:spacing w:after="0" w:line="96" w:lineRule="exact"/>
        <w:rPr>
          <w:sz w:val="20"/>
          <w:szCs w:val="20"/>
          <w:color w:val="auto"/>
        </w:rPr>
      </w:pPr>
    </w:p>
    <w:p>
      <w:pPr>
        <w:ind w:right="120" w:firstLine="456"/>
        <w:spacing w:after="0" w:line="259" w:lineRule="auto"/>
        <w:rPr>
          <w:sz w:val="20"/>
          <w:szCs w:val="20"/>
          <w:color w:val="auto"/>
        </w:rPr>
      </w:pPr>
      <w:r>
        <w:rPr>
          <w:rFonts w:ascii="Arial" w:cs="Arial" w:eastAsia="Arial" w:hAnsi="Arial"/>
          <w:sz w:val="18"/>
          <w:szCs w:val="18"/>
          <w:color w:val="auto"/>
        </w:rPr>
        <w:t>All Options granted to Optionees shall be evidenced by option documents. The terms of each such option document for any Optionee who is an employee of a Company shall be determined from time to time by the Committee, and the terms of each such option document for any Optionee who is a Non-Employee Director shall be determined from time to time by the Board, consistent, however, with the following:</w:t>
      </w:r>
    </w:p>
    <w:p>
      <w:pPr>
        <w:spacing w:after="0" w:line="59" w:lineRule="exact"/>
        <w:rPr>
          <w:sz w:val="20"/>
          <w:szCs w:val="20"/>
          <w:color w:val="auto"/>
        </w:rPr>
      </w:pPr>
    </w:p>
    <w:p>
      <w:pPr>
        <w:ind w:left="1160" w:hanging="239"/>
        <w:spacing w:after="0"/>
        <w:tabs>
          <w:tab w:leader="none" w:pos="1160" w:val="left"/>
        </w:tabs>
        <w:numPr>
          <w:ilvl w:val="0"/>
          <w:numId w:val="29"/>
        </w:numPr>
        <w:rPr>
          <w:rFonts w:ascii="Arial" w:cs="Arial" w:eastAsia="Arial" w:hAnsi="Arial"/>
          <w:sz w:val="18"/>
          <w:szCs w:val="18"/>
          <w:color w:val="auto"/>
        </w:rPr>
      </w:pPr>
      <w:r>
        <w:rPr>
          <w:rFonts w:ascii="Arial" w:cs="Arial" w:eastAsia="Arial" w:hAnsi="Arial"/>
          <w:sz w:val="18"/>
          <w:szCs w:val="18"/>
          <w:u w:val="single" w:color="auto"/>
          <w:color w:val="auto"/>
        </w:rPr>
        <w:t>Time of Grant</w:t>
      </w:r>
      <w:r>
        <w:rPr>
          <w:rFonts w:ascii="Arial" w:cs="Arial" w:eastAsia="Arial" w:hAnsi="Arial"/>
          <w:sz w:val="18"/>
          <w:szCs w:val="18"/>
          <w:color w:val="auto"/>
        </w:rPr>
        <w:t>. All Options shall be granted on or before February 25, 2013.</w:t>
      </w:r>
    </w:p>
    <w:p>
      <w:pPr>
        <w:spacing w:after="0" w:line="171" w:lineRule="exact"/>
        <w:rPr>
          <w:rFonts w:ascii="Arial" w:cs="Arial" w:eastAsia="Arial" w:hAnsi="Arial"/>
          <w:sz w:val="18"/>
          <w:szCs w:val="18"/>
          <w:color w:val="auto"/>
        </w:rPr>
      </w:pPr>
    </w:p>
    <w:p>
      <w:pPr>
        <w:ind w:right="140" w:firstLine="921"/>
        <w:spacing w:after="0" w:line="298" w:lineRule="auto"/>
        <w:tabs>
          <w:tab w:leader="none" w:pos="1161" w:val="left"/>
        </w:tabs>
        <w:numPr>
          <w:ilvl w:val="0"/>
          <w:numId w:val="29"/>
        </w:numPr>
        <w:rPr>
          <w:rFonts w:ascii="Arial" w:cs="Arial" w:eastAsia="Arial" w:hAnsi="Arial"/>
          <w:sz w:val="16"/>
          <w:szCs w:val="16"/>
          <w:color w:val="auto"/>
        </w:rPr>
      </w:pPr>
      <w:r>
        <w:rPr>
          <w:rFonts w:ascii="Arial" w:cs="Arial" w:eastAsia="Arial" w:hAnsi="Arial"/>
          <w:sz w:val="16"/>
          <w:szCs w:val="16"/>
          <w:u w:val="single" w:color="auto"/>
          <w:color w:val="auto"/>
        </w:rPr>
        <w:t>Option Price</w:t>
      </w:r>
      <w:r>
        <w:rPr>
          <w:rFonts w:ascii="Arial" w:cs="Arial" w:eastAsia="Arial" w:hAnsi="Arial"/>
          <w:sz w:val="16"/>
          <w:szCs w:val="16"/>
          <w:color w:val="auto"/>
        </w:rPr>
        <w:t xml:space="preserve">. Except as otherwise provided in Section 13(b), the option price per Share with respect to any Option shall be determined by the Committee, </w:t>
      </w:r>
      <w:r>
        <w:rPr>
          <w:rFonts w:ascii="Arial" w:cs="Arial" w:eastAsia="Arial" w:hAnsi="Arial"/>
          <w:sz w:val="16"/>
          <w:szCs w:val="16"/>
          <w:u w:val="single" w:color="auto"/>
          <w:color w:val="auto"/>
        </w:rPr>
        <w:t>provided, however</w:t>
      </w:r>
      <w:r>
        <w:rPr>
          <w:rFonts w:ascii="Arial" w:cs="Arial" w:eastAsia="Arial" w:hAnsi="Arial"/>
          <w:sz w:val="16"/>
          <w:szCs w:val="16"/>
          <w:color w:val="auto"/>
        </w:rPr>
        <w:t xml:space="preserve">, that with respect to any Incentive Stock Options, the option price per share shall not be less than 100% of the Fair Market Value of such Share on the Date of Grant, and </w:t>
      </w:r>
      <w:r>
        <w:rPr>
          <w:rFonts w:ascii="Arial" w:cs="Arial" w:eastAsia="Arial" w:hAnsi="Arial"/>
          <w:sz w:val="16"/>
          <w:szCs w:val="16"/>
          <w:u w:val="single" w:color="auto"/>
          <w:color w:val="auto"/>
        </w:rPr>
        <w:t>provided further</w:t>
      </w:r>
      <w:r>
        <w:rPr>
          <w:rFonts w:ascii="Arial" w:cs="Arial" w:eastAsia="Arial" w:hAnsi="Arial"/>
          <w:sz w:val="16"/>
          <w:szCs w:val="16"/>
          <w:color w:val="auto"/>
        </w:rPr>
        <w:t xml:space="preserve"> that with respect to any Incentive Stock Options granted to a Ten Percent Shareholder, the option price per Share shall not be less than 110% of the Fair Market Value of such Share on the Date of Grant.</w:t>
      </w:r>
    </w:p>
    <w:p>
      <w:pPr>
        <w:spacing w:after="0" w:line="112" w:lineRule="exact"/>
        <w:rPr>
          <w:rFonts w:ascii="Arial" w:cs="Arial" w:eastAsia="Arial" w:hAnsi="Arial"/>
          <w:sz w:val="16"/>
          <w:szCs w:val="16"/>
          <w:color w:val="auto"/>
        </w:rPr>
      </w:pPr>
    </w:p>
    <w:p>
      <w:pPr>
        <w:ind w:firstLine="921"/>
        <w:spacing w:after="0" w:line="288" w:lineRule="auto"/>
        <w:tabs>
          <w:tab w:leader="none" w:pos="1152" w:val="left"/>
        </w:tabs>
        <w:numPr>
          <w:ilvl w:val="0"/>
          <w:numId w:val="29"/>
        </w:numPr>
        <w:rPr>
          <w:rFonts w:ascii="Arial" w:cs="Arial" w:eastAsia="Arial" w:hAnsi="Arial"/>
          <w:sz w:val="16"/>
          <w:szCs w:val="16"/>
          <w:color w:val="auto"/>
        </w:rPr>
      </w:pPr>
      <w:r>
        <w:rPr>
          <w:rFonts w:ascii="Arial" w:cs="Arial" w:eastAsia="Arial" w:hAnsi="Arial"/>
          <w:sz w:val="16"/>
          <w:szCs w:val="16"/>
          <w:u w:val="single" w:color="auto"/>
          <w:color w:val="auto"/>
        </w:rPr>
        <w:t>Restrictions on Transferability</w:t>
      </w:r>
      <w:r>
        <w:rPr>
          <w:rFonts w:ascii="Arial" w:cs="Arial" w:eastAsia="Arial" w:hAnsi="Arial"/>
          <w:sz w:val="16"/>
          <w:szCs w:val="16"/>
          <w:color w:val="auto"/>
        </w:rPr>
        <w:t xml:space="preserve">. No Option granted under this Paragraph 7 shall be transferable otherwise than by will or the laws of descent and distribution and, during the lifetime of the Optionee, shall be exercisable only by him or for his benefit by his attorney-in-fact or guardian; </w:t>
      </w:r>
      <w:r>
        <w:rPr>
          <w:rFonts w:ascii="Arial" w:cs="Arial" w:eastAsia="Arial" w:hAnsi="Arial"/>
          <w:sz w:val="16"/>
          <w:szCs w:val="16"/>
          <w:u w:val="single" w:color="auto"/>
          <w:color w:val="auto"/>
        </w:rPr>
        <w:t>provided that</w:t>
      </w:r>
      <w:r>
        <w:rPr>
          <w:rFonts w:ascii="Arial" w:cs="Arial" w:eastAsia="Arial" w:hAnsi="Arial"/>
          <w:sz w:val="16"/>
          <w:szCs w:val="16"/>
          <w:color w:val="auto"/>
        </w:rPr>
        <w:t xml:space="preserve"> the Committee may, in its discretion, at the time of grant of a Non-Qualified Option or by amendment of an option document for an Incentive Stock Option or a Non-Qualified Option, provide that Options granted to or held by an Optionee may be transferred, in whole or in part, to one or more transferees and exercised by any such transferee; </w:t>
      </w:r>
      <w:r>
        <w:rPr>
          <w:rFonts w:ascii="Arial" w:cs="Arial" w:eastAsia="Arial" w:hAnsi="Arial"/>
          <w:sz w:val="16"/>
          <w:szCs w:val="16"/>
          <w:u w:val="single" w:color="auto"/>
          <w:color w:val="auto"/>
        </w:rPr>
        <w:t>provided further that</w:t>
      </w:r>
      <w:r>
        <w:rPr>
          <w:rFonts w:ascii="Arial" w:cs="Arial" w:eastAsia="Arial" w:hAnsi="Arial"/>
          <w:sz w:val="16"/>
          <w:szCs w:val="16"/>
          <w:color w:val="auto"/>
        </w:rPr>
        <w:t xml:space="preserve"> (i) any such transfer is without consideration and (ii) each transferee is a member of such Optionee’s Immediate Family; and </w:t>
      </w:r>
      <w:r>
        <w:rPr>
          <w:rFonts w:ascii="Arial" w:cs="Arial" w:eastAsia="Arial" w:hAnsi="Arial"/>
          <w:sz w:val="16"/>
          <w:szCs w:val="16"/>
          <w:u w:val="single" w:color="auto"/>
          <w:color w:val="auto"/>
        </w:rPr>
        <w:t>provided further that</w:t>
      </w:r>
      <w:r>
        <w:rPr>
          <w:rFonts w:ascii="Arial" w:cs="Arial" w:eastAsia="Arial" w:hAnsi="Arial"/>
          <w:sz w:val="16"/>
          <w:szCs w:val="16"/>
          <w:color w:val="auto"/>
        </w:rPr>
        <w:t xml:space="preserve"> any Incentive Stock Option granted pursuant to an option document which is amended to permit transfers during the lifetime of the Optionee shall, upon the effectiveness of such amendment, be treated thereafter as a Non-Qualified Option. No transfer of an Option shall be effective unless the Committee is notified of the terms and conditions of the transfer and the Committee determines that the transfer complies with the requirements for transfers of Options under the</w:t>
      </w:r>
    </w:p>
    <w:p>
      <w:pPr>
        <w:spacing w:after="0" w:line="106"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-8-</w:t>
      </w:r>
    </w:p>
    <w:p>
      <w:pPr>
        <w:sectPr>
          <w:pgSz w:w="11900" w:h="16838" w:orient="portrait"/>
          <w:cols w:equalWidth="0" w:num="1">
            <w:col w:w="11400"/>
          </w:cols>
          <w:pgMar w:left="240" w:top="280" w:right="259" w:bottom="1440" w:gutter="0" w:footer="0" w:header="0"/>
        </w:sectPr>
      </w:pPr>
    </w:p>
    <w:bookmarkStart w:id="44" w:name="page45"/>
    <w:bookmarkEnd w:id="44"/>
    <w:p>
      <w:pPr>
        <w:ind w:right="720"/>
        <w:spacing w:after="0" w:line="268"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61">
                      <a:extLst>
                        <a:ext uri="{28A0092B-C50C-407E-A947-70E740481C1C}"/>
                      </a:extLst>
                    </a:blip>
                    <a:srcRect/>
                    <a:stretch>
                      <a:fillRect/>
                    </a:stretch>
                  </pic:blipFill>
                  <pic:spPr bwMode="auto">
                    <a:xfrm>
                      <a:off x="0" y="0"/>
                      <a:ext cx="7267575" cy="27940"/>
                    </a:xfrm>
                    <a:prstGeom prst="rect">
                      <a:avLst/>
                    </a:prstGeom>
                    <a:noFill/>
                  </pic:spPr>
                </pic:pic>
              </a:graphicData>
            </a:graphic>
          </wp:anchor>
        </w:drawing>
        <w:t>Plan and the option document. Any person to whom an Option has been transferred may exercise any Options only in accordance with the provisions of Paragraph 7(g) and this Paragraph 7(c).</w:t>
      </w:r>
    </w:p>
    <w:p>
      <w:pPr>
        <w:spacing w:after="0" w:line="132" w:lineRule="exact"/>
        <w:rPr>
          <w:sz w:val="20"/>
          <w:szCs w:val="20"/>
          <w:color w:val="auto"/>
        </w:rPr>
      </w:pPr>
    </w:p>
    <w:p>
      <w:pPr>
        <w:ind w:right="20" w:firstLine="921"/>
        <w:spacing w:after="0" w:line="284" w:lineRule="auto"/>
        <w:tabs>
          <w:tab w:leader="none" w:pos="1161" w:val="left"/>
        </w:tabs>
        <w:numPr>
          <w:ilvl w:val="0"/>
          <w:numId w:val="30"/>
        </w:numPr>
        <w:rPr>
          <w:rFonts w:ascii="Arial" w:cs="Arial" w:eastAsia="Arial" w:hAnsi="Arial"/>
          <w:sz w:val="16"/>
          <w:szCs w:val="16"/>
          <w:color w:val="auto"/>
        </w:rPr>
      </w:pPr>
      <w:r>
        <w:rPr>
          <w:rFonts w:ascii="Arial" w:cs="Arial" w:eastAsia="Arial" w:hAnsi="Arial"/>
          <w:sz w:val="16"/>
          <w:szCs w:val="16"/>
          <w:u w:val="single" w:color="auto"/>
          <w:color w:val="auto"/>
        </w:rPr>
        <w:t>Payment Upon Exercise of Options</w:t>
      </w:r>
      <w:r>
        <w:rPr>
          <w:rFonts w:ascii="Arial" w:cs="Arial" w:eastAsia="Arial" w:hAnsi="Arial"/>
          <w:sz w:val="16"/>
          <w:szCs w:val="16"/>
          <w:color w:val="auto"/>
        </w:rPr>
        <w:t xml:space="preserve">. Full payment for Shares purchased upon the exercise of an Option shall be made in cash, by certified check payable to the order of the Sponsor, or, at the election of the Optionee and as the Committee may, in its sole discretion, approve, by surrendering or attesting to ownership of Shares with an aggregate Fair Market Value equal to the aggregate option price, or by attesting to ownership and delivering such combination of Shares and cash as the Committee may, in its sole discretion, approve; </w:t>
      </w:r>
      <w:r>
        <w:rPr>
          <w:rFonts w:ascii="Arial" w:cs="Arial" w:eastAsia="Arial" w:hAnsi="Arial"/>
          <w:sz w:val="16"/>
          <w:szCs w:val="16"/>
          <w:u w:val="single" w:color="auto"/>
          <w:color w:val="auto"/>
        </w:rPr>
        <w:t>provided, however</w:t>
      </w:r>
      <w:r>
        <w:rPr>
          <w:rFonts w:ascii="Arial" w:cs="Arial" w:eastAsia="Arial" w:hAnsi="Arial"/>
          <w:sz w:val="16"/>
          <w:szCs w:val="16"/>
          <w:color w:val="auto"/>
        </w:rPr>
        <w:t xml:space="preserve">, that ownership of Shares may be attested to and Shares may be surrendered in satisfaction of the option price only if the Optionee certifies in writing to the Sponsor that the Optionee owns a number of Other Available Shares as of the date the Option is exercised that is at least equal to the number of Shares as to which ownership has been attested, or the number of Shares to be surrendered in satisfaction of the Option Price, as applicable; </w:t>
      </w:r>
      <w:r>
        <w:rPr>
          <w:rFonts w:ascii="Arial" w:cs="Arial" w:eastAsia="Arial" w:hAnsi="Arial"/>
          <w:sz w:val="16"/>
          <w:szCs w:val="16"/>
          <w:u w:val="single" w:color="auto"/>
          <w:color w:val="auto"/>
        </w:rPr>
        <w:t>provided further</w:t>
      </w:r>
      <w:r>
        <w:rPr>
          <w:rFonts w:ascii="Arial" w:cs="Arial" w:eastAsia="Arial" w:hAnsi="Arial"/>
          <w:sz w:val="16"/>
          <w:szCs w:val="16"/>
          <w:color w:val="auto"/>
        </w:rPr>
        <w:t>, however, that the option price may not be paid in Shares if the Committee determines that such method of payment would result in liability under section 16(b) of the 1934 Act to an Optionee. Except as otherwise provided by the Committee, if payment is made in whole or in part by surrendering Shares, the Optionee shall deliver to the Sponsor certificates registered in the name of such Optionee representing Shares legally and beneficially owned by such Optionee, free of all liens, claims and encumbrances of every kind and having a Fair Market Value on the date of delivery that is equal to or greater than the aggregate option price for the Option Shares subject to payment by the surrender of Shares, accompanied by stock powers duly endorsed in blank by the record holder of the Shares represented by such certificates; and if payment is made in whole or in part by attestation of ownership, the Optionee shall attest to ownership of Shares representing Shares legally and beneficially owned by such Optionee, free of all liens, claims and encumbrances of every kind and having a Fair Market Value on the date of attestation that is equal to or greater than the aggregate option price for the Option Shares subject to payment by attestation of Share ownership. If the Committee, in its sole discretion, should refuse to accept Shares in payment of the option price, any certificates representing Shares which were delivered to the Sponsor shall be returned to the Optionee with notice of the refusal of the Committee to accept such Shares in payment of the option price. The Committee may impose such limitations and prohibitions on attestation or ownership of Shares and the use of Shares to exercise an Option as it deems appropriate.</w:t>
      </w:r>
    </w:p>
    <w:p>
      <w:pPr>
        <w:spacing w:after="0" w:line="132" w:lineRule="exact"/>
        <w:rPr>
          <w:rFonts w:ascii="Arial" w:cs="Arial" w:eastAsia="Arial" w:hAnsi="Arial"/>
          <w:sz w:val="16"/>
          <w:szCs w:val="16"/>
          <w:color w:val="auto"/>
        </w:rPr>
      </w:pPr>
    </w:p>
    <w:p>
      <w:pPr>
        <w:ind w:firstLine="921"/>
        <w:spacing w:after="0" w:line="306" w:lineRule="auto"/>
        <w:tabs>
          <w:tab w:leader="none" w:pos="1152" w:val="left"/>
        </w:tabs>
        <w:numPr>
          <w:ilvl w:val="0"/>
          <w:numId w:val="30"/>
        </w:numPr>
        <w:rPr>
          <w:rFonts w:ascii="Arial" w:cs="Arial" w:eastAsia="Arial" w:hAnsi="Arial"/>
          <w:sz w:val="16"/>
          <w:szCs w:val="16"/>
          <w:color w:val="auto"/>
        </w:rPr>
      </w:pPr>
      <w:r>
        <w:rPr>
          <w:rFonts w:ascii="Arial" w:cs="Arial" w:eastAsia="Arial" w:hAnsi="Arial"/>
          <w:sz w:val="16"/>
          <w:szCs w:val="16"/>
          <w:u w:val="single" w:color="auto"/>
          <w:color w:val="auto"/>
        </w:rPr>
        <w:t>Issuance of Certificate Upon Exercise of Options; Payment of Cash</w:t>
      </w:r>
      <w:r>
        <w:rPr>
          <w:rFonts w:ascii="Arial" w:cs="Arial" w:eastAsia="Arial" w:hAnsi="Arial"/>
          <w:sz w:val="16"/>
          <w:szCs w:val="16"/>
          <w:color w:val="auto"/>
        </w:rPr>
        <w:t>. Only whole Shares shall be issuable upon exercise of Options. Any right to a fractional Share shall be satisfied in cash. Upon satisfaction of the conditions of Paragraph 10, a certificate for the number of whole Shares and a check for the Fair Market Value on the date of exercise of any fractional Share to which the Optionee is entitled shall be delivered to such Optionee by the Sponsor.</w:t>
      </w:r>
    </w:p>
    <w:p>
      <w:pPr>
        <w:spacing w:after="0" w:line="106" w:lineRule="exact"/>
        <w:rPr>
          <w:rFonts w:ascii="Arial" w:cs="Arial" w:eastAsia="Arial" w:hAnsi="Arial"/>
          <w:sz w:val="16"/>
          <w:szCs w:val="16"/>
          <w:color w:val="auto"/>
        </w:rPr>
      </w:pPr>
    </w:p>
    <w:p>
      <w:pPr>
        <w:ind w:right="120" w:firstLine="921"/>
        <w:spacing w:after="0" w:line="306" w:lineRule="auto"/>
        <w:tabs>
          <w:tab w:leader="none" w:pos="1132" w:val="left"/>
        </w:tabs>
        <w:numPr>
          <w:ilvl w:val="0"/>
          <w:numId w:val="30"/>
        </w:numPr>
        <w:rPr>
          <w:rFonts w:ascii="Arial" w:cs="Arial" w:eastAsia="Arial" w:hAnsi="Arial"/>
          <w:sz w:val="16"/>
          <w:szCs w:val="16"/>
          <w:color w:val="auto"/>
        </w:rPr>
      </w:pPr>
      <w:r>
        <w:rPr>
          <w:rFonts w:ascii="Arial" w:cs="Arial" w:eastAsia="Arial" w:hAnsi="Arial"/>
          <w:sz w:val="16"/>
          <w:szCs w:val="16"/>
          <w:u w:val="single" w:color="auto"/>
          <w:color w:val="auto"/>
        </w:rPr>
        <w:t>Termination of Employment</w:t>
      </w:r>
      <w:r>
        <w:rPr>
          <w:rFonts w:ascii="Arial" w:cs="Arial" w:eastAsia="Arial" w:hAnsi="Arial"/>
          <w:sz w:val="16"/>
          <w:szCs w:val="16"/>
          <w:color w:val="auto"/>
        </w:rPr>
        <w:t>. For purposes of the Plan, a transfer of an employee between two employers, each of which is a Company, shall not be deemed a termination of employment. For purposes of Paragraph 7(g), an Optionee’s termination of employment shall be deemed to occur on the date an Optionee ceases to have a regular obligation to perform services for a Company, without regard to whether (i) the Optionee continues on the</w:t>
      </w:r>
    </w:p>
    <w:p>
      <w:pPr>
        <w:spacing w:after="0" w:line="93"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-9-</w:t>
      </w:r>
    </w:p>
    <w:p>
      <w:pPr>
        <w:sectPr>
          <w:pgSz w:w="11900" w:h="16838" w:orient="portrait"/>
          <w:cols w:equalWidth="0" w:num="1">
            <w:col w:w="11400"/>
          </w:cols>
          <w:pgMar w:left="240" w:top="280" w:right="259" w:bottom="1440" w:gutter="0" w:footer="0" w:header="0"/>
        </w:sectPr>
      </w:pPr>
    </w:p>
    <w:bookmarkStart w:id="45" w:name="page46"/>
    <w:bookmarkEnd w:id="45"/>
    <w:p>
      <w:pPr>
        <w:ind w:right="20"/>
        <w:spacing w:after="0" w:line="254"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62">
                      <a:extLst>
                        <a:ext uri="{28A0092B-C50C-407E-A947-70E740481C1C}"/>
                      </a:extLst>
                    </a:blip>
                    <a:srcRect/>
                    <a:stretch>
                      <a:fillRect/>
                    </a:stretch>
                  </pic:blipFill>
                  <pic:spPr bwMode="auto">
                    <a:xfrm>
                      <a:off x="0" y="0"/>
                      <a:ext cx="7267575" cy="27940"/>
                    </a:xfrm>
                    <a:prstGeom prst="rect">
                      <a:avLst/>
                    </a:prstGeom>
                    <a:noFill/>
                  </pic:spPr>
                </pic:pic>
              </a:graphicData>
            </a:graphic>
          </wp:anchor>
        </w:drawing>
        <w:t>Company’s payroll for regular, severance or other pay or (ii) the Optionee continues to participate in one or more health and welfare plans maintained by the Company on the same basis as active employees. Whether an Optionee ceases to have a regular obligation to perform services for a Company shall be determined by the Committee in its sole discretion. Notwithstanding the foregoing, if an Optionee is a party to an employment agreement or severance agreement with a Company which establishes the effective date of such Optionee’s termination of employment for purposes of this Paragraph 7(f), that date shall apply. For an Optionee who is a Non-Employee Director, all references to any termination of employment shall be treated as a termination of service to the Sponsor as a Non-Employee Director.</w:t>
      </w:r>
    </w:p>
    <w:p>
      <w:pPr>
        <w:spacing w:after="0" w:line="144" w:lineRule="exact"/>
        <w:rPr>
          <w:sz w:val="20"/>
          <w:szCs w:val="20"/>
          <w:color w:val="auto"/>
        </w:rPr>
      </w:pPr>
    </w:p>
    <w:p>
      <w:pPr>
        <w:ind w:firstLine="921"/>
        <w:spacing w:after="0" w:line="294" w:lineRule="auto"/>
        <w:tabs>
          <w:tab w:leader="none" w:pos="1161" w:val="left"/>
        </w:tabs>
        <w:numPr>
          <w:ilvl w:val="0"/>
          <w:numId w:val="31"/>
        </w:numPr>
        <w:rPr>
          <w:rFonts w:ascii="Arial" w:cs="Arial" w:eastAsia="Arial" w:hAnsi="Arial"/>
          <w:sz w:val="16"/>
          <w:szCs w:val="16"/>
          <w:color w:val="auto"/>
        </w:rPr>
      </w:pPr>
      <w:r>
        <w:rPr>
          <w:rFonts w:ascii="Arial" w:cs="Arial" w:eastAsia="Arial" w:hAnsi="Arial"/>
          <w:sz w:val="16"/>
          <w:szCs w:val="16"/>
          <w:u w:val="single" w:color="auto"/>
          <w:color w:val="auto"/>
        </w:rPr>
        <w:t>Periods of Exercise of Options</w:t>
      </w:r>
      <w:r>
        <w:rPr>
          <w:rFonts w:ascii="Arial" w:cs="Arial" w:eastAsia="Arial" w:hAnsi="Arial"/>
          <w:sz w:val="16"/>
          <w:szCs w:val="16"/>
          <w:color w:val="auto"/>
        </w:rPr>
        <w:t>. An Option shall be exercisable in whole or in part at such time or times as may be determined by the Committee and stated in the option document, provided, however, that if the grant of an Option would be subject to section 16(b) of the 1934 Act, unless the requirements for exemption therefrom in Rule 16b-3(c)(1), under such Act, or any successor provision, are met, the option document for such Option shall provide that such Option is not exercisable until not less than six months have elapsed from the Date of Grant. Except as otherwise provided by the Committee in its discretion, no Option shall first become exercisable following an Optionee’s termination of employment for any reason; provided further, that:</w:t>
      </w:r>
    </w:p>
    <w:p>
      <w:pPr>
        <w:spacing w:after="0" w:line="34" w:lineRule="exact"/>
        <w:rPr>
          <w:rFonts w:ascii="Arial" w:cs="Arial" w:eastAsia="Arial" w:hAnsi="Arial"/>
          <w:sz w:val="16"/>
          <w:szCs w:val="16"/>
          <w:color w:val="auto"/>
        </w:rPr>
      </w:pPr>
    </w:p>
    <w:p>
      <w:pPr>
        <w:ind w:right="80" w:firstLine="1492"/>
        <w:spacing w:after="0" w:line="253" w:lineRule="auto"/>
        <w:tabs>
          <w:tab w:leader="none" w:pos="1693" w:val="left"/>
        </w:tabs>
        <w:numPr>
          <w:ilvl w:val="1"/>
          <w:numId w:val="31"/>
        </w:numPr>
        <w:rPr>
          <w:rFonts w:ascii="Arial" w:cs="Arial" w:eastAsia="Arial" w:hAnsi="Arial"/>
          <w:sz w:val="18"/>
          <w:szCs w:val="18"/>
          <w:color w:val="auto"/>
        </w:rPr>
      </w:pPr>
      <w:r>
        <w:rPr>
          <w:rFonts w:ascii="Arial" w:cs="Arial" w:eastAsia="Arial" w:hAnsi="Arial"/>
          <w:sz w:val="18"/>
          <w:szCs w:val="18"/>
          <w:color w:val="auto"/>
        </w:rPr>
        <w:t>In the event that an Optionee terminates employment with the Company for any reason other than death or Cause, any Option held by such Optionee and which is then exercisable shall be exercisable for a period of 90 days following the date the Optionee terminates employment with the Company (unless a longer period is established by the Committee); provided, however, that if such termination of employment with the Company is due to the Disability of the Optionee, he shall have the right to exercise those of his Options which are then exercisable for a period of one year following such termination of employment (unless a longer period is established by the Committee); provided, however, that in no event shall an Incentive Stock Option be exercisable after five years from the Date of Grant in the case of a grant to a Ten Percent Shareholder, nor shall any other Option be exercisable after ten years from the Date of Grant.</w:t>
      </w:r>
    </w:p>
    <w:p>
      <w:pPr>
        <w:spacing w:after="0" w:line="147" w:lineRule="exact"/>
        <w:rPr>
          <w:rFonts w:ascii="Arial" w:cs="Arial" w:eastAsia="Arial" w:hAnsi="Arial"/>
          <w:sz w:val="18"/>
          <w:szCs w:val="18"/>
          <w:color w:val="auto"/>
        </w:rPr>
      </w:pPr>
    </w:p>
    <w:p>
      <w:pPr>
        <w:ind w:right="20" w:firstLine="1492"/>
        <w:spacing w:after="0" w:line="255" w:lineRule="auto"/>
        <w:tabs>
          <w:tab w:leader="none" w:pos="1742" w:val="left"/>
        </w:tabs>
        <w:numPr>
          <w:ilvl w:val="1"/>
          <w:numId w:val="31"/>
        </w:numPr>
        <w:rPr>
          <w:rFonts w:ascii="Arial" w:cs="Arial" w:eastAsia="Arial" w:hAnsi="Arial"/>
          <w:sz w:val="18"/>
          <w:szCs w:val="18"/>
          <w:color w:val="auto"/>
        </w:rPr>
      </w:pPr>
      <w:r>
        <w:rPr>
          <w:rFonts w:ascii="Arial" w:cs="Arial" w:eastAsia="Arial" w:hAnsi="Arial"/>
          <w:sz w:val="18"/>
          <w:szCs w:val="18"/>
          <w:color w:val="auto"/>
        </w:rPr>
        <w:t xml:space="preserve">In the event that an Optionee terminates employment with the Company by reason of his death, any Option held at death by such Optionee which is then exercisable shall be exercisable for a period of one year from the date of death (unless a longer period is established by the Committee) by the person to whom the rights of the Optionee shall have passed by will or by the laws of descent and distribution; </w:t>
      </w:r>
      <w:r>
        <w:rPr>
          <w:rFonts w:ascii="Arial" w:cs="Arial" w:eastAsia="Arial" w:hAnsi="Arial"/>
          <w:sz w:val="18"/>
          <w:szCs w:val="18"/>
          <w:u w:val="single" w:color="auto"/>
          <w:color w:val="auto"/>
        </w:rPr>
        <w:t>provided, however</w:t>
      </w:r>
      <w:r>
        <w:rPr>
          <w:rFonts w:ascii="Arial" w:cs="Arial" w:eastAsia="Arial" w:hAnsi="Arial"/>
          <w:sz w:val="18"/>
          <w:szCs w:val="18"/>
          <w:color w:val="auto"/>
        </w:rPr>
        <w:t>, that in no event shall an Incentive Stock Option be exercisable after five years from the Date of Grant in the case of a grant to a Ten Percent Shareholder, nor shall any other Option be exercisable after ten years from the Date of Grant.</w:t>
      </w:r>
    </w:p>
    <w:p>
      <w:pPr>
        <w:spacing w:after="0" w:line="142" w:lineRule="exact"/>
        <w:rPr>
          <w:rFonts w:ascii="Arial" w:cs="Arial" w:eastAsia="Arial" w:hAnsi="Arial"/>
          <w:sz w:val="18"/>
          <w:szCs w:val="18"/>
          <w:color w:val="auto"/>
        </w:rPr>
      </w:pPr>
    </w:p>
    <w:p>
      <w:pPr>
        <w:ind w:right="60" w:firstLine="1492"/>
        <w:spacing w:after="0" w:line="256" w:lineRule="auto"/>
        <w:tabs>
          <w:tab w:leader="none" w:pos="1791" w:val="left"/>
        </w:tabs>
        <w:numPr>
          <w:ilvl w:val="1"/>
          <w:numId w:val="31"/>
        </w:numPr>
        <w:rPr>
          <w:rFonts w:ascii="Arial" w:cs="Arial" w:eastAsia="Arial" w:hAnsi="Arial"/>
          <w:sz w:val="18"/>
          <w:szCs w:val="18"/>
          <w:color w:val="auto"/>
        </w:rPr>
      </w:pPr>
      <w:r>
        <w:rPr>
          <w:rFonts w:ascii="Arial" w:cs="Arial" w:eastAsia="Arial" w:hAnsi="Arial"/>
          <w:sz w:val="18"/>
          <w:szCs w:val="18"/>
          <w:color w:val="auto"/>
        </w:rPr>
        <w:t xml:space="preserve">In the event that an Optionee’s employment with the Company is terminated for Cause, each unexercised Option held by such Optionee shall terminate and cease to be exercisable; </w:t>
      </w:r>
      <w:r>
        <w:rPr>
          <w:rFonts w:ascii="Arial" w:cs="Arial" w:eastAsia="Arial" w:hAnsi="Arial"/>
          <w:sz w:val="18"/>
          <w:szCs w:val="18"/>
          <w:u w:val="single" w:color="auto"/>
          <w:color w:val="auto"/>
        </w:rPr>
        <w:t>provided further</w:t>
      </w:r>
      <w:r>
        <w:rPr>
          <w:rFonts w:ascii="Arial" w:cs="Arial" w:eastAsia="Arial" w:hAnsi="Arial"/>
          <w:sz w:val="18"/>
          <w:szCs w:val="18"/>
          <w:color w:val="auto"/>
        </w:rPr>
        <w:t>, that in such event, in addition to immediate termination of the Option, the Optionee, upon a determination by the Committee shall automatically forfeit all Shares otherwise subject to delivery upon exercise of an Option but for which the Sponsor has not yet delivered the Share certificates, upon refund by the Sponsor of the option price.</w:t>
      </w:r>
    </w:p>
    <w:p>
      <w:pPr>
        <w:spacing w:after="0" w:line="130"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-10-</w:t>
      </w:r>
    </w:p>
    <w:p>
      <w:pPr>
        <w:sectPr>
          <w:pgSz w:w="11900" w:h="16838" w:orient="portrait"/>
          <w:cols w:equalWidth="0" w:num="1">
            <w:col w:w="11400"/>
          </w:cols>
          <w:pgMar w:left="240" w:top="280" w:right="259" w:bottom="1440" w:gutter="0" w:footer="0" w:header="0"/>
        </w:sectPr>
      </w:pPr>
    </w:p>
    <w:bookmarkStart w:id="46" w:name="page47"/>
    <w:bookmarkEnd w:id="46"/>
    <w:p>
      <w:pPr>
        <w:ind w:firstLine="921"/>
        <w:spacing w:after="0" w:line="290" w:lineRule="auto"/>
        <w:tabs>
          <w:tab w:leader="none" w:pos="1161" w:val="left"/>
        </w:tabs>
        <w:numPr>
          <w:ilvl w:val="0"/>
          <w:numId w:val="32"/>
        </w:numPr>
        <w:rPr>
          <w:rFonts w:ascii="Arial" w:cs="Arial" w:eastAsia="Arial" w:hAnsi="Arial"/>
          <w:sz w:val="16"/>
          <w:szCs w:val="16"/>
          <w:color w:val="auto"/>
        </w:rPr>
      </w:pPr>
      <w:r>
        <w:rPr>
          <w:rFonts w:ascii="Arial" w:cs="Arial" w:eastAsia="Arial" w:hAnsi="Arial"/>
          <w:sz w:val="16"/>
          <w:szCs w:val="16"/>
          <w:u w:val="single" w:color="auto"/>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63">
                      <a:extLst>
                        <a:ext uri="{28A0092B-C50C-407E-A947-70E740481C1C}"/>
                      </a:extLst>
                    </a:blip>
                    <a:srcRect/>
                    <a:stretch>
                      <a:fillRect/>
                    </a:stretch>
                  </pic:blipFill>
                  <pic:spPr bwMode="auto">
                    <a:xfrm>
                      <a:off x="0" y="0"/>
                      <a:ext cx="7267575" cy="27940"/>
                    </a:xfrm>
                    <a:prstGeom prst="rect">
                      <a:avLst/>
                    </a:prstGeom>
                    <a:noFill/>
                  </pic:spPr>
                </pic:pic>
              </a:graphicData>
            </a:graphic>
          </wp:anchor>
        </w:drawing>
        <w:t>Date of Exercise</w:t>
      </w:r>
      <w:r>
        <w:rPr>
          <w:rFonts w:ascii="Arial" w:cs="Arial" w:eastAsia="Arial" w:hAnsi="Arial"/>
          <w:sz w:val="16"/>
          <w:szCs w:val="16"/>
          <w:color w:val="auto"/>
        </w:rPr>
        <w:t xml:space="preserve">. The date of exercise of an Option shall be the date on which written notice of exercise, addressed to the Sponsor at its main office to the attention of its Secretary, is hand delivered, telecopied or mailed first class postage prepaid; </w:t>
      </w:r>
      <w:r>
        <w:rPr>
          <w:rFonts w:ascii="Arial" w:cs="Arial" w:eastAsia="Arial" w:hAnsi="Arial"/>
          <w:sz w:val="16"/>
          <w:szCs w:val="16"/>
          <w:u w:val="single" w:color="auto"/>
          <w:color w:val="auto"/>
        </w:rPr>
        <w:t>provided, however</w:t>
      </w:r>
      <w:r>
        <w:rPr>
          <w:rFonts w:ascii="Arial" w:cs="Arial" w:eastAsia="Arial" w:hAnsi="Arial"/>
          <w:sz w:val="16"/>
          <w:szCs w:val="16"/>
          <w:color w:val="auto"/>
        </w:rPr>
        <w:t>, that the Sponsor shall not be obligated to deliver any certificates for Shares pursuant to the exercise of an Option until the Optionee shall have made payment in full of the option price for such Shares. Each such exercise shall be irrevocable when given. Each notice of exercise must (i) specify the Incentive Stock Option, Non-Qualified Option or combination thereof being exercised; and (ii) include a statement of preference (which shall binding on and irrevocable by the Optionee but shall not be binding on the Committee) as to the manner in which payment to the Sponsor shall be made (Shares or cash or a combination of Shares and cash). Each notice of exercise shall also comply with the requirements of Paragraph 15.</w:t>
      </w:r>
    </w:p>
    <w:p>
      <w:pPr>
        <w:spacing w:after="0" w:line="118" w:lineRule="exact"/>
        <w:rPr>
          <w:rFonts w:ascii="Arial" w:cs="Arial" w:eastAsia="Arial" w:hAnsi="Arial"/>
          <w:sz w:val="16"/>
          <w:szCs w:val="16"/>
          <w:color w:val="auto"/>
        </w:rPr>
      </w:pPr>
    </w:p>
    <w:p>
      <w:pPr>
        <w:ind w:firstLine="921"/>
        <w:spacing w:after="0" w:line="332" w:lineRule="auto"/>
        <w:tabs>
          <w:tab w:leader="none" w:pos="1122" w:val="left"/>
        </w:tabs>
        <w:numPr>
          <w:ilvl w:val="0"/>
          <w:numId w:val="32"/>
        </w:numPr>
        <w:rPr>
          <w:rFonts w:ascii="Arial" w:cs="Arial" w:eastAsia="Arial" w:hAnsi="Arial"/>
          <w:sz w:val="16"/>
          <w:szCs w:val="16"/>
          <w:color w:val="auto"/>
        </w:rPr>
      </w:pPr>
      <w:r>
        <w:rPr>
          <w:rFonts w:ascii="Arial" w:cs="Arial" w:eastAsia="Arial" w:hAnsi="Arial"/>
          <w:sz w:val="16"/>
          <w:szCs w:val="16"/>
          <w:u w:val="single" w:color="auto"/>
          <w:color w:val="auto"/>
        </w:rPr>
        <w:t>Cash Rights</w:t>
      </w:r>
      <w:r>
        <w:rPr>
          <w:rFonts w:ascii="Arial" w:cs="Arial" w:eastAsia="Arial" w:hAnsi="Arial"/>
          <w:sz w:val="16"/>
          <w:szCs w:val="16"/>
          <w:color w:val="auto"/>
        </w:rPr>
        <w:t>. The Committee may, in its sole discretion, provide in an option document for an eligible Optionee that Cash Rights shall be attached to Non-Qualified Options granted under the Plan. All Cash Rights that are attached to Non-Qualified Options shall be subject to the following terms:</w:t>
      </w:r>
    </w:p>
    <w:p>
      <w:pPr>
        <w:spacing w:after="0" w:line="4" w:lineRule="exact"/>
        <w:rPr>
          <w:rFonts w:ascii="Arial" w:cs="Arial" w:eastAsia="Arial" w:hAnsi="Arial"/>
          <w:sz w:val="16"/>
          <w:szCs w:val="16"/>
          <w:color w:val="auto"/>
        </w:rPr>
      </w:pPr>
    </w:p>
    <w:p>
      <w:pPr>
        <w:ind w:left="1700" w:hanging="208"/>
        <w:spacing w:after="0"/>
        <w:tabs>
          <w:tab w:leader="none" w:pos="1700" w:val="left"/>
        </w:tabs>
        <w:numPr>
          <w:ilvl w:val="1"/>
          <w:numId w:val="32"/>
        </w:numPr>
        <w:rPr>
          <w:rFonts w:ascii="Arial" w:cs="Arial" w:eastAsia="Arial" w:hAnsi="Arial"/>
          <w:sz w:val="18"/>
          <w:szCs w:val="18"/>
          <w:color w:val="auto"/>
        </w:rPr>
      </w:pPr>
      <w:r>
        <w:rPr>
          <w:rFonts w:ascii="Arial" w:cs="Arial" w:eastAsia="Arial" w:hAnsi="Arial"/>
          <w:sz w:val="18"/>
          <w:szCs w:val="18"/>
          <w:color w:val="auto"/>
        </w:rPr>
        <w:t>Such Cash Right shall expire no later than the Non-Qualified Option to which it is attached.</w:t>
      </w:r>
    </w:p>
    <w:p>
      <w:pPr>
        <w:spacing w:after="0" w:line="171" w:lineRule="exact"/>
        <w:rPr>
          <w:rFonts w:ascii="Arial" w:cs="Arial" w:eastAsia="Arial" w:hAnsi="Arial"/>
          <w:sz w:val="18"/>
          <w:szCs w:val="18"/>
          <w:color w:val="auto"/>
        </w:rPr>
      </w:pPr>
    </w:p>
    <w:p>
      <w:pPr>
        <w:ind w:left="1760" w:hanging="268"/>
        <w:spacing w:after="0"/>
        <w:tabs>
          <w:tab w:leader="none" w:pos="1760" w:val="left"/>
        </w:tabs>
        <w:numPr>
          <w:ilvl w:val="1"/>
          <w:numId w:val="32"/>
        </w:numPr>
        <w:rPr>
          <w:rFonts w:ascii="Arial" w:cs="Arial" w:eastAsia="Arial" w:hAnsi="Arial"/>
          <w:sz w:val="15"/>
          <w:szCs w:val="15"/>
          <w:color w:val="auto"/>
        </w:rPr>
      </w:pPr>
      <w:r>
        <w:rPr>
          <w:rFonts w:ascii="Arial" w:cs="Arial" w:eastAsia="Arial" w:hAnsi="Arial"/>
          <w:sz w:val="15"/>
          <w:szCs w:val="15"/>
          <w:color w:val="auto"/>
        </w:rPr>
        <w:t>Such Cash Right shall provide for the cash payment of such amount per Share as shall be determined by the Committee and stated in the</w:t>
      </w:r>
    </w:p>
    <w:p>
      <w:pPr>
        <w:spacing w:after="0" w:line="49" w:lineRule="exact"/>
        <w:rPr>
          <w:rFonts w:ascii="Arial" w:cs="Arial" w:eastAsia="Arial" w:hAnsi="Arial"/>
          <w:sz w:val="15"/>
          <w:szCs w:val="15"/>
          <w:color w:val="auto"/>
        </w:rPr>
      </w:pPr>
    </w:p>
    <w:p>
      <w:pPr>
        <w:spacing w:after="0"/>
        <w:rPr>
          <w:rFonts w:ascii="Arial" w:cs="Arial" w:eastAsia="Arial" w:hAnsi="Arial"/>
          <w:sz w:val="15"/>
          <w:szCs w:val="15"/>
          <w:color w:val="auto"/>
        </w:rPr>
      </w:pPr>
      <w:r>
        <w:rPr>
          <w:rFonts w:ascii="Arial" w:cs="Arial" w:eastAsia="Arial" w:hAnsi="Arial"/>
          <w:sz w:val="18"/>
          <w:szCs w:val="18"/>
          <w:color w:val="auto"/>
        </w:rPr>
        <w:t>option document.</w:t>
      </w:r>
    </w:p>
    <w:p>
      <w:pPr>
        <w:spacing w:after="0" w:line="164" w:lineRule="exact"/>
        <w:rPr>
          <w:rFonts w:ascii="Arial" w:cs="Arial" w:eastAsia="Arial" w:hAnsi="Arial"/>
          <w:sz w:val="15"/>
          <w:szCs w:val="15"/>
          <w:color w:val="auto"/>
        </w:rPr>
      </w:pPr>
    </w:p>
    <w:p>
      <w:pPr>
        <w:ind w:left="1800" w:hanging="308"/>
        <w:spacing w:after="0"/>
        <w:tabs>
          <w:tab w:leader="none" w:pos="1800" w:val="left"/>
        </w:tabs>
        <w:numPr>
          <w:ilvl w:val="1"/>
          <w:numId w:val="32"/>
        </w:numPr>
        <w:rPr>
          <w:rFonts w:ascii="Arial" w:cs="Arial" w:eastAsia="Arial" w:hAnsi="Arial"/>
          <w:sz w:val="16"/>
          <w:szCs w:val="16"/>
          <w:color w:val="auto"/>
        </w:rPr>
      </w:pPr>
      <w:r>
        <w:rPr>
          <w:rFonts w:ascii="Arial" w:cs="Arial" w:eastAsia="Arial" w:hAnsi="Arial"/>
          <w:sz w:val="16"/>
          <w:szCs w:val="16"/>
          <w:color w:val="auto"/>
        </w:rPr>
        <w:t>Such Cash Right shall be subject to the same restrictions on transferability as the Non-Qualified Option to which it is attached.</w:t>
      </w:r>
    </w:p>
    <w:p>
      <w:pPr>
        <w:spacing w:after="0" w:line="194" w:lineRule="exact"/>
        <w:rPr>
          <w:rFonts w:ascii="Arial" w:cs="Arial" w:eastAsia="Arial" w:hAnsi="Arial"/>
          <w:sz w:val="16"/>
          <w:szCs w:val="16"/>
          <w:color w:val="auto"/>
        </w:rPr>
      </w:pPr>
    </w:p>
    <w:p>
      <w:pPr>
        <w:ind w:right="160" w:firstLine="1492"/>
        <w:spacing w:after="0" w:line="268" w:lineRule="auto"/>
        <w:tabs>
          <w:tab w:leader="none" w:pos="1781" w:val="left"/>
        </w:tabs>
        <w:numPr>
          <w:ilvl w:val="1"/>
          <w:numId w:val="32"/>
        </w:numPr>
        <w:rPr>
          <w:rFonts w:ascii="Arial" w:cs="Arial" w:eastAsia="Arial" w:hAnsi="Arial"/>
          <w:sz w:val="18"/>
          <w:szCs w:val="18"/>
          <w:color w:val="auto"/>
        </w:rPr>
      </w:pPr>
      <w:r>
        <w:rPr>
          <w:rFonts w:ascii="Arial" w:cs="Arial" w:eastAsia="Arial" w:hAnsi="Arial"/>
          <w:sz w:val="18"/>
          <w:szCs w:val="18"/>
          <w:color w:val="auto"/>
        </w:rPr>
        <w:t>Such Cash Right shall be exercisable only when such conditions to exercise as shall be determined by the Committee and stated in the option document, if any, have been satisfied.</w:t>
      </w:r>
    </w:p>
    <w:p>
      <w:pPr>
        <w:spacing w:after="0" w:line="131" w:lineRule="exact"/>
        <w:rPr>
          <w:rFonts w:ascii="Arial" w:cs="Arial" w:eastAsia="Arial" w:hAnsi="Arial"/>
          <w:sz w:val="18"/>
          <w:szCs w:val="18"/>
          <w:color w:val="auto"/>
        </w:rPr>
      </w:pPr>
    </w:p>
    <w:p>
      <w:pPr>
        <w:ind w:left="1740" w:hanging="248"/>
        <w:spacing w:after="0"/>
        <w:tabs>
          <w:tab w:leader="none" w:pos="1740" w:val="left"/>
        </w:tabs>
        <w:numPr>
          <w:ilvl w:val="1"/>
          <w:numId w:val="32"/>
        </w:numPr>
        <w:rPr>
          <w:rFonts w:ascii="Arial" w:cs="Arial" w:eastAsia="Arial" w:hAnsi="Arial"/>
          <w:sz w:val="18"/>
          <w:szCs w:val="18"/>
          <w:color w:val="auto"/>
        </w:rPr>
      </w:pPr>
      <w:r>
        <w:rPr>
          <w:rFonts w:ascii="Arial" w:cs="Arial" w:eastAsia="Arial" w:hAnsi="Arial"/>
          <w:sz w:val="18"/>
          <w:szCs w:val="18"/>
          <w:color w:val="auto"/>
        </w:rPr>
        <w:t>Such Cash Right shall expire upon the exercise of the Non-Qualified Option to which it is attached.</w:t>
      </w:r>
    </w:p>
    <w:p>
      <w:pPr>
        <w:spacing w:after="0" w:line="171" w:lineRule="exact"/>
        <w:rPr>
          <w:rFonts w:ascii="Arial" w:cs="Arial" w:eastAsia="Arial" w:hAnsi="Arial"/>
          <w:sz w:val="18"/>
          <w:szCs w:val="18"/>
          <w:color w:val="auto"/>
        </w:rPr>
      </w:pPr>
    </w:p>
    <w:p>
      <w:pPr>
        <w:ind w:left="1780" w:hanging="288"/>
        <w:spacing w:after="0"/>
        <w:tabs>
          <w:tab w:leader="none" w:pos="1780" w:val="left"/>
        </w:tabs>
        <w:numPr>
          <w:ilvl w:val="1"/>
          <w:numId w:val="32"/>
        </w:numPr>
        <w:rPr>
          <w:rFonts w:ascii="Arial" w:cs="Arial" w:eastAsia="Arial" w:hAnsi="Arial"/>
          <w:sz w:val="16"/>
          <w:szCs w:val="16"/>
          <w:color w:val="auto"/>
        </w:rPr>
      </w:pPr>
      <w:r>
        <w:rPr>
          <w:rFonts w:ascii="Arial" w:cs="Arial" w:eastAsia="Arial" w:hAnsi="Arial"/>
          <w:sz w:val="16"/>
          <w:szCs w:val="16"/>
          <w:color w:val="auto"/>
        </w:rPr>
        <w:t>Upon exercise of a Cash Right that is attached to a Non-Qualified Option, the Option to which the Cash Right is attached shall expire.</w:t>
      </w:r>
    </w:p>
    <w:p>
      <w:pPr>
        <w:spacing w:after="0" w:line="269" w:lineRule="exact"/>
        <w:rPr>
          <w:sz w:val="20"/>
          <w:szCs w:val="20"/>
          <w:color w:val="auto"/>
        </w:rPr>
      </w:pPr>
    </w:p>
    <w:p>
      <w:pPr>
        <w:ind w:left="460"/>
        <w:spacing w:after="0"/>
        <w:rPr>
          <w:sz w:val="20"/>
          <w:szCs w:val="20"/>
          <w:color w:val="auto"/>
        </w:rPr>
      </w:pPr>
      <w:r>
        <w:rPr>
          <w:rFonts w:ascii="Arial" w:cs="Arial" w:eastAsia="Arial" w:hAnsi="Arial"/>
          <w:sz w:val="18"/>
          <w:szCs w:val="18"/>
          <w:b w:val="1"/>
          <w:bCs w:val="1"/>
          <w:color w:val="auto"/>
        </w:rPr>
        <w:t>8. Limitation on Exercise of Incentive Stock Options</w:t>
      </w:r>
    </w:p>
    <w:p>
      <w:pPr>
        <w:spacing w:after="0" w:line="96" w:lineRule="exact"/>
        <w:rPr>
          <w:sz w:val="20"/>
          <w:szCs w:val="20"/>
          <w:color w:val="auto"/>
        </w:rPr>
      </w:pPr>
    </w:p>
    <w:p>
      <w:pPr>
        <w:ind w:right="160" w:firstLine="456"/>
        <w:spacing w:after="0" w:line="255" w:lineRule="auto"/>
        <w:rPr>
          <w:sz w:val="20"/>
          <w:szCs w:val="20"/>
          <w:color w:val="auto"/>
        </w:rPr>
      </w:pPr>
      <w:r>
        <w:rPr>
          <w:rFonts w:ascii="Arial" w:cs="Arial" w:eastAsia="Arial" w:hAnsi="Arial"/>
          <w:sz w:val="18"/>
          <w:szCs w:val="18"/>
          <w:color w:val="auto"/>
        </w:rPr>
        <w:t>The aggregate Fair Market Value (determined as of the time Options are granted) of the Shares with respect to which Incentive Stock Options may first become exercisable by an Optionee in any one calendar year under the Plan and any other plan of the Company shall not exceed $100,000. The limitations imposed by this Paragraph 8 shall apply only to Incentive Stock Options granted under the Plan, and not to any other options or stock appreciation rights. In the event an individual receives an Option intended to be an Incentive Stock Option which is subsequently determined to have exceeded the limitation set forth above, or if an individual</w:t>
      </w:r>
    </w:p>
    <w:p>
      <w:pPr>
        <w:spacing w:after="0" w:line="129"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-11-</w:t>
      </w:r>
    </w:p>
    <w:p>
      <w:pPr>
        <w:sectPr>
          <w:pgSz w:w="11900" w:h="16838" w:orient="portrait"/>
          <w:cols w:equalWidth="0" w:num="1">
            <w:col w:w="11380"/>
          </w:cols>
          <w:pgMar w:left="240" w:top="280" w:right="279" w:bottom="1440" w:gutter="0" w:footer="0" w:header="0"/>
        </w:sectPr>
      </w:pPr>
    </w:p>
    <w:bookmarkStart w:id="47" w:name="page48"/>
    <w:bookmarkEnd w:id="47"/>
    <w:p>
      <w:pPr>
        <w:ind w:right="100"/>
        <w:spacing w:after="0" w:line="306" w:lineRule="auto"/>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64">
                      <a:extLst>
                        <a:ext uri="{28A0092B-C50C-407E-A947-70E740481C1C}"/>
                      </a:extLst>
                    </a:blip>
                    <a:srcRect/>
                    <a:stretch>
                      <a:fillRect/>
                    </a:stretch>
                  </pic:blipFill>
                  <pic:spPr bwMode="auto">
                    <a:xfrm>
                      <a:off x="0" y="0"/>
                      <a:ext cx="7267575" cy="27940"/>
                    </a:xfrm>
                    <a:prstGeom prst="rect">
                      <a:avLst/>
                    </a:prstGeom>
                    <a:noFill/>
                  </pic:spPr>
                </pic:pic>
              </a:graphicData>
            </a:graphic>
          </wp:anchor>
        </w:drawing>
        <w:t>receives Options that first become exercisable in a calendar year (whether pursuant to the terms of an option document, acceleration of exercisability or other change in the terms and conditions of exercise or any other reason) that have an aggregate Fair Market Value (determined as of the time the Options are granted) that exceeds the limitations set forth above, the Options in excess of the limitation shall be treated as Non-Qualified Options.</w:t>
      </w:r>
    </w:p>
    <w:p>
      <w:pPr>
        <w:spacing w:after="0" w:line="182" w:lineRule="exact"/>
        <w:rPr>
          <w:sz w:val="20"/>
          <w:szCs w:val="20"/>
          <w:color w:val="auto"/>
        </w:rPr>
      </w:pPr>
    </w:p>
    <w:p>
      <w:pPr>
        <w:ind w:left="460"/>
        <w:spacing w:after="0"/>
        <w:rPr>
          <w:sz w:val="20"/>
          <w:szCs w:val="20"/>
          <w:color w:val="auto"/>
        </w:rPr>
      </w:pPr>
      <w:r>
        <w:rPr>
          <w:rFonts w:ascii="Arial" w:cs="Arial" w:eastAsia="Arial" w:hAnsi="Arial"/>
          <w:sz w:val="18"/>
          <w:szCs w:val="18"/>
          <w:b w:val="1"/>
          <w:bCs w:val="1"/>
          <w:color w:val="auto"/>
        </w:rPr>
        <w:t>9. Rights as Shareholders</w:t>
      </w:r>
    </w:p>
    <w:p>
      <w:pPr>
        <w:spacing w:after="0" w:line="96" w:lineRule="exact"/>
        <w:rPr>
          <w:sz w:val="20"/>
          <w:szCs w:val="20"/>
          <w:color w:val="auto"/>
        </w:rPr>
      </w:pPr>
    </w:p>
    <w:p>
      <w:pPr>
        <w:ind w:right="260" w:firstLine="456"/>
        <w:spacing w:after="0" w:line="256" w:lineRule="auto"/>
        <w:rPr>
          <w:sz w:val="20"/>
          <w:szCs w:val="20"/>
          <w:color w:val="auto"/>
        </w:rPr>
      </w:pPr>
      <w:r>
        <w:rPr>
          <w:rFonts w:ascii="Arial" w:cs="Arial" w:eastAsia="Arial" w:hAnsi="Arial"/>
          <w:sz w:val="18"/>
          <w:szCs w:val="18"/>
          <w:color w:val="auto"/>
        </w:rPr>
        <w:t>An Optionee shall not have any right as a shareholder with respect to any Shares subject to his Options until the Option shall have been exercised in accordance with the terms of the Plan and the option document and the Optionee shall have paid the full purchase price for the number of Shares in respect of which the Option was exercised and the Optionee shall have made arrangements acceptable to the Sponsor for the payment of applicable taxes consistent with Paragraph 15.</w:t>
      </w:r>
    </w:p>
    <w:p>
      <w:pPr>
        <w:spacing w:after="0" w:line="218" w:lineRule="exact"/>
        <w:rPr>
          <w:sz w:val="20"/>
          <w:szCs w:val="20"/>
          <w:color w:val="auto"/>
        </w:rPr>
      </w:pPr>
    </w:p>
    <w:p>
      <w:pPr>
        <w:ind w:left="460"/>
        <w:spacing w:after="0"/>
        <w:rPr>
          <w:sz w:val="20"/>
          <w:szCs w:val="20"/>
          <w:color w:val="auto"/>
        </w:rPr>
      </w:pPr>
      <w:r>
        <w:rPr>
          <w:rFonts w:ascii="Arial" w:cs="Arial" w:eastAsia="Arial" w:hAnsi="Arial"/>
          <w:sz w:val="18"/>
          <w:szCs w:val="18"/>
          <w:b w:val="1"/>
          <w:bCs w:val="1"/>
          <w:color w:val="auto"/>
        </w:rPr>
        <w:t>10. Changes in Capitalization</w:t>
      </w:r>
    </w:p>
    <w:p>
      <w:pPr>
        <w:spacing w:after="0" w:line="96" w:lineRule="exact"/>
        <w:rPr>
          <w:sz w:val="20"/>
          <w:szCs w:val="20"/>
          <w:color w:val="auto"/>
        </w:rPr>
      </w:pPr>
    </w:p>
    <w:p>
      <w:pPr>
        <w:ind w:right="100" w:firstLine="913"/>
        <w:spacing w:after="0" w:line="290" w:lineRule="auto"/>
        <w:rPr>
          <w:sz w:val="20"/>
          <w:szCs w:val="20"/>
          <w:color w:val="auto"/>
        </w:rPr>
      </w:pPr>
      <w:r>
        <w:rPr>
          <w:rFonts w:ascii="Arial" w:cs="Arial" w:eastAsia="Arial" w:hAnsi="Arial"/>
          <w:sz w:val="16"/>
          <w:szCs w:val="16"/>
          <w:color w:val="auto"/>
        </w:rPr>
        <w:t>In the event that Shares are changed into or exchanged for a different number or kind of shares of stock or other securities of the Sponsor, whether through merger, consolidation, reorganization, recapitalization, stock dividend, stock split-up or other substitution of securities of the Sponsor, the Board shall make appropriate equitable anti-dilution adjustments to the number and class of shares of stock available for issuance under the Plan, and subject to outstanding Options, and to the option prices and the amounts payable pursuant to any Cash Rights. Any reference to the option price in the Plan and in option documents shall be a reference to the option price as so adjusted. Any reference to the term “Shares” in the Plan and in option documents shall be a reference to the appropriate number and class of shares of stock available for issuance under the Plan, as adjusted pursuant to this Paragraph 10. The Board’s adjustment shall be effective and binding for all purposes of this Plan.</w:t>
      </w:r>
    </w:p>
    <w:p>
      <w:pPr>
        <w:spacing w:after="0" w:line="193" w:lineRule="exact"/>
        <w:rPr>
          <w:sz w:val="20"/>
          <w:szCs w:val="20"/>
          <w:color w:val="auto"/>
        </w:rPr>
      </w:pPr>
    </w:p>
    <w:p>
      <w:pPr>
        <w:ind w:left="720" w:hanging="256"/>
        <w:spacing w:after="0"/>
        <w:tabs>
          <w:tab w:leader="none" w:pos="720" w:val="left"/>
        </w:tabs>
        <w:numPr>
          <w:ilvl w:val="0"/>
          <w:numId w:val="33"/>
        </w:numPr>
        <w:rPr>
          <w:rFonts w:ascii="Arial" w:cs="Arial" w:eastAsia="Arial" w:hAnsi="Arial"/>
          <w:sz w:val="18"/>
          <w:szCs w:val="18"/>
          <w:b w:val="1"/>
          <w:bCs w:val="1"/>
          <w:color w:val="auto"/>
        </w:rPr>
      </w:pPr>
      <w:r>
        <w:rPr>
          <w:rFonts w:ascii="Arial" w:cs="Arial" w:eastAsia="Arial" w:hAnsi="Arial"/>
          <w:sz w:val="18"/>
          <w:szCs w:val="18"/>
          <w:b w:val="1"/>
          <w:bCs w:val="1"/>
          <w:color w:val="auto"/>
        </w:rPr>
        <w:t>Terminating Events</w:t>
      </w:r>
    </w:p>
    <w:p>
      <w:pPr>
        <w:spacing w:after="0" w:line="96" w:lineRule="exact"/>
        <w:rPr>
          <w:rFonts w:ascii="Arial" w:cs="Arial" w:eastAsia="Arial" w:hAnsi="Arial"/>
          <w:sz w:val="18"/>
          <w:szCs w:val="18"/>
          <w:b w:val="1"/>
          <w:bCs w:val="1"/>
          <w:color w:val="auto"/>
        </w:rPr>
      </w:pPr>
    </w:p>
    <w:p>
      <w:pPr>
        <w:ind w:firstLine="921"/>
        <w:spacing w:after="0" w:line="291" w:lineRule="auto"/>
        <w:tabs>
          <w:tab w:leader="none" w:pos="1152" w:val="left"/>
        </w:tabs>
        <w:numPr>
          <w:ilvl w:val="1"/>
          <w:numId w:val="33"/>
        </w:numPr>
        <w:rPr>
          <w:rFonts w:ascii="Arial" w:cs="Arial" w:eastAsia="Arial" w:hAnsi="Arial"/>
          <w:sz w:val="16"/>
          <w:szCs w:val="16"/>
          <w:color w:val="auto"/>
        </w:rPr>
      </w:pPr>
      <w:r>
        <w:rPr>
          <w:rFonts w:ascii="Arial" w:cs="Arial" w:eastAsia="Arial" w:hAnsi="Arial"/>
          <w:sz w:val="16"/>
          <w:szCs w:val="16"/>
          <w:color w:val="auto"/>
        </w:rPr>
        <w:t xml:space="preserve">The Sponsor shall give Optionees at least thirty (30) days’ notice (or, if not practicable, such shorter notice as may be reasonably practicable) prior to the anticipated date of the consummation of a Terminating Event. Upon receipt of such notice, and for a period of ten (10) days thereafter (or such shorter period as the Board shall reasonably determine and so notify the Optionees), each Optionee shall be permitted to exercise the Option to the extent the Option is then exercisable; </w:t>
      </w:r>
      <w:r>
        <w:rPr>
          <w:rFonts w:ascii="Arial" w:cs="Arial" w:eastAsia="Arial" w:hAnsi="Arial"/>
          <w:sz w:val="16"/>
          <w:szCs w:val="16"/>
          <w:u w:val="single" w:color="auto"/>
          <w:color w:val="auto"/>
        </w:rPr>
        <w:t>provided that</w:t>
      </w:r>
      <w:r>
        <w:rPr>
          <w:rFonts w:ascii="Arial" w:cs="Arial" w:eastAsia="Arial" w:hAnsi="Arial"/>
          <w:sz w:val="16"/>
          <w:szCs w:val="16"/>
          <w:color w:val="auto"/>
        </w:rPr>
        <w:t>, the Sponsor may, by similar notice, require the Optionee to exercise the Option, to the extent the Option is then exercisable, or to forfeit the Option (or portion thereof, as applicable). The Committee may, in its discretion, provide that upon the Optionee’s receipt of the notice of a Terminating Event under this Paragraph 11(a), the entire number of Shares covered by Options shall become immediately exercisable.</w:t>
      </w:r>
    </w:p>
    <w:p>
      <w:pPr>
        <w:spacing w:after="0" w:line="120" w:lineRule="exact"/>
        <w:rPr>
          <w:rFonts w:ascii="Arial" w:cs="Arial" w:eastAsia="Arial" w:hAnsi="Arial"/>
          <w:sz w:val="16"/>
          <w:szCs w:val="16"/>
          <w:color w:val="auto"/>
        </w:rPr>
      </w:pPr>
    </w:p>
    <w:p>
      <w:pPr>
        <w:ind w:firstLine="921"/>
        <w:spacing w:after="0" w:line="268" w:lineRule="auto"/>
        <w:tabs>
          <w:tab w:leader="none" w:pos="1162" w:val="left"/>
        </w:tabs>
        <w:numPr>
          <w:ilvl w:val="1"/>
          <w:numId w:val="33"/>
        </w:numPr>
        <w:rPr>
          <w:rFonts w:ascii="Arial" w:cs="Arial" w:eastAsia="Arial" w:hAnsi="Arial"/>
          <w:sz w:val="18"/>
          <w:szCs w:val="18"/>
          <w:color w:val="auto"/>
        </w:rPr>
      </w:pPr>
      <w:r>
        <w:rPr>
          <w:rFonts w:ascii="Arial" w:cs="Arial" w:eastAsia="Arial" w:hAnsi="Arial"/>
          <w:sz w:val="18"/>
          <w:szCs w:val="18"/>
          <w:color w:val="auto"/>
        </w:rPr>
        <w:t>Notwithstanding Paragraph 11(a), in the event the Terminating Event is not consummated, the Option shall be deemed not to have been exercised and shall be exercisable thereafter to the extent it would have been exercisable if no such notice had been given.</w:t>
      </w:r>
    </w:p>
    <w:p>
      <w:pPr>
        <w:spacing w:after="0" w:line="118"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-12-</w:t>
      </w:r>
    </w:p>
    <w:p>
      <w:pPr>
        <w:sectPr>
          <w:pgSz w:w="11900" w:h="16838" w:orient="portrait"/>
          <w:cols w:equalWidth="0" w:num="1">
            <w:col w:w="11380"/>
          </w:cols>
          <w:pgMar w:left="240" w:top="280" w:right="279" w:bottom="1440" w:gutter="0" w:footer="0" w:header="0"/>
        </w:sectPr>
      </w:pPr>
    </w:p>
    <w:bookmarkStart w:id="48" w:name="page49"/>
    <w:bookmarkEnd w:id="48"/>
    <w:p>
      <w:pPr>
        <w:ind w:left="460"/>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65">
                      <a:extLst>
                        <a:ext uri="{28A0092B-C50C-407E-A947-70E740481C1C}"/>
                      </a:extLst>
                    </a:blip>
                    <a:srcRect/>
                    <a:stretch>
                      <a:fillRect/>
                    </a:stretch>
                  </pic:blipFill>
                  <pic:spPr bwMode="auto">
                    <a:xfrm>
                      <a:off x="0" y="0"/>
                      <a:ext cx="7267575" cy="27940"/>
                    </a:xfrm>
                    <a:prstGeom prst="rect">
                      <a:avLst/>
                    </a:prstGeom>
                    <a:noFill/>
                  </pic:spPr>
                </pic:pic>
              </a:graphicData>
            </a:graphic>
          </wp:anchor>
        </w:drawing>
        <w:t>12. Interpretation</w:t>
      </w:r>
    </w:p>
    <w:p>
      <w:pPr>
        <w:spacing w:after="0" w:line="96" w:lineRule="exact"/>
        <w:rPr>
          <w:sz w:val="20"/>
          <w:szCs w:val="20"/>
          <w:color w:val="auto"/>
        </w:rPr>
      </w:pPr>
    </w:p>
    <w:p>
      <w:pPr>
        <w:jc w:val="both"/>
        <w:ind w:firstLine="456"/>
        <w:spacing w:after="0" w:line="298" w:lineRule="auto"/>
        <w:rPr>
          <w:sz w:val="20"/>
          <w:szCs w:val="20"/>
          <w:color w:val="auto"/>
        </w:rPr>
      </w:pPr>
      <w:r>
        <w:rPr>
          <w:rFonts w:ascii="Arial" w:cs="Arial" w:eastAsia="Arial" w:hAnsi="Arial"/>
          <w:sz w:val="16"/>
          <w:szCs w:val="16"/>
          <w:color w:val="auto"/>
        </w:rPr>
        <w:t>The Committee shall have the power to interpret the Plan and to make and amend rules for putting it into effect and administering it. It is intended that the Incentive Stock Options granted under the Plan shall constitute incentive stock options within the meaning of section 422 of the Code, and that Shares transferred pursuant to the exercise of Non-Qualified Options shall constitute property subject to federal income tax pursuant to the provisions of section 83 of the Code. The provisions of the Plan shall be interpreted and applied insofar as possible to carry out such intent.</w:t>
      </w:r>
    </w:p>
    <w:p>
      <w:pPr>
        <w:spacing w:after="0" w:line="188" w:lineRule="exact"/>
        <w:rPr>
          <w:sz w:val="20"/>
          <w:szCs w:val="20"/>
          <w:color w:val="auto"/>
        </w:rPr>
      </w:pPr>
    </w:p>
    <w:p>
      <w:pPr>
        <w:ind w:left="720" w:hanging="256"/>
        <w:spacing w:after="0"/>
        <w:tabs>
          <w:tab w:leader="none" w:pos="720" w:val="left"/>
        </w:tabs>
        <w:numPr>
          <w:ilvl w:val="0"/>
          <w:numId w:val="34"/>
        </w:numPr>
        <w:rPr>
          <w:rFonts w:ascii="Arial" w:cs="Arial" w:eastAsia="Arial" w:hAnsi="Arial"/>
          <w:sz w:val="18"/>
          <w:szCs w:val="18"/>
          <w:b w:val="1"/>
          <w:bCs w:val="1"/>
          <w:color w:val="auto"/>
        </w:rPr>
      </w:pPr>
      <w:r>
        <w:rPr>
          <w:rFonts w:ascii="Arial" w:cs="Arial" w:eastAsia="Arial" w:hAnsi="Arial"/>
          <w:sz w:val="18"/>
          <w:szCs w:val="18"/>
          <w:b w:val="1"/>
          <w:bCs w:val="1"/>
          <w:color w:val="auto"/>
        </w:rPr>
        <w:t>Amendments</w:t>
      </w:r>
    </w:p>
    <w:p>
      <w:pPr>
        <w:spacing w:after="0" w:line="96" w:lineRule="exact"/>
        <w:rPr>
          <w:rFonts w:ascii="Arial" w:cs="Arial" w:eastAsia="Arial" w:hAnsi="Arial"/>
          <w:sz w:val="18"/>
          <w:szCs w:val="18"/>
          <w:b w:val="1"/>
          <w:bCs w:val="1"/>
          <w:color w:val="auto"/>
        </w:rPr>
      </w:pPr>
    </w:p>
    <w:p>
      <w:pPr>
        <w:ind w:right="20" w:firstLine="921"/>
        <w:spacing w:after="0" w:line="290" w:lineRule="auto"/>
        <w:tabs>
          <w:tab w:leader="none" w:pos="1152" w:val="left"/>
        </w:tabs>
        <w:numPr>
          <w:ilvl w:val="1"/>
          <w:numId w:val="34"/>
        </w:numPr>
        <w:rPr>
          <w:rFonts w:ascii="Arial" w:cs="Arial" w:eastAsia="Arial" w:hAnsi="Arial"/>
          <w:sz w:val="16"/>
          <w:szCs w:val="16"/>
          <w:color w:val="auto"/>
        </w:rPr>
      </w:pPr>
      <w:r>
        <w:rPr>
          <w:rFonts w:ascii="Arial" w:cs="Arial" w:eastAsia="Arial" w:hAnsi="Arial"/>
          <w:sz w:val="16"/>
          <w:szCs w:val="16"/>
          <w:u w:val="single" w:color="auto"/>
          <w:color w:val="auto"/>
        </w:rPr>
        <w:t>In General</w:t>
      </w:r>
      <w:r>
        <w:rPr>
          <w:rFonts w:ascii="Arial" w:cs="Arial" w:eastAsia="Arial" w:hAnsi="Arial"/>
          <w:sz w:val="16"/>
          <w:szCs w:val="16"/>
          <w:color w:val="auto"/>
        </w:rPr>
        <w:t>. The Board or the Committee may amend the Plan from time to time in such manner as it may deem advisable. Nevertheless, neither the Board nor the Committee may, without obtaining approval within twelve months before or after such action by such vote of the Sponsor’s shareholders as may be required by Pennsylvania law for any action requiring shareholder approval, or by a majority of votes cast at a duly held shareholders’ meeting at which a majority of all voting stock is present and voting on such amendment, either in person or in proxy (but not, in any event, less than the vote required pursuant to Rule 16b-3(b) under the 1934 Act) change the class of individuals eligible to receive an Incentive Stock Option, extend the expiration date of the Plan, decrease the minimum option price of an Incentive Stock Option granted under the Plan or increase the maximum number of shares as to which Options may be granted, except as provided in Paragraph 10 hereof.</w:t>
      </w:r>
    </w:p>
    <w:p>
      <w:pPr>
        <w:spacing w:after="0" w:line="118" w:lineRule="exact"/>
        <w:rPr>
          <w:rFonts w:ascii="Arial" w:cs="Arial" w:eastAsia="Arial" w:hAnsi="Arial"/>
          <w:sz w:val="16"/>
          <w:szCs w:val="16"/>
          <w:color w:val="auto"/>
        </w:rPr>
      </w:pPr>
    </w:p>
    <w:p>
      <w:pPr>
        <w:ind w:right="80" w:firstLine="921"/>
        <w:spacing w:after="0" w:line="256" w:lineRule="auto"/>
        <w:tabs>
          <w:tab w:leader="none" w:pos="1161" w:val="left"/>
        </w:tabs>
        <w:numPr>
          <w:ilvl w:val="1"/>
          <w:numId w:val="34"/>
        </w:numPr>
        <w:rPr>
          <w:rFonts w:ascii="Arial" w:cs="Arial" w:eastAsia="Arial" w:hAnsi="Arial"/>
          <w:sz w:val="18"/>
          <w:szCs w:val="18"/>
          <w:color w:val="auto"/>
        </w:rPr>
      </w:pPr>
      <w:r>
        <w:rPr>
          <w:rFonts w:ascii="Arial" w:cs="Arial" w:eastAsia="Arial" w:hAnsi="Arial"/>
          <w:sz w:val="18"/>
          <w:szCs w:val="18"/>
          <w:u w:val="single" w:color="auto"/>
          <w:color w:val="auto"/>
        </w:rPr>
        <w:t>Repricing of Options</w:t>
      </w:r>
      <w:r>
        <w:rPr>
          <w:rFonts w:ascii="Arial" w:cs="Arial" w:eastAsia="Arial" w:hAnsi="Arial"/>
          <w:sz w:val="18"/>
          <w:szCs w:val="18"/>
          <w:color w:val="auto"/>
        </w:rPr>
        <w:t>. Notwithstanding any provision in the Plan to the contrary, neither the Board nor the Committee may, without obtaining prior approval by the Sponsor’s shareholders, reduce the option price of any issued and outstanding Option granted under the Plan at any time during the term of such option (other than by adjustment pursuant to Paragraph 10 relating to Changes in Capitalization). This Paragraph 13(b) may not be repealed, modified or amended without the prior approval of the Sponsor’s shareholders.</w:t>
      </w:r>
    </w:p>
    <w:p>
      <w:pPr>
        <w:spacing w:after="0" w:line="218" w:lineRule="exact"/>
        <w:rPr>
          <w:rFonts w:ascii="Arial" w:cs="Arial" w:eastAsia="Arial" w:hAnsi="Arial"/>
          <w:sz w:val="18"/>
          <w:szCs w:val="18"/>
          <w:color w:val="auto"/>
        </w:rPr>
      </w:pPr>
    </w:p>
    <w:p>
      <w:pPr>
        <w:ind w:left="720" w:hanging="256"/>
        <w:spacing w:after="0"/>
        <w:tabs>
          <w:tab w:leader="none" w:pos="720" w:val="left"/>
        </w:tabs>
        <w:numPr>
          <w:ilvl w:val="0"/>
          <w:numId w:val="34"/>
        </w:numPr>
        <w:rPr>
          <w:rFonts w:ascii="Arial" w:cs="Arial" w:eastAsia="Arial" w:hAnsi="Arial"/>
          <w:sz w:val="18"/>
          <w:szCs w:val="18"/>
          <w:b w:val="1"/>
          <w:bCs w:val="1"/>
          <w:color w:val="auto"/>
        </w:rPr>
      </w:pPr>
      <w:r>
        <w:rPr>
          <w:rFonts w:ascii="Arial" w:cs="Arial" w:eastAsia="Arial" w:hAnsi="Arial"/>
          <w:sz w:val="18"/>
          <w:szCs w:val="18"/>
          <w:b w:val="1"/>
          <w:bCs w:val="1"/>
          <w:color w:val="auto"/>
        </w:rPr>
        <w:t>Securities Law</w:t>
      </w:r>
    </w:p>
    <w:p>
      <w:pPr>
        <w:spacing w:after="0" w:line="96" w:lineRule="exact"/>
        <w:rPr>
          <w:rFonts w:ascii="Arial" w:cs="Arial" w:eastAsia="Arial" w:hAnsi="Arial"/>
          <w:sz w:val="18"/>
          <w:szCs w:val="18"/>
          <w:b w:val="1"/>
          <w:bCs w:val="1"/>
          <w:color w:val="auto"/>
        </w:rPr>
      </w:pPr>
    </w:p>
    <w:p>
      <w:pPr>
        <w:ind w:right="480" w:firstLine="921"/>
        <w:spacing w:after="0" w:line="259" w:lineRule="auto"/>
        <w:tabs>
          <w:tab w:leader="none" w:pos="1152" w:val="left"/>
        </w:tabs>
        <w:numPr>
          <w:ilvl w:val="1"/>
          <w:numId w:val="34"/>
        </w:numPr>
        <w:rPr>
          <w:rFonts w:ascii="Arial" w:cs="Arial" w:eastAsia="Arial" w:hAnsi="Arial"/>
          <w:sz w:val="18"/>
          <w:szCs w:val="18"/>
          <w:color w:val="auto"/>
        </w:rPr>
      </w:pPr>
      <w:r>
        <w:rPr>
          <w:rFonts w:ascii="Arial" w:cs="Arial" w:eastAsia="Arial" w:hAnsi="Arial"/>
          <w:sz w:val="18"/>
          <w:szCs w:val="18"/>
          <w:u w:val="single" w:color="auto"/>
          <w:color w:val="auto"/>
        </w:rPr>
        <w:t>In General</w:t>
      </w:r>
      <w:r>
        <w:rPr>
          <w:rFonts w:ascii="Arial" w:cs="Arial" w:eastAsia="Arial" w:hAnsi="Arial"/>
          <w:sz w:val="18"/>
          <w:szCs w:val="18"/>
          <w:color w:val="auto"/>
        </w:rPr>
        <w:t>. The Committee shall have the power to make each grant under the Plan subject to such conditions as it deems necessary or appropriate to comply with the then-existing requirements of the 1933 Act or the 1934 Act, including Rule 16b-3 (or any similar rule) of the Securities and Exchange Commission.</w:t>
      </w:r>
    </w:p>
    <w:p>
      <w:pPr>
        <w:spacing w:after="0" w:line="140" w:lineRule="exact"/>
        <w:rPr>
          <w:rFonts w:ascii="Arial" w:cs="Arial" w:eastAsia="Arial" w:hAnsi="Arial"/>
          <w:sz w:val="18"/>
          <w:szCs w:val="18"/>
          <w:color w:val="auto"/>
        </w:rPr>
      </w:pPr>
    </w:p>
    <w:p>
      <w:pPr>
        <w:jc w:val="both"/>
        <w:ind w:right="180" w:firstLine="921"/>
        <w:spacing w:after="0" w:line="259" w:lineRule="auto"/>
        <w:tabs>
          <w:tab w:leader="none" w:pos="1161" w:val="left"/>
        </w:tabs>
        <w:numPr>
          <w:ilvl w:val="1"/>
          <w:numId w:val="34"/>
        </w:numPr>
        <w:rPr>
          <w:rFonts w:ascii="Arial" w:cs="Arial" w:eastAsia="Arial" w:hAnsi="Arial"/>
          <w:sz w:val="18"/>
          <w:szCs w:val="18"/>
          <w:color w:val="auto"/>
        </w:rPr>
      </w:pPr>
      <w:r>
        <w:rPr>
          <w:rFonts w:ascii="Arial" w:cs="Arial" w:eastAsia="Arial" w:hAnsi="Arial"/>
          <w:sz w:val="18"/>
          <w:szCs w:val="18"/>
          <w:u w:val="single" w:color="auto"/>
          <w:color w:val="auto"/>
        </w:rPr>
        <w:t>Acknowledgment of Securities Law Restrictions on Exercise</w:t>
      </w:r>
      <w:r>
        <w:rPr>
          <w:rFonts w:ascii="Arial" w:cs="Arial" w:eastAsia="Arial" w:hAnsi="Arial"/>
          <w:sz w:val="18"/>
          <w:szCs w:val="18"/>
          <w:color w:val="auto"/>
        </w:rPr>
        <w:t>. To the extent required by the Committee, unless the Shares subject to the Option are covered by a then current registration statement or a Notification under Regulation A under the 1933 Act, each notice of exercise of an Option shall contain the Optionee’s acknowledgment in form and substance satisfactory to the Committee that:</w:t>
      </w:r>
    </w:p>
    <w:p>
      <w:pPr>
        <w:spacing w:after="0" w:line="59" w:lineRule="exact"/>
        <w:rPr>
          <w:rFonts w:ascii="Arial" w:cs="Arial" w:eastAsia="Arial" w:hAnsi="Arial"/>
          <w:sz w:val="18"/>
          <w:szCs w:val="18"/>
          <w:color w:val="auto"/>
        </w:rPr>
      </w:pPr>
    </w:p>
    <w:p>
      <w:pPr>
        <w:ind w:right="180" w:firstLine="1492"/>
        <w:spacing w:after="0" w:line="332" w:lineRule="auto"/>
        <w:tabs>
          <w:tab w:leader="none" w:pos="1693" w:val="left"/>
        </w:tabs>
        <w:numPr>
          <w:ilvl w:val="2"/>
          <w:numId w:val="34"/>
        </w:numPr>
        <w:rPr>
          <w:rFonts w:ascii="Arial" w:cs="Arial" w:eastAsia="Arial" w:hAnsi="Arial"/>
          <w:sz w:val="16"/>
          <w:szCs w:val="16"/>
          <w:color w:val="auto"/>
        </w:rPr>
      </w:pPr>
      <w:r>
        <w:rPr>
          <w:rFonts w:ascii="Arial" w:cs="Arial" w:eastAsia="Arial" w:hAnsi="Arial"/>
          <w:sz w:val="16"/>
          <w:szCs w:val="16"/>
          <w:color w:val="auto"/>
        </w:rPr>
        <w:t>the Shares subject to the Option are being purchased for investment and not for distribution or resale (other than a distribution or resale which, in the opinion of counsel satisfactory to the Sponsor, may be made without violating the registration provisions of the Act);</w:t>
      </w:r>
    </w:p>
    <w:p>
      <w:pPr>
        <w:spacing w:after="0" w:line="72"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-13-</w:t>
      </w:r>
    </w:p>
    <w:p>
      <w:pPr>
        <w:sectPr>
          <w:pgSz w:w="11900" w:h="16838" w:orient="portrait"/>
          <w:cols w:equalWidth="0" w:num="1">
            <w:col w:w="11380"/>
          </w:cols>
          <w:pgMar w:left="240" w:top="274" w:right="279" w:bottom="1440" w:gutter="0" w:footer="0" w:header="0"/>
        </w:sectPr>
      </w:pPr>
    </w:p>
    <w:bookmarkStart w:id="49" w:name="page50"/>
    <w:bookmarkEnd w:id="49"/>
    <w:p>
      <w:pPr>
        <w:jc w:val="both"/>
        <w:ind w:left="-40" w:firstLine="1492"/>
        <w:spacing w:after="0" w:line="256" w:lineRule="auto"/>
        <w:tabs>
          <w:tab w:leader="none" w:pos="1702" w:val="left"/>
        </w:tabs>
        <w:numPr>
          <w:ilvl w:val="2"/>
          <w:numId w:val="35"/>
        </w:numPr>
        <w:rPr>
          <w:rFonts w:ascii="Arial" w:cs="Arial" w:eastAsia="Arial" w:hAnsi="Arial"/>
          <w:sz w:val="18"/>
          <w:szCs w:val="18"/>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59"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pic:cNvPicPr>
                      <a:picLocks noChangeAspect="1" noChangeArrowheads="1"/>
                    </pic:cNvPicPr>
                  </pic:nvPicPr>
                  <pic:blipFill>
                    <a:blip r:embed="rId66">
                      <a:extLst>
                        <a:ext uri="{28A0092B-C50C-407E-A947-70E740481C1C}"/>
                      </a:extLst>
                    </a:blip>
                    <a:srcRect/>
                    <a:stretch>
                      <a:fillRect/>
                    </a:stretch>
                  </pic:blipFill>
                  <pic:spPr bwMode="auto">
                    <a:xfrm>
                      <a:off x="0" y="0"/>
                      <a:ext cx="7267575" cy="27940"/>
                    </a:xfrm>
                    <a:prstGeom prst="rect">
                      <a:avLst/>
                    </a:prstGeom>
                    <a:noFill/>
                  </pic:spPr>
                </pic:pic>
              </a:graphicData>
            </a:graphic>
          </wp:anchor>
        </w:drawing>
        <w:t>the Optionee has been advised and understands that (A) the Shares subject to the Option have not been registered under the 1933 Act and are “restricted securities” within the meaning of Rule 144 under the 1933 Act and are subject to restrictions on transfer and (B) the Sponsor is under no obligation to register the Shares subject to the Option under the 1933 Act or to take any action which would make available to the Optionee any exemption from such registration;</w:t>
      </w:r>
    </w:p>
    <w:p>
      <w:pPr>
        <w:spacing w:after="0" w:line="143" w:lineRule="exact"/>
        <w:rPr>
          <w:rFonts w:ascii="Arial" w:cs="Arial" w:eastAsia="Arial" w:hAnsi="Arial"/>
          <w:sz w:val="18"/>
          <w:szCs w:val="18"/>
          <w:color w:val="auto"/>
        </w:rPr>
      </w:pPr>
    </w:p>
    <w:p>
      <w:pPr>
        <w:ind w:left="1760" w:hanging="308"/>
        <w:spacing w:after="0"/>
        <w:tabs>
          <w:tab w:leader="none" w:pos="1760" w:val="left"/>
        </w:tabs>
        <w:numPr>
          <w:ilvl w:val="2"/>
          <w:numId w:val="35"/>
        </w:numPr>
        <w:rPr>
          <w:rFonts w:ascii="Arial" w:cs="Arial" w:eastAsia="Arial" w:hAnsi="Arial"/>
          <w:sz w:val="18"/>
          <w:szCs w:val="18"/>
          <w:color w:val="auto"/>
        </w:rPr>
      </w:pPr>
      <w:r>
        <w:rPr>
          <w:rFonts w:ascii="Arial" w:cs="Arial" w:eastAsia="Arial" w:hAnsi="Arial"/>
          <w:sz w:val="18"/>
          <w:szCs w:val="18"/>
          <w:color w:val="auto"/>
        </w:rPr>
        <w:t>the certificate evidencing the Shares may bear a restrictive legend; and</w:t>
      </w:r>
    </w:p>
    <w:p>
      <w:pPr>
        <w:spacing w:after="0" w:line="171" w:lineRule="exact"/>
        <w:rPr>
          <w:rFonts w:ascii="Arial" w:cs="Arial" w:eastAsia="Arial" w:hAnsi="Arial"/>
          <w:sz w:val="18"/>
          <w:szCs w:val="18"/>
          <w:color w:val="auto"/>
        </w:rPr>
      </w:pPr>
    </w:p>
    <w:p>
      <w:pPr>
        <w:ind w:left="1740" w:hanging="288"/>
        <w:spacing w:after="0"/>
        <w:tabs>
          <w:tab w:leader="none" w:pos="1740" w:val="left"/>
        </w:tabs>
        <w:numPr>
          <w:ilvl w:val="2"/>
          <w:numId w:val="35"/>
        </w:numPr>
        <w:rPr>
          <w:rFonts w:ascii="Arial" w:cs="Arial" w:eastAsia="Arial" w:hAnsi="Arial"/>
          <w:sz w:val="16"/>
          <w:szCs w:val="16"/>
          <w:color w:val="auto"/>
        </w:rPr>
      </w:pPr>
      <w:r>
        <w:rPr>
          <w:rFonts w:ascii="Arial" w:cs="Arial" w:eastAsia="Arial" w:hAnsi="Arial"/>
          <w:sz w:val="16"/>
          <w:szCs w:val="16"/>
          <w:color w:val="auto"/>
        </w:rPr>
        <w:t>the Shares subject to the Option may not be transferred without compliance with all applicable federal and state securities laws.</w:t>
      </w:r>
    </w:p>
    <w:p>
      <w:pPr>
        <w:spacing w:after="0" w:line="194" w:lineRule="exact"/>
        <w:rPr>
          <w:rFonts w:ascii="Arial" w:cs="Arial" w:eastAsia="Arial" w:hAnsi="Arial"/>
          <w:sz w:val="16"/>
          <w:szCs w:val="16"/>
          <w:color w:val="auto"/>
        </w:rPr>
      </w:pPr>
    </w:p>
    <w:p>
      <w:pPr>
        <w:ind w:left="-40" w:right="60" w:firstLine="921"/>
        <w:spacing w:after="0" w:line="255" w:lineRule="auto"/>
        <w:tabs>
          <w:tab w:leader="none" w:pos="1112" w:val="left"/>
        </w:tabs>
        <w:numPr>
          <w:ilvl w:val="1"/>
          <w:numId w:val="36"/>
        </w:numPr>
        <w:rPr>
          <w:rFonts w:ascii="Arial" w:cs="Arial" w:eastAsia="Arial" w:hAnsi="Arial"/>
          <w:sz w:val="18"/>
          <w:szCs w:val="18"/>
          <w:color w:val="auto"/>
        </w:rPr>
      </w:pPr>
      <w:r>
        <w:rPr>
          <w:rFonts w:ascii="Arial" w:cs="Arial" w:eastAsia="Arial" w:hAnsi="Arial"/>
          <w:sz w:val="18"/>
          <w:szCs w:val="18"/>
          <w:u w:val="single" w:color="auto"/>
          <w:color w:val="auto"/>
        </w:rPr>
        <w:t>Delay of Exercise Pending Registration of Securities</w:t>
      </w:r>
      <w:r>
        <w:rPr>
          <w:rFonts w:ascii="Arial" w:cs="Arial" w:eastAsia="Arial" w:hAnsi="Arial"/>
          <w:sz w:val="18"/>
          <w:szCs w:val="18"/>
          <w:color w:val="auto"/>
        </w:rPr>
        <w:t>. Notwithstanding any provision in the Plan or an option document to the contrary, if the Committee determines, in its sole discretion, that issuance of Shares pursuant to the exercise of an Option should be delayed pending registration or qualification under federal or state securities laws or the receipt of a legal opinion that an appropriate exemption from the application of federal or state securities laws is available, the Committee may defer exercise of any Option until such Shares are appropriately registered or qualified or an appropriate legal opinion has been received, as applicable.</w:t>
      </w:r>
    </w:p>
    <w:p>
      <w:pPr>
        <w:spacing w:after="0" w:line="217" w:lineRule="exact"/>
        <w:rPr>
          <w:rFonts w:ascii="Arial" w:cs="Arial" w:eastAsia="Arial" w:hAnsi="Arial"/>
          <w:sz w:val="18"/>
          <w:szCs w:val="18"/>
          <w:color w:val="auto"/>
        </w:rPr>
      </w:pPr>
    </w:p>
    <w:p>
      <w:pPr>
        <w:ind w:left="680" w:hanging="256"/>
        <w:spacing w:after="0"/>
        <w:tabs>
          <w:tab w:leader="none" w:pos="680" w:val="left"/>
        </w:tabs>
        <w:numPr>
          <w:ilvl w:val="0"/>
          <w:numId w:val="37"/>
        </w:numPr>
        <w:rPr>
          <w:rFonts w:ascii="Arial" w:cs="Arial" w:eastAsia="Arial" w:hAnsi="Arial"/>
          <w:sz w:val="18"/>
          <w:szCs w:val="18"/>
          <w:b w:val="1"/>
          <w:bCs w:val="1"/>
          <w:color w:val="auto"/>
        </w:rPr>
      </w:pPr>
      <w:r>
        <w:rPr>
          <w:rFonts w:ascii="Arial" w:cs="Arial" w:eastAsia="Arial" w:hAnsi="Arial"/>
          <w:sz w:val="18"/>
          <w:szCs w:val="18"/>
          <w:b w:val="1"/>
          <w:bCs w:val="1"/>
          <w:color w:val="auto"/>
        </w:rPr>
        <w:t>Withholding of Taxes on Exercise of Option</w:t>
      </w:r>
    </w:p>
    <w:p>
      <w:pPr>
        <w:spacing w:after="0" w:line="96" w:lineRule="exact"/>
        <w:rPr>
          <w:rFonts w:ascii="Arial" w:cs="Arial" w:eastAsia="Arial" w:hAnsi="Arial"/>
          <w:sz w:val="18"/>
          <w:szCs w:val="18"/>
          <w:b w:val="1"/>
          <w:bCs w:val="1"/>
          <w:color w:val="auto"/>
        </w:rPr>
      </w:pPr>
    </w:p>
    <w:p>
      <w:pPr>
        <w:ind w:left="-40" w:right="40" w:firstLine="921"/>
        <w:spacing w:after="0" w:line="290" w:lineRule="auto"/>
        <w:tabs>
          <w:tab w:leader="none" w:pos="1112" w:val="left"/>
        </w:tabs>
        <w:numPr>
          <w:ilvl w:val="1"/>
          <w:numId w:val="37"/>
        </w:numPr>
        <w:rPr>
          <w:rFonts w:ascii="Arial" w:cs="Arial" w:eastAsia="Arial" w:hAnsi="Arial"/>
          <w:sz w:val="16"/>
          <w:szCs w:val="16"/>
          <w:color w:val="auto"/>
        </w:rPr>
      </w:pPr>
      <w:r>
        <w:rPr>
          <w:rFonts w:ascii="Arial" w:cs="Arial" w:eastAsia="Arial" w:hAnsi="Arial"/>
          <w:sz w:val="16"/>
          <w:szCs w:val="16"/>
          <w:color w:val="auto"/>
        </w:rPr>
        <w:t>Whenever the Company proposes or is required to deliver or transfer Shares in connection with the exercise of an Option, the Company shall have the right to (i) require the recipient to remit to the Sponsor an amount sufficient to satisfy any federal, state and local withholding tax requirements prior to the delivery or transfer of any certificate or certificates for such Shares or (ii) take any action whatever that it deems necessary to protect its interests with respect to tax liabilities. The Sponsor’s obligation to make any delivery or transfer of Shares on the exercise of an Option shall be conditioned on the recipient’s compliance, to the Sponsor’s satisfaction, with any withholding requirement. In addition, if the Committee grants Options or amends option documents to permit Options to be transferred during the life of the Optionee, the Committee may include in such option documents such provisions as it determines are necessary or appropriate to permit the Company to deduct compensation expenses recognized upon exercise of such Options for federal or state income tax purposes.</w:t>
      </w:r>
    </w:p>
    <w:p>
      <w:pPr>
        <w:spacing w:after="0" w:line="118" w:lineRule="exact"/>
        <w:rPr>
          <w:rFonts w:ascii="Arial" w:cs="Arial" w:eastAsia="Arial" w:hAnsi="Arial"/>
          <w:sz w:val="16"/>
          <w:szCs w:val="16"/>
          <w:color w:val="auto"/>
        </w:rPr>
      </w:pPr>
    </w:p>
    <w:p>
      <w:pPr>
        <w:ind w:left="-40" w:firstLine="921"/>
        <w:spacing w:after="0" w:line="298" w:lineRule="auto"/>
        <w:tabs>
          <w:tab w:leader="none" w:pos="1122" w:val="left"/>
        </w:tabs>
        <w:numPr>
          <w:ilvl w:val="1"/>
          <w:numId w:val="37"/>
        </w:numPr>
        <w:rPr>
          <w:rFonts w:ascii="Arial" w:cs="Arial" w:eastAsia="Arial" w:hAnsi="Arial"/>
          <w:sz w:val="16"/>
          <w:szCs w:val="16"/>
          <w:color w:val="auto"/>
        </w:rPr>
      </w:pPr>
      <w:r>
        <w:rPr>
          <w:rFonts w:ascii="Arial" w:cs="Arial" w:eastAsia="Arial" w:hAnsi="Arial"/>
          <w:sz w:val="16"/>
          <w:szCs w:val="16"/>
          <w:color w:val="auto"/>
        </w:rPr>
        <w:t>Except as otherwise provided in this Paragraph 15(b), any tax liabilities incurred in connection with the exercise of an Option under the Plan other than an Incentive Stock Option shall be satisfied by the Sponsor’s withholding a portion of the Shares underlying the Option exercised having a Fair Market Value approximately equal to the minimum amount of taxes required to be withheld by the Sponsor under applicable law, unless otherwise determined by the Committee with respect to any Optionee. Notwithstanding the foregoing, the Committee may permit an Optionee to elect one or both of the following: (i) to</w:t>
      </w:r>
    </w:p>
    <w:p>
      <w:pPr>
        <w:spacing w:after="0" w:line="9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-14-</w:t>
      </w:r>
    </w:p>
    <w:p>
      <w:pPr>
        <w:sectPr>
          <w:pgSz w:w="11900" w:h="16838" w:orient="portrait"/>
          <w:cols w:equalWidth="0" w:num="1">
            <w:col w:w="11340"/>
          </w:cols>
          <w:pgMar w:left="280" w:top="280" w:right="279" w:bottom="1440" w:gutter="0" w:footer="0" w:header="0"/>
        </w:sectPr>
      </w:pPr>
    </w:p>
    <w:bookmarkStart w:id="50" w:name="page51"/>
    <w:bookmarkEnd w:id="50"/>
    <w:p>
      <w:pPr>
        <w:spacing w:after="0" w:line="288" w:lineRule="auto"/>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60" name="Picture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
                    <pic:cNvPicPr>
                      <a:picLocks noChangeAspect="1" noChangeArrowheads="1"/>
                    </pic:cNvPicPr>
                  </pic:nvPicPr>
                  <pic:blipFill>
                    <a:blip r:embed="rId67">
                      <a:extLst>
                        <a:ext uri="{28A0092B-C50C-407E-A947-70E740481C1C}"/>
                      </a:extLst>
                    </a:blip>
                    <a:srcRect/>
                    <a:stretch>
                      <a:fillRect/>
                    </a:stretch>
                  </pic:blipFill>
                  <pic:spPr bwMode="auto">
                    <a:xfrm>
                      <a:off x="0" y="0"/>
                      <a:ext cx="7267575" cy="27940"/>
                    </a:xfrm>
                    <a:prstGeom prst="rect">
                      <a:avLst/>
                    </a:prstGeom>
                    <a:noFill/>
                  </pic:spPr>
                </pic:pic>
              </a:graphicData>
            </a:graphic>
          </wp:anchor>
        </w:drawing>
        <w:t>have taxes withheld in excess of the minimum amount required to be withheld by the Sponsor under applicable law; provided that the Optionee certifies in writing to the Sponsor that the Optionee owns a number of Other Available Shares having a Fair Market Value that is at least equal to the Fair Market Value of Option Shares to be withheld by the Company for the then-current exercise on account of withheld taxes in excess of such minimum amount, and (ii) to pay to the Sponsor in cash all or a portion of the taxes to be withheld upon the exercise of an Option. In all cases, the Shares so withheld by the Company shall have a Fair Market Value that does not exceed the amount of taxes to be withheld minus the cash payment, if any, made by the Optionee. Any election pursuant to this Paragraph 15(b) must be in writing made prior to the date specified by the Committee, and in any event prior to the date the amount of tax to be withheld or paid is determined. An election pursuant to this Paragraph 15(b) may be made only by an Optionee or, in the event of the Optionee’s death, by the Optionee’s legal representative. No Shares withheld pursuant to this Paragraph 15(b) shall be available for subsequent grants under the Plan. The Committee may add such other requirements and limitations regarding elections pursuant to this Paragraph 15(b) as it deems appropriate.</w:t>
      </w:r>
    </w:p>
    <w:p>
      <w:pPr>
        <w:spacing w:after="0" w:line="120" w:lineRule="exact"/>
        <w:rPr>
          <w:sz w:val="20"/>
          <w:szCs w:val="20"/>
          <w:color w:val="auto"/>
        </w:rPr>
      </w:pPr>
    </w:p>
    <w:p>
      <w:pPr>
        <w:ind w:firstLine="921"/>
        <w:spacing w:after="0" w:line="289" w:lineRule="auto"/>
        <w:tabs>
          <w:tab w:leader="none" w:pos="1152" w:val="left"/>
        </w:tabs>
        <w:numPr>
          <w:ilvl w:val="1"/>
          <w:numId w:val="38"/>
        </w:numPr>
        <w:rPr>
          <w:rFonts w:ascii="Arial" w:cs="Arial" w:eastAsia="Arial" w:hAnsi="Arial"/>
          <w:sz w:val="16"/>
          <w:szCs w:val="16"/>
          <w:color w:val="auto"/>
        </w:rPr>
      </w:pPr>
      <w:r>
        <w:rPr>
          <w:rFonts w:ascii="Arial" w:cs="Arial" w:eastAsia="Arial" w:hAnsi="Arial"/>
          <w:sz w:val="16"/>
          <w:szCs w:val="16"/>
          <w:color w:val="auto"/>
        </w:rPr>
        <w:t>Except as otherwise provided in this Paragraph 15(c), any tax liabilities incurred in connection with the exercise of an Incentive Stock Option under the Plan shall be satisfied by the Optionee’s payment to the Sponsor in cash all of the taxes to be withheld upon exercise of the Incentive Stock Option. Notwithstanding the foregoing, the Committee may permit an Optionee to elect to have the Sponsor withhold a portion of the Shares underlying the Incentive Stock Option exercised having a Fair Market Value approximately equal to the minimum amount of taxes required to be withheld by the Sponsor under applicable law. Any election pursuant to this Paragraph 15(c) must be in writing made prior to the date specified by the Committee, and in any event prior to the date the amount of tax to be withheld or paid is determined. An election pursuant to this Paragraph 15(c) may be made only by an Optionee or, in the event of the Optionee’s death, by the Optionee’s legal representative. No Shares withheld pursuant to this Paragraph 15(c) shall be available for subsequent grants under the Plan. The Committee may add such other requirements and limitations regarding elections pursuant to this Paragraph 15(c) as it deems appropriate.</w:t>
      </w:r>
    </w:p>
    <w:p>
      <w:pPr>
        <w:spacing w:after="0" w:line="193" w:lineRule="exact"/>
        <w:rPr>
          <w:rFonts w:ascii="Arial" w:cs="Arial" w:eastAsia="Arial" w:hAnsi="Arial"/>
          <w:sz w:val="16"/>
          <w:szCs w:val="16"/>
          <w:color w:val="auto"/>
        </w:rPr>
      </w:pPr>
    </w:p>
    <w:p>
      <w:pPr>
        <w:ind w:left="720" w:hanging="256"/>
        <w:spacing w:after="0"/>
        <w:tabs>
          <w:tab w:leader="none" w:pos="720" w:val="left"/>
        </w:tabs>
        <w:numPr>
          <w:ilvl w:val="0"/>
          <w:numId w:val="39"/>
        </w:numPr>
        <w:rPr>
          <w:rFonts w:ascii="Arial" w:cs="Arial" w:eastAsia="Arial" w:hAnsi="Arial"/>
          <w:sz w:val="18"/>
          <w:szCs w:val="18"/>
          <w:b w:val="1"/>
          <w:bCs w:val="1"/>
          <w:color w:val="auto"/>
        </w:rPr>
      </w:pPr>
      <w:r>
        <w:rPr>
          <w:rFonts w:ascii="Arial" w:cs="Arial" w:eastAsia="Arial" w:hAnsi="Arial"/>
          <w:sz w:val="18"/>
          <w:szCs w:val="18"/>
          <w:b w:val="1"/>
          <w:bCs w:val="1"/>
          <w:color w:val="auto"/>
        </w:rPr>
        <w:t>Effective Date and Term of Plan</w:t>
      </w:r>
    </w:p>
    <w:p>
      <w:pPr>
        <w:spacing w:after="0" w:line="96" w:lineRule="exact"/>
        <w:rPr>
          <w:sz w:val="20"/>
          <w:szCs w:val="20"/>
          <w:color w:val="auto"/>
        </w:rPr>
      </w:pPr>
    </w:p>
    <w:p>
      <w:pPr>
        <w:ind w:right="40" w:firstLine="456"/>
        <w:spacing w:after="0" w:line="268" w:lineRule="auto"/>
        <w:rPr>
          <w:sz w:val="20"/>
          <w:szCs w:val="20"/>
          <w:color w:val="auto"/>
        </w:rPr>
      </w:pPr>
      <w:r>
        <w:rPr>
          <w:rFonts w:ascii="Arial" w:cs="Arial" w:eastAsia="Arial" w:hAnsi="Arial"/>
          <w:sz w:val="18"/>
          <w:szCs w:val="18"/>
          <w:color w:val="auto"/>
        </w:rPr>
        <w:t>This amendment and restatement of the Plan shall be effective December 5, 2006. The Plan shall expire on February 25, 2013, unless sooner terminated by the Board.</w:t>
      </w:r>
    </w:p>
    <w:p>
      <w:pPr>
        <w:spacing w:after="0" w:line="11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-15-</w:t>
      </w:r>
    </w:p>
    <w:p>
      <w:pPr>
        <w:sectPr>
          <w:pgSz w:w="11900" w:h="16838" w:orient="portrait"/>
          <w:cols w:equalWidth="0" w:num="1">
            <w:col w:w="11400"/>
          </w:cols>
          <w:pgMar w:left="240" w:top="280" w:right="259" w:bottom="1440" w:gutter="0" w:footer="0" w:header="0"/>
        </w:sectPr>
      </w:pPr>
    </w:p>
    <w:bookmarkStart w:id="51" w:name="page52"/>
    <w:bookmarkEnd w:id="51"/>
    <w:p>
      <w:pPr>
        <w:ind w:left="460"/>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61" name="Picture 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
                    <pic:cNvPicPr>
                      <a:picLocks noChangeAspect="1" noChangeArrowheads="1"/>
                    </pic:cNvPicPr>
                  </pic:nvPicPr>
                  <pic:blipFill>
                    <a:blip r:embed="rId68">
                      <a:extLst>
                        <a:ext uri="{28A0092B-C50C-407E-A947-70E740481C1C}"/>
                      </a:extLst>
                    </a:blip>
                    <a:srcRect/>
                    <a:stretch>
                      <a:fillRect/>
                    </a:stretch>
                  </pic:blipFill>
                  <pic:spPr bwMode="auto">
                    <a:xfrm>
                      <a:off x="0" y="0"/>
                      <a:ext cx="7267575" cy="27940"/>
                    </a:xfrm>
                    <a:prstGeom prst="rect">
                      <a:avLst/>
                    </a:prstGeom>
                    <a:noFill/>
                  </pic:spPr>
                </pic:pic>
              </a:graphicData>
            </a:graphic>
          </wp:anchor>
        </w:drawing>
        <w:t>17. General</w:t>
      </w:r>
    </w:p>
    <w:p>
      <w:pPr>
        <w:spacing w:after="0" w:line="96" w:lineRule="exact"/>
        <w:rPr>
          <w:sz w:val="20"/>
          <w:szCs w:val="20"/>
          <w:color w:val="auto"/>
        </w:rPr>
      </w:pPr>
    </w:p>
    <w:p>
      <w:pPr>
        <w:ind w:firstLine="456"/>
        <w:spacing w:after="0" w:line="298" w:lineRule="auto"/>
        <w:rPr>
          <w:sz w:val="20"/>
          <w:szCs w:val="20"/>
          <w:color w:val="auto"/>
        </w:rPr>
      </w:pPr>
      <w:r>
        <w:rPr>
          <w:rFonts w:ascii="Arial" w:cs="Arial" w:eastAsia="Arial" w:hAnsi="Arial"/>
          <w:sz w:val="16"/>
          <w:szCs w:val="16"/>
          <w:color w:val="auto"/>
        </w:rPr>
        <w:t>Each Option shall be evidenced by a written instrument containing such terms and conditions not inconsistent with the Plan as the Committee may determine. The issuance of Shares on the exercise of an Option shall be subject to all of the applicable requirements of the corporation law of the Sponsor’s state of incorporation and other applicable laws, including federal or state securities laws, and all Shares issued under the Plan shall be subject to the terms and restrictions contained in the Articles of Incorporation and By-Laws of the Sponsor, as amended from time to time.</w:t>
      </w:r>
    </w:p>
    <w:p>
      <w:pPr>
        <w:spacing w:after="0" w:line="140" w:lineRule="exact"/>
        <w:rPr>
          <w:sz w:val="20"/>
          <w:szCs w:val="20"/>
          <w:color w:val="auto"/>
        </w:rPr>
      </w:pPr>
    </w:p>
    <w:p>
      <w:pPr>
        <w:jc w:val="center"/>
        <w:ind w:right="-139"/>
        <w:spacing w:after="0"/>
        <w:rPr>
          <w:sz w:val="20"/>
          <w:szCs w:val="20"/>
          <w:color w:val="auto"/>
        </w:rPr>
      </w:pPr>
      <w:r>
        <w:rPr>
          <w:rFonts w:ascii="Arial" w:cs="Arial" w:eastAsia="Arial" w:hAnsi="Arial"/>
          <w:sz w:val="18"/>
          <w:szCs w:val="18"/>
          <w:color w:val="auto"/>
        </w:rPr>
        <w:t>Executed as of the 5</w:t>
      </w:r>
      <w:r>
        <w:rPr>
          <w:rFonts w:ascii="Arial" w:cs="Arial" w:eastAsia="Arial" w:hAnsi="Arial"/>
          <w:sz w:val="22"/>
          <w:szCs w:val="22"/>
          <w:color w:val="auto"/>
          <w:vertAlign w:val="superscript"/>
        </w:rPr>
        <w:t>th</w:t>
      </w:r>
      <w:r>
        <w:rPr>
          <w:rFonts w:ascii="Arial" w:cs="Arial" w:eastAsia="Arial" w:hAnsi="Arial"/>
          <w:sz w:val="18"/>
          <w:szCs w:val="18"/>
          <w:color w:val="auto"/>
        </w:rPr>
        <w:t xml:space="preserve"> day of December, 2006.</w:t>
      </w:r>
    </w:p>
    <w:p>
      <w:pPr>
        <w:spacing w:after="0" w:line="187" w:lineRule="exact"/>
        <w:rPr>
          <w:sz w:val="20"/>
          <w:szCs w:val="20"/>
          <w:color w:val="auto"/>
        </w:rPr>
      </w:pPr>
    </w:p>
    <w:p>
      <w:pPr>
        <w:ind w:left="6860"/>
        <w:spacing w:after="0"/>
        <w:rPr>
          <w:sz w:val="20"/>
          <w:szCs w:val="20"/>
          <w:color w:val="auto"/>
        </w:rPr>
      </w:pPr>
      <w:r>
        <w:rPr>
          <w:rFonts w:ascii="Arial" w:cs="Arial" w:eastAsia="Arial" w:hAnsi="Arial"/>
          <w:sz w:val="18"/>
          <w:szCs w:val="18"/>
          <w:b w:val="1"/>
          <w:bCs w:val="1"/>
          <w:color w:val="auto"/>
        </w:rPr>
        <w:t>COMCAST CORPORATION</w:t>
      </w:r>
    </w:p>
    <w:p>
      <w:pPr>
        <w:spacing w:after="0" w:line="225" w:lineRule="exact"/>
        <w:rPr>
          <w:sz w:val="20"/>
          <w:szCs w:val="20"/>
          <w:color w:val="auto"/>
        </w:rPr>
      </w:pPr>
    </w:p>
    <w:p>
      <w:pPr>
        <w:ind w:left="6860"/>
        <w:spacing w:after="0"/>
        <w:tabs>
          <w:tab w:leader="none" w:pos="7480" w:val="left"/>
        </w:tabs>
        <w:rPr>
          <w:sz w:val="20"/>
          <w:szCs w:val="20"/>
          <w:color w:val="auto"/>
        </w:rPr>
      </w:pPr>
      <w:r>
        <w:rPr>
          <w:rFonts w:ascii="Arial" w:cs="Arial" w:eastAsia="Arial" w:hAnsi="Arial"/>
          <w:sz w:val="18"/>
          <w:szCs w:val="18"/>
          <w:b w:val="1"/>
          <w:bCs w:val="1"/>
          <w:color w:val="auto"/>
        </w:rPr>
        <w:t>By:</w:t>
      </w:r>
      <w:r>
        <w:rPr>
          <w:sz w:val="20"/>
          <w:szCs w:val="20"/>
          <w:color w:val="auto"/>
        </w:rPr>
        <w:tab/>
      </w:r>
      <w:r>
        <w:rPr>
          <w:rFonts w:ascii="Arial" w:cs="Arial" w:eastAsia="Arial" w:hAnsi="Arial"/>
          <w:sz w:val="18"/>
          <w:szCs w:val="18"/>
          <w:color w:val="auto"/>
        </w:rPr>
        <w:t>/s/ David L. Cohen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4764405</wp:posOffset>
            </wp:positionH>
            <wp:positionV relativeFrom="paragraph">
              <wp:posOffset>14605</wp:posOffset>
            </wp:positionV>
            <wp:extent cx="2487295" cy="8890"/>
            <wp:wrapNone/>
            <wp:docPr id="62" name="Picture 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
                    <pic:cNvPicPr>
                      <a:picLocks noChangeAspect="1" noChangeArrowheads="1"/>
                    </pic:cNvPicPr>
                  </pic:nvPicPr>
                  <pic:blipFill>
                    <a:blip r:embed="rId69">
                      <a:extLst>
                        <a:ext uri="{28A0092B-C50C-407E-A947-70E740481C1C}"/>
                      </a:extLst>
                    </a:blip>
                    <a:srcRect/>
                    <a:stretch>
                      <a:fillRect/>
                    </a:stretch>
                  </pic:blipFill>
                  <pic:spPr bwMode="auto">
                    <a:xfrm>
                      <a:off x="0" y="0"/>
                      <a:ext cx="2487295" cy="8890"/>
                    </a:xfrm>
                    <a:prstGeom prst="rect">
                      <a:avLst/>
                    </a:prstGeom>
                    <a:noFill/>
                  </pic:spPr>
                </pic:pic>
              </a:graphicData>
            </a:graphic>
          </wp:anchor>
        </w:drawing>
      </w:r>
    </w:p>
    <w:p>
      <w:pPr>
        <w:spacing w:after="0" w:line="22" w:lineRule="exact"/>
        <w:rPr>
          <w:sz w:val="20"/>
          <w:szCs w:val="20"/>
          <w:color w:val="auto"/>
        </w:rPr>
      </w:pPr>
    </w:p>
    <w:p>
      <w:pPr>
        <w:ind w:left="7500"/>
        <w:spacing w:after="0"/>
        <w:rPr>
          <w:sz w:val="20"/>
          <w:szCs w:val="20"/>
          <w:color w:val="auto"/>
        </w:rPr>
      </w:pPr>
      <w:r>
        <w:rPr>
          <w:rFonts w:ascii="Arial" w:cs="Arial" w:eastAsia="Arial" w:hAnsi="Arial"/>
          <w:sz w:val="18"/>
          <w:szCs w:val="18"/>
          <w:color w:val="auto"/>
        </w:rPr>
        <w:t>David L. Cohen</w:t>
      </w:r>
    </w:p>
    <w:p>
      <w:pPr>
        <w:spacing w:after="0" w:line="219" w:lineRule="exact"/>
        <w:rPr>
          <w:sz w:val="20"/>
          <w:szCs w:val="20"/>
          <w:color w:val="auto"/>
        </w:rPr>
      </w:pPr>
    </w:p>
    <w:p>
      <w:pPr>
        <w:ind w:left="6860"/>
        <w:spacing w:after="0"/>
        <w:rPr>
          <w:sz w:val="20"/>
          <w:szCs w:val="20"/>
          <w:color w:val="auto"/>
        </w:rPr>
      </w:pPr>
      <w:r>
        <w:rPr>
          <w:rFonts w:ascii="Arial" w:cs="Arial" w:eastAsia="Arial" w:hAnsi="Arial"/>
          <w:sz w:val="18"/>
          <w:szCs w:val="18"/>
          <w:b w:val="1"/>
          <w:bCs w:val="1"/>
          <w:color w:val="auto"/>
        </w:rPr>
        <w:t xml:space="preserve">Attest:  </w:t>
      </w:r>
      <w:r>
        <w:rPr>
          <w:rFonts w:ascii="Arial" w:cs="Arial" w:eastAsia="Arial" w:hAnsi="Arial"/>
          <w:sz w:val="18"/>
          <w:szCs w:val="18"/>
          <w:color w:val="auto"/>
        </w:rPr>
        <w:t>/s/ Arthur R. Block</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4764405</wp:posOffset>
            </wp:positionH>
            <wp:positionV relativeFrom="paragraph">
              <wp:posOffset>14605</wp:posOffset>
            </wp:positionV>
            <wp:extent cx="2487295" cy="8890"/>
            <wp:wrapNone/>
            <wp:docPr id="63" name="Picture 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
                    <pic:cNvPicPr>
                      <a:picLocks noChangeAspect="1" noChangeArrowheads="1"/>
                    </pic:cNvPicPr>
                  </pic:nvPicPr>
                  <pic:blipFill>
                    <a:blip r:embed="rId70">
                      <a:extLst>
                        <a:ext uri="{28A0092B-C50C-407E-A947-70E740481C1C}"/>
                      </a:extLst>
                    </a:blip>
                    <a:srcRect/>
                    <a:stretch>
                      <a:fillRect/>
                    </a:stretch>
                  </pic:blipFill>
                  <pic:spPr bwMode="auto">
                    <a:xfrm>
                      <a:off x="0" y="0"/>
                      <a:ext cx="2487295" cy="8890"/>
                    </a:xfrm>
                    <a:prstGeom prst="rect">
                      <a:avLst/>
                    </a:prstGeom>
                    <a:noFill/>
                  </pic:spPr>
                </pic:pic>
              </a:graphicData>
            </a:graphic>
          </wp:anchor>
        </w:drawing>
      </w:r>
    </w:p>
    <w:p>
      <w:pPr>
        <w:spacing w:after="0" w:line="22" w:lineRule="exact"/>
        <w:rPr>
          <w:sz w:val="20"/>
          <w:szCs w:val="20"/>
          <w:color w:val="auto"/>
        </w:rPr>
      </w:pPr>
    </w:p>
    <w:p>
      <w:pPr>
        <w:ind w:left="7500"/>
        <w:spacing w:after="0"/>
        <w:rPr>
          <w:sz w:val="20"/>
          <w:szCs w:val="20"/>
          <w:color w:val="auto"/>
        </w:rPr>
      </w:pPr>
      <w:r>
        <w:rPr>
          <w:rFonts w:ascii="Arial" w:cs="Arial" w:eastAsia="Arial" w:hAnsi="Arial"/>
          <w:sz w:val="18"/>
          <w:szCs w:val="18"/>
          <w:color w:val="auto"/>
        </w:rPr>
        <w:t>Arthur R. Block</w:t>
      </w:r>
    </w:p>
    <w:p>
      <w:pPr>
        <w:spacing w:after="0" w:line="158" w:lineRule="exact"/>
        <w:rPr>
          <w:sz w:val="20"/>
          <w:szCs w:val="20"/>
          <w:color w:val="auto"/>
        </w:rPr>
      </w:pPr>
    </w:p>
    <w:p>
      <w:pPr>
        <w:jc w:val="center"/>
        <w:ind w:right="-139"/>
        <w:spacing w:after="0"/>
        <w:rPr>
          <w:sz w:val="20"/>
          <w:szCs w:val="20"/>
          <w:color w:val="auto"/>
        </w:rPr>
      </w:pPr>
      <w:r>
        <w:rPr>
          <w:rFonts w:ascii="Arial" w:cs="Arial" w:eastAsia="Arial" w:hAnsi="Arial"/>
          <w:sz w:val="18"/>
          <w:szCs w:val="18"/>
          <w:color w:val="auto"/>
        </w:rPr>
        <w:t>-16-</w:t>
      </w:r>
    </w:p>
    <w:p>
      <w:pPr>
        <w:sectPr>
          <w:pgSz w:w="11900" w:h="16838" w:orient="portrait"/>
          <w:cols w:equalWidth="0" w:num="1">
            <w:col w:w="11300"/>
          </w:cols>
          <w:pgMar w:left="240" w:top="274" w:right="359" w:bottom="1440" w:gutter="0" w:footer="0" w:header="0"/>
        </w:sectPr>
      </w:pPr>
    </w:p>
    <w:bookmarkStart w:id="52" w:name="page53"/>
    <w:bookmarkEnd w:id="52"/>
    <w:p>
      <w:pPr>
        <w:jc w:val="right"/>
        <w:spacing w:after="0"/>
        <w:rPr>
          <w:sz w:val="20"/>
          <w:szCs w:val="20"/>
          <w:color w:val="auto"/>
        </w:rPr>
      </w:pPr>
      <w:r>
        <w:rPr>
          <w:rFonts w:ascii="Arial" w:cs="Arial" w:eastAsia="Arial" w:hAnsi="Arial"/>
          <w:sz w:val="18"/>
          <w:szCs w:val="18"/>
          <w:b w:val="1"/>
          <w:bCs w:val="1"/>
          <w:color w:val="auto"/>
        </w:rPr>
        <w:t>Exhibit 10.5</w:t>
      </w:r>
    </w:p>
    <w:p>
      <w:pPr>
        <w:spacing w:after="0" w:line="17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COMCAST CORPORATION</w:t>
      </w:r>
    </w:p>
    <w:p>
      <w:pPr>
        <w:spacing w:after="0" w:line="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2002 DEFERRED COMPENSATION PLAN</w:t>
      </w:r>
    </w:p>
    <w:p>
      <w:pPr>
        <w:spacing w:after="0" w:line="15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ARTICLE 1 - COVERAGE OF PLAN</w:t>
      </w:r>
    </w:p>
    <w:p>
      <w:pPr>
        <w:spacing w:after="0" w:line="177" w:lineRule="exact"/>
        <w:rPr>
          <w:sz w:val="20"/>
          <w:szCs w:val="20"/>
          <w:color w:val="auto"/>
        </w:rPr>
      </w:pPr>
    </w:p>
    <w:p>
      <w:pPr>
        <w:ind w:left="460"/>
        <w:spacing w:after="0"/>
        <w:rPr>
          <w:sz w:val="20"/>
          <w:szCs w:val="20"/>
          <w:color w:val="auto"/>
        </w:rPr>
      </w:pPr>
      <w:r>
        <w:rPr>
          <w:rFonts w:ascii="Arial" w:cs="Arial" w:eastAsia="Arial" w:hAnsi="Arial"/>
          <w:sz w:val="18"/>
          <w:szCs w:val="18"/>
          <w:color w:val="auto"/>
        </w:rPr>
        <w:t xml:space="preserve">1.1. </w:t>
      </w:r>
      <w:r>
        <w:rPr>
          <w:rFonts w:ascii="Arial" w:cs="Arial" w:eastAsia="Arial" w:hAnsi="Arial"/>
          <w:sz w:val="18"/>
          <w:szCs w:val="18"/>
          <w:u w:val="single" w:color="auto"/>
          <w:color w:val="auto"/>
        </w:rPr>
        <w:t>Background, Continuation and Freeze of Plan</w:t>
      </w:r>
      <w:r>
        <w:rPr>
          <w:rFonts w:ascii="Arial" w:cs="Arial" w:eastAsia="Arial" w:hAnsi="Arial"/>
          <w:sz w:val="18"/>
          <w:szCs w:val="18"/>
          <w:color w:val="auto"/>
        </w:rPr>
        <w:t>.</w:t>
      </w:r>
    </w:p>
    <w:p>
      <w:pPr>
        <w:spacing w:after="0" w:line="90" w:lineRule="exact"/>
        <w:rPr>
          <w:sz w:val="20"/>
          <w:szCs w:val="20"/>
          <w:color w:val="auto"/>
        </w:rPr>
      </w:pPr>
    </w:p>
    <w:p>
      <w:pPr>
        <w:ind w:right="140" w:firstLine="921"/>
        <w:spacing w:after="0" w:line="286" w:lineRule="auto"/>
        <w:tabs>
          <w:tab w:leader="none" w:pos="1152" w:val="left"/>
        </w:tabs>
        <w:numPr>
          <w:ilvl w:val="1"/>
          <w:numId w:val="40"/>
        </w:numPr>
        <w:rPr>
          <w:rFonts w:ascii="Arial" w:cs="Arial" w:eastAsia="Arial" w:hAnsi="Arial"/>
          <w:sz w:val="16"/>
          <w:szCs w:val="16"/>
          <w:color w:val="auto"/>
        </w:rPr>
      </w:pPr>
      <w:r>
        <w:rPr>
          <w:rFonts w:ascii="Arial" w:cs="Arial" w:eastAsia="Arial" w:hAnsi="Arial"/>
          <w:sz w:val="16"/>
          <w:szCs w:val="16"/>
          <w:color w:val="auto"/>
        </w:rPr>
        <w:t>Comcast Corporation, a Pennsylvania corporation, hereby amends and restates the Comcast Corporation 2002 Deferred Compensation Plan (the “Plan”), effective December 5, 2006. The Plan was initially adopted effective February 12, 1974 and was amended and restated effective August 15,</w:t>
      </w:r>
    </w:p>
    <w:p>
      <w:pPr>
        <w:ind w:right="280"/>
        <w:spacing w:after="0" w:line="261" w:lineRule="auto"/>
        <w:rPr>
          <w:rFonts w:ascii="Arial" w:cs="Arial" w:eastAsia="Arial" w:hAnsi="Arial"/>
          <w:sz w:val="16"/>
          <w:szCs w:val="16"/>
          <w:color w:val="auto"/>
        </w:rPr>
      </w:pPr>
      <w:r>
        <w:rPr>
          <w:rFonts w:ascii="Arial" w:cs="Arial" w:eastAsia="Arial" w:hAnsi="Arial"/>
          <w:sz w:val="18"/>
          <w:szCs w:val="18"/>
          <w:color w:val="auto"/>
        </w:rPr>
        <w:t>1996, June 21, 1999, December 19, 2000, October 26, 2001, April 29, 2002, July 9, 2002, November 18, 2002, March 3, 2003, December 1, 2003, January 30, 2004, February 24, 2004 and February 16, 2005.</w:t>
      </w:r>
    </w:p>
    <w:p>
      <w:pPr>
        <w:spacing w:after="0" w:line="137" w:lineRule="exact"/>
        <w:rPr>
          <w:rFonts w:ascii="Arial" w:cs="Arial" w:eastAsia="Arial" w:hAnsi="Arial"/>
          <w:sz w:val="16"/>
          <w:szCs w:val="16"/>
          <w:color w:val="auto"/>
        </w:rPr>
      </w:pPr>
    </w:p>
    <w:p>
      <w:pPr>
        <w:ind w:right="200" w:firstLine="921"/>
        <w:spacing w:after="0" w:line="303" w:lineRule="auto"/>
        <w:tabs>
          <w:tab w:leader="none" w:pos="1162" w:val="left"/>
        </w:tabs>
        <w:numPr>
          <w:ilvl w:val="1"/>
          <w:numId w:val="40"/>
        </w:numPr>
        <w:rPr>
          <w:rFonts w:ascii="Arial" w:cs="Arial" w:eastAsia="Arial" w:hAnsi="Arial"/>
          <w:sz w:val="15"/>
          <w:szCs w:val="15"/>
          <w:color w:val="auto"/>
        </w:rPr>
      </w:pPr>
      <w:r>
        <w:rPr>
          <w:rFonts w:ascii="Arial" w:cs="Arial" w:eastAsia="Arial" w:hAnsi="Arial"/>
          <w:sz w:val="15"/>
          <w:szCs w:val="15"/>
          <w:color w:val="auto"/>
        </w:rPr>
        <w:t>In order to preserve the favorable tax treatment available to deferrals that were made under the Plan before January 1, 2005 in light of the American Jobs Creation Act of 2004 and the regulations issued by the Department of the Treasury thereunder (the “</w:t>
      </w:r>
      <w:r>
        <w:rPr>
          <w:rFonts w:ascii="Arial" w:cs="Arial" w:eastAsia="Arial" w:hAnsi="Arial"/>
          <w:sz w:val="15"/>
          <w:szCs w:val="15"/>
          <w:u w:val="single" w:color="auto"/>
          <w:color w:val="auto"/>
        </w:rPr>
        <w:t>AJCA</w:t>
      </w:r>
      <w:r>
        <w:rPr>
          <w:rFonts w:ascii="Arial" w:cs="Arial" w:eastAsia="Arial" w:hAnsi="Arial"/>
          <w:sz w:val="15"/>
          <w:szCs w:val="15"/>
          <w:color w:val="auto"/>
        </w:rPr>
        <w:t>”), no Compensation may be deferred under the Plan pursuant to an Initial Election after December 31, 2004, other than amounts that (i) were subject to an Initial Election before January 1, 2005,</w:t>
      </w:r>
    </w:p>
    <w:p>
      <w:pPr>
        <w:spacing w:after="0" w:line="1" w:lineRule="exact"/>
        <w:rPr>
          <w:rFonts w:ascii="Arial" w:cs="Arial" w:eastAsia="Arial" w:hAnsi="Arial"/>
          <w:sz w:val="15"/>
          <w:szCs w:val="15"/>
          <w:color w:val="auto"/>
        </w:rPr>
      </w:pPr>
    </w:p>
    <w:p>
      <w:pPr>
        <w:ind w:left="260" w:hanging="252"/>
        <w:spacing w:after="0"/>
        <w:tabs>
          <w:tab w:leader="none" w:pos="260" w:val="left"/>
        </w:tabs>
        <w:numPr>
          <w:ilvl w:val="0"/>
          <w:numId w:val="41"/>
        </w:numPr>
        <w:rPr>
          <w:rFonts w:ascii="Arial" w:cs="Arial" w:eastAsia="Arial" w:hAnsi="Arial"/>
          <w:sz w:val="16"/>
          <w:szCs w:val="16"/>
          <w:color w:val="auto"/>
        </w:rPr>
      </w:pPr>
      <w:r>
        <w:rPr>
          <w:rFonts w:ascii="Arial" w:cs="Arial" w:eastAsia="Arial" w:hAnsi="Arial"/>
          <w:sz w:val="16"/>
          <w:szCs w:val="16"/>
          <w:color w:val="auto"/>
        </w:rPr>
        <w:t xml:space="preserve">would, but for such Initial Election, have been paid in 2005 and (iii) are treated as earned and vested as of December 31, 2004 under </w:t>
      </w:r>
      <w:r>
        <w:rPr>
          <w:rFonts w:ascii="Arial" w:cs="Arial" w:eastAsia="Arial" w:hAnsi="Arial"/>
          <w:sz w:val="16"/>
          <w:szCs w:val="16"/>
          <w:i w:val="1"/>
          <w:iCs w:val="1"/>
          <w:color w:val="auto"/>
        </w:rPr>
        <w:t>IRS Notice 2005-1</w:t>
      </w:r>
      <w:r>
        <w:rPr>
          <w:rFonts w:ascii="Arial" w:cs="Arial" w:eastAsia="Arial" w:hAnsi="Arial"/>
          <w:sz w:val="16"/>
          <w:szCs w:val="16"/>
          <w:color w:val="auto"/>
        </w:rPr>
        <w:t>.</w:t>
      </w:r>
    </w:p>
    <w:p>
      <w:pPr>
        <w:spacing w:after="0" w:line="187" w:lineRule="exact"/>
        <w:rPr>
          <w:rFonts w:ascii="Arial" w:cs="Arial" w:eastAsia="Arial" w:hAnsi="Arial"/>
          <w:sz w:val="16"/>
          <w:szCs w:val="16"/>
          <w:color w:val="auto"/>
        </w:rPr>
      </w:pPr>
    </w:p>
    <w:p>
      <w:pPr>
        <w:ind w:firstLine="921"/>
        <w:spacing w:after="0" w:line="285" w:lineRule="auto"/>
        <w:tabs>
          <w:tab w:leader="none" w:pos="1152" w:val="left"/>
        </w:tabs>
        <w:numPr>
          <w:ilvl w:val="1"/>
          <w:numId w:val="41"/>
        </w:numPr>
        <w:rPr>
          <w:rFonts w:ascii="Arial" w:cs="Arial" w:eastAsia="Arial" w:hAnsi="Arial"/>
          <w:sz w:val="16"/>
          <w:szCs w:val="16"/>
          <w:color w:val="auto"/>
        </w:rPr>
      </w:pPr>
      <w:r>
        <w:rPr>
          <w:rFonts w:ascii="Arial" w:cs="Arial" w:eastAsia="Arial" w:hAnsi="Arial"/>
          <w:sz w:val="16"/>
          <w:szCs w:val="16"/>
          <w:color w:val="auto"/>
        </w:rPr>
        <w:t>The Company has maintained the Comcast Corporation Supplemental Retirement-Investment Plan (the “Supplemental RIP”), a non-qualified deferred compensation plan pursuant to which eligible employees have been credited with certain account balances that are credited with earnings at the same rate as the earnings rate for active participants in the Plan. Credits to the Supplemental RIP are frozen. Distributions of participants’ account balances credited under the Supplemental RIP are distributable as soon as administratively practicable following a participant’s termination of employment. Effective as of December 5, 2006, the Supplemental RIP is merged with and into the Plan and the separate existence of the Supplemental RIP shall cease, and all undistributed participants’ accounts that had previously been administered pursuant to the Supplemental RIP (hereinafter referred to as “Supplemental RIP Legacy Accounts”) shall be held under the Plan. Supplemental RIP Legacy Accounts shall be subject only to the provisions of this Section 1.1(c) and the other provisions of this Article 1, Section 4.4, Section 5.3, Section 5.4, Article 6, Section 7.2, Article 9, Article 10, Article 11, Article 12 and such portions of Article 2 of the Plan as shall be integral to the interpretation and operation of the Plan provisions listed above. An individual whose Supplemental RIP Legacy Account is held under the Plan as a result of the merger of the Supplemental RIP with and into the Plan shall be a participant in the Plan only for purposes of the Supplemental RIP Legacy Account, unless such individual is otherwise eligible to participate in the Plan and an Account under the Plan has been established for such individual’s benefit. Except for earnings credits, no amounts shall be credited to Supplemental RIP Legacy Accounts administered under the Plan. Except for earnings credited to Supplemental RIP Legacy Accounts after 2004, Supplemental RIP Legacy Accounts consist solely of deferred compensation credits that were earned and vested before January 1, 2005. Accordingly, Supplemental RIP Legacy Accounts are intended to be treated as grandfathered benefits that are not subject to the AJCA.</w:t>
      </w:r>
    </w:p>
    <w:p>
      <w:pPr>
        <w:sectPr>
          <w:pgSz w:w="11900" w:h="16838" w:orient="portrait"/>
          <w:cols w:equalWidth="0" w:num="1">
            <w:col w:w="11420"/>
          </w:cols>
          <w:pgMar w:left="240" w:top="125" w:right="239" w:bottom="1440" w:gutter="0" w:footer="0" w:header="0"/>
        </w:sectPr>
      </w:pPr>
    </w:p>
    <w:bookmarkStart w:id="53" w:name="page54"/>
    <w:bookmarkEnd w:id="53"/>
    <w:p>
      <w:pPr>
        <w:ind w:left="920"/>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64" name="Picture 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
                    <pic:cNvPicPr>
                      <a:picLocks noChangeAspect="1" noChangeArrowheads="1"/>
                    </pic:cNvPicPr>
                  </pic:nvPicPr>
                  <pic:blipFill>
                    <a:blip r:embed="rId71">
                      <a:extLst>
                        <a:ext uri="{28A0092B-C50C-407E-A947-70E740481C1C}"/>
                      </a:extLst>
                    </a:blip>
                    <a:srcRect/>
                    <a:stretch>
                      <a:fillRect/>
                    </a:stretch>
                  </pic:blipFill>
                  <pic:spPr bwMode="auto">
                    <a:xfrm>
                      <a:off x="0" y="0"/>
                      <a:ext cx="7267575" cy="27940"/>
                    </a:xfrm>
                    <a:prstGeom prst="rect">
                      <a:avLst/>
                    </a:prstGeom>
                    <a:noFill/>
                  </pic:spPr>
                </pic:pic>
              </a:graphicData>
            </a:graphic>
          </wp:anchor>
        </w:drawing>
        <w:t>(d) Amounts earned and vested prior to January 1, 2005 are and will remain subject to the terms and conditions of the Plan.</w:t>
      </w:r>
    </w:p>
    <w:p>
      <w:pPr>
        <w:spacing w:after="0" w:line="171" w:lineRule="exact"/>
        <w:rPr>
          <w:sz w:val="20"/>
          <w:szCs w:val="20"/>
          <w:color w:val="auto"/>
        </w:rPr>
      </w:pPr>
    </w:p>
    <w:p>
      <w:pPr>
        <w:ind w:right="60" w:firstLine="456"/>
        <w:spacing w:after="0" w:line="306" w:lineRule="auto"/>
        <w:rPr>
          <w:sz w:val="20"/>
          <w:szCs w:val="20"/>
          <w:color w:val="auto"/>
        </w:rPr>
      </w:pPr>
      <w:r>
        <w:rPr>
          <w:rFonts w:ascii="Arial" w:cs="Arial" w:eastAsia="Arial" w:hAnsi="Arial"/>
          <w:sz w:val="16"/>
          <w:szCs w:val="16"/>
          <w:color w:val="auto"/>
        </w:rPr>
        <w:t xml:space="preserve">1.2. </w:t>
      </w:r>
      <w:r>
        <w:rPr>
          <w:rFonts w:ascii="Arial" w:cs="Arial" w:eastAsia="Arial" w:hAnsi="Arial"/>
          <w:sz w:val="16"/>
          <w:szCs w:val="16"/>
          <w:u w:val="single" w:color="auto"/>
          <w:color w:val="auto"/>
        </w:rPr>
        <w:t>Plan Unfunded and Limited to Outside Directors and Select Group of Management or Highly Compensated Employees</w:t>
      </w:r>
      <w:r>
        <w:rPr>
          <w:rFonts w:ascii="Arial" w:cs="Arial" w:eastAsia="Arial" w:hAnsi="Arial"/>
          <w:sz w:val="16"/>
          <w:szCs w:val="16"/>
          <w:color w:val="auto"/>
        </w:rPr>
        <w:t>. The Plan is unfunded and is maintained primarily for the purpose of providing outside directors and a select group of management or highly compensated employees the opportunity to defer the receipt of compensation otherwise payable to such outside directors and eligible employees in accordance with the terms of the Plan.</w:t>
      </w:r>
    </w:p>
    <w:p>
      <w:pPr>
        <w:spacing w:after="0" w:line="263"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ARTICLE 2 - DEFINITIONS</w:t>
      </w:r>
    </w:p>
    <w:p>
      <w:pPr>
        <w:spacing w:after="0" w:line="177" w:lineRule="exact"/>
        <w:rPr>
          <w:sz w:val="20"/>
          <w:szCs w:val="20"/>
          <w:color w:val="auto"/>
        </w:rPr>
      </w:pPr>
    </w:p>
    <w:p>
      <w:pPr>
        <w:jc w:val="both"/>
        <w:ind w:right="200" w:firstLine="456"/>
        <w:spacing w:after="0" w:line="259" w:lineRule="auto"/>
        <w:rPr>
          <w:sz w:val="20"/>
          <w:szCs w:val="20"/>
          <w:color w:val="auto"/>
        </w:rPr>
      </w:pPr>
      <w:r>
        <w:rPr>
          <w:rFonts w:ascii="Arial" w:cs="Arial" w:eastAsia="Arial" w:hAnsi="Arial"/>
          <w:sz w:val="18"/>
          <w:szCs w:val="18"/>
          <w:color w:val="auto"/>
        </w:rPr>
        <w:t>2.1. “</w:t>
      </w:r>
      <w:r>
        <w:rPr>
          <w:rFonts w:ascii="Arial" w:cs="Arial" w:eastAsia="Arial" w:hAnsi="Arial"/>
          <w:sz w:val="18"/>
          <w:szCs w:val="18"/>
          <w:u w:val="single" w:color="auto"/>
          <w:color w:val="auto"/>
        </w:rPr>
        <w:t>Account</w:t>
      </w:r>
      <w:r>
        <w:rPr>
          <w:rFonts w:ascii="Arial" w:cs="Arial" w:eastAsia="Arial" w:hAnsi="Arial"/>
          <w:sz w:val="18"/>
          <w:szCs w:val="18"/>
          <w:color w:val="auto"/>
        </w:rPr>
        <w:t>” means the bookkeeping accounts established pursuant to Section 5.1 and maintained by the Administrator in the names of the respective Participants, to which all amounts deferred and earnings allocated under the Plan shall be credited, and from which all amounts distributed pursuant to the Plan shall be debited.</w:t>
      </w:r>
    </w:p>
    <w:p>
      <w:pPr>
        <w:spacing w:after="0" w:line="221" w:lineRule="exact"/>
        <w:rPr>
          <w:sz w:val="20"/>
          <w:szCs w:val="20"/>
          <w:color w:val="auto"/>
        </w:rPr>
      </w:pPr>
    </w:p>
    <w:p>
      <w:pPr>
        <w:ind w:left="460"/>
        <w:spacing w:after="0"/>
        <w:rPr>
          <w:sz w:val="20"/>
          <w:szCs w:val="20"/>
          <w:color w:val="auto"/>
        </w:rPr>
      </w:pPr>
      <w:r>
        <w:rPr>
          <w:rFonts w:ascii="Arial" w:cs="Arial" w:eastAsia="Arial" w:hAnsi="Arial"/>
          <w:sz w:val="18"/>
          <w:szCs w:val="18"/>
          <w:color w:val="auto"/>
        </w:rPr>
        <w:t>2.2. “</w:t>
      </w:r>
      <w:r>
        <w:rPr>
          <w:rFonts w:ascii="Arial" w:cs="Arial" w:eastAsia="Arial" w:hAnsi="Arial"/>
          <w:sz w:val="18"/>
          <w:szCs w:val="18"/>
          <w:u w:val="single" w:color="auto"/>
          <w:color w:val="auto"/>
        </w:rPr>
        <w:t>Active Participant</w:t>
      </w:r>
      <w:r>
        <w:rPr>
          <w:rFonts w:ascii="Arial" w:cs="Arial" w:eastAsia="Arial" w:hAnsi="Arial"/>
          <w:sz w:val="18"/>
          <w:szCs w:val="18"/>
          <w:color w:val="auto"/>
        </w:rPr>
        <w:t>” means:</w:t>
      </w:r>
    </w:p>
    <w:p>
      <w:pPr>
        <w:spacing w:after="0" w:line="90" w:lineRule="exact"/>
        <w:rPr>
          <w:sz w:val="20"/>
          <w:szCs w:val="20"/>
          <w:color w:val="auto"/>
        </w:rPr>
      </w:pPr>
    </w:p>
    <w:p>
      <w:pPr>
        <w:ind w:left="1160" w:hanging="239"/>
        <w:spacing w:after="0"/>
        <w:tabs>
          <w:tab w:leader="none" w:pos="1160" w:val="left"/>
        </w:tabs>
        <w:numPr>
          <w:ilvl w:val="0"/>
          <w:numId w:val="42"/>
        </w:numPr>
        <w:rPr>
          <w:rFonts w:ascii="Arial" w:cs="Arial" w:eastAsia="Arial" w:hAnsi="Arial"/>
          <w:sz w:val="18"/>
          <w:szCs w:val="18"/>
          <w:color w:val="auto"/>
        </w:rPr>
      </w:pPr>
      <w:r>
        <w:rPr>
          <w:rFonts w:ascii="Arial" w:cs="Arial" w:eastAsia="Arial" w:hAnsi="Arial"/>
          <w:sz w:val="18"/>
          <w:szCs w:val="18"/>
          <w:color w:val="auto"/>
        </w:rPr>
        <w:t>Each Participant who is in active service as an Outside Director; and</w:t>
      </w:r>
    </w:p>
    <w:p>
      <w:pPr>
        <w:spacing w:after="0" w:line="171" w:lineRule="exact"/>
        <w:rPr>
          <w:rFonts w:ascii="Arial" w:cs="Arial" w:eastAsia="Arial" w:hAnsi="Arial"/>
          <w:sz w:val="18"/>
          <w:szCs w:val="18"/>
          <w:color w:val="auto"/>
        </w:rPr>
      </w:pPr>
    </w:p>
    <w:p>
      <w:pPr>
        <w:ind w:left="460" w:right="3400" w:firstLine="461"/>
        <w:spacing w:after="0" w:line="438" w:lineRule="auto"/>
        <w:tabs>
          <w:tab w:leader="none" w:pos="1165" w:val="left"/>
        </w:tabs>
        <w:numPr>
          <w:ilvl w:val="0"/>
          <w:numId w:val="42"/>
        </w:numPr>
        <w:rPr>
          <w:rFonts w:ascii="Arial" w:cs="Arial" w:eastAsia="Arial" w:hAnsi="Arial"/>
          <w:sz w:val="18"/>
          <w:szCs w:val="18"/>
          <w:color w:val="auto"/>
        </w:rPr>
      </w:pPr>
      <w:r>
        <w:rPr>
          <w:rFonts w:ascii="Arial" w:cs="Arial" w:eastAsia="Arial" w:hAnsi="Arial"/>
          <w:sz w:val="18"/>
          <w:szCs w:val="18"/>
          <w:color w:val="auto"/>
        </w:rPr>
        <w:t>Each Participant who is actively employed by a Participating Company as an Eligible Employee. 2.3. “</w:t>
      </w:r>
      <w:r>
        <w:rPr>
          <w:rFonts w:ascii="Arial" w:cs="Arial" w:eastAsia="Arial" w:hAnsi="Arial"/>
          <w:sz w:val="18"/>
          <w:szCs w:val="18"/>
          <w:u w:val="single" w:color="auto"/>
          <w:color w:val="auto"/>
        </w:rPr>
        <w:t>Administrator</w:t>
      </w:r>
      <w:r>
        <w:rPr>
          <w:rFonts w:ascii="Arial" w:cs="Arial" w:eastAsia="Arial" w:hAnsi="Arial"/>
          <w:sz w:val="18"/>
          <w:szCs w:val="18"/>
          <w:color w:val="auto"/>
        </w:rPr>
        <w:t>” means the Committee.</w:t>
      </w:r>
    </w:p>
    <w:p>
      <w:pPr>
        <w:spacing w:after="0" w:line="1" w:lineRule="exact"/>
        <w:rPr>
          <w:sz w:val="20"/>
          <w:szCs w:val="20"/>
          <w:color w:val="auto"/>
        </w:rPr>
      </w:pPr>
    </w:p>
    <w:p>
      <w:pPr>
        <w:ind w:firstLine="456"/>
        <w:spacing w:after="0" w:line="256" w:lineRule="auto"/>
        <w:rPr>
          <w:sz w:val="20"/>
          <w:szCs w:val="20"/>
          <w:color w:val="auto"/>
        </w:rPr>
      </w:pPr>
      <w:r>
        <w:rPr>
          <w:rFonts w:ascii="Arial" w:cs="Arial" w:eastAsia="Arial" w:hAnsi="Arial"/>
          <w:sz w:val="18"/>
          <w:szCs w:val="18"/>
          <w:color w:val="auto"/>
        </w:rPr>
        <w:t>2.4. “</w:t>
      </w:r>
      <w:r>
        <w:rPr>
          <w:rFonts w:ascii="Arial" w:cs="Arial" w:eastAsia="Arial" w:hAnsi="Arial"/>
          <w:sz w:val="18"/>
          <w:szCs w:val="18"/>
          <w:u w:val="single" w:color="auto"/>
          <w:color w:val="auto"/>
        </w:rPr>
        <w:t>Affiliate</w:t>
      </w:r>
      <w:r>
        <w:rPr>
          <w:rFonts w:ascii="Arial" w:cs="Arial" w:eastAsia="Arial" w:hAnsi="Arial"/>
          <w:sz w:val="18"/>
          <w:szCs w:val="18"/>
          <w:color w:val="auto"/>
        </w:rPr>
        <w:t>” means, with respect to any Person, any other Person that, directly or indirectly, is in control of, is controlled by, or is under common control with, such Person. For purposes of this definition, the term “control,” including its correlative terms “controlled by” and “under common control with,” mean, with respect to any Person, the possession, directly or indirectly, of the power to direct or cause the direction of the management and policies of such Person, whether through the ownership of voting securities, by contract or otherwise.</w:t>
      </w:r>
    </w:p>
    <w:p>
      <w:pPr>
        <w:spacing w:after="0" w:line="143" w:lineRule="exact"/>
        <w:rPr>
          <w:sz w:val="20"/>
          <w:szCs w:val="20"/>
          <w:color w:val="auto"/>
        </w:rPr>
      </w:pPr>
    </w:p>
    <w:p>
      <w:pPr>
        <w:ind w:right="500" w:firstLine="456"/>
        <w:spacing w:after="0" w:line="268" w:lineRule="auto"/>
        <w:rPr>
          <w:sz w:val="20"/>
          <w:szCs w:val="20"/>
          <w:color w:val="auto"/>
        </w:rPr>
      </w:pPr>
      <w:r>
        <w:rPr>
          <w:rFonts w:ascii="Arial" w:cs="Arial" w:eastAsia="Arial" w:hAnsi="Arial"/>
          <w:sz w:val="18"/>
          <w:szCs w:val="18"/>
          <w:color w:val="auto"/>
        </w:rPr>
        <w:t>2.5. “</w:t>
      </w:r>
      <w:r>
        <w:rPr>
          <w:rFonts w:ascii="Arial" w:cs="Arial" w:eastAsia="Arial" w:hAnsi="Arial"/>
          <w:sz w:val="18"/>
          <w:szCs w:val="18"/>
          <w:u w:val="single" w:color="auto"/>
          <w:color w:val="auto"/>
        </w:rPr>
        <w:t>Annual Rate of Pay</w:t>
      </w:r>
      <w:r>
        <w:rPr>
          <w:rFonts w:ascii="Arial" w:cs="Arial" w:eastAsia="Arial" w:hAnsi="Arial"/>
          <w:sz w:val="18"/>
          <w:szCs w:val="18"/>
          <w:color w:val="auto"/>
        </w:rPr>
        <w:t>” means, as of any date, an employee’s annualized base pay rate. An employee’s Annual Rate of Pay shall not include sales commissions or other similar payments or awards.</w:t>
      </w:r>
    </w:p>
    <w:p>
      <w:pPr>
        <w:spacing w:after="0" w:line="213" w:lineRule="exact"/>
        <w:rPr>
          <w:sz w:val="20"/>
          <w:szCs w:val="20"/>
          <w:color w:val="auto"/>
        </w:rPr>
      </w:pPr>
    </w:p>
    <w:p>
      <w:pPr>
        <w:ind w:left="460"/>
        <w:spacing w:after="0"/>
        <w:rPr>
          <w:sz w:val="20"/>
          <w:szCs w:val="20"/>
          <w:color w:val="auto"/>
        </w:rPr>
      </w:pPr>
      <w:r>
        <w:rPr>
          <w:rFonts w:ascii="Arial" w:cs="Arial" w:eastAsia="Arial" w:hAnsi="Arial"/>
          <w:sz w:val="18"/>
          <w:szCs w:val="18"/>
          <w:color w:val="auto"/>
        </w:rPr>
        <w:t>2.6. “</w:t>
      </w:r>
      <w:r>
        <w:rPr>
          <w:rFonts w:ascii="Arial" w:cs="Arial" w:eastAsia="Arial" w:hAnsi="Arial"/>
          <w:sz w:val="18"/>
          <w:szCs w:val="18"/>
          <w:u w:val="single" w:color="auto"/>
          <w:color w:val="auto"/>
        </w:rPr>
        <w:t>Applicable Interest Rate</w:t>
      </w:r>
      <w:r>
        <w:rPr>
          <w:rFonts w:ascii="Arial" w:cs="Arial" w:eastAsia="Arial" w:hAnsi="Arial"/>
          <w:sz w:val="18"/>
          <w:szCs w:val="18"/>
          <w:color w:val="auto"/>
        </w:rPr>
        <w:t>” means:</w:t>
      </w:r>
    </w:p>
    <w:p>
      <w:pPr>
        <w:spacing w:after="0" w:line="90" w:lineRule="exact"/>
        <w:rPr>
          <w:sz w:val="20"/>
          <w:szCs w:val="20"/>
          <w:color w:val="auto"/>
        </w:rPr>
      </w:pPr>
    </w:p>
    <w:p>
      <w:pPr>
        <w:ind w:firstLine="921"/>
        <w:spacing w:after="0" w:line="332" w:lineRule="auto"/>
        <w:tabs>
          <w:tab w:leader="none" w:pos="1152" w:val="left"/>
        </w:tabs>
        <w:numPr>
          <w:ilvl w:val="0"/>
          <w:numId w:val="43"/>
        </w:numPr>
        <w:rPr>
          <w:rFonts w:ascii="Arial" w:cs="Arial" w:eastAsia="Arial" w:hAnsi="Arial"/>
          <w:sz w:val="16"/>
          <w:szCs w:val="16"/>
          <w:color w:val="auto"/>
        </w:rPr>
      </w:pPr>
      <w:r>
        <w:rPr>
          <w:rFonts w:ascii="Arial" w:cs="Arial" w:eastAsia="Arial" w:hAnsi="Arial"/>
          <w:sz w:val="16"/>
          <w:szCs w:val="16"/>
          <w:color w:val="auto"/>
        </w:rPr>
        <w:t>Except as otherwise provided in Sections 2.6(b) or (c), the Applicable Interest Rate means the interest rate that, when compounded daily pursuant to rules established by the Administrator from time to time, is mathematically equivalent to 12% per annum, compounded annually.</w:t>
      </w:r>
    </w:p>
    <w:p>
      <w:pPr>
        <w:spacing w:after="0" w:line="85" w:lineRule="exact"/>
        <w:rPr>
          <w:rFonts w:ascii="Arial" w:cs="Arial" w:eastAsia="Arial" w:hAnsi="Arial"/>
          <w:sz w:val="16"/>
          <w:szCs w:val="16"/>
          <w:color w:val="auto"/>
        </w:rPr>
      </w:pPr>
    </w:p>
    <w:p>
      <w:pPr>
        <w:ind w:right="180" w:firstLine="921"/>
        <w:spacing w:after="0" w:line="259" w:lineRule="auto"/>
        <w:tabs>
          <w:tab w:leader="none" w:pos="1162" w:val="left"/>
        </w:tabs>
        <w:numPr>
          <w:ilvl w:val="0"/>
          <w:numId w:val="43"/>
        </w:numPr>
        <w:rPr>
          <w:rFonts w:ascii="Arial" w:cs="Arial" w:eastAsia="Arial" w:hAnsi="Arial"/>
          <w:sz w:val="18"/>
          <w:szCs w:val="18"/>
          <w:color w:val="auto"/>
        </w:rPr>
      </w:pPr>
      <w:r>
        <w:rPr>
          <w:rFonts w:ascii="Arial" w:cs="Arial" w:eastAsia="Arial" w:hAnsi="Arial"/>
          <w:sz w:val="18"/>
          <w:szCs w:val="18"/>
          <w:color w:val="auto"/>
        </w:rPr>
        <w:t>Except to the extent otherwise required by Section 10.2, effective for the period beginning as soon as administratively practicable following a Participant’s employment termination date to the date the Participant’s Account is distributed in full, the Administrator, in its sole discretion, may designate the term “Applicable Interest Rate” for such</w:t>
      </w:r>
    </w:p>
    <w:p>
      <w:pPr>
        <w:spacing w:after="0" w:line="127"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-2-</w:t>
      </w:r>
    </w:p>
    <w:p>
      <w:pPr>
        <w:sectPr>
          <w:pgSz w:w="11900" w:h="16838" w:orient="portrait"/>
          <w:cols w:equalWidth="0" w:num="1">
            <w:col w:w="11380"/>
          </w:cols>
          <w:pgMar w:left="240" w:top="280" w:right="279" w:bottom="1440" w:gutter="0" w:footer="0" w:header="0"/>
        </w:sectPr>
      </w:pPr>
    </w:p>
    <w:bookmarkStart w:id="54" w:name="page55"/>
    <w:bookmarkEnd w:id="54"/>
    <w:p>
      <w:pPr>
        <w:ind w:right="100"/>
        <w:spacing w:after="0" w:line="259"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65" name="Picture 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
                    <pic:cNvPicPr>
                      <a:picLocks noChangeAspect="1" noChangeArrowheads="1"/>
                    </pic:cNvPicPr>
                  </pic:nvPicPr>
                  <pic:blipFill>
                    <a:blip r:embed="rId72">
                      <a:extLst>
                        <a:ext uri="{28A0092B-C50C-407E-A947-70E740481C1C}"/>
                      </a:extLst>
                    </a:blip>
                    <a:srcRect/>
                    <a:stretch>
                      <a:fillRect/>
                    </a:stretch>
                  </pic:blipFill>
                  <pic:spPr bwMode="auto">
                    <a:xfrm>
                      <a:off x="0" y="0"/>
                      <a:ext cx="7267575" cy="27940"/>
                    </a:xfrm>
                    <a:prstGeom prst="rect">
                      <a:avLst/>
                    </a:prstGeom>
                    <a:noFill/>
                  </pic:spPr>
                </pic:pic>
              </a:graphicData>
            </a:graphic>
          </wp:anchor>
        </w:drawing>
        <w:t>Participant’s Account to mean the lesser of (i) the rate in effect under Section 2.6(a) or (ii) the Prime Rate plus one percent. Notwithstanding the foregoing, the Administrator may delegate its authority to determine the Applicable Interest Rate under this Section 2.6(b) to an officer of the Company or committee of two or more officers of the Company.</w:t>
      </w:r>
    </w:p>
    <w:p>
      <w:pPr>
        <w:spacing w:after="0" w:line="140" w:lineRule="exact"/>
        <w:rPr>
          <w:sz w:val="20"/>
          <w:szCs w:val="20"/>
          <w:color w:val="auto"/>
        </w:rPr>
      </w:pPr>
    </w:p>
    <w:p>
      <w:pPr>
        <w:ind w:firstLine="921"/>
        <w:spacing w:after="0" w:line="256" w:lineRule="auto"/>
        <w:tabs>
          <w:tab w:leader="none" w:pos="1152" w:val="left"/>
        </w:tabs>
        <w:numPr>
          <w:ilvl w:val="0"/>
          <w:numId w:val="44"/>
        </w:numPr>
        <w:rPr>
          <w:rFonts w:ascii="Arial" w:cs="Arial" w:eastAsia="Arial" w:hAnsi="Arial"/>
          <w:sz w:val="18"/>
          <w:szCs w:val="18"/>
          <w:color w:val="auto"/>
        </w:rPr>
      </w:pPr>
      <w:r>
        <w:rPr>
          <w:rFonts w:ascii="Arial" w:cs="Arial" w:eastAsia="Arial" w:hAnsi="Arial"/>
          <w:sz w:val="18"/>
          <w:szCs w:val="18"/>
          <w:color w:val="auto"/>
        </w:rPr>
        <w:t>Except to the extent otherwise required by Section 10.2, the Applicable Interest Rate for Severance Pay deferred pursuant to Article 3 shall be determined by the Administrator, in its sole discretion, provided that the Applicable Interest Rate shall not be less than the lower of the Prime Rate or LIBOR, nor more than the rate specified in Section 2.6(a). Notwithstanding the foregoing, the Administrator may delegate its authority to determine the Applicable Interest Rate under this Section 2.6(c) to an officer of the Company.</w:t>
      </w:r>
    </w:p>
    <w:p>
      <w:pPr>
        <w:spacing w:after="0" w:line="143" w:lineRule="exact"/>
        <w:rPr>
          <w:sz w:val="20"/>
          <w:szCs w:val="20"/>
          <w:color w:val="auto"/>
        </w:rPr>
      </w:pPr>
    </w:p>
    <w:p>
      <w:pPr>
        <w:ind w:right="60" w:firstLine="456"/>
        <w:spacing w:after="0" w:line="294" w:lineRule="auto"/>
        <w:rPr>
          <w:sz w:val="20"/>
          <w:szCs w:val="20"/>
          <w:color w:val="auto"/>
        </w:rPr>
      </w:pPr>
      <w:r>
        <w:rPr>
          <w:rFonts w:ascii="Arial" w:cs="Arial" w:eastAsia="Arial" w:hAnsi="Arial"/>
          <w:sz w:val="16"/>
          <w:szCs w:val="16"/>
          <w:color w:val="auto"/>
        </w:rPr>
        <w:t>2.7. “</w:t>
      </w:r>
      <w:r>
        <w:rPr>
          <w:rFonts w:ascii="Arial" w:cs="Arial" w:eastAsia="Arial" w:hAnsi="Arial"/>
          <w:sz w:val="16"/>
          <w:szCs w:val="16"/>
          <w:u w:val="single" w:color="auto"/>
          <w:color w:val="auto"/>
        </w:rPr>
        <w:t>Beneficiary</w:t>
      </w:r>
      <w:r>
        <w:rPr>
          <w:rFonts w:ascii="Arial" w:cs="Arial" w:eastAsia="Arial" w:hAnsi="Arial"/>
          <w:sz w:val="16"/>
          <w:szCs w:val="16"/>
          <w:color w:val="auto"/>
        </w:rPr>
        <w:t>” means such person or persons or legal entity or entities, including, but not limited to, an organization exempt from federal income tax under section 501(c)(3) of the Code, designated by a Participant or Beneficiary to receive benefits pursuant to the terms of the Plan after such Participant’s or Beneficiary’s death. If no Beneficiary is designated by the Participant or Beneficiary, or if no Beneficiary survives the Participant or Beneficiary (as the case may be), the Participant’s Beneficiary shall be the Participant’s Surviving Spouse if the Participant has a Surviving Spouse and otherwise the Participant’s estate, and the Beneficiary of a Beneficiary shall be the Beneficiary’s Surviving Spouse if the Beneficiary has a Surviving Spouse and otherwise the Beneficiary’s estate.</w:t>
      </w:r>
    </w:p>
    <w:p>
      <w:pPr>
        <w:spacing w:after="0" w:line="116" w:lineRule="exact"/>
        <w:rPr>
          <w:sz w:val="20"/>
          <w:szCs w:val="20"/>
          <w:color w:val="auto"/>
        </w:rPr>
      </w:pPr>
    </w:p>
    <w:p>
      <w:pPr>
        <w:ind w:left="460"/>
        <w:spacing w:after="0"/>
        <w:rPr>
          <w:sz w:val="20"/>
          <w:szCs w:val="20"/>
          <w:color w:val="auto"/>
        </w:rPr>
      </w:pPr>
      <w:r>
        <w:rPr>
          <w:rFonts w:ascii="Arial" w:cs="Arial" w:eastAsia="Arial" w:hAnsi="Arial"/>
          <w:sz w:val="18"/>
          <w:szCs w:val="18"/>
          <w:color w:val="auto"/>
        </w:rPr>
        <w:t>2.8. “</w:t>
      </w:r>
      <w:r>
        <w:rPr>
          <w:rFonts w:ascii="Arial" w:cs="Arial" w:eastAsia="Arial" w:hAnsi="Arial"/>
          <w:sz w:val="18"/>
          <w:szCs w:val="18"/>
          <w:u w:val="single" w:color="auto"/>
          <w:color w:val="auto"/>
        </w:rPr>
        <w:t>Board</w:t>
      </w:r>
      <w:r>
        <w:rPr>
          <w:rFonts w:ascii="Arial" w:cs="Arial" w:eastAsia="Arial" w:hAnsi="Arial"/>
          <w:sz w:val="18"/>
          <w:szCs w:val="18"/>
          <w:color w:val="auto"/>
        </w:rPr>
        <w:t>” means the Board of Directors of the Company.</w:t>
      </w:r>
    </w:p>
    <w:p>
      <w:pPr>
        <w:spacing w:after="0" w:line="171" w:lineRule="exact"/>
        <w:rPr>
          <w:sz w:val="20"/>
          <w:szCs w:val="20"/>
          <w:color w:val="auto"/>
        </w:rPr>
      </w:pPr>
    </w:p>
    <w:p>
      <w:pPr>
        <w:ind w:left="460"/>
        <w:spacing w:after="0"/>
        <w:rPr>
          <w:sz w:val="20"/>
          <w:szCs w:val="20"/>
          <w:color w:val="auto"/>
        </w:rPr>
      </w:pPr>
      <w:r>
        <w:rPr>
          <w:rFonts w:ascii="Arial" w:cs="Arial" w:eastAsia="Arial" w:hAnsi="Arial"/>
          <w:sz w:val="18"/>
          <w:szCs w:val="18"/>
          <w:color w:val="auto"/>
        </w:rPr>
        <w:t>2.9. “</w:t>
      </w:r>
      <w:r>
        <w:rPr>
          <w:rFonts w:ascii="Arial" w:cs="Arial" w:eastAsia="Arial" w:hAnsi="Arial"/>
          <w:sz w:val="18"/>
          <w:szCs w:val="18"/>
          <w:u w:val="single" w:color="auto"/>
          <w:color w:val="auto"/>
        </w:rPr>
        <w:t>CCCHI</w:t>
      </w:r>
      <w:r>
        <w:rPr>
          <w:rFonts w:ascii="Arial" w:cs="Arial" w:eastAsia="Arial" w:hAnsi="Arial"/>
          <w:sz w:val="18"/>
          <w:szCs w:val="18"/>
          <w:color w:val="auto"/>
        </w:rPr>
        <w:t>” means Comcast Cable Communications Holdings, Inc., formerly known as AT&amp;T Broadband Corp.</w:t>
      </w:r>
    </w:p>
    <w:p>
      <w:pPr>
        <w:spacing w:after="0" w:line="171" w:lineRule="exact"/>
        <w:rPr>
          <w:sz w:val="20"/>
          <w:szCs w:val="20"/>
          <w:color w:val="auto"/>
        </w:rPr>
      </w:pPr>
    </w:p>
    <w:p>
      <w:pPr>
        <w:ind w:right="120" w:firstLine="456"/>
        <w:spacing w:after="0" w:line="298" w:lineRule="auto"/>
        <w:rPr>
          <w:sz w:val="20"/>
          <w:szCs w:val="20"/>
          <w:color w:val="auto"/>
        </w:rPr>
      </w:pPr>
      <w:r>
        <w:rPr>
          <w:rFonts w:ascii="Arial" w:cs="Arial" w:eastAsia="Arial" w:hAnsi="Arial"/>
          <w:sz w:val="16"/>
          <w:szCs w:val="16"/>
          <w:color w:val="auto"/>
        </w:rPr>
        <w:t>2.10. “</w:t>
      </w:r>
      <w:r>
        <w:rPr>
          <w:rFonts w:ascii="Arial" w:cs="Arial" w:eastAsia="Arial" w:hAnsi="Arial"/>
          <w:sz w:val="16"/>
          <w:szCs w:val="16"/>
          <w:u w:val="single" w:color="auto"/>
          <w:color w:val="auto"/>
        </w:rPr>
        <w:t>Change of Control</w:t>
      </w:r>
      <w:r>
        <w:rPr>
          <w:rFonts w:ascii="Arial" w:cs="Arial" w:eastAsia="Arial" w:hAnsi="Arial"/>
          <w:sz w:val="16"/>
          <w:szCs w:val="16"/>
          <w:color w:val="auto"/>
        </w:rPr>
        <w:t>” means any transaction or series of transactions as a result of which any Person who was a Third Party immediately before such transaction or series of transactions owns then-outstanding securities of the Company such that such Person has the ability to direct the management of the Company, as determined by the Board in its discretion. The Board may also determine that a Change of Control shall occur upon the completion of one or more proposed transactions. The Board’s determination shall be final and binding.</w:t>
      </w:r>
    </w:p>
    <w:p>
      <w:pPr>
        <w:spacing w:after="0" w:line="113" w:lineRule="exact"/>
        <w:rPr>
          <w:sz w:val="20"/>
          <w:szCs w:val="20"/>
          <w:color w:val="auto"/>
        </w:rPr>
      </w:pPr>
    </w:p>
    <w:p>
      <w:pPr>
        <w:ind w:left="460"/>
        <w:spacing w:after="0"/>
        <w:rPr>
          <w:sz w:val="20"/>
          <w:szCs w:val="20"/>
          <w:color w:val="auto"/>
        </w:rPr>
      </w:pPr>
      <w:r>
        <w:rPr>
          <w:rFonts w:ascii="Arial" w:cs="Arial" w:eastAsia="Arial" w:hAnsi="Arial"/>
          <w:sz w:val="18"/>
          <w:szCs w:val="18"/>
          <w:color w:val="auto"/>
        </w:rPr>
        <w:t>2.11. “</w:t>
      </w:r>
      <w:r>
        <w:rPr>
          <w:rFonts w:ascii="Arial" w:cs="Arial" w:eastAsia="Arial" w:hAnsi="Arial"/>
          <w:sz w:val="18"/>
          <w:szCs w:val="18"/>
          <w:u w:val="single" w:color="auto"/>
          <w:color w:val="auto"/>
        </w:rPr>
        <w:t>CHC</w:t>
      </w:r>
      <w:r>
        <w:rPr>
          <w:rFonts w:ascii="Arial" w:cs="Arial" w:eastAsia="Arial" w:hAnsi="Arial"/>
          <w:sz w:val="18"/>
          <w:szCs w:val="18"/>
          <w:color w:val="auto"/>
        </w:rPr>
        <w:t>” means Comcast Holdings Corporation, formerly known as Comcast Corporation.</w:t>
      </w:r>
    </w:p>
    <w:p>
      <w:pPr>
        <w:spacing w:after="0" w:line="171" w:lineRule="exact"/>
        <w:rPr>
          <w:sz w:val="20"/>
          <w:szCs w:val="20"/>
          <w:color w:val="auto"/>
        </w:rPr>
      </w:pPr>
    </w:p>
    <w:p>
      <w:pPr>
        <w:ind w:left="460"/>
        <w:spacing w:after="0"/>
        <w:rPr>
          <w:sz w:val="20"/>
          <w:szCs w:val="20"/>
          <w:color w:val="auto"/>
        </w:rPr>
      </w:pPr>
      <w:r>
        <w:rPr>
          <w:rFonts w:ascii="Arial" w:cs="Arial" w:eastAsia="Arial" w:hAnsi="Arial"/>
          <w:sz w:val="18"/>
          <w:szCs w:val="18"/>
          <w:color w:val="auto"/>
        </w:rPr>
        <w:t>2.12. “</w:t>
      </w:r>
      <w:r>
        <w:rPr>
          <w:rFonts w:ascii="Arial" w:cs="Arial" w:eastAsia="Arial" w:hAnsi="Arial"/>
          <w:sz w:val="18"/>
          <w:szCs w:val="18"/>
          <w:u w:val="single" w:color="auto"/>
          <w:color w:val="auto"/>
        </w:rPr>
        <w:t>Code</w:t>
      </w:r>
      <w:r>
        <w:rPr>
          <w:rFonts w:ascii="Arial" w:cs="Arial" w:eastAsia="Arial" w:hAnsi="Arial"/>
          <w:sz w:val="18"/>
          <w:szCs w:val="18"/>
          <w:color w:val="auto"/>
        </w:rPr>
        <w:t>” means the Internal Revenue Code of 1986, as amended.</w:t>
      </w:r>
    </w:p>
    <w:p>
      <w:pPr>
        <w:spacing w:after="0" w:line="171" w:lineRule="exact"/>
        <w:rPr>
          <w:sz w:val="20"/>
          <w:szCs w:val="20"/>
          <w:color w:val="auto"/>
        </w:rPr>
      </w:pPr>
    </w:p>
    <w:p>
      <w:pPr>
        <w:ind w:left="460"/>
        <w:spacing w:after="0"/>
        <w:rPr>
          <w:sz w:val="20"/>
          <w:szCs w:val="20"/>
          <w:color w:val="auto"/>
        </w:rPr>
      </w:pPr>
      <w:r>
        <w:rPr>
          <w:rFonts w:ascii="Arial" w:cs="Arial" w:eastAsia="Arial" w:hAnsi="Arial"/>
          <w:sz w:val="18"/>
          <w:szCs w:val="18"/>
          <w:color w:val="auto"/>
        </w:rPr>
        <w:t>2.13. “</w:t>
      </w:r>
      <w:r>
        <w:rPr>
          <w:rFonts w:ascii="Arial" w:cs="Arial" w:eastAsia="Arial" w:hAnsi="Arial"/>
          <w:sz w:val="18"/>
          <w:szCs w:val="18"/>
          <w:u w:val="single" w:color="auto"/>
          <w:color w:val="auto"/>
        </w:rPr>
        <w:t>Committee</w:t>
      </w:r>
      <w:r>
        <w:rPr>
          <w:rFonts w:ascii="Arial" w:cs="Arial" w:eastAsia="Arial" w:hAnsi="Arial"/>
          <w:sz w:val="18"/>
          <w:szCs w:val="18"/>
          <w:color w:val="auto"/>
        </w:rPr>
        <w:t>” means the Compensation Committee of the Board of Directors of the Company.</w:t>
      </w:r>
    </w:p>
    <w:p>
      <w:pPr>
        <w:spacing w:after="0" w:line="171" w:lineRule="exact"/>
        <w:rPr>
          <w:sz w:val="20"/>
          <w:szCs w:val="20"/>
          <w:color w:val="auto"/>
        </w:rPr>
      </w:pPr>
    </w:p>
    <w:p>
      <w:pPr>
        <w:ind w:firstLine="456"/>
        <w:spacing w:after="0" w:line="268" w:lineRule="auto"/>
        <w:rPr>
          <w:sz w:val="20"/>
          <w:szCs w:val="20"/>
          <w:color w:val="auto"/>
        </w:rPr>
      </w:pPr>
      <w:r>
        <w:rPr>
          <w:rFonts w:ascii="Arial" w:cs="Arial" w:eastAsia="Arial" w:hAnsi="Arial"/>
          <w:sz w:val="18"/>
          <w:szCs w:val="18"/>
          <w:color w:val="auto"/>
        </w:rPr>
        <w:t>2.14. “</w:t>
      </w:r>
      <w:r>
        <w:rPr>
          <w:rFonts w:ascii="Arial" w:cs="Arial" w:eastAsia="Arial" w:hAnsi="Arial"/>
          <w:sz w:val="18"/>
          <w:szCs w:val="18"/>
          <w:u w:val="single" w:color="auto"/>
          <w:color w:val="auto"/>
        </w:rPr>
        <w:t>Company</w:t>
      </w:r>
      <w:r>
        <w:rPr>
          <w:rFonts w:ascii="Arial" w:cs="Arial" w:eastAsia="Arial" w:hAnsi="Arial"/>
          <w:sz w:val="18"/>
          <w:szCs w:val="18"/>
          <w:color w:val="auto"/>
        </w:rPr>
        <w:t>” means Comcast Corporation, a Pennsylvania corporation, as successor to CHC, including any successor thereto by merger, consolidation, acquisition of all or substantially all the assets thereof, or otherwise.</w:t>
      </w:r>
    </w:p>
    <w:p>
      <w:pPr>
        <w:spacing w:after="0" w:line="132" w:lineRule="exact"/>
        <w:rPr>
          <w:sz w:val="20"/>
          <w:szCs w:val="20"/>
          <w:color w:val="auto"/>
        </w:rPr>
      </w:pPr>
    </w:p>
    <w:p>
      <w:pPr>
        <w:ind w:left="460"/>
        <w:spacing w:after="0"/>
        <w:rPr>
          <w:sz w:val="20"/>
          <w:szCs w:val="20"/>
          <w:color w:val="auto"/>
        </w:rPr>
      </w:pPr>
      <w:r>
        <w:rPr>
          <w:rFonts w:ascii="Arial" w:cs="Arial" w:eastAsia="Arial" w:hAnsi="Arial"/>
          <w:sz w:val="18"/>
          <w:szCs w:val="18"/>
          <w:color w:val="auto"/>
        </w:rPr>
        <w:t>2.15. “</w:t>
      </w:r>
      <w:r>
        <w:rPr>
          <w:rFonts w:ascii="Arial" w:cs="Arial" w:eastAsia="Arial" w:hAnsi="Arial"/>
          <w:sz w:val="18"/>
          <w:szCs w:val="18"/>
          <w:u w:val="single" w:color="auto"/>
          <w:color w:val="auto"/>
        </w:rPr>
        <w:t>Company Stock</w:t>
      </w:r>
      <w:r>
        <w:rPr>
          <w:rFonts w:ascii="Arial" w:cs="Arial" w:eastAsia="Arial" w:hAnsi="Arial"/>
          <w:sz w:val="18"/>
          <w:szCs w:val="18"/>
          <w:color w:val="auto"/>
        </w:rPr>
        <w:t>” means:</w:t>
      </w:r>
    </w:p>
    <w:p>
      <w:pPr>
        <w:spacing w:after="0" w:line="90" w:lineRule="exact"/>
        <w:rPr>
          <w:sz w:val="20"/>
          <w:szCs w:val="20"/>
          <w:color w:val="auto"/>
        </w:rPr>
      </w:pPr>
    </w:p>
    <w:p>
      <w:pPr>
        <w:ind w:left="5620" w:right="160" w:hanging="4699"/>
        <w:spacing w:after="0" w:line="440" w:lineRule="auto"/>
        <w:tabs>
          <w:tab w:leader="none" w:pos="1168" w:val="left"/>
        </w:tabs>
        <w:numPr>
          <w:ilvl w:val="0"/>
          <w:numId w:val="45"/>
        </w:numPr>
        <w:rPr>
          <w:rFonts w:ascii="Arial" w:cs="Arial" w:eastAsia="Arial" w:hAnsi="Arial"/>
          <w:sz w:val="18"/>
          <w:szCs w:val="18"/>
          <w:color w:val="auto"/>
        </w:rPr>
      </w:pPr>
      <w:r>
        <w:rPr>
          <w:rFonts w:ascii="Arial" w:cs="Arial" w:eastAsia="Arial" w:hAnsi="Arial"/>
          <w:sz w:val="18"/>
          <w:szCs w:val="18"/>
          <w:color w:val="auto"/>
        </w:rPr>
        <w:t>except as provided in Section 2.15(b), Comcast Corporation Class A Special Common Stock, par value, $0.01, including a fractional share; and -3-</w:t>
      </w:r>
    </w:p>
    <w:p>
      <w:pPr>
        <w:sectPr>
          <w:pgSz w:w="11900" w:h="16838" w:orient="portrait"/>
          <w:cols w:equalWidth="0" w:num="1">
            <w:col w:w="11400"/>
          </w:cols>
          <w:pgMar w:left="240" w:top="280" w:right="259" w:bottom="1440" w:gutter="0" w:footer="0" w:header="0"/>
        </w:sectPr>
      </w:pPr>
    </w:p>
    <w:bookmarkStart w:id="55" w:name="page56"/>
    <w:bookmarkEnd w:id="55"/>
    <w:p>
      <w:pPr>
        <w:ind w:right="20" w:firstLine="921"/>
        <w:spacing w:after="0" w:line="268" w:lineRule="auto"/>
        <w:tabs>
          <w:tab w:leader="none" w:pos="1162" w:val="left"/>
        </w:tabs>
        <w:numPr>
          <w:ilvl w:val="0"/>
          <w:numId w:val="46"/>
        </w:numPr>
        <w:rPr>
          <w:rFonts w:ascii="Arial" w:cs="Arial" w:eastAsia="Arial" w:hAnsi="Arial"/>
          <w:sz w:val="18"/>
          <w:szCs w:val="18"/>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66" name="Picture 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
                    <pic:cNvPicPr>
                      <a:picLocks noChangeAspect="1" noChangeArrowheads="1"/>
                    </pic:cNvPicPr>
                  </pic:nvPicPr>
                  <pic:blipFill>
                    <a:blip r:embed="rId73">
                      <a:extLst>
                        <a:ext uri="{28A0092B-C50C-407E-A947-70E740481C1C}"/>
                      </a:extLst>
                    </a:blip>
                    <a:srcRect/>
                    <a:stretch>
                      <a:fillRect/>
                    </a:stretch>
                  </pic:blipFill>
                  <pic:spPr bwMode="auto">
                    <a:xfrm>
                      <a:off x="0" y="0"/>
                      <a:ext cx="7267575" cy="27940"/>
                    </a:xfrm>
                    <a:prstGeom prst="rect">
                      <a:avLst/>
                    </a:prstGeom>
                    <a:noFill/>
                  </pic:spPr>
                </pic:pic>
              </a:graphicData>
            </a:graphic>
          </wp:anchor>
        </w:drawing>
        <w:t>with respect to amounts credited to the Company Stock Fund pursuant to deferral elections by Outside Directors made pursuant to Section 3.1(a), Comcast Corporation Class A Common Stock, par value $0.01, including a fractional share;</w:t>
      </w:r>
    </w:p>
    <w:p>
      <w:pPr>
        <w:spacing w:after="0" w:line="132" w:lineRule="exact"/>
        <w:rPr>
          <w:sz w:val="20"/>
          <w:szCs w:val="20"/>
          <w:color w:val="auto"/>
        </w:rPr>
      </w:pPr>
    </w:p>
    <w:p>
      <w:pPr>
        <w:ind w:right="160"/>
        <w:spacing w:after="0" w:line="291" w:lineRule="auto"/>
        <w:rPr>
          <w:sz w:val="20"/>
          <w:szCs w:val="20"/>
          <w:color w:val="auto"/>
        </w:rPr>
      </w:pPr>
      <w:r>
        <w:rPr>
          <w:rFonts w:ascii="Arial" w:cs="Arial" w:eastAsia="Arial" w:hAnsi="Arial"/>
          <w:sz w:val="16"/>
          <w:szCs w:val="16"/>
          <w:color w:val="auto"/>
        </w:rPr>
        <w:t>and such other securities issued by Comcast Corporation as may be subject to adjustment in the event that shares of either class of Company Stock are changed into, or exchanged for, a different number or kind of shares of stock or other securities of the Company, whether through merger, consolidation, reorganization, recapitalization, stock dividend, stock split-up or other substitution of securities of the Company. In such event, the Committee shall make appropriate equitable anti-dilution adjustments to the number and class of hypothetical shares of Company Stock credited to Participants’ Accounts under the Company Stock Fund. Any reference to the term “Company Stock” in the Plan shall be a reference to the appropriate number and class of shares of stock as adjusted pursuant to this Section 2.15. The Committee’s adjustment shall be effective and binding for all purposes of the Plan.</w:t>
      </w:r>
    </w:p>
    <w:p>
      <w:pPr>
        <w:spacing w:after="0" w:line="120" w:lineRule="exact"/>
        <w:rPr>
          <w:sz w:val="20"/>
          <w:szCs w:val="20"/>
          <w:color w:val="auto"/>
        </w:rPr>
      </w:pPr>
    </w:p>
    <w:p>
      <w:pPr>
        <w:ind w:firstLine="456"/>
        <w:spacing w:after="0" w:line="294" w:lineRule="auto"/>
        <w:rPr>
          <w:sz w:val="20"/>
          <w:szCs w:val="20"/>
          <w:color w:val="auto"/>
        </w:rPr>
      </w:pPr>
      <w:r>
        <w:rPr>
          <w:rFonts w:ascii="Arial" w:cs="Arial" w:eastAsia="Arial" w:hAnsi="Arial"/>
          <w:sz w:val="16"/>
          <w:szCs w:val="16"/>
          <w:color w:val="auto"/>
        </w:rPr>
        <w:t>2.16. “</w:t>
      </w:r>
      <w:r>
        <w:rPr>
          <w:rFonts w:ascii="Arial" w:cs="Arial" w:eastAsia="Arial" w:hAnsi="Arial"/>
          <w:sz w:val="16"/>
          <w:szCs w:val="16"/>
          <w:u w:val="single" w:color="auto"/>
          <w:color w:val="auto"/>
        </w:rPr>
        <w:t>Company Stock Fund</w:t>
      </w:r>
      <w:r>
        <w:rPr>
          <w:rFonts w:ascii="Arial" w:cs="Arial" w:eastAsia="Arial" w:hAnsi="Arial"/>
          <w:sz w:val="16"/>
          <w:szCs w:val="16"/>
          <w:color w:val="auto"/>
        </w:rPr>
        <w:t>” means a hypothetical investment fund pursuant to which income, gains and losses are credited to a Participant’s Account as if the Account, to the extent deemed invested in the Company Stock Fund, were invested in hypothetical shares of Company Stock, and all dividends and other distributions paid with respect to Company Stock were held uninvested in cash, and reinvested in additional hypothetical shares of Company Stock as of the next succeeding December 31 (to the extent the Account continues to be deemed invested in the Company Stock Fund through such December 31), based on the Fair Market Value of the Company Stock for such December 31.</w:t>
      </w:r>
    </w:p>
    <w:p>
      <w:pPr>
        <w:spacing w:after="0" w:line="197" w:lineRule="exact"/>
        <w:rPr>
          <w:sz w:val="20"/>
          <w:szCs w:val="20"/>
          <w:color w:val="auto"/>
        </w:rPr>
      </w:pPr>
    </w:p>
    <w:p>
      <w:pPr>
        <w:ind w:left="460"/>
        <w:spacing w:after="0"/>
        <w:rPr>
          <w:sz w:val="20"/>
          <w:szCs w:val="20"/>
          <w:color w:val="auto"/>
        </w:rPr>
      </w:pPr>
      <w:r>
        <w:rPr>
          <w:rFonts w:ascii="Arial" w:cs="Arial" w:eastAsia="Arial" w:hAnsi="Arial"/>
          <w:sz w:val="18"/>
          <w:szCs w:val="18"/>
          <w:color w:val="auto"/>
        </w:rPr>
        <w:t>2.17. “</w:t>
      </w:r>
      <w:r>
        <w:rPr>
          <w:rFonts w:ascii="Arial" w:cs="Arial" w:eastAsia="Arial" w:hAnsi="Arial"/>
          <w:sz w:val="18"/>
          <w:szCs w:val="18"/>
          <w:u w:val="single" w:color="auto"/>
          <w:color w:val="auto"/>
        </w:rPr>
        <w:t>Compensation</w:t>
      </w:r>
      <w:r>
        <w:rPr>
          <w:rFonts w:ascii="Arial" w:cs="Arial" w:eastAsia="Arial" w:hAnsi="Arial"/>
          <w:sz w:val="18"/>
          <w:szCs w:val="18"/>
          <w:color w:val="auto"/>
        </w:rPr>
        <w:t>” means:</w:t>
      </w:r>
    </w:p>
    <w:p>
      <w:pPr>
        <w:spacing w:after="0" w:line="90" w:lineRule="exact"/>
        <w:rPr>
          <w:sz w:val="20"/>
          <w:szCs w:val="20"/>
          <w:color w:val="auto"/>
        </w:rPr>
      </w:pPr>
    </w:p>
    <w:p>
      <w:pPr>
        <w:ind w:right="80" w:firstLine="921"/>
        <w:spacing w:after="0" w:line="259" w:lineRule="auto"/>
        <w:tabs>
          <w:tab w:leader="none" w:pos="1152" w:val="left"/>
        </w:tabs>
        <w:numPr>
          <w:ilvl w:val="0"/>
          <w:numId w:val="47"/>
        </w:numPr>
        <w:rPr>
          <w:rFonts w:ascii="Arial" w:cs="Arial" w:eastAsia="Arial" w:hAnsi="Arial"/>
          <w:sz w:val="18"/>
          <w:szCs w:val="18"/>
          <w:color w:val="auto"/>
        </w:rPr>
      </w:pPr>
      <w:r>
        <w:rPr>
          <w:rFonts w:ascii="Arial" w:cs="Arial" w:eastAsia="Arial" w:hAnsi="Arial"/>
          <w:sz w:val="18"/>
          <w:szCs w:val="18"/>
          <w:color w:val="auto"/>
        </w:rPr>
        <w:t>In the case of an Outside Director, the total remuneration payable in cash or payable in Company Stock (as elected by the Outside Director pursuant to the Comcast Corporation 2003 Director Compensation Plan) for services as a member of the Board and as a member of any Committee of the Board; and</w:t>
      </w:r>
    </w:p>
    <w:p>
      <w:pPr>
        <w:spacing w:after="0" w:line="140" w:lineRule="exact"/>
        <w:rPr>
          <w:rFonts w:ascii="Arial" w:cs="Arial" w:eastAsia="Arial" w:hAnsi="Arial"/>
          <w:sz w:val="18"/>
          <w:szCs w:val="18"/>
          <w:color w:val="auto"/>
        </w:rPr>
      </w:pPr>
    </w:p>
    <w:p>
      <w:pPr>
        <w:ind w:right="160" w:firstLine="921"/>
        <w:spacing w:after="0" w:line="268" w:lineRule="auto"/>
        <w:tabs>
          <w:tab w:leader="none" w:pos="1162" w:val="left"/>
        </w:tabs>
        <w:numPr>
          <w:ilvl w:val="0"/>
          <w:numId w:val="47"/>
        </w:numPr>
        <w:rPr>
          <w:rFonts w:ascii="Arial" w:cs="Arial" w:eastAsia="Arial" w:hAnsi="Arial"/>
          <w:sz w:val="18"/>
          <w:szCs w:val="18"/>
          <w:color w:val="auto"/>
        </w:rPr>
      </w:pPr>
      <w:r>
        <w:rPr>
          <w:rFonts w:ascii="Arial" w:cs="Arial" w:eastAsia="Arial" w:hAnsi="Arial"/>
          <w:sz w:val="18"/>
          <w:szCs w:val="18"/>
          <w:color w:val="auto"/>
        </w:rPr>
        <w:t>In the case of an Eligible Employee, the total cash remuneration for services payable by a Participating Company, excluding sales commissions or other similar payments or awards.</w:t>
      </w:r>
    </w:p>
    <w:p>
      <w:pPr>
        <w:spacing w:after="0" w:line="132" w:lineRule="exact"/>
        <w:rPr>
          <w:sz w:val="20"/>
          <w:szCs w:val="20"/>
          <w:color w:val="auto"/>
        </w:rPr>
      </w:pPr>
    </w:p>
    <w:p>
      <w:pPr>
        <w:ind w:right="20" w:firstLine="456"/>
        <w:spacing w:after="0" w:line="298" w:lineRule="auto"/>
        <w:rPr>
          <w:sz w:val="20"/>
          <w:szCs w:val="20"/>
          <w:color w:val="auto"/>
        </w:rPr>
      </w:pPr>
      <w:r>
        <w:rPr>
          <w:rFonts w:ascii="Arial" w:cs="Arial" w:eastAsia="Arial" w:hAnsi="Arial"/>
          <w:sz w:val="16"/>
          <w:szCs w:val="16"/>
          <w:color w:val="auto"/>
        </w:rPr>
        <w:t>2.18. “</w:t>
      </w:r>
      <w:r>
        <w:rPr>
          <w:rFonts w:ascii="Arial" w:cs="Arial" w:eastAsia="Arial" w:hAnsi="Arial"/>
          <w:sz w:val="16"/>
          <w:szCs w:val="16"/>
          <w:u w:val="single" w:color="auto"/>
          <w:color w:val="auto"/>
        </w:rPr>
        <w:t>Death Tax Clearance Date</w:t>
      </w:r>
      <w:r>
        <w:rPr>
          <w:rFonts w:ascii="Arial" w:cs="Arial" w:eastAsia="Arial" w:hAnsi="Arial"/>
          <w:sz w:val="16"/>
          <w:szCs w:val="16"/>
          <w:color w:val="auto"/>
        </w:rPr>
        <w:t>” means the date upon which a Deceased Participant’s or a deceased Beneficiary’s Personal Representative certifies to the Administrator that (i) such Deceased Participant’s or deceased Beneficiary’s Death Taxes have been finally determined, (ii) all of such Deceased Participant’s or deceased Beneficiary’s Death Taxes apportioned against the Deceased Participant’s or deceased Beneficiary’s Account have been paid in full and (iii) all potential liability for Death Taxes with respect to the Deceased Participant’s or deceased Beneficiary’s Account has been satisfied.</w:t>
      </w:r>
    </w:p>
    <w:p>
      <w:pPr>
        <w:spacing w:after="0" w:line="113" w:lineRule="exact"/>
        <w:rPr>
          <w:sz w:val="20"/>
          <w:szCs w:val="20"/>
          <w:color w:val="auto"/>
        </w:rPr>
      </w:pPr>
    </w:p>
    <w:p>
      <w:pPr>
        <w:ind w:right="140" w:firstLine="456"/>
        <w:spacing w:after="0" w:line="332" w:lineRule="auto"/>
        <w:rPr>
          <w:sz w:val="20"/>
          <w:szCs w:val="20"/>
          <w:color w:val="auto"/>
        </w:rPr>
      </w:pPr>
      <w:r>
        <w:rPr>
          <w:rFonts w:ascii="Arial" w:cs="Arial" w:eastAsia="Arial" w:hAnsi="Arial"/>
          <w:sz w:val="16"/>
          <w:szCs w:val="16"/>
          <w:color w:val="auto"/>
        </w:rPr>
        <w:t>2.19. “</w:t>
      </w:r>
      <w:r>
        <w:rPr>
          <w:rFonts w:ascii="Arial" w:cs="Arial" w:eastAsia="Arial" w:hAnsi="Arial"/>
          <w:sz w:val="16"/>
          <w:szCs w:val="16"/>
          <w:u w:val="single" w:color="auto"/>
          <w:color w:val="auto"/>
        </w:rPr>
        <w:t>Death Taxes</w:t>
      </w:r>
      <w:r>
        <w:rPr>
          <w:rFonts w:ascii="Arial" w:cs="Arial" w:eastAsia="Arial" w:hAnsi="Arial"/>
          <w:sz w:val="16"/>
          <w:szCs w:val="16"/>
          <w:color w:val="auto"/>
        </w:rPr>
        <w:t>” means any and all estate, inheritance, generation-skipping transfer, and other death taxes as well as any interest and penalties thereon imposed by any governmental entity (a “taxing authority”) as a result of the death of the Participant or the Participant’s Beneficiary.</w:t>
      </w:r>
    </w:p>
    <w:p>
      <w:pPr>
        <w:spacing w:after="0" w:line="72"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w:t>
      </w:r>
    </w:p>
    <w:p>
      <w:pPr>
        <w:sectPr>
          <w:pgSz w:w="11900" w:h="16838" w:orient="portrait"/>
          <w:cols w:equalWidth="0" w:num="1">
            <w:col w:w="11400"/>
          </w:cols>
          <w:pgMar w:left="240" w:top="280" w:right="259" w:bottom="1440" w:gutter="0" w:footer="0" w:header="0"/>
        </w:sectPr>
      </w:pPr>
    </w:p>
    <w:bookmarkStart w:id="56" w:name="page57"/>
    <w:bookmarkEnd w:id="56"/>
    <w:p>
      <w:pPr>
        <w:ind w:right="340" w:firstLine="456"/>
        <w:spacing w:after="0" w:line="268"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67" name="Picture 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
                    <pic:cNvPicPr>
                      <a:picLocks noChangeAspect="1" noChangeArrowheads="1"/>
                    </pic:cNvPicPr>
                  </pic:nvPicPr>
                  <pic:blipFill>
                    <a:blip r:embed="rId74">
                      <a:extLst>
                        <a:ext uri="{28A0092B-C50C-407E-A947-70E740481C1C}"/>
                      </a:extLst>
                    </a:blip>
                    <a:srcRect/>
                    <a:stretch>
                      <a:fillRect/>
                    </a:stretch>
                  </pic:blipFill>
                  <pic:spPr bwMode="auto">
                    <a:xfrm>
                      <a:off x="0" y="0"/>
                      <a:ext cx="7267575" cy="27940"/>
                    </a:xfrm>
                    <a:prstGeom prst="rect">
                      <a:avLst/>
                    </a:prstGeom>
                    <a:noFill/>
                  </pic:spPr>
                </pic:pic>
              </a:graphicData>
            </a:graphic>
          </wp:anchor>
        </w:drawing>
        <w:t>2.20. “</w:t>
      </w:r>
      <w:r>
        <w:rPr>
          <w:rFonts w:ascii="Arial" w:cs="Arial" w:eastAsia="Arial" w:hAnsi="Arial"/>
          <w:sz w:val="18"/>
          <w:szCs w:val="18"/>
          <w:u w:val="single" w:color="auto"/>
          <w:color w:val="auto"/>
        </w:rPr>
        <w:t>Deceased Participant</w:t>
      </w:r>
      <w:r>
        <w:rPr>
          <w:rFonts w:ascii="Arial" w:cs="Arial" w:eastAsia="Arial" w:hAnsi="Arial"/>
          <w:sz w:val="18"/>
          <w:szCs w:val="18"/>
          <w:color w:val="auto"/>
        </w:rPr>
        <w:t>” means a Participant whose employment, or, in the case of a Participant who was an Outside Director, a Participant whose service as an Outside Director, is terminated by death.</w:t>
      </w:r>
    </w:p>
    <w:p>
      <w:pPr>
        <w:spacing w:after="0" w:line="213" w:lineRule="exact"/>
        <w:rPr>
          <w:sz w:val="20"/>
          <w:szCs w:val="20"/>
          <w:color w:val="auto"/>
        </w:rPr>
      </w:pPr>
    </w:p>
    <w:p>
      <w:pPr>
        <w:ind w:left="460"/>
        <w:spacing w:after="0"/>
        <w:rPr>
          <w:sz w:val="20"/>
          <w:szCs w:val="20"/>
          <w:color w:val="auto"/>
        </w:rPr>
      </w:pPr>
      <w:r>
        <w:rPr>
          <w:rFonts w:ascii="Arial" w:cs="Arial" w:eastAsia="Arial" w:hAnsi="Arial"/>
          <w:sz w:val="18"/>
          <w:szCs w:val="18"/>
          <w:color w:val="auto"/>
        </w:rPr>
        <w:t>2.21. “</w:t>
      </w:r>
      <w:r>
        <w:rPr>
          <w:rFonts w:ascii="Arial" w:cs="Arial" w:eastAsia="Arial" w:hAnsi="Arial"/>
          <w:sz w:val="18"/>
          <w:szCs w:val="18"/>
          <w:u w:val="single" w:color="auto"/>
          <w:color w:val="auto"/>
        </w:rPr>
        <w:t>Disabled Participant</w:t>
      </w:r>
      <w:r>
        <w:rPr>
          <w:rFonts w:ascii="Arial" w:cs="Arial" w:eastAsia="Arial" w:hAnsi="Arial"/>
          <w:sz w:val="18"/>
          <w:szCs w:val="18"/>
          <w:color w:val="auto"/>
        </w:rPr>
        <w:t>” means:</w:t>
      </w:r>
    </w:p>
    <w:p>
      <w:pPr>
        <w:spacing w:after="0" w:line="90" w:lineRule="exact"/>
        <w:rPr>
          <w:sz w:val="20"/>
          <w:szCs w:val="20"/>
          <w:color w:val="auto"/>
        </w:rPr>
      </w:pPr>
    </w:p>
    <w:p>
      <w:pPr>
        <w:ind w:firstLine="921"/>
        <w:spacing w:after="0" w:line="268" w:lineRule="auto"/>
        <w:tabs>
          <w:tab w:leader="none" w:pos="1152" w:val="left"/>
        </w:tabs>
        <w:numPr>
          <w:ilvl w:val="0"/>
          <w:numId w:val="48"/>
        </w:numPr>
        <w:rPr>
          <w:rFonts w:ascii="Arial" w:cs="Arial" w:eastAsia="Arial" w:hAnsi="Arial"/>
          <w:sz w:val="18"/>
          <w:szCs w:val="18"/>
          <w:color w:val="auto"/>
        </w:rPr>
      </w:pPr>
      <w:r>
        <w:rPr>
          <w:rFonts w:ascii="Arial" w:cs="Arial" w:eastAsia="Arial" w:hAnsi="Arial"/>
          <w:sz w:val="18"/>
          <w:szCs w:val="18"/>
          <w:color w:val="auto"/>
        </w:rPr>
        <w:t>A Participant whose employment or, in the case of a Participant who is an Outside Director, a Participant whose service as an Outside Director, is terminated by reason of disability;</w:t>
      </w:r>
    </w:p>
    <w:p>
      <w:pPr>
        <w:spacing w:after="0" w:line="131" w:lineRule="exact"/>
        <w:rPr>
          <w:rFonts w:ascii="Arial" w:cs="Arial" w:eastAsia="Arial" w:hAnsi="Arial"/>
          <w:sz w:val="18"/>
          <w:szCs w:val="18"/>
          <w:color w:val="auto"/>
        </w:rPr>
      </w:pPr>
    </w:p>
    <w:p>
      <w:pPr>
        <w:ind w:left="1160" w:hanging="239"/>
        <w:spacing w:after="0"/>
        <w:tabs>
          <w:tab w:leader="none" w:pos="1160" w:val="left"/>
        </w:tabs>
        <w:numPr>
          <w:ilvl w:val="0"/>
          <w:numId w:val="48"/>
        </w:numPr>
        <w:rPr>
          <w:rFonts w:ascii="Arial" w:cs="Arial" w:eastAsia="Arial" w:hAnsi="Arial"/>
          <w:sz w:val="18"/>
          <w:szCs w:val="18"/>
          <w:color w:val="auto"/>
        </w:rPr>
      </w:pPr>
      <w:r>
        <w:rPr>
          <w:rFonts w:ascii="Arial" w:cs="Arial" w:eastAsia="Arial" w:hAnsi="Arial"/>
          <w:sz w:val="18"/>
          <w:szCs w:val="18"/>
          <w:color w:val="auto"/>
        </w:rPr>
        <w:t>The duly-appointed legal guardian of an individual described in Section 2.21(a) acting on behalf of such individual.</w:t>
      </w:r>
    </w:p>
    <w:p>
      <w:pPr>
        <w:spacing w:after="0" w:line="252" w:lineRule="exact"/>
        <w:rPr>
          <w:sz w:val="20"/>
          <w:szCs w:val="20"/>
          <w:color w:val="auto"/>
        </w:rPr>
      </w:pPr>
    </w:p>
    <w:p>
      <w:pPr>
        <w:ind w:left="460"/>
        <w:spacing w:after="0"/>
        <w:rPr>
          <w:sz w:val="20"/>
          <w:szCs w:val="20"/>
          <w:color w:val="auto"/>
        </w:rPr>
      </w:pPr>
      <w:r>
        <w:rPr>
          <w:rFonts w:ascii="Arial" w:cs="Arial" w:eastAsia="Arial" w:hAnsi="Arial"/>
          <w:sz w:val="18"/>
          <w:szCs w:val="18"/>
          <w:color w:val="auto"/>
        </w:rPr>
        <w:t>2.22. “</w:t>
      </w:r>
      <w:r>
        <w:rPr>
          <w:rFonts w:ascii="Arial" w:cs="Arial" w:eastAsia="Arial" w:hAnsi="Arial"/>
          <w:sz w:val="18"/>
          <w:szCs w:val="18"/>
          <w:u w:val="single" w:color="auto"/>
          <w:color w:val="auto"/>
        </w:rPr>
        <w:t>Eligible Employee</w:t>
      </w:r>
      <w:r>
        <w:rPr>
          <w:rFonts w:ascii="Arial" w:cs="Arial" w:eastAsia="Arial" w:hAnsi="Arial"/>
          <w:sz w:val="18"/>
          <w:szCs w:val="18"/>
          <w:color w:val="auto"/>
        </w:rPr>
        <w:t>” means:</w:t>
      </w:r>
    </w:p>
    <w:p>
      <w:pPr>
        <w:spacing w:after="0" w:line="90" w:lineRule="exact"/>
        <w:rPr>
          <w:sz w:val="20"/>
          <w:szCs w:val="20"/>
          <w:color w:val="auto"/>
        </w:rPr>
      </w:pPr>
    </w:p>
    <w:p>
      <w:pPr>
        <w:ind w:left="1160" w:hanging="239"/>
        <w:spacing w:after="0"/>
        <w:tabs>
          <w:tab w:leader="none" w:pos="1160" w:val="left"/>
        </w:tabs>
        <w:numPr>
          <w:ilvl w:val="0"/>
          <w:numId w:val="49"/>
        </w:numPr>
        <w:rPr>
          <w:rFonts w:ascii="Arial" w:cs="Arial" w:eastAsia="Arial" w:hAnsi="Arial"/>
          <w:sz w:val="18"/>
          <w:szCs w:val="18"/>
          <w:color w:val="auto"/>
        </w:rPr>
      </w:pPr>
      <w:r>
        <w:rPr>
          <w:rFonts w:ascii="Arial" w:cs="Arial" w:eastAsia="Arial" w:hAnsi="Arial"/>
          <w:sz w:val="18"/>
          <w:szCs w:val="18"/>
          <w:color w:val="auto"/>
        </w:rPr>
        <w:t>Each employee of a Participating Company who, as of December 31, 1989, was eligible to participate in the Prior Plan.</w:t>
      </w:r>
    </w:p>
    <w:p>
      <w:pPr>
        <w:spacing w:after="0" w:line="171" w:lineRule="exact"/>
        <w:rPr>
          <w:rFonts w:ascii="Arial" w:cs="Arial" w:eastAsia="Arial" w:hAnsi="Arial"/>
          <w:sz w:val="18"/>
          <w:szCs w:val="18"/>
          <w:color w:val="auto"/>
        </w:rPr>
      </w:pPr>
    </w:p>
    <w:p>
      <w:pPr>
        <w:ind w:right="280" w:firstLine="921"/>
        <w:spacing w:after="0" w:line="259" w:lineRule="auto"/>
        <w:tabs>
          <w:tab w:leader="none" w:pos="1162" w:val="left"/>
        </w:tabs>
        <w:numPr>
          <w:ilvl w:val="0"/>
          <w:numId w:val="49"/>
        </w:numPr>
        <w:rPr>
          <w:rFonts w:ascii="Arial" w:cs="Arial" w:eastAsia="Arial" w:hAnsi="Arial"/>
          <w:sz w:val="18"/>
          <w:szCs w:val="18"/>
          <w:color w:val="auto"/>
        </w:rPr>
      </w:pPr>
      <w:r>
        <w:rPr>
          <w:rFonts w:ascii="Arial" w:cs="Arial" w:eastAsia="Arial" w:hAnsi="Arial"/>
          <w:sz w:val="18"/>
          <w:szCs w:val="18"/>
          <w:color w:val="auto"/>
        </w:rPr>
        <w:t>Each employee of a Participating Company who was, at any time before January 1, 1995, eligible to participate in the Prior Plan and whose Annual Rate of Pay is $90,000 or more as of both (i) the date on which an Initial Election is filed with the Administrator and (ii) the first day of each calendar year beginning after December 31, 1994.</w:t>
      </w:r>
    </w:p>
    <w:p>
      <w:pPr>
        <w:spacing w:after="0" w:line="140" w:lineRule="exact"/>
        <w:rPr>
          <w:rFonts w:ascii="Arial" w:cs="Arial" w:eastAsia="Arial" w:hAnsi="Arial"/>
          <w:sz w:val="18"/>
          <w:szCs w:val="18"/>
          <w:color w:val="auto"/>
        </w:rPr>
      </w:pPr>
    </w:p>
    <w:p>
      <w:pPr>
        <w:ind w:firstLine="921"/>
        <w:spacing w:after="0" w:line="259" w:lineRule="auto"/>
        <w:tabs>
          <w:tab w:leader="none" w:pos="1152" w:val="left"/>
        </w:tabs>
        <w:numPr>
          <w:ilvl w:val="0"/>
          <w:numId w:val="49"/>
        </w:numPr>
        <w:rPr>
          <w:rFonts w:ascii="Arial" w:cs="Arial" w:eastAsia="Arial" w:hAnsi="Arial"/>
          <w:sz w:val="18"/>
          <w:szCs w:val="18"/>
          <w:color w:val="auto"/>
        </w:rPr>
      </w:pPr>
      <w:r>
        <w:rPr>
          <w:rFonts w:ascii="Arial" w:cs="Arial" w:eastAsia="Arial" w:hAnsi="Arial"/>
          <w:sz w:val="18"/>
          <w:szCs w:val="18"/>
          <w:color w:val="auto"/>
        </w:rPr>
        <w:t>Each individual who was an employee of an entity that was a Participating Company in the Plan as of June 30, 2002 and who has an Annual Rate of Pay of $125,000 as of each of (i) June 30, 2002; (ii) the date on which an Initial Election is filed with the Administrator and (iii) the first day of each calendar year beginning after December 31, 2002.</w:t>
      </w:r>
    </w:p>
    <w:p>
      <w:pPr>
        <w:spacing w:after="0" w:line="140" w:lineRule="exact"/>
        <w:rPr>
          <w:rFonts w:ascii="Arial" w:cs="Arial" w:eastAsia="Arial" w:hAnsi="Arial"/>
          <w:sz w:val="18"/>
          <w:szCs w:val="18"/>
          <w:color w:val="auto"/>
        </w:rPr>
      </w:pPr>
    </w:p>
    <w:p>
      <w:pPr>
        <w:ind w:right="80" w:firstLine="921"/>
        <w:spacing w:after="0" w:line="268" w:lineRule="auto"/>
        <w:tabs>
          <w:tab w:leader="none" w:pos="1162" w:val="left"/>
        </w:tabs>
        <w:numPr>
          <w:ilvl w:val="0"/>
          <w:numId w:val="49"/>
        </w:numPr>
        <w:rPr>
          <w:rFonts w:ascii="Arial" w:cs="Arial" w:eastAsia="Arial" w:hAnsi="Arial"/>
          <w:sz w:val="18"/>
          <w:szCs w:val="18"/>
          <w:color w:val="auto"/>
        </w:rPr>
      </w:pPr>
      <w:r>
        <w:rPr>
          <w:rFonts w:ascii="Arial" w:cs="Arial" w:eastAsia="Arial" w:hAnsi="Arial"/>
          <w:sz w:val="18"/>
          <w:szCs w:val="18"/>
          <w:color w:val="auto"/>
        </w:rPr>
        <w:t>Each employee of a Participating Company whose Annual Rate of Pay is $200,000 or more as of both (i) the date on which an Initial Election is filed with the Administrator and (ii) the first day of the calendar year in which such Initial Election is filed.</w:t>
      </w:r>
    </w:p>
    <w:p>
      <w:pPr>
        <w:spacing w:after="0" w:line="131" w:lineRule="exact"/>
        <w:rPr>
          <w:rFonts w:ascii="Arial" w:cs="Arial" w:eastAsia="Arial" w:hAnsi="Arial"/>
          <w:sz w:val="18"/>
          <w:szCs w:val="18"/>
          <w:color w:val="auto"/>
        </w:rPr>
      </w:pPr>
    </w:p>
    <w:p>
      <w:pPr>
        <w:ind w:left="1160" w:hanging="239"/>
        <w:spacing w:after="0"/>
        <w:tabs>
          <w:tab w:leader="none" w:pos="1160" w:val="left"/>
        </w:tabs>
        <w:numPr>
          <w:ilvl w:val="0"/>
          <w:numId w:val="49"/>
        </w:numPr>
        <w:rPr>
          <w:rFonts w:ascii="Arial" w:cs="Arial" w:eastAsia="Arial" w:hAnsi="Arial"/>
          <w:sz w:val="18"/>
          <w:szCs w:val="18"/>
          <w:color w:val="auto"/>
        </w:rPr>
      </w:pPr>
      <w:r>
        <w:rPr>
          <w:rFonts w:ascii="Arial" w:cs="Arial" w:eastAsia="Arial" w:hAnsi="Arial"/>
          <w:sz w:val="18"/>
          <w:szCs w:val="18"/>
          <w:color w:val="auto"/>
        </w:rPr>
        <w:t>Each New Key Employee.</w:t>
      </w:r>
    </w:p>
    <w:p>
      <w:pPr>
        <w:spacing w:after="0" w:line="171" w:lineRule="exact"/>
        <w:rPr>
          <w:rFonts w:ascii="Arial" w:cs="Arial" w:eastAsia="Arial" w:hAnsi="Arial"/>
          <w:sz w:val="18"/>
          <w:szCs w:val="18"/>
          <w:color w:val="auto"/>
        </w:rPr>
      </w:pPr>
    </w:p>
    <w:p>
      <w:pPr>
        <w:ind w:right="40" w:firstLine="921"/>
        <w:spacing w:after="0" w:line="256" w:lineRule="auto"/>
        <w:tabs>
          <w:tab w:leader="none" w:pos="1132" w:val="left"/>
        </w:tabs>
        <w:numPr>
          <w:ilvl w:val="0"/>
          <w:numId w:val="49"/>
        </w:numPr>
        <w:rPr>
          <w:rFonts w:ascii="Arial" w:cs="Arial" w:eastAsia="Arial" w:hAnsi="Arial"/>
          <w:sz w:val="18"/>
          <w:szCs w:val="18"/>
          <w:color w:val="auto"/>
        </w:rPr>
      </w:pPr>
      <w:r>
        <w:rPr>
          <w:rFonts w:ascii="Arial" w:cs="Arial" w:eastAsia="Arial" w:hAnsi="Arial"/>
          <w:sz w:val="18"/>
          <w:szCs w:val="18"/>
          <w:color w:val="auto"/>
        </w:rPr>
        <w:t>Each employee of a Participating Company who (i) as of December 31, 2002, was an “Eligible Employee” within the meaning of Section 2.34 of the AT&amp;T Broadband Deferred Compensation Plan (as amended and restated, effective November 18, 2002) with respect to whom an account was maintained, and (ii) for the period beginning on December 31, 2002 and extending through any date of determination, has been actively and continuously in service to the Company or an Affiliate.</w:t>
      </w:r>
    </w:p>
    <w:p>
      <w:pPr>
        <w:spacing w:after="0" w:line="143" w:lineRule="exact"/>
        <w:rPr>
          <w:rFonts w:ascii="Arial" w:cs="Arial" w:eastAsia="Arial" w:hAnsi="Arial"/>
          <w:sz w:val="18"/>
          <w:szCs w:val="18"/>
          <w:color w:val="auto"/>
        </w:rPr>
      </w:pPr>
    </w:p>
    <w:p>
      <w:pPr>
        <w:ind w:left="1160" w:hanging="239"/>
        <w:spacing w:after="0"/>
        <w:tabs>
          <w:tab w:leader="none" w:pos="1160" w:val="left"/>
        </w:tabs>
        <w:numPr>
          <w:ilvl w:val="0"/>
          <w:numId w:val="49"/>
        </w:numPr>
        <w:rPr>
          <w:rFonts w:ascii="Arial" w:cs="Arial" w:eastAsia="Arial" w:hAnsi="Arial"/>
          <w:sz w:val="16"/>
          <w:szCs w:val="16"/>
          <w:color w:val="auto"/>
        </w:rPr>
      </w:pPr>
      <w:r>
        <w:rPr>
          <w:rFonts w:ascii="Arial" w:cs="Arial" w:eastAsia="Arial" w:hAnsi="Arial"/>
          <w:sz w:val="16"/>
          <w:szCs w:val="16"/>
          <w:color w:val="auto"/>
        </w:rPr>
        <w:t>Each other employee of a Participating Company who is designated by the Committee, in its discretion, as an Eligible Employee.</w:t>
      </w:r>
    </w:p>
    <w:p>
      <w:pPr>
        <w:spacing w:after="0" w:line="181"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-5-</w:t>
      </w:r>
    </w:p>
    <w:p>
      <w:pPr>
        <w:sectPr>
          <w:pgSz w:w="11900" w:h="16838" w:orient="portrait"/>
          <w:cols w:equalWidth="0" w:num="1">
            <w:col w:w="11380"/>
          </w:cols>
          <w:pgMar w:left="240" w:top="280" w:right="279" w:bottom="1440" w:gutter="0" w:footer="0" w:header="0"/>
        </w:sectPr>
      </w:pPr>
    </w:p>
    <w:bookmarkStart w:id="57" w:name="page58"/>
    <w:bookmarkEnd w:id="57"/>
    <w:p>
      <w:pPr>
        <w:ind w:left="460"/>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68" name="Picture 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
                    <pic:cNvPicPr>
                      <a:picLocks noChangeAspect="1" noChangeArrowheads="1"/>
                    </pic:cNvPicPr>
                  </pic:nvPicPr>
                  <pic:blipFill>
                    <a:blip r:embed="rId75">
                      <a:extLst>
                        <a:ext uri="{28A0092B-C50C-407E-A947-70E740481C1C}"/>
                      </a:extLst>
                    </a:blip>
                    <a:srcRect/>
                    <a:stretch>
                      <a:fillRect/>
                    </a:stretch>
                  </pic:blipFill>
                  <pic:spPr bwMode="auto">
                    <a:xfrm>
                      <a:off x="0" y="0"/>
                      <a:ext cx="7267575" cy="27940"/>
                    </a:xfrm>
                    <a:prstGeom prst="rect">
                      <a:avLst/>
                    </a:prstGeom>
                    <a:noFill/>
                  </pic:spPr>
                </pic:pic>
              </a:graphicData>
            </a:graphic>
          </wp:anchor>
        </w:drawing>
        <w:t>2.23. “</w:t>
      </w:r>
      <w:r>
        <w:rPr>
          <w:rFonts w:ascii="Arial" w:cs="Arial" w:eastAsia="Arial" w:hAnsi="Arial"/>
          <w:sz w:val="18"/>
          <w:szCs w:val="18"/>
          <w:u w:val="single" w:color="auto"/>
          <w:color w:val="auto"/>
        </w:rPr>
        <w:t>Fair Market Value</w:t>
      </w:r>
      <w:r>
        <w:rPr>
          <w:rFonts w:ascii="Arial" w:cs="Arial" w:eastAsia="Arial" w:hAnsi="Arial"/>
          <w:sz w:val="18"/>
          <w:szCs w:val="18"/>
          <w:color w:val="auto"/>
        </w:rPr>
        <w:t>”</w:t>
      </w:r>
    </w:p>
    <w:p>
      <w:pPr>
        <w:spacing w:after="0" w:line="90" w:lineRule="exact"/>
        <w:rPr>
          <w:sz w:val="20"/>
          <w:szCs w:val="20"/>
          <w:color w:val="auto"/>
        </w:rPr>
      </w:pPr>
    </w:p>
    <w:p>
      <w:pPr>
        <w:ind w:right="60" w:firstLine="921"/>
        <w:spacing w:after="0" w:line="332" w:lineRule="auto"/>
        <w:tabs>
          <w:tab w:leader="none" w:pos="1152" w:val="left"/>
        </w:tabs>
        <w:numPr>
          <w:ilvl w:val="0"/>
          <w:numId w:val="50"/>
        </w:numPr>
        <w:rPr>
          <w:rFonts w:ascii="Arial" w:cs="Arial" w:eastAsia="Arial" w:hAnsi="Arial"/>
          <w:sz w:val="16"/>
          <w:szCs w:val="16"/>
          <w:color w:val="auto"/>
        </w:rPr>
      </w:pPr>
      <w:r>
        <w:rPr>
          <w:rFonts w:ascii="Arial" w:cs="Arial" w:eastAsia="Arial" w:hAnsi="Arial"/>
          <w:sz w:val="16"/>
          <w:szCs w:val="16"/>
          <w:color w:val="auto"/>
        </w:rPr>
        <w:t>If shares of Company Stock are listed on a stock exchange, Fair Market Value shall be determined based on the last reported sale price of a share on the principal exchange on which shares are listed on the date of determination, or if such date is not a trading day, the next trading date.</w:t>
      </w:r>
    </w:p>
    <w:p>
      <w:pPr>
        <w:spacing w:after="0" w:line="85" w:lineRule="exact"/>
        <w:rPr>
          <w:rFonts w:ascii="Arial" w:cs="Arial" w:eastAsia="Arial" w:hAnsi="Arial"/>
          <w:sz w:val="16"/>
          <w:szCs w:val="16"/>
          <w:color w:val="auto"/>
        </w:rPr>
      </w:pPr>
    </w:p>
    <w:p>
      <w:pPr>
        <w:ind w:right="20" w:firstLine="921"/>
        <w:spacing w:after="0" w:line="259" w:lineRule="auto"/>
        <w:tabs>
          <w:tab w:leader="none" w:pos="1162" w:val="left"/>
        </w:tabs>
        <w:numPr>
          <w:ilvl w:val="0"/>
          <w:numId w:val="50"/>
        </w:numPr>
        <w:rPr>
          <w:rFonts w:ascii="Arial" w:cs="Arial" w:eastAsia="Arial" w:hAnsi="Arial"/>
          <w:sz w:val="18"/>
          <w:szCs w:val="18"/>
          <w:color w:val="auto"/>
        </w:rPr>
      </w:pPr>
      <w:r>
        <w:rPr>
          <w:rFonts w:ascii="Arial" w:cs="Arial" w:eastAsia="Arial" w:hAnsi="Arial"/>
          <w:sz w:val="18"/>
          <w:szCs w:val="18"/>
          <w:color w:val="auto"/>
        </w:rPr>
        <w:t>If shares of Company Stock are not so listed, but trades of shares are reported on the Nasdaq National Market, Fair Market Value shall be determined based on the last quoted sale price of a share on the Nasdaq National Market on the date of determination, or if such date is not a trading day, the next trading date.</w:t>
      </w:r>
    </w:p>
    <w:p>
      <w:pPr>
        <w:spacing w:after="0" w:line="140" w:lineRule="exact"/>
        <w:rPr>
          <w:rFonts w:ascii="Arial" w:cs="Arial" w:eastAsia="Arial" w:hAnsi="Arial"/>
          <w:sz w:val="18"/>
          <w:szCs w:val="18"/>
          <w:color w:val="auto"/>
        </w:rPr>
      </w:pPr>
    </w:p>
    <w:p>
      <w:pPr>
        <w:ind w:left="1160" w:hanging="239"/>
        <w:spacing w:after="0"/>
        <w:tabs>
          <w:tab w:leader="none" w:pos="1160" w:val="left"/>
        </w:tabs>
        <w:numPr>
          <w:ilvl w:val="0"/>
          <w:numId w:val="50"/>
        </w:numPr>
        <w:rPr>
          <w:rFonts w:ascii="Arial" w:cs="Arial" w:eastAsia="Arial" w:hAnsi="Arial"/>
          <w:sz w:val="16"/>
          <w:szCs w:val="16"/>
          <w:color w:val="auto"/>
        </w:rPr>
      </w:pPr>
      <w:r>
        <w:rPr>
          <w:rFonts w:ascii="Arial" w:cs="Arial" w:eastAsia="Arial" w:hAnsi="Arial"/>
          <w:sz w:val="16"/>
          <w:szCs w:val="16"/>
          <w:color w:val="auto"/>
        </w:rPr>
        <w:t>If shares of Company Stock are not so listed nor trades of shares so reported, Fair Market Value shall be determined by the Committee in good</w:t>
      </w:r>
    </w:p>
    <w:p>
      <w:pPr>
        <w:spacing w:after="0" w:line="38" w:lineRule="exact"/>
        <w:rPr>
          <w:rFonts w:ascii="Arial" w:cs="Arial" w:eastAsia="Arial" w:hAnsi="Arial"/>
          <w:sz w:val="16"/>
          <w:szCs w:val="16"/>
          <w:color w:val="auto"/>
        </w:rPr>
      </w:pPr>
    </w:p>
    <w:p>
      <w:pPr>
        <w:spacing w:after="0"/>
        <w:rPr>
          <w:rFonts w:ascii="Arial" w:cs="Arial" w:eastAsia="Arial" w:hAnsi="Arial"/>
          <w:sz w:val="16"/>
          <w:szCs w:val="16"/>
          <w:color w:val="auto"/>
        </w:rPr>
      </w:pPr>
      <w:r>
        <w:rPr>
          <w:rFonts w:ascii="Arial" w:cs="Arial" w:eastAsia="Arial" w:hAnsi="Arial"/>
          <w:sz w:val="18"/>
          <w:szCs w:val="18"/>
          <w:color w:val="auto"/>
        </w:rPr>
        <w:t>faith.</w:t>
      </w:r>
    </w:p>
    <w:p>
      <w:pPr>
        <w:spacing w:after="0" w:line="165" w:lineRule="exact"/>
        <w:rPr>
          <w:sz w:val="20"/>
          <w:szCs w:val="20"/>
          <w:color w:val="auto"/>
        </w:rPr>
      </w:pPr>
    </w:p>
    <w:p>
      <w:pPr>
        <w:ind w:right="280" w:firstLine="456"/>
        <w:spacing w:after="0" w:line="268" w:lineRule="auto"/>
        <w:rPr>
          <w:sz w:val="20"/>
          <w:szCs w:val="20"/>
          <w:color w:val="auto"/>
        </w:rPr>
      </w:pPr>
      <w:r>
        <w:rPr>
          <w:rFonts w:ascii="Arial" w:cs="Arial" w:eastAsia="Arial" w:hAnsi="Arial"/>
          <w:sz w:val="18"/>
          <w:szCs w:val="18"/>
          <w:color w:val="auto"/>
        </w:rPr>
        <w:t>2.24. “</w:t>
      </w:r>
      <w:r>
        <w:rPr>
          <w:rFonts w:ascii="Arial" w:cs="Arial" w:eastAsia="Arial" w:hAnsi="Arial"/>
          <w:sz w:val="18"/>
          <w:szCs w:val="18"/>
          <w:u w:val="single" w:color="auto"/>
          <w:color w:val="auto"/>
        </w:rPr>
        <w:t>Former Eligible Employee</w:t>
      </w:r>
      <w:r>
        <w:rPr>
          <w:rFonts w:ascii="Arial" w:cs="Arial" w:eastAsia="Arial" w:hAnsi="Arial"/>
          <w:sz w:val="18"/>
          <w:szCs w:val="18"/>
          <w:color w:val="auto"/>
        </w:rPr>
        <w:t>” means an employee of a Participating Company who, as of any relevant date, does not satisfy the requirements of an “Eligible Employee” but who previously met such requirements under the Plan or the Prior Plan.</w:t>
      </w:r>
    </w:p>
    <w:p>
      <w:pPr>
        <w:spacing w:after="0" w:line="132" w:lineRule="exact"/>
        <w:rPr>
          <w:sz w:val="20"/>
          <w:szCs w:val="20"/>
          <w:color w:val="auto"/>
        </w:rPr>
      </w:pPr>
    </w:p>
    <w:p>
      <w:pPr>
        <w:ind w:right="20" w:firstLine="456"/>
        <w:spacing w:after="0" w:line="259" w:lineRule="auto"/>
        <w:rPr>
          <w:sz w:val="20"/>
          <w:szCs w:val="20"/>
          <w:color w:val="auto"/>
        </w:rPr>
      </w:pPr>
      <w:r>
        <w:rPr>
          <w:rFonts w:ascii="Arial" w:cs="Arial" w:eastAsia="Arial" w:hAnsi="Arial"/>
          <w:sz w:val="18"/>
          <w:szCs w:val="18"/>
          <w:color w:val="auto"/>
        </w:rPr>
        <w:t>2.25. “</w:t>
      </w:r>
      <w:r>
        <w:rPr>
          <w:rFonts w:ascii="Arial" w:cs="Arial" w:eastAsia="Arial" w:hAnsi="Arial"/>
          <w:sz w:val="18"/>
          <w:szCs w:val="18"/>
          <w:u w:val="single" w:color="auto"/>
          <w:color w:val="auto"/>
        </w:rPr>
        <w:t>Grandfathered Participant</w:t>
      </w:r>
      <w:r>
        <w:rPr>
          <w:rFonts w:ascii="Arial" w:cs="Arial" w:eastAsia="Arial" w:hAnsi="Arial"/>
          <w:sz w:val="18"/>
          <w:szCs w:val="18"/>
          <w:color w:val="auto"/>
        </w:rPr>
        <w:t>” means an Inactive Participant who, on or before December 31, 1991, entered into a written agreement with the Company to terminate service to the Company or gives written notice of intention to terminate service to the Company, regardless of the actual date of termination of service.</w:t>
      </w:r>
    </w:p>
    <w:p>
      <w:pPr>
        <w:spacing w:after="0" w:line="140" w:lineRule="exact"/>
        <w:rPr>
          <w:sz w:val="20"/>
          <w:szCs w:val="20"/>
          <w:color w:val="auto"/>
        </w:rPr>
      </w:pPr>
    </w:p>
    <w:p>
      <w:pPr>
        <w:ind w:firstLine="456"/>
        <w:spacing w:after="0" w:line="285" w:lineRule="auto"/>
        <w:rPr>
          <w:sz w:val="20"/>
          <w:szCs w:val="20"/>
          <w:color w:val="auto"/>
        </w:rPr>
      </w:pPr>
      <w:r>
        <w:rPr>
          <w:rFonts w:ascii="Arial" w:cs="Arial" w:eastAsia="Arial" w:hAnsi="Arial"/>
          <w:sz w:val="16"/>
          <w:szCs w:val="16"/>
          <w:color w:val="auto"/>
        </w:rPr>
        <w:t>2.26. “</w:t>
      </w:r>
      <w:r>
        <w:rPr>
          <w:rFonts w:ascii="Arial" w:cs="Arial" w:eastAsia="Arial" w:hAnsi="Arial"/>
          <w:sz w:val="16"/>
          <w:szCs w:val="16"/>
          <w:u w:val="single" w:color="auto"/>
          <w:color w:val="auto"/>
        </w:rPr>
        <w:t>Hardship</w:t>
      </w:r>
      <w:r>
        <w:rPr>
          <w:rFonts w:ascii="Arial" w:cs="Arial" w:eastAsia="Arial" w:hAnsi="Arial"/>
          <w:sz w:val="16"/>
          <w:szCs w:val="16"/>
          <w:color w:val="auto"/>
        </w:rPr>
        <w:t xml:space="preserve">” means a Participant’s severe financial hardship due to an unforeseeable emergency resulting from a sudden and unexpected illness or accident of the Participant, or, a sudden and unexpected illness or accident of a dependent (as defined by section 152(a) of the Code) of the Participant, or loss of the Participant’s property due to casualty, or other similar and extraordinary unforeseeable circumstances arising as a result of events beyond the control of the Participant. A need to send the Participant’s child to college or a desire to purchase a home is not an unforeseeable emergency. No Hardship shall be deemed to exist to the extent that the financial hardship is or may be relieved (a) through reimbursement or compensation by insurance or otherwise, (b) by borrowing from commercial sources on reasonable commercial terms to the extent that this borrowing would not itself cause a severe financial hardship, (c) by cessation of deferrals under the Plan, or (d) by liquidation of the Participant’s other assets (including assets of the Participant’s spouse and minor children that are reasonably available to the Participant) to the extent that this liquidation would not itself cause severe financial hardship. For the purposes of the preceding sentence, the Participant’s resources shall be deemed to include those assets of his spouse and minor children that are reasonably available to the Participant; however, property held for the Participant’s child under an irrevocable trust or under a </w:t>
      </w:r>
      <w:r>
        <w:rPr>
          <w:rFonts w:ascii="Arial" w:cs="Arial" w:eastAsia="Arial" w:hAnsi="Arial"/>
          <w:sz w:val="16"/>
          <w:szCs w:val="16"/>
          <w:i w:val="1"/>
          <w:iCs w:val="1"/>
          <w:color w:val="auto"/>
        </w:rPr>
        <w:t>Uniform Gifts to Minors Act</w:t>
      </w:r>
      <w:r>
        <w:rPr>
          <w:rFonts w:ascii="Arial" w:cs="Arial" w:eastAsia="Arial" w:hAnsi="Arial"/>
          <w:sz w:val="16"/>
          <w:szCs w:val="16"/>
          <w:color w:val="auto"/>
        </w:rPr>
        <w:t xml:space="preserve"> custodianship or </w:t>
      </w:r>
      <w:r>
        <w:rPr>
          <w:rFonts w:ascii="Arial" w:cs="Arial" w:eastAsia="Arial" w:hAnsi="Arial"/>
          <w:sz w:val="16"/>
          <w:szCs w:val="16"/>
          <w:i w:val="1"/>
          <w:iCs w:val="1"/>
          <w:color w:val="auto"/>
        </w:rPr>
        <w:t>Uniform Transfers to Minors Act</w:t>
      </w:r>
      <w:r>
        <w:rPr>
          <w:rFonts w:ascii="Arial" w:cs="Arial" w:eastAsia="Arial" w:hAnsi="Arial"/>
          <w:sz w:val="16"/>
          <w:szCs w:val="16"/>
          <w:color w:val="auto"/>
        </w:rPr>
        <w:t xml:space="preserve"> custodianship shall not be treated as a resource of the Participant. The Board shall determine whether the circumstances of the Participant constitute an unforeseeable emergency and thus a Hardship within the meaning of this Section. Following a uniform procedure, the Board’s determination shall consider any facts or conditions deemed necessary or advisable by the Board, and the Participant shall be required to submit any evidence of the Participant’s circumstances that the Board requires. The determination as to whether the Participant’s</w:t>
      </w:r>
    </w:p>
    <w:p>
      <w:pPr>
        <w:spacing w:after="0" w:line="115"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-6-</w:t>
      </w:r>
    </w:p>
    <w:p>
      <w:pPr>
        <w:sectPr>
          <w:pgSz w:w="11900" w:h="16838" w:orient="portrait"/>
          <w:cols w:equalWidth="0" w:num="1">
            <w:col w:w="11380"/>
          </w:cols>
          <w:pgMar w:left="240" w:top="280" w:right="279" w:bottom="1440" w:gutter="0" w:footer="0" w:header="0"/>
        </w:sectPr>
      </w:pPr>
    </w:p>
    <w:bookmarkStart w:id="58" w:name="page59"/>
    <w:bookmarkEnd w:id="58"/>
    <w:p>
      <w:pPr>
        <w:ind w:right="260"/>
        <w:spacing w:after="0" w:line="268"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69" name="Picture 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
                    <pic:cNvPicPr>
                      <a:picLocks noChangeAspect="1" noChangeArrowheads="1"/>
                    </pic:cNvPicPr>
                  </pic:nvPicPr>
                  <pic:blipFill>
                    <a:blip r:embed="rId76">
                      <a:extLst>
                        <a:ext uri="{28A0092B-C50C-407E-A947-70E740481C1C}"/>
                      </a:extLst>
                    </a:blip>
                    <a:srcRect/>
                    <a:stretch>
                      <a:fillRect/>
                    </a:stretch>
                  </pic:blipFill>
                  <pic:spPr bwMode="auto">
                    <a:xfrm>
                      <a:off x="0" y="0"/>
                      <a:ext cx="7267575" cy="27940"/>
                    </a:xfrm>
                    <a:prstGeom prst="rect">
                      <a:avLst/>
                    </a:prstGeom>
                    <a:noFill/>
                  </pic:spPr>
                </pic:pic>
              </a:graphicData>
            </a:graphic>
          </wp:anchor>
        </w:drawing>
        <w:t>circumstances are a case of Hardship shall be based on the facts of each case; provided however, that all determinations as to Hardship shall be uniformly and consistently made according to the provisions of this Section for all Participants in similar circumstances.</w:t>
      </w:r>
    </w:p>
    <w:p>
      <w:pPr>
        <w:spacing w:after="0" w:line="132" w:lineRule="exact"/>
        <w:rPr>
          <w:sz w:val="20"/>
          <w:szCs w:val="20"/>
          <w:color w:val="auto"/>
        </w:rPr>
      </w:pPr>
    </w:p>
    <w:p>
      <w:pPr>
        <w:ind w:right="320" w:firstLine="456"/>
        <w:spacing w:after="0" w:line="268" w:lineRule="auto"/>
        <w:rPr>
          <w:sz w:val="20"/>
          <w:szCs w:val="20"/>
          <w:color w:val="auto"/>
        </w:rPr>
      </w:pPr>
      <w:r>
        <w:rPr>
          <w:rFonts w:ascii="Arial" w:cs="Arial" w:eastAsia="Arial" w:hAnsi="Arial"/>
          <w:sz w:val="18"/>
          <w:szCs w:val="18"/>
          <w:color w:val="auto"/>
        </w:rPr>
        <w:t>2.27. “</w:t>
      </w:r>
      <w:r>
        <w:rPr>
          <w:rFonts w:ascii="Arial" w:cs="Arial" w:eastAsia="Arial" w:hAnsi="Arial"/>
          <w:sz w:val="18"/>
          <w:szCs w:val="18"/>
          <w:u w:val="single" w:color="auto"/>
          <w:color w:val="auto"/>
        </w:rPr>
        <w:t>Inactive Participant</w:t>
      </w:r>
      <w:r>
        <w:rPr>
          <w:rFonts w:ascii="Arial" w:cs="Arial" w:eastAsia="Arial" w:hAnsi="Arial"/>
          <w:sz w:val="18"/>
          <w:szCs w:val="18"/>
          <w:color w:val="auto"/>
        </w:rPr>
        <w:t>” means each Participant (other than a Retired Participant, Deceased Participant or Disabled Participant) who is not in active service as an Outside Director and is not actively employed by a Participating Company.</w:t>
      </w:r>
    </w:p>
    <w:p>
      <w:pPr>
        <w:spacing w:after="0" w:line="132" w:lineRule="exact"/>
        <w:rPr>
          <w:sz w:val="20"/>
          <w:szCs w:val="20"/>
          <w:color w:val="auto"/>
        </w:rPr>
      </w:pPr>
    </w:p>
    <w:p>
      <w:pPr>
        <w:ind w:right="300" w:firstLine="456"/>
        <w:spacing w:after="0" w:line="332" w:lineRule="auto"/>
        <w:rPr>
          <w:sz w:val="20"/>
          <w:szCs w:val="20"/>
          <w:color w:val="auto"/>
        </w:rPr>
      </w:pPr>
      <w:r>
        <w:rPr>
          <w:rFonts w:ascii="Arial" w:cs="Arial" w:eastAsia="Arial" w:hAnsi="Arial"/>
          <w:sz w:val="16"/>
          <w:szCs w:val="16"/>
          <w:color w:val="auto"/>
        </w:rPr>
        <w:t>2.28. “</w:t>
      </w:r>
      <w:r>
        <w:rPr>
          <w:rFonts w:ascii="Arial" w:cs="Arial" w:eastAsia="Arial" w:hAnsi="Arial"/>
          <w:sz w:val="16"/>
          <w:szCs w:val="16"/>
          <w:u w:val="single" w:color="auto"/>
          <w:color w:val="auto"/>
        </w:rPr>
        <w:t>Income Fund</w:t>
      </w:r>
      <w:r>
        <w:rPr>
          <w:rFonts w:ascii="Arial" w:cs="Arial" w:eastAsia="Arial" w:hAnsi="Arial"/>
          <w:sz w:val="16"/>
          <w:szCs w:val="16"/>
          <w:color w:val="auto"/>
        </w:rPr>
        <w:t>” means a hypothetical investment fund pursuant to which income, gains and losses are credited to a Participant’s Account as if the Account, to the extent deemed invested in the Income Fund, were credited with interest at the Applicable Interest Rate.</w:t>
      </w:r>
    </w:p>
    <w:p>
      <w:pPr>
        <w:spacing w:after="0" w:line="85" w:lineRule="exact"/>
        <w:rPr>
          <w:sz w:val="20"/>
          <w:szCs w:val="20"/>
          <w:color w:val="auto"/>
        </w:rPr>
      </w:pPr>
    </w:p>
    <w:p>
      <w:pPr>
        <w:ind w:right="520" w:firstLine="456"/>
        <w:spacing w:after="0" w:line="268" w:lineRule="auto"/>
        <w:rPr>
          <w:sz w:val="20"/>
          <w:szCs w:val="20"/>
          <w:color w:val="auto"/>
        </w:rPr>
      </w:pPr>
      <w:r>
        <w:rPr>
          <w:rFonts w:ascii="Arial" w:cs="Arial" w:eastAsia="Arial" w:hAnsi="Arial"/>
          <w:sz w:val="18"/>
          <w:szCs w:val="18"/>
          <w:color w:val="auto"/>
        </w:rPr>
        <w:t>2.29. “</w:t>
      </w:r>
      <w:r>
        <w:rPr>
          <w:rFonts w:ascii="Arial" w:cs="Arial" w:eastAsia="Arial" w:hAnsi="Arial"/>
          <w:sz w:val="18"/>
          <w:szCs w:val="18"/>
          <w:u w:val="single" w:color="auto"/>
          <w:color w:val="auto"/>
        </w:rPr>
        <w:t>Initial Election</w:t>
      </w:r>
      <w:r>
        <w:rPr>
          <w:rFonts w:ascii="Arial" w:cs="Arial" w:eastAsia="Arial" w:hAnsi="Arial"/>
          <w:sz w:val="18"/>
          <w:szCs w:val="18"/>
          <w:color w:val="auto"/>
        </w:rPr>
        <w:t>” means a written election on a form provided by the Administrator, filed with the Administrator in accordance with Article 3, pursuant to which an Outside Director or an Eligible Employee may:</w:t>
      </w:r>
    </w:p>
    <w:p>
      <w:pPr>
        <w:spacing w:after="0" w:line="51" w:lineRule="exact"/>
        <w:rPr>
          <w:sz w:val="20"/>
          <w:szCs w:val="20"/>
          <w:color w:val="auto"/>
        </w:rPr>
      </w:pPr>
    </w:p>
    <w:p>
      <w:pPr>
        <w:jc w:val="both"/>
        <w:ind w:right="40" w:firstLine="921"/>
        <w:spacing w:after="0" w:line="332" w:lineRule="auto"/>
        <w:tabs>
          <w:tab w:leader="none" w:pos="1152" w:val="left"/>
        </w:tabs>
        <w:numPr>
          <w:ilvl w:val="0"/>
          <w:numId w:val="51"/>
        </w:numPr>
        <w:rPr>
          <w:rFonts w:ascii="Arial" w:cs="Arial" w:eastAsia="Arial" w:hAnsi="Arial"/>
          <w:sz w:val="16"/>
          <w:szCs w:val="16"/>
          <w:color w:val="auto"/>
        </w:rPr>
      </w:pPr>
      <w:r>
        <w:rPr>
          <w:rFonts w:ascii="Arial" w:cs="Arial" w:eastAsia="Arial" w:hAnsi="Arial"/>
          <w:sz w:val="16"/>
          <w:szCs w:val="16"/>
          <w:color w:val="auto"/>
        </w:rPr>
        <w:t>Elect to defer all or any portion of the Compensation payable for the performance of services as an Outside Director or as an Eligible Employee (including Severance Pay, to the extent permitted with respect to an Eligible Employee pursuant to Section 3.2) following the time that such election is filed; and</w:t>
      </w:r>
    </w:p>
    <w:p>
      <w:pPr>
        <w:spacing w:after="0" w:line="85" w:lineRule="exact"/>
        <w:rPr>
          <w:rFonts w:ascii="Arial" w:cs="Arial" w:eastAsia="Arial" w:hAnsi="Arial"/>
          <w:sz w:val="16"/>
          <w:szCs w:val="16"/>
          <w:color w:val="auto"/>
        </w:rPr>
      </w:pPr>
    </w:p>
    <w:p>
      <w:pPr>
        <w:ind w:left="1160" w:hanging="239"/>
        <w:spacing w:after="0"/>
        <w:tabs>
          <w:tab w:leader="none" w:pos="1160" w:val="left"/>
        </w:tabs>
        <w:numPr>
          <w:ilvl w:val="0"/>
          <w:numId w:val="51"/>
        </w:numPr>
        <w:rPr>
          <w:rFonts w:ascii="Arial" w:cs="Arial" w:eastAsia="Arial" w:hAnsi="Arial"/>
          <w:sz w:val="18"/>
          <w:szCs w:val="18"/>
          <w:color w:val="auto"/>
        </w:rPr>
      </w:pPr>
      <w:r>
        <w:rPr>
          <w:rFonts w:ascii="Arial" w:cs="Arial" w:eastAsia="Arial" w:hAnsi="Arial"/>
          <w:sz w:val="18"/>
          <w:szCs w:val="18"/>
          <w:color w:val="auto"/>
        </w:rPr>
        <w:t>Designate the time of payment of the amount of deferred Compensation to which the Initial Election relates.</w:t>
      </w:r>
    </w:p>
    <w:p>
      <w:pPr>
        <w:spacing w:after="0" w:line="171" w:lineRule="exact"/>
        <w:rPr>
          <w:sz w:val="20"/>
          <w:szCs w:val="20"/>
          <w:color w:val="auto"/>
        </w:rPr>
      </w:pPr>
    </w:p>
    <w:p>
      <w:pPr>
        <w:ind w:right="180" w:firstLine="456"/>
        <w:spacing w:after="0" w:line="268" w:lineRule="auto"/>
        <w:rPr>
          <w:sz w:val="20"/>
          <w:szCs w:val="20"/>
          <w:color w:val="auto"/>
        </w:rPr>
      </w:pPr>
      <w:r>
        <w:rPr>
          <w:rFonts w:ascii="Arial" w:cs="Arial" w:eastAsia="Arial" w:hAnsi="Arial"/>
          <w:sz w:val="18"/>
          <w:szCs w:val="18"/>
          <w:color w:val="auto"/>
        </w:rPr>
        <w:t>2.30. “</w:t>
      </w:r>
      <w:r>
        <w:rPr>
          <w:rFonts w:ascii="Arial" w:cs="Arial" w:eastAsia="Arial" w:hAnsi="Arial"/>
          <w:sz w:val="18"/>
          <w:szCs w:val="18"/>
          <w:u w:val="single" w:color="auto"/>
          <w:color w:val="auto"/>
        </w:rPr>
        <w:t>Insider</w:t>
      </w:r>
      <w:r>
        <w:rPr>
          <w:rFonts w:ascii="Arial" w:cs="Arial" w:eastAsia="Arial" w:hAnsi="Arial"/>
          <w:sz w:val="18"/>
          <w:szCs w:val="18"/>
          <w:color w:val="auto"/>
        </w:rPr>
        <w:t>” means an Eligible Employee or Outside Director who is subject to the short-swing profit recapture rules of section 16(b) of the Securities Exchange Act of 1934, as amended.</w:t>
      </w:r>
    </w:p>
    <w:p>
      <w:pPr>
        <w:spacing w:after="0" w:line="132" w:lineRule="exact"/>
        <w:rPr>
          <w:sz w:val="20"/>
          <w:szCs w:val="20"/>
          <w:color w:val="auto"/>
        </w:rPr>
      </w:pPr>
    </w:p>
    <w:p>
      <w:pPr>
        <w:ind w:firstLine="456"/>
        <w:spacing w:after="0" w:line="256" w:lineRule="auto"/>
        <w:rPr>
          <w:sz w:val="20"/>
          <w:szCs w:val="20"/>
          <w:color w:val="auto"/>
        </w:rPr>
      </w:pPr>
      <w:r>
        <w:rPr>
          <w:rFonts w:ascii="Arial" w:cs="Arial" w:eastAsia="Arial" w:hAnsi="Arial"/>
          <w:sz w:val="18"/>
          <w:szCs w:val="18"/>
          <w:color w:val="auto"/>
        </w:rPr>
        <w:t>2.31. “</w:t>
      </w:r>
      <w:r>
        <w:rPr>
          <w:rFonts w:ascii="Arial" w:cs="Arial" w:eastAsia="Arial" w:hAnsi="Arial"/>
          <w:sz w:val="18"/>
          <w:szCs w:val="18"/>
          <w:u w:val="single" w:color="auto"/>
          <w:color w:val="auto"/>
        </w:rPr>
        <w:t>LIBOR</w:t>
      </w:r>
      <w:r>
        <w:rPr>
          <w:rFonts w:ascii="Arial" w:cs="Arial" w:eastAsia="Arial" w:hAnsi="Arial"/>
          <w:sz w:val="18"/>
          <w:szCs w:val="18"/>
          <w:color w:val="auto"/>
        </w:rPr>
        <w:t xml:space="preserve">” means, for any calendar year, the interest rate that, when compounded daily pursuant to rules established by the Administrator from time to time, is mathematically equivalent to the annual London Inter Bank Offered Rate (compounded annually), as published in the Eastern Edition of </w:t>
      </w:r>
      <w:r>
        <w:rPr>
          <w:rFonts w:ascii="Arial" w:cs="Arial" w:eastAsia="Arial" w:hAnsi="Arial"/>
          <w:sz w:val="18"/>
          <w:szCs w:val="18"/>
          <w:u w:val="single" w:color="auto"/>
          <w:color w:val="auto"/>
        </w:rPr>
        <w:t>The Wall Street</w:t>
      </w:r>
      <w:r>
        <w:rPr>
          <w:rFonts w:ascii="Arial" w:cs="Arial" w:eastAsia="Arial" w:hAnsi="Arial"/>
          <w:sz w:val="18"/>
          <w:szCs w:val="18"/>
          <w:color w:val="auto"/>
        </w:rPr>
        <w:t xml:space="preserve"> </w:t>
      </w:r>
      <w:r>
        <w:rPr>
          <w:rFonts w:ascii="Arial" w:cs="Arial" w:eastAsia="Arial" w:hAnsi="Arial"/>
          <w:sz w:val="18"/>
          <w:szCs w:val="18"/>
          <w:u w:val="single" w:color="auto"/>
          <w:color w:val="auto"/>
        </w:rPr>
        <w:t>Journal</w:t>
      </w:r>
      <w:r>
        <w:rPr>
          <w:rFonts w:ascii="Arial" w:cs="Arial" w:eastAsia="Arial" w:hAnsi="Arial"/>
          <w:sz w:val="18"/>
          <w:szCs w:val="18"/>
          <w:color w:val="auto"/>
        </w:rPr>
        <w:t>, on the last business day preceding the first day of such calendar year, and as adjusted as of the last business day preceding the first day of each calendar year beginning thereafter.</w:t>
      </w:r>
    </w:p>
    <w:p>
      <w:pPr>
        <w:spacing w:after="0" w:line="224" w:lineRule="exact"/>
        <w:rPr>
          <w:sz w:val="20"/>
          <w:szCs w:val="20"/>
          <w:color w:val="auto"/>
        </w:rPr>
      </w:pPr>
    </w:p>
    <w:p>
      <w:pPr>
        <w:ind w:left="460"/>
        <w:spacing w:after="0"/>
        <w:rPr>
          <w:sz w:val="20"/>
          <w:szCs w:val="20"/>
          <w:color w:val="auto"/>
        </w:rPr>
      </w:pPr>
      <w:r>
        <w:rPr>
          <w:rFonts w:ascii="Arial" w:cs="Arial" w:eastAsia="Arial" w:hAnsi="Arial"/>
          <w:sz w:val="18"/>
          <w:szCs w:val="18"/>
          <w:color w:val="auto"/>
        </w:rPr>
        <w:t>2.32. “</w:t>
      </w:r>
      <w:r>
        <w:rPr>
          <w:rFonts w:ascii="Arial" w:cs="Arial" w:eastAsia="Arial" w:hAnsi="Arial"/>
          <w:sz w:val="18"/>
          <w:szCs w:val="18"/>
          <w:u w:val="single" w:color="auto"/>
          <w:color w:val="auto"/>
        </w:rPr>
        <w:t>New Key Employee</w:t>
      </w:r>
      <w:r>
        <w:rPr>
          <w:rFonts w:ascii="Arial" w:cs="Arial" w:eastAsia="Arial" w:hAnsi="Arial"/>
          <w:sz w:val="18"/>
          <w:szCs w:val="18"/>
          <w:color w:val="auto"/>
        </w:rPr>
        <w:t>” means each employee of a Participating Company:</w:t>
      </w:r>
    </w:p>
    <w:p>
      <w:pPr>
        <w:spacing w:after="0" w:line="90" w:lineRule="exact"/>
        <w:rPr>
          <w:sz w:val="20"/>
          <w:szCs w:val="20"/>
          <w:color w:val="auto"/>
        </w:rPr>
      </w:pPr>
    </w:p>
    <w:p>
      <w:pPr>
        <w:ind w:right="1080" w:firstLine="921"/>
        <w:spacing w:after="0" w:line="268" w:lineRule="auto"/>
        <w:tabs>
          <w:tab w:leader="none" w:pos="1152" w:val="left"/>
        </w:tabs>
        <w:numPr>
          <w:ilvl w:val="0"/>
          <w:numId w:val="52"/>
        </w:numPr>
        <w:rPr>
          <w:rFonts w:ascii="Arial" w:cs="Arial" w:eastAsia="Arial" w:hAnsi="Arial"/>
          <w:sz w:val="18"/>
          <w:szCs w:val="18"/>
          <w:color w:val="auto"/>
        </w:rPr>
      </w:pPr>
      <w:r>
        <w:rPr>
          <w:rFonts w:ascii="Arial" w:cs="Arial" w:eastAsia="Arial" w:hAnsi="Arial"/>
          <w:sz w:val="18"/>
          <w:szCs w:val="18"/>
          <w:color w:val="auto"/>
        </w:rPr>
        <w:t>who becomes an employee of a Participating Company and has an Annual Rate of Pay of $200,000 or more as of his employment commencement date, or</w:t>
      </w:r>
    </w:p>
    <w:p>
      <w:pPr>
        <w:spacing w:after="0" w:line="131" w:lineRule="exact"/>
        <w:rPr>
          <w:rFonts w:ascii="Arial" w:cs="Arial" w:eastAsia="Arial" w:hAnsi="Arial"/>
          <w:sz w:val="18"/>
          <w:szCs w:val="18"/>
          <w:color w:val="auto"/>
        </w:rPr>
      </w:pPr>
    </w:p>
    <w:p>
      <w:pPr>
        <w:ind w:left="1160" w:hanging="239"/>
        <w:spacing w:after="0"/>
        <w:tabs>
          <w:tab w:leader="none" w:pos="1160" w:val="left"/>
        </w:tabs>
        <w:numPr>
          <w:ilvl w:val="0"/>
          <w:numId w:val="52"/>
        </w:numPr>
        <w:rPr>
          <w:rFonts w:ascii="Arial" w:cs="Arial" w:eastAsia="Arial" w:hAnsi="Arial"/>
          <w:sz w:val="16"/>
          <w:szCs w:val="16"/>
          <w:color w:val="auto"/>
        </w:rPr>
      </w:pPr>
      <w:r>
        <w:rPr>
          <w:rFonts w:ascii="Arial" w:cs="Arial" w:eastAsia="Arial" w:hAnsi="Arial"/>
          <w:sz w:val="16"/>
          <w:szCs w:val="16"/>
          <w:color w:val="auto"/>
        </w:rPr>
        <w:t>who has an Annual Rate of Pay that is increased to $200,000 or more and who, immediately preceding such increase, was not an Eligible</w:t>
      </w:r>
    </w:p>
    <w:p>
      <w:pPr>
        <w:spacing w:after="0" w:line="38" w:lineRule="exact"/>
        <w:rPr>
          <w:rFonts w:ascii="Arial" w:cs="Arial" w:eastAsia="Arial" w:hAnsi="Arial"/>
          <w:sz w:val="16"/>
          <w:szCs w:val="16"/>
          <w:color w:val="auto"/>
        </w:rPr>
      </w:pPr>
    </w:p>
    <w:p>
      <w:pPr>
        <w:spacing w:after="0"/>
        <w:rPr>
          <w:rFonts w:ascii="Arial" w:cs="Arial" w:eastAsia="Arial" w:hAnsi="Arial"/>
          <w:sz w:val="16"/>
          <w:szCs w:val="16"/>
          <w:color w:val="auto"/>
        </w:rPr>
      </w:pPr>
      <w:r>
        <w:rPr>
          <w:rFonts w:ascii="Arial" w:cs="Arial" w:eastAsia="Arial" w:hAnsi="Arial"/>
          <w:sz w:val="18"/>
          <w:szCs w:val="18"/>
          <w:color w:val="auto"/>
        </w:rPr>
        <w:t>Employee.</w:t>
      </w:r>
    </w:p>
    <w:p>
      <w:pPr>
        <w:spacing w:after="0" w:line="246" w:lineRule="exact"/>
        <w:rPr>
          <w:sz w:val="20"/>
          <w:szCs w:val="20"/>
          <w:color w:val="auto"/>
        </w:rPr>
      </w:pPr>
    </w:p>
    <w:p>
      <w:pPr>
        <w:ind w:left="460"/>
        <w:spacing w:after="0"/>
        <w:rPr>
          <w:sz w:val="20"/>
          <w:szCs w:val="20"/>
          <w:color w:val="auto"/>
        </w:rPr>
      </w:pPr>
      <w:r>
        <w:rPr>
          <w:rFonts w:ascii="Arial" w:cs="Arial" w:eastAsia="Arial" w:hAnsi="Arial"/>
          <w:sz w:val="18"/>
          <w:szCs w:val="18"/>
          <w:color w:val="auto"/>
        </w:rPr>
        <w:t>2.33. “</w:t>
      </w:r>
      <w:r>
        <w:rPr>
          <w:rFonts w:ascii="Arial" w:cs="Arial" w:eastAsia="Arial" w:hAnsi="Arial"/>
          <w:sz w:val="18"/>
          <w:szCs w:val="18"/>
          <w:u w:val="single" w:color="auto"/>
          <w:color w:val="auto"/>
        </w:rPr>
        <w:t>Normal Retirement</w:t>
      </w:r>
      <w:r>
        <w:rPr>
          <w:rFonts w:ascii="Arial" w:cs="Arial" w:eastAsia="Arial" w:hAnsi="Arial"/>
          <w:sz w:val="18"/>
          <w:szCs w:val="18"/>
          <w:color w:val="auto"/>
        </w:rPr>
        <w:t>” means:</w:t>
      </w:r>
    </w:p>
    <w:p>
      <w:pPr>
        <w:spacing w:after="0" w:line="90" w:lineRule="exact"/>
        <w:rPr>
          <w:sz w:val="20"/>
          <w:szCs w:val="20"/>
          <w:color w:val="auto"/>
        </w:rPr>
      </w:pPr>
    </w:p>
    <w:p>
      <w:pPr>
        <w:ind w:right="520" w:firstLine="921"/>
        <w:spacing w:after="0" w:line="332" w:lineRule="auto"/>
        <w:tabs>
          <w:tab w:leader="none" w:pos="1152" w:val="left"/>
        </w:tabs>
        <w:numPr>
          <w:ilvl w:val="0"/>
          <w:numId w:val="53"/>
        </w:numPr>
        <w:rPr>
          <w:rFonts w:ascii="Arial" w:cs="Arial" w:eastAsia="Arial" w:hAnsi="Arial"/>
          <w:sz w:val="16"/>
          <w:szCs w:val="16"/>
          <w:color w:val="auto"/>
        </w:rPr>
      </w:pPr>
      <w:r>
        <w:rPr>
          <w:rFonts w:ascii="Arial" w:cs="Arial" w:eastAsia="Arial" w:hAnsi="Arial"/>
          <w:sz w:val="16"/>
          <w:szCs w:val="16"/>
          <w:color w:val="auto"/>
        </w:rPr>
        <w:t>For a Participant who is an employee of a Participating Company immediately preceding his termination of employment, a termination of employment that is treated by the Participating Company as a retirement under its employment policies and practices as in effect from time to time; and</w:t>
      </w:r>
    </w:p>
    <w:p>
      <w:pPr>
        <w:spacing w:after="0" w:line="72"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-7-</w:t>
      </w:r>
    </w:p>
    <w:p>
      <w:pPr>
        <w:sectPr>
          <w:pgSz w:w="11900" w:h="16838" w:orient="portrait"/>
          <w:cols w:equalWidth="0" w:num="1">
            <w:col w:w="11360"/>
          </w:cols>
          <w:pgMar w:left="240" w:top="280" w:right="299" w:bottom="1440" w:gutter="0" w:footer="0" w:header="0"/>
        </w:sectPr>
      </w:pPr>
    </w:p>
    <w:bookmarkStart w:id="59" w:name="page60"/>
    <w:bookmarkEnd w:id="59"/>
    <w:p>
      <w:pPr>
        <w:ind w:left="460" w:right="900" w:firstLine="461"/>
        <w:spacing w:after="0" w:line="438" w:lineRule="auto"/>
        <w:tabs>
          <w:tab w:leader="none" w:pos="1165" w:val="left"/>
        </w:tabs>
        <w:numPr>
          <w:ilvl w:val="0"/>
          <w:numId w:val="54"/>
        </w:numPr>
        <w:rPr>
          <w:rFonts w:ascii="Arial" w:cs="Arial" w:eastAsia="Arial" w:hAnsi="Arial"/>
          <w:sz w:val="18"/>
          <w:szCs w:val="18"/>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70" name="Picture 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
                    <pic:cNvPicPr>
                      <a:picLocks noChangeAspect="1" noChangeArrowheads="1"/>
                    </pic:cNvPicPr>
                  </pic:nvPicPr>
                  <pic:blipFill>
                    <a:blip r:embed="rId77">
                      <a:extLst>
                        <a:ext uri="{28A0092B-C50C-407E-A947-70E740481C1C}"/>
                      </a:extLst>
                    </a:blip>
                    <a:srcRect/>
                    <a:stretch>
                      <a:fillRect/>
                    </a:stretch>
                  </pic:blipFill>
                  <pic:spPr bwMode="auto">
                    <a:xfrm>
                      <a:off x="0" y="0"/>
                      <a:ext cx="7267575" cy="27940"/>
                    </a:xfrm>
                    <a:prstGeom prst="rect">
                      <a:avLst/>
                    </a:prstGeom>
                    <a:noFill/>
                  </pic:spPr>
                </pic:pic>
              </a:graphicData>
            </a:graphic>
          </wp:anchor>
        </w:drawing>
        <w:t>For a Participant who is an Outside Director immediately preceding his termination of service, his normal retirement from the Board. 2.34. “</w:t>
      </w:r>
      <w:r>
        <w:rPr>
          <w:rFonts w:ascii="Arial" w:cs="Arial" w:eastAsia="Arial" w:hAnsi="Arial"/>
          <w:sz w:val="18"/>
          <w:szCs w:val="18"/>
          <w:u w:val="single" w:color="auto"/>
          <w:color w:val="auto"/>
        </w:rPr>
        <w:t>Outside Director</w:t>
      </w:r>
      <w:r>
        <w:rPr>
          <w:rFonts w:ascii="Arial" w:cs="Arial" w:eastAsia="Arial" w:hAnsi="Arial"/>
          <w:sz w:val="18"/>
          <w:szCs w:val="18"/>
          <w:color w:val="auto"/>
        </w:rPr>
        <w:t>” means a member of the Board, who is not an employee of a Participating Company.</w:t>
      </w:r>
    </w:p>
    <w:p>
      <w:pPr>
        <w:spacing w:after="0" w:line="1" w:lineRule="exact"/>
        <w:rPr>
          <w:sz w:val="20"/>
          <w:szCs w:val="20"/>
          <w:color w:val="auto"/>
        </w:rPr>
      </w:pPr>
    </w:p>
    <w:p>
      <w:pPr>
        <w:ind w:right="40" w:firstLine="456"/>
        <w:spacing w:after="0" w:line="332" w:lineRule="auto"/>
        <w:rPr>
          <w:sz w:val="20"/>
          <w:szCs w:val="20"/>
          <w:color w:val="auto"/>
        </w:rPr>
      </w:pPr>
      <w:r>
        <w:rPr>
          <w:rFonts w:ascii="Arial" w:cs="Arial" w:eastAsia="Arial" w:hAnsi="Arial"/>
          <w:sz w:val="16"/>
          <w:szCs w:val="16"/>
          <w:color w:val="auto"/>
        </w:rPr>
        <w:t>2.35. “</w:t>
      </w:r>
      <w:r>
        <w:rPr>
          <w:rFonts w:ascii="Arial" w:cs="Arial" w:eastAsia="Arial" w:hAnsi="Arial"/>
          <w:sz w:val="16"/>
          <w:szCs w:val="16"/>
          <w:u w:val="single" w:color="auto"/>
          <w:color w:val="auto"/>
        </w:rPr>
        <w:t>Participant</w:t>
      </w:r>
      <w:r>
        <w:rPr>
          <w:rFonts w:ascii="Arial" w:cs="Arial" w:eastAsia="Arial" w:hAnsi="Arial"/>
          <w:sz w:val="16"/>
          <w:szCs w:val="16"/>
          <w:color w:val="auto"/>
        </w:rPr>
        <w:t>” means each individual who has made an Initial Election, or for whom an Account is established pursuant to Section 5.1, and who has an undistributed amount credited to an Account under the Plan, including an Active Participant, a Deceased Participant and an Inactive Participant.</w:t>
      </w:r>
    </w:p>
    <w:p>
      <w:pPr>
        <w:spacing w:after="0" w:line="166" w:lineRule="exact"/>
        <w:rPr>
          <w:sz w:val="20"/>
          <w:szCs w:val="20"/>
          <w:color w:val="auto"/>
        </w:rPr>
      </w:pPr>
    </w:p>
    <w:p>
      <w:pPr>
        <w:ind w:left="460"/>
        <w:spacing w:after="0"/>
        <w:rPr>
          <w:sz w:val="20"/>
          <w:szCs w:val="20"/>
          <w:color w:val="auto"/>
        </w:rPr>
      </w:pPr>
      <w:r>
        <w:rPr>
          <w:rFonts w:ascii="Arial" w:cs="Arial" w:eastAsia="Arial" w:hAnsi="Arial"/>
          <w:sz w:val="18"/>
          <w:szCs w:val="18"/>
          <w:color w:val="auto"/>
        </w:rPr>
        <w:t>2.36. “</w:t>
      </w:r>
      <w:r>
        <w:rPr>
          <w:rFonts w:ascii="Arial" w:cs="Arial" w:eastAsia="Arial" w:hAnsi="Arial"/>
          <w:sz w:val="18"/>
          <w:szCs w:val="18"/>
          <w:u w:val="single" w:color="auto"/>
          <w:color w:val="auto"/>
        </w:rPr>
        <w:t>Participating Company</w:t>
      </w:r>
      <w:r>
        <w:rPr>
          <w:rFonts w:ascii="Arial" w:cs="Arial" w:eastAsia="Arial" w:hAnsi="Arial"/>
          <w:sz w:val="18"/>
          <w:szCs w:val="18"/>
          <w:color w:val="auto"/>
        </w:rPr>
        <w:t>” means:</w:t>
      </w:r>
    </w:p>
    <w:p>
      <w:pPr>
        <w:spacing w:after="0" w:line="90" w:lineRule="exact"/>
        <w:rPr>
          <w:sz w:val="20"/>
          <w:szCs w:val="20"/>
          <w:color w:val="auto"/>
        </w:rPr>
      </w:pPr>
    </w:p>
    <w:p>
      <w:pPr>
        <w:ind w:left="1160" w:hanging="239"/>
        <w:spacing w:after="0"/>
        <w:tabs>
          <w:tab w:leader="none" w:pos="1160" w:val="left"/>
        </w:tabs>
        <w:numPr>
          <w:ilvl w:val="0"/>
          <w:numId w:val="55"/>
        </w:numPr>
        <w:rPr>
          <w:rFonts w:ascii="Arial" w:cs="Arial" w:eastAsia="Arial" w:hAnsi="Arial"/>
          <w:sz w:val="18"/>
          <w:szCs w:val="18"/>
          <w:color w:val="auto"/>
        </w:rPr>
      </w:pPr>
      <w:r>
        <w:rPr>
          <w:rFonts w:ascii="Arial" w:cs="Arial" w:eastAsia="Arial" w:hAnsi="Arial"/>
          <w:sz w:val="18"/>
          <w:szCs w:val="18"/>
          <w:color w:val="auto"/>
        </w:rPr>
        <w:t>The Company;</w:t>
      </w:r>
    </w:p>
    <w:p>
      <w:pPr>
        <w:spacing w:after="0" w:line="171" w:lineRule="exact"/>
        <w:rPr>
          <w:rFonts w:ascii="Arial" w:cs="Arial" w:eastAsia="Arial" w:hAnsi="Arial"/>
          <w:sz w:val="18"/>
          <w:szCs w:val="18"/>
          <w:color w:val="auto"/>
        </w:rPr>
      </w:pPr>
    </w:p>
    <w:p>
      <w:pPr>
        <w:ind w:left="1160" w:hanging="239"/>
        <w:spacing w:after="0"/>
        <w:tabs>
          <w:tab w:leader="none" w:pos="1160" w:val="left"/>
        </w:tabs>
        <w:numPr>
          <w:ilvl w:val="0"/>
          <w:numId w:val="55"/>
        </w:numPr>
        <w:rPr>
          <w:rFonts w:ascii="Arial" w:cs="Arial" w:eastAsia="Arial" w:hAnsi="Arial"/>
          <w:sz w:val="18"/>
          <w:szCs w:val="18"/>
          <w:color w:val="auto"/>
        </w:rPr>
      </w:pPr>
      <w:r>
        <w:rPr>
          <w:rFonts w:ascii="Arial" w:cs="Arial" w:eastAsia="Arial" w:hAnsi="Arial"/>
          <w:sz w:val="18"/>
          <w:szCs w:val="18"/>
          <w:color w:val="auto"/>
        </w:rPr>
        <w:t>CHC;</w:t>
      </w:r>
    </w:p>
    <w:p>
      <w:pPr>
        <w:spacing w:after="0" w:line="171" w:lineRule="exact"/>
        <w:rPr>
          <w:rFonts w:ascii="Arial" w:cs="Arial" w:eastAsia="Arial" w:hAnsi="Arial"/>
          <w:sz w:val="18"/>
          <w:szCs w:val="18"/>
          <w:color w:val="auto"/>
        </w:rPr>
      </w:pPr>
    </w:p>
    <w:p>
      <w:pPr>
        <w:ind w:left="1160" w:hanging="239"/>
        <w:spacing w:after="0"/>
        <w:tabs>
          <w:tab w:leader="none" w:pos="1160" w:val="left"/>
        </w:tabs>
        <w:numPr>
          <w:ilvl w:val="0"/>
          <w:numId w:val="55"/>
        </w:numPr>
        <w:rPr>
          <w:rFonts w:ascii="Arial" w:cs="Arial" w:eastAsia="Arial" w:hAnsi="Arial"/>
          <w:sz w:val="18"/>
          <w:szCs w:val="18"/>
          <w:color w:val="auto"/>
        </w:rPr>
      </w:pPr>
      <w:r>
        <w:rPr>
          <w:rFonts w:ascii="Arial" w:cs="Arial" w:eastAsia="Arial" w:hAnsi="Arial"/>
          <w:sz w:val="18"/>
          <w:szCs w:val="18"/>
          <w:color w:val="auto"/>
        </w:rPr>
        <w:t>Comcast Cable Communications, LLC, and its subsidiaries;</w:t>
      </w:r>
    </w:p>
    <w:p>
      <w:pPr>
        <w:spacing w:after="0" w:line="171" w:lineRule="exact"/>
        <w:rPr>
          <w:rFonts w:ascii="Arial" w:cs="Arial" w:eastAsia="Arial" w:hAnsi="Arial"/>
          <w:sz w:val="18"/>
          <w:szCs w:val="18"/>
          <w:color w:val="auto"/>
        </w:rPr>
      </w:pPr>
    </w:p>
    <w:p>
      <w:pPr>
        <w:ind w:left="1160" w:hanging="239"/>
        <w:spacing w:after="0"/>
        <w:tabs>
          <w:tab w:leader="none" w:pos="1160" w:val="left"/>
        </w:tabs>
        <w:numPr>
          <w:ilvl w:val="0"/>
          <w:numId w:val="55"/>
        </w:numPr>
        <w:rPr>
          <w:rFonts w:ascii="Arial" w:cs="Arial" w:eastAsia="Arial" w:hAnsi="Arial"/>
          <w:sz w:val="18"/>
          <w:szCs w:val="18"/>
          <w:color w:val="auto"/>
        </w:rPr>
      </w:pPr>
      <w:r>
        <w:rPr>
          <w:rFonts w:ascii="Arial" w:cs="Arial" w:eastAsia="Arial" w:hAnsi="Arial"/>
          <w:sz w:val="18"/>
          <w:szCs w:val="18"/>
          <w:color w:val="auto"/>
        </w:rPr>
        <w:t>Comcast International Holdings, Inc.;</w:t>
      </w:r>
    </w:p>
    <w:p>
      <w:pPr>
        <w:spacing w:after="0" w:line="171" w:lineRule="exact"/>
        <w:rPr>
          <w:rFonts w:ascii="Arial" w:cs="Arial" w:eastAsia="Arial" w:hAnsi="Arial"/>
          <w:sz w:val="18"/>
          <w:szCs w:val="18"/>
          <w:color w:val="auto"/>
        </w:rPr>
      </w:pPr>
    </w:p>
    <w:p>
      <w:pPr>
        <w:ind w:left="1160" w:hanging="239"/>
        <w:spacing w:after="0"/>
        <w:tabs>
          <w:tab w:leader="none" w:pos="1160" w:val="left"/>
        </w:tabs>
        <w:numPr>
          <w:ilvl w:val="0"/>
          <w:numId w:val="55"/>
        </w:numPr>
        <w:rPr>
          <w:rFonts w:ascii="Arial" w:cs="Arial" w:eastAsia="Arial" w:hAnsi="Arial"/>
          <w:sz w:val="18"/>
          <w:szCs w:val="18"/>
          <w:color w:val="auto"/>
        </w:rPr>
      </w:pPr>
      <w:r>
        <w:rPr>
          <w:rFonts w:ascii="Arial" w:cs="Arial" w:eastAsia="Arial" w:hAnsi="Arial"/>
          <w:sz w:val="18"/>
          <w:szCs w:val="18"/>
          <w:color w:val="auto"/>
        </w:rPr>
        <w:t>Comcast Online Communications, Inc.;</w:t>
      </w:r>
    </w:p>
    <w:p>
      <w:pPr>
        <w:spacing w:after="0" w:line="171" w:lineRule="exact"/>
        <w:rPr>
          <w:rFonts w:ascii="Arial" w:cs="Arial" w:eastAsia="Arial" w:hAnsi="Arial"/>
          <w:sz w:val="18"/>
          <w:szCs w:val="18"/>
          <w:color w:val="auto"/>
        </w:rPr>
      </w:pPr>
    </w:p>
    <w:p>
      <w:pPr>
        <w:ind w:left="1140" w:hanging="219"/>
        <w:spacing w:after="0"/>
        <w:tabs>
          <w:tab w:leader="none" w:pos="1140" w:val="left"/>
        </w:tabs>
        <w:numPr>
          <w:ilvl w:val="0"/>
          <w:numId w:val="55"/>
        </w:numPr>
        <w:rPr>
          <w:rFonts w:ascii="Arial" w:cs="Arial" w:eastAsia="Arial" w:hAnsi="Arial"/>
          <w:sz w:val="18"/>
          <w:szCs w:val="18"/>
          <w:color w:val="auto"/>
        </w:rPr>
      </w:pPr>
      <w:r>
        <w:rPr>
          <w:rFonts w:ascii="Arial" w:cs="Arial" w:eastAsia="Arial" w:hAnsi="Arial"/>
          <w:sz w:val="18"/>
          <w:szCs w:val="18"/>
          <w:color w:val="auto"/>
        </w:rPr>
        <w:t>Comcast Business Communications, Inc.;</w:t>
      </w:r>
    </w:p>
    <w:p>
      <w:pPr>
        <w:spacing w:after="0" w:line="171" w:lineRule="exact"/>
        <w:rPr>
          <w:rFonts w:ascii="Arial" w:cs="Arial" w:eastAsia="Arial" w:hAnsi="Arial"/>
          <w:sz w:val="18"/>
          <w:szCs w:val="18"/>
          <w:color w:val="auto"/>
        </w:rPr>
      </w:pPr>
    </w:p>
    <w:p>
      <w:pPr>
        <w:ind w:left="1160" w:hanging="239"/>
        <w:spacing w:after="0"/>
        <w:tabs>
          <w:tab w:leader="none" w:pos="1160" w:val="left"/>
        </w:tabs>
        <w:numPr>
          <w:ilvl w:val="0"/>
          <w:numId w:val="55"/>
        </w:numPr>
        <w:rPr>
          <w:rFonts w:ascii="Arial" w:cs="Arial" w:eastAsia="Arial" w:hAnsi="Arial"/>
          <w:sz w:val="18"/>
          <w:szCs w:val="18"/>
          <w:color w:val="auto"/>
        </w:rPr>
      </w:pPr>
      <w:r>
        <w:rPr>
          <w:rFonts w:ascii="Arial" w:cs="Arial" w:eastAsia="Arial" w:hAnsi="Arial"/>
          <w:sz w:val="18"/>
          <w:szCs w:val="18"/>
          <w:color w:val="auto"/>
        </w:rPr>
        <w:t>CCCHI and its subsidiaries;</w:t>
      </w:r>
    </w:p>
    <w:p>
      <w:pPr>
        <w:spacing w:after="0" w:line="171" w:lineRule="exact"/>
        <w:rPr>
          <w:rFonts w:ascii="Arial" w:cs="Arial" w:eastAsia="Arial" w:hAnsi="Arial"/>
          <w:sz w:val="18"/>
          <w:szCs w:val="18"/>
          <w:color w:val="auto"/>
        </w:rPr>
      </w:pPr>
    </w:p>
    <w:p>
      <w:pPr>
        <w:ind w:firstLine="921"/>
        <w:spacing w:after="0" w:line="268" w:lineRule="auto"/>
        <w:tabs>
          <w:tab w:leader="none" w:pos="1162" w:val="left"/>
        </w:tabs>
        <w:numPr>
          <w:ilvl w:val="0"/>
          <w:numId w:val="55"/>
        </w:numPr>
        <w:rPr>
          <w:rFonts w:ascii="Arial" w:cs="Arial" w:eastAsia="Arial" w:hAnsi="Arial"/>
          <w:sz w:val="18"/>
          <w:szCs w:val="18"/>
          <w:color w:val="auto"/>
        </w:rPr>
      </w:pPr>
      <w:r>
        <w:rPr>
          <w:rFonts w:ascii="Arial" w:cs="Arial" w:eastAsia="Arial" w:hAnsi="Arial"/>
          <w:sz w:val="18"/>
          <w:szCs w:val="18"/>
          <w:color w:val="auto"/>
        </w:rPr>
        <w:t>Comcast Shared Services Corporation (“CSSC”), to the extent individual employees of CSSC or groups of CSSC employees, categorized by their secondment, are designated as eligible to participate by the Committee or its delegate; and</w:t>
      </w:r>
    </w:p>
    <w:p>
      <w:pPr>
        <w:spacing w:after="0" w:line="131" w:lineRule="exact"/>
        <w:rPr>
          <w:rFonts w:ascii="Arial" w:cs="Arial" w:eastAsia="Arial" w:hAnsi="Arial"/>
          <w:sz w:val="18"/>
          <w:szCs w:val="18"/>
          <w:color w:val="auto"/>
        </w:rPr>
      </w:pPr>
    </w:p>
    <w:p>
      <w:pPr>
        <w:ind w:left="1140" w:hanging="219"/>
        <w:spacing w:after="0"/>
        <w:tabs>
          <w:tab w:leader="none" w:pos="1140" w:val="left"/>
        </w:tabs>
        <w:numPr>
          <w:ilvl w:val="0"/>
          <w:numId w:val="55"/>
        </w:numPr>
        <w:rPr>
          <w:rFonts w:ascii="Arial" w:cs="Arial" w:eastAsia="Arial" w:hAnsi="Arial"/>
          <w:sz w:val="18"/>
          <w:szCs w:val="18"/>
          <w:color w:val="auto"/>
        </w:rPr>
      </w:pPr>
      <w:r>
        <w:rPr>
          <w:rFonts w:ascii="Arial" w:cs="Arial" w:eastAsia="Arial" w:hAnsi="Arial"/>
          <w:sz w:val="18"/>
          <w:szCs w:val="18"/>
          <w:color w:val="auto"/>
        </w:rPr>
        <w:t>Any other entities that are subsidiaries of the Company as designated by the Committee in its sole discretion.</w:t>
      </w:r>
    </w:p>
    <w:p>
      <w:pPr>
        <w:spacing w:after="0" w:line="171" w:lineRule="exact"/>
        <w:rPr>
          <w:sz w:val="20"/>
          <w:szCs w:val="20"/>
          <w:color w:val="auto"/>
        </w:rPr>
      </w:pPr>
    </w:p>
    <w:p>
      <w:pPr>
        <w:ind w:left="460"/>
        <w:spacing w:after="0"/>
        <w:rPr>
          <w:sz w:val="20"/>
          <w:szCs w:val="20"/>
          <w:color w:val="auto"/>
        </w:rPr>
      </w:pPr>
      <w:r>
        <w:rPr>
          <w:rFonts w:ascii="Arial" w:cs="Arial" w:eastAsia="Arial" w:hAnsi="Arial"/>
          <w:sz w:val="18"/>
          <w:szCs w:val="18"/>
          <w:color w:val="auto"/>
        </w:rPr>
        <w:t>2.37. “</w:t>
      </w:r>
      <w:r>
        <w:rPr>
          <w:rFonts w:ascii="Arial" w:cs="Arial" w:eastAsia="Arial" w:hAnsi="Arial"/>
          <w:sz w:val="18"/>
          <w:szCs w:val="18"/>
          <w:u w:val="single" w:color="auto"/>
          <w:color w:val="auto"/>
        </w:rPr>
        <w:t>Person</w:t>
      </w:r>
      <w:r>
        <w:rPr>
          <w:rFonts w:ascii="Arial" w:cs="Arial" w:eastAsia="Arial" w:hAnsi="Arial"/>
          <w:sz w:val="18"/>
          <w:szCs w:val="18"/>
          <w:color w:val="auto"/>
        </w:rPr>
        <w:t>” means an individual, a corporation, a partnership, an association, a trust or any other entity or organization.</w:t>
      </w:r>
    </w:p>
    <w:p>
      <w:pPr>
        <w:spacing w:after="0" w:line="171" w:lineRule="exact"/>
        <w:rPr>
          <w:sz w:val="20"/>
          <w:szCs w:val="20"/>
          <w:color w:val="auto"/>
        </w:rPr>
      </w:pPr>
    </w:p>
    <w:p>
      <w:pPr>
        <w:ind w:left="460"/>
        <w:spacing w:after="0"/>
        <w:rPr>
          <w:sz w:val="20"/>
          <w:szCs w:val="20"/>
          <w:color w:val="auto"/>
        </w:rPr>
      </w:pPr>
      <w:r>
        <w:rPr>
          <w:rFonts w:ascii="Arial" w:cs="Arial" w:eastAsia="Arial" w:hAnsi="Arial"/>
          <w:sz w:val="18"/>
          <w:szCs w:val="18"/>
          <w:color w:val="auto"/>
        </w:rPr>
        <w:t>2.38. “</w:t>
      </w:r>
      <w:r>
        <w:rPr>
          <w:rFonts w:ascii="Arial" w:cs="Arial" w:eastAsia="Arial" w:hAnsi="Arial"/>
          <w:sz w:val="18"/>
          <w:szCs w:val="18"/>
          <w:u w:val="single" w:color="auto"/>
          <w:color w:val="auto"/>
        </w:rPr>
        <w:t>Plan</w:t>
      </w:r>
      <w:r>
        <w:rPr>
          <w:rFonts w:ascii="Arial" w:cs="Arial" w:eastAsia="Arial" w:hAnsi="Arial"/>
          <w:sz w:val="18"/>
          <w:szCs w:val="18"/>
          <w:color w:val="auto"/>
        </w:rPr>
        <w:t>” means the Comcast Corporation 2002 Deferred Compensation Plan, as set forth herein, and as amended from time to time.</w:t>
      </w:r>
    </w:p>
    <w:p>
      <w:pPr>
        <w:spacing w:after="0" w:line="171" w:lineRule="exact"/>
        <w:rPr>
          <w:sz w:val="20"/>
          <w:szCs w:val="20"/>
          <w:color w:val="auto"/>
        </w:rPr>
      </w:pPr>
    </w:p>
    <w:p>
      <w:pPr>
        <w:ind w:right="200" w:firstLine="456"/>
        <w:spacing w:after="0" w:line="256" w:lineRule="auto"/>
        <w:rPr>
          <w:sz w:val="20"/>
          <w:szCs w:val="20"/>
          <w:color w:val="auto"/>
        </w:rPr>
      </w:pPr>
      <w:r>
        <w:rPr>
          <w:rFonts w:ascii="Arial" w:cs="Arial" w:eastAsia="Arial" w:hAnsi="Arial"/>
          <w:sz w:val="18"/>
          <w:szCs w:val="18"/>
          <w:color w:val="auto"/>
        </w:rPr>
        <w:t>2.39. “</w:t>
      </w:r>
      <w:r>
        <w:rPr>
          <w:rFonts w:ascii="Arial" w:cs="Arial" w:eastAsia="Arial" w:hAnsi="Arial"/>
          <w:sz w:val="18"/>
          <w:szCs w:val="18"/>
          <w:u w:val="single" w:color="auto"/>
          <w:color w:val="auto"/>
        </w:rPr>
        <w:t>Prime Rate</w:t>
      </w:r>
      <w:r>
        <w:rPr>
          <w:rFonts w:ascii="Arial" w:cs="Arial" w:eastAsia="Arial" w:hAnsi="Arial"/>
          <w:sz w:val="18"/>
          <w:szCs w:val="18"/>
          <w:color w:val="auto"/>
        </w:rPr>
        <w:t xml:space="preserve">” means, for any calendar year, the interest rate that, when compounded daily pursuant to rules established by the Administrator from time to time, is mathematically equivalent to the prime rate of interest (compounded annually) as published in the Eastern Edition of </w:t>
      </w:r>
      <w:r>
        <w:rPr>
          <w:rFonts w:ascii="Arial" w:cs="Arial" w:eastAsia="Arial" w:hAnsi="Arial"/>
          <w:sz w:val="18"/>
          <w:szCs w:val="18"/>
          <w:u w:val="single" w:color="auto"/>
          <w:color w:val="auto"/>
        </w:rPr>
        <w:t>The Wall Street Journal</w:t>
      </w:r>
      <w:r>
        <w:rPr>
          <w:rFonts w:ascii="Arial" w:cs="Arial" w:eastAsia="Arial" w:hAnsi="Arial"/>
          <w:sz w:val="18"/>
          <w:szCs w:val="18"/>
          <w:color w:val="auto"/>
        </w:rPr>
        <w:t xml:space="preserve"> on the last business day preceding the first day of such calendar year, and as adjusted as of the last business day preceding the first day of each calendar year beginning thereafter.</w:t>
      </w:r>
    </w:p>
    <w:p>
      <w:pPr>
        <w:spacing w:after="0" w:line="13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-8-</w:t>
      </w:r>
    </w:p>
    <w:p>
      <w:pPr>
        <w:sectPr>
          <w:pgSz w:w="11900" w:h="16838" w:orient="portrait"/>
          <w:cols w:equalWidth="0" w:num="1">
            <w:col w:w="11420"/>
          </w:cols>
          <w:pgMar w:left="240" w:top="280" w:right="239" w:bottom="1440" w:gutter="0" w:footer="0" w:header="0"/>
        </w:sectPr>
      </w:pPr>
    </w:p>
    <w:bookmarkStart w:id="60" w:name="page61"/>
    <w:bookmarkEnd w:id="60"/>
    <w:p>
      <w:pPr>
        <w:ind w:right="40" w:firstLine="456"/>
        <w:spacing w:after="0" w:line="268"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71" name="Picture 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
                    <pic:cNvPicPr>
                      <a:picLocks noChangeAspect="1" noChangeArrowheads="1"/>
                    </pic:cNvPicPr>
                  </pic:nvPicPr>
                  <pic:blipFill>
                    <a:blip r:embed="rId78">
                      <a:extLst>
                        <a:ext uri="{28A0092B-C50C-407E-A947-70E740481C1C}"/>
                      </a:extLst>
                    </a:blip>
                    <a:srcRect/>
                    <a:stretch>
                      <a:fillRect/>
                    </a:stretch>
                  </pic:blipFill>
                  <pic:spPr bwMode="auto">
                    <a:xfrm>
                      <a:off x="0" y="0"/>
                      <a:ext cx="7267575" cy="27940"/>
                    </a:xfrm>
                    <a:prstGeom prst="rect">
                      <a:avLst/>
                    </a:prstGeom>
                    <a:noFill/>
                  </pic:spPr>
                </pic:pic>
              </a:graphicData>
            </a:graphic>
          </wp:anchor>
        </w:drawing>
        <w:t>2.40. “</w:t>
      </w:r>
      <w:r>
        <w:rPr>
          <w:rFonts w:ascii="Arial" w:cs="Arial" w:eastAsia="Arial" w:hAnsi="Arial"/>
          <w:sz w:val="18"/>
          <w:szCs w:val="18"/>
          <w:u w:val="single" w:color="auto"/>
          <w:color w:val="auto"/>
        </w:rPr>
        <w:t>Prior Plan</w:t>
      </w:r>
      <w:r>
        <w:rPr>
          <w:rFonts w:ascii="Arial" w:cs="Arial" w:eastAsia="Arial" w:hAnsi="Arial"/>
          <w:sz w:val="18"/>
          <w:szCs w:val="18"/>
          <w:color w:val="auto"/>
        </w:rPr>
        <w:t>” means the Comcast Corporation 1996 Deferred Compensation Plan, as in effect immediately preceding the amendment, restatement and renaming of the Plan as the Comcast Corporation 2002 Deferred Compensation Plan.</w:t>
      </w:r>
    </w:p>
    <w:p>
      <w:pPr>
        <w:spacing w:after="0" w:line="132" w:lineRule="exact"/>
        <w:rPr>
          <w:sz w:val="20"/>
          <w:szCs w:val="20"/>
          <w:color w:val="auto"/>
        </w:rPr>
      </w:pPr>
    </w:p>
    <w:p>
      <w:pPr>
        <w:ind w:left="460"/>
        <w:spacing w:after="0"/>
        <w:rPr>
          <w:sz w:val="20"/>
          <w:szCs w:val="20"/>
          <w:color w:val="auto"/>
        </w:rPr>
      </w:pPr>
      <w:r>
        <w:rPr>
          <w:rFonts w:ascii="Arial" w:cs="Arial" w:eastAsia="Arial" w:hAnsi="Arial"/>
          <w:sz w:val="18"/>
          <w:szCs w:val="18"/>
          <w:color w:val="auto"/>
        </w:rPr>
        <w:t>2.41. “</w:t>
      </w:r>
      <w:r>
        <w:rPr>
          <w:rFonts w:ascii="Arial" w:cs="Arial" w:eastAsia="Arial" w:hAnsi="Arial"/>
          <w:sz w:val="18"/>
          <w:szCs w:val="18"/>
          <w:u w:val="single" w:color="auto"/>
          <w:color w:val="auto"/>
        </w:rPr>
        <w:t>Retired Participant</w:t>
      </w:r>
      <w:r>
        <w:rPr>
          <w:rFonts w:ascii="Arial" w:cs="Arial" w:eastAsia="Arial" w:hAnsi="Arial"/>
          <w:sz w:val="18"/>
          <w:szCs w:val="18"/>
          <w:color w:val="auto"/>
        </w:rPr>
        <w:t>” means a Participant who has terminated service pursuant to a Normal Retirement.</w:t>
      </w:r>
    </w:p>
    <w:p>
      <w:pPr>
        <w:spacing w:after="0" w:line="171" w:lineRule="exact"/>
        <w:rPr>
          <w:sz w:val="20"/>
          <w:szCs w:val="20"/>
          <w:color w:val="auto"/>
        </w:rPr>
      </w:pPr>
    </w:p>
    <w:p>
      <w:pPr>
        <w:ind w:right="220" w:firstLine="456"/>
        <w:spacing w:after="0" w:line="259" w:lineRule="auto"/>
        <w:rPr>
          <w:sz w:val="20"/>
          <w:szCs w:val="20"/>
          <w:color w:val="auto"/>
        </w:rPr>
      </w:pPr>
      <w:r>
        <w:rPr>
          <w:rFonts w:ascii="Arial" w:cs="Arial" w:eastAsia="Arial" w:hAnsi="Arial"/>
          <w:sz w:val="18"/>
          <w:szCs w:val="18"/>
          <w:color w:val="auto"/>
        </w:rPr>
        <w:t>2.42. “</w:t>
      </w:r>
      <w:r>
        <w:rPr>
          <w:rFonts w:ascii="Arial" w:cs="Arial" w:eastAsia="Arial" w:hAnsi="Arial"/>
          <w:sz w:val="18"/>
          <w:szCs w:val="18"/>
          <w:u w:val="single" w:color="auto"/>
          <w:color w:val="auto"/>
        </w:rPr>
        <w:t>Severance Pay</w:t>
      </w:r>
      <w:r>
        <w:rPr>
          <w:rFonts w:ascii="Arial" w:cs="Arial" w:eastAsia="Arial" w:hAnsi="Arial"/>
          <w:sz w:val="18"/>
          <w:szCs w:val="18"/>
          <w:color w:val="auto"/>
        </w:rPr>
        <w:t>” means any amount that is payable in cash and is identified by a Participating Company as severance pay, or any amount which is payable on account of periods beginning after the last date on which an employee (or former employee) is required to report for work for a Participating Company.</w:t>
      </w:r>
    </w:p>
    <w:p>
      <w:pPr>
        <w:spacing w:after="0" w:line="140" w:lineRule="exact"/>
        <w:rPr>
          <w:sz w:val="20"/>
          <w:szCs w:val="20"/>
          <w:color w:val="auto"/>
        </w:rPr>
      </w:pPr>
    </w:p>
    <w:p>
      <w:pPr>
        <w:ind w:right="120" w:firstLine="456"/>
        <w:spacing w:after="0" w:line="306" w:lineRule="auto"/>
        <w:rPr>
          <w:sz w:val="20"/>
          <w:szCs w:val="20"/>
          <w:color w:val="auto"/>
        </w:rPr>
      </w:pPr>
      <w:r>
        <w:rPr>
          <w:rFonts w:ascii="Arial" w:cs="Arial" w:eastAsia="Arial" w:hAnsi="Arial"/>
          <w:sz w:val="16"/>
          <w:szCs w:val="16"/>
          <w:color w:val="auto"/>
        </w:rPr>
        <w:t>2.43. “</w:t>
      </w:r>
      <w:r>
        <w:rPr>
          <w:rFonts w:ascii="Arial" w:cs="Arial" w:eastAsia="Arial" w:hAnsi="Arial"/>
          <w:sz w:val="16"/>
          <w:szCs w:val="16"/>
          <w:u w:val="single" w:color="auto"/>
          <w:color w:val="auto"/>
        </w:rPr>
        <w:t>Subsequent Election</w:t>
      </w:r>
      <w:r>
        <w:rPr>
          <w:rFonts w:ascii="Arial" w:cs="Arial" w:eastAsia="Arial" w:hAnsi="Arial"/>
          <w:sz w:val="16"/>
          <w:szCs w:val="16"/>
          <w:color w:val="auto"/>
        </w:rPr>
        <w:t>” means a written election on a form provided by the Administrator, filed with the Administrator in accordance with Article 3, pursuant to which a Participant or Beneficiary may elect to defer (or, in limited cases, accelerate) the time of payment or to change the manner of payment of amounts previously deferred in accordance with the terms of a previously made Initial Election or Subsequent Election.</w:t>
      </w:r>
    </w:p>
    <w:p>
      <w:pPr>
        <w:spacing w:after="0" w:line="107" w:lineRule="exact"/>
        <w:rPr>
          <w:sz w:val="20"/>
          <w:szCs w:val="20"/>
          <w:color w:val="auto"/>
        </w:rPr>
      </w:pPr>
    </w:p>
    <w:p>
      <w:pPr>
        <w:ind w:left="460"/>
        <w:spacing w:after="0"/>
        <w:rPr>
          <w:sz w:val="20"/>
          <w:szCs w:val="20"/>
          <w:color w:val="auto"/>
        </w:rPr>
      </w:pPr>
      <w:r>
        <w:rPr>
          <w:rFonts w:ascii="Arial" w:cs="Arial" w:eastAsia="Arial" w:hAnsi="Arial"/>
          <w:sz w:val="16"/>
          <w:szCs w:val="16"/>
          <w:color w:val="auto"/>
        </w:rPr>
        <w:t>2.44. “</w:t>
      </w:r>
      <w:r>
        <w:rPr>
          <w:rFonts w:ascii="Arial" w:cs="Arial" w:eastAsia="Arial" w:hAnsi="Arial"/>
          <w:sz w:val="16"/>
          <w:szCs w:val="16"/>
          <w:u w:val="single" w:color="auto"/>
          <w:color w:val="auto"/>
        </w:rPr>
        <w:t>Surviving Spouse</w:t>
      </w:r>
      <w:r>
        <w:rPr>
          <w:rFonts w:ascii="Arial" w:cs="Arial" w:eastAsia="Arial" w:hAnsi="Arial"/>
          <w:sz w:val="16"/>
          <w:szCs w:val="16"/>
          <w:color w:val="auto"/>
        </w:rPr>
        <w:t>” means the widow or widower, as the case may be, of a Deceased Participant or a Deceased Beneficiary (as applicable).</w:t>
      </w:r>
    </w:p>
    <w:p>
      <w:pPr>
        <w:spacing w:after="0" w:line="275" w:lineRule="exact"/>
        <w:rPr>
          <w:sz w:val="20"/>
          <w:szCs w:val="20"/>
          <w:color w:val="auto"/>
        </w:rPr>
      </w:pPr>
    </w:p>
    <w:p>
      <w:pPr>
        <w:ind w:left="460"/>
        <w:spacing w:after="0"/>
        <w:rPr>
          <w:sz w:val="20"/>
          <w:szCs w:val="20"/>
          <w:color w:val="auto"/>
        </w:rPr>
      </w:pPr>
      <w:r>
        <w:rPr>
          <w:rFonts w:ascii="Arial" w:cs="Arial" w:eastAsia="Arial" w:hAnsi="Arial"/>
          <w:sz w:val="18"/>
          <w:szCs w:val="18"/>
          <w:color w:val="auto"/>
        </w:rPr>
        <w:t>2.45. “</w:t>
      </w:r>
      <w:r>
        <w:rPr>
          <w:rFonts w:ascii="Arial" w:cs="Arial" w:eastAsia="Arial" w:hAnsi="Arial"/>
          <w:sz w:val="18"/>
          <w:szCs w:val="18"/>
          <w:u w:val="single" w:color="auto"/>
          <w:color w:val="auto"/>
        </w:rPr>
        <w:t>Terminating Event</w:t>
      </w:r>
      <w:r>
        <w:rPr>
          <w:rFonts w:ascii="Arial" w:cs="Arial" w:eastAsia="Arial" w:hAnsi="Arial"/>
          <w:sz w:val="18"/>
          <w:szCs w:val="18"/>
          <w:color w:val="auto"/>
        </w:rPr>
        <w:t>” means either of the following events:</w:t>
      </w:r>
    </w:p>
    <w:p>
      <w:pPr>
        <w:spacing w:after="0" w:line="90" w:lineRule="exact"/>
        <w:rPr>
          <w:sz w:val="20"/>
          <w:szCs w:val="20"/>
          <w:color w:val="auto"/>
        </w:rPr>
      </w:pPr>
    </w:p>
    <w:p>
      <w:pPr>
        <w:ind w:left="1160" w:hanging="239"/>
        <w:spacing w:after="0"/>
        <w:tabs>
          <w:tab w:leader="none" w:pos="1160" w:val="left"/>
        </w:tabs>
        <w:numPr>
          <w:ilvl w:val="0"/>
          <w:numId w:val="56"/>
        </w:numPr>
        <w:rPr>
          <w:rFonts w:ascii="Arial" w:cs="Arial" w:eastAsia="Arial" w:hAnsi="Arial"/>
          <w:sz w:val="18"/>
          <w:szCs w:val="18"/>
          <w:color w:val="auto"/>
        </w:rPr>
      </w:pPr>
      <w:r>
        <w:rPr>
          <w:rFonts w:ascii="Arial" w:cs="Arial" w:eastAsia="Arial" w:hAnsi="Arial"/>
          <w:sz w:val="18"/>
          <w:szCs w:val="18"/>
          <w:color w:val="auto"/>
        </w:rPr>
        <w:t>the liquidation of the Company; or</w:t>
      </w:r>
    </w:p>
    <w:p>
      <w:pPr>
        <w:spacing w:after="0" w:line="171" w:lineRule="exact"/>
        <w:rPr>
          <w:rFonts w:ascii="Arial" w:cs="Arial" w:eastAsia="Arial" w:hAnsi="Arial"/>
          <w:sz w:val="18"/>
          <w:szCs w:val="18"/>
          <w:color w:val="auto"/>
        </w:rPr>
      </w:pPr>
    </w:p>
    <w:p>
      <w:pPr>
        <w:ind w:left="1160" w:hanging="239"/>
        <w:spacing w:after="0"/>
        <w:tabs>
          <w:tab w:leader="none" w:pos="1160" w:val="left"/>
        </w:tabs>
        <w:numPr>
          <w:ilvl w:val="0"/>
          <w:numId w:val="56"/>
        </w:numPr>
        <w:rPr>
          <w:rFonts w:ascii="Arial" w:cs="Arial" w:eastAsia="Arial" w:hAnsi="Arial"/>
          <w:sz w:val="18"/>
          <w:szCs w:val="18"/>
          <w:color w:val="auto"/>
        </w:rPr>
      </w:pPr>
      <w:r>
        <w:rPr>
          <w:rFonts w:ascii="Arial" w:cs="Arial" w:eastAsia="Arial" w:hAnsi="Arial"/>
          <w:sz w:val="18"/>
          <w:szCs w:val="18"/>
          <w:color w:val="auto"/>
        </w:rPr>
        <w:t>a Change of Control.</w:t>
      </w:r>
    </w:p>
    <w:p>
      <w:pPr>
        <w:spacing w:after="0" w:line="171" w:lineRule="exact"/>
        <w:rPr>
          <w:sz w:val="20"/>
          <w:szCs w:val="20"/>
          <w:color w:val="auto"/>
        </w:rPr>
      </w:pPr>
    </w:p>
    <w:p>
      <w:pPr>
        <w:ind w:right="260" w:firstLine="456"/>
        <w:spacing w:after="0" w:line="268" w:lineRule="auto"/>
        <w:rPr>
          <w:sz w:val="20"/>
          <w:szCs w:val="20"/>
          <w:color w:val="auto"/>
        </w:rPr>
      </w:pPr>
      <w:r>
        <w:rPr>
          <w:rFonts w:ascii="Arial" w:cs="Arial" w:eastAsia="Arial" w:hAnsi="Arial"/>
          <w:sz w:val="18"/>
          <w:szCs w:val="18"/>
          <w:color w:val="auto"/>
        </w:rPr>
        <w:t>2.46. “</w:t>
      </w:r>
      <w:r>
        <w:rPr>
          <w:rFonts w:ascii="Arial" w:cs="Arial" w:eastAsia="Arial" w:hAnsi="Arial"/>
          <w:sz w:val="18"/>
          <w:szCs w:val="18"/>
          <w:u w:val="single" w:color="auto"/>
          <w:color w:val="auto"/>
        </w:rPr>
        <w:t>Third Party</w:t>
      </w:r>
      <w:r>
        <w:rPr>
          <w:rFonts w:ascii="Arial" w:cs="Arial" w:eastAsia="Arial" w:hAnsi="Arial"/>
          <w:sz w:val="18"/>
          <w:szCs w:val="18"/>
          <w:color w:val="auto"/>
        </w:rPr>
        <w:t>” means any Person, together with such Person’s Affiliates, provided that the term “Third Party” shall not include the Company or an Affiliate of the Company.</w:t>
      </w:r>
    </w:p>
    <w:p>
      <w:pPr>
        <w:spacing w:after="0" w:line="288" w:lineRule="exact"/>
        <w:rPr>
          <w:sz w:val="20"/>
          <w:szCs w:val="20"/>
          <w:color w:val="auto"/>
        </w:rPr>
      </w:pPr>
    </w:p>
    <w:p>
      <w:pPr>
        <w:jc w:val="center"/>
        <w:ind w:right="-59"/>
        <w:spacing w:after="0"/>
        <w:rPr>
          <w:sz w:val="20"/>
          <w:szCs w:val="20"/>
          <w:color w:val="auto"/>
        </w:rPr>
      </w:pPr>
      <w:r>
        <w:rPr>
          <w:rFonts w:ascii="Arial" w:cs="Arial" w:eastAsia="Arial" w:hAnsi="Arial"/>
          <w:sz w:val="18"/>
          <w:szCs w:val="18"/>
          <w:b w:val="1"/>
          <w:bCs w:val="1"/>
          <w:color w:val="auto"/>
        </w:rPr>
        <w:t>ARTICLE 3 - INITIAL AND SUBSEQUENT ELECTIONS</w:t>
      </w:r>
    </w:p>
    <w:p>
      <w:pPr>
        <w:spacing w:after="0" w:line="177" w:lineRule="exact"/>
        <w:rPr>
          <w:sz w:val="20"/>
          <w:szCs w:val="20"/>
          <w:color w:val="auto"/>
        </w:rPr>
      </w:pPr>
    </w:p>
    <w:p>
      <w:pPr>
        <w:ind w:left="460"/>
        <w:spacing w:after="0"/>
        <w:rPr>
          <w:sz w:val="20"/>
          <w:szCs w:val="20"/>
          <w:color w:val="auto"/>
        </w:rPr>
      </w:pPr>
      <w:r>
        <w:rPr>
          <w:rFonts w:ascii="Arial" w:cs="Arial" w:eastAsia="Arial" w:hAnsi="Arial"/>
          <w:sz w:val="18"/>
          <w:szCs w:val="18"/>
          <w:color w:val="auto"/>
        </w:rPr>
        <w:t xml:space="preserve">3.1. </w:t>
      </w:r>
      <w:r>
        <w:rPr>
          <w:rFonts w:ascii="Arial" w:cs="Arial" w:eastAsia="Arial" w:hAnsi="Arial"/>
          <w:sz w:val="18"/>
          <w:szCs w:val="18"/>
          <w:u w:val="single" w:color="auto"/>
          <w:color w:val="auto"/>
        </w:rPr>
        <w:t>Elections.</w:t>
      </w:r>
    </w:p>
    <w:p>
      <w:pPr>
        <w:spacing w:after="0" w:line="90" w:lineRule="exact"/>
        <w:rPr>
          <w:sz w:val="20"/>
          <w:szCs w:val="20"/>
          <w:color w:val="auto"/>
        </w:rPr>
      </w:pPr>
    </w:p>
    <w:p>
      <w:pPr>
        <w:ind w:firstLine="921"/>
        <w:spacing w:after="0" w:line="289" w:lineRule="auto"/>
        <w:tabs>
          <w:tab w:leader="none" w:pos="1152" w:val="left"/>
        </w:tabs>
        <w:numPr>
          <w:ilvl w:val="0"/>
          <w:numId w:val="57"/>
        </w:numPr>
        <w:rPr>
          <w:rFonts w:ascii="Arial" w:cs="Arial" w:eastAsia="Arial" w:hAnsi="Arial"/>
          <w:sz w:val="16"/>
          <w:szCs w:val="16"/>
          <w:color w:val="auto"/>
        </w:rPr>
      </w:pPr>
      <w:r>
        <w:rPr>
          <w:rFonts w:ascii="Arial" w:cs="Arial" w:eastAsia="Arial" w:hAnsi="Arial"/>
          <w:sz w:val="16"/>
          <w:szCs w:val="16"/>
          <w:u w:val="single" w:color="auto"/>
          <w:color w:val="auto"/>
        </w:rPr>
        <w:t>Initial Elections</w:t>
      </w:r>
      <w:r>
        <w:rPr>
          <w:rFonts w:ascii="Arial" w:cs="Arial" w:eastAsia="Arial" w:hAnsi="Arial"/>
          <w:sz w:val="16"/>
          <w:szCs w:val="16"/>
          <w:color w:val="auto"/>
        </w:rPr>
        <w:t>. Each Outside Director and Eligible Employee shall have the right to defer all or any portion of the Compensation (including bonuses, if any, and, in the case of Outside Directors, including any portion of an Outside Director’s Compensation payable in the form of Company Stock) that he would otherwise be entitled to receive in a calendar year by filing an Initial Election at the time and in the manner described in this Article 3; provided that Severance Pay shall be included as “Compensation” for purposes of this Section 3.1 only to the extent permitted, and subject to such rules regarding the length of any initial deferral period and subsequent deferral period, if any, established by the Administrator in its sole discretion. The Compensation of such Outside Director or Eligible Employee for a calendar year shall be reduced in an amount equal to the portion of the Compensation deferred by such Outside Director or Eligible Employee for such calendar year pursuant to such Outside Director’s or Eligible Employee’s Initial Election. Such reduction shall be effected on a pro rata basis from each periodic installment payment of such Outside Director’s or Eligible Employee’s</w:t>
      </w:r>
    </w:p>
    <w:p>
      <w:pPr>
        <w:spacing w:after="0" w:line="105"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-9-</w:t>
      </w:r>
    </w:p>
    <w:p>
      <w:pPr>
        <w:sectPr>
          <w:pgSz w:w="11900" w:h="16838" w:orient="portrait"/>
          <w:cols w:equalWidth="0" w:num="1">
            <w:col w:w="11360"/>
          </w:cols>
          <w:pgMar w:left="240" w:top="280" w:right="299" w:bottom="1440" w:gutter="0" w:footer="0" w:header="0"/>
        </w:sectPr>
      </w:pPr>
    </w:p>
    <w:bookmarkStart w:id="61" w:name="page62"/>
    <w:bookmarkEnd w:id="61"/>
    <w:p>
      <w:pPr>
        <w:ind w:right="280"/>
        <w:spacing w:after="0" w:line="306" w:lineRule="auto"/>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72" name="Picture 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
                    <pic:cNvPicPr>
                      <a:picLocks noChangeAspect="1" noChangeArrowheads="1"/>
                    </pic:cNvPicPr>
                  </pic:nvPicPr>
                  <pic:blipFill>
                    <a:blip r:embed="rId79">
                      <a:extLst>
                        <a:ext uri="{28A0092B-C50C-407E-A947-70E740481C1C}"/>
                      </a:extLst>
                    </a:blip>
                    <a:srcRect/>
                    <a:stretch>
                      <a:fillRect/>
                    </a:stretch>
                  </pic:blipFill>
                  <pic:spPr bwMode="auto">
                    <a:xfrm>
                      <a:off x="0" y="0"/>
                      <a:ext cx="7267575" cy="27940"/>
                    </a:xfrm>
                    <a:prstGeom prst="rect">
                      <a:avLst/>
                    </a:prstGeom>
                    <a:noFill/>
                  </pic:spPr>
                </pic:pic>
              </a:graphicData>
            </a:graphic>
          </wp:anchor>
        </w:drawing>
        <w:t>Compensation for the calendar year (in accordance with the general pay practices of the Participating Company), and credited, as a bookkeeping entry, to such Outside Director’s or Eligible Employee’s Account in accordance with Section 5.1. Amounts credited to the Accounts of Outside Directors in the form of Company Stock shall be credited to the Company Stock Fund and credited with income, gains and losses in accordance with Section 5.2(c).</w:t>
      </w:r>
    </w:p>
    <w:p>
      <w:pPr>
        <w:spacing w:after="0" w:line="107" w:lineRule="exact"/>
        <w:rPr>
          <w:sz w:val="20"/>
          <w:szCs w:val="20"/>
          <w:color w:val="auto"/>
        </w:rPr>
      </w:pPr>
    </w:p>
    <w:p>
      <w:pPr>
        <w:ind w:firstLine="921"/>
        <w:spacing w:after="0" w:line="306" w:lineRule="auto"/>
        <w:tabs>
          <w:tab w:leader="none" w:pos="1161" w:val="left"/>
        </w:tabs>
        <w:numPr>
          <w:ilvl w:val="0"/>
          <w:numId w:val="58"/>
        </w:numPr>
        <w:rPr>
          <w:rFonts w:ascii="Arial" w:cs="Arial" w:eastAsia="Arial" w:hAnsi="Arial"/>
          <w:sz w:val="16"/>
          <w:szCs w:val="16"/>
          <w:color w:val="auto"/>
        </w:rPr>
      </w:pPr>
      <w:r>
        <w:rPr>
          <w:rFonts w:ascii="Arial" w:cs="Arial" w:eastAsia="Arial" w:hAnsi="Arial"/>
          <w:sz w:val="16"/>
          <w:szCs w:val="16"/>
          <w:u w:val="single" w:color="auto"/>
          <w:color w:val="auto"/>
        </w:rPr>
        <w:t>Subsequent Elections</w:t>
      </w:r>
      <w:r>
        <w:rPr>
          <w:rFonts w:ascii="Arial" w:cs="Arial" w:eastAsia="Arial" w:hAnsi="Arial"/>
          <w:sz w:val="16"/>
          <w:szCs w:val="16"/>
          <w:color w:val="auto"/>
        </w:rPr>
        <w:t>. Each Participant or Beneficiary shall have the right to elect to defer (or, in limited cases, accelerate) the time of payment or to change the manner of payment of amounts previously deferred in accordance with the terms of a previously made Initial Election pursuant to the terms of the Plan by filing a Subsequent Election at the time, to the extent, and in the manner described in this Article 3.</w:t>
      </w:r>
    </w:p>
    <w:p>
      <w:pPr>
        <w:spacing w:after="0" w:line="107" w:lineRule="exact"/>
        <w:rPr>
          <w:sz w:val="20"/>
          <w:szCs w:val="20"/>
          <w:color w:val="auto"/>
        </w:rPr>
      </w:pPr>
    </w:p>
    <w:p>
      <w:pPr>
        <w:ind w:right="80" w:firstLine="456"/>
        <w:spacing w:after="0" w:line="255" w:lineRule="auto"/>
        <w:rPr>
          <w:sz w:val="20"/>
          <w:szCs w:val="20"/>
          <w:color w:val="auto"/>
        </w:rPr>
      </w:pPr>
      <w:r>
        <w:rPr>
          <w:rFonts w:ascii="Arial" w:cs="Arial" w:eastAsia="Arial" w:hAnsi="Arial"/>
          <w:sz w:val="18"/>
          <w:szCs w:val="18"/>
          <w:color w:val="auto"/>
        </w:rPr>
        <w:t xml:space="preserve">3.2. </w:t>
      </w:r>
      <w:r>
        <w:rPr>
          <w:rFonts w:ascii="Arial" w:cs="Arial" w:eastAsia="Arial" w:hAnsi="Arial"/>
          <w:sz w:val="18"/>
          <w:szCs w:val="18"/>
          <w:u w:val="single" w:color="auto"/>
          <w:color w:val="auto"/>
        </w:rPr>
        <w:t>Filing of Initial Election: General</w:t>
      </w:r>
      <w:r>
        <w:rPr>
          <w:rFonts w:ascii="Arial" w:cs="Arial" w:eastAsia="Arial" w:hAnsi="Arial"/>
          <w:sz w:val="18"/>
          <w:szCs w:val="18"/>
          <w:color w:val="auto"/>
        </w:rPr>
        <w:t>. An Initial Election shall be made on the form provided by the Administrator for this purpose. Except as provided in Section 3.3, no such Initial Election shall be effective unless it is filed with the Administrator on or before December 31 of the calendar year preceding the calendar year to which the Initial Election applies; provided that an Initial Election with respect to Severance Pay shall not be effective unless it is filed within 30 days following the date of written notification to an Eligible Employee from the Administrator or its duly authorized delegate of such Eligible Employee’s eligibility to defer Severance Pay.</w:t>
      </w:r>
    </w:p>
    <w:p>
      <w:pPr>
        <w:spacing w:after="0" w:line="224" w:lineRule="exact"/>
        <w:rPr>
          <w:sz w:val="20"/>
          <w:szCs w:val="20"/>
          <w:color w:val="auto"/>
        </w:rPr>
      </w:pPr>
    </w:p>
    <w:p>
      <w:pPr>
        <w:ind w:left="460"/>
        <w:spacing w:after="0"/>
        <w:rPr>
          <w:sz w:val="20"/>
          <w:szCs w:val="20"/>
          <w:color w:val="auto"/>
        </w:rPr>
      </w:pPr>
      <w:r>
        <w:rPr>
          <w:rFonts w:ascii="Arial" w:cs="Arial" w:eastAsia="Arial" w:hAnsi="Arial"/>
          <w:sz w:val="18"/>
          <w:szCs w:val="18"/>
          <w:color w:val="auto"/>
        </w:rPr>
        <w:t xml:space="preserve">3.3. </w:t>
      </w:r>
      <w:r>
        <w:rPr>
          <w:rFonts w:ascii="Arial" w:cs="Arial" w:eastAsia="Arial" w:hAnsi="Arial"/>
          <w:sz w:val="18"/>
          <w:szCs w:val="18"/>
          <w:u w:val="single" w:color="auto"/>
          <w:color w:val="auto"/>
        </w:rPr>
        <w:t>Filing of Initial Election by New Key Employees and New Outside Directors</w:t>
      </w:r>
      <w:r>
        <w:rPr>
          <w:rFonts w:ascii="Arial" w:cs="Arial" w:eastAsia="Arial" w:hAnsi="Arial"/>
          <w:sz w:val="18"/>
          <w:szCs w:val="18"/>
          <w:color w:val="auto"/>
        </w:rPr>
        <w:t>.</w:t>
      </w:r>
    </w:p>
    <w:p>
      <w:pPr>
        <w:spacing w:after="0" w:line="90" w:lineRule="exact"/>
        <w:rPr>
          <w:sz w:val="20"/>
          <w:szCs w:val="20"/>
          <w:color w:val="auto"/>
        </w:rPr>
      </w:pPr>
    </w:p>
    <w:p>
      <w:pPr>
        <w:ind w:right="120" w:firstLine="921"/>
        <w:spacing w:after="0" w:line="254" w:lineRule="auto"/>
        <w:tabs>
          <w:tab w:leader="none" w:pos="1152" w:val="left"/>
        </w:tabs>
        <w:numPr>
          <w:ilvl w:val="0"/>
          <w:numId w:val="59"/>
        </w:numPr>
        <w:rPr>
          <w:rFonts w:ascii="Arial" w:cs="Arial" w:eastAsia="Arial" w:hAnsi="Arial"/>
          <w:sz w:val="18"/>
          <w:szCs w:val="18"/>
          <w:color w:val="auto"/>
        </w:rPr>
      </w:pPr>
      <w:r>
        <w:rPr>
          <w:rFonts w:ascii="Arial" w:cs="Arial" w:eastAsia="Arial" w:hAnsi="Arial"/>
          <w:sz w:val="18"/>
          <w:szCs w:val="18"/>
          <w:u w:val="single" w:color="auto"/>
          <w:color w:val="auto"/>
        </w:rPr>
        <w:t>New Key Employees</w:t>
      </w:r>
      <w:r>
        <w:rPr>
          <w:rFonts w:ascii="Arial" w:cs="Arial" w:eastAsia="Arial" w:hAnsi="Arial"/>
          <w:sz w:val="18"/>
          <w:szCs w:val="18"/>
          <w:color w:val="auto"/>
        </w:rPr>
        <w:t>. Notwithstanding Section 3.1 and Section 3.2, a New Key Employee may elect to defer all or any portion of his Compensation that he would otherwise be entitled to receive in the calendar year in which the New Key Employee was employed, beginning with the payroll period next following the filing of an Initial Election with the Administrator and before the close of such calendar year by making and filing the Initial Election with the Administrator within 60 days of such New Key Employee’s date of hire or within 60 days of the date such New Key Employee first becomes eligible to participate in the Plan. Any Initial Election by such New Key Employee for succeeding calendar years shall be made in accordance with Section 3.1 and Section 3.2.</w:t>
      </w:r>
    </w:p>
    <w:p>
      <w:pPr>
        <w:spacing w:after="0" w:line="144" w:lineRule="exact"/>
        <w:rPr>
          <w:rFonts w:ascii="Arial" w:cs="Arial" w:eastAsia="Arial" w:hAnsi="Arial"/>
          <w:sz w:val="18"/>
          <w:szCs w:val="18"/>
          <w:color w:val="auto"/>
        </w:rPr>
      </w:pPr>
    </w:p>
    <w:p>
      <w:pPr>
        <w:ind w:firstLine="921"/>
        <w:spacing w:after="0" w:line="254" w:lineRule="auto"/>
        <w:tabs>
          <w:tab w:leader="none" w:pos="1161" w:val="left"/>
        </w:tabs>
        <w:numPr>
          <w:ilvl w:val="0"/>
          <w:numId w:val="59"/>
        </w:numPr>
        <w:rPr>
          <w:rFonts w:ascii="Arial" w:cs="Arial" w:eastAsia="Arial" w:hAnsi="Arial"/>
          <w:sz w:val="18"/>
          <w:szCs w:val="18"/>
          <w:color w:val="auto"/>
        </w:rPr>
      </w:pPr>
      <w:r>
        <w:rPr>
          <w:rFonts w:ascii="Arial" w:cs="Arial" w:eastAsia="Arial" w:hAnsi="Arial"/>
          <w:sz w:val="18"/>
          <w:szCs w:val="18"/>
          <w:u w:val="single" w:color="auto"/>
          <w:color w:val="auto"/>
        </w:rPr>
        <w:t>New Outside Directors</w:t>
      </w:r>
      <w:r>
        <w:rPr>
          <w:rFonts w:ascii="Arial" w:cs="Arial" w:eastAsia="Arial" w:hAnsi="Arial"/>
          <w:sz w:val="18"/>
          <w:szCs w:val="18"/>
          <w:color w:val="auto"/>
        </w:rPr>
        <w:t>. Notwithstanding Section 3.1 and Section 3.2, an Outside Director may elect to defer all or any portion of his Compensation that he would otherwise be entitled to receive in the calendar year in which an Outside Director’s election as a member of the Board becomes effective (provided that such Outside Director is not a member of the Board immediately preceding such effective date), beginning with Compensation payable following the filing of an Initial Election with the Administrator and before the close of such calendar year by making and filing the Initial Election with the Administrator within 60 days of the effective date of such Outside Director’s election. Any Initial Election by such Outside Director for succeeding calendar years shall be made in accordance with Section 3.1 and Section 3.2.</w:t>
      </w:r>
    </w:p>
    <w:p>
      <w:pPr>
        <w:spacing w:after="0" w:line="144" w:lineRule="exact"/>
        <w:rPr>
          <w:sz w:val="20"/>
          <w:szCs w:val="20"/>
          <w:color w:val="auto"/>
        </w:rPr>
      </w:pPr>
    </w:p>
    <w:p>
      <w:pPr>
        <w:ind w:right="20" w:firstLine="456"/>
        <w:spacing w:after="0" w:line="268" w:lineRule="auto"/>
        <w:rPr>
          <w:sz w:val="20"/>
          <w:szCs w:val="20"/>
          <w:color w:val="auto"/>
        </w:rPr>
      </w:pPr>
      <w:r>
        <w:rPr>
          <w:rFonts w:ascii="Arial" w:cs="Arial" w:eastAsia="Arial" w:hAnsi="Arial"/>
          <w:sz w:val="18"/>
          <w:szCs w:val="18"/>
          <w:color w:val="auto"/>
        </w:rPr>
        <w:t xml:space="preserve">3.4. </w:t>
      </w:r>
      <w:r>
        <w:rPr>
          <w:rFonts w:ascii="Arial" w:cs="Arial" w:eastAsia="Arial" w:hAnsi="Arial"/>
          <w:sz w:val="18"/>
          <w:szCs w:val="18"/>
          <w:u w:val="single" w:color="auto"/>
          <w:color w:val="auto"/>
        </w:rPr>
        <w:t>Calendar Years to which Initial Election May Apply</w:t>
      </w:r>
      <w:r>
        <w:rPr>
          <w:rFonts w:ascii="Arial" w:cs="Arial" w:eastAsia="Arial" w:hAnsi="Arial"/>
          <w:sz w:val="18"/>
          <w:szCs w:val="18"/>
          <w:color w:val="auto"/>
        </w:rPr>
        <w:t>. A separate Initial Election may be made for each calendar year as to which an Outside Director or Eligible</w:t>
      </w:r>
    </w:p>
    <w:p>
      <w:pPr>
        <w:spacing w:after="0" w:line="11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-10-</w:t>
      </w:r>
    </w:p>
    <w:p>
      <w:pPr>
        <w:sectPr>
          <w:pgSz w:w="11900" w:h="16838" w:orient="portrait"/>
          <w:cols w:equalWidth="0" w:num="1">
            <w:col w:w="11420"/>
          </w:cols>
          <w:pgMar w:left="240" w:top="280" w:right="239" w:bottom="1440" w:gutter="0" w:footer="0" w:header="0"/>
        </w:sectPr>
      </w:pPr>
    </w:p>
    <w:bookmarkStart w:id="62" w:name="page63"/>
    <w:bookmarkEnd w:id="62"/>
    <w:p>
      <w:pPr>
        <w:ind w:right="240"/>
        <w:spacing w:after="0" w:line="259"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73" name="Picture 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
                    <pic:cNvPicPr>
                      <a:picLocks noChangeAspect="1" noChangeArrowheads="1"/>
                    </pic:cNvPicPr>
                  </pic:nvPicPr>
                  <pic:blipFill>
                    <a:blip r:embed="rId80">
                      <a:extLst>
                        <a:ext uri="{28A0092B-C50C-407E-A947-70E740481C1C}"/>
                      </a:extLst>
                    </a:blip>
                    <a:srcRect/>
                    <a:stretch>
                      <a:fillRect/>
                    </a:stretch>
                  </pic:blipFill>
                  <pic:spPr bwMode="auto">
                    <a:xfrm>
                      <a:off x="0" y="0"/>
                      <a:ext cx="7267575" cy="27940"/>
                    </a:xfrm>
                    <a:prstGeom prst="rect">
                      <a:avLst/>
                    </a:prstGeom>
                    <a:noFill/>
                  </pic:spPr>
                </pic:pic>
              </a:graphicData>
            </a:graphic>
          </wp:anchor>
        </w:drawing>
        <w:t>Employee desires to defer all or any portion of such Outside Director’s or Eligible Employee’s Compensation. The failure of an Outside Director or Eligible Employee to make an Initial Election for any calendar year shall not affect such Outside Director’s or Eligible Employee’s right to make an Initial Election for any other calendar year.</w:t>
      </w:r>
    </w:p>
    <w:p>
      <w:pPr>
        <w:spacing w:after="0" w:line="140" w:lineRule="exact"/>
        <w:rPr>
          <w:sz w:val="20"/>
          <w:szCs w:val="20"/>
          <w:color w:val="auto"/>
        </w:rPr>
      </w:pPr>
    </w:p>
    <w:p>
      <w:pPr>
        <w:ind w:firstLine="921"/>
        <w:spacing w:after="0" w:line="254" w:lineRule="auto"/>
        <w:tabs>
          <w:tab w:leader="none" w:pos="1152" w:val="left"/>
        </w:tabs>
        <w:numPr>
          <w:ilvl w:val="0"/>
          <w:numId w:val="60"/>
        </w:numPr>
        <w:rPr>
          <w:rFonts w:ascii="Arial" w:cs="Arial" w:eastAsia="Arial" w:hAnsi="Arial"/>
          <w:sz w:val="18"/>
          <w:szCs w:val="18"/>
          <w:color w:val="auto"/>
        </w:rPr>
      </w:pPr>
      <w:r>
        <w:rPr>
          <w:rFonts w:ascii="Arial" w:cs="Arial" w:eastAsia="Arial" w:hAnsi="Arial"/>
          <w:sz w:val="18"/>
          <w:szCs w:val="18"/>
          <w:u w:val="single" w:color="auto"/>
          <w:color w:val="auto"/>
        </w:rPr>
        <w:t>Initial Election of Distribution Date</w:t>
      </w:r>
      <w:r>
        <w:rPr>
          <w:rFonts w:ascii="Arial" w:cs="Arial" w:eastAsia="Arial" w:hAnsi="Arial"/>
          <w:sz w:val="18"/>
          <w:szCs w:val="18"/>
          <w:color w:val="auto"/>
        </w:rPr>
        <w:t>. Each Outside Director or Eligible Employee shall, contemporaneously with an Initial Election, also elect the time of payment of the amount of the deferred Compensation to which such Initial Election relates; provided, however, that, subject to acceleration pursuant to Section 3.5(e) or (f), Section 3.7, Section 7.1, 7.2, or Article 8, no distribution may commence earlier than January 2nd of the second calendar year beginning after the date the Initial Election is filed with the Administrator, nor later than January 2nd of the eleventh calendar year beginning after the date the Initial Election is filed with the Administrator. Further, each Outside Director or Eligible Employee may select with each Initial Election the manner of distribution in accordance with Article 4.</w:t>
      </w:r>
    </w:p>
    <w:p>
      <w:pPr>
        <w:spacing w:after="0" w:line="225" w:lineRule="exact"/>
        <w:rPr>
          <w:sz w:val="20"/>
          <w:szCs w:val="20"/>
          <w:color w:val="auto"/>
        </w:rPr>
      </w:pPr>
    </w:p>
    <w:p>
      <w:pPr>
        <w:ind w:left="460"/>
        <w:spacing w:after="0"/>
        <w:rPr>
          <w:sz w:val="20"/>
          <w:szCs w:val="20"/>
          <w:color w:val="auto"/>
        </w:rPr>
      </w:pPr>
      <w:r>
        <w:rPr>
          <w:rFonts w:ascii="Arial" w:cs="Arial" w:eastAsia="Arial" w:hAnsi="Arial"/>
          <w:sz w:val="18"/>
          <w:szCs w:val="18"/>
          <w:color w:val="auto"/>
        </w:rPr>
        <w:t xml:space="preserve">3.5. </w:t>
      </w:r>
      <w:r>
        <w:rPr>
          <w:rFonts w:ascii="Arial" w:cs="Arial" w:eastAsia="Arial" w:hAnsi="Arial"/>
          <w:sz w:val="18"/>
          <w:szCs w:val="18"/>
          <w:u w:val="single" w:color="auto"/>
          <w:color w:val="auto"/>
        </w:rPr>
        <w:t>Subsequent Elections</w:t>
      </w:r>
      <w:r>
        <w:rPr>
          <w:rFonts w:ascii="Arial" w:cs="Arial" w:eastAsia="Arial" w:hAnsi="Arial"/>
          <w:sz w:val="18"/>
          <w:szCs w:val="18"/>
          <w:color w:val="auto"/>
        </w:rPr>
        <w:t>.</w:t>
      </w:r>
    </w:p>
    <w:p>
      <w:pPr>
        <w:spacing w:after="0" w:line="90" w:lineRule="exact"/>
        <w:rPr>
          <w:sz w:val="20"/>
          <w:szCs w:val="20"/>
          <w:color w:val="auto"/>
        </w:rPr>
      </w:pPr>
    </w:p>
    <w:p>
      <w:pPr>
        <w:ind w:right="60" w:firstLine="921"/>
        <w:spacing w:after="0" w:line="255" w:lineRule="auto"/>
        <w:tabs>
          <w:tab w:leader="none" w:pos="1152" w:val="left"/>
        </w:tabs>
        <w:numPr>
          <w:ilvl w:val="0"/>
          <w:numId w:val="61"/>
        </w:numPr>
        <w:rPr>
          <w:rFonts w:ascii="Arial" w:cs="Arial" w:eastAsia="Arial" w:hAnsi="Arial"/>
          <w:sz w:val="18"/>
          <w:szCs w:val="18"/>
          <w:color w:val="auto"/>
        </w:rPr>
      </w:pPr>
      <w:r>
        <w:rPr>
          <w:rFonts w:ascii="Arial" w:cs="Arial" w:eastAsia="Arial" w:hAnsi="Arial"/>
          <w:sz w:val="18"/>
          <w:szCs w:val="18"/>
          <w:u w:val="single" w:color="auto"/>
          <w:color w:val="auto"/>
        </w:rPr>
        <w:t>Active Participants</w:t>
      </w:r>
      <w:r>
        <w:rPr>
          <w:rFonts w:ascii="Arial" w:cs="Arial" w:eastAsia="Arial" w:hAnsi="Arial"/>
          <w:sz w:val="18"/>
          <w:szCs w:val="18"/>
          <w:color w:val="auto"/>
        </w:rPr>
        <w:t>. Each Active Participant, who has made an Initial Election, or who has made a Subsequent Election, may elect to change the manner of distribution or defer the time of payment of any part or all of such Participant’s Account for a minimum of two and a maximum of ten additional years from the previously-elected payment date, by filing a Subsequent Election with the Administrator on or before the close of business on June 30 of the calendar year preceding the calendar year in which the lump-sum distribution or initial installment payment would otherwise be made. The number of Subsequent Elections under this Section 3.5(a) shall not be limited.</w:t>
      </w:r>
    </w:p>
    <w:p>
      <w:pPr>
        <w:spacing w:after="0" w:line="142" w:lineRule="exact"/>
        <w:rPr>
          <w:rFonts w:ascii="Arial" w:cs="Arial" w:eastAsia="Arial" w:hAnsi="Arial"/>
          <w:sz w:val="18"/>
          <w:szCs w:val="18"/>
          <w:color w:val="auto"/>
        </w:rPr>
      </w:pPr>
    </w:p>
    <w:p>
      <w:pPr>
        <w:ind w:right="40" w:firstLine="921"/>
        <w:spacing w:after="0" w:line="294" w:lineRule="auto"/>
        <w:tabs>
          <w:tab w:leader="none" w:pos="1161" w:val="left"/>
        </w:tabs>
        <w:numPr>
          <w:ilvl w:val="0"/>
          <w:numId w:val="61"/>
        </w:numPr>
        <w:rPr>
          <w:rFonts w:ascii="Arial" w:cs="Arial" w:eastAsia="Arial" w:hAnsi="Arial"/>
          <w:sz w:val="16"/>
          <w:szCs w:val="16"/>
          <w:color w:val="auto"/>
        </w:rPr>
      </w:pPr>
      <w:r>
        <w:rPr>
          <w:rFonts w:ascii="Arial" w:cs="Arial" w:eastAsia="Arial" w:hAnsi="Arial"/>
          <w:sz w:val="16"/>
          <w:szCs w:val="16"/>
          <w:u w:val="single" w:color="auto"/>
          <w:color w:val="auto"/>
        </w:rPr>
        <w:t>Inactive Participants</w:t>
      </w:r>
      <w:r>
        <w:rPr>
          <w:rFonts w:ascii="Arial" w:cs="Arial" w:eastAsia="Arial" w:hAnsi="Arial"/>
          <w:sz w:val="16"/>
          <w:szCs w:val="16"/>
          <w:color w:val="auto"/>
        </w:rPr>
        <w:t>. The Committee may, in its sole and absolute discretion, permit an Inactive Participant to make a Subsequent Election to change the manner of distribution, or defer the time of payment of any part or all of such Inactive Participant’s Account for a minimum of two years and a maximum of ten additional years from the previously-elected payment date, by filing a Subsequent Election with the Administrator on or before the close of business on June 30 of the calendar year preceding the calendar year in which the lump-sum distribution or initial installment payment would otherwise be made. The number of Subsequent Elections under this Section 3.5(b) shall be determined by the Committee in its sole and absolute discretion.</w:t>
      </w:r>
    </w:p>
    <w:p>
      <w:pPr>
        <w:spacing w:after="0" w:line="196" w:lineRule="exact"/>
        <w:rPr>
          <w:rFonts w:ascii="Arial" w:cs="Arial" w:eastAsia="Arial" w:hAnsi="Arial"/>
          <w:sz w:val="16"/>
          <w:szCs w:val="16"/>
          <w:color w:val="auto"/>
        </w:rPr>
      </w:pPr>
    </w:p>
    <w:p>
      <w:pPr>
        <w:ind w:left="1160" w:hanging="239"/>
        <w:spacing w:after="0"/>
        <w:tabs>
          <w:tab w:leader="none" w:pos="1160" w:val="left"/>
        </w:tabs>
        <w:numPr>
          <w:ilvl w:val="0"/>
          <w:numId w:val="61"/>
        </w:numPr>
        <w:rPr>
          <w:rFonts w:ascii="Arial" w:cs="Arial" w:eastAsia="Arial" w:hAnsi="Arial"/>
          <w:sz w:val="18"/>
          <w:szCs w:val="18"/>
          <w:color w:val="auto"/>
        </w:rPr>
      </w:pPr>
      <w:r>
        <w:rPr>
          <w:rFonts w:ascii="Arial" w:cs="Arial" w:eastAsia="Arial" w:hAnsi="Arial"/>
          <w:sz w:val="18"/>
          <w:szCs w:val="18"/>
          <w:u w:val="single" w:color="auto"/>
          <w:color w:val="auto"/>
        </w:rPr>
        <w:t>Surviving Spouses</w:t>
      </w:r>
      <w:r>
        <w:rPr>
          <w:rFonts w:ascii="Arial" w:cs="Arial" w:eastAsia="Arial" w:hAnsi="Arial"/>
          <w:sz w:val="18"/>
          <w:szCs w:val="18"/>
          <w:color w:val="auto"/>
        </w:rPr>
        <w:t>.</w:t>
      </w:r>
    </w:p>
    <w:p>
      <w:pPr>
        <w:spacing w:after="0" w:line="90" w:lineRule="exact"/>
        <w:rPr>
          <w:rFonts w:ascii="Arial" w:cs="Arial" w:eastAsia="Arial" w:hAnsi="Arial"/>
          <w:sz w:val="18"/>
          <w:szCs w:val="18"/>
          <w:color w:val="auto"/>
        </w:rPr>
      </w:pPr>
    </w:p>
    <w:p>
      <w:pPr>
        <w:ind w:right="40" w:firstLine="1492"/>
        <w:spacing w:after="0" w:line="254" w:lineRule="auto"/>
        <w:tabs>
          <w:tab w:leader="none" w:pos="1693" w:val="left"/>
        </w:tabs>
        <w:numPr>
          <w:ilvl w:val="1"/>
          <w:numId w:val="61"/>
        </w:numPr>
        <w:rPr>
          <w:rFonts w:ascii="Arial" w:cs="Arial" w:eastAsia="Arial" w:hAnsi="Arial"/>
          <w:sz w:val="18"/>
          <w:szCs w:val="18"/>
          <w:color w:val="auto"/>
        </w:rPr>
      </w:pPr>
      <w:r>
        <w:rPr>
          <w:rFonts w:ascii="Arial" w:cs="Arial" w:eastAsia="Arial" w:hAnsi="Arial"/>
          <w:sz w:val="18"/>
          <w:szCs w:val="18"/>
          <w:u w:val="single" w:color="auto"/>
          <w:color w:val="auto"/>
        </w:rPr>
        <w:t>General Rule</w:t>
      </w:r>
      <w:r>
        <w:rPr>
          <w:rFonts w:ascii="Arial" w:cs="Arial" w:eastAsia="Arial" w:hAnsi="Arial"/>
          <w:sz w:val="18"/>
          <w:szCs w:val="18"/>
          <w:color w:val="auto"/>
        </w:rPr>
        <w:t>. A Surviving Spouse who is a Deceased Participant’s Beneficiary may elect to change the manner of distribution, or defer the time of payment, of any part or all of such Deceased Participant’s Account the payment of which would be made neither within six (6) months after, nor within the calendar year of, the date of such election. Such election shall be made by filing a Subsequent Election with the Administrator in which the Surviving Spouse shall specify the change in the manner of distribution or the change in the time of payment, which shall be no less than two nor more than ten years from the previously-elected payment date, or such Surviving Spouse may elect to defer payment until such Surviving Spouse’s death. A Surviving Spouse may make a total of two (2) Subsequent</w:t>
      </w:r>
    </w:p>
    <w:p>
      <w:pPr>
        <w:spacing w:after="0" w:line="131"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-11-</w:t>
      </w:r>
    </w:p>
    <w:p>
      <w:pPr>
        <w:sectPr>
          <w:pgSz w:w="11900" w:h="16838" w:orient="portrait"/>
          <w:cols w:equalWidth="0" w:num="1">
            <w:col w:w="11380"/>
          </w:cols>
          <w:pgMar w:left="240" w:top="280" w:right="279" w:bottom="1440" w:gutter="0" w:footer="0" w:header="0"/>
        </w:sectPr>
      </w:pPr>
    </w:p>
    <w:bookmarkStart w:id="63" w:name="page64"/>
    <w:bookmarkEnd w:id="63"/>
    <w:p>
      <w:pPr>
        <w:ind w:right="20"/>
        <w:spacing w:after="0" w:line="268"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74" name="Picture 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
                    <pic:cNvPicPr>
                      <a:picLocks noChangeAspect="1" noChangeArrowheads="1"/>
                    </pic:cNvPicPr>
                  </pic:nvPicPr>
                  <pic:blipFill>
                    <a:blip r:embed="rId81">
                      <a:extLst>
                        <a:ext uri="{28A0092B-C50C-407E-A947-70E740481C1C}"/>
                      </a:extLst>
                    </a:blip>
                    <a:srcRect/>
                    <a:stretch>
                      <a:fillRect/>
                    </a:stretch>
                  </pic:blipFill>
                  <pic:spPr bwMode="auto">
                    <a:xfrm>
                      <a:off x="0" y="0"/>
                      <a:ext cx="7267575" cy="27940"/>
                    </a:xfrm>
                    <a:prstGeom prst="rect">
                      <a:avLst/>
                    </a:prstGeom>
                    <a:noFill/>
                  </pic:spPr>
                </pic:pic>
              </a:graphicData>
            </a:graphic>
          </wp:anchor>
        </w:drawing>
        <w:t>Elections under this Section 3.5(c)(i), with respect to all or any part of the Deceased Participant’s Account. Subsequent Elections pursuant to this Section 3.5(c)(i) may specify different changes with respect to different parts of the Deceased Participant’s Account.</w:t>
      </w:r>
    </w:p>
    <w:p>
      <w:pPr>
        <w:spacing w:after="0" w:line="132" w:lineRule="exact"/>
        <w:rPr>
          <w:sz w:val="20"/>
          <w:szCs w:val="20"/>
          <w:color w:val="auto"/>
        </w:rPr>
      </w:pPr>
    </w:p>
    <w:p>
      <w:pPr>
        <w:ind w:left="1740" w:hanging="248"/>
        <w:spacing w:after="0"/>
        <w:tabs>
          <w:tab w:leader="none" w:pos="1740" w:val="left"/>
        </w:tabs>
        <w:numPr>
          <w:ilvl w:val="2"/>
          <w:numId w:val="62"/>
        </w:numPr>
        <w:rPr>
          <w:rFonts w:ascii="Arial" w:cs="Arial" w:eastAsia="Arial" w:hAnsi="Arial"/>
          <w:sz w:val="16"/>
          <w:szCs w:val="16"/>
          <w:color w:val="auto"/>
        </w:rPr>
      </w:pPr>
      <w:r>
        <w:rPr>
          <w:rFonts w:ascii="Arial" w:cs="Arial" w:eastAsia="Arial" w:hAnsi="Arial"/>
          <w:sz w:val="16"/>
          <w:szCs w:val="16"/>
          <w:u w:val="single" w:color="auto"/>
          <w:color w:val="auto"/>
        </w:rPr>
        <w:t>Exception</w:t>
      </w:r>
      <w:r>
        <w:rPr>
          <w:rFonts w:ascii="Arial" w:cs="Arial" w:eastAsia="Arial" w:hAnsi="Arial"/>
          <w:sz w:val="16"/>
          <w:szCs w:val="16"/>
          <w:color w:val="auto"/>
        </w:rPr>
        <w:t>. Notwithstanding the above Section 3.5(c)(i), a Subsequent Election may be made by a Surviving Spouse within sixty</w:t>
      </w:r>
    </w:p>
    <w:p>
      <w:pPr>
        <w:spacing w:after="0" w:line="38" w:lineRule="exact"/>
        <w:rPr>
          <w:rFonts w:ascii="Arial" w:cs="Arial" w:eastAsia="Arial" w:hAnsi="Arial"/>
          <w:sz w:val="16"/>
          <w:szCs w:val="16"/>
          <w:color w:val="auto"/>
        </w:rPr>
      </w:pPr>
    </w:p>
    <w:p>
      <w:pPr>
        <w:ind w:right="160" w:firstLine="8"/>
        <w:spacing w:after="0" w:line="300" w:lineRule="auto"/>
        <w:tabs>
          <w:tab w:leader="none" w:pos="336" w:val="left"/>
        </w:tabs>
        <w:numPr>
          <w:ilvl w:val="0"/>
          <w:numId w:val="63"/>
        </w:numPr>
        <w:rPr>
          <w:rFonts w:ascii="Arial" w:cs="Arial" w:eastAsia="Arial" w:hAnsi="Arial"/>
          <w:sz w:val="15"/>
          <w:szCs w:val="15"/>
          <w:color w:val="auto"/>
        </w:rPr>
      </w:pPr>
      <w:r>
        <w:rPr>
          <w:rFonts w:ascii="Arial" w:cs="Arial" w:eastAsia="Arial" w:hAnsi="Arial"/>
          <w:sz w:val="15"/>
          <w:szCs w:val="15"/>
          <w:color w:val="auto"/>
        </w:rPr>
        <w:t>days of the Deceased Participant’s death; provided, however, such election may only be made with respect to amounts which would not be paid under the Deceased Participant’s election as in effect on the date of the Deceased Participant’s death until a date which is at least six (6) months from the Deceased Participant’s date of death. Such election shall be made by filing a Subsequent Election with the Administrator in which the Surviving Spouse shall specify the change in the manner of distribution or the change in the time of payment, which shall be no less than two (2) nor more than ten (10) years from the previously-elected payment date, or such Surviving Spouse may elect to defer payment until such Surviving Spouse’s death. A Surviving Spouse may only make one</w:t>
      </w:r>
    </w:p>
    <w:p>
      <w:pPr>
        <w:spacing w:after="0" w:line="2" w:lineRule="exact"/>
        <w:rPr>
          <w:rFonts w:ascii="Arial" w:cs="Arial" w:eastAsia="Arial" w:hAnsi="Arial"/>
          <w:sz w:val="15"/>
          <w:szCs w:val="15"/>
          <w:color w:val="auto"/>
        </w:rPr>
      </w:pPr>
    </w:p>
    <w:p>
      <w:pPr>
        <w:ind w:right="100" w:firstLine="8"/>
        <w:spacing w:after="0" w:line="302" w:lineRule="auto"/>
        <w:tabs>
          <w:tab w:leader="none" w:pos="249" w:val="left"/>
        </w:tabs>
        <w:numPr>
          <w:ilvl w:val="0"/>
          <w:numId w:val="64"/>
        </w:numPr>
        <w:rPr>
          <w:rFonts w:ascii="Arial" w:cs="Arial" w:eastAsia="Arial" w:hAnsi="Arial"/>
          <w:sz w:val="16"/>
          <w:szCs w:val="16"/>
          <w:color w:val="auto"/>
        </w:rPr>
      </w:pPr>
      <w:r>
        <w:rPr>
          <w:rFonts w:ascii="Arial" w:cs="Arial" w:eastAsia="Arial" w:hAnsi="Arial"/>
          <w:sz w:val="16"/>
          <w:szCs w:val="16"/>
          <w:color w:val="auto"/>
        </w:rPr>
        <w:t>Subsequent Election under this Section 3.5(c)(ii) with respect to all or any part of the Deceased Participant’s Account. Such Surviving Spouse may, however, make one additional Subsequent Election under Section 3.5(c)(i) in accordance with the terms of Section 3.5(c)(i). The one (1) Subsequent Election permitted under this Section 3.5(c)(ii) may specify different changes for different parts of the Deceased Participant’s Account.</w:t>
      </w:r>
    </w:p>
    <w:p>
      <w:pPr>
        <w:spacing w:after="0" w:line="190" w:lineRule="exact"/>
        <w:rPr>
          <w:rFonts w:ascii="Arial" w:cs="Arial" w:eastAsia="Arial" w:hAnsi="Arial"/>
          <w:sz w:val="16"/>
          <w:szCs w:val="16"/>
          <w:color w:val="auto"/>
        </w:rPr>
      </w:pPr>
    </w:p>
    <w:p>
      <w:pPr>
        <w:ind w:left="1160" w:hanging="239"/>
        <w:spacing w:after="0"/>
        <w:tabs>
          <w:tab w:leader="none" w:pos="1160" w:val="left"/>
        </w:tabs>
        <w:numPr>
          <w:ilvl w:val="1"/>
          <w:numId w:val="64"/>
        </w:numPr>
        <w:rPr>
          <w:rFonts w:ascii="Arial" w:cs="Arial" w:eastAsia="Arial" w:hAnsi="Arial"/>
          <w:sz w:val="18"/>
          <w:szCs w:val="18"/>
          <w:color w:val="auto"/>
        </w:rPr>
      </w:pPr>
      <w:r>
        <w:rPr>
          <w:rFonts w:ascii="Arial" w:cs="Arial" w:eastAsia="Arial" w:hAnsi="Arial"/>
          <w:sz w:val="18"/>
          <w:szCs w:val="18"/>
          <w:u w:val="single" w:color="auto"/>
          <w:color w:val="auto"/>
        </w:rPr>
        <w:t>Beneficiary of a Deceased Participant Other Than a Surviving Spouse.</w:t>
      </w:r>
    </w:p>
    <w:p>
      <w:pPr>
        <w:spacing w:after="0" w:line="90" w:lineRule="exact"/>
        <w:rPr>
          <w:rFonts w:ascii="Arial" w:cs="Arial" w:eastAsia="Arial" w:hAnsi="Arial"/>
          <w:sz w:val="18"/>
          <w:szCs w:val="18"/>
          <w:color w:val="auto"/>
        </w:rPr>
      </w:pPr>
    </w:p>
    <w:p>
      <w:pPr>
        <w:ind w:firstLine="1492"/>
        <w:spacing w:after="0" w:line="253" w:lineRule="auto"/>
        <w:tabs>
          <w:tab w:leader="none" w:pos="1693" w:val="left"/>
        </w:tabs>
        <w:numPr>
          <w:ilvl w:val="2"/>
          <w:numId w:val="64"/>
        </w:numPr>
        <w:rPr>
          <w:rFonts w:ascii="Arial" w:cs="Arial" w:eastAsia="Arial" w:hAnsi="Arial"/>
          <w:sz w:val="18"/>
          <w:szCs w:val="18"/>
          <w:color w:val="auto"/>
        </w:rPr>
      </w:pPr>
      <w:r>
        <w:rPr>
          <w:rFonts w:ascii="Arial" w:cs="Arial" w:eastAsia="Arial" w:hAnsi="Arial"/>
          <w:sz w:val="18"/>
          <w:szCs w:val="18"/>
          <w:u w:val="single" w:color="auto"/>
          <w:color w:val="auto"/>
        </w:rPr>
        <w:t>General Rule</w:t>
      </w:r>
      <w:r>
        <w:rPr>
          <w:rFonts w:ascii="Arial" w:cs="Arial" w:eastAsia="Arial" w:hAnsi="Arial"/>
          <w:sz w:val="18"/>
          <w:szCs w:val="18"/>
          <w:color w:val="auto"/>
        </w:rPr>
        <w:t>. A Beneficiary of a Deceased Participant (other than a Surviving Spouse) may elect to change the manner of distribution, or defer the time of payment, of any part or all of such Deceased Participant’s Account the payment of which would be made neither within six (6) months after, nor within the calendar year of, the date of such election. Such election shall be made by filing a Subsequent Election with the Administrator in which the Beneficiary shall specify the change in the manner of distribution or the change in the time of payment, which shall be no less than two (2) nor more than ten (10) years from the previously-elected payment date. A Beneficiary may make one (1) Subsequent Election under this Section 3.5(d)(i), with respect to all or any part of the Deceased Participant’s Account. Subsequent Elections pursuant to this Section 3.5(d)(i) may specify different changes for different parts of the Deceased Participant’s Account.</w:t>
      </w:r>
    </w:p>
    <w:p>
      <w:pPr>
        <w:spacing w:after="0" w:line="147" w:lineRule="exact"/>
        <w:rPr>
          <w:sz w:val="20"/>
          <w:szCs w:val="20"/>
          <w:color w:val="auto"/>
        </w:rPr>
      </w:pPr>
    </w:p>
    <w:p>
      <w:pPr>
        <w:ind w:right="60" w:firstLine="1492"/>
        <w:spacing w:after="0" w:line="290" w:lineRule="auto"/>
        <w:tabs>
          <w:tab w:leader="none" w:pos="1742" w:val="left"/>
        </w:tabs>
        <w:numPr>
          <w:ilvl w:val="0"/>
          <w:numId w:val="65"/>
        </w:numPr>
        <w:rPr>
          <w:rFonts w:ascii="Arial" w:cs="Arial" w:eastAsia="Arial" w:hAnsi="Arial"/>
          <w:sz w:val="16"/>
          <w:szCs w:val="16"/>
          <w:color w:val="auto"/>
        </w:rPr>
      </w:pPr>
      <w:r>
        <w:rPr>
          <w:rFonts w:ascii="Arial" w:cs="Arial" w:eastAsia="Arial" w:hAnsi="Arial"/>
          <w:sz w:val="16"/>
          <w:szCs w:val="16"/>
          <w:u w:val="single" w:color="auto"/>
          <w:color w:val="auto"/>
        </w:rPr>
        <w:t>Exception</w:t>
      </w:r>
      <w:r>
        <w:rPr>
          <w:rFonts w:ascii="Arial" w:cs="Arial" w:eastAsia="Arial" w:hAnsi="Arial"/>
          <w:sz w:val="16"/>
          <w:szCs w:val="16"/>
          <w:color w:val="auto"/>
        </w:rPr>
        <w:t>. Notwithstanding the above Section 3.5(d)(i), a Subsequent Election may be made by a Beneficiary within sixty (60) days of the Deceased Participant’s death; provided, however, such election may only be made with respect to amounts which would not be paid under the Deceased Participant’s election as in effect on the date of the Deceased Participant’s death until a date which is at least six (6) months from the Deceased Participant’s date of death. Such election shall be made by filing a Subsequent Election with the Administrator in which the Beneficiary shall specify the change in the manner of distribution or the change in the time of payment, which shall be no less than two (2) nor more than ten (10) years from the previously-elected payment date. A Beneficiary may make one (1) Subsequent Election under this Section 3.5(d)(ii) with respect to all or any part of the Deceased Participant’s Account. Subsequent Elections pursuant to this Section 3.5(d)(ii) may specify different changes for different parts of the Deceased Participant’s Account.</w:t>
      </w:r>
    </w:p>
    <w:p>
      <w:pPr>
        <w:spacing w:after="0" w:line="10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-12-</w:t>
      </w:r>
    </w:p>
    <w:p>
      <w:pPr>
        <w:sectPr>
          <w:pgSz w:w="11900" w:h="16838" w:orient="portrait"/>
          <w:cols w:equalWidth="0" w:num="1">
            <w:col w:w="11400"/>
          </w:cols>
          <w:pgMar w:left="240" w:top="280" w:right="259" w:bottom="1440" w:gutter="0" w:footer="0" w:header="0"/>
        </w:sectPr>
      </w:pPr>
    </w:p>
    <w:bookmarkStart w:id="64" w:name="page65"/>
    <w:bookmarkEnd w:id="64"/>
    <w:p>
      <w:pPr>
        <w:ind w:right="200" w:firstLine="921"/>
        <w:spacing w:after="0" w:line="306" w:lineRule="auto"/>
        <w:tabs>
          <w:tab w:leader="none" w:pos="1152" w:val="left"/>
        </w:tabs>
        <w:numPr>
          <w:ilvl w:val="0"/>
          <w:numId w:val="66"/>
        </w:numPr>
        <w:rPr>
          <w:rFonts w:ascii="Arial" w:cs="Arial" w:eastAsia="Arial" w:hAnsi="Arial"/>
          <w:sz w:val="16"/>
          <w:szCs w:val="16"/>
          <w:color w:val="auto"/>
        </w:rPr>
      </w:pPr>
      <w:r>
        <w:rPr>
          <w:rFonts w:ascii="Arial" w:cs="Arial" w:eastAsia="Arial" w:hAnsi="Arial"/>
          <w:sz w:val="16"/>
          <w:szCs w:val="16"/>
          <w:u w:val="single" w:color="auto"/>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75" name="Picture 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
                    <pic:cNvPicPr>
                      <a:picLocks noChangeAspect="1" noChangeArrowheads="1"/>
                    </pic:cNvPicPr>
                  </pic:nvPicPr>
                  <pic:blipFill>
                    <a:blip r:embed="rId82">
                      <a:extLst>
                        <a:ext uri="{28A0092B-C50C-407E-A947-70E740481C1C}"/>
                      </a:extLst>
                    </a:blip>
                    <a:srcRect/>
                    <a:stretch>
                      <a:fillRect/>
                    </a:stretch>
                  </pic:blipFill>
                  <pic:spPr bwMode="auto">
                    <a:xfrm>
                      <a:off x="0" y="0"/>
                      <a:ext cx="7267575" cy="27940"/>
                    </a:xfrm>
                    <a:prstGeom prst="rect">
                      <a:avLst/>
                    </a:prstGeom>
                    <a:noFill/>
                  </pic:spPr>
                </pic:pic>
              </a:graphicData>
            </a:graphic>
          </wp:anchor>
        </w:drawing>
        <w:t>Other Deferral and Acceleration by a Beneficiary</w:t>
      </w:r>
      <w:r>
        <w:rPr>
          <w:rFonts w:ascii="Arial" w:cs="Arial" w:eastAsia="Arial" w:hAnsi="Arial"/>
          <w:sz w:val="16"/>
          <w:szCs w:val="16"/>
          <w:color w:val="auto"/>
        </w:rPr>
        <w:t>. Any Beneficiary (other than a Surviving Spouse who has made a Subsequent Election under Section 3.5(c) or a Beneficiary who has made a Subsequent Election under Section 3.5(d)) may elect to change the manner of distribution from the manner of distribution in which payment of a Deceased Participant’s Account would otherwise be made, and</w:t>
      </w:r>
    </w:p>
    <w:p>
      <w:pPr>
        <w:spacing w:after="0" w:line="106" w:lineRule="exact"/>
        <w:rPr>
          <w:rFonts w:ascii="Arial" w:cs="Arial" w:eastAsia="Arial" w:hAnsi="Arial"/>
          <w:sz w:val="16"/>
          <w:szCs w:val="16"/>
          <w:color w:val="auto"/>
        </w:rPr>
      </w:pPr>
    </w:p>
    <w:p>
      <w:pPr>
        <w:jc w:val="both"/>
        <w:ind w:firstLine="1492"/>
        <w:spacing w:after="0" w:line="256" w:lineRule="auto"/>
        <w:tabs>
          <w:tab w:leader="none" w:pos="1693" w:val="left"/>
        </w:tabs>
        <w:numPr>
          <w:ilvl w:val="1"/>
          <w:numId w:val="66"/>
        </w:numPr>
        <w:rPr>
          <w:rFonts w:ascii="Arial" w:cs="Arial" w:eastAsia="Arial" w:hAnsi="Arial"/>
          <w:sz w:val="18"/>
          <w:szCs w:val="18"/>
          <w:color w:val="auto"/>
        </w:rPr>
      </w:pPr>
      <w:r>
        <w:rPr>
          <w:rFonts w:ascii="Arial" w:cs="Arial" w:eastAsia="Arial" w:hAnsi="Arial"/>
          <w:sz w:val="18"/>
          <w:szCs w:val="18"/>
          <w:color w:val="auto"/>
        </w:rPr>
        <w:t>Defer the time of payment of any part or all of the Deceased Participant’s Account or deceased Beneficiary’s Account for one additional year from the date a payment would otherwise be made or begin (provided that if a Subsequent Election is made pursuant to this Section 3.5(e)(i), the Deceased Participant’s Account or deceased Beneficiary’s Account shall be in all events distributed in full on or before the fifth anniversary of the Deceased Participant’s or a deceased Beneficiary’s death); or</w:t>
      </w:r>
    </w:p>
    <w:p>
      <w:pPr>
        <w:spacing w:after="0" w:line="143" w:lineRule="exact"/>
        <w:rPr>
          <w:rFonts w:ascii="Arial" w:cs="Arial" w:eastAsia="Arial" w:hAnsi="Arial"/>
          <w:sz w:val="18"/>
          <w:szCs w:val="18"/>
          <w:color w:val="auto"/>
        </w:rPr>
      </w:pPr>
    </w:p>
    <w:p>
      <w:pPr>
        <w:ind w:right="40" w:firstLine="1492"/>
        <w:spacing w:after="0" w:line="255" w:lineRule="auto"/>
        <w:tabs>
          <w:tab w:leader="none" w:pos="1742" w:val="left"/>
        </w:tabs>
        <w:numPr>
          <w:ilvl w:val="1"/>
          <w:numId w:val="66"/>
        </w:numPr>
        <w:rPr>
          <w:rFonts w:ascii="Arial" w:cs="Arial" w:eastAsia="Arial" w:hAnsi="Arial"/>
          <w:sz w:val="18"/>
          <w:szCs w:val="18"/>
          <w:color w:val="auto"/>
        </w:rPr>
      </w:pPr>
      <w:r>
        <w:rPr>
          <w:rFonts w:ascii="Arial" w:cs="Arial" w:eastAsia="Arial" w:hAnsi="Arial"/>
          <w:sz w:val="18"/>
          <w:szCs w:val="18"/>
          <w:color w:val="auto"/>
        </w:rPr>
        <w:t>Accelerate the time of payment of a Deceased Participant’s Account or deceased Beneficiary’s Account from the date or dates that payment would otherwise be made or begin to the date that is the later of (A) six (6) months after the date of the Deceased Participant’s or deceased Beneficiary’s death and (B) January 2nd of the calendar year beginning after the Deceased Participant’s or deceased Beneficiary’s death, provided that if a Subsequent Election is made pursuant to this Section 3.5(e)(ii), the Deceased Participant’s Account or deceased Beneficiary’s Account shall be distributed in full on such accelerated payment date.</w:t>
      </w:r>
    </w:p>
    <w:p>
      <w:pPr>
        <w:spacing w:after="0" w:line="143" w:lineRule="exact"/>
        <w:rPr>
          <w:sz w:val="20"/>
          <w:szCs w:val="20"/>
          <w:color w:val="auto"/>
        </w:rPr>
      </w:pPr>
    </w:p>
    <w:p>
      <w:pPr>
        <w:ind w:right="60"/>
        <w:spacing w:after="0" w:line="256" w:lineRule="auto"/>
        <w:rPr>
          <w:sz w:val="20"/>
          <w:szCs w:val="20"/>
          <w:color w:val="auto"/>
        </w:rPr>
      </w:pPr>
      <w:r>
        <w:rPr>
          <w:rFonts w:ascii="Arial" w:cs="Arial" w:eastAsia="Arial" w:hAnsi="Arial"/>
          <w:sz w:val="18"/>
          <w:szCs w:val="18"/>
          <w:color w:val="auto"/>
        </w:rPr>
        <w:t>A Subsequent Election pursuant to this Section 3.5(e) must be filed with the Administrator within one hundred and twenty (120) days following the Deceased Participant’s or deceased Beneficiary’s death. One and only one Subsequent Election shall be permitted pursuant to this Section 3.5(e) with respect to a Deceased Participant’s Account or deceased Beneficiary’s Account, although if such Subsequent Election is filed pursuant to Section 3.5(e)(i), it may specify different changes for different parts of the Account.</w:t>
      </w:r>
    </w:p>
    <w:p>
      <w:pPr>
        <w:spacing w:after="0" w:line="143" w:lineRule="exact"/>
        <w:rPr>
          <w:sz w:val="20"/>
          <w:szCs w:val="20"/>
          <w:color w:val="auto"/>
        </w:rPr>
      </w:pPr>
    </w:p>
    <w:p>
      <w:pPr>
        <w:ind w:right="20" w:firstLine="921"/>
        <w:spacing w:after="0" w:line="289" w:lineRule="auto"/>
        <w:tabs>
          <w:tab w:leader="none" w:pos="1132" w:val="left"/>
        </w:tabs>
        <w:numPr>
          <w:ilvl w:val="0"/>
          <w:numId w:val="67"/>
        </w:numPr>
        <w:rPr>
          <w:rFonts w:ascii="Arial" w:cs="Arial" w:eastAsia="Arial" w:hAnsi="Arial"/>
          <w:sz w:val="16"/>
          <w:szCs w:val="16"/>
          <w:color w:val="auto"/>
        </w:rPr>
      </w:pPr>
      <w:r>
        <w:rPr>
          <w:rFonts w:ascii="Arial" w:cs="Arial" w:eastAsia="Arial" w:hAnsi="Arial"/>
          <w:sz w:val="16"/>
          <w:szCs w:val="16"/>
          <w:u w:val="single" w:color="auto"/>
          <w:color w:val="auto"/>
        </w:rPr>
        <w:t>Disabled Participant</w:t>
      </w:r>
      <w:r>
        <w:rPr>
          <w:rFonts w:ascii="Arial" w:cs="Arial" w:eastAsia="Arial" w:hAnsi="Arial"/>
          <w:sz w:val="16"/>
          <w:szCs w:val="16"/>
          <w:color w:val="auto"/>
        </w:rPr>
        <w:t>. A Disabled Participant (who has not been permitted to make a Subsequent Election under Section 3.5(h)) may elect to change the form of distribution from the form of distribution that the payment of the Disabled Participant’s Account would otherwise be made and may elect to accelerate the time of payment of the Disabled Participant’s Account from the date payment would otherwise be made to January 2nd of the calendar year beginning after the Participant became disabled. A Subsequent Election pursuant to this Section 3.5(f) must be filed with the Administrator on or before the close of business on the later of (i) the June 30 following the date the Participant becomes a Disabled Participant if the Participant becomes a Disabled Participant on or before May 1 of a calendar year; (ii) the 60th day following the date the Participant becomes a Disabled Participant if the Participant becomes a Disabled Participant after May 1 and before November 2 of a calendar year or (iii) the December 31 following the date the Participant becomes a Disabled Participant if the Participant becomes a Disabled Participant after November 1 of a calendar year.</w:t>
      </w:r>
    </w:p>
    <w:p>
      <w:pPr>
        <w:spacing w:after="0" w:line="118" w:lineRule="exact"/>
        <w:rPr>
          <w:rFonts w:ascii="Arial" w:cs="Arial" w:eastAsia="Arial" w:hAnsi="Arial"/>
          <w:sz w:val="16"/>
          <w:szCs w:val="16"/>
          <w:color w:val="auto"/>
        </w:rPr>
      </w:pPr>
    </w:p>
    <w:p>
      <w:pPr>
        <w:jc w:val="both"/>
        <w:ind w:right="100" w:firstLine="921"/>
        <w:spacing w:after="0" w:line="306" w:lineRule="auto"/>
        <w:tabs>
          <w:tab w:leader="none" w:pos="1161" w:val="left"/>
        </w:tabs>
        <w:numPr>
          <w:ilvl w:val="0"/>
          <w:numId w:val="67"/>
        </w:numPr>
        <w:rPr>
          <w:rFonts w:ascii="Arial" w:cs="Arial" w:eastAsia="Arial" w:hAnsi="Arial"/>
          <w:sz w:val="16"/>
          <w:szCs w:val="16"/>
          <w:color w:val="auto"/>
        </w:rPr>
      </w:pPr>
      <w:r>
        <w:rPr>
          <w:rFonts w:ascii="Arial" w:cs="Arial" w:eastAsia="Arial" w:hAnsi="Arial"/>
          <w:sz w:val="16"/>
          <w:szCs w:val="16"/>
          <w:u w:val="single" w:color="auto"/>
          <w:color w:val="auto"/>
        </w:rPr>
        <w:t>Retired Participant</w:t>
      </w:r>
      <w:r>
        <w:rPr>
          <w:rFonts w:ascii="Arial" w:cs="Arial" w:eastAsia="Arial" w:hAnsi="Arial"/>
          <w:sz w:val="16"/>
          <w:szCs w:val="16"/>
          <w:color w:val="auto"/>
        </w:rPr>
        <w:t>. A Retired Participant (who has not been permitted to make a Subsequent Election under Section 3.5(h)) may elect to change the form of distribution from the form of distribution that payment of the Retired Participant’s Account would otherwise be made and may elect to defer the time of payment of the Retired Participant’s Account for a minimum of two additional years from the date payment would otherwise be made (provided that</w:t>
      </w:r>
    </w:p>
    <w:p>
      <w:pPr>
        <w:spacing w:after="0" w:line="93"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-13-</w:t>
      </w:r>
    </w:p>
    <w:p>
      <w:pPr>
        <w:sectPr>
          <w:pgSz w:w="11900" w:h="16838" w:orient="portrait"/>
          <w:cols w:equalWidth="0" w:num="1">
            <w:col w:w="11400"/>
          </w:cols>
          <w:pgMar w:left="240" w:top="280" w:right="259" w:bottom="1440" w:gutter="0" w:footer="0" w:header="0"/>
        </w:sectPr>
      </w:pPr>
    </w:p>
    <w:bookmarkStart w:id="65" w:name="page66"/>
    <w:bookmarkEnd w:id="65"/>
    <w:p>
      <w:pPr>
        <w:spacing w:after="0" w:line="255"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76" name="Picture 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
                    <pic:cNvPicPr>
                      <a:picLocks noChangeAspect="1" noChangeArrowheads="1"/>
                    </pic:cNvPicPr>
                  </pic:nvPicPr>
                  <pic:blipFill>
                    <a:blip r:embed="rId83">
                      <a:extLst>
                        <a:ext uri="{28A0092B-C50C-407E-A947-70E740481C1C}"/>
                      </a:extLst>
                    </a:blip>
                    <a:srcRect/>
                    <a:stretch>
                      <a:fillRect/>
                    </a:stretch>
                  </pic:blipFill>
                  <pic:spPr bwMode="auto">
                    <a:xfrm>
                      <a:off x="0" y="0"/>
                      <a:ext cx="7267575" cy="27940"/>
                    </a:xfrm>
                    <a:prstGeom prst="rect">
                      <a:avLst/>
                    </a:prstGeom>
                    <a:noFill/>
                  </pic:spPr>
                </pic:pic>
              </a:graphicData>
            </a:graphic>
          </wp:anchor>
        </w:drawing>
        <w:t>if a Subsequent Election is made pursuant to this Section 3.5(g), the Retired Participant’s Account shall be distributed in full on or before the fifth anniversary of the Retired Participant’s Normal Retirement). A Subsequent Election pursuant to this Section 3.5(g) must be filed with the Administrator on or before the close of business on the later of (i) the June 30 following the Participant’s Normal Retirement on or before May 1 or a calendar year, (ii) the 60th day following the Participant’s Normal Retirement after May 1 and before November 2 of a calendar year or (iii) the December 31 following the Participant’s Normal Retirement after November 1 of a calendar year.</w:t>
      </w:r>
    </w:p>
    <w:p>
      <w:pPr>
        <w:spacing w:after="0" w:line="143" w:lineRule="exact"/>
        <w:rPr>
          <w:sz w:val="20"/>
          <w:szCs w:val="20"/>
          <w:color w:val="auto"/>
        </w:rPr>
      </w:pPr>
    </w:p>
    <w:p>
      <w:pPr>
        <w:ind w:right="20" w:firstLine="921"/>
        <w:spacing w:after="0" w:line="291" w:lineRule="auto"/>
        <w:tabs>
          <w:tab w:leader="none" w:pos="1161" w:val="left"/>
        </w:tabs>
        <w:numPr>
          <w:ilvl w:val="0"/>
          <w:numId w:val="68"/>
        </w:numPr>
        <w:rPr>
          <w:rFonts w:ascii="Arial" w:cs="Arial" w:eastAsia="Arial" w:hAnsi="Arial"/>
          <w:sz w:val="16"/>
          <w:szCs w:val="16"/>
          <w:color w:val="auto"/>
        </w:rPr>
      </w:pPr>
      <w:r>
        <w:rPr>
          <w:rFonts w:ascii="Arial" w:cs="Arial" w:eastAsia="Arial" w:hAnsi="Arial"/>
          <w:sz w:val="16"/>
          <w:szCs w:val="16"/>
          <w:u w:val="single" w:color="auto"/>
          <w:color w:val="auto"/>
        </w:rPr>
        <w:t>Retired Participants and Disabled Participants</w:t>
      </w:r>
      <w:r>
        <w:rPr>
          <w:rFonts w:ascii="Arial" w:cs="Arial" w:eastAsia="Arial" w:hAnsi="Arial"/>
          <w:sz w:val="16"/>
          <w:szCs w:val="16"/>
          <w:color w:val="auto"/>
        </w:rPr>
        <w:t>. The Committee may, in its sole and absolute discretion, permit a Retired Participant or a Disabled Participant to make a Subsequent Election to change the form of distribution that the payment of the Retired Participant’s account would otherwise be made or to defer the time of payment of any part or all of such Retired or Disabled Participant’s Account for a minimum of two years and a maximum of ten additional years from the previously-elected payment date, by filing a Subsequent Election with the Administrator on or before the close of business on June 30 of the calendar year preceding the calendar year in which the lump-sum distribution or initial installment payment would otherwise be made. The number of Subsequent Elections under this Section 3.5(h) shall be determined by the Committee in its sole and absolute discretion.</w:t>
      </w:r>
    </w:p>
    <w:p>
      <w:pPr>
        <w:spacing w:after="0" w:line="120" w:lineRule="exact"/>
        <w:rPr>
          <w:rFonts w:ascii="Arial" w:cs="Arial" w:eastAsia="Arial" w:hAnsi="Arial"/>
          <w:sz w:val="16"/>
          <w:szCs w:val="16"/>
          <w:color w:val="auto"/>
        </w:rPr>
      </w:pPr>
    </w:p>
    <w:p>
      <w:pPr>
        <w:ind w:right="60" w:firstLine="921"/>
        <w:spacing w:after="0" w:line="306" w:lineRule="auto"/>
        <w:tabs>
          <w:tab w:leader="none" w:pos="1122" w:val="left"/>
        </w:tabs>
        <w:numPr>
          <w:ilvl w:val="0"/>
          <w:numId w:val="68"/>
        </w:numPr>
        <w:rPr>
          <w:rFonts w:ascii="Arial" w:cs="Arial" w:eastAsia="Arial" w:hAnsi="Arial"/>
          <w:sz w:val="16"/>
          <w:szCs w:val="16"/>
          <w:color w:val="auto"/>
        </w:rPr>
      </w:pPr>
      <w:r>
        <w:rPr>
          <w:rFonts w:ascii="Arial" w:cs="Arial" w:eastAsia="Arial" w:hAnsi="Arial"/>
          <w:sz w:val="16"/>
          <w:szCs w:val="16"/>
          <w:u w:val="single" w:color="auto"/>
          <w:color w:val="auto"/>
        </w:rPr>
        <w:t>Most Recently Filed Initial Election or Subsequent Election Controlling</w:t>
      </w:r>
      <w:r>
        <w:rPr>
          <w:rFonts w:ascii="Arial" w:cs="Arial" w:eastAsia="Arial" w:hAnsi="Arial"/>
          <w:sz w:val="16"/>
          <w:szCs w:val="16"/>
          <w:color w:val="auto"/>
        </w:rPr>
        <w:t>. Subject to acceleration pursuant to Section 3.5(e) or 3.5(f), Section 3.7 or Section 7.1, no distribution of the amounts deferred by a Participant for any calendar year shall be made before the payment date designated by the Participant or Beneficiary on the most recently filed Initial Election or Subsequent Election with respect to each deferred amount.</w:t>
      </w:r>
    </w:p>
    <w:p>
      <w:pPr>
        <w:spacing w:after="0" w:line="107" w:lineRule="exact"/>
        <w:rPr>
          <w:sz w:val="20"/>
          <w:szCs w:val="20"/>
          <w:color w:val="auto"/>
        </w:rPr>
      </w:pPr>
    </w:p>
    <w:p>
      <w:pPr>
        <w:ind w:right="40" w:firstLine="456"/>
        <w:spacing w:after="0" w:line="255" w:lineRule="auto"/>
        <w:rPr>
          <w:sz w:val="20"/>
          <w:szCs w:val="20"/>
          <w:color w:val="auto"/>
        </w:rPr>
      </w:pPr>
      <w:r>
        <w:rPr>
          <w:rFonts w:ascii="Arial" w:cs="Arial" w:eastAsia="Arial" w:hAnsi="Arial"/>
          <w:sz w:val="18"/>
          <w:szCs w:val="18"/>
          <w:color w:val="auto"/>
        </w:rPr>
        <w:t xml:space="preserve">3.6. </w:t>
      </w:r>
      <w:r>
        <w:rPr>
          <w:rFonts w:ascii="Arial" w:cs="Arial" w:eastAsia="Arial" w:hAnsi="Arial"/>
          <w:sz w:val="18"/>
          <w:szCs w:val="18"/>
          <w:u w:val="single" w:color="auto"/>
          <w:color w:val="auto"/>
        </w:rPr>
        <w:t>Distribution in Full Upon Terminating Event</w:t>
      </w:r>
      <w:r>
        <w:rPr>
          <w:rFonts w:ascii="Arial" w:cs="Arial" w:eastAsia="Arial" w:hAnsi="Arial"/>
          <w:sz w:val="18"/>
          <w:szCs w:val="18"/>
          <w:color w:val="auto"/>
        </w:rPr>
        <w:t>. The Company shall give Participants at least thirty (30) days notice (or, if not practicable, such shorter notice as may be reasonably practicable) prior to the anticipated date of the consummation of a Terminating Event. The Committee may, in its discretion, provide in such notice that notwithstanding any other provision of the Plan or the terms of any Initial Election or Subsequent Election, upon the consummation of a Terminating Event, the Account balance of each Participant shall be distributed in full and any outstanding Initial Elections or Subsequent Elections shall be revoked.</w:t>
      </w:r>
    </w:p>
    <w:p>
      <w:pPr>
        <w:spacing w:after="0" w:line="224" w:lineRule="exact"/>
        <w:rPr>
          <w:sz w:val="20"/>
          <w:szCs w:val="20"/>
          <w:color w:val="auto"/>
        </w:rPr>
      </w:pPr>
    </w:p>
    <w:p>
      <w:pPr>
        <w:ind w:left="460"/>
        <w:spacing w:after="0"/>
        <w:rPr>
          <w:sz w:val="20"/>
          <w:szCs w:val="20"/>
          <w:color w:val="auto"/>
        </w:rPr>
      </w:pPr>
      <w:r>
        <w:rPr>
          <w:rFonts w:ascii="Arial" w:cs="Arial" w:eastAsia="Arial" w:hAnsi="Arial"/>
          <w:sz w:val="18"/>
          <w:szCs w:val="18"/>
          <w:color w:val="auto"/>
        </w:rPr>
        <w:t xml:space="preserve">3.7. </w:t>
      </w:r>
      <w:r>
        <w:rPr>
          <w:rFonts w:ascii="Arial" w:cs="Arial" w:eastAsia="Arial" w:hAnsi="Arial"/>
          <w:sz w:val="18"/>
          <w:szCs w:val="18"/>
          <w:u w:val="single" w:color="auto"/>
          <w:color w:val="auto"/>
        </w:rPr>
        <w:t>Withholding and Payment of Death Taxes</w:t>
      </w:r>
      <w:r>
        <w:rPr>
          <w:rFonts w:ascii="Arial" w:cs="Arial" w:eastAsia="Arial" w:hAnsi="Arial"/>
          <w:sz w:val="18"/>
          <w:szCs w:val="18"/>
          <w:color w:val="auto"/>
        </w:rPr>
        <w:t>.</w:t>
      </w:r>
    </w:p>
    <w:p>
      <w:pPr>
        <w:spacing w:after="0" w:line="90" w:lineRule="exact"/>
        <w:rPr>
          <w:sz w:val="20"/>
          <w:szCs w:val="20"/>
          <w:color w:val="auto"/>
        </w:rPr>
      </w:pPr>
    </w:p>
    <w:p>
      <w:pPr>
        <w:ind w:right="280" w:firstLine="921"/>
        <w:spacing w:after="0" w:line="256" w:lineRule="auto"/>
        <w:tabs>
          <w:tab w:leader="none" w:pos="1152" w:val="left"/>
        </w:tabs>
        <w:numPr>
          <w:ilvl w:val="0"/>
          <w:numId w:val="69"/>
        </w:numPr>
        <w:rPr>
          <w:rFonts w:ascii="Arial" w:cs="Arial" w:eastAsia="Arial" w:hAnsi="Arial"/>
          <w:sz w:val="18"/>
          <w:szCs w:val="18"/>
          <w:color w:val="auto"/>
        </w:rPr>
      </w:pPr>
      <w:r>
        <w:rPr>
          <w:rFonts w:ascii="Arial" w:cs="Arial" w:eastAsia="Arial" w:hAnsi="Arial"/>
          <w:sz w:val="18"/>
          <w:szCs w:val="18"/>
          <w:color w:val="auto"/>
        </w:rPr>
        <w:t>Notwithstanding any other provisions of this Plan to the contrary, including but not limited to the provisions of Article 3 and Article 7, or any Initial or Subsequent Election filed by a Deceased Participant or a Deceased Participant’s Beneficiary (for purposes of this Section, the “Decedent”), the Administrator shall apply the terms of Section 3.7(b) to the Decedent’s Account unless the Decedent affirmatively has elected, in writing, filed with the Administrator, to waive the application of Section 3.7(b).</w:t>
      </w:r>
    </w:p>
    <w:p>
      <w:pPr>
        <w:spacing w:after="0" w:line="130"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-14-</w:t>
      </w:r>
    </w:p>
    <w:p>
      <w:pPr>
        <w:sectPr>
          <w:pgSz w:w="11900" w:h="16838" w:orient="portrait"/>
          <w:cols w:equalWidth="0" w:num="1">
            <w:col w:w="11380"/>
          </w:cols>
          <w:pgMar w:left="240" w:top="280" w:right="279" w:bottom="1440" w:gutter="0" w:footer="0" w:header="0"/>
        </w:sectPr>
      </w:pPr>
    </w:p>
    <w:bookmarkStart w:id="66" w:name="page67"/>
    <w:bookmarkEnd w:id="66"/>
    <w:p>
      <w:pPr>
        <w:ind w:left="1152" w:hanging="239"/>
        <w:spacing w:after="0"/>
        <w:tabs>
          <w:tab w:leader="none" w:pos="1152" w:val="left"/>
        </w:tabs>
        <w:numPr>
          <w:ilvl w:val="0"/>
          <w:numId w:val="70"/>
        </w:numPr>
        <w:rPr>
          <w:rFonts w:ascii="Arial" w:cs="Arial" w:eastAsia="Arial" w:hAnsi="Arial"/>
          <w:sz w:val="18"/>
          <w:szCs w:val="18"/>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77" name="Picture 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
                    <pic:cNvPicPr>
                      <a:picLocks noChangeAspect="1" noChangeArrowheads="1"/>
                    </pic:cNvPicPr>
                  </pic:nvPicPr>
                  <pic:blipFill>
                    <a:blip r:embed="rId84">
                      <a:extLst>
                        <a:ext uri="{28A0092B-C50C-407E-A947-70E740481C1C}"/>
                      </a:extLst>
                    </a:blip>
                    <a:srcRect/>
                    <a:stretch>
                      <a:fillRect/>
                    </a:stretch>
                  </pic:blipFill>
                  <pic:spPr bwMode="auto">
                    <a:xfrm>
                      <a:off x="0" y="0"/>
                      <a:ext cx="7267575" cy="27940"/>
                    </a:xfrm>
                    <a:prstGeom prst="rect">
                      <a:avLst/>
                    </a:prstGeom>
                    <a:noFill/>
                  </pic:spPr>
                </pic:pic>
              </a:graphicData>
            </a:graphic>
          </wp:anchor>
        </w:drawing>
        <w:t>Unless the Decedent affirmatively has elected, pursuant to Section 3.7(a), that the terms of this Section 3.7(b) not apply:</w:t>
      </w:r>
    </w:p>
    <w:p>
      <w:pPr>
        <w:spacing w:after="0" w:line="90" w:lineRule="exact"/>
        <w:rPr>
          <w:rFonts w:ascii="Arial" w:cs="Arial" w:eastAsia="Arial" w:hAnsi="Arial"/>
          <w:sz w:val="18"/>
          <w:szCs w:val="18"/>
          <w:color w:val="auto"/>
        </w:rPr>
      </w:pPr>
    </w:p>
    <w:p>
      <w:pPr>
        <w:ind w:left="-8" w:right="40" w:firstLine="1492"/>
        <w:spacing w:after="0" w:line="268" w:lineRule="auto"/>
        <w:tabs>
          <w:tab w:leader="none" w:pos="1685" w:val="left"/>
        </w:tabs>
        <w:numPr>
          <w:ilvl w:val="1"/>
          <w:numId w:val="70"/>
        </w:numPr>
        <w:rPr>
          <w:rFonts w:ascii="Arial" w:cs="Arial" w:eastAsia="Arial" w:hAnsi="Arial"/>
          <w:sz w:val="18"/>
          <w:szCs w:val="18"/>
          <w:color w:val="auto"/>
        </w:rPr>
      </w:pPr>
      <w:r>
        <w:rPr>
          <w:rFonts w:ascii="Arial" w:cs="Arial" w:eastAsia="Arial" w:hAnsi="Arial"/>
          <w:sz w:val="18"/>
          <w:szCs w:val="18"/>
          <w:color w:val="auto"/>
        </w:rPr>
        <w:t>The Administrator shall prohibit the Decedent’s Beneficiary from taking any action under any of the provisions of the Plan with regard to the Decedent’s Account other than the Beneficiary’s making of a Subsequent Election pursuant to Section 3.5;</w:t>
      </w:r>
    </w:p>
    <w:p>
      <w:pPr>
        <w:spacing w:after="0" w:line="131" w:lineRule="exact"/>
        <w:rPr>
          <w:rFonts w:ascii="Arial" w:cs="Arial" w:eastAsia="Arial" w:hAnsi="Arial"/>
          <w:sz w:val="18"/>
          <w:szCs w:val="18"/>
          <w:color w:val="auto"/>
        </w:rPr>
      </w:pPr>
    </w:p>
    <w:p>
      <w:pPr>
        <w:ind w:left="-8" w:right="160" w:firstLine="1492"/>
        <w:spacing w:after="0" w:line="268" w:lineRule="auto"/>
        <w:tabs>
          <w:tab w:leader="none" w:pos="1734" w:val="left"/>
        </w:tabs>
        <w:numPr>
          <w:ilvl w:val="1"/>
          <w:numId w:val="70"/>
        </w:numPr>
        <w:rPr>
          <w:rFonts w:ascii="Arial" w:cs="Arial" w:eastAsia="Arial" w:hAnsi="Arial"/>
          <w:sz w:val="18"/>
          <w:szCs w:val="18"/>
          <w:color w:val="auto"/>
        </w:rPr>
      </w:pPr>
      <w:r>
        <w:rPr>
          <w:rFonts w:ascii="Arial" w:cs="Arial" w:eastAsia="Arial" w:hAnsi="Arial"/>
          <w:sz w:val="18"/>
          <w:szCs w:val="18"/>
          <w:color w:val="auto"/>
        </w:rPr>
        <w:t>The Administrator shall defer payment of the Decedent’s Account until the later of the Death Tax Clearance Date and the payment date designated in the Decedent’s Initial Election or Subsequent Election;</w:t>
      </w:r>
    </w:p>
    <w:p>
      <w:pPr>
        <w:spacing w:after="0" w:line="131" w:lineRule="exact"/>
        <w:rPr>
          <w:rFonts w:ascii="Arial" w:cs="Arial" w:eastAsia="Arial" w:hAnsi="Arial"/>
          <w:sz w:val="18"/>
          <w:szCs w:val="18"/>
          <w:color w:val="auto"/>
        </w:rPr>
      </w:pPr>
    </w:p>
    <w:p>
      <w:pPr>
        <w:ind w:left="-8" w:right="320" w:firstLine="1492"/>
        <w:spacing w:after="0" w:line="298" w:lineRule="auto"/>
        <w:tabs>
          <w:tab w:leader="none" w:pos="1783" w:val="left"/>
        </w:tabs>
        <w:numPr>
          <w:ilvl w:val="1"/>
          <w:numId w:val="70"/>
        </w:numPr>
        <w:rPr>
          <w:rFonts w:ascii="Arial" w:cs="Arial" w:eastAsia="Arial" w:hAnsi="Arial"/>
          <w:sz w:val="16"/>
          <w:szCs w:val="16"/>
          <w:color w:val="auto"/>
        </w:rPr>
      </w:pPr>
      <w:r>
        <w:rPr>
          <w:rFonts w:ascii="Arial" w:cs="Arial" w:eastAsia="Arial" w:hAnsi="Arial"/>
          <w:sz w:val="16"/>
          <w:szCs w:val="16"/>
          <w:color w:val="auto"/>
        </w:rPr>
        <w:t>The Administrator shall withdraw from the Decedent’s Account such amount or amounts as the Decedent’s Personal Representative shall certify to the Administrator as being necessary to pay the Death Taxes apportioned against the Decedent’s Account; the Administrator shall remit the amounts so withdrawn to the Personal Representative, who shall apply the same to the payment of the Decedent’s Death Taxes, or the Administrator may pay such amounts directly to any taxing authority as payment on account of Decedent’s Death Taxes, as the Administrator elects;</w:t>
      </w:r>
    </w:p>
    <w:p>
      <w:pPr>
        <w:spacing w:after="0" w:line="112" w:lineRule="exact"/>
        <w:rPr>
          <w:rFonts w:ascii="Arial" w:cs="Arial" w:eastAsia="Arial" w:hAnsi="Arial"/>
          <w:sz w:val="16"/>
          <w:szCs w:val="16"/>
          <w:color w:val="auto"/>
        </w:rPr>
      </w:pPr>
    </w:p>
    <w:p>
      <w:pPr>
        <w:ind w:left="-8" w:right="180" w:firstLine="1492"/>
        <w:spacing w:after="0" w:line="291" w:lineRule="auto"/>
        <w:tabs>
          <w:tab w:leader="none" w:pos="1773" w:val="left"/>
        </w:tabs>
        <w:numPr>
          <w:ilvl w:val="1"/>
          <w:numId w:val="70"/>
        </w:numPr>
        <w:rPr>
          <w:rFonts w:ascii="Arial" w:cs="Arial" w:eastAsia="Arial" w:hAnsi="Arial"/>
          <w:sz w:val="16"/>
          <w:szCs w:val="16"/>
          <w:color w:val="auto"/>
        </w:rPr>
      </w:pPr>
      <w:r>
        <w:rPr>
          <w:rFonts w:ascii="Arial" w:cs="Arial" w:eastAsia="Arial" w:hAnsi="Arial"/>
          <w:sz w:val="16"/>
          <w:szCs w:val="16"/>
          <w:color w:val="auto"/>
        </w:rPr>
        <w:t>If the Administrator makes a withdrawal from the Decedent’s Account to pay the Decedent’s Death Taxes and such withdrawal causes the recognition of income to the Beneficiary, the Administrator shall pay to the Beneficiary from the Decedent’s Account, within thirty (30) days of the Beneficiary’s request, the amount necessary to enable the Beneficiary to pay the Beneficiary’s income tax liability resulting from such recognition of income; additionally, the Administrator shall pay to the Beneficiary from the Decedent’s Account, within thirty (30) days of the Beneficiary’s request, such additional amounts as are required to enable the Beneficiary to pay the Beneficiary’s income tax liability attributable to the Beneficiary’s recognition of income resulting from a distribution from the Decedent’s Account pursuant to this Section 3.7(b)(iv);</w:t>
      </w:r>
    </w:p>
    <w:p>
      <w:pPr>
        <w:spacing w:after="0" w:line="120" w:lineRule="exact"/>
        <w:rPr>
          <w:rFonts w:ascii="Arial" w:cs="Arial" w:eastAsia="Arial" w:hAnsi="Arial"/>
          <w:sz w:val="16"/>
          <w:szCs w:val="16"/>
          <w:color w:val="auto"/>
        </w:rPr>
      </w:pPr>
    </w:p>
    <w:p>
      <w:pPr>
        <w:ind w:left="-8" w:firstLine="1492"/>
        <w:spacing w:after="0" w:line="332" w:lineRule="auto"/>
        <w:tabs>
          <w:tab w:leader="none" w:pos="1724" w:val="left"/>
        </w:tabs>
        <w:numPr>
          <w:ilvl w:val="1"/>
          <w:numId w:val="70"/>
        </w:numPr>
        <w:rPr>
          <w:rFonts w:ascii="Arial" w:cs="Arial" w:eastAsia="Arial" w:hAnsi="Arial"/>
          <w:sz w:val="16"/>
          <w:szCs w:val="16"/>
          <w:color w:val="auto"/>
        </w:rPr>
      </w:pPr>
      <w:r>
        <w:rPr>
          <w:rFonts w:ascii="Arial" w:cs="Arial" w:eastAsia="Arial" w:hAnsi="Arial"/>
          <w:sz w:val="16"/>
          <w:szCs w:val="16"/>
          <w:color w:val="auto"/>
        </w:rPr>
        <w:t>Amounts withdrawn from the Decedent’s Account by the Administrator pursuant to Sections 3.7(b)(iii) and 3.7(b)(iv) shall be withdrawn from the portions of Decedent’s Account having the earliest distribution dates as specified in Decedent’s Initial Election or Subsequent Election; and</w:t>
      </w:r>
    </w:p>
    <w:p>
      <w:pPr>
        <w:spacing w:after="0" w:line="85" w:lineRule="exact"/>
        <w:rPr>
          <w:rFonts w:ascii="Arial" w:cs="Arial" w:eastAsia="Arial" w:hAnsi="Arial"/>
          <w:sz w:val="16"/>
          <w:szCs w:val="16"/>
          <w:color w:val="auto"/>
        </w:rPr>
      </w:pPr>
    </w:p>
    <w:p>
      <w:pPr>
        <w:ind w:left="-8" w:right="320" w:firstLine="1492"/>
        <w:spacing w:after="0" w:line="268" w:lineRule="auto"/>
        <w:tabs>
          <w:tab w:leader="none" w:pos="1773" w:val="left"/>
        </w:tabs>
        <w:numPr>
          <w:ilvl w:val="1"/>
          <w:numId w:val="70"/>
        </w:numPr>
        <w:rPr>
          <w:rFonts w:ascii="Arial" w:cs="Arial" w:eastAsia="Arial" w:hAnsi="Arial"/>
          <w:sz w:val="18"/>
          <w:szCs w:val="18"/>
          <w:color w:val="auto"/>
        </w:rPr>
      </w:pPr>
      <w:r>
        <w:rPr>
          <w:rFonts w:ascii="Arial" w:cs="Arial" w:eastAsia="Arial" w:hAnsi="Arial"/>
          <w:sz w:val="18"/>
          <w:szCs w:val="18"/>
          <w:color w:val="auto"/>
        </w:rPr>
        <w:t>Within a reasonable time after the later to occur of the Death Tax Clearance Date and the payment date designated in the Decedent’s Initial Election or Subsequent Election, the Administrator shall pay the Decedent’s Account to the Beneficiary.</w:t>
      </w:r>
    </w:p>
    <w:p>
      <w:pPr>
        <w:spacing w:after="0" w:line="288" w:lineRule="exact"/>
        <w:rPr>
          <w:sz w:val="20"/>
          <w:szCs w:val="20"/>
          <w:color w:val="auto"/>
        </w:rPr>
      </w:pPr>
    </w:p>
    <w:p>
      <w:pPr>
        <w:jc w:val="center"/>
        <w:ind w:right="-31"/>
        <w:spacing w:after="0"/>
        <w:rPr>
          <w:sz w:val="20"/>
          <w:szCs w:val="20"/>
          <w:color w:val="auto"/>
        </w:rPr>
      </w:pPr>
      <w:r>
        <w:rPr>
          <w:rFonts w:ascii="Arial" w:cs="Arial" w:eastAsia="Arial" w:hAnsi="Arial"/>
          <w:sz w:val="18"/>
          <w:szCs w:val="18"/>
          <w:b w:val="1"/>
          <w:bCs w:val="1"/>
          <w:color w:val="auto"/>
        </w:rPr>
        <w:t>ARTICLE 4 - MANNER OF DISTRIBUTION</w:t>
      </w:r>
    </w:p>
    <w:p>
      <w:pPr>
        <w:spacing w:after="0" w:line="177" w:lineRule="exact"/>
        <w:rPr>
          <w:sz w:val="20"/>
          <w:szCs w:val="20"/>
          <w:color w:val="auto"/>
        </w:rPr>
      </w:pPr>
    </w:p>
    <w:p>
      <w:pPr>
        <w:ind w:left="452"/>
        <w:spacing w:after="0"/>
        <w:rPr>
          <w:sz w:val="20"/>
          <w:szCs w:val="20"/>
          <w:color w:val="auto"/>
        </w:rPr>
      </w:pPr>
      <w:r>
        <w:rPr>
          <w:rFonts w:ascii="Arial" w:cs="Arial" w:eastAsia="Arial" w:hAnsi="Arial"/>
          <w:sz w:val="18"/>
          <w:szCs w:val="18"/>
          <w:color w:val="auto"/>
        </w:rPr>
        <w:t xml:space="preserve">4.1. </w:t>
      </w:r>
      <w:r>
        <w:rPr>
          <w:rFonts w:ascii="Arial" w:cs="Arial" w:eastAsia="Arial" w:hAnsi="Arial"/>
          <w:sz w:val="18"/>
          <w:szCs w:val="18"/>
          <w:u w:val="single" w:color="auto"/>
          <w:color w:val="auto"/>
        </w:rPr>
        <w:t>Manner of Distribution</w:t>
      </w:r>
      <w:r>
        <w:rPr>
          <w:rFonts w:ascii="Arial" w:cs="Arial" w:eastAsia="Arial" w:hAnsi="Arial"/>
          <w:sz w:val="18"/>
          <w:szCs w:val="18"/>
          <w:color w:val="auto"/>
        </w:rPr>
        <w:t>.</w:t>
      </w:r>
    </w:p>
    <w:p>
      <w:pPr>
        <w:spacing w:after="0" w:line="90" w:lineRule="exact"/>
        <w:rPr>
          <w:sz w:val="20"/>
          <w:szCs w:val="20"/>
          <w:color w:val="auto"/>
        </w:rPr>
      </w:pPr>
    </w:p>
    <w:p>
      <w:pPr>
        <w:ind w:left="1152" w:hanging="239"/>
        <w:spacing w:after="0"/>
        <w:tabs>
          <w:tab w:leader="none" w:pos="1152" w:val="left"/>
        </w:tabs>
        <w:numPr>
          <w:ilvl w:val="1"/>
          <w:numId w:val="71"/>
        </w:numPr>
        <w:rPr>
          <w:rFonts w:ascii="Arial" w:cs="Arial" w:eastAsia="Arial" w:hAnsi="Arial"/>
          <w:sz w:val="16"/>
          <w:szCs w:val="16"/>
          <w:color w:val="auto"/>
        </w:rPr>
      </w:pPr>
      <w:r>
        <w:rPr>
          <w:rFonts w:ascii="Arial" w:cs="Arial" w:eastAsia="Arial" w:hAnsi="Arial"/>
          <w:sz w:val="16"/>
          <w:szCs w:val="16"/>
          <w:color w:val="auto"/>
        </w:rPr>
        <w:t>Amounts credited to an Account shall be distributed, pursuant to an Initial Election or Subsequent Election in either (i) a lump sum payment or</w:t>
      </w:r>
    </w:p>
    <w:p>
      <w:pPr>
        <w:spacing w:after="0" w:line="38" w:lineRule="exact"/>
        <w:rPr>
          <w:rFonts w:ascii="Arial" w:cs="Arial" w:eastAsia="Arial" w:hAnsi="Arial"/>
          <w:sz w:val="16"/>
          <w:szCs w:val="16"/>
          <w:color w:val="auto"/>
        </w:rPr>
      </w:pPr>
    </w:p>
    <w:p>
      <w:pPr>
        <w:ind w:left="-8" w:right="260" w:firstLine="8"/>
        <w:spacing w:after="0" w:line="323" w:lineRule="auto"/>
        <w:tabs>
          <w:tab w:leader="none" w:pos="250" w:val="left"/>
        </w:tabs>
        <w:numPr>
          <w:ilvl w:val="0"/>
          <w:numId w:val="72"/>
        </w:numPr>
        <w:rPr>
          <w:rFonts w:ascii="Arial" w:cs="Arial" w:eastAsia="Arial" w:hAnsi="Arial"/>
          <w:sz w:val="16"/>
          <w:szCs w:val="16"/>
          <w:color w:val="auto"/>
        </w:rPr>
      </w:pPr>
      <w:r>
        <w:rPr>
          <w:rFonts w:ascii="Arial" w:cs="Arial" w:eastAsia="Arial" w:hAnsi="Arial"/>
          <w:sz w:val="16"/>
          <w:szCs w:val="16"/>
          <w:color w:val="auto"/>
        </w:rPr>
        <w:t>substantially equal annual installments over a five (5), ten (10) or fifteen (15) year period or (iii) substantially equal monthly installments over a period not exceeding fifteen (15) years. Installment distributions payable in the form of shares of Company Stock shall be rounded to the nearest whole share.</w:t>
      </w:r>
    </w:p>
    <w:p>
      <w:pPr>
        <w:spacing w:after="0" w:line="79" w:lineRule="exact"/>
        <w:rPr>
          <w:sz w:val="20"/>
          <w:szCs w:val="20"/>
          <w:color w:val="auto"/>
        </w:rPr>
      </w:pPr>
    </w:p>
    <w:p>
      <w:pPr>
        <w:jc w:val="center"/>
        <w:ind w:right="-31"/>
        <w:spacing w:after="0"/>
        <w:rPr>
          <w:sz w:val="20"/>
          <w:szCs w:val="20"/>
          <w:color w:val="auto"/>
        </w:rPr>
      </w:pPr>
      <w:r>
        <w:rPr>
          <w:rFonts w:ascii="Arial" w:cs="Arial" w:eastAsia="Arial" w:hAnsi="Arial"/>
          <w:sz w:val="18"/>
          <w:szCs w:val="18"/>
          <w:color w:val="auto"/>
        </w:rPr>
        <w:t>-15-</w:t>
      </w:r>
    </w:p>
    <w:p>
      <w:pPr>
        <w:sectPr>
          <w:pgSz w:w="11900" w:h="16838" w:orient="portrait"/>
          <w:cols w:equalWidth="0" w:num="1">
            <w:col w:w="11392"/>
          </w:cols>
          <w:pgMar w:left="248" w:top="280" w:right="259" w:bottom="1440" w:gutter="0" w:footer="0" w:header="0"/>
        </w:sectPr>
      </w:pPr>
    </w:p>
    <w:bookmarkStart w:id="67" w:name="page68"/>
    <w:bookmarkEnd w:id="67"/>
    <w:p>
      <w:pPr>
        <w:ind w:left="1160" w:hanging="239"/>
        <w:spacing w:after="0"/>
        <w:tabs>
          <w:tab w:leader="none" w:pos="1160" w:val="left"/>
        </w:tabs>
        <w:numPr>
          <w:ilvl w:val="0"/>
          <w:numId w:val="73"/>
        </w:numPr>
        <w:rPr>
          <w:rFonts w:ascii="Arial" w:cs="Arial" w:eastAsia="Arial" w:hAnsi="Arial"/>
          <w:sz w:val="18"/>
          <w:szCs w:val="18"/>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78" name="Picture 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
                    <pic:cNvPicPr>
                      <a:picLocks noChangeAspect="1" noChangeArrowheads="1"/>
                    </pic:cNvPicPr>
                  </pic:nvPicPr>
                  <pic:blipFill>
                    <a:blip r:embed="rId85">
                      <a:extLst>
                        <a:ext uri="{28A0092B-C50C-407E-A947-70E740481C1C}"/>
                      </a:extLst>
                    </a:blip>
                    <a:srcRect/>
                    <a:stretch>
                      <a:fillRect/>
                    </a:stretch>
                  </pic:blipFill>
                  <pic:spPr bwMode="auto">
                    <a:xfrm>
                      <a:off x="0" y="0"/>
                      <a:ext cx="7267575" cy="27940"/>
                    </a:xfrm>
                    <a:prstGeom prst="rect">
                      <a:avLst/>
                    </a:prstGeom>
                    <a:noFill/>
                  </pic:spPr>
                </pic:pic>
              </a:graphicData>
            </a:graphic>
          </wp:anchor>
        </w:drawing>
        <w:t>Notwithstanding any Initial Election or Subsequent Election or any other provision of the Plan to the contrary:</w:t>
      </w:r>
    </w:p>
    <w:p>
      <w:pPr>
        <w:spacing w:after="0" w:line="90" w:lineRule="exact"/>
        <w:rPr>
          <w:rFonts w:ascii="Arial" w:cs="Arial" w:eastAsia="Arial" w:hAnsi="Arial"/>
          <w:sz w:val="18"/>
          <w:szCs w:val="18"/>
          <w:color w:val="auto"/>
        </w:rPr>
      </w:pPr>
    </w:p>
    <w:p>
      <w:pPr>
        <w:ind w:right="80" w:firstLine="1492"/>
        <w:spacing w:after="0" w:line="259" w:lineRule="auto"/>
        <w:tabs>
          <w:tab w:leader="none" w:pos="1693" w:val="left"/>
        </w:tabs>
        <w:numPr>
          <w:ilvl w:val="1"/>
          <w:numId w:val="73"/>
        </w:numPr>
        <w:rPr>
          <w:rFonts w:ascii="Arial" w:cs="Arial" w:eastAsia="Arial" w:hAnsi="Arial"/>
          <w:sz w:val="18"/>
          <w:szCs w:val="18"/>
          <w:color w:val="auto"/>
        </w:rPr>
      </w:pPr>
      <w:r>
        <w:rPr>
          <w:rFonts w:ascii="Arial" w:cs="Arial" w:eastAsia="Arial" w:hAnsi="Arial"/>
          <w:sz w:val="18"/>
          <w:szCs w:val="18"/>
          <w:color w:val="auto"/>
        </w:rPr>
        <w:t>distributions pursuant to Initial Elections or Subsequent Elections shall be made in one lump sum payment unless the portion of a Participant’s Account subject to distribution, as of both the date of the Initial Election or Subsequent Election and the benefit commencement date, has a value of more than $10,000;</w:t>
      </w:r>
    </w:p>
    <w:p>
      <w:pPr>
        <w:spacing w:after="0" w:line="140" w:lineRule="exact"/>
        <w:rPr>
          <w:rFonts w:ascii="Arial" w:cs="Arial" w:eastAsia="Arial" w:hAnsi="Arial"/>
          <w:sz w:val="18"/>
          <w:szCs w:val="18"/>
          <w:color w:val="auto"/>
        </w:rPr>
      </w:pPr>
    </w:p>
    <w:p>
      <w:pPr>
        <w:ind w:left="1760" w:hanging="268"/>
        <w:spacing w:after="0"/>
        <w:tabs>
          <w:tab w:leader="none" w:pos="1760" w:val="left"/>
        </w:tabs>
        <w:numPr>
          <w:ilvl w:val="1"/>
          <w:numId w:val="73"/>
        </w:numPr>
        <w:rPr>
          <w:rFonts w:ascii="Arial" w:cs="Arial" w:eastAsia="Arial" w:hAnsi="Arial"/>
          <w:sz w:val="16"/>
          <w:szCs w:val="16"/>
          <w:color w:val="auto"/>
        </w:rPr>
      </w:pPr>
      <w:r>
        <w:rPr>
          <w:rFonts w:ascii="Arial" w:cs="Arial" w:eastAsia="Arial" w:hAnsi="Arial"/>
          <w:sz w:val="16"/>
          <w:szCs w:val="16"/>
          <w:color w:val="auto"/>
        </w:rPr>
        <w:t>following a Participant’s termination of employment for any reason, if the amount credited to the Participant’s Account has a value of</w:t>
      </w:r>
    </w:p>
    <w:p>
      <w:pPr>
        <w:spacing w:after="0" w:line="38" w:lineRule="exact"/>
        <w:rPr>
          <w:sz w:val="20"/>
          <w:szCs w:val="20"/>
          <w:color w:val="auto"/>
        </w:rPr>
      </w:pPr>
    </w:p>
    <w:p>
      <w:pPr>
        <w:jc w:val="both"/>
        <w:ind w:right="140"/>
        <w:spacing w:after="0" w:line="255" w:lineRule="auto"/>
        <w:rPr>
          <w:sz w:val="20"/>
          <w:szCs w:val="20"/>
          <w:color w:val="auto"/>
        </w:rPr>
      </w:pPr>
      <w:r>
        <w:rPr>
          <w:rFonts w:ascii="Arial" w:cs="Arial" w:eastAsia="Arial" w:hAnsi="Arial"/>
          <w:sz w:val="18"/>
          <w:szCs w:val="18"/>
          <w:color w:val="auto"/>
        </w:rPr>
        <w:t>$25,000 or less, the Administrator may, in its sole discretion, direct that such amount be distributed to the Participant (or Beneficiary, as applicable) in one lump sum payment; provided, however, that this Section 4.1(b)(ii) shall not apply to any amount credited to a Participant’s Account until the expiration of the deferral period applicable under any Initial Election or Subsequent Election in effect as of April 29, 2002.</w:t>
      </w:r>
    </w:p>
    <w:p>
      <w:pPr>
        <w:spacing w:after="0" w:line="144" w:lineRule="exact"/>
        <w:rPr>
          <w:sz w:val="20"/>
          <w:szCs w:val="20"/>
          <w:color w:val="auto"/>
        </w:rPr>
      </w:pPr>
    </w:p>
    <w:p>
      <w:pPr>
        <w:ind w:right="120" w:firstLine="456"/>
        <w:spacing w:after="0" w:line="306" w:lineRule="auto"/>
        <w:rPr>
          <w:sz w:val="20"/>
          <w:szCs w:val="20"/>
          <w:color w:val="auto"/>
        </w:rPr>
      </w:pPr>
      <w:r>
        <w:rPr>
          <w:rFonts w:ascii="Arial" w:cs="Arial" w:eastAsia="Arial" w:hAnsi="Arial"/>
          <w:sz w:val="16"/>
          <w:szCs w:val="16"/>
          <w:color w:val="auto"/>
        </w:rPr>
        <w:t xml:space="preserve">4.2. </w:t>
      </w:r>
      <w:r>
        <w:rPr>
          <w:rFonts w:ascii="Arial" w:cs="Arial" w:eastAsia="Arial" w:hAnsi="Arial"/>
          <w:sz w:val="16"/>
          <w:szCs w:val="16"/>
          <w:u w:val="single" w:color="auto"/>
          <w:color w:val="auto"/>
        </w:rPr>
        <w:t>Determination of Account Balances for Purposes of Distribution</w:t>
      </w:r>
      <w:r>
        <w:rPr>
          <w:rFonts w:ascii="Arial" w:cs="Arial" w:eastAsia="Arial" w:hAnsi="Arial"/>
          <w:sz w:val="16"/>
          <w:szCs w:val="16"/>
          <w:color w:val="auto"/>
        </w:rPr>
        <w:t>. The amount of any distribution made pursuant to Section 4.1 shall be based on the balances in the Participant’s Account on the date of distribution. For this purpose, the balance in a Participant’s Account shall be calculated by crediting income, gains and losses under the Company Stock Fund and Income Fund, as applicable, through the date immediately preceding the date of distribution.</w:t>
      </w:r>
    </w:p>
    <w:p>
      <w:pPr>
        <w:spacing w:after="0" w:line="107" w:lineRule="exact"/>
        <w:rPr>
          <w:sz w:val="20"/>
          <w:szCs w:val="20"/>
          <w:color w:val="auto"/>
        </w:rPr>
      </w:pPr>
    </w:p>
    <w:p>
      <w:pPr>
        <w:ind w:right="140" w:firstLine="456"/>
        <w:spacing w:after="0" w:line="268" w:lineRule="auto"/>
        <w:rPr>
          <w:sz w:val="20"/>
          <w:szCs w:val="20"/>
          <w:color w:val="auto"/>
        </w:rPr>
      </w:pPr>
      <w:r>
        <w:rPr>
          <w:rFonts w:ascii="Arial" w:cs="Arial" w:eastAsia="Arial" w:hAnsi="Arial"/>
          <w:sz w:val="18"/>
          <w:szCs w:val="18"/>
          <w:color w:val="auto"/>
        </w:rPr>
        <w:t xml:space="preserve">4.3. </w:t>
      </w:r>
      <w:r>
        <w:rPr>
          <w:rFonts w:ascii="Arial" w:cs="Arial" w:eastAsia="Arial" w:hAnsi="Arial"/>
          <w:sz w:val="18"/>
          <w:szCs w:val="18"/>
          <w:u w:val="single" w:color="auto"/>
          <w:color w:val="auto"/>
        </w:rPr>
        <w:t>Plan-to-Plan Transfers</w:t>
      </w:r>
      <w:r>
        <w:rPr>
          <w:rFonts w:ascii="Arial" w:cs="Arial" w:eastAsia="Arial" w:hAnsi="Arial"/>
          <w:sz w:val="18"/>
          <w:szCs w:val="18"/>
          <w:color w:val="auto"/>
        </w:rPr>
        <w:t>. The Administrator may delegate its authority to arrange for plan-to-plan transfers as described in this Section 4.3 to an officer of the Company or committee of two or more officers of the Company.</w:t>
      </w:r>
    </w:p>
    <w:p>
      <w:pPr>
        <w:spacing w:after="0" w:line="132" w:lineRule="exact"/>
        <w:rPr>
          <w:sz w:val="20"/>
          <w:szCs w:val="20"/>
          <w:color w:val="auto"/>
        </w:rPr>
      </w:pPr>
    </w:p>
    <w:p>
      <w:pPr>
        <w:ind w:firstLine="921"/>
        <w:spacing w:after="0" w:line="255" w:lineRule="auto"/>
        <w:tabs>
          <w:tab w:leader="none" w:pos="1152" w:val="left"/>
        </w:tabs>
        <w:numPr>
          <w:ilvl w:val="0"/>
          <w:numId w:val="74"/>
        </w:numPr>
        <w:rPr>
          <w:rFonts w:ascii="Arial" w:cs="Arial" w:eastAsia="Arial" w:hAnsi="Arial"/>
          <w:sz w:val="18"/>
          <w:szCs w:val="18"/>
          <w:color w:val="auto"/>
        </w:rPr>
      </w:pPr>
      <w:r>
        <w:rPr>
          <w:rFonts w:ascii="Arial" w:cs="Arial" w:eastAsia="Arial" w:hAnsi="Arial"/>
          <w:sz w:val="18"/>
          <w:szCs w:val="18"/>
          <w:color w:val="auto"/>
        </w:rPr>
        <w:t>The Administrator may, with a Participant’s consent, make such arrangements as it may deem appropriate to transfer the Company’s obligation to pay benefits with respect to such Participant which have not become payable under this Plan, to another employer, whether through a deferred compensation plan, program or arrangement sponsored by such other employer or otherwise, or to another deferred compensation plan, program or arrangement sponsored by the Company or an Affiliate. Following the completion of such transfer, with respect to the benefit transferred, the Participant shall have no further right to payment under this Plan.</w:t>
      </w:r>
    </w:p>
    <w:p>
      <w:pPr>
        <w:spacing w:after="0" w:line="142" w:lineRule="exact"/>
        <w:rPr>
          <w:rFonts w:ascii="Arial" w:cs="Arial" w:eastAsia="Arial" w:hAnsi="Arial"/>
          <w:sz w:val="18"/>
          <w:szCs w:val="18"/>
          <w:color w:val="auto"/>
        </w:rPr>
      </w:pPr>
    </w:p>
    <w:p>
      <w:pPr>
        <w:ind w:right="40" w:firstLine="921"/>
        <w:spacing w:after="0" w:line="255" w:lineRule="auto"/>
        <w:tabs>
          <w:tab w:leader="none" w:pos="1162" w:val="left"/>
        </w:tabs>
        <w:numPr>
          <w:ilvl w:val="0"/>
          <w:numId w:val="74"/>
        </w:numPr>
        <w:rPr>
          <w:rFonts w:ascii="Arial" w:cs="Arial" w:eastAsia="Arial" w:hAnsi="Arial"/>
          <w:sz w:val="18"/>
          <w:szCs w:val="18"/>
          <w:color w:val="auto"/>
        </w:rPr>
      </w:pPr>
      <w:r>
        <w:rPr>
          <w:rFonts w:ascii="Arial" w:cs="Arial" w:eastAsia="Arial" w:hAnsi="Arial"/>
          <w:sz w:val="18"/>
          <w:szCs w:val="18"/>
          <w:color w:val="auto"/>
        </w:rPr>
        <w:t xml:space="preserve">Pursuant to Q-A 19(c) of </w:t>
      </w:r>
      <w:r>
        <w:rPr>
          <w:rFonts w:ascii="Arial" w:cs="Arial" w:eastAsia="Arial" w:hAnsi="Arial"/>
          <w:sz w:val="18"/>
          <w:szCs w:val="18"/>
          <w:i w:val="1"/>
          <w:iCs w:val="1"/>
          <w:color w:val="auto"/>
        </w:rPr>
        <w:t>IRS Notice 2005-1</w:t>
      </w:r>
      <w:r>
        <w:rPr>
          <w:rFonts w:ascii="Arial" w:cs="Arial" w:eastAsia="Arial" w:hAnsi="Arial"/>
          <w:sz w:val="18"/>
          <w:szCs w:val="18"/>
          <w:color w:val="auto"/>
        </w:rPr>
        <w:t>, to the extent provided by the Committee or its delegate, on or before December 31, 2005, a Participant may, with respect to all or any portion of his or her Account, make new payment elections as to the form and timing of payment of such amounts as may be permitted under the Comcast Corporation 2005 Deferred Compensation Plan, provided that following the completion of such new payment election, such amounts shall not be treated as grandfathered benefits under this Plan, but instead shall be treated as non-grandfathered benefits, subject to the rules of the Comcast Corporation 2005 Deferred Compensation Plan.</w:t>
      </w:r>
    </w:p>
    <w:p>
      <w:pPr>
        <w:spacing w:after="0" w:line="12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-16-</w:t>
      </w:r>
    </w:p>
    <w:p>
      <w:pPr>
        <w:sectPr>
          <w:pgSz w:w="11900" w:h="16838" w:orient="portrait"/>
          <w:cols w:equalWidth="0" w:num="1">
            <w:col w:w="11400"/>
          </w:cols>
          <w:pgMar w:left="240" w:top="280" w:right="259" w:bottom="1440" w:gutter="0" w:footer="0" w:header="0"/>
        </w:sectPr>
      </w:pPr>
    </w:p>
    <w:bookmarkStart w:id="68" w:name="page69"/>
    <w:bookmarkEnd w:id="68"/>
    <w:p>
      <w:pPr>
        <w:ind w:left="460"/>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79" name="Picture 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9"/>
                    <pic:cNvPicPr>
                      <a:picLocks noChangeAspect="1" noChangeArrowheads="1"/>
                    </pic:cNvPicPr>
                  </pic:nvPicPr>
                  <pic:blipFill>
                    <a:blip r:embed="rId86">
                      <a:extLst>
                        <a:ext uri="{28A0092B-C50C-407E-A947-70E740481C1C}"/>
                      </a:extLst>
                    </a:blip>
                    <a:srcRect/>
                    <a:stretch>
                      <a:fillRect/>
                    </a:stretch>
                  </pic:blipFill>
                  <pic:spPr bwMode="auto">
                    <a:xfrm>
                      <a:off x="0" y="0"/>
                      <a:ext cx="7267575" cy="27940"/>
                    </a:xfrm>
                    <a:prstGeom prst="rect">
                      <a:avLst/>
                    </a:prstGeom>
                    <a:noFill/>
                  </pic:spPr>
                </pic:pic>
              </a:graphicData>
            </a:graphic>
          </wp:anchor>
        </w:drawing>
        <w:t xml:space="preserve">4.4. </w:t>
      </w:r>
      <w:r>
        <w:rPr>
          <w:rFonts w:ascii="Arial" w:cs="Arial" w:eastAsia="Arial" w:hAnsi="Arial"/>
          <w:sz w:val="18"/>
          <w:szCs w:val="18"/>
          <w:u w:val="single" w:color="auto"/>
          <w:color w:val="auto"/>
        </w:rPr>
        <w:t>Supplemental RIP Legacy Accounts</w:t>
      </w:r>
      <w:r>
        <w:rPr>
          <w:rFonts w:ascii="Arial" w:cs="Arial" w:eastAsia="Arial" w:hAnsi="Arial"/>
          <w:sz w:val="18"/>
          <w:szCs w:val="18"/>
          <w:color w:val="auto"/>
        </w:rPr>
        <w:t>.</w:t>
      </w:r>
    </w:p>
    <w:p>
      <w:pPr>
        <w:spacing w:after="0" w:line="90" w:lineRule="exact"/>
        <w:rPr>
          <w:sz w:val="20"/>
          <w:szCs w:val="20"/>
          <w:color w:val="auto"/>
        </w:rPr>
      </w:pPr>
    </w:p>
    <w:p>
      <w:pPr>
        <w:ind w:firstLine="921"/>
        <w:spacing w:after="0" w:line="268" w:lineRule="auto"/>
        <w:tabs>
          <w:tab w:leader="none" w:pos="1152" w:val="left"/>
        </w:tabs>
        <w:numPr>
          <w:ilvl w:val="0"/>
          <w:numId w:val="75"/>
        </w:numPr>
        <w:rPr>
          <w:rFonts w:ascii="Arial" w:cs="Arial" w:eastAsia="Arial" w:hAnsi="Arial"/>
          <w:sz w:val="18"/>
          <w:szCs w:val="18"/>
          <w:color w:val="auto"/>
        </w:rPr>
      </w:pPr>
      <w:r>
        <w:rPr>
          <w:rFonts w:ascii="Arial" w:cs="Arial" w:eastAsia="Arial" w:hAnsi="Arial"/>
          <w:sz w:val="18"/>
          <w:szCs w:val="18"/>
          <w:u w:val="single" w:color="auto"/>
          <w:color w:val="auto"/>
        </w:rPr>
        <w:t>Earnings Adjustment</w:t>
      </w:r>
      <w:r>
        <w:rPr>
          <w:rFonts w:ascii="Arial" w:cs="Arial" w:eastAsia="Arial" w:hAnsi="Arial"/>
          <w:sz w:val="18"/>
          <w:szCs w:val="18"/>
          <w:color w:val="auto"/>
        </w:rPr>
        <w:t>. As of the last day of each calendar year, each Supplemental RIP Legacy Account shall be adjusted as if such Account were invested at the rate of 12% per annum, compounded annually.</w:t>
      </w:r>
    </w:p>
    <w:p>
      <w:pPr>
        <w:spacing w:after="0" w:line="131" w:lineRule="exact"/>
        <w:rPr>
          <w:rFonts w:ascii="Arial" w:cs="Arial" w:eastAsia="Arial" w:hAnsi="Arial"/>
          <w:sz w:val="18"/>
          <w:szCs w:val="18"/>
          <w:color w:val="auto"/>
        </w:rPr>
      </w:pPr>
    </w:p>
    <w:p>
      <w:pPr>
        <w:ind w:right="40" w:firstLine="921"/>
        <w:spacing w:after="0" w:line="235" w:lineRule="auto"/>
        <w:tabs>
          <w:tab w:leader="none" w:pos="1161" w:val="left"/>
        </w:tabs>
        <w:numPr>
          <w:ilvl w:val="0"/>
          <w:numId w:val="75"/>
        </w:numPr>
        <w:rPr>
          <w:rFonts w:ascii="Arial" w:cs="Arial" w:eastAsia="Arial" w:hAnsi="Arial"/>
          <w:sz w:val="18"/>
          <w:szCs w:val="18"/>
          <w:color w:val="auto"/>
        </w:rPr>
      </w:pPr>
      <w:r>
        <w:rPr>
          <w:rFonts w:ascii="Arial" w:cs="Arial" w:eastAsia="Arial" w:hAnsi="Arial"/>
          <w:sz w:val="18"/>
          <w:szCs w:val="18"/>
          <w:u w:val="single" w:color="auto"/>
          <w:color w:val="auto"/>
        </w:rPr>
        <w:t>Distribution</w:t>
      </w:r>
      <w:r>
        <w:rPr>
          <w:rFonts w:ascii="Arial" w:cs="Arial" w:eastAsia="Arial" w:hAnsi="Arial"/>
          <w:sz w:val="18"/>
          <w:szCs w:val="18"/>
          <w:color w:val="auto"/>
        </w:rPr>
        <w:t>. A Participant with respect to whom a Supplemental RIP Legacy Account has been established under the Plan and whose employment terminates for any reason shall receive distribution of the Participant’s entire Supplemental RIP Legacy Account in one lump sum as soon after such termination of employment as is administratively feasible. The amount distributed shall be the balance of the Participant’s Supplemental RIP Legacy Account as of the preceding December 31</w:t>
      </w:r>
      <w:r>
        <w:rPr>
          <w:rFonts w:ascii="Arial" w:cs="Arial" w:eastAsia="Arial" w:hAnsi="Arial"/>
          <w:sz w:val="22"/>
          <w:szCs w:val="22"/>
          <w:color w:val="auto"/>
          <w:vertAlign w:val="superscript"/>
        </w:rPr>
        <w:t>st</w:t>
      </w:r>
      <w:r>
        <w:rPr>
          <w:rFonts w:ascii="Arial" w:cs="Arial" w:eastAsia="Arial" w:hAnsi="Arial"/>
          <w:sz w:val="18"/>
          <w:szCs w:val="18"/>
          <w:color w:val="auto"/>
        </w:rPr>
        <w:t>, increased by one percent for each completed month in the year of distribution preceding the date on which distribution is made, reduced by any applicable payroll taxes or required tax withholding.</w:t>
      </w:r>
    </w:p>
    <w:p>
      <w:pPr>
        <w:spacing w:after="0" w:line="340" w:lineRule="exact"/>
        <w:rPr>
          <w:sz w:val="20"/>
          <w:szCs w:val="20"/>
          <w:color w:val="auto"/>
        </w:rPr>
      </w:pPr>
    </w:p>
    <w:p>
      <w:pPr>
        <w:jc w:val="center"/>
        <w:ind w:right="-59"/>
        <w:spacing w:after="0"/>
        <w:rPr>
          <w:sz w:val="20"/>
          <w:szCs w:val="20"/>
          <w:color w:val="auto"/>
        </w:rPr>
      </w:pPr>
      <w:r>
        <w:rPr>
          <w:rFonts w:ascii="Arial" w:cs="Arial" w:eastAsia="Arial" w:hAnsi="Arial"/>
          <w:sz w:val="18"/>
          <w:szCs w:val="18"/>
          <w:b w:val="1"/>
          <w:bCs w:val="1"/>
          <w:color w:val="auto"/>
        </w:rPr>
        <w:t>ARTICLE 5 - BOOK ACCOUNTS</w:t>
      </w:r>
    </w:p>
    <w:p>
      <w:pPr>
        <w:spacing w:after="0" w:line="177" w:lineRule="exact"/>
        <w:rPr>
          <w:sz w:val="20"/>
          <w:szCs w:val="20"/>
          <w:color w:val="auto"/>
        </w:rPr>
      </w:pPr>
    </w:p>
    <w:p>
      <w:pPr>
        <w:ind w:right="60" w:firstLine="456"/>
        <w:spacing w:after="0" w:line="259" w:lineRule="auto"/>
        <w:rPr>
          <w:sz w:val="20"/>
          <w:szCs w:val="20"/>
          <w:color w:val="auto"/>
        </w:rPr>
      </w:pPr>
      <w:r>
        <w:rPr>
          <w:rFonts w:ascii="Arial" w:cs="Arial" w:eastAsia="Arial" w:hAnsi="Arial"/>
          <w:sz w:val="18"/>
          <w:szCs w:val="18"/>
          <w:color w:val="auto"/>
        </w:rPr>
        <w:t xml:space="preserve">5.1. </w:t>
      </w:r>
      <w:r>
        <w:rPr>
          <w:rFonts w:ascii="Arial" w:cs="Arial" w:eastAsia="Arial" w:hAnsi="Arial"/>
          <w:sz w:val="18"/>
          <w:szCs w:val="18"/>
          <w:u w:val="single" w:color="auto"/>
          <w:color w:val="auto"/>
        </w:rPr>
        <w:t>Deferred Compensation Account</w:t>
      </w:r>
      <w:r>
        <w:rPr>
          <w:rFonts w:ascii="Arial" w:cs="Arial" w:eastAsia="Arial" w:hAnsi="Arial"/>
          <w:sz w:val="18"/>
          <w:szCs w:val="18"/>
          <w:color w:val="auto"/>
        </w:rPr>
        <w:t>. A deferred Compensation Account shall be established for each Outside Director and Eligible Employee when such Outside Director or Eligible Employee becomes a Participant. Compensation deferred pursuant to the Plan shall be credited to the Account on the date such Compensation would otherwise have been payable to the Participant.</w:t>
      </w:r>
    </w:p>
    <w:p>
      <w:pPr>
        <w:spacing w:after="0" w:line="221" w:lineRule="exact"/>
        <w:rPr>
          <w:sz w:val="20"/>
          <w:szCs w:val="20"/>
          <w:color w:val="auto"/>
        </w:rPr>
      </w:pPr>
    </w:p>
    <w:p>
      <w:pPr>
        <w:ind w:left="460"/>
        <w:spacing w:after="0"/>
        <w:rPr>
          <w:sz w:val="20"/>
          <w:szCs w:val="20"/>
          <w:color w:val="auto"/>
        </w:rPr>
      </w:pPr>
      <w:r>
        <w:rPr>
          <w:rFonts w:ascii="Arial" w:cs="Arial" w:eastAsia="Arial" w:hAnsi="Arial"/>
          <w:sz w:val="18"/>
          <w:szCs w:val="18"/>
          <w:color w:val="auto"/>
        </w:rPr>
        <w:t xml:space="preserve">5.2. </w:t>
      </w:r>
      <w:r>
        <w:rPr>
          <w:rFonts w:ascii="Arial" w:cs="Arial" w:eastAsia="Arial" w:hAnsi="Arial"/>
          <w:sz w:val="18"/>
          <w:szCs w:val="18"/>
          <w:u w:val="single" w:color="auto"/>
          <w:color w:val="auto"/>
        </w:rPr>
        <w:t>Crediting of Income, Gains and Losses on Accounts</w:t>
      </w:r>
      <w:r>
        <w:rPr>
          <w:rFonts w:ascii="Arial" w:cs="Arial" w:eastAsia="Arial" w:hAnsi="Arial"/>
          <w:sz w:val="18"/>
          <w:szCs w:val="18"/>
          <w:color w:val="auto"/>
        </w:rPr>
        <w:t>.</w:t>
      </w:r>
    </w:p>
    <w:p>
      <w:pPr>
        <w:spacing w:after="0" w:line="90" w:lineRule="exact"/>
        <w:rPr>
          <w:sz w:val="20"/>
          <w:szCs w:val="20"/>
          <w:color w:val="auto"/>
        </w:rPr>
      </w:pPr>
    </w:p>
    <w:p>
      <w:pPr>
        <w:ind w:right="620" w:firstLine="921"/>
        <w:spacing w:after="0" w:line="268" w:lineRule="auto"/>
        <w:tabs>
          <w:tab w:leader="none" w:pos="1152" w:val="left"/>
        </w:tabs>
        <w:numPr>
          <w:ilvl w:val="0"/>
          <w:numId w:val="76"/>
        </w:numPr>
        <w:rPr>
          <w:rFonts w:ascii="Arial" w:cs="Arial" w:eastAsia="Arial" w:hAnsi="Arial"/>
          <w:sz w:val="18"/>
          <w:szCs w:val="18"/>
          <w:color w:val="auto"/>
        </w:rPr>
      </w:pPr>
      <w:r>
        <w:rPr>
          <w:rFonts w:ascii="Arial" w:cs="Arial" w:eastAsia="Arial" w:hAnsi="Arial"/>
          <w:sz w:val="18"/>
          <w:szCs w:val="18"/>
          <w:u w:val="single" w:color="auto"/>
          <w:color w:val="auto"/>
        </w:rPr>
        <w:t>In General</w:t>
      </w:r>
      <w:r>
        <w:rPr>
          <w:rFonts w:ascii="Arial" w:cs="Arial" w:eastAsia="Arial" w:hAnsi="Arial"/>
          <w:sz w:val="18"/>
          <w:szCs w:val="18"/>
          <w:color w:val="auto"/>
        </w:rPr>
        <w:t>. Except as otherwise provided in this Section 5.2, the Administrator shall credit income, gains and losses with respect to each Participant’s Account as if it were invested in the Income Fund.</w:t>
      </w:r>
    </w:p>
    <w:p>
      <w:pPr>
        <w:spacing w:after="0" w:line="212" w:lineRule="exact"/>
        <w:rPr>
          <w:rFonts w:ascii="Arial" w:cs="Arial" w:eastAsia="Arial" w:hAnsi="Arial"/>
          <w:sz w:val="18"/>
          <w:szCs w:val="18"/>
          <w:color w:val="auto"/>
        </w:rPr>
      </w:pPr>
    </w:p>
    <w:p>
      <w:pPr>
        <w:ind w:left="1160" w:hanging="239"/>
        <w:spacing w:after="0"/>
        <w:tabs>
          <w:tab w:leader="none" w:pos="1160" w:val="left"/>
        </w:tabs>
        <w:numPr>
          <w:ilvl w:val="0"/>
          <w:numId w:val="76"/>
        </w:numPr>
        <w:rPr>
          <w:rFonts w:ascii="Arial" w:cs="Arial" w:eastAsia="Arial" w:hAnsi="Arial"/>
          <w:sz w:val="18"/>
          <w:szCs w:val="18"/>
          <w:color w:val="auto"/>
        </w:rPr>
      </w:pPr>
      <w:r>
        <w:rPr>
          <w:rFonts w:ascii="Arial" w:cs="Arial" w:eastAsia="Arial" w:hAnsi="Arial"/>
          <w:sz w:val="18"/>
          <w:szCs w:val="18"/>
          <w:u w:val="single" w:color="auto"/>
          <w:color w:val="auto"/>
        </w:rPr>
        <w:t>Investment Fund Elections</w:t>
      </w:r>
      <w:r>
        <w:rPr>
          <w:rFonts w:ascii="Arial" w:cs="Arial" w:eastAsia="Arial" w:hAnsi="Arial"/>
          <w:sz w:val="18"/>
          <w:szCs w:val="18"/>
          <w:color w:val="auto"/>
        </w:rPr>
        <w:t>.</w:t>
      </w:r>
    </w:p>
    <w:p>
      <w:pPr>
        <w:spacing w:after="0" w:line="90" w:lineRule="exact"/>
        <w:rPr>
          <w:rFonts w:ascii="Arial" w:cs="Arial" w:eastAsia="Arial" w:hAnsi="Arial"/>
          <w:sz w:val="18"/>
          <w:szCs w:val="18"/>
          <w:color w:val="auto"/>
        </w:rPr>
      </w:pPr>
    </w:p>
    <w:p>
      <w:pPr>
        <w:ind w:right="20" w:firstLine="1492"/>
        <w:spacing w:after="0" w:line="291" w:lineRule="auto"/>
        <w:tabs>
          <w:tab w:leader="none" w:pos="1693" w:val="left"/>
        </w:tabs>
        <w:numPr>
          <w:ilvl w:val="1"/>
          <w:numId w:val="76"/>
        </w:numPr>
        <w:rPr>
          <w:rFonts w:ascii="Arial" w:cs="Arial" w:eastAsia="Arial" w:hAnsi="Arial"/>
          <w:sz w:val="16"/>
          <w:szCs w:val="16"/>
          <w:color w:val="auto"/>
        </w:rPr>
      </w:pPr>
      <w:r>
        <w:rPr>
          <w:rFonts w:ascii="Arial" w:cs="Arial" w:eastAsia="Arial" w:hAnsi="Arial"/>
          <w:sz w:val="16"/>
          <w:szCs w:val="16"/>
          <w:color w:val="auto"/>
        </w:rPr>
        <w:t>Except for amounts credited to the Accounts of Participants who are Outside Directors who have elected to defer the receipt of Compensation payable in the form of Company Stock, all amounts credited to Participants’ Accounts on and after July 9, 2002 shall be credited with income, gains and losses as if it were invested in the Income Fund. Each Participant who, as of July 9, 2002, has all or any portion of his or her Account credited with income, gains and losses as if it were invested in the Company Stock Fund may direct, as of any business day, to have all or any portion of the amount credited to the Company Stock Fund deemed transferred to the Income Fund, in accordance with procedures established by the Administrator from time to time. No portion of the Participant’s Account credited to the Income Fund may be deemed transferred to the Company Stock Fund.</w:t>
      </w:r>
    </w:p>
    <w:p>
      <w:pPr>
        <w:spacing w:after="0" w:line="120" w:lineRule="exact"/>
        <w:rPr>
          <w:rFonts w:ascii="Arial" w:cs="Arial" w:eastAsia="Arial" w:hAnsi="Arial"/>
          <w:sz w:val="16"/>
          <w:szCs w:val="16"/>
          <w:color w:val="auto"/>
        </w:rPr>
      </w:pPr>
    </w:p>
    <w:p>
      <w:pPr>
        <w:ind w:right="80" w:firstLine="1492"/>
        <w:spacing w:after="0" w:line="256" w:lineRule="auto"/>
        <w:tabs>
          <w:tab w:leader="none" w:pos="1742" w:val="left"/>
        </w:tabs>
        <w:numPr>
          <w:ilvl w:val="1"/>
          <w:numId w:val="76"/>
        </w:numPr>
        <w:rPr>
          <w:rFonts w:ascii="Arial" w:cs="Arial" w:eastAsia="Arial" w:hAnsi="Arial"/>
          <w:sz w:val="18"/>
          <w:szCs w:val="18"/>
          <w:color w:val="auto"/>
        </w:rPr>
      </w:pPr>
      <w:r>
        <w:rPr>
          <w:rFonts w:ascii="Arial" w:cs="Arial" w:eastAsia="Arial" w:hAnsi="Arial"/>
          <w:sz w:val="18"/>
          <w:szCs w:val="18"/>
          <w:color w:val="auto"/>
        </w:rPr>
        <w:t>With respect to amounts credited to Participants’ Accounts through July 9, 2002, investment fund elections shall continue in effect until revoked or superseded. Except for amounts credited to the Accounts of Participants who are Outside Directors who have elected to defer the receipt of Compensation payable in the form of Company Stock, all amounts credited to Participants’ Accounts on and after July 9, 2002 shall be deemed to be invested in the Income Fund. Except for amounts described in Section 5.2(c),</w:t>
      </w:r>
    </w:p>
    <w:p>
      <w:pPr>
        <w:spacing w:after="0" w:line="130"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-17-</w:t>
      </w:r>
    </w:p>
    <w:p>
      <w:pPr>
        <w:sectPr>
          <w:pgSz w:w="11900" w:h="16838" w:orient="portrait"/>
          <w:cols w:equalWidth="0" w:num="1">
            <w:col w:w="11380"/>
          </w:cols>
          <w:pgMar w:left="240" w:top="280" w:right="279" w:bottom="1440" w:gutter="0" w:footer="0" w:header="0"/>
        </w:sectPr>
      </w:pPr>
    </w:p>
    <w:bookmarkStart w:id="69" w:name="page70"/>
    <w:bookmarkEnd w:id="69"/>
    <w:p>
      <w:pPr>
        <w:spacing w:after="0" w:line="256"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80" name="Picture 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0"/>
                    <pic:cNvPicPr>
                      <a:picLocks noChangeAspect="1" noChangeArrowheads="1"/>
                    </pic:cNvPicPr>
                  </pic:nvPicPr>
                  <pic:blipFill>
                    <a:blip r:embed="rId87">
                      <a:extLst>
                        <a:ext uri="{28A0092B-C50C-407E-A947-70E740481C1C}"/>
                      </a:extLst>
                    </a:blip>
                    <a:srcRect/>
                    <a:stretch>
                      <a:fillRect/>
                    </a:stretch>
                  </pic:blipFill>
                  <pic:spPr bwMode="auto">
                    <a:xfrm>
                      <a:off x="0" y="0"/>
                      <a:ext cx="7267575" cy="27940"/>
                    </a:xfrm>
                    <a:prstGeom prst="rect">
                      <a:avLst/>
                    </a:prstGeom>
                    <a:noFill/>
                  </pic:spPr>
                </pic:pic>
              </a:graphicData>
            </a:graphic>
          </wp:anchor>
        </w:drawing>
        <w:t>notwithstanding any investment fund election to the contrary, as of the valuation date (as determined under Section 4.2) for the distribution of all or any portion of a Participant’s Account that is subject to distribution in the form of installments described in Section 4.1(a) or (b), such Account, or portion thereof, shall be deemed invested in the Income Fund (and transferred from the Company Stock Fund to the Income Fund, to the extent necessary) until such Account, or portion thereof, is distributed in full.</w:t>
      </w:r>
    </w:p>
    <w:p>
      <w:pPr>
        <w:spacing w:after="0" w:line="143" w:lineRule="exact"/>
        <w:rPr>
          <w:sz w:val="20"/>
          <w:szCs w:val="20"/>
          <w:color w:val="auto"/>
        </w:rPr>
      </w:pPr>
    </w:p>
    <w:p>
      <w:pPr>
        <w:ind w:firstLine="1492"/>
        <w:spacing w:after="0" w:line="259" w:lineRule="auto"/>
        <w:tabs>
          <w:tab w:leader="none" w:pos="1791" w:val="left"/>
        </w:tabs>
        <w:numPr>
          <w:ilvl w:val="1"/>
          <w:numId w:val="77"/>
        </w:numPr>
        <w:rPr>
          <w:rFonts w:ascii="Arial" w:cs="Arial" w:eastAsia="Arial" w:hAnsi="Arial"/>
          <w:sz w:val="18"/>
          <w:szCs w:val="18"/>
          <w:color w:val="auto"/>
        </w:rPr>
      </w:pPr>
      <w:r>
        <w:rPr>
          <w:rFonts w:ascii="Arial" w:cs="Arial" w:eastAsia="Arial" w:hAnsi="Arial"/>
          <w:sz w:val="18"/>
          <w:szCs w:val="18"/>
          <w:color w:val="auto"/>
        </w:rPr>
        <w:t>Investment fund elections under this Section 5.2(b) shall be effective as soon as practicable following the Participant’s election, pursuant to procedures established by the Administrator. An Active Participant may not make an investment fund election with respect to Compensation to be deferred for a calendar year.</w:t>
      </w:r>
    </w:p>
    <w:p>
      <w:pPr>
        <w:spacing w:after="0" w:line="140" w:lineRule="exact"/>
        <w:rPr>
          <w:rFonts w:ascii="Arial" w:cs="Arial" w:eastAsia="Arial" w:hAnsi="Arial"/>
          <w:sz w:val="18"/>
          <w:szCs w:val="18"/>
          <w:color w:val="auto"/>
        </w:rPr>
      </w:pPr>
    </w:p>
    <w:p>
      <w:pPr>
        <w:ind w:right="40" w:firstLine="1492"/>
        <w:spacing w:after="0" w:line="259" w:lineRule="auto"/>
        <w:tabs>
          <w:tab w:leader="none" w:pos="1781" w:val="left"/>
        </w:tabs>
        <w:numPr>
          <w:ilvl w:val="1"/>
          <w:numId w:val="77"/>
        </w:numPr>
        <w:rPr>
          <w:rFonts w:ascii="Arial" w:cs="Arial" w:eastAsia="Arial" w:hAnsi="Arial"/>
          <w:sz w:val="18"/>
          <w:szCs w:val="18"/>
          <w:color w:val="auto"/>
        </w:rPr>
      </w:pPr>
      <w:r>
        <w:rPr>
          <w:rFonts w:ascii="Arial" w:cs="Arial" w:eastAsia="Arial" w:hAnsi="Arial"/>
          <w:sz w:val="18"/>
          <w:szCs w:val="18"/>
          <w:color w:val="auto"/>
        </w:rPr>
        <w:t>Except for amounts described in Section 5.2(c), if a Participant ceases to continue in service as an Active Participant, then, notwithstanding any election to the contrary, such Participant’s Account shall be deemed invested in the Income Fund, effective as of the first day of any calendar year beginning after such Participant ceases to continue in service as an Active Participant.</w:t>
      </w:r>
    </w:p>
    <w:p>
      <w:pPr>
        <w:spacing w:after="0" w:line="140" w:lineRule="exact"/>
        <w:rPr>
          <w:rFonts w:ascii="Arial" w:cs="Arial" w:eastAsia="Arial" w:hAnsi="Arial"/>
          <w:sz w:val="18"/>
          <w:szCs w:val="18"/>
          <w:color w:val="auto"/>
        </w:rPr>
      </w:pPr>
    </w:p>
    <w:p>
      <w:pPr>
        <w:ind w:right="220" w:firstLine="921"/>
        <w:spacing w:after="0" w:line="255" w:lineRule="auto"/>
        <w:tabs>
          <w:tab w:leader="none" w:pos="1152" w:val="left"/>
        </w:tabs>
        <w:numPr>
          <w:ilvl w:val="0"/>
          <w:numId w:val="78"/>
        </w:numPr>
        <w:rPr>
          <w:rFonts w:ascii="Arial" w:cs="Arial" w:eastAsia="Arial" w:hAnsi="Arial"/>
          <w:sz w:val="18"/>
          <w:szCs w:val="18"/>
          <w:color w:val="auto"/>
        </w:rPr>
      </w:pPr>
      <w:r>
        <w:rPr>
          <w:rFonts w:ascii="Arial" w:cs="Arial" w:eastAsia="Arial" w:hAnsi="Arial"/>
          <w:sz w:val="18"/>
          <w:szCs w:val="18"/>
          <w:u w:val="single" w:color="auto"/>
          <w:color w:val="auto"/>
        </w:rPr>
        <w:t>Outside Director Stock Fund Credits</w:t>
      </w:r>
      <w:r>
        <w:rPr>
          <w:rFonts w:ascii="Arial" w:cs="Arial" w:eastAsia="Arial" w:hAnsi="Arial"/>
          <w:sz w:val="18"/>
          <w:szCs w:val="18"/>
          <w:color w:val="auto"/>
        </w:rPr>
        <w:t>. Amounts credited to the Accounts of Outside Directors in the form of Company Stock shall be credited with income, gains and losses as if they were invested in the Company Stock Fund. No portion of such Participant’s Account attributable to amounts credited after December 31, 2002 to the Company Stock Fund may be deemed transferred to the Income Fund. Distributions of amounts credited to the Company Stock Fund with respect to Outside Directors’ Accounts after December 31, 2002 shall be distributable in the form of Company Stock, rounded to the nearest whole share.</w:t>
      </w:r>
    </w:p>
    <w:p>
      <w:pPr>
        <w:spacing w:after="0" w:line="142" w:lineRule="exact"/>
        <w:rPr>
          <w:rFonts w:ascii="Arial" w:cs="Arial" w:eastAsia="Arial" w:hAnsi="Arial"/>
          <w:sz w:val="18"/>
          <w:szCs w:val="18"/>
          <w:color w:val="auto"/>
        </w:rPr>
      </w:pPr>
    </w:p>
    <w:p>
      <w:pPr>
        <w:ind w:right="200" w:firstLine="921"/>
        <w:spacing w:after="0" w:line="298" w:lineRule="auto"/>
        <w:tabs>
          <w:tab w:leader="none" w:pos="1161" w:val="left"/>
        </w:tabs>
        <w:numPr>
          <w:ilvl w:val="0"/>
          <w:numId w:val="78"/>
        </w:numPr>
        <w:rPr>
          <w:rFonts w:ascii="Arial" w:cs="Arial" w:eastAsia="Arial" w:hAnsi="Arial"/>
          <w:sz w:val="16"/>
          <w:szCs w:val="16"/>
          <w:color w:val="auto"/>
        </w:rPr>
      </w:pPr>
      <w:r>
        <w:rPr>
          <w:rFonts w:ascii="Arial" w:cs="Arial" w:eastAsia="Arial" w:hAnsi="Arial"/>
          <w:sz w:val="16"/>
          <w:szCs w:val="16"/>
          <w:u w:val="single" w:color="auto"/>
          <w:color w:val="auto"/>
        </w:rPr>
        <w:t>Timing of Credits</w:t>
      </w:r>
      <w:r>
        <w:rPr>
          <w:rFonts w:ascii="Arial" w:cs="Arial" w:eastAsia="Arial" w:hAnsi="Arial"/>
          <w:sz w:val="16"/>
          <w:szCs w:val="16"/>
          <w:color w:val="auto"/>
        </w:rPr>
        <w:t>. Compensation deferred pursuant to the Plan shall be deemed invested in the Income Fund on the date such Compensation would otherwise have been payable to the Participant. Accumulated Account balances subject to an investment fund election under Section 5.2(b) shall be deemed invested in the applicable investment fund as of the effective date of such election. The value of amounts deemed invested in the Company Stock Fund shall be based on hypothetical purchases and sales of Company Stock at Fair Market Value as of the effective date of an investment election.</w:t>
      </w:r>
    </w:p>
    <w:p>
      <w:pPr>
        <w:spacing w:after="0" w:line="113" w:lineRule="exact"/>
        <w:rPr>
          <w:sz w:val="20"/>
          <w:szCs w:val="20"/>
          <w:color w:val="auto"/>
        </w:rPr>
      </w:pPr>
    </w:p>
    <w:p>
      <w:pPr>
        <w:ind w:right="220" w:firstLine="456"/>
        <w:spacing w:after="0" w:line="268" w:lineRule="auto"/>
        <w:rPr>
          <w:sz w:val="20"/>
          <w:szCs w:val="20"/>
          <w:color w:val="auto"/>
        </w:rPr>
      </w:pPr>
      <w:r>
        <w:rPr>
          <w:rFonts w:ascii="Arial" w:cs="Arial" w:eastAsia="Arial" w:hAnsi="Arial"/>
          <w:sz w:val="18"/>
          <w:szCs w:val="18"/>
          <w:color w:val="auto"/>
        </w:rPr>
        <w:t xml:space="preserve">5.3. </w:t>
      </w:r>
      <w:r>
        <w:rPr>
          <w:rFonts w:ascii="Arial" w:cs="Arial" w:eastAsia="Arial" w:hAnsi="Arial"/>
          <w:sz w:val="18"/>
          <w:szCs w:val="18"/>
          <w:u w:val="single" w:color="auto"/>
          <w:color w:val="auto"/>
        </w:rPr>
        <w:t>Status of Deferred Amounts</w:t>
      </w:r>
      <w:r>
        <w:rPr>
          <w:rFonts w:ascii="Arial" w:cs="Arial" w:eastAsia="Arial" w:hAnsi="Arial"/>
          <w:sz w:val="18"/>
          <w:szCs w:val="18"/>
          <w:color w:val="auto"/>
        </w:rPr>
        <w:t>. Regardless of whether or not the Company is a Participant’s employer, all Compensation deferred under this Plan shall continue for all purposes to be a part of the general funds of the Company.</w:t>
      </w:r>
    </w:p>
    <w:p>
      <w:pPr>
        <w:spacing w:after="0" w:line="132" w:lineRule="exact"/>
        <w:rPr>
          <w:sz w:val="20"/>
          <w:szCs w:val="20"/>
          <w:color w:val="auto"/>
        </w:rPr>
      </w:pPr>
    </w:p>
    <w:p>
      <w:pPr>
        <w:ind w:firstLine="456"/>
        <w:spacing w:after="0" w:line="255" w:lineRule="auto"/>
        <w:rPr>
          <w:sz w:val="20"/>
          <w:szCs w:val="20"/>
          <w:color w:val="auto"/>
        </w:rPr>
      </w:pPr>
      <w:r>
        <w:rPr>
          <w:rFonts w:ascii="Arial" w:cs="Arial" w:eastAsia="Arial" w:hAnsi="Arial"/>
          <w:sz w:val="18"/>
          <w:szCs w:val="18"/>
          <w:color w:val="auto"/>
        </w:rPr>
        <w:t xml:space="preserve">5.4. </w:t>
      </w:r>
      <w:r>
        <w:rPr>
          <w:rFonts w:ascii="Arial" w:cs="Arial" w:eastAsia="Arial" w:hAnsi="Arial"/>
          <w:sz w:val="18"/>
          <w:szCs w:val="18"/>
          <w:u w:val="single" w:color="auto"/>
          <w:color w:val="auto"/>
        </w:rPr>
        <w:t>Participants’ Status as General Creditors</w:t>
      </w:r>
      <w:r>
        <w:rPr>
          <w:rFonts w:ascii="Arial" w:cs="Arial" w:eastAsia="Arial" w:hAnsi="Arial"/>
          <w:sz w:val="18"/>
          <w:szCs w:val="18"/>
          <w:color w:val="auto"/>
        </w:rPr>
        <w:t>. Regardless of whether or not the Company is a Participant’s employer, an Account shall at all times represent a general obligation of the Company. The Participant shall be a general creditor of the Company with respect to this obligation, and shall not have a secured or preferred position with respect to the Participant’s Accounts. Nothing contained herein shall be deemed to create an escrow, trust, custodial account or fiduciary relationship of any kind. Nothing contained herein shall be construed to eliminate any priority or preferred position of a Participant in a bankruptcy matter with respect to claims for wages.</w:t>
      </w:r>
    </w:p>
    <w:p>
      <w:pPr>
        <w:spacing w:after="0" w:line="12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-18-</w:t>
      </w:r>
    </w:p>
    <w:p>
      <w:pPr>
        <w:sectPr>
          <w:pgSz w:w="11900" w:h="16838" w:orient="portrait"/>
          <w:cols w:equalWidth="0" w:num="1">
            <w:col w:w="11400"/>
          </w:cols>
          <w:pgMar w:left="240" w:top="280" w:right="259" w:bottom="1440" w:gutter="0" w:footer="0" w:header="0"/>
        </w:sectPr>
      </w:pPr>
    </w:p>
    <w:bookmarkStart w:id="70" w:name="page71"/>
    <w:bookmarkEnd w:id="70"/>
    <w:p>
      <w:pPr>
        <w:jc w:val="center"/>
        <w:ind w:right="-59"/>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81" name="Picture 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1"/>
                    <pic:cNvPicPr>
                      <a:picLocks noChangeAspect="1" noChangeArrowheads="1"/>
                    </pic:cNvPicPr>
                  </pic:nvPicPr>
                  <pic:blipFill>
                    <a:blip r:embed="rId88">
                      <a:extLst>
                        <a:ext uri="{28A0092B-C50C-407E-A947-70E740481C1C}"/>
                      </a:extLst>
                    </a:blip>
                    <a:srcRect/>
                    <a:stretch>
                      <a:fillRect/>
                    </a:stretch>
                  </pic:blipFill>
                  <pic:spPr bwMode="auto">
                    <a:xfrm>
                      <a:off x="0" y="0"/>
                      <a:ext cx="7267575" cy="27940"/>
                    </a:xfrm>
                    <a:prstGeom prst="rect">
                      <a:avLst/>
                    </a:prstGeom>
                    <a:noFill/>
                  </pic:spPr>
                </pic:pic>
              </a:graphicData>
            </a:graphic>
          </wp:anchor>
        </w:drawing>
        <w:t>ARTICLE 6 - NO ALIENATION OF BENEFITS; PAYEE DESIGNATION</w:t>
      </w:r>
    </w:p>
    <w:p>
      <w:pPr>
        <w:spacing w:after="0" w:line="177" w:lineRule="exact"/>
        <w:rPr>
          <w:sz w:val="20"/>
          <w:szCs w:val="20"/>
          <w:color w:val="auto"/>
        </w:rPr>
      </w:pPr>
    </w:p>
    <w:p>
      <w:pPr>
        <w:ind w:firstLine="456"/>
        <w:spacing w:after="0" w:line="288" w:lineRule="auto"/>
        <w:rPr>
          <w:sz w:val="20"/>
          <w:szCs w:val="20"/>
          <w:color w:val="auto"/>
        </w:rPr>
      </w:pPr>
      <w:r>
        <w:rPr>
          <w:rFonts w:ascii="Arial" w:cs="Arial" w:eastAsia="Arial" w:hAnsi="Arial"/>
          <w:sz w:val="16"/>
          <w:szCs w:val="16"/>
          <w:color w:val="auto"/>
        </w:rPr>
        <w:t>Except as otherwise required by applicable law, the right of any Participant or Beneficiary to any benefit or interest under any of the provisions of this Plan shall not be subject to encumbrance, attachment, execution, garnishment, assignment, pledge, alienation, sale, transfer, or anticipation, either by the voluntary or involuntary act of any Participant or any Participant’s Beneficiary or by operation of law, nor shall such payment, right, or interest be subject to any other legal or equitable process. However, subject to the terms and conditions of the Plan, a Participant or Beneficiary may direct that any amount payable pursuant to an Initial Election or a Subsequent Election on any date designated for payment be paid to any person or persons or legal entity or entities, including, but not limited to, an organization exempt from federal income tax under section 501(c)(3) of the Code, instead of to the Participant or Beneficiary. Such a payee designation shall be provided to the Administrator by the Participant or Beneficiary in writing on a form provided by the Administrator, and shall not be effective unless it is provided immediately preceding the time of payment. The Company’s payment pursuant to such a payee designation shall relieve the Company and its Affiliates of all liability for such payment.</w:t>
      </w:r>
    </w:p>
    <w:p>
      <w:pPr>
        <w:spacing w:after="0" w:line="276" w:lineRule="exact"/>
        <w:rPr>
          <w:sz w:val="20"/>
          <w:szCs w:val="20"/>
          <w:color w:val="auto"/>
        </w:rPr>
      </w:pPr>
    </w:p>
    <w:p>
      <w:pPr>
        <w:jc w:val="center"/>
        <w:ind w:right="-59"/>
        <w:spacing w:after="0"/>
        <w:rPr>
          <w:sz w:val="20"/>
          <w:szCs w:val="20"/>
          <w:color w:val="auto"/>
        </w:rPr>
      </w:pPr>
      <w:r>
        <w:rPr>
          <w:rFonts w:ascii="Arial" w:cs="Arial" w:eastAsia="Arial" w:hAnsi="Arial"/>
          <w:sz w:val="18"/>
          <w:szCs w:val="18"/>
          <w:b w:val="1"/>
          <w:bCs w:val="1"/>
          <w:color w:val="auto"/>
        </w:rPr>
        <w:t>ARTICLE 7 - DEATH OF PARTICIPANT</w:t>
      </w:r>
    </w:p>
    <w:p>
      <w:pPr>
        <w:spacing w:after="0" w:line="177" w:lineRule="exact"/>
        <w:rPr>
          <w:sz w:val="20"/>
          <w:szCs w:val="20"/>
          <w:color w:val="auto"/>
        </w:rPr>
      </w:pPr>
    </w:p>
    <w:p>
      <w:pPr>
        <w:ind w:right="60" w:firstLine="913"/>
        <w:spacing w:after="0" w:line="259" w:lineRule="auto"/>
        <w:rPr>
          <w:sz w:val="20"/>
          <w:szCs w:val="20"/>
          <w:color w:val="auto"/>
        </w:rPr>
      </w:pPr>
      <w:r>
        <w:rPr>
          <w:rFonts w:ascii="Arial" w:cs="Arial" w:eastAsia="Arial" w:hAnsi="Arial"/>
          <w:sz w:val="18"/>
          <w:szCs w:val="18"/>
          <w:color w:val="auto"/>
        </w:rPr>
        <w:t xml:space="preserve">7.1. </w:t>
      </w:r>
      <w:r>
        <w:rPr>
          <w:rFonts w:ascii="Arial" w:cs="Arial" w:eastAsia="Arial" w:hAnsi="Arial"/>
          <w:sz w:val="18"/>
          <w:szCs w:val="18"/>
          <w:u w:val="single" w:color="auto"/>
          <w:color w:val="auto"/>
        </w:rPr>
        <w:t>Death of Participant</w:t>
      </w:r>
      <w:r>
        <w:rPr>
          <w:rFonts w:ascii="Arial" w:cs="Arial" w:eastAsia="Arial" w:hAnsi="Arial"/>
          <w:sz w:val="18"/>
          <w:szCs w:val="18"/>
          <w:color w:val="auto"/>
        </w:rPr>
        <w:t>. A Deceased Participant’s Account shall be distributed in accordance with the last Initial Election or Subsequent Election made by the Deceased Participant before the Deceased Participant’s death, unless the Deceased Participant’s Surviving Spouse or other Beneficiary timely elects to accelerate or defer the time or change the manner of payment pursuant to Section 3.5.</w:t>
      </w:r>
    </w:p>
    <w:p>
      <w:pPr>
        <w:spacing w:after="0" w:line="140" w:lineRule="exact"/>
        <w:rPr>
          <w:sz w:val="20"/>
          <w:szCs w:val="20"/>
          <w:color w:val="auto"/>
        </w:rPr>
      </w:pPr>
    </w:p>
    <w:p>
      <w:pPr>
        <w:ind w:right="460" w:firstLine="913"/>
        <w:spacing w:after="0" w:line="298" w:lineRule="auto"/>
        <w:rPr>
          <w:sz w:val="20"/>
          <w:szCs w:val="20"/>
          <w:color w:val="auto"/>
        </w:rPr>
      </w:pPr>
      <w:r>
        <w:rPr>
          <w:rFonts w:ascii="Arial" w:cs="Arial" w:eastAsia="Arial" w:hAnsi="Arial"/>
          <w:sz w:val="16"/>
          <w:szCs w:val="16"/>
          <w:color w:val="auto"/>
        </w:rPr>
        <w:t xml:space="preserve">7.2. </w:t>
      </w:r>
      <w:r>
        <w:rPr>
          <w:rFonts w:ascii="Arial" w:cs="Arial" w:eastAsia="Arial" w:hAnsi="Arial"/>
          <w:sz w:val="16"/>
          <w:szCs w:val="16"/>
          <w:u w:val="single" w:color="auto"/>
          <w:color w:val="auto"/>
        </w:rPr>
        <w:t>Designation of Beneficiaries</w:t>
      </w:r>
      <w:r>
        <w:rPr>
          <w:rFonts w:ascii="Arial" w:cs="Arial" w:eastAsia="Arial" w:hAnsi="Arial"/>
          <w:sz w:val="16"/>
          <w:szCs w:val="16"/>
          <w:color w:val="auto"/>
        </w:rPr>
        <w:t>. Each Participant and Beneficiary shall have the right to designate one or more Beneficiaries to receive distributions in the event of the Participant’s or Beneficiary’s death by filing with the Administrator a Beneficiary designation on the form provided by the Administrator for such purpose. The designation of a Beneficiary or Beneficiaries may be changed by a Participant or Beneficiary at any time prior to such Participant’s or Beneficiary’s death by the delivery to the Administrator of a new Beneficiary designation form.</w:t>
      </w:r>
    </w:p>
    <w:p>
      <w:pPr>
        <w:spacing w:after="0" w:line="269" w:lineRule="exact"/>
        <w:rPr>
          <w:sz w:val="20"/>
          <w:szCs w:val="20"/>
          <w:color w:val="auto"/>
        </w:rPr>
      </w:pPr>
    </w:p>
    <w:p>
      <w:pPr>
        <w:jc w:val="center"/>
        <w:ind w:right="-59"/>
        <w:spacing w:after="0"/>
        <w:rPr>
          <w:sz w:val="20"/>
          <w:szCs w:val="20"/>
          <w:color w:val="auto"/>
        </w:rPr>
      </w:pPr>
      <w:r>
        <w:rPr>
          <w:rFonts w:ascii="Arial" w:cs="Arial" w:eastAsia="Arial" w:hAnsi="Arial"/>
          <w:sz w:val="18"/>
          <w:szCs w:val="18"/>
          <w:b w:val="1"/>
          <w:bCs w:val="1"/>
          <w:color w:val="auto"/>
        </w:rPr>
        <w:t>ARTICLE 8 - HARDSHIP DISTRIBUTIONS</w:t>
      </w:r>
    </w:p>
    <w:p>
      <w:pPr>
        <w:spacing w:after="0" w:line="177" w:lineRule="exact"/>
        <w:rPr>
          <w:sz w:val="20"/>
          <w:szCs w:val="20"/>
          <w:color w:val="auto"/>
        </w:rPr>
      </w:pPr>
    </w:p>
    <w:p>
      <w:pPr>
        <w:ind w:right="500" w:firstLine="456"/>
        <w:spacing w:after="0" w:line="332" w:lineRule="auto"/>
        <w:rPr>
          <w:sz w:val="20"/>
          <w:szCs w:val="20"/>
          <w:color w:val="auto"/>
        </w:rPr>
      </w:pPr>
      <w:r>
        <w:rPr>
          <w:rFonts w:ascii="Arial" w:cs="Arial" w:eastAsia="Arial" w:hAnsi="Arial"/>
          <w:sz w:val="16"/>
          <w:szCs w:val="16"/>
          <w:color w:val="auto"/>
        </w:rPr>
        <w:t>Notwithstanding the terms of an Initial Election or Subsequent Election, if, at the Participant’s request, the Board determines that the Participant has incurred a Hardship, the Board may, in its discretion, authorize the immediate distribution of all or any portion of the Participant’s Account.</w:t>
      </w:r>
    </w:p>
    <w:p>
      <w:pPr>
        <w:spacing w:after="0" w:line="241" w:lineRule="exact"/>
        <w:rPr>
          <w:sz w:val="20"/>
          <w:szCs w:val="20"/>
          <w:color w:val="auto"/>
        </w:rPr>
      </w:pPr>
    </w:p>
    <w:p>
      <w:pPr>
        <w:jc w:val="center"/>
        <w:ind w:right="-59"/>
        <w:spacing w:after="0"/>
        <w:rPr>
          <w:sz w:val="20"/>
          <w:szCs w:val="20"/>
          <w:color w:val="auto"/>
        </w:rPr>
      </w:pPr>
      <w:r>
        <w:rPr>
          <w:rFonts w:ascii="Arial" w:cs="Arial" w:eastAsia="Arial" w:hAnsi="Arial"/>
          <w:sz w:val="18"/>
          <w:szCs w:val="18"/>
          <w:b w:val="1"/>
          <w:bCs w:val="1"/>
          <w:color w:val="auto"/>
        </w:rPr>
        <w:t>ARTICLE 9 - INTERPRETATION</w:t>
      </w:r>
    </w:p>
    <w:p>
      <w:pPr>
        <w:spacing w:after="0" w:line="177" w:lineRule="exact"/>
        <w:rPr>
          <w:sz w:val="20"/>
          <w:szCs w:val="20"/>
          <w:color w:val="auto"/>
        </w:rPr>
      </w:pPr>
    </w:p>
    <w:p>
      <w:pPr>
        <w:ind w:right="260" w:firstLine="456"/>
        <w:spacing w:after="0" w:line="268" w:lineRule="auto"/>
        <w:rPr>
          <w:sz w:val="20"/>
          <w:szCs w:val="20"/>
          <w:color w:val="auto"/>
        </w:rPr>
      </w:pPr>
      <w:r>
        <w:rPr>
          <w:rFonts w:ascii="Arial" w:cs="Arial" w:eastAsia="Arial" w:hAnsi="Arial"/>
          <w:sz w:val="18"/>
          <w:szCs w:val="18"/>
          <w:color w:val="auto"/>
        </w:rPr>
        <w:t xml:space="preserve">9.1. </w:t>
      </w:r>
      <w:r>
        <w:rPr>
          <w:rFonts w:ascii="Arial" w:cs="Arial" w:eastAsia="Arial" w:hAnsi="Arial"/>
          <w:sz w:val="18"/>
          <w:szCs w:val="18"/>
          <w:u w:val="single" w:color="auto"/>
          <w:color w:val="auto"/>
        </w:rPr>
        <w:t>Authority of Committee</w:t>
      </w:r>
      <w:r>
        <w:rPr>
          <w:rFonts w:ascii="Arial" w:cs="Arial" w:eastAsia="Arial" w:hAnsi="Arial"/>
          <w:sz w:val="18"/>
          <w:szCs w:val="18"/>
          <w:color w:val="auto"/>
        </w:rPr>
        <w:t>. The Committee shall have full and exclusive authority to construe, interpret and administer this Plan and the Committee’s construction and interpretation thereof shall be binding and conclusive on all persons for all purposes.</w:t>
      </w:r>
    </w:p>
    <w:p>
      <w:pPr>
        <w:spacing w:after="0" w:line="118"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-19-</w:t>
      </w:r>
    </w:p>
    <w:p>
      <w:pPr>
        <w:sectPr>
          <w:pgSz w:w="11900" w:h="16838" w:orient="portrait"/>
          <w:cols w:equalWidth="0" w:num="1">
            <w:col w:w="11360"/>
          </w:cols>
          <w:pgMar w:left="240" w:top="274" w:right="299" w:bottom="1440" w:gutter="0" w:footer="0" w:header="0"/>
        </w:sectPr>
      </w:pPr>
    </w:p>
    <w:bookmarkStart w:id="71" w:name="page72"/>
    <w:bookmarkEnd w:id="71"/>
    <w:p>
      <w:pPr>
        <w:ind w:right="20" w:firstLine="456"/>
        <w:spacing w:after="0" w:line="259"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82" name="Picture 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
                    <pic:cNvPicPr>
                      <a:picLocks noChangeAspect="1" noChangeArrowheads="1"/>
                    </pic:cNvPicPr>
                  </pic:nvPicPr>
                  <pic:blipFill>
                    <a:blip r:embed="rId89">
                      <a:extLst>
                        <a:ext uri="{28A0092B-C50C-407E-A947-70E740481C1C}"/>
                      </a:extLst>
                    </a:blip>
                    <a:srcRect/>
                    <a:stretch>
                      <a:fillRect/>
                    </a:stretch>
                  </pic:blipFill>
                  <pic:spPr bwMode="auto">
                    <a:xfrm>
                      <a:off x="0" y="0"/>
                      <a:ext cx="7267575" cy="27940"/>
                    </a:xfrm>
                    <a:prstGeom prst="rect">
                      <a:avLst/>
                    </a:prstGeom>
                    <a:noFill/>
                  </pic:spPr>
                </pic:pic>
              </a:graphicData>
            </a:graphic>
          </wp:anchor>
        </w:drawing>
        <w:t xml:space="preserve">9.2. </w:t>
      </w:r>
      <w:r>
        <w:rPr>
          <w:rFonts w:ascii="Arial" w:cs="Arial" w:eastAsia="Arial" w:hAnsi="Arial"/>
          <w:sz w:val="18"/>
          <w:szCs w:val="18"/>
          <w:u w:val="single" w:color="auto"/>
          <w:color w:val="auto"/>
        </w:rPr>
        <w:t>Claims Procedure</w:t>
      </w:r>
      <w:r>
        <w:rPr>
          <w:rFonts w:ascii="Arial" w:cs="Arial" w:eastAsia="Arial" w:hAnsi="Arial"/>
          <w:sz w:val="18"/>
          <w:szCs w:val="18"/>
          <w:color w:val="auto"/>
        </w:rPr>
        <w:t>. If an individual (hereinafter referred to as the “Applicant,” which reference shall include the legal representative, if any, of the individual) does not receive timely payment of benefits to which the Applicant believes he is entitled under the Plan, the Applicant may make a claim for benefits in the manner hereinafter provided.</w:t>
      </w:r>
    </w:p>
    <w:p>
      <w:pPr>
        <w:spacing w:after="0" w:line="140" w:lineRule="exact"/>
        <w:rPr>
          <w:sz w:val="20"/>
          <w:szCs w:val="20"/>
          <w:color w:val="auto"/>
        </w:rPr>
      </w:pPr>
    </w:p>
    <w:p>
      <w:pPr>
        <w:ind w:firstLine="456"/>
        <w:spacing w:after="0" w:line="268" w:lineRule="auto"/>
        <w:rPr>
          <w:sz w:val="20"/>
          <w:szCs w:val="20"/>
          <w:color w:val="auto"/>
        </w:rPr>
      </w:pPr>
      <w:r>
        <w:rPr>
          <w:rFonts w:ascii="Arial" w:cs="Arial" w:eastAsia="Arial" w:hAnsi="Arial"/>
          <w:sz w:val="18"/>
          <w:szCs w:val="18"/>
          <w:color w:val="auto"/>
        </w:rPr>
        <w:t>An Applicant may file a claim for benefits with the Administrator on a form supplied by the Administrator. If the Administrator wholly or partially denies a claim, the Administrator shall provide the Applicant with a written notice stating:</w:t>
      </w:r>
    </w:p>
    <w:p>
      <w:pPr>
        <w:spacing w:after="0" w:line="51" w:lineRule="exact"/>
        <w:rPr>
          <w:sz w:val="20"/>
          <w:szCs w:val="20"/>
          <w:color w:val="auto"/>
        </w:rPr>
      </w:pPr>
    </w:p>
    <w:p>
      <w:pPr>
        <w:ind w:left="1160" w:hanging="239"/>
        <w:spacing w:after="0"/>
        <w:tabs>
          <w:tab w:leader="none" w:pos="1160" w:val="left"/>
        </w:tabs>
        <w:numPr>
          <w:ilvl w:val="0"/>
          <w:numId w:val="79"/>
        </w:numPr>
        <w:rPr>
          <w:rFonts w:ascii="Arial" w:cs="Arial" w:eastAsia="Arial" w:hAnsi="Arial"/>
          <w:sz w:val="18"/>
          <w:szCs w:val="18"/>
          <w:color w:val="auto"/>
        </w:rPr>
      </w:pPr>
      <w:r>
        <w:rPr>
          <w:rFonts w:ascii="Arial" w:cs="Arial" w:eastAsia="Arial" w:hAnsi="Arial"/>
          <w:sz w:val="18"/>
          <w:szCs w:val="18"/>
          <w:color w:val="auto"/>
        </w:rPr>
        <w:t>The specific reason or reasons for the denial;</w:t>
      </w:r>
    </w:p>
    <w:p>
      <w:pPr>
        <w:spacing w:after="0" w:line="171" w:lineRule="exact"/>
        <w:rPr>
          <w:rFonts w:ascii="Arial" w:cs="Arial" w:eastAsia="Arial" w:hAnsi="Arial"/>
          <w:sz w:val="18"/>
          <w:szCs w:val="18"/>
          <w:color w:val="auto"/>
        </w:rPr>
      </w:pPr>
    </w:p>
    <w:p>
      <w:pPr>
        <w:ind w:left="1160" w:hanging="239"/>
        <w:spacing w:after="0"/>
        <w:tabs>
          <w:tab w:leader="none" w:pos="1160" w:val="left"/>
        </w:tabs>
        <w:numPr>
          <w:ilvl w:val="0"/>
          <w:numId w:val="79"/>
        </w:numPr>
        <w:rPr>
          <w:rFonts w:ascii="Arial" w:cs="Arial" w:eastAsia="Arial" w:hAnsi="Arial"/>
          <w:sz w:val="18"/>
          <w:szCs w:val="18"/>
          <w:color w:val="auto"/>
        </w:rPr>
      </w:pPr>
      <w:r>
        <w:rPr>
          <w:rFonts w:ascii="Arial" w:cs="Arial" w:eastAsia="Arial" w:hAnsi="Arial"/>
          <w:sz w:val="18"/>
          <w:szCs w:val="18"/>
          <w:color w:val="auto"/>
        </w:rPr>
        <w:t>Specific reference to pertinent Plan provisions on which the denial is based;</w:t>
      </w:r>
    </w:p>
    <w:p>
      <w:pPr>
        <w:spacing w:after="0" w:line="171" w:lineRule="exact"/>
        <w:rPr>
          <w:rFonts w:ascii="Arial" w:cs="Arial" w:eastAsia="Arial" w:hAnsi="Arial"/>
          <w:sz w:val="18"/>
          <w:szCs w:val="18"/>
          <w:color w:val="auto"/>
        </w:rPr>
      </w:pPr>
    </w:p>
    <w:p>
      <w:pPr>
        <w:ind w:right="100" w:firstLine="921"/>
        <w:spacing w:after="0" w:line="268" w:lineRule="auto"/>
        <w:tabs>
          <w:tab w:leader="none" w:pos="1152" w:val="left"/>
        </w:tabs>
        <w:numPr>
          <w:ilvl w:val="0"/>
          <w:numId w:val="79"/>
        </w:numPr>
        <w:rPr>
          <w:rFonts w:ascii="Arial" w:cs="Arial" w:eastAsia="Arial" w:hAnsi="Arial"/>
          <w:sz w:val="18"/>
          <w:szCs w:val="18"/>
          <w:color w:val="auto"/>
        </w:rPr>
      </w:pPr>
      <w:r>
        <w:rPr>
          <w:rFonts w:ascii="Arial" w:cs="Arial" w:eastAsia="Arial" w:hAnsi="Arial"/>
          <w:sz w:val="18"/>
          <w:szCs w:val="18"/>
          <w:color w:val="auto"/>
        </w:rPr>
        <w:t>A description of any additional material or information necessary for the Applicant to perfect the claim and an explanation of why such material or information is necessary; and</w:t>
      </w:r>
    </w:p>
    <w:p>
      <w:pPr>
        <w:spacing w:after="0" w:line="131" w:lineRule="exact"/>
        <w:rPr>
          <w:rFonts w:ascii="Arial" w:cs="Arial" w:eastAsia="Arial" w:hAnsi="Arial"/>
          <w:sz w:val="18"/>
          <w:szCs w:val="18"/>
          <w:color w:val="auto"/>
        </w:rPr>
      </w:pPr>
    </w:p>
    <w:p>
      <w:pPr>
        <w:ind w:left="1160" w:hanging="239"/>
        <w:spacing w:after="0"/>
        <w:tabs>
          <w:tab w:leader="none" w:pos="1160" w:val="left"/>
        </w:tabs>
        <w:numPr>
          <w:ilvl w:val="0"/>
          <w:numId w:val="79"/>
        </w:numPr>
        <w:rPr>
          <w:rFonts w:ascii="Arial" w:cs="Arial" w:eastAsia="Arial" w:hAnsi="Arial"/>
          <w:sz w:val="18"/>
          <w:szCs w:val="18"/>
          <w:color w:val="auto"/>
        </w:rPr>
      </w:pPr>
      <w:r>
        <w:rPr>
          <w:rFonts w:ascii="Arial" w:cs="Arial" w:eastAsia="Arial" w:hAnsi="Arial"/>
          <w:sz w:val="18"/>
          <w:szCs w:val="18"/>
          <w:color w:val="auto"/>
        </w:rPr>
        <w:t>Appropriate information as to the steps to be taken in order to submit a claim for review.</w:t>
      </w:r>
    </w:p>
    <w:p>
      <w:pPr>
        <w:spacing w:after="0" w:line="171" w:lineRule="exact"/>
        <w:rPr>
          <w:sz w:val="20"/>
          <w:szCs w:val="20"/>
          <w:color w:val="auto"/>
        </w:rPr>
      </w:pPr>
    </w:p>
    <w:p>
      <w:pPr>
        <w:ind w:right="280"/>
        <w:spacing w:after="0" w:line="259" w:lineRule="auto"/>
        <w:rPr>
          <w:sz w:val="20"/>
          <w:szCs w:val="20"/>
          <w:color w:val="auto"/>
        </w:rPr>
      </w:pPr>
      <w:r>
        <w:rPr>
          <w:rFonts w:ascii="Arial" w:cs="Arial" w:eastAsia="Arial" w:hAnsi="Arial"/>
          <w:sz w:val="18"/>
          <w:szCs w:val="18"/>
          <w:color w:val="auto"/>
        </w:rPr>
        <w:t>Written notice of a denial of a claim shall be provided within 90 days of the receipt of the claim, provided that if special circumstances require an extension of time for processing the claim, the Administrator may notify the Applicant in writing that an additional period of up to 90 days will be required to process the claim.</w:t>
      </w:r>
    </w:p>
    <w:p>
      <w:pPr>
        <w:spacing w:after="0" w:line="140" w:lineRule="exact"/>
        <w:rPr>
          <w:sz w:val="20"/>
          <w:szCs w:val="20"/>
          <w:color w:val="auto"/>
        </w:rPr>
      </w:pPr>
    </w:p>
    <w:p>
      <w:pPr>
        <w:ind w:firstLine="456"/>
        <w:spacing w:after="0" w:line="254" w:lineRule="auto"/>
        <w:rPr>
          <w:sz w:val="20"/>
          <w:szCs w:val="20"/>
          <w:color w:val="auto"/>
        </w:rPr>
      </w:pPr>
      <w:r>
        <w:rPr>
          <w:rFonts w:ascii="Arial" w:cs="Arial" w:eastAsia="Arial" w:hAnsi="Arial"/>
          <w:sz w:val="18"/>
          <w:szCs w:val="18"/>
          <w:color w:val="auto"/>
        </w:rPr>
        <w:t>If the Applicant’s claim is denied, the Applicant shall have 60 days from the date of receipt of written notice of the denial of the claim to request a review of the denial of the claim by the Administrator. Request for review of the denial of a claim must be submitted in writing. The Applicant shall have the right to review pertinent documents and submit issues and comments to the Administrator in writing. The Administrator shall provide a written decision within 60 days of its receipt of the Applicant’s request for review, provided that if special circumstances require an extension of time for processing the review of the Applicant’s claim, the Administrator may notify the Applicant in writing that an additional period of up to 60 days shall be required to process the Applicant’s request for review.</w:t>
      </w:r>
    </w:p>
    <w:p>
      <w:pPr>
        <w:spacing w:after="0" w:line="144" w:lineRule="exact"/>
        <w:rPr>
          <w:sz w:val="20"/>
          <w:szCs w:val="20"/>
          <w:color w:val="auto"/>
        </w:rPr>
      </w:pPr>
    </w:p>
    <w:p>
      <w:pPr>
        <w:ind w:right="220" w:firstLine="456"/>
        <w:spacing w:after="0" w:line="268" w:lineRule="auto"/>
        <w:rPr>
          <w:sz w:val="20"/>
          <w:szCs w:val="20"/>
          <w:color w:val="auto"/>
        </w:rPr>
      </w:pPr>
      <w:r>
        <w:rPr>
          <w:rFonts w:ascii="Arial" w:cs="Arial" w:eastAsia="Arial" w:hAnsi="Arial"/>
          <w:sz w:val="18"/>
          <w:szCs w:val="18"/>
          <w:color w:val="auto"/>
        </w:rPr>
        <w:t>It is intended that the claims procedures of this Plan be administered in accordance with the claims procedure regulations of the Department of Labor set forth in 29 CFR § 2560.503-1.</w:t>
      </w:r>
    </w:p>
    <w:p>
      <w:pPr>
        <w:spacing w:after="0" w:line="132" w:lineRule="exact"/>
        <w:rPr>
          <w:sz w:val="20"/>
          <w:szCs w:val="20"/>
          <w:color w:val="auto"/>
        </w:rPr>
      </w:pPr>
    </w:p>
    <w:p>
      <w:pPr>
        <w:ind w:left="460"/>
        <w:spacing w:after="0"/>
        <w:rPr>
          <w:sz w:val="20"/>
          <w:szCs w:val="20"/>
          <w:color w:val="auto"/>
        </w:rPr>
      </w:pPr>
      <w:r>
        <w:rPr>
          <w:rFonts w:ascii="Arial" w:cs="Arial" w:eastAsia="Arial" w:hAnsi="Arial"/>
          <w:sz w:val="18"/>
          <w:szCs w:val="18"/>
          <w:color w:val="auto"/>
        </w:rPr>
        <w:t>Claims for benefits under the Plan must be filed with the Administrator at the following address:</w:t>
      </w:r>
    </w:p>
    <w:p>
      <w:pPr>
        <w:spacing w:after="0" w:line="90" w:lineRule="exact"/>
        <w:rPr>
          <w:sz w:val="20"/>
          <w:szCs w:val="20"/>
          <w:color w:val="auto"/>
        </w:rPr>
      </w:pPr>
    </w:p>
    <w:p>
      <w:pPr>
        <w:ind w:left="460"/>
        <w:spacing w:after="0"/>
        <w:rPr>
          <w:sz w:val="20"/>
          <w:szCs w:val="20"/>
          <w:color w:val="auto"/>
        </w:rPr>
      </w:pPr>
      <w:r>
        <w:rPr>
          <w:rFonts w:ascii="Arial" w:cs="Arial" w:eastAsia="Arial" w:hAnsi="Arial"/>
          <w:sz w:val="18"/>
          <w:szCs w:val="18"/>
          <w:color w:val="auto"/>
        </w:rPr>
        <w:t>Comcast Corporation</w:t>
      </w:r>
    </w:p>
    <w:p>
      <w:pPr>
        <w:spacing w:after="0" w:line="15" w:lineRule="exact"/>
        <w:rPr>
          <w:sz w:val="20"/>
          <w:szCs w:val="20"/>
          <w:color w:val="auto"/>
        </w:rPr>
      </w:pPr>
    </w:p>
    <w:p>
      <w:pPr>
        <w:ind w:left="460"/>
        <w:spacing w:after="0"/>
        <w:rPr>
          <w:sz w:val="20"/>
          <w:szCs w:val="20"/>
          <w:color w:val="auto"/>
        </w:rPr>
      </w:pPr>
      <w:r>
        <w:rPr>
          <w:rFonts w:ascii="Arial" w:cs="Arial" w:eastAsia="Arial" w:hAnsi="Arial"/>
          <w:sz w:val="18"/>
          <w:szCs w:val="18"/>
          <w:color w:val="auto"/>
        </w:rPr>
        <w:t>1500 Market Street</w:t>
      </w:r>
    </w:p>
    <w:p>
      <w:pPr>
        <w:spacing w:after="0" w:line="9" w:lineRule="exact"/>
        <w:rPr>
          <w:sz w:val="20"/>
          <w:szCs w:val="20"/>
          <w:color w:val="auto"/>
        </w:rPr>
      </w:pPr>
    </w:p>
    <w:p>
      <w:pPr>
        <w:ind w:left="460"/>
        <w:spacing w:after="0"/>
        <w:rPr>
          <w:sz w:val="20"/>
          <w:szCs w:val="20"/>
          <w:color w:val="auto"/>
        </w:rPr>
      </w:pPr>
      <w:r>
        <w:rPr>
          <w:rFonts w:ascii="Arial" w:cs="Arial" w:eastAsia="Arial" w:hAnsi="Arial"/>
          <w:sz w:val="18"/>
          <w:szCs w:val="18"/>
          <w:color w:val="auto"/>
        </w:rPr>
        <w:t>Philadelphia, PA 19102</w:t>
      </w:r>
    </w:p>
    <w:p>
      <w:pPr>
        <w:spacing w:after="0" w:line="9" w:lineRule="exact"/>
        <w:rPr>
          <w:sz w:val="20"/>
          <w:szCs w:val="20"/>
          <w:color w:val="auto"/>
        </w:rPr>
      </w:pPr>
    </w:p>
    <w:p>
      <w:pPr>
        <w:ind w:left="460"/>
        <w:spacing w:after="0"/>
        <w:rPr>
          <w:sz w:val="20"/>
          <w:szCs w:val="20"/>
          <w:color w:val="auto"/>
        </w:rPr>
      </w:pPr>
      <w:r>
        <w:rPr>
          <w:rFonts w:ascii="Arial" w:cs="Arial" w:eastAsia="Arial" w:hAnsi="Arial"/>
          <w:sz w:val="18"/>
          <w:szCs w:val="18"/>
          <w:color w:val="auto"/>
        </w:rPr>
        <w:t>Attention: General Counsel</w:t>
      </w:r>
    </w:p>
    <w:p>
      <w:pPr>
        <w:spacing w:after="0" w:line="15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-20-</w:t>
      </w:r>
    </w:p>
    <w:p>
      <w:pPr>
        <w:sectPr>
          <w:pgSz w:w="11900" w:h="16838" w:orient="portrait"/>
          <w:cols w:equalWidth="0" w:num="1">
            <w:col w:w="11400"/>
          </w:cols>
          <w:pgMar w:left="240" w:top="280" w:right="259" w:bottom="1440" w:gutter="0" w:footer="0" w:header="0"/>
        </w:sectPr>
      </w:pPr>
    </w:p>
    <w:bookmarkStart w:id="72" w:name="page73"/>
    <w:bookmarkEnd w:id="72"/>
    <w:p>
      <w:pPr>
        <w:jc w:val="center"/>
        <w:ind w:right="-19"/>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83" name="Picture 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3"/>
                    <pic:cNvPicPr>
                      <a:picLocks noChangeAspect="1" noChangeArrowheads="1"/>
                    </pic:cNvPicPr>
                  </pic:nvPicPr>
                  <pic:blipFill>
                    <a:blip r:embed="rId90">
                      <a:extLst>
                        <a:ext uri="{28A0092B-C50C-407E-A947-70E740481C1C}"/>
                      </a:extLst>
                    </a:blip>
                    <a:srcRect/>
                    <a:stretch>
                      <a:fillRect/>
                    </a:stretch>
                  </pic:blipFill>
                  <pic:spPr bwMode="auto">
                    <a:xfrm>
                      <a:off x="0" y="0"/>
                      <a:ext cx="7267575" cy="27940"/>
                    </a:xfrm>
                    <a:prstGeom prst="rect">
                      <a:avLst/>
                    </a:prstGeom>
                    <a:noFill/>
                  </pic:spPr>
                </pic:pic>
              </a:graphicData>
            </a:graphic>
          </wp:anchor>
        </w:drawing>
        <w:t>ARTICLE 10 - AMENDMENT OR TERMINATION</w:t>
      </w:r>
    </w:p>
    <w:p>
      <w:pPr>
        <w:spacing w:after="0" w:line="177" w:lineRule="exact"/>
        <w:rPr>
          <w:sz w:val="20"/>
          <w:szCs w:val="20"/>
          <w:color w:val="auto"/>
        </w:rPr>
      </w:pPr>
    </w:p>
    <w:p>
      <w:pPr>
        <w:jc w:val="both"/>
        <w:ind w:right="40" w:firstLine="456"/>
        <w:spacing w:after="0" w:line="259" w:lineRule="auto"/>
        <w:rPr>
          <w:sz w:val="20"/>
          <w:szCs w:val="20"/>
          <w:color w:val="auto"/>
        </w:rPr>
      </w:pPr>
      <w:r>
        <w:rPr>
          <w:rFonts w:ascii="Arial" w:cs="Arial" w:eastAsia="Arial" w:hAnsi="Arial"/>
          <w:sz w:val="18"/>
          <w:szCs w:val="18"/>
          <w:color w:val="auto"/>
        </w:rPr>
        <w:t xml:space="preserve">10.1. </w:t>
      </w:r>
      <w:r>
        <w:rPr>
          <w:rFonts w:ascii="Arial" w:cs="Arial" w:eastAsia="Arial" w:hAnsi="Arial"/>
          <w:sz w:val="18"/>
          <w:szCs w:val="18"/>
          <w:u w:val="single" w:color="auto"/>
          <w:color w:val="auto"/>
        </w:rPr>
        <w:t>Amendment or Termination</w:t>
      </w:r>
      <w:r>
        <w:rPr>
          <w:rFonts w:ascii="Arial" w:cs="Arial" w:eastAsia="Arial" w:hAnsi="Arial"/>
          <w:sz w:val="18"/>
          <w:szCs w:val="18"/>
          <w:color w:val="auto"/>
        </w:rPr>
        <w:t>. Except as otherwise provided by Section 10.2, the Company, by action of the Board or by action of the Committee, shall have the right at any time, or from time to time, to amend or modify this Plan. The Company, by action of the Board, shall have the right to terminate this Plan at any time.</w:t>
      </w:r>
    </w:p>
    <w:p>
      <w:pPr>
        <w:spacing w:after="0" w:line="140" w:lineRule="exact"/>
        <w:rPr>
          <w:sz w:val="20"/>
          <w:szCs w:val="20"/>
          <w:color w:val="auto"/>
        </w:rPr>
      </w:pPr>
    </w:p>
    <w:p>
      <w:pPr>
        <w:ind w:right="40" w:firstLine="456"/>
        <w:spacing w:after="0" w:line="294" w:lineRule="auto"/>
        <w:rPr>
          <w:sz w:val="20"/>
          <w:szCs w:val="20"/>
          <w:color w:val="auto"/>
        </w:rPr>
      </w:pPr>
      <w:r>
        <w:rPr>
          <w:rFonts w:ascii="Arial" w:cs="Arial" w:eastAsia="Arial" w:hAnsi="Arial"/>
          <w:sz w:val="16"/>
          <w:szCs w:val="16"/>
          <w:color w:val="auto"/>
        </w:rPr>
        <w:t xml:space="preserve">10.2. </w:t>
      </w:r>
      <w:r>
        <w:rPr>
          <w:rFonts w:ascii="Arial" w:cs="Arial" w:eastAsia="Arial" w:hAnsi="Arial"/>
          <w:sz w:val="16"/>
          <w:szCs w:val="16"/>
          <w:u w:val="single" w:color="auto"/>
          <w:color w:val="auto"/>
        </w:rPr>
        <w:t>Amendment of Rate of Credited Earnings</w:t>
      </w:r>
      <w:r>
        <w:rPr>
          <w:rFonts w:ascii="Arial" w:cs="Arial" w:eastAsia="Arial" w:hAnsi="Arial"/>
          <w:sz w:val="16"/>
          <w:szCs w:val="16"/>
          <w:color w:val="auto"/>
        </w:rPr>
        <w:t>. No amendment shall change the Applicable Interest Rate with respect to the portion of a Participant’s Account that is attributable to an Initial Election or Subsequent Election made with respect to Compensation earned in a calendar year and filed with the Administrator before the date of adoption of such amendment by the Board. For purposes of this Section 10.2, a Subsequent Election to defer the payment of part or all of an Account for an additional period after a previously-elected payment date (as described in Section 3.5) shall be treated as a separate Subsequent Election from any previous Initial Election or Subsequent Election with respect to such Account.</w:t>
      </w:r>
    </w:p>
    <w:p>
      <w:pPr>
        <w:spacing w:after="0" w:line="272"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ARTICLE 11 - WITHHOLDING OF TAXES</w:t>
      </w:r>
    </w:p>
    <w:p>
      <w:pPr>
        <w:spacing w:after="0" w:line="177" w:lineRule="exact"/>
        <w:rPr>
          <w:sz w:val="20"/>
          <w:szCs w:val="20"/>
          <w:color w:val="auto"/>
        </w:rPr>
      </w:pPr>
    </w:p>
    <w:p>
      <w:pPr>
        <w:ind w:firstLine="456"/>
        <w:spacing w:after="0" w:line="290" w:lineRule="auto"/>
        <w:rPr>
          <w:sz w:val="20"/>
          <w:szCs w:val="20"/>
          <w:color w:val="auto"/>
        </w:rPr>
      </w:pPr>
      <w:r>
        <w:rPr>
          <w:rFonts w:ascii="Arial" w:cs="Arial" w:eastAsia="Arial" w:hAnsi="Arial"/>
          <w:sz w:val="16"/>
          <w:szCs w:val="16"/>
          <w:color w:val="auto"/>
        </w:rPr>
        <w:t>Whenever the Participating Company is required to credit deferred Compensation to the Account of a Participant, the Participating Company shall have the right to require the Participant to remit to the Participating Company an amount sufficient to satisfy any federal, state and local withholding tax requirements prior to the date on which the deferred Compensation shall be deemed credited to the Account of the Participant, or take any action whatever that it deems necessary to protect its interests with respect to tax liabilities. The Participating Company’s obligation to credit deferred Compensation to an Account shall be conditioned on the Participant’s compliance, to the Participating Company’s satisfaction, with any withholding requirement. To the maximum extent possible, the Participating Company shall satisfy all applicable withholding tax requirements by withholding tax from other Compensation payable by the Participating Company to the Participant, or by the Participant’s delivery of cash to the Participating Company in an amount equal to the applicable withholding tax.</w:t>
      </w:r>
    </w:p>
    <w:p>
      <w:pPr>
        <w:spacing w:after="0" w:line="274"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ARTICLE 12 - MISCELLANEOUS PROVISIONS</w:t>
      </w:r>
    </w:p>
    <w:p>
      <w:pPr>
        <w:spacing w:after="0" w:line="177" w:lineRule="exact"/>
        <w:rPr>
          <w:sz w:val="20"/>
          <w:szCs w:val="20"/>
          <w:color w:val="auto"/>
        </w:rPr>
      </w:pPr>
    </w:p>
    <w:p>
      <w:pPr>
        <w:ind w:right="80" w:firstLine="456"/>
        <w:spacing w:after="0" w:line="268" w:lineRule="auto"/>
        <w:rPr>
          <w:sz w:val="20"/>
          <w:szCs w:val="20"/>
          <w:color w:val="auto"/>
        </w:rPr>
      </w:pPr>
      <w:r>
        <w:rPr>
          <w:rFonts w:ascii="Arial" w:cs="Arial" w:eastAsia="Arial" w:hAnsi="Arial"/>
          <w:sz w:val="18"/>
          <w:szCs w:val="18"/>
          <w:color w:val="auto"/>
        </w:rPr>
        <w:t xml:space="preserve">12.1. </w:t>
      </w:r>
      <w:r>
        <w:rPr>
          <w:rFonts w:ascii="Arial" w:cs="Arial" w:eastAsia="Arial" w:hAnsi="Arial"/>
          <w:sz w:val="18"/>
          <w:szCs w:val="18"/>
          <w:u w:val="single" w:color="auto"/>
          <w:color w:val="auto"/>
        </w:rPr>
        <w:t>No Right to Continued Employment</w:t>
      </w:r>
      <w:r>
        <w:rPr>
          <w:rFonts w:ascii="Arial" w:cs="Arial" w:eastAsia="Arial" w:hAnsi="Arial"/>
          <w:sz w:val="18"/>
          <w:szCs w:val="18"/>
          <w:color w:val="auto"/>
        </w:rPr>
        <w:t>. Nothing contained herein shall be construed as conferring upon any Participant the right to remain in service as an Outside Director or in the employment of a Participating Company as an executive or in any other capacity.</w:t>
      </w:r>
    </w:p>
    <w:p>
      <w:pPr>
        <w:spacing w:after="0" w:line="132" w:lineRule="exact"/>
        <w:rPr>
          <w:sz w:val="20"/>
          <w:szCs w:val="20"/>
          <w:color w:val="auto"/>
        </w:rPr>
      </w:pPr>
    </w:p>
    <w:p>
      <w:pPr>
        <w:ind w:left="460"/>
        <w:spacing w:after="0"/>
        <w:rPr>
          <w:sz w:val="20"/>
          <w:szCs w:val="20"/>
          <w:color w:val="auto"/>
        </w:rPr>
      </w:pPr>
      <w:r>
        <w:rPr>
          <w:rFonts w:ascii="Arial" w:cs="Arial" w:eastAsia="Arial" w:hAnsi="Arial"/>
          <w:sz w:val="18"/>
          <w:szCs w:val="18"/>
          <w:color w:val="auto"/>
        </w:rPr>
        <w:t xml:space="preserve">12.2. </w:t>
      </w:r>
      <w:r>
        <w:rPr>
          <w:rFonts w:ascii="Arial" w:cs="Arial" w:eastAsia="Arial" w:hAnsi="Arial"/>
          <w:sz w:val="18"/>
          <w:szCs w:val="18"/>
          <w:u w:val="single" w:color="auto"/>
          <w:color w:val="auto"/>
        </w:rPr>
        <w:t>Expenses of Plan</w:t>
      </w:r>
      <w:r>
        <w:rPr>
          <w:rFonts w:ascii="Arial" w:cs="Arial" w:eastAsia="Arial" w:hAnsi="Arial"/>
          <w:sz w:val="18"/>
          <w:szCs w:val="18"/>
          <w:color w:val="auto"/>
        </w:rPr>
        <w:t>. All expenses of the Plan shall be paid by the Participating Companies.</w:t>
      </w:r>
    </w:p>
    <w:p>
      <w:pPr>
        <w:spacing w:after="0" w:line="171" w:lineRule="exact"/>
        <w:rPr>
          <w:sz w:val="20"/>
          <w:szCs w:val="20"/>
          <w:color w:val="auto"/>
        </w:rPr>
      </w:pPr>
    </w:p>
    <w:p>
      <w:pPr>
        <w:ind w:right="100" w:firstLine="456"/>
        <w:spacing w:after="0" w:line="332" w:lineRule="auto"/>
        <w:rPr>
          <w:sz w:val="20"/>
          <w:szCs w:val="20"/>
          <w:color w:val="auto"/>
        </w:rPr>
      </w:pPr>
      <w:r>
        <w:rPr>
          <w:rFonts w:ascii="Arial" w:cs="Arial" w:eastAsia="Arial" w:hAnsi="Arial"/>
          <w:sz w:val="16"/>
          <w:szCs w:val="16"/>
          <w:color w:val="auto"/>
        </w:rPr>
        <w:t xml:space="preserve">12.3. </w:t>
      </w:r>
      <w:r>
        <w:rPr>
          <w:rFonts w:ascii="Arial" w:cs="Arial" w:eastAsia="Arial" w:hAnsi="Arial"/>
          <w:sz w:val="16"/>
          <w:szCs w:val="16"/>
          <w:u w:val="single" w:color="auto"/>
          <w:color w:val="auto"/>
        </w:rPr>
        <w:t>Gender and Number</w:t>
      </w:r>
      <w:r>
        <w:rPr>
          <w:rFonts w:ascii="Arial" w:cs="Arial" w:eastAsia="Arial" w:hAnsi="Arial"/>
          <w:sz w:val="16"/>
          <w:szCs w:val="16"/>
          <w:color w:val="auto"/>
        </w:rPr>
        <w:t xml:space="preserve">. Whenever any words are used herein in any specific gender, they shall be construed as though they were also used in any other applicable gender. The singular form, whenever used herein, shall mean or include the plural form, and </w:t>
      </w:r>
      <w:r>
        <w:rPr>
          <w:rFonts w:ascii="Arial" w:cs="Arial" w:eastAsia="Arial" w:hAnsi="Arial"/>
          <w:sz w:val="16"/>
          <w:szCs w:val="16"/>
          <w:i w:val="1"/>
          <w:iCs w:val="1"/>
          <w:color w:val="auto"/>
        </w:rPr>
        <w:t>vice versa</w:t>
      </w:r>
      <w:r>
        <w:rPr>
          <w:rFonts w:ascii="Arial" w:cs="Arial" w:eastAsia="Arial" w:hAnsi="Arial"/>
          <w:sz w:val="16"/>
          <w:szCs w:val="16"/>
          <w:color w:val="auto"/>
        </w:rPr>
        <w:t>, as the context may require.</w:t>
      </w:r>
    </w:p>
    <w:p>
      <w:pPr>
        <w:spacing w:after="0" w:line="85" w:lineRule="exact"/>
        <w:rPr>
          <w:sz w:val="20"/>
          <w:szCs w:val="20"/>
          <w:color w:val="auto"/>
        </w:rPr>
      </w:pPr>
    </w:p>
    <w:p>
      <w:pPr>
        <w:ind w:right="180" w:firstLine="456"/>
        <w:spacing w:after="0" w:line="259" w:lineRule="auto"/>
        <w:rPr>
          <w:sz w:val="20"/>
          <w:szCs w:val="20"/>
          <w:color w:val="auto"/>
        </w:rPr>
      </w:pPr>
      <w:r>
        <w:rPr>
          <w:rFonts w:ascii="Arial" w:cs="Arial" w:eastAsia="Arial" w:hAnsi="Arial"/>
          <w:sz w:val="18"/>
          <w:szCs w:val="18"/>
          <w:color w:val="auto"/>
        </w:rPr>
        <w:t xml:space="preserve">12.4. </w:t>
      </w:r>
      <w:r>
        <w:rPr>
          <w:rFonts w:ascii="Arial" w:cs="Arial" w:eastAsia="Arial" w:hAnsi="Arial"/>
          <w:sz w:val="18"/>
          <w:szCs w:val="18"/>
          <w:u w:val="single" w:color="auto"/>
          <w:color w:val="auto"/>
        </w:rPr>
        <w:t>Law Governing Construction</w:t>
      </w:r>
      <w:r>
        <w:rPr>
          <w:rFonts w:ascii="Arial" w:cs="Arial" w:eastAsia="Arial" w:hAnsi="Arial"/>
          <w:sz w:val="18"/>
          <w:szCs w:val="18"/>
          <w:color w:val="auto"/>
        </w:rPr>
        <w:t>. The construction and administration of the Plan and all questions pertaining thereto, shall be governed by the Employee Retirement Income Security Act of 1974, as amended (“ERISA”), and other applicable federal law and, to the extent not governed by federal law, by the laws of the Commonwealth of Pennsylvania.</w:t>
      </w:r>
    </w:p>
    <w:p>
      <w:pPr>
        <w:spacing w:after="0" w:line="12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-21-</w:t>
      </w:r>
    </w:p>
    <w:p>
      <w:pPr>
        <w:sectPr>
          <w:pgSz w:w="11900" w:h="16838" w:orient="portrait"/>
          <w:cols w:equalWidth="0" w:num="1">
            <w:col w:w="11400"/>
          </w:cols>
          <w:pgMar w:left="240" w:top="274" w:right="259" w:bottom="1440" w:gutter="0" w:footer="0" w:header="0"/>
        </w:sectPr>
      </w:pPr>
    </w:p>
    <w:bookmarkStart w:id="73" w:name="page74"/>
    <w:bookmarkEnd w:id="73"/>
    <w:p>
      <w:pPr>
        <w:ind w:right="220" w:firstLine="456"/>
        <w:spacing w:after="0" w:line="332" w:lineRule="auto"/>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84" name="Picture 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4"/>
                    <pic:cNvPicPr>
                      <a:picLocks noChangeAspect="1" noChangeArrowheads="1"/>
                    </pic:cNvPicPr>
                  </pic:nvPicPr>
                  <pic:blipFill>
                    <a:blip r:embed="rId91">
                      <a:extLst>
                        <a:ext uri="{28A0092B-C50C-407E-A947-70E740481C1C}"/>
                      </a:extLst>
                    </a:blip>
                    <a:srcRect/>
                    <a:stretch>
                      <a:fillRect/>
                    </a:stretch>
                  </pic:blipFill>
                  <pic:spPr bwMode="auto">
                    <a:xfrm>
                      <a:off x="0" y="0"/>
                      <a:ext cx="7267575" cy="27940"/>
                    </a:xfrm>
                    <a:prstGeom prst="rect">
                      <a:avLst/>
                    </a:prstGeom>
                    <a:noFill/>
                  </pic:spPr>
                </pic:pic>
              </a:graphicData>
            </a:graphic>
          </wp:anchor>
        </w:drawing>
        <w:t xml:space="preserve">12.5. </w:t>
      </w:r>
      <w:r>
        <w:rPr>
          <w:rFonts w:ascii="Arial" w:cs="Arial" w:eastAsia="Arial" w:hAnsi="Arial"/>
          <w:sz w:val="16"/>
          <w:szCs w:val="16"/>
          <w:u w:val="single" w:color="auto"/>
          <w:color w:val="auto"/>
        </w:rPr>
        <w:t>Headings Not a Part Hereof</w:t>
      </w:r>
      <w:r>
        <w:rPr>
          <w:rFonts w:ascii="Arial" w:cs="Arial" w:eastAsia="Arial" w:hAnsi="Arial"/>
          <w:sz w:val="16"/>
          <w:szCs w:val="16"/>
          <w:color w:val="auto"/>
        </w:rPr>
        <w:t>. Any headings preceding the text of the several Articles, Sections, subsections, or paragraphs hereof are inserted solely for convenience of reference and shall not constitute a part of the Plan, nor shall they affect its meaning, construction, or effect.</w:t>
      </w:r>
    </w:p>
    <w:p>
      <w:pPr>
        <w:spacing w:after="0" w:line="85" w:lineRule="exact"/>
        <w:rPr>
          <w:sz w:val="20"/>
          <w:szCs w:val="20"/>
          <w:color w:val="auto"/>
        </w:rPr>
      </w:pPr>
    </w:p>
    <w:p>
      <w:pPr>
        <w:ind w:right="340" w:firstLine="456"/>
        <w:spacing w:after="0" w:line="332" w:lineRule="auto"/>
        <w:rPr>
          <w:sz w:val="20"/>
          <w:szCs w:val="20"/>
          <w:color w:val="auto"/>
        </w:rPr>
      </w:pPr>
      <w:r>
        <w:rPr>
          <w:rFonts w:ascii="Arial" w:cs="Arial" w:eastAsia="Arial" w:hAnsi="Arial"/>
          <w:sz w:val="16"/>
          <w:szCs w:val="16"/>
          <w:color w:val="auto"/>
        </w:rPr>
        <w:t xml:space="preserve">12.6. </w:t>
      </w:r>
      <w:r>
        <w:rPr>
          <w:rFonts w:ascii="Arial" w:cs="Arial" w:eastAsia="Arial" w:hAnsi="Arial"/>
          <w:sz w:val="16"/>
          <w:szCs w:val="16"/>
          <w:u w:val="single" w:color="auto"/>
          <w:color w:val="auto"/>
        </w:rPr>
        <w:t>Severability of Provisions</w:t>
      </w:r>
      <w:r>
        <w:rPr>
          <w:rFonts w:ascii="Arial" w:cs="Arial" w:eastAsia="Arial" w:hAnsi="Arial"/>
          <w:sz w:val="16"/>
          <w:szCs w:val="16"/>
          <w:color w:val="auto"/>
        </w:rPr>
        <w:t>. If any provision of this Plan is determined to be void by any court of competent jurisdiction, the Plan shall continue to operate and, for the purposes of the jurisdiction of that court only, shall be deemed not to include the provision determined to be void.</w:t>
      </w:r>
    </w:p>
    <w:p>
      <w:pPr>
        <w:spacing w:after="0" w:line="241" w:lineRule="exact"/>
        <w:rPr>
          <w:sz w:val="20"/>
          <w:szCs w:val="20"/>
          <w:color w:val="auto"/>
        </w:rPr>
      </w:pPr>
    </w:p>
    <w:p>
      <w:pPr>
        <w:jc w:val="right"/>
        <w:ind w:right="4360"/>
        <w:spacing w:after="0"/>
        <w:rPr>
          <w:sz w:val="20"/>
          <w:szCs w:val="20"/>
          <w:color w:val="auto"/>
        </w:rPr>
      </w:pPr>
      <w:r>
        <w:rPr>
          <w:rFonts w:ascii="Arial" w:cs="Arial" w:eastAsia="Arial" w:hAnsi="Arial"/>
          <w:sz w:val="18"/>
          <w:szCs w:val="18"/>
          <w:b w:val="1"/>
          <w:bCs w:val="1"/>
          <w:color w:val="auto"/>
        </w:rPr>
        <w:t>ARTICLE 13 - EFFECTIVE DATE</w:t>
      </w:r>
    </w:p>
    <w:p>
      <w:pPr>
        <w:spacing w:after="0" w:line="177" w:lineRule="exact"/>
        <w:rPr>
          <w:sz w:val="20"/>
          <w:szCs w:val="20"/>
          <w:color w:val="auto"/>
        </w:rPr>
      </w:pPr>
    </w:p>
    <w:p>
      <w:pPr>
        <w:jc w:val="right"/>
        <w:ind w:right="4420"/>
        <w:spacing w:after="0"/>
        <w:rPr>
          <w:sz w:val="20"/>
          <w:szCs w:val="20"/>
          <w:color w:val="auto"/>
        </w:rPr>
      </w:pPr>
      <w:r>
        <w:rPr>
          <w:rFonts w:ascii="Arial" w:cs="Arial" w:eastAsia="Arial" w:hAnsi="Arial"/>
          <w:sz w:val="16"/>
          <w:szCs w:val="16"/>
          <w:color w:val="auto"/>
        </w:rPr>
        <w:t>The effective date of this amendment and restatement of the Plan shall be December 5, 2006.</w:t>
      </w:r>
    </w:p>
    <w:p>
      <w:pPr>
        <w:spacing w:after="0" w:line="194" w:lineRule="exact"/>
        <w:rPr>
          <w:sz w:val="20"/>
          <w:szCs w:val="20"/>
          <w:color w:val="auto"/>
        </w:rPr>
      </w:pPr>
    </w:p>
    <w:p>
      <w:pPr>
        <w:ind w:right="260" w:firstLine="456"/>
        <w:spacing w:after="0" w:line="304" w:lineRule="auto"/>
        <w:rPr>
          <w:sz w:val="20"/>
          <w:szCs w:val="20"/>
          <w:color w:val="auto"/>
        </w:rPr>
      </w:pPr>
      <w:r>
        <w:rPr>
          <w:rFonts w:ascii="Arial" w:cs="Arial" w:eastAsia="Arial" w:hAnsi="Arial"/>
          <w:sz w:val="18"/>
          <w:szCs w:val="18"/>
          <w:color w:val="auto"/>
        </w:rPr>
        <w:t>IN WITNESS WHEREOF, COMCAST CORPORATION has caused this Plan to be executed by its officers thereunto duly authorized, and its corporate seal to be affixed hereto, as of the 5</w:t>
      </w:r>
      <w:r>
        <w:rPr>
          <w:rFonts w:ascii="Arial" w:cs="Arial" w:eastAsia="Arial" w:hAnsi="Arial"/>
          <w:sz w:val="22"/>
          <w:szCs w:val="22"/>
          <w:color w:val="auto"/>
          <w:vertAlign w:val="superscript"/>
        </w:rPr>
        <w:t>th</w:t>
      </w:r>
      <w:r>
        <w:rPr>
          <w:rFonts w:ascii="Arial" w:cs="Arial" w:eastAsia="Arial" w:hAnsi="Arial"/>
          <w:sz w:val="18"/>
          <w:szCs w:val="18"/>
          <w:color w:val="auto"/>
        </w:rPr>
        <w:t xml:space="preserve"> day of December, 2006.</w:t>
      </w:r>
    </w:p>
    <w:p>
      <w:pPr>
        <w:spacing w:after="0" w:line="93" w:lineRule="exact"/>
        <w:rPr>
          <w:sz w:val="20"/>
          <w:szCs w:val="20"/>
          <w:color w:val="auto"/>
        </w:rPr>
      </w:pPr>
    </w:p>
    <w:p>
      <w:pPr>
        <w:ind w:left="6860"/>
        <w:spacing w:after="0"/>
        <w:rPr>
          <w:sz w:val="20"/>
          <w:szCs w:val="20"/>
          <w:color w:val="auto"/>
        </w:rPr>
      </w:pPr>
      <w:r>
        <w:rPr>
          <w:rFonts w:ascii="Arial" w:cs="Arial" w:eastAsia="Arial" w:hAnsi="Arial"/>
          <w:sz w:val="18"/>
          <w:szCs w:val="18"/>
          <w:color w:val="auto"/>
        </w:rPr>
        <w:t>COMCAST CORPORATION</w:t>
      </w:r>
    </w:p>
    <w:p>
      <w:pPr>
        <w:spacing w:after="0" w:line="225" w:lineRule="exact"/>
        <w:rPr>
          <w:sz w:val="20"/>
          <w:szCs w:val="20"/>
          <w:color w:val="auto"/>
        </w:rPr>
      </w:pPr>
    </w:p>
    <w:tbl>
      <w:tblPr>
        <w:tblLayout w:type="fixed"/>
        <w:tblInd w:w="6860" w:type="dxa"/>
        <w:tblCellMar>
          <w:top w:w="0" w:type="dxa"/>
          <w:left w:w="0" w:type="dxa"/>
          <w:bottom w:w="0" w:type="dxa"/>
          <w:right w:w="0" w:type="dxa"/>
        </w:tblCellMar>
      </w:tblPr>
      <w:tr>
        <w:trPr>
          <w:trHeight w:val="223"/>
        </w:trPr>
        <w:tc>
          <w:tcPr>
            <w:tcW w:w="580" w:type="dxa"/>
            <w:vAlign w:val="bottom"/>
          </w:tcPr>
          <w:p>
            <w:pPr>
              <w:spacing w:after="0"/>
              <w:rPr>
                <w:sz w:val="20"/>
                <w:szCs w:val="20"/>
                <w:color w:val="auto"/>
              </w:rPr>
            </w:pPr>
            <w:r>
              <w:rPr>
                <w:rFonts w:ascii="Arial" w:cs="Arial" w:eastAsia="Arial" w:hAnsi="Arial"/>
                <w:sz w:val="18"/>
                <w:szCs w:val="18"/>
                <w:color w:val="auto"/>
              </w:rPr>
              <w:t>By:</w:t>
            </w:r>
          </w:p>
        </w:tc>
        <w:tc>
          <w:tcPr>
            <w:tcW w:w="398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/s/ David L. Cohen</w:t>
            </w:r>
          </w:p>
        </w:tc>
      </w:tr>
      <w:tr>
        <w:trPr>
          <w:trHeight w:val="222"/>
        </w:trPr>
        <w:tc>
          <w:tcPr>
            <w:tcW w:w="580" w:type="dxa"/>
            <w:vAlign w:val="bottom"/>
          </w:tcPr>
          <w:p>
            <w:pPr>
              <w:spacing w:after="0"/>
              <w:rPr>
                <w:sz w:val="19"/>
                <w:szCs w:val="19"/>
                <w:color w:val="auto"/>
              </w:rPr>
            </w:pPr>
          </w:p>
        </w:tc>
        <w:tc>
          <w:tcPr>
            <w:tcW w:w="3980" w:type="dxa"/>
            <w:vAlign w:val="bottom"/>
          </w:tcPr>
          <w:p>
            <w:pPr>
              <w:spacing w:after="0"/>
              <w:rPr>
                <w:sz w:val="20"/>
                <w:szCs w:val="20"/>
                <w:color w:val="auto"/>
              </w:rPr>
            </w:pPr>
            <w:r>
              <w:rPr>
                <w:rFonts w:ascii="Arial" w:cs="Arial" w:eastAsia="Arial" w:hAnsi="Arial"/>
                <w:sz w:val="18"/>
                <w:szCs w:val="18"/>
                <w:color w:val="auto"/>
              </w:rPr>
              <w:t>David L. Cohen</w:t>
            </w:r>
          </w:p>
        </w:tc>
      </w:tr>
    </w:tbl>
    <w:p>
      <w:pPr>
        <w:spacing w:after="0" w:line="210" w:lineRule="exact"/>
        <w:rPr>
          <w:sz w:val="20"/>
          <w:szCs w:val="20"/>
          <w:color w:val="auto"/>
        </w:rPr>
      </w:pPr>
    </w:p>
    <w:p>
      <w:pPr>
        <w:ind w:left="6860"/>
        <w:spacing w:after="0"/>
        <w:rPr>
          <w:sz w:val="20"/>
          <w:szCs w:val="20"/>
          <w:color w:val="auto"/>
        </w:rPr>
      </w:pPr>
      <w:r>
        <w:rPr>
          <w:rFonts w:ascii="Arial" w:cs="Arial" w:eastAsia="Arial" w:hAnsi="Arial"/>
          <w:sz w:val="18"/>
          <w:szCs w:val="18"/>
          <w:color w:val="auto"/>
        </w:rPr>
        <w:t>Attest:  /s/ Arthur R. Block</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4730115</wp:posOffset>
            </wp:positionH>
            <wp:positionV relativeFrom="paragraph">
              <wp:posOffset>10795</wp:posOffset>
            </wp:positionV>
            <wp:extent cx="2521585" cy="8890"/>
            <wp:wrapNone/>
            <wp:docPr id="85" name="Picture 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5"/>
                    <pic:cNvPicPr>
                      <a:picLocks noChangeAspect="1" noChangeArrowheads="1"/>
                    </pic:cNvPicPr>
                  </pic:nvPicPr>
                  <pic:blipFill>
                    <a:blip r:embed="rId92">
                      <a:extLst>
                        <a:ext uri="{28A0092B-C50C-407E-A947-70E740481C1C}"/>
                      </a:extLst>
                    </a:blip>
                    <a:srcRect/>
                    <a:stretch>
                      <a:fillRect/>
                    </a:stretch>
                  </pic:blipFill>
                  <pic:spPr bwMode="auto">
                    <a:xfrm>
                      <a:off x="0" y="0"/>
                      <a:ext cx="2521585" cy="8890"/>
                    </a:xfrm>
                    <a:prstGeom prst="rect">
                      <a:avLst/>
                    </a:prstGeom>
                    <a:noFill/>
                  </pic:spPr>
                </pic:pic>
              </a:graphicData>
            </a:graphic>
          </wp:anchor>
        </w:drawing>
      </w:r>
    </w:p>
    <w:p>
      <w:pPr>
        <w:spacing w:after="0" w:line="16" w:lineRule="exact"/>
        <w:rPr>
          <w:sz w:val="20"/>
          <w:szCs w:val="20"/>
          <w:color w:val="auto"/>
        </w:rPr>
      </w:pPr>
    </w:p>
    <w:p>
      <w:pPr>
        <w:ind w:left="7440"/>
        <w:spacing w:after="0"/>
        <w:rPr>
          <w:sz w:val="20"/>
          <w:szCs w:val="20"/>
          <w:color w:val="auto"/>
        </w:rPr>
      </w:pPr>
      <w:r>
        <w:rPr>
          <w:rFonts w:ascii="Arial" w:cs="Arial" w:eastAsia="Arial" w:hAnsi="Arial"/>
          <w:sz w:val="18"/>
          <w:szCs w:val="18"/>
          <w:color w:val="auto"/>
        </w:rPr>
        <w:t>Arthur R. Block</w:t>
      </w:r>
    </w:p>
    <w:p>
      <w:pPr>
        <w:spacing w:after="0" w:line="15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-22-</w:t>
      </w:r>
    </w:p>
    <w:p>
      <w:pPr>
        <w:sectPr>
          <w:pgSz w:w="11900" w:h="16838" w:orient="portrait"/>
          <w:cols w:equalWidth="0" w:num="1">
            <w:col w:w="11420"/>
          </w:cols>
          <w:pgMar w:left="240" w:top="280" w:right="239" w:bottom="1440" w:gutter="0" w:footer="0" w:header="0"/>
        </w:sectPr>
      </w:pPr>
    </w:p>
    <w:bookmarkStart w:id="74" w:name="page75"/>
    <w:bookmarkEnd w:id="74"/>
    <w:p>
      <w:pPr>
        <w:spacing w:after="0"/>
        <w:rPr>
          <w:rFonts w:ascii="Arial" w:cs="Arial" w:eastAsia="Arial" w:hAnsi="Arial"/>
          <w:sz w:val="18"/>
          <w:szCs w:val="18"/>
          <w:b w:val="1"/>
          <w:bCs w:val="1"/>
          <w:u w:val="single" w:color="auto"/>
          <w:color w:val="0000EE"/>
        </w:rPr>
      </w:pPr>
      <w:hyperlink w:anchor="page3">
        <w:r>
          <w:rPr>
            <w:rFonts w:ascii="Arial" w:cs="Arial" w:eastAsia="Arial" w:hAnsi="Arial"/>
            <w:sz w:val="18"/>
            <w:szCs w:val="18"/>
            <w:b w:val="1"/>
            <w:bCs w:val="1"/>
            <w:u w:val="single" w:color="auto"/>
            <w:color w:val="0000EE"/>
          </w:rPr>
          <w:t>Table of Contents</w:t>
        </w:r>
      </w:hyperlink>
    </w:p>
    <w:p>
      <w:pPr>
        <w:spacing w:after="0" w:line="305" w:lineRule="exact"/>
        <w:rPr>
          <w:sz w:val="20"/>
          <w:szCs w:val="20"/>
          <w:color w:val="auto"/>
        </w:rPr>
      </w:pPr>
    </w:p>
    <w:p>
      <w:pPr>
        <w:jc w:val="right"/>
        <w:spacing w:after="0"/>
        <w:rPr>
          <w:sz w:val="20"/>
          <w:szCs w:val="20"/>
          <w:color w:val="auto"/>
        </w:rPr>
      </w:pPr>
      <w:r>
        <w:rPr>
          <w:rFonts w:ascii="Arial" w:cs="Arial" w:eastAsia="Arial" w:hAnsi="Arial"/>
          <w:sz w:val="18"/>
          <w:szCs w:val="18"/>
          <w:b w:val="1"/>
          <w:bCs w:val="1"/>
          <w:color w:val="auto"/>
        </w:rPr>
        <w:t>Exhibit 13.1</w:t>
      </w:r>
    </w:p>
    <w:p>
      <w:pPr>
        <w:sectPr>
          <w:pgSz w:w="11900" w:h="16838" w:orient="portrait"/>
          <w:cols w:equalWidth="0" w:num="1">
            <w:col w:w="11420"/>
          </w:cols>
          <w:pgMar w:left="240" w:top="122" w:right="239" w:bottom="1440" w:gutter="0" w:footer="0" w:header="0"/>
        </w:sectPr>
      </w:pPr>
    </w:p>
    <w:bookmarkStart w:id="75" w:name="page76"/>
    <w:bookmarkEnd w:id="7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86" name="Picture 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6"/>
                    <pic:cNvPicPr>
                      <a:picLocks noChangeAspect="1" noChangeArrowheads="1"/>
                    </pic:cNvPicPr>
                  </pic:nvPicPr>
                  <pic:blipFill>
                    <a:blip r:embed="rId93">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880110</wp:posOffset>
            </wp:positionH>
            <wp:positionV relativeFrom="paragraph">
              <wp:posOffset>205740</wp:posOffset>
            </wp:positionV>
            <wp:extent cx="5497195" cy="7117715"/>
            <wp:wrapNone/>
            <wp:docPr id="87" name="Picture 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7"/>
                    <pic:cNvPicPr>
                      <a:picLocks noChangeAspect="1" noChangeArrowheads="1"/>
                    </pic:cNvPicPr>
                  </pic:nvPicPr>
                  <pic:blipFill>
                    <a:blip r:embed="rId94">
                      <a:extLst>
                        <a:ext uri="{28A0092B-C50C-407E-A947-70E740481C1C}"/>
                      </a:extLst>
                    </a:blip>
                    <a:srcRect/>
                    <a:stretch>
                      <a:fillRect/>
                    </a:stretch>
                  </pic:blipFill>
                  <pic:spPr bwMode="auto">
                    <a:xfrm>
                      <a:off x="0" y="0"/>
                      <a:ext cx="5497195" cy="711771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0" w:lineRule="exact"/>
        <w:rPr>
          <w:sz w:val="20"/>
          <w:szCs w:val="20"/>
          <w:color w:val="auto"/>
        </w:rPr>
      </w:pPr>
    </w:p>
    <w:p>
      <w:pPr>
        <w:spacing w:after="0"/>
        <w:rPr>
          <w:sz w:val="20"/>
          <w:szCs w:val="20"/>
          <w:color w:val="auto"/>
        </w:rPr>
      </w:pPr>
      <w:r>
        <w:rPr>
          <w:rFonts w:ascii="Arial" w:cs="Arial" w:eastAsia="Arial" w:hAnsi="Arial"/>
          <w:sz w:val="12"/>
          <w:szCs w:val="12"/>
          <w:color w:val="FFFFFF"/>
        </w:rPr>
        <w:t>Comcast 2006 Annual Report</w:t>
      </w:r>
    </w:p>
    <w:p>
      <w:pPr>
        <w:sectPr>
          <w:pgSz w:w="11900" w:h="16838" w:orient="portrait"/>
          <w:cols w:equalWidth="0" w:num="1">
            <w:col w:w="10219"/>
          </w:cols>
          <w:pgMar w:left="240" w:top="459" w:right="1440" w:bottom="1440" w:gutter="0" w:footer="0" w:header="0"/>
        </w:sectPr>
      </w:pPr>
    </w:p>
    <w:bookmarkStart w:id="76" w:name="page77"/>
    <w:bookmarkEnd w:id="76"/>
    <w:p>
      <w:pPr>
        <w:spacing w:after="0"/>
        <w:rPr>
          <w:rFonts w:ascii="Arial" w:cs="Arial" w:eastAsia="Arial" w:hAnsi="Arial"/>
          <w:sz w:val="16"/>
          <w:szCs w:val="16"/>
          <w:b w:val="1"/>
          <w:bCs w:val="1"/>
          <w:u w:val="single" w:color="auto"/>
          <w:color w:val="0000EE"/>
        </w:rPr>
      </w:pPr>
      <w:r>
        <w:rPr>
          <w:rFonts w:ascii="Arial" w:cs="Arial" w:eastAsia="Arial" w:hAnsi="Arial"/>
          <w:sz w:val="16"/>
          <w:szCs w:val="16"/>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88" name="Picture 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8"/>
                    <pic:cNvPicPr>
                      <a:picLocks noChangeAspect="1" noChangeArrowheads="1"/>
                    </pic:cNvPicPr>
                  </pic:nvPicPr>
                  <pic:blipFill>
                    <a:blip r:embed="rId95">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3">
        <w:r>
          <w:rPr>
            <w:rFonts w:ascii="Arial" w:cs="Arial" w:eastAsia="Arial" w:hAnsi="Arial"/>
            <w:sz w:val="16"/>
            <w:szCs w:val="16"/>
            <w:b w:val="1"/>
            <w:bCs w:val="1"/>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880110</wp:posOffset>
            </wp:positionH>
            <wp:positionV relativeFrom="paragraph">
              <wp:posOffset>220345</wp:posOffset>
            </wp:positionV>
            <wp:extent cx="5497195" cy="7117715"/>
            <wp:wrapNone/>
            <wp:docPr id="89" name="Picture 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9"/>
                    <pic:cNvPicPr>
                      <a:picLocks noChangeAspect="1" noChangeArrowheads="1"/>
                    </pic:cNvPicPr>
                  </pic:nvPicPr>
                  <pic:blipFill>
                    <a:blip r:embed="rId96">
                      <a:extLst>
                        <a:ext uri="{28A0092B-C50C-407E-A947-70E740481C1C}"/>
                      </a:extLst>
                    </a:blip>
                    <a:srcRect/>
                    <a:stretch>
                      <a:fillRect/>
                    </a:stretch>
                  </pic:blipFill>
                  <pic:spPr bwMode="auto">
                    <a:xfrm>
                      <a:off x="0" y="0"/>
                      <a:ext cx="5497195" cy="7117715"/>
                    </a:xfrm>
                    <a:prstGeom prst="rect">
                      <a:avLst/>
                    </a:prstGeom>
                    <a:noFill/>
                  </pic:spPr>
                </pic:pic>
              </a:graphicData>
            </a:graphic>
          </wp:anchor>
        </w:drawing>
      </w:r>
    </w:p>
    <w:p>
      <w:pPr>
        <w:sectPr>
          <w:pgSz w:w="11900" w:h="16838" w:orient="portrait"/>
          <w:cols w:equalWidth="0" w:num="1">
            <w:col w:w="10219"/>
          </w:cols>
          <w:pgMar w:left="240" w:top="459" w:right="1440" w:bottom="1440" w:gutter="0" w:footer="0" w:header="0"/>
        </w:sectPr>
      </w:pPr>
    </w:p>
    <w:bookmarkStart w:id="77" w:name="page78"/>
    <w:bookmarkEnd w:id="7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90" name="Picture 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0"/>
                    <pic:cNvPicPr>
                      <a:picLocks noChangeAspect="1" noChangeArrowheads="1"/>
                    </pic:cNvPicPr>
                  </pic:nvPicPr>
                  <pic:blipFill>
                    <a:blip r:embed="rId97">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880110</wp:posOffset>
            </wp:positionH>
            <wp:positionV relativeFrom="paragraph">
              <wp:posOffset>205740</wp:posOffset>
            </wp:positionV>
            <wp:extent cx="5497195" cy="7117715"/>
            <wp:wrapNone/>
            <wp:docPr id="91" name="Picture 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1"/>
                    <pic:cNvPicPr>
                      <a:picLocks noChangeAspect="1" noChangeArrowheads="1"/>
                    </pic:cNvPicPr>
                  </pic:nvPicPr>
                  <pic:blipFill>
                    <a:blip r:embed="rId98">
                      <a:extLst>
                        <a:ext uri="{28A0092B-C50C-407E-A947-70E740481C1C}"/>
                      </a:extLst>
                    </a:blip>
                    <a:srcRect/>
                    <a:stretch>
                      <a:fillRect/>
                    </a:stretch>
                  </pic:blipFill>
                  <pic:spPr bwMode="auto">
                    <a:xfrm>
                      <a:off x="0" y="0"/>
                      <a:ext cx="5497195" cy="711771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0" w:lineRule="exact"/>
        <w:rPr>
          <w:sz w:val="20"/>
          <w:szCs w:val="20"/>
          <w:color w:val="auto"/>
        </w:rPr>
      </w:pPr>
    </w:p>
    <w:p>
      <w:pPr>
        <w:spacing w:after="0"/>
        <w:rPr>
          <w:sz w:val="20"/>
          <w:szCs w:val="20"/>
          <w:color w:val="auto"/>
        </w:rPr>
      </w:pPr>
      <w:r>
        <w:rPr>
          <w:rFonts w:ascii="Arial" w:cs="Arial" w:eastAsia="Arial" w:hAnsi="Arial"/>
          <w:sz w:val="9"/>
          <w:szCs w:val="9"/>
          <w:color w:val="FFFFFF"/>
        </w:rPr>
        <w:t>Comcastic!It’aboutrecord-breaking results from innovative products with constantly improving features and functions. It means getting there first, and sustaining our advantage by increasing and extending the business while revving up our next growth engine.</w:t>
      </w:r>
    </w:p>
    <w:p>
      <w:pPr>
        <w:spacing w:after="0" w:line="184" w:lineRule="auto"/>
        <w:rPr>
          <w:sz w:val="20"/>
          <w:szCs w:val="20"/>
          <w:color w:val="auto"/>
        </w:rPr>
      </w:pPr>
      <w:r>
        <w:rPr>
          <w:rFonts w:ascii="Arial" w:cs="Arial" w:eastAsia="Arial" w:hAnsi="Arial"/>
          <w:sz w:val="8"/>
          <w:szCs w:val="8"/>
          <w:color w:val="FFFFFF"/>
        </w:rPr>
        <w:t>It’s making phone, computer and television faster, better and more interactive. It’s adding choice, control and simplicity to the mix in one neat package.</w:t>
      </w:r>
    </w:p>
    <w:p>
      <w:pPr>
        <w:ind w:right="280"/>
        <w:spacing w:after="0" w:line="187" w:lineRule="auto"/>
        <w:rPr>
          <w:sz w:val="20"/>
          <w:szCs w:val="20"/>
          <w:color w:val="auto"/>
        </w:rPr>
      </w:pPr>
      <w:r>
        <w:rPr>
          <w:rFonts w:ascii="Arial" w:cs="Arial" w:eastAsia="Arial" w:hAnsi="Arial"/>
          <w:sz w:val="9"/>
          <w:szCs w:val="9"/>
          <w:color w:val="FFFFFF"/>
        </w:rPr>
        <w:t>Of course, it also describes the power of 90,000 exceptional employees — all committed to realizing the entertainment and communications dreams of our customers. Put it all together, and it’s a superior experience.</w:t>
      </w:r>
    </w:p>
    <w:p>
      <w:pPr>
        <w:spacing w:after="0" w:line="213" w:lineRule="auto"/>
        <w:rPr>
          <w:sz w:val="20"/>
          <w:szCs w:val="20"/>
          <w:color w:val="auto"/>
        </w:rPr>
      </w:pPr>
      <w:r>
        <w:rPr>
          <w:rFonts w:ascii="Arial" w:cs="Arial" w:eastAsia="Arial" w:hAnsi="Arial"/>
          <w:sz w:val="4"/>
          <w:szCs w:val="4"/>
          <w:color w:val="FFFFFF"/>
          <w:vertAlign w:val="superscript"/>
        </w:rPr>
        <w:t>On</w:t>
      </w:r>
    </w:p>
    <w:p>
      <w:pPr>
        <w:spacing w:after="0"/>
        <w:rPr>
          <w:sz w:val="20"/>
          <w:szCs w:val="20"/>
          <w:color w:val="auto"/>
        </w:rPr>
      </w:pPr>
      <w:r>
        <w:rPr>
          <w:rFonts w:ascii="Arial" w:cs="Arial" w:eastAsia="Arial" w:hAnsi="Arial"/>
          <w:sz w:val="3"/>
          <w:szCs w:val="3"/>
          <w:color w:val="FFFFFF"/>
        </w:rPr>
        <w:t>A dthethat’scover:simply Comcastic!</w:t>
      </w:r>
    </w:p>
    <w:p>
      <w:pPr>
        <w:spacing w:after="0" w:line="6" w:lineRule="exact"/>
        <w:rPr>
          <w:sz w:val="20"/>
          <w:szCs w:val="20"/>
          <w:color w:val="auto"/>
        </w:rPr>
      </w:pPr>
    </w:p>
    <w:p>
      <w:pPr>
        <w:ind w:right="80"/>
        <w:spacing w:after="0"/>
        <w:rPr>
          <w:sz w:val="20"/>
          <w:szCs w:val="20"/>
          <w:color w:val="auto"/>
        </w:rPr>
      </w:pPr>
      <w:r>
        <w:rPr>
          <w:rFonts w:ascii="Arial" w:cs="Arial" w:eastAsia="Arial" w:hAnsi="Arial"/>
          <w:sz w:val="11"/>
          <w:szCs w:val="11"/>
          <w:color w:val="FFFFFF"/>
        </w:rPr>
        <w:t>Comcast employees are all smiles these days. Why? Their hard work, dedication and enthusiasm is really paying off. That’s why we’ve decided to feature them in this Annual Report — they make Comcast a great place to work.</w:t>
      </w:r>
    </w:p>
    <w:p>
      <w:pPr>
        <w:sectPr>
          <w:pgSz w:w="11900" w:h="16838" w:orient="portrait"/>
          <w:cols w:equalWidth="0" w:num="1">
            <w:col w:w="11260"/>
          </w:cols>
          <w:pgMar w:left="240" w:top="459" w:right="399" w:bottom="1440" w:gutter="0" w:footer="0" w:header="0"/>
        </w:sectPr>
      </w:pPr>
    </w:p>
    <w:bookmarkStart w:id="78" w:name="page79"/>
    <w:bookmarkEnd w:id="7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92" name="Picture 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2"/>
                    <pic:cNvPicPr>
                      <a:picLocks noChangeAspect="1" noChangeArrowheads="1"/>
                    </pic:cNvPicPr>
                  </pic:nvPicPr>
                  <pic:blipFill>
                    <a:blip r:embed="rId99">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880110</wp:posOffset>
            </wp:positionH>
            <wp:positionV relativeFrom="paragraph">
              <wp:posOffset>205740</wp:posOffset>
            </wp:positionV>
            <wp:extent cx="5497195" cy="7117715"/>
            <wp:wrapNone/>
            <wp:docPr id="93" name="Picture 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3"/>
                    <pic:cNvPicPr>
                      <a:picLocks noChangeAspect="1" noChangeArrowheads="1"/>
                    </pic:cNvPicPr>
                  </pic:nvPicPr>
                  <pic:blipFill>
                    <a:blip r:embed="rId100">
                      <a:extLst>
                        <a:ext uri="{28A0092B-C50C-407E-A947-70E740481C1C}"/>
                      </a:extLst>
                    </a:blip>
                    <a:srcRect/>
                    <a:stretch>
                      <a:fillRect/>
                    </a:stretch>
                  </pic:blipFill>
                  <pic:spPr bwMode="auto">
                    <a:xfrm>
                      <a:off x="0" y="0"/>
                      <a:ext cx="5497195" cy="711771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1"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980" w:type="dxa"/>
            <w:vAlign w:val="bottom"/>
          </w:tcPr>
          <w:p>
            <w:pPr>
              <w:ind w:left="620"/>
              <w:spacing w:after="0"/>
              <w:rPr>
                <w:sz w:val="20"/>
                <w:szCs w:val="20"/>
                <w:color w:val="auto"/>
              </w:rPr>
            </w:pPr>
            <w:r>
              <w:rPr>
                <w:rFonts w:ascii="Arial" w:cs="Arial" w:eastAsia="Arial" w:hAnsi="Arial"/>
                <w:sz w:val="14"/>
                <w:szCs w:val="14"/>
                <w:color w:val="FFFFFF"/>
              </w:rPr>
              <w:t>is.</w:t>
            </w:r>
          </w:p>
        </w:tc>
        <w:tc>
          <w:tcPr>
            <w:tcW w:w="10260" w:type="dxa"/>
            <w:vAlign w:val="bottom"/>
            <w:gridSpan w:val="2"/>
            <w:vMerge w:val="restart"/>
          </w:tcPr>
          <w:p>
            <w:pPr>
              <w:ind w:left="140"/>
              <w:spacing w:after="0"/>
              <w:rPr>
                <w:sz w:val="20"/>
                <w:szCs w:val="20"/>
                <w:color w:val="auto"/>
              </w:rPr>
            </w:pPr>
            <w:r>
              <w:rPr>
                <w:rFonts w:ascii="Arial" w:cs="Arial" w:eastAsia="Arial" w:hAnsi="Arial"/>
                <w:sz w:val="14"/>
                <w:szCs w:val="14"/>
                <w:color w:val="FFFFFF"/>
              </w:rPr>
              <w:t>into a grand slam.</w:t>
            </w:r>
          </w:p>
        </w:tc>
        <w:tc>
          <w:tcPr>
            <w:tcW w:w="0" w:type="dxa"/>
            <w:vAlign w:val="bottom"/>
          </w:tcPr>
          <w:p>
            <w:pPr>
              <w:spacing w:after="0"/>
              <w:rPr>
                <w:sz w:val="1"/>
                <w:szCs w:val="1"/>
                <w:color w:val="auto"/>
              </w:rPr>
            </w:pPr>
          </w:p>
        </w:tc>
      </w:tr>
      <w:tr>
        <w:trPr>
          <w:trHeight w:val="41"/>
        </w:trPr>
        <w:tc>
          <w:tcPr>
            <w:tcW w:w="980" w:type="dxa"/>
            <w:vAlign w:val="bottom"/>
          </w:tcPr>
          <w:p>
            <w:pPr>
              <w:spacing w:after="0"/>
              <w:rPr>
                <w:sz w:val="20"/>
                <w:szCs w:val="20"/>
                <w:color w:val="auto"/>
              </w:rPr>
            </w:pPr>
            <w:r>
              <w:rPr>
                <w:rFonts w:ascii="Arial" w:cs="Arial" w:eastAsia="Arial" w:hAnsi="Arial"/>
                <w:sz w:val="3"/>
                <w:szCs w:val="3"/>
                <w:color w:val="FFFFFF"/>
              </w:rPr>
              <w:t>Comcasticturningtriple</w:t>
            </w:r>
          </w:p>
        </w:tc>
        <w:tc>
          <w:tcPr>
            <w:tcW w:w="10260" w:type="dxa"/>
            <w:vAlign w:val="bottom"/>
            <w:gridSpan w:val="2"/>
            <w:vMerge w:val="continue"/>
          </w:tcPr>
          <w:p>
            <w:pPr>
              <w:spacing w:after="0"/>
              <w:rPr>
                <w:sz w:val="3"/>
                <w:szCs w:val="3"/>
                <w:color w:val="auto"/>
              </w:rPr>
            </w:pPr>
          </w:p>
        </w:tc>
        <w:tc>
          <w:tcPr>
            <w:tcW w:w="0" w:type="dxa"/>
            <w:vAlign w:val="bottom"/>
          </w:tcPr>
          <w:p>
            <w:pPr>
              <w:spacing w:after="0"/>
              <w:rPr>
                <w:sz w:val="1"/>
                <w:szCs w:val="1"/>
                <w:color w:val="auto"/>
              </w:rPr>
            </w:pPr>
          </w:p>
        </w:tc>
      </w:tr>
      <w:tr>
        <w:trPr>
          <w:trHeight w:val="41"/>
        </w:trPr>
        <w:tc>
          <w:tcPr>
            <w:tcW w:w="11240" w:type="dxa"/>
            <w:vAlign w:val="bottom"/>
            <w:gridSpan w:val="3"/>
          </w:tcPr>
          <w:p>
            <w:pPr>
              <w:spacing w:after="0"/>
              <w:rPr>
                <w:sz w:val="20"/>
                <w:szCs w:val="20"/>
                <w:color w:val="auto"/>
              </w:rPr>
            </w:pPr>
            <w:r>
              <w:rPr>
                <w:rFonts w:ascii="Arial" w:cs="Arial" w:eastAsia="Arial" w:hAnsi="Arial"/>
                <w:sz w:val="3"/>
                <w:szCs w:val="3"/>
                <w:color w:val="FFFFFF"/>
              </w:rPr>
              <w:t>“You’ve heard ofplay‘win-win.’ Well, think of Triple Play as a ‘win-win-win.’ Subscribers get video, high-speed Internet and phone service in one convenient package —and all at a great value. No wonder our</w:t>
            </w:r>
          </w:p>
        </w:tc>
        <w:tc>
          <w:tcPr>
            <w:tcW w:w="0" w:type="dxa"/>
            <w:vAlign w:val="bottom"/>
          </w:tcPr>
          <w:p>
            <w:pPr>
              <w:spacing w:after="0"/>
              <w:rPr>
                <w:sz w:val="1"/>
                <w:szCs w:val="1"/>
                <w:color w:val="auto"/>
              </w:rPr>
            </w:pPr>
          </w:p>
        </w:tc>
      </w:tr>
      <w:tr>
        <w:trPr>
          <w:trHeight w:val="41"/>
        </w:trPr>
        <w:tc>
          <w:tcPr>
            <w:tcW w:w="11240" w:type="dxa"/>
            <w:vAlign w:val="bottom"/>
            <w:gridSpan w:val="3"/>
          </w:tcPr>
          <w:p>
            <w:pPr>
              <w:spacing w:after="0"/>
              <w:rPr>
                <w:sz w:val="20"/>
                <w:szCs w:val="20"/>
                <w:color w:val="auto"/>
              </w:rPr>
            </w:pPr>
            <w:r>
              <w:rPr>
                <w:rFonts w:ascii="Arial" w:cs="Arial" w:eastAsia="Arial" w:hAnsi="Arial"/>
                <w:sz w:val="3"/>
                <w:szCs w:val="3"/>
                <w:color w:val="FFFFFF"/>
              </w:rPr>
              <w:t>phones just keep ringing.”</w:t>
            </w:r>
          </w:p>
        </w:tc>
        <w:tc>
          <w:tcPr>
            <w:tcW w:w="0" w:type="dxa"/>
            <w:vAlign w:val="bottom"/>
          </w:tcPr>
          <w:p>
            <w:pPr>
              <w:spacing w:after="0"/>
              <w:rPr>
                <w:sz w:val="1"/>
                <w:szCs w:val="1"/>
                <w:color w:val="auto"/>
              </w:rPr>
            </w:pPr>
          </w:p>
        </w:tc>
      </w:tr>
      <w:tr>
        <w:trPr>
          <w:trHeight w:val="41"/>
        </w:trPr>
        <w:tc>
          <w:tcPr>
            <w:tcW w:w="980" w:type="dxa"/>
            <w:vAlign w:val="bottom"/>
          </w:tcPr>
          <w:p>
            <w:pPr>
              <w:spacing w:after="0"/>
              <w:rPr>
                <w:sz w:val="20"/>
                <w:szCs w:val="20"/>
                <w:color w:val="auto"/>
              </w:rPr>
            </w:pPr>
            <w:r>
              <w:rPr>
                <w:rFonts w:ascii="Arial" w:cs="Arial" w:eastAsia="Arial" w:hAnsi="Arial"/>
                <w:sz w:val="3"/>
                <w:szCs w:val="3"/>
                <w:color w:val="FFFFFF"/>
              </w:rPr>
              <w:t>Robert Negrete</w:t>
            </w:r>
          </w:p>
        </w:tc>
        <w:tc>
          <w:tcPr>
            <w:tcW w:w="240" w:type="dxa"/>
            <w:vAlign w:val="bottom"/>
          </w:tcPr>
          <w:p>
            <w:pPr>
              <w:spacing w:after="0"/>
              <w:rPr>
                <w:sz w:val="3"/>
                <w:szCs w:val="3"/>
                <w:color w:val="auto"/>
              </w:rPr>
            </w:pPr>
          </w:p>
        </w:tc>
        <w:tc>
          <w:tcPr>
            <w:tcW w:w="10020" w:type="dxa"/>
            <w:vAlign w:val="bottom"/>
          </w:tcPr>
          <w:p>
            <w:pPr>
              <w:ind w:left="120"/>
              <w:spacing w:after="0"/>
              <w:rPr>
                <w:sz w:val="20"/>
                <w:szCs w:val="20"/>
                <w:color w:val="auto"/>
              </w:rPr>
            </w:pPr>
            <w:r>
              <w:rPr>
                <w:rFonts w:ascii="Arial" w:cs="Arial" w:eastAsia="Arial" w:hAnsi="Arial"/>
                <w:sz w:val="3"/>
                <w:szCs w:val="3"/>
                <w:color w:val="FFFFFF"/>
              </w:rPr>
              <w:t>, Call Center Operations Morgan Hill, CA</w:t>
            </w:r>
          </w:p>
        </w:tc>
        <w:tc>
          <w:tcPr>
            <w:tcW w:w="0" w:type="dxa"/>
            <w:vAlign w:val="bottom"/>
          </w:tcPr>
          <w:p>
            <w:pPr>
              <w:spacing w:after="0"/>
              <w:rPr>
                <w:sz w:val="1"/>
                <w:szCs w:val="1"/>
                <w:color w:val="auto"/>
              </w:rPr>
            </w:pPr>
          </w:p>
        </w:tc>
      </w:tr>
      <w:tr>
        <w:trPr>
          <w:trHeight w:val="41"/>
        </w:trPr>
        <w:tc>
          <w:tcPr>
            <w:tcW w:w="11240" w:type="dxa"/>
            <w:vAlign w:val="bottom"/>
            <w:gridSpan w:val="3"/>
          </w:tcPr>
          <w:p>
            <w:pPr>
              <w:spacing w:after="0"/>
              <w:rPr>
                <w:sz w:val="20"/>
                <w:szCs w:val="20"/>
                <w:color w:val="auto"/>
              </w:rPr>
            </w:pPr>
            <w:r>
              <w:rPr>
                <w:rFonts w:ascii="Arial" w:cs="Arial" w:eastAsia="Arial" w:hAnsi="Arial"/>
                <w:sz w:val="3"/>
                <w:szCs w:val="3"/>
                <w:color w:val="FFFFFF"/>
              </w:rPr>
              <w:t>Triple Play has beenManagerphenomenal growth engine for Comcast in 2006. With one call and a single installation, customers get digital cable, high-speed Internet and digital voice for $99 a month. Plus, it’s great</w:t>
            </w:r>
          </w:p>
        </w:tc>
        <w:tc>
          <w:tcPr>
            <w:tcW w:w="0" w:type="dxa"/>
            <w:vAlign w:val="bottom"/>
          </w:tcPr>
          <w:p>
            <w:pPr>
              <w:spacing w:after="0"/>
              <w:rPr>
                <w:sz w:val="1"/>
                <w:szCs w:val="1"/>
                <w:color w:val="auto"/>
              </w:rPr>
            </w:pPr>
          </w:p>
        </w:tc>
      </w:tr>
      <w:tr>
        <w:trPr>
          <w:trHeight w:val="41"/>
        </w:trPr>
        <w:tc>
          <w:tcPr>
            <w:tcW w:w="1220" w:type="dxa"/>
            <w:vAlign w:val="bottom"/>
            <w:gridSpan w:val="2"/>
          </w:tcPr>
          <w:p>
            <w:pPr>
              <w:spacing w:after="0"/>
              <w:rPr>
                <w:sz w:val="20"/>
                <w:szCs w:val="20"/>
                <w:color w:val="auto"/>
              </w:rPr>
            </w:pPr>
            <w:r>
              <w:rPr>
                <w:rFonts w:ascii="Arial" w:cs="Arial" w:eastAsia="Arial" w:hAnsi="Arial"/>
                <w:sz w:val="3"/>
                <w:szCs w:val="3"/>
                <w:color w:val="FFFFFF"/>
              </w:rPr>
              <w:t>for business because:</w:t>
            </w:r>
          </w:p>
        </w:tc>
        <w:tc>
          <w:tcPr>
            <w:tcW w:w="1002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41"/>
        </w:trPr>
        <w:tc>
          <w:tcPr>
            <w:tcW w:w="11240" w:type="dxa"/>
            <w:vAlign w:val="bottom"/>
            <w:gridSpan w:val="3"/>
          </w:tcPr>
          <w:p>
            <w:pPr>
              <w:spacing w:after="0"/>
              <w:rPr>
                <w:sz w:val="20"/>
                <w:szCs w:val="20"/>
                <w:color w:val="auto"/>
              </w:rPr>
            </w:pPr>
            <w:r>
              <w:rPr>
                <w:rFonts w:ascii="Arial" w:cs="Arial" w:eastAsia="Arial" w:hAnsi="Arial"/>
                <w:sz w:val="3"/>
                <w:szCs w:val="3"/>
                <w:color w:val="FFFFFF"/>
              </w:rPr>
              <w:t>• Triple Play results in higher average monthly revenue per customer.</w:t>
            </w:r>
          </w:p>
        </w:tc>
        <w:tc>
          <w:tcPr>
            <w:tcW w:w="0" w:type="dxa"/>
            <w:vAlign w:val="bottom"/>
          </w:tcPr>
          <w:p>
            <w:pPr>
              <w:spacing w:after="0"/>
              <w:rPr>
                <w:sz w:val="1"/>
                <w:szCs w:val="1"/>
                <w:color w:val="auto"/>
              </w:rPr>
            </w:pPr>
          </w:p>
        </w:tc>
      </w:tr>
      <w:tr>
        <w:trPr>
          <w:trHeight w:val="41"/>
        </w:trPr>
        <w:tc>
          <w:tcPr>
            <w:tcW w:w="980" w:type="dxa"/>
            <w:vAlign w:val="bottom"/>
          </w:tcPr>
          <w:p>
            <w:pPr>
              <w:spacing w:after="0"/>
              <w:rPr>
                <w:sz w:val="20"/>
                <w:szCs w:val="20"/>
                <w:color w:val="auto"/>
              </w:rPr>
            </w:pPr>
            <w:r>
              <w:rPr>
                <w:rFonts w:ascii="Arial" w:cs="Arial" w:eastAsia="Arial" w:hAnsi="Arial"/>
                <w:sz w:val="3"/>
                <w:szCs w:val="3"/>
                <w:color w:val="FFFFFF"/>
              </w:rPr>
              <w:t>other</w:t>
            </w:r>
          </w:p>
        </w:tc>
        <w:tc>
          <w:tcPr>
            <w:tcW w:w="240" w:type="dxa"/>
            <w:vAlign w:val="bottom"/>
          </w:tcPr>
          <w:p>
            <w:pPr>
              <w:spacing w:after="0"/>
              <w:rPr>
                <w:sz w:val="3"/>
                <w:szCs w:val="3"/>
                <w:color w:val="auto"/>
              </w:rPr>
            </w:pPr>
          </w:p>
        </w:tc>
        <w:tc>
          <w:tcPr>
            <w:tcW w:w="10020" w:type="dxa"/>
            <w:vAlign w:val="bottom"/>
            <w:vMerge w:val="restart"/>
          </w:tcPr>
          <w:p>
            <w:pPr>
              <w:ind w:left="20"/>
              <w:spacing w:after="0" w:line="81" w:lineRule="exact"/>
              <w:rPr>
                <w:sz w:val="20"/>
                <w:szCs w:val="20"/>
                <w:color w:val="auto"/>
              </w:rPr>
            </w:pPr>
            <w:r>
              <w:rPr>
                <w:rFonts w:ascii="Arial" w:cs="Arial" w:eastAsia="Arial" w:hAnsi="Arial"/>
                <w:sz w:val="9"/>
                <w:szCs w:val="9"/>
                <w:color w:val="FFFFFF"/>
              </w:rPr>
              <w:t>$120 –</w:t>
            </w:r>
          </w:p>
        </w:tc>
        <w:tc>
          <w:tcPr>
            <w:tcW w:w="0" w:type="dxa"/>
            <w:vAlign w:val="bottom"/>
          </w:tcPr>
          <w:p>
            <w:pPr>
              <w:spacing w:after="0"/>
              <w:rPr>
                <w:sz w:val="1"/>
                <w:szCs w:val="1"/>
                <w:color w:val="auto"/>
              </w:rPr>
            </w:pPr>
          </w:p>
        </w:tc>
      </w:tr>
      <w:tr>
        <w:trPr>
          <w:trHeight w:val="41"/>
        </w:trPr>
        <w:tc>
          <w:tcPr>
            <w:tcW w:w="1220" w:type="dxa"/>
            <w:vAlign w:val="bottom"/>
            <w:gridSpan w:val="2"/>
          </w:tcPr>
          <w:p>
            <w:pPr>
              <w:spacing w:after="0"/>
              <w:rPr>
                <w:sz w:val="20"/>
                <w:szCs w:val="20"/>
                <w:color w:val="auto"/>
              </w:rPr>
            </w:pPr>
            <w:r>
              <w:rPr>
                <w:rFonts w:ascii="Arial" w:cs="Arial" w:eastAsia="Arial" w:hAnsi="Arial"/>
                <w:sz w:val="3"/>
                <w:szCs w:val="3"/>
                <w:color w:val="FFFFFF"/>
              </w:rPr>
              <w:t>$99 +products = $130</w:t>
            </w:r>
          </w:p>
        </w:tc>
        <w:tc>
          <w:tcPr>
            <w:tcW w:w="10020" w:type="dxa"/>
            <w:vAlign w:val="bottom"/>
            <w:vMerge w:val="continue"/>
          </w:tcPr>
          <w:p>
            <w:pPr>
              <w:spacing w:after="0"/>
              <w:rPr>
                <w:sz w:val="3"/>
                <w:szCs w:val="3"/>
                <w:color w:val="auto"/>
              </w:rPr>
            </w:pPr>
          </w:p>
        </w:tc>
        <w:tc>
          <w:tcPr>
            <w:tcW w:w="0" w:type="dxa"/>
            <w:vAlign w:val="bottom"/>
          </w:tcPr>
          <w:p>
            <w:pPr>
              <w:spacing w:after="0"/>
              <w:rPr>
                <w:sz w:val="1"/>
                <w:szCs w:val="1"/>
                <w:color w:val="auto"/>
              </w:rPr>
            </w:pPr>
          </w:p>
        </w:tc>
      </w:tr>
      <w:tr>
        <w:trPr>
          <w:trHeight w:val="41"/>
        </w:trPr>
        <w:tc>
          <w:tcPr>
            <w:tcW w:w="980" w:type="dxa"/>
            <w:vAlign w:val="bottom"/>
          </w:tcPr>
          <w:p>
            <w:pPr>
              <w:spacing w:after="0"/>
              <w:rPr>
                <w:sz w:val="20"/>
                <w:szCs w:val="20"/>
                <w:color w:val="auto"/>
              </w:rPr>
            </w:pPr>
            <w:r>
              <w:rPr>
                <w:rFonts w:ascii="Arial" w:cs="Arial" w:eastAsia="Arial" w:hAnsi="Arial"/>
                <w:sz w:val="3"/>
                <w:szCs w:val="3"/>
                <w:color w:val="FFFFFF"/>
              </w:rPr>
              <w:t>per month</w:t>
            </w:r>
          </w:p>
        </w:tc>
        <w:tc>
          <w:tcPr>
            <w:tcW w:w="240" w:type="dxa"/>
            <w:vAlign w:val="bottom"/>
          </w:tcPr>
          <w:p>
            <w:pPr>
              <w:spacing w:after="0"/>
              <w:rPr>
                <w:sz w:val="3"/>
                <w:szCs w:val="3"/>
                <w:color w:val="auto"/>
              </w:rPr>
            </w:pPr>
          </w:p>
        </w:tc>
        <w:tc>
          <w:tcPr>
            <w:tcW w:w="1002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172"/>
        </w:trPr>
        <w:tc>
          <w:tcPr>
            <w:tcW w:w="980" w:type="dxa"/>
            <w:vAlign w:val="bottom"/>
          </w:tcPr>
          <w:p>
            <w:pPr>
              <w:spacing w:after="0"/>
              <w:rPr>
                <w:sz w:val="20"/>
                <w:szCs w:val="20"/>
                <w:color w:val="auto"/>
              </w:rPr>
            </w:pPr>
            <w:r>
              <w:rPr>
                <w:rFonts w:ascii="Arial" w:cs="Arial" w:eastAsia="Arial" w:hAnsi="Arial"/>
                <w:sz w:val="14"/>
                <w:szCs w:val="14"/>
                <w:color w:val="FFFFFF"/>
              </w:rPr>
              <w:t>$33 $33 $33</w:t>
            </w:r>
          </w:p>
        </w:tc>
        <w:tc>
          <w:tcPr>
            <w:tcW w:w="240" w:type="dxa"/>
            <w:vAlign w:val="bottom"/>
          </w:tcPr>
          <w:p>
            <w:pPr>
              <w:spacing w:after="0"/>
              <w:rPr>
                <w:sz w:val="14"/>
                <w:szCs w:val="14"/>
                <w:color w:val="auto"/>
              </w:rPr>
            </w:pPr>
          </w:p>
        </w:tc>
        <w:tc>
          <w:tcPr>
            <w:tcW w:w="10020" w:type="dxa"/>
            <w:vAlign w:val="bottom"/>
          </w:tcPr>
          <w:p>
            <w:pPr>
              <w:spacing w:after="0"/>
              <w:rPr>
                <w:sz w:val="14"/>
                <w:szCs w:val="14"/>
                <w:color w:val="auto"/>
              </w:rPr>
            </w:pPr>
          </w:p>
        </w:tc>
        <w:tc>
          <w:tcPr>
            <w:tcW w:w="0" w:type="dxa"/>
            <w:vAlign w:val="bottom"/>
          </w:tcPr>
          <w:p>
            <w:pPr>
              <w:spacing w:after="0"/>
              <w:rPr>
                <w:sz w:val="1"/>
                <w:szCs w:val="1"/>
                <w:color w:val="auto"/>
              </w:rPr>
            </w:pPr>
          </w:p>
        </w:tc>
      </w:tr>
    </w:tbl>
    <w:p>
      <w:pPr>
        <w:sectPr>
          <w:pgSz w:w="11900" w:h="16838" w:orient="portrait"/>
          <w:cols w:equalWidth="0" w:num="1">
            <w:col w:w="11240"/>
          </w:cols>
          <w:pgMar w:left="240" w:top="459" w:right="419" w:bottom="1440" w:gutter="0" w:footer="0" w:header="0"/>
        </w:sectPr>
      </w:pPr>
    </w:p>
    <w:bookmarkStart w:id="79" w:name="page80"/>
    <w:bookmarkEnd w:id="7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94" name="Picture 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4"/>
                    <pic:cNvPicPr>
                      <a:picLocks noChangeAspect="1" noChangeArrowheads="1"/>
                    </pic:cNvPicPr>
                  </pic:nvPicPr>
                  <pic:blipFill>
                    <a:blip r:embed="rId101">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880110</wp:posOffset>
            </wp:positionH>
            <wp:positionV relativeFrom="paragraph">
              <wp:posOffset>205740</wp:posOffset>
            </wp:positionV>
            <wp:extent cx="5497195" cy="7117715"/>
            <wp:wrapNone/>
            <wp:docPr id="95" name="Picture 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5"/>
                    <pic:cNvPicPr>
                      <a:picLocks noChangeAspect="1" noChangeArrowheads="1"/>
                    </pic:cNvPicPr>
                  </pic:nvPicPr>
                  <pic:blipFill>
                    <a:blip r:embed="rId102">
                      <a:extLst>
                        <a:ext uri="{28A0092B-C50C-407E-A947-70E740481C1C}"/>
                      </a:extLst>
                    </a:blip>
                    <a:srcRect/>
                    <a:stretch>
                      <a:fillRect/>
                    </a:stretch>
                  </pic:blipFill>
                  <pic:spPr bwMode="auto">
                    <a:xfrm>
                      <a:off x="0" y="0"/>
                      <a:ext cx="5497195" cy="711771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9" w:lineRule="exact"/>
        <w:rPr>
          <w:sz w:val="20"/>
          <w:szCs w:val="20"/>
          <w:color w:val="auto"/>
        </w:rPr>
      </w:pPr>
    </w:p>
    <w:p>
      <w:pPr>
        <w:ind w:left="80" w:hanging="72"/>
        <w:spacing w:after="0"/>
        <w:tabs>
          <w:tab w:leader="none" w:pos="80" w:val="left"/>
        </w:tabs>
        <w:numPr>
          <w:ilvl w:val="0"/>
          <w:numId w:val="80"/>
        </w:numPr>
        <w:rPr>
          <w:rFonts w:ascii="Arial" w:cs="Arial" w:eastAsia="Arial" w:hAnsi="Arial"/>
          <w:sz w:val="22"/>
          <w:szCs w:val="22"/>
          <w:color w:val="FFFFFF"/>
          <w:vertAlign w:val="subscript"/>
        </w:rPr>
      </w:pPr>
      <w:r>
        <w:rPr>
          <w:rFonts w:ascii="Arial" w:cs="Arial" w:eastAsia="Arial" w:hAnsi="Arial"/>
          <w:sz w:val="22"/>
          <w:szCs w:val="22"/>
          <w:color w:val="FFFFFF"/>
          <w:vertAlign w:val="subscript"/>
        </w:rPr>
        <w:t>Triple Play is</w:t>
      </w:r>
      <w:r>
        <w:rPr>
          <w:rFonts w:ascii="Arial" w:cs="Arial" w:eastAsia="Arial" w:hAnsi="Arial"/>
          <w:sz w:val="12"/>
          <w:szCs w:val="12"/>
          <w:color w:val="FFFFFF"/>
        </w:rPr>
        <w:t xml:space="preserve"> lifting sign-up rates for our three products — they all grew faster than ever in 2006.</w:t>
      </w:r>
    </w:p>
    <w:p>
      <w:pPr>
        <w:spacing w:after="0"/>
        <w:rPr>
          <w:rFonts w:ascii="Arial" w:cs="Arial" w:eastAsia="Arial" w:hAnsi="Arial"/>
          <w:sz w:val="22"/>
          <w:szCs w:val="22"/>
          <w:color w:val="FFFFFF"/>
          <w:vertAlign w:val="subscript"/>
        </w:rPr>
      </w:pPr>
      <w:r>
        <w:rPr>
          <w:rFonts w:ascii="Arial" w:cs="Arial" w:eastAsia="Arial" w:hAnsi="Arial"/>
          <w:sz w:val="23"/>
          <w:szCs w:val="23"/>
          <w:color w:val="FFFFFF"/>
          <w:vertAlign w:val="subscript"/>
        </w:rPr>
        <w:t>03</w:t>
      </w:r>
      <w:r>
        <w:rPr>
          <w:rFonts w:ascii="Arial" w:cs="Arial" w:eastAsia="Arial" w:hAnsi="Arial"/>
          <w:sz w:val="12"/>
          <w:szCs w:val="12"/>
          <w:color w:val="FFFFFF"/>
        </w:rPr>
        <w:t>accelerating revenue and operating cash flow growth.</w:t>
      </w:r>
    </w:p>
    <w:p>
      <w:pPr>
        <w:sectPr>
          <w:pgSz w:w="11900" w:h="16838" w:orient="portrait"/>
          <w:cols w:equalWidth="0" w:num="1">
            <w:col w:w="10219"/>
          </w:cols>
          <w:pgMar w:left="240" w:top="459" w:right="1440" w:bottom="1440" w:gutter="0" w:footer="0" w:header="0"/>
        </w:sectPr>
      </w:pPr>
    </w:p>
    <w:bookmarkStart w:id="80" w:name="page81"/>
    <w:bookmarkEnd w:id="80"/>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96" name="Picture 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6"/>
                    <pic:cNvPicPr>
                      <a:picLocks noChangeAspect="1" noChangeArrowheads="1"/>
                    </pic:cNvPicPr>
                  </pic:nvPicPr>
                  <pic:blipFill>
                    <a:blip r:embed="rId103">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880110</wp:posOffset>
            </wp:positionH>
            <wp:positionV relativeFrom="paragraph">
              <wp:posOffset>205740</wp:posOffset>
            </wp:positionV>
            <wp:extent cx="5497195" cy="7117715"/>
            <wp:wrapNone/>
            <wp:docPr id="97" name="Picture 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7"/>
                    <pic:cNvPicPr>
                      <a:picLocks noChangeAspect="1" noChangeArrowheads="1"/>
                    </pic:cNvPicPr>
                  </pic:nvPicPr>
                  <pic:blipFill>
                    <a:blip r:embed="rId104">
                      <a:extLst>
                        <a:ext uri="{28A0092B-C50C-407E-A947-70E740481C1C}"/>
                      </a:extLst>
                    </a:blip>
                    <a:srcRect/>
                    <a:stretch>
                      <a:fillRect/>
                    </a:stretch>
                  </pic:blipFill>
                  <pic:spPr bwMode="auto">
                    <a:xfrm>
                      <a:off x="0" y="0"/>
                      <a:ext cx="5497195" cy="711771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2" w:lineRule="exact"/>
        <w:rPr>
          <w:sz w:val="20"/>
          <w:szCs w:val="20"/>
          <w:color w:val="auto"/>
        </w:rPr>
      </w:pPr>
    </w:p>
    <w:p>
      <w:pPr>
        <w:spacing w:after="0"/>
        <w:rPr>
          <w:sz w:val="20"/>
          <w:szCs w:val="20"/>
          <w:color w:val="auto"/>
        </w:rPr>
      </w:pPr>
      <w:r>
        <w:rPr>
          <w:rFonts w:ascii="Arial" w:cs="Arial" w:eastAsia="Arial" w:hAnsi="Arial"/>
          <w:sz w:val="14"/>
          <w:szCs w:val="14"/>
          <w:color w:val="FFFFFF"/>
        </w:rPr>
        <w:t>Comcastic is.</w:t>
      </w:r>
    </w:p>
    <w:p>
      <w:pPr>
        <w:spacing w:after="0"/>
        <w:rPr>
          <w:sz w:val="20"/>
          <w:szCs w:val="20"/>
          <w:color w:val="auto"/>
        </w:rPr>
      </w:pPr>
      <w:r>
        <w:rPr>
          <w:rFonts w:ascii="Arial" w:cs="Arial" w:eastAsia="Arial" w:hAnsi="Arial"/>
          <w:sz w:val="3"/>
          <w:szCs w:val="3"/>
          <w:color w:val="FFFFFF"/>
        </w:rPr>
        <w:t>meeting every demand with ON DEMAND.</w:t>
      </w:r>
    </w:p>
    <w:p>
      <w:pPr>
        <w:spacing w:after="0" w:line="194" w:lineRule="auto"/>
        <w:rPr>
          <w:sz w:val="20"/>
          <w:szCs w:val="20"/>
          <w:color w:val="auto"/>
        </w:rPr>
      </w:pPr>
      <w:r>
        <w:rPr>
          <w:rFonts w:ascii="Arial" w:cs="Arial" w:eastAsia="Arial" w:hAnsi="Arial"/>
          <w:sz w:val="5"/>
          <w:szCs w:val="5"/>
          <w:color w:val="FFFFFF"/>
        </w:rPr>
        <w:t>ON DEMAND viewership has grown exponentially, building customer satisfaction and loyalty with every view.</w:t>
      </w:r>
    </w:p>
    <w:p>
      <w:pPr>
        <w:spacing w:after="0" w:line="188" w:lineRule="auto"/>
        <w:rPr>
          <w:sz w:val="20"/>
          <w:szCs w:val="20"/>
          <w:color w:val="auto"/>
        </w:rPr>
      </w:pPr>
      <w:r>
        <w:rPr>
          <w:rFonts w:ascii="Arial" w:cs="Arial" w:eastAsia="Arial" w:hAnsi="Arial"/>
          <w:sz w:val="9"/>
          <w:szCs w:val="9"/>
          <w:color w:val="FFFFFF"/>
          <w:vertAlign w:val="superscript"/>
        </w:rPr>
        <w:t>•</w:t>
      </w:r>
      <w:r>
        <w:rPr>
          <w:rFonts w:ascii="Arial" w:cs="Arial" w:eastAsia="Arial" w:hAnsi="Arial"/>
          <w:sz w:val="7"/>
          <w:szCs w:val="7"/>
          <w:color w:val="FFFFFF"/>
        </w:rPr>
        <w:t xml:space="preserve"> 12.7 million, or 52%, of our video customers take digital services — all of them with access to ON DEMAND. Some 36% also take HD/DVR.</w:t>
      </w:r>
    </w:p>
    <w:p>
      <w:pPr>
        <w:spacing w:after="0" w:line="187" w:lineRule="auto"/>
        <w:rPr>
          <w:sz w:val="20"/>
          <w:szCs w:val="20"/>
          <w:color w:val="auto"/>
        </w:rPr>
      </w:pPr>
      <w:r>
        <w:rPr>
          <w:rFonts w:ascii="Arial" w:cs="Arial" w:eastAsia="Arial" w:hAnsi="Arial"/>
          <w:sz w:val="9"/>
          <w:szCs w:val="9"/>
          <w:color w:val="FFFFFF"/>
        </w:rPr>
        <w:t>MoreON DEMANDthan3.7BillionmovieONpurchasesDEMANDincreasedViews paySince-per2004:-view revenue 27%, to $633 million, in 2006, the third consecutive year of growth greater than 20%.</w:t>
      </w:r>
    </w:p>
    <w:p>
      <w:pPr>
        <w:spacing w:after="0"/>
        <w:rPr>
          <w:sz w:val="20"/>
          <w:szCs w:val="20"/>
          <w:color w:val="auto"/>
        </w:rPr>
      </w:pPr>
      <w:r>
        <w:rPr>
          <w:rFonts w:ascii="Arial" w:cs="Arial" w:eastAsia="Arial" w:hAnsi="Arial"/>
          <w:sz w:val="3"/>
          <w:szCs w:val="3"/>
          <w:color w:val="FFFFFF"/>
        </w:rPr>
        <w:t>(in millions) 1,855</w:t>
      </w:r>
    </w:p>
    <w:p>
      <w:pPr>
        <w:spacing w:after="0" w:line="181" w:lineRule="auto"/>
        <w:rPr>
          <w:sz w:val="20"/>
          <w:szCs w:val="20"/>
          <w:color w:val="auto"/>
        </w:rPr>
      </w:pPr>
      <w:r>
        <w:rPr>
          <w:rFonts w:ascii="Arial" w:cs="Arial" w:eastAsia="Arial" w:hAnsi="Arial"/>
          <w:sz w:val="10"/>
          <w:szCs w:val="10"/>
          <w:color w:val="FFFFFF"/>
        </w:rPr>
        <w:t>5671,3615</w:t>
      </w:r>
    </w:p>
    <w:p>
      <w:pPr>
        <w:spacing w:after="0" w:line="188" w:lineRule="auto"/>
        <w:rPr>
          <w:sz w:val="20"/>
          <w:szCs w:val="20"/>
          <w:color w:val="auto"/>
        </w:rPr>
      </w:pPr>
      <w:r>
        <w:rPr>
          <w:rFonts w:ascii="Arial" w:cs="Arial" w:eastAsia="Arial" w:hAnsi="Arial"/>
          <w:sz w:val="7"/>
          <w:szCs w:val="7"/>
          <w:color w:val="FFFFFF"/>
        </w:rPr>
        <w:t>2006</w:t>
      </w:r>
      <w:r>
        <w:rPr>
          <w:rFonts w:ascii="Arial" w:cs="Arial" w:eastAsia="Arial" w:hAnsi="Arial"/>
          <w:sz w:val="9"/>
          <w:szCs w:val="9"/>
          <w:color w:val="FFFFFF"/>
          <w:vertAlign w:val="subscript"/>
        </w:rPr>
        <w:t>4</w:t>
      </w:r>
    </w:p>
    <w:p>
      <w:pPr>
        <w:spacing w:after="0"/>
        <w:rPr>
          <w:sz w:val="20"/>
          <w:szCs w:val="20"/>
          <w:color w:val="auto"/>
        </w:rPr>
      </w:pPr>
      <w:r>
        <w:rPr>
          <w:rFonts w:ascii="Arial" w:cs="Arial" w:eastAsia="Arial" w:hAnsi="Arial"/>
          <w:sz w:val="14"/>
          <w:szCs w:val="14"/>
          <w:color w:val="FFFFFF"/>
        </w:rPr>
        <w:t>04</w:t>
      </w:r>
    </w:p>
    <w:p>
      <w:pPr>
        <w:sectPr>
          <w:pgSz w:w="11900" w:h="16838" w:orient="portrait"/>
          <w:cols w:equalWidth="0" w:num="1">
            <w:col w:w="10219"/>
          </w:cols>
          <w:pgMar w:left="240" w:top="459" w:right="1440" w:bottom="1440" w:gutter="0" w:footer="0" w:header="0"/>
        </w:sectPr>
      </w:pPr>
    </w:p>
    <w:bookmarkStart w:id="81" w:name="page82"/>
    <w:bookmarkEnd w:id="8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98" name="Picture 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8"/>
                    <pic:cNvPicPr>
                      <a:picLocks noChangeAspect="1" noChangeArrowheads="1"/>
                    </pic:cNvPicPr>
                  </pic:nvPicPr>
                  <pic:blipFill>
                    <a:blip r:embed="rId105">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880110</wp:posOffset>
            </wp:positionH>
            <wp:positionV relativeFrom="paragraph">
              <wp:posOffset>205740</wp:posOffset>
            </wp:positionV>
            <wp:extent cx="5497195" cy="7117715"/>
            <wp:wrapNone/>
            <wp:docPr id="99" name="Picture 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9"/>
                    <pic:cNvPicPr>
                      <a:picLocks noChangeAspect="1" noChangeArrowheads="1"/>
                    </pic:cNvPicPr>
                  </pic:nvPicPr>
                  <pic:blipFill>
                    <a:blip r:embed="rId106">
                      <a:extLst>
                        <a:ext uri="{28A0092B-C50C-407E-A947-70E740481C1C}"/>
                      </a:extLst>
                    </a:blip>
                    <a:srcRect/>
                    <a:stretch>
                      <a:fillRect/>
                    </a:stretch>
                  </pic:blipFill>
                  <pic:spPr bwMode="auto">
                    <a:xfrm>
                      <a:off x="0" y="0"/>
                      <a:ext cx="5497195" cy="711771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0" w:lineRule="exact"/>
        <w:rPr>
          <w:sz w:val="20"/>
          <w:szCs w:val="20"/>
          <w:color w:val="auto"/>
        </w:rPr>
      </w:pPr>
    </w:p>
    <w:p>
      <w:pPr>
        <w:ind w:right="199"/>
        <w:spacing w:after="0" w:line="185" w:lineRule="auto"/>
        <w:rPr>
          <w:sz w:val="20"/>
          <w:szCs w:val="20"/>
          <w:color w:val="auto"/>
        </w:rPr>
      </w:pPr>
      <w:r>
        <w:rPr>
          <w:rFonts w:ascii="Arial" w:cs="Arial" w:eastAsia="Arial" w:hAnsi="Arial"/>
          <w:sz w:val="12"/>
          <w:szCs w:val="12"/>
          <w:color w:val="FFFFFF"/>
        </w:rPr>
        <w:t>“People want what they want, when they want it. Nothing beats our ON DEMAND service. It gives our customers more than 8,000 viewing options today, most at no additional charge.” Denise Higgins VOD Content Supervisor New Castle, DE</w:t>
      </w:r>
    </w:p>
    <w:p>
      <w:pPr>
        <w:sectPr>
          <w:pgSz w:w="11900" w:h="16838" w:orient="portrait"/>
          <w:cols w:equalWidth="0" w:num="1">
            <w:col w:w="10219"/>
          </w:cols>
          <w:pgMar w:left="240" w:top="459" w:right="1440" w:bottom="1440" w:gutter="0" w:footer="0" w:header="0"/>
        </w:sectPr>
      </w:pPr>
    </w:p>
    <w:bookmarkStart w:id="82" w:name="page83"/>
    <w:bookmarkEnd w:id="8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100" name="Picture 1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0"/>
                    <pic:cNvPicPr>
                      <a:picLocks noChangeAspect="1" noChangeArrowheads="1"/>
                    </pic:cNvPicPr>
                  </pic:nvPicPr>
                  <pic:blipFill>
                    <a:blip r:embed="rId107">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948690</wp:posOffset>
            </wp:positionH>
            <wp:positionV relativeFrom="paragraph">
              <wp:posOffset>205740</wp:posOffset>
            </wp:positionV>
            <wp:extent cx="5368290" cy="6946265"/>
            <wp:wrapNone/>
            <wp:docPr id="101" name="Picture 1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1"/>
                    <pic:cNvPicPr>
                      <a:picLocks noChangeAspect="1" noChangeArrowheads="1"/>
                    </pic:cNvPicPr>
                  </pic:nvPicPr>
                  <pic:blipFill>
                    <a:blip r:embed="rId108">
                      <a:extLst>
                        <a:ext uri="{28A0092B-C50C-407E-A947-70E740481C1C}"/>
                      </a:extLst>
                    </a:blip>
                    <a:srcRect/>
                    <a:stretch>
                      <a:fillRect/>
                    </a:stretch>
                  </pic:blipFill>
                  <pic:spPr bwMode="auto">
                    <a:xfrm>
                      <a:off x="0" y="0"/>
                      <a:ext cx="5368290" cy="694626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2" w:lineRule="exact"/>
        <w:rPr>
          <w:sz w:val="20"/>
          <w:szCs w:val="20"/>
          <w:color w:val="auto"/>
        </w:rPr>
      </w:pPr>
    </w:p>
    <w:p>
      <w:pPr>
        <w:spacing w:after="0"/>
        <w:rPr>
          <w:sz w:val="20"/>
          <w:szCs w:val="20"/>
          <w:color w:val="auto"/>
        </w:rPr>
      </w:pPr>
      <w:r>
        <w:rPr>
          <w:rFonts w:ascii="Arial" w:cs="Arial" w:eastAsia="Arial" w:hAnsi="Arial"/>
          <w:sz w:val="14"/>
          <w:szCs w:val="14"/>
          <w:color w:val="FFFFFF"/>
        </w:rPr>
        <w:t>ComcasticOM001Comcastis. 2006 AR / Front 2/23/07 9a p.6</w:t>
      </w:r>
    </w:p>
    <w:p>
      <w:pPr>
        <w:ind w:left="10840"/>
        <w:spacing w:after="0"/>
        <w:rPr>
          <w:sz w:val="20"/>
          <w:szCs w:val="20"/>
          <w:color w:val="auto"/>
        </w:rPr>
      </w:pPr>
      <w:r>
        <w:rPr>
          <w:rFonts w:ascii="Arial" w:cs="Arial" w:eastAsia="Arial" w:hAnsi="Arial"/>
          <w:sz w:val="1"/>
          <w:szCs w:val="1"/>
          <w:color w:val="FFFFFF"/>
        </w:rPr>
        <w:t>“Ourbuilding strongarebrandslaser-focusedthatdeliveronindividualmust-haveinterestscontentandacrosspassions.multipleWhetherplatforms.it’sfashion on the red carpet, or horror films, or the stars of golf on the course, we’re delivering great content on television, on</w:t>
      </w:r>
    </w:p>
    <w:p>
      <w:pPr>
        <w:spacing w:after="0" w:line="181" w:lineRule="auto"/>
        <w:rPr>
          <w:sz w:val="20"/>
          <w:szCs w:val="20"/>
          <w:color w:val="auto"/>
        </w:rPr>
      </w:pPr>
      <w:r>
        <w:rPr>
          <w:rFonts w:ascii="Arial" w:cs="Arial" w:eastAsia="Arial" w:hAnsi="Arial"/>
          <w:sz w:val="14"/>
          <w:szCs w:val="14"/>
          <w:color w:val="FFFFFF"/>
        </w:rPr>
        <w:t>demandbrands online.”</w:t>
      </w:r>
    </w:p>
    <w:p>
      <w:pPr>
        <w:spacing w:after="0" w:line="190" w:lineRule="exact"/>
        <w:rPr>
          <w:sz w:val="20"/>
          <w:szCs w:val="20"/>
          <w:color w:val="auto"/>
        </w:rPr>
      </w:pPr>
    </w:p>
    <w:p>
      <w:pPr>
        <w:spacing w:after="0"/>
        <w:rPr>
          <w:sz w:val="20"/>
          <w:szCs w:val="20"/>
          <w:color w:val="auto"/>
        </w:rPr>
      </w:pPr>
      <w:r>
        <w:rPr>
          <w:rFonts w:ascii="Arial" w:cs="Arial" w:eastAsia="Arial" w:hAnsi="Arial"/>
          <w:sz w:val="14"/>
          <w:szCs w:val="14"/>
          <w:color w:val="FFFFFF"/>
        </w:rPr>
        <w:t>Suzanne Kolb EVPcontent,Marketing and Communications E! and Style Networks Los Angeles, CA</w:t>
      </w:r>
    </w:p>
    <w:p>
      <w:pPr>
        <w:spacing w:after="0" w:line="202" w:lineRule="exact"/>
        <w:rPr>
          <w:sz w:val="20"/>
          <w:szCs w:val="20"/>
          <w:color w:val="auto"/>
        </w:rPr>
      </w:pPr>
    </w:p>
    <w:p>
      <w:pPr>
        <w:spacing w:after="0"/>
        <w:tabs>
          <w:tab w:leader="none" w:pos="1260" w:val="left"/>
        </w:tabs>
        <w:rPr>
          <w:sz w:val="20"/>
          <w:szCs w:val="20"/>
          <w:color w:val="auto"/>
        </w:rPr>
      </w:pPr>
      <w:r>
        <w:rPr>
          <w:rFonts w:ascii="Arial" w:cs="Arial" w:eastAsia="Arial" w:hAnsi="Arial"/>
          <w:sz w:val="14"/>
          <w:szCs w:val="14"/>
          <w:color w:val="FFFFFF"/>
        </w:rPr>
        <w:t>With first-rate</w:t>
      </w:r>
      <w:r>
        <w:rPr>
          <w:sz w:val="20"/>
          <w:szCs w:val="20"/>
          <w:color w:val="auto"/>
        </w:rPr>
        <w:tab/>
      </w:r>
      <w:r>
        <w:rPr>
          <w:rFonts w:ascii="Arial" w:cs="Arial" w:eastAsia="Arial" w:hAnsi="Arial"/>
          <w:sz w:val="12"/>
          <w:szCs w:val="12"/>
          <w:color w:val="FFFFFF"/>
        </w:rPr>
        <w:t>Comcast appeals to sports fans, kids and even horror flick fans. Our</w:t>
      </w:r>
    </w:p>
    <w:p>
      <w:pPr>
        <w:sectPr>
          <w:pgSz w:w="11900" w:h="16838" w:orient="portrait"/>
          <w:cols w:equalWidth="0" w:num="1">
            <w:col w:w="10980"/>
          </w:cols>
          <w:pgMar w:left="240" w:top="459" w:right="679" w:bottom="1440" w:gutter="0" w:footer="0" w:header="0"/>
        </w:sectPr>
      </w:pPr>
    </w:p>
    <w:bookmarkStart w:id="83" w:name="page84"/>
    <w:bookmarkEnd w:id="83"/>
    <w:p>
      <w:pPr>
        <w:spacing w:after="0"/>
        <w:rPr>
          <w:rFonts w:ascii="Arial" w:cs="Arial" w:eastAsia="Arial" w:hAnsi="Arial"/>
          <w:sz w:val="16"/>
          <w:szCs w:val="16"/>
          <w:b w:val="1"/>
          <w:bCs w:val="1"/>
          <w:u w:val="single" w:color="auto"/>
          <w:color w:val="0000EE"/>
        </w:rPr>
      </w:pPr>
      <w:r>
        <w:rPr>
          <w:rFonts w:ascii="Arial" w:cs="Arial" w:eastAsia="Arial" w:hAnsi="Arial"/>
          <w:sz w:val="16"/>
          <w:szCs w:val="16"/>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102" name="Picture 1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2"/>
                    <pic:cNvPicPr>
                      <a:picLocks noChangeAspect="1" noChangeArrowheads="1"/>
                    </pic:cNvPicPr>
                  </pic:nvPicPr>
                  <pic:blipFill>
                    <a:blip r:embed="rId109">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3">
        <w:r>
          <w:rPr>
            <w:rFonts w:ascii="Arial" w:cs="Arial" w:eastAsia="Arial" w:hAnsi="Arial"/>
            <w:sz w:val="16"/>
            <w:szCs w:val="16"/>
            <w:b w:val="1"/>
            <w:bCs w:val="1"/>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880110</wp:posOffset>
            </wp:positionH>
            <wp:positionV relativeFrom="paragraph">
              <wp:posOffset>220345</wp:posOffset>
            </wp:positionV>
            <wp:extent cx="5497195" cy="7117715"/>
            <wp:wrapNone/>
            <wp:docPr id="103" name="Picture 1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3"/>
                    <pic:cNvPicPr>
                      <a:picLocks noChangeAspect="1" noChangeArrowheads="1"/>
                    </pic:cNvPicPr>
                  </pic:nvPicPr>
                  <pic:blipFill>
                    <a:blip r:embed="rId110">
                      <a:extLst>
                        <a:ext uri="{28A0092B-C50C-407E-A947-70E740481C1C}"/>
                      </a:extLst>
                    </a:blip>
                    <a:srcRect/>
                    <a:stretch>
                      <a:fillRect/>
                    </a:stretch>
                  </pic:blipFill>
                  <pic:spPr bwMode="auto">
                    <a:xfrm>
                      <a:off x="0" y="0"/>
                      <a:ext cx="5497195" cy="7117715"/>
                    </a:xfrm>
                    <a:prstGeom prst="rect">
                      <a:avLst/>
                    </a:prstGeom>
                    <a:noFill/>
                  </pic:spPr>
                </pic:pic>
              </a:graphicData>
            </a:graphic>
          </wp:anchor>
        </w:drawing>
      </w:r>
    </w:p>
    <w:p>
      <w:pPr>
        <w:sectPr>
          <w:pgSz w:w="11900" w:h="16838" w:orient="portrait"/>
          <w:cols w:equalWidth="0" w:num="1">
            <w:col w:w="10219"/>
          </w:cols>
          <w:pgMar w:left="240" w:top="459" w:right="1440" w:bottom="1440" w:gutter="0" w:footer="0" w:header="0"/>
        </w:sectPr>
      </w:pPr>
    </w:p>
    <w:bookmarkStart w:id="84" w:name="page85"/>
    <w:bookmarkEnd w:id="8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104" name="Picture 1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4"/>
                    <pic:cNvPicPr>
                      <a:picLocks noChangeAspect="1" noChangeArrowheads="1"/>
                    </pic:cNvPicPr>
                  </pic:nvPicPr>
                  <pic:blipFill>
                    <a:blip r:embed="rId111">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948690</wp:posOffset>
            </wp:positionH>
            <wp:positionV relativeFrom="paragraph">
              <wp:posOffset>205740</wp:posOffset>
            </wp:positionV>
            <wp:extent cx="5368290" cy="6946265"/>
            <wp:wrapNone/>
            <wp:docPr id="105" name="Picture 1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5"/>
                    <pic:cNvPicPr>
                      <a:picLocks noChangeAspect="1" noChangeArrowheads="1"/>
                    </pic:cNvPicPr>
                  </pic:nvPicPr>
                  <pic:blipFill>
                    <a:blip r:embed="rId112">
                      <a:extLst>
                        <a:ext uri="{28A0092B-C50C-407E-A947-70E740481C1C}"/>
                      </a:extLst>
                    </a:blip>
                    <a:srcRect/>
                    <a:stretch>
                      <a:fillRect/>
                    </a:stretch>
                  </pic:blipFill>
                  <pic:spPr bwMode="auto">
                    <a:xfrm>
                      <a:off x="0" y="0"/>
                      <a:ext cx="5368290" cy="694626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2" w:lineRule="exact"/>
        <w:rPr>
          <w:sz w:val="20"/>
          <w:szCs w:val="20"/>
          <w:color w:val="auto"/>
        </w:rPr>
      </w:pPr>
    </w:p>
    <w:p>
      <w:pPr>
        <w:spacing w:after="0"/>
        <w:rPr>
          <w:sz w:val="20"/>
          <w:szCs w:val="20"/>
          <w:color w:val="auto"/>
        </w:rPr>
      </w:pPr>
      <w:r>
        <w:rPr>
          <w:rFonts w:ascii="Arial" w:cs="Arial" w:eastAsia="Arial" w:hAnsi="Arial"/>
          <w:sz w:val="27"/>
          <w:szCs w:val="27"/>
          <w:color w:val="FFFFFF"/>
          <w:vertAlign w:val="subscript"/>
        </w:rPr>
        <w:t>Comcastic</w:t>
      </w:r>
      <w:r>
        <w:rPr>
          <w:rFonts w:ascii="Arial" w:cs="Arial" w:eastAsia="Arial" w:hAnsi="Arial"/>
          <w:sz w:val="14"/>
          <w:szCs w:val="14"/>
          <w:color w:val="FFFFFF"/>
        </w:rPr>
        <w:t>OM001Comcastis. 2006 AR / Front 2/23/07 9a p.8</w:t>
      </w:r>
    </w:p>
    <w:p>
      <w:pPr>
        <w:spacing w:after="0"/>
        <w:rPr>
          <w:sz w:val="20"/>
          <w:szCs w:val="20"/>
          <w:color w:val="auto"/>
        </w:rPr>
      </w:pPr>
      <w:r>
        <w:rPr>
          <w:rFonts w:ascii="Arial" w:cs="Arial" w:eastAsia="Arial" w:hAnsi="Arial"/>
          <w:sz w:val="3"/>
          <w:szCs w:val="3"/>
          <w:color w:val="FFFFFF"/>
        </w:rPr>
        <w:t>turning up the volume on a whole new business.</w:t>
      </w:r>
    </w:p>
    <w:p>
      <w:pPr>
        <w:spacing w:after="0" w:line="6" w:lineRule="exact"/>
        <w:rPr>
          <w:sz w:val="20"/>
          <w:szCs w:val="20"/>
          <w:color w:val="auto"/>
        </w:rPr>
      </w:pPr>
    </w:p>
    <w:p>
      <w:pPr>
        <w:spacing w:after="0" w:line="230" w:lineRule="auto"/>
        <w:rPr>
          <w:sz w:val="20"/>
          <w:szCs w:val="20"/>
          <w:color w:val="auto"/>
        </w:rPr>
      </w:pPr>
      <w:r>
        <w:rPr>
          <w:rFonts w:ascii="Arial" w:cs="Arial" w:eastAsia="Arial" w:hAnsi="Arial"/>
          <w:sz w:val="11"/>
          <w:szCs w:val="11"/>
          <w:color w:val="FFFFFF"/>
        </w:rPr>
        <w:t>“So many new customers have discovered what a great value Comcast Digital Voice® is. And as impressive as the sign-up rates for phone are, they’re just gaining speed. It’s going to be a growth engine for years to come.”</w:t>
      </w:r>
    </w:p>
    <w:p>
      <w:pPr>
        <w:spacing w:after="0" w:line="188" w:lineRule="auto"/>
        <w:rPr>
          <w:sz w:val="20"/>
          <w:szCs w:val="20"/>
          <w:color w:val="auto"/>
        </w:rPr>
      </w:pPr>
      <w:r>
        <w:rPr>
          <w:rFonts w:ascii="Arial" w:cs="Arial" w:eastAsia="Arial" w:hAnsi="Arial"/>
          <w:sz w:val="9"/>
          <w:szCs w:val="9"/>
          <w:color w:val="FFFFFF"/>
        </w:rPr>
        <w:t>GrowthSincethecontinuesintroductiontoaccelerate.ofComcast Digital Voice, subscriptions have surged as customers take advantage of the unlimited local and nationwide phone service, low international rates and full set of features.</w:t>
      </w:r>
    </w:p>
    <w:p>
      <w:pPr>
        <w:spacing w:after="0"/>
        <w:rPr>
          <w:sz w:val="20"/>
          <w:szCs w:val="20"/>
          <w:color w:val="auto"/>
        </w:rPr>
      </w:pPr>
      <w:r>
        <w:rPr>
          <w:rFonts w:ascii="Arial" w:cs="Arial" w:eastAsia="Arial" w:hAnsi="Arial"/>
          <w:sz w:val="3"/>
          <w:szCs w:val="3"/>
          <w:color w:val="FFFFFF"/>
        </w:rPr>
        <w:t>(subscribersFivetimesmoreinthousands)Comcast Digital Voice additions in 2006 than in 2005:</w:t>
      </w:r>
    </w:p>
    <w:p>
      <w:pPr>
        <w:spacing w:after="0" w:line="194" w:lineRule="auto"/>
        <w:rPr>
          <w:sz w:val="20"/>
          <w:szCs w:val="20"/>
          <w:color w:val="auto"/>
        </w:rPr>
      </w:pPr>
      <w:r>
        <w:rPr>
          <w:rFonts w:ascii="Arial" w:cs="Arial" w:eastAsia="Arial" w:hAnsi="Arial"/>
          <w:sz w:val="5"/>
          <w:szCs w:val="5"/>
          <w:color w:val="FFFFFF"/>
          <w:vertAlign w:val="superscript"/>
        </w:rPr>
        <w:t>•</w:t>
      </w:r>
    </w:p>
    <w:p>
      <w:pPr>
        <w:ind w:left="80"/>
        <w:spacing w:after="0"/>
        <w:rPr>
          <w:sz w:val="20"/>
          <w:szCs w:val="20"/>
          <w:color w:val="auto"/>
        </w:rPr>
      </w:pPr>
      <w:r>
        <w:rPr>
          <w:rFonts w:ascii="Arial" w:cs="Arial" w:eastAsia="Arial" w:hAnsi="Arial"/>
          <w:sz w:val="3"/>
          <w:szCs w:val="3"/>
          <w:color w:val="FFFFFF"/>
        </w:rPr>
        <w:t>OverComcast80%DigitalofvoiceVoicecustomersisnow takemarketedallthreeto32products.million homes, or 70% of our footprint, and we will expand our coverage to 40 million homes by year-end 2007.</w:t>
      </w:r>
    </w:p>
    <w:p>
      <w:pPr>
        <w:spacing w:after="0" w:line="194" w:lineRule="auto"/>
        <w:rPr>
          <w:sz w:val="20"/>
          <w:szCs w:val="20"/>
          <w:color w:val="auto"/>
        </w:rPr>
      </w:pPr>
      <w:r>
        <w:rPr>
          <w:rFonts w:ascii="Arial" w:cs="Arial" w:eastAsia="Arial" w:hAnsi="Arial"/>
          <w:sz w:val="5"/>
          <w:szCs w:val="5"/>
          <w:color w:val="FFFFFF"/>
        </w:rPr>
        <w:t>1,549</w:t>
      </w:r>
    </w:p>
    <w:p>
      <w:pPr>
        <w:ind w:left="80"/>
        <w:spacing w:after="0" w:line="211" w:lineRule="auto"/>
        <w:rPr>
          <w:sz w:val="20"/>
          <w:szCs w:val="20"/>
          <w:color w:val="auto"/>
        </w:rPr>
      </w:pPr>
      <w:r>
        <w:rPr>
          <w:rFonts w:ascii="Arial" w:cs="Arial" w:eastAsia="Arial" w:hAnsi="Arial"/>
          <w:sz w:val="2"/>
          <w:szCs w:val="2"/>
          <w:color w:val="FFFFFF"/>
        </w:rPr>
        <w:t>90</w:t>
      </w:r>
      <w:r>
        <w:rPr>
          <w:rFonts w:ascii="Arial" w:cs="Arial" w:eastAsia="Arial" w:hAnsi="Arial"/>
          <w:sz w:val="4"/>
          <w:szCs w:val="4"/>
          <w:color w:val="FFFFFF"/>
          <w:vertAlign w:val="subscript"/>
        </w:rPr>
        <w:t>5</w:t>
      </w:r>
    </w:p>
    <w:p>
      <w:pPr>
        <w:spacing w:after="0" w:line="188" w:lineRule="auto"/>
        <w:rPr>
          <w:sz w:val="20"/>
          <w:szCs w:val="20"/>
          <w:color w:val="auto"/>
        </w:rPr>
      </w:pPr>
      <w:r>
        <w:rPr>
          <w:rFonts w:ascii="Arial" w:cs="Arial" w:eastAsia="Arial" w:hAnsi="Arial"/>
          <w:sz w:val="9"/>
          <w:szCs w:val="9"/>
          <w:color w:val="FFFFFF"/>
        </w:rPr>
        <w:t>2006</w:t>
      </w:r>
    </w:p>
    <w:p>
      <w:pPr>
        <w:spacing w:after="0"/>
        <w:rPr>
          <w:sz w:val="20"/>
          <w:szCs w:val="20"/>
          <w:color w:val="auto"/>
        </w:rPr>
      </w:pPr>
      <w:r>
        <w:rPr>
          <w:rFonts w:ascii="Arial" w:cs="Arial" w:eastAsia="Arial" w:hAnsi="Arial"/>
          <w:sz w:val="14"/>
          <w:szCs w:val="14"/>
          <w:color w:val="FFFFFF"/>
        </w:rPr>
        <w:t>08</w:t>
      </w:r>
    </w:p>
    <w:p>
      <w:pPr>
        <w:sectPr>
          <w:pgSz w:w="11900" w:h="16838" w:orient="portrait"/>
          <w:cols w:equalWidth="0" w:num="1">
            <w:col w:w="11120"/>
          </w:cols>
          <w:pgMar w:left="240" w:top="459" w:right="539" w:bottom="1440" w:gutter="0" w:footer="0" w:header="0"/>
        </w:sectPr>
      </w:pPr>
    </w:p>
    <w:bookmarkStart w:id="85" w:name="page86"/>
    <w:bookmarkEnd w:id="8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106" name="Picture 1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6"/>
                    <pic:cNvPicPr>
                      <a:picLocks noChangeAspect="1" noChangeArrowheads="1"/>
                    </pic:cNvPicPr>
                  </pic:nvPicPr>
                  <pic:blipFill>
                    <a:blip r:embed="rId113">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880110</wp:posOffset>
            </wp:positionH>
            <wp:positionV relativeFrom="paragraph">
              <wp:posOffset>205740</wp:posOffset>
            </wp:positionV>
            <wp:extent cx="5497195" cy="7117715"/>
            <wp:wrapNone/>
            <wp:docPr id="107" name="Picture 1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7"/>
                    <pic:cNvPicPr>
                      <a:picLocks noChangeAspect="1" noChangeArrowheads="1"/>
                    </pic:cNvPicPr>
                  </pic:nvPicPr>
                  <pic:blipFill>
                    <a:blip r:embed="rId114">
                      <a:extLst>
                        <a:ext uri="{28A0092B-C50C-407E-A947-70E740481C1C}"/>
                      </a:extLst>
                    </a:blip>
                    <a:srcRect/>
                    <a:stretch>
                      <a:fillRect/>
                    </a:stretch>
                  </pic:blipFill>
                  <pic:spPr bwMode="auto">
                    <a:xfrm>
                      <a:off x="0" y="0"/>
                      <a:ext cx="5497195" cy="711771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0" w:lineRule="exact"/>
        <w:rPr>
          <w:sz w:val="20"/>
          <w:szCs w:val="20"/>
          <w:color w:val="auto"/>
        </w:rPr>
      </w:pPr>
    </w:p>
    <w:p>
      <w:pPr>
        <w:spacing w:after="0"/>
        <w:rPr>
          <w:sz w:val="20"/>
          <w:szCs w:val="20"/>
          <w:color w:val="auto"/>
        </w:rPr>
      </w:pPr>
      <w:r>
        <w:rPr>
          <w:rFonts w:ascii="Arial" w:cs="Arial" w:eastAsia="Arial" w:hAnsi="Arial"/>
          <w:sz w:val="12"/>
          <w:szCs w:val="12"/>
          <w:color w:val="FFFFFF"/>
        </w:rPr>
        <w:t>Mohammed Haroon Director, Telephony Operations Twin Cities Region St. Paul, MN</w:t>
      </w:r>
    </w:p>
    <w:p>
      <w:pPr>
        <w:sectPr>
          <w:pgSz w:w="11900" w:h="16838" w:orient="portrait"/>
          <w:cols w:equalWidth="0" w:num="1">
            <w:col w:w="10219"/>
          </w:cols>
          <w:pgMar w:left="240" w:top="459" w:right="1440" w:bottom="1440" w:gutter="0" w:footer="0" w:header="0"/>
        </w:sectPr>
      </w:pPr>
    </w:p>
    <w:bookmarkStart w:id="86" w:name="page87"/>
    <w:bookmarkEnd w:id="8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108" name="Picture 1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8"/>
                    <pic:cNvPicPr>
                      <a:picLocks noChangeAspect="1" noChangeArrowheads="1"/>
                    </pic:cNvPicPr>
                  </pic:nvPicPr>
                  <pic:blipFill>
                    <a:blip r:embed="rId115">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880110</wp:posOffset>
            </wp:positionH>
            <wp:positionV relativeFrom="paragraph">
              <wp:posOffset>205740</wp:posOffset>
            </wp:positionV>
            <wp:extent cx="5497195" cy="7117715"/>
            <wp:wrapNone/>
            <wp:docPr id="109" name="Picture 1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9"/>
                    <pic:cNvPicPr>
                      <a:picLocks noChangeAspect="1" noChangeArrowheads="1"/>
                    </pic:cNvPicPr>
                  </pic:nvPicPr>
                  <pic:blipFill>
                    <a:blip r:embed="rId116">
                      <a:extLst>
                        <a:ext uri="{28A0092B-C50C-407E-A947-70E740481C1C}"/>
                      </a:extLst>
                    </a:blip>
                    <a:srcRect/>
                    <a:stretch>
                      <a:fillRect/>
                    </a:stretch>
                  </pic:blipFill>
                  <pic:spPr bwMode="auto">
                    <a:xfrm>
                      <a:off x="0" y="0"/>
                      <a:ext cx="5497195" cy="711771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2" w:lineRule="exact"/>
        <w:rPr>
          <w:sz w:val="20"/>
          <w:szCs w:val="20"/>
          <w:color w:val="auto"/>
        </w:rPr>
      </w:pPr>
    </w:p>
    <w:p>
      <w:pPr>
        <w:spacing w:after="0"/>
        <w:rPr>
          <w:sz w:val="20"/>
          <w:szCs w:val="20"/>
          <w:color w:val="auto"/>
        </w:rPr>
      </w:pPr>
      <w:r>
        <w:rPr>
          <w:rFonts w:ascii="Arial" w:cs="Arial" w:eastAsia="Arial" w:hAnsi="Arial"/>
          <w:sz w:val="14"/>
          <w:szCs w:val="14"/>
          <w:color w:val="FFFFFF"/>
        </w:rPr>
        <w:t>Comcastic is.</w:t>
      </w:r>
    </w:p>
    <w:p>
      <w:pPr>
        <w:spacing w:after="0" w:line="187" w:lineRule="auto"/>
        <w:rPr>
          <w:sz w:val="20"/>
          <w:szCs w:val="20"/>
          <w:color w:val="auto"/>
        </w:rPr>
      </w:pPr>
      <w:r>
        <w:rPr>
          <w:rFonts w:ascii="Arial" w:cs="Arial" w:eastAsia="Arial" w:hAnsi="Arial"/>
          <w:sz w:val="9"/>
          <w:szCs w:val="9"/>
          <w:color w:val="FFFFFF"/>
        </w:rPr>
        <w:t>taking high-speed Internet to a higher level.</w:t>
      </w:r>
    </w:p>
    <w:p>
      <w:pPr>
        <w:spacing w:after="0" w:line="188" w:lineRule="auto"/>
        <w:rPr>
          <w:sz w:val="20"/>
          <w:szCs w:val="20"/>
          <w:color w:val="auto"/>
        </w:rPr>
      </w:pPr>
      <w:r>
        <w:rPr>
          <w:rFonts w:ascii="Arial" w:cs="Arial" w:eastAsia="Arial" w:hAnsi="Arial"/>
          <w:sz w:val="9"/>
          <w:szCs w:val="9"/>
          <w:color w:val="FFFFFF"/>
        </w:rPr>
        <w:t>ComcastWeincreasedHigh-SpeedthespeedInternetofourdeliversservicethefourspeedtimesandin toolsthelastcustomersthreeyears,needattonogetextrathe costmosttofromconsumers.theirInternet experience.</w:t>
      </w:r>
    </w:p>
    <w:p>
      <w:pPr>
        <w:ind w:left="80"/>
        <w:spacing w:after="0"/>
        <w:rPr>
          <w:sz w:val="20"/>
          <w:szCs w:val="20"/>
          <w:color w:val="auto"/>
        </w:rPr>
      </w:pPr>
      <w:r>
        <w:rPr>
          <w:rFonts w:ascii="Arial" w:cs="Arial" w:eastAsia="Arial" w:hAnsi="Arial"/>
          <w:sz w:val="3"/>
          <w:szCs w:val="3"/>
          <w:color w:val="FFFFFF"/>
        </w:rPr>
        <w:t>WeIn2006,launchedweintroduced65newfeaturesPowerBoost,inthelastwhichthreecanyears,burstincludingspeedstoMcAfee®12or16Mbpssecurity,for Videolargedownloads,Mail,PhotoShowandweandplanmanytorollothers.outan upstream version in 2007.</w:t>
      </w:r>
    </w:p>
    <w:p>
      <w:pPr>
        <w:spacing w:after="0" w:line="194" w:lineRule="auto"/>
        <w:rPr>
          <w:sz w:val="20"/>
          <w:szCs w:val="20"/>
          <w:color w:val="auto"/>
        </w:rPr>
      </w:pPr>
      <w:r>
        <w:rPr>
          <w:rFonts w:ascii="Arial" w:cs="Arial" w:eastAsia="Arial" w:hAnsi="Arial"/>
          <w:sz w:val="5"/>
          <w:szCs w:val="5"/>
          <w:color w:val="FFFFFF"/>
          <w:vertAlign w:val="superscript"/>
        </w:rPr>
        <w:t>•</w:t>
      </w:r>
    </w:p>
    <w:p>
      <w:pPr>
        <w:ind w:left="80"/>
        <w:spacing w:after="0"/>
        <w:rPr>
          <w:sz w:val="20"/>
          <w:szCs w:val="20"/>
          <w:color w:val="auto"/>
        </w:rPr>
      </w:pPr>
      <w:r>
        <w:rPr>
          <w:rFonts w:ascii="Arial" w:cs="Arial" w:eastAsia="Arial" w:hAnsi="Arial"/>
          <w:sz w:val="3"/>
          <w:szCs w:val="3"/>
          <w:color w:val="FFFFFF"/>
        </w:rPr>
        <w:t>Comcast.netThroughThealsoFan™rankedvideoamongplayer,thewetopdelivered10inInternet700millionsearchvideotraffic.downloads in 2006 and ranked in the top 15 providers of video on the Internet.</w:t>
      </w:r>
    </w:p>
    <w:p>
      <w:pPr>
        <w:spacing w:after="0" w:line="6" w:lineRule="exact"/>
        <w:rPr>
          <w:sz w:val="20"/>
          <w:szCs w:val="20"/>
          <w:color w:val="auto"/>
        </w:rPr>
      </w:pPr>
    </w:p>
    <w:p>
      <w:pPr>
        <w:ind w:right="99"/>
        <w:spacing w:after="0" w:line="187" w:lineRule="auto"/>
        <w:rPr>
          <w:sz w:val="20"/>
          <w:szCs w:val="20"/>
          <w:color w:val="auto"/>
        </w:rPr>
      </w:pPr>
      <w:r>
        <w:rPr>
          <w:rFonts w:ascii="Arial" w:cs="Arial" w:eastAsia="Arial" w:hAnsi="Arial"/>
          <w:sz w:val="9"/>
          <w:szCs w:val="9"/>
          <w:color w:val="FFFFFF"/>
        </w:rPr>
        <w:t>“Our high-speed Internet service is simply a better broadband experience. With a steady stream of new features and faster speeds, it makes video downloads and interactive media a snap.” Melinda Lindsley Director,</w:t>
      </w:r>
    </w:p>
    <w:p>
      <w:pPr>
        <w:spacing w:after="0"/>
        <w:rPr>
          <w:sz w:val="20"/>
          <w:szCs w:val="20"/>
          <w:color w:val="auto"/>
        </w:rPr>
      </w:pPr>
      <w:r>
        <w:rPr>
          <w:rFonts w:ascii="Arial" w:cs="Arial" w:eastAsia="Arial" w:hAnsi="Arial"/>
          <w:sz w:val="14"/>
          <w:szCs w:val="14"/>
          <w:color w:val="FFFFFF"/>
        </w:rPr>
        <w:t>Business Requirements /Cross-Product Systems Philadelphia, PA</w:t>
      </w:r>
    </w:p>
    <w:p>
      <w:pPr>
        <w:sectPr>
          <w:pgSz w:w="11900" w:h="16838" w:orient="portrait"/>
          <w:cols w:equalWidth="0" w:num="1">
            <w:col w:w="10219"/>
          </w:cols>
          <w:pgMar w:left="240" w:top="459" w:right="1440" w:bottom="1440" w:gutter="0" w:footer="0" w:header="0"/>
        </w:sectPr>
      </w:pPr>
    </w:p>
    <w:bookmarkStart w:id="87" w:name="page88"/>
    <w:bookmarkEnd w:id="87"/>
    <w:p>
      <w:pPr>
        <w:spacing w:after="0"/>
        <w:rPr>
          <w:rFonts w:ascii="Arial" w:cs="Arial" w:eastAsia="Arial" w:hAnsi="Arial"/>
          <w:sz w:val="16"/>
          <w:szCs w:val="16"/>
          <w:b w:val="1"/>
          <w:bCs w:val="1"/>
          <w:u w:val="single" w:color="auto"/>
          <w:color w:val="0000EE"/>
        </w:rPr>
      </w:pPr>
      <w:r>
        <w:rPr>
          <w:rFonts w:ascii="Arial" w:cs="Arial" w:eastAsia="Arial" w:hAnsi="Arial"/>
          <w:sz w:val="16"/>
          <w:szCs w:val="16"/>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110" name="Picture 1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0"/>
                    <pic:cNvPicPr>
                      <a:picLocks noChangeAspect="1" noChangeArrowheads="1"/>
                    </pic:cNvPicPr>
                  </pic:nvPicPr>
                  <pic:blipFill>
                    <a:blip r:embed="rId117">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3">
        <w:r>
          <w:rPr>
            <w:rFonts w:ascii="Arial" w:cs="Arial" w:eastAsia="Arial" w:hAnsi="Arial"/>
            <w:sz w:val="16"/>
            <w:szCs w:val="16"/>
            <w:b w:val="1"/>
            <w:bCs w:val="1"/>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880110</wp:posOffset>
            </wp:positionH>
            <wp:positionV relativeFrom="paragraph">
              <wp:posOffset>220345</wp:posOffset>
            </wp:positionV>
            <wp:extent cx="5497195" cy="7117715"/>
            <wp:wrapNone/>
            <wp:docPr id="111" name="Picture 1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1"/>
                    <pic:cNvPicPr>
                      <a:picLocks noChangeAspect="1" noChangeArrowheads="1"/>
                    </pic:cNvPicPr>
                  </pic:nvPicPr>
                  <pic:blipFill>
                    <a:blip r:embed="rId118">
                      <a:extLst>
                        <a:ext uri="{28A0092B-C50C-407E-A947-70E740481C1C}"/>
                      </a:extLst>
                    </a:blip>
                    <a:srcRect/>
                    <a:stretch>
                      <a:fillRect/>
                    </a:stretch>
                  </pic:blipFill>
                  <pic:spPr bwMode="auto">
                    <a:xfrm>
                      <a:off x="0" y="0"/>
                      <a:ext cx="5497195" cy="7117715"/>
                    </a:xfrm>
                    <a:prstGeom prst="rect">
                      <a:avLst/>
                    </a:prstGeom>
                    <a:noFill/>
                  </pic:spPr>
                </pic:pic>
              </a:graphicData>
            </a:graphic>
          </wp:anchor>
        </w:drawing>
      </w:r>
    </w:p>
    <w:p>
      <w:pPr>
        <w:sectPr>
          <w:pgSz w:w="11900" w:h="16838" w:orient="portrait"/>
          <w:cols w:equalWidth="0" w:num="1">
            <w:col w:w="10219"/>
          </w:cols>
          <w:pgMar w:left="240" w:top="459" w:right="1440" w:bottom="1440" w:gutter="0" w:footer="0" w:header="0"/>
        </w:sectPr>
      </w:pPr>
    </w:p>
    <w:bookmarkStart w:id="88" w:name="page89"/>
    <w:bookmarkEnd w:id="8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112" name="Picture 1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2"/>
                    <pic:cNvPicPr>
                      <a:picLocks noChangeAspect="1" noChangeArrowheads="1"/>
                    </pic:cNvPicPr>
                  </pic:nvPicPr>
                  <pic:blipFill>
                    <a:blip r:embed="rId119">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880110</wp:posOffset>
            </wp:positionH>
            <wp:positionV relativeFrom="paragraph">
              <wp:posOffset>205740</wp:posOffset>
            </wp:positionV>
            <wp:extent cx="5497195" cy="7117715"/>
            <wp:wrapNone/>
            <wp:docPr id="113" name="Picture 1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3"/>
                    <pic:cNvPicPr>
                      <a:picLocks noChangeAspect="1" noChangeArrowheads="1"/>
                    </pic:cNvPicPr>
                  </pic:nvPicPr>
                  <pic:blipFill>
                    <a:blip r:embed="rId120">
                      <a:extLst>
                        <a:ext uri="{28A0092B-C50C-407E-A947-70E740481C1C}"/>
                      </a:extLst>
                    </a:blip>
                    <a:srcRect/>
                    <a:stretch>
                      <a:fillRect/>
                    </a:stretch>
                  </pic:blipFill>
                  <pic:spPr bwMode="auto">
                    <a:xfrm>
                      <a:off x="0" y="0"/>
                      <a:ext cx="5497195" cy="711771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2" w:lineRule="exact"/>
        <w:rPr>
          <w:sz w:val="20"/>
          <w:szCs w:val="20"/>
          <w:color w:val="auto"/>
        </w:rPr>
      </w:pPr>
    </w:p>
    <w:p>
      <w:pPr>
        <w:spacing w:after="0"/>
        <w:rPr>
          <w:sz w:val="20"/>
          <w:szCs w:val="20"/>
          <w:color w:val="auto"/>
        </w:rPr>
      </w:pPr>
      <w:r>
        <w:rPr>
          <w:rFonts w:ascii="Arial" w:cs="Arial" w:eastAsia="Arial" w:hAnsi="Arial"/>
          <w:sz w:val="14"/>
          <w:szCs w:val="14"/>
          <w:color w:val="FFFFFF"/>
        </w:rPr>
        <w:t>Comcastic is.</w:t>
      </w:r>
    </w:p>
    <w:p>
      <w:pPr>
        <w:spacing w:after="0"/>
        <w:rPr>
          <w:sz w:val="20"/>
          <w:szCs w:val="20"/>
          <w:color w:val="auto"/>
        </w:rPr>
      </w:pPr>
      <w:r>
        <w:rPr>
          <w:rFonts w:ascii="Arial" w:cs="Arial" w:eastAsia="Arial" w:hAnsi="Arial"/>
          <w:sz w:val="3"/>
          <w:szCs w:val="3"/>
          <w:color w:val="FFFFFF"/>
        </w:rPr>
        <w:t>knowing how to deliver a great customer experience.</w:t>
      </w:r>
    </w:p>
    <w:p>
      <w:pPr>
        <w:spacing w:after="0" w:line="194" w:lineRule="auto"/>
        <w:rPr>
          <w:sz w:val="20"/>
          <w:szCs w:val="20"/>
          <w:color w:val="auto"/>
        </w:rPr>
      </w:pPr>
      <w:r>
        <w:rPr>
          <w:rFonts w:ascii="Arial" w:cs="Arial" w:eastAsia="Arial" w:hAnsi="Arial"/>
          <w:sz w:val="5"/>
          <w:szCs w:val="5"/>
          <w:color w:val="FFFFFF"/>
        </w:rPr>
        <w:t>As we roll out new products, we continue to improve our service and field support, which builds the foundation for our future growth.</w:t>
      </w:r>
    </w:p>
    <w:p>
      <w:pPr>
        <w:ind w:left="80"/>
        <w:spacing w:after="0"/>
        <w:rPr>
          <w:sz w:val="20"/>
          <w:szCs w:val="20"/>
          <w:color w:val="auto"/>
        </w:rPr>
      </w:pPr>
      <w:r>
        <w:rPr>
          <w:rFonts w:ascii="Arial" w:cs="Arial" w:eastAsia="Arial" w:hAnsi="Arial"/>
          <w:sz w:val="3"/>
          <w:szCs w:val="3"/>
          <w:color w:val="FFFFFF"/>
        </w:rPr>
        <w:t>In 2006, we hired and trained 6,500 field technicians and customer service representatives to keep pace with the accelerating growth of new products. We expect the pace of new hiring to continue in 2007.</w:t>
      </w:r>
    </w:p>
    <w:p>
      <w:pPr>
        <w:spacing w:after="0" w:line="194" w:lineRule="auto"/>
        <w:rPr>
          <w:sz w:val="20"/>
          <w:szCs w:val="20"/>
          <w:color w:val="auto"/>
        </w:rPr>
      </w:pPr>
      <w:r>
        <w:rPr>
          <w:rFonts w:ascii="Arial" w:cs="Arial" w:eastAsia="Arial" w:hAnsi="Arial"/>
          <w:sz w:val="5"/>
          <w:szCs w:val="5"/>
          <w:color w:val="FFFFFF"/>
          <w:vertAlign w:val="superscript"/>
        </w:rPr>
        <w:t>• We’re</w:t>
      </w:r>
      <w:r>
        <w:rPr>
          <w:rFonts w:ascii="Arial" w:cs="Arial" w:eastAsia="Arial" w:hAnsi="Arial"/>
          <w:sz w:val="3"/>
          <w:szCs w:val="3"/>
          <w:color w:val="FFFFFF"/>
        </w:rPr>
        <w:t xml:space="preserve"> investing in automated tools to increase our operating efficiency.</w:t>
      </w:r>
    </w:p>
    <w:p>
      <w:pPr>
        <w:ind w:left="440"/>
        <w:spacing w:after="0" w:line="211" w:lineRule="auto"/>
        <w:rPr>
          <w:sz w:val="20"/>
          <w:szCs w:val="20"/>
          <w:color w:val="auto"/>
        </w:rPr>
      </w:pPr>
      <w:r>
        <w:rPr>
          <w:rFonts w:ascii="Arial" w:cs="Arial" w:eastAsia="Arial" w:hAnsi="Arial"/>
          <w:sz w:val="2"/>
          <w:szCs w:val="2"/>
          <w:color w:val="FFFFFF"/>
        </w:rPr>
        <w:t>building new training programs at Comcast University and creating new career paths to provide better service</w:t>
      </w:r>
      <w:r>
        <w:rPr>
          <w:rFonts w:ascii="Arial" w:cs="Arial" w:eastAsia="Arial" w:hAnsi="Arial"/>
          <w:sz w:val="4"/>
          <w:szCs w:val="4"/>
          <w:color w:val="FFFFFF"/>
          <w:vertAlign w:val="subscript"/>
        </w:rPr>
        <w:t>comfortable,</w:t>
      </w:r>
      <w:r>
        <w:rPr>
          <w:rFonts w:ascii="Arial" w:cs="Arial" w:eastAsia="Arial" w:hAnsi="Arial"/>
          <w:sz w:val="2"/>
          <w:szCs w:val="2"/>
          <w:color w:val="FFFFFF"/>
        </w:rPr>
        <w:t>andbetter experience for our customers.</w:t>
      </w:r>
    </w:p>
    <w:p>
      <w:pPr>
        <w:ind w:right="1160"/>
        <w:spacing w:after="0" w:line="211" w:lineRule="auto"/>
        <w:rPr>
          <w:sz w:val="20"/>
          <w:szCs w:val="20"/>
          <w:color w:val="auto"/>
        </w:rPr>
      </w:pPr>
      <w:r>
        <w:rPr>
          <w:rFonts w:ascii="Arial" w:cs="Arial" w:eastAsia="Arial" w:hAnsi="Arial"/>
          <w:sz w:val="8"/>
          <w:szCs w:val="8"/>
          <w:color w:val="FFFFFF"/>
        </w:rPr>
        <w:t>“We begin technical training with ‘Think Customer First,’ emphasizing the skills our people need to make customers like avoiding tech jargon, and making things simple.” Carl Hansen South Jersey Area Technical Learning and Development Manager Turnersville, NJ</w:t>
      </w:r>
    </w:p>
    <w:p>
      <w:pPr>
        <w:spacing w:after="0"/>
        <w:rPr>
          <w:sz w:val="20"/>
          <w:szCs w:val="20"/>
          <w:color w:val="auto"/>
        </w:rPr>
      </w:pPr>
      <w:r>
        <w:rPr>
          <w:rFonts w:ascii="Arial" w:cs="Arial" w:eastAsia="Arial" w:hAnsi="Arial"/>
          <w:sz w:val="14"/>
          <w:szCs w:val="14"/>
          <w:color w:val="FFFFFF"/>
        </w:rPr>
        <w:t>12</w:t>
      </w:r>
    </w:p>
    <w:p>
      <w:pPr>
        <w:sectPr>
          <w:pgSz w:w="11900" w:h="16838" w:orient="portrait"/>
          <w:cols w:equalWidth="0" w:num="1">
            <w:col w:w="11140"/>
          </w:cols>
          <w:pgMar w:left="240" w:top="459" w:right="519" w:bottom="1440" w:gutter="0" w:footer="0" w:header="0"/>
        </w:sectPr>
      </w:pPr>
    </w:p>
    <w:bookmarkStart w:id="89" w:name="page90"/>
    <w:bookmarkEnd w:id="8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114" name="Picture 1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4"/>
                    <pic:cNvPicPr>
                      <a:picLocks noChangeAspect="1" noChangeArrowheads="1"/>
                    </pic:cNvPicPr>
                  </pic:nvPicPr>
                  <pic:blipFill>
                    <a:blip r:embed="rId121">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880110</wp:posOffset>
            </wp:positionH>
            <wp:positionV relativeFrom="paragraph">
              <wp:posOffset>205740</wp:posOffset>
            </wp:positionV>
            <wp:extent cx="5497195" cy="7117715"/>
            <wp:wrapNone/>
            <wp:docPr id="115" name="Picture 1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5"/>
                    <pic:cNvPicPr>
                      <a:picLocks noChangeAspect="1" noChangeArrowheads="1"/>
                    </pic:cNvPicPr>
                  </pic:nvPicPr>
                  <pic:blipFill>
                    <a:blip r:embed="rId122">
                      <a:extLst>
                        <a:ext uri="{28A0092B-C50C-407E-A947-70E740481C1C}"/>
                      </a:extLst>
                    </a:blip>
                    <a:srcRect/>
                    <a:stretch>
                      <a:fillRect/>
                    </a:stretch>
                  </pic:blipFill>
                  <pic:spPr bwMode="auto">
                    <a:xfrm>
                      <a:off x="0" y="0"/>
                      <a:ext cx="5497195" cy="711771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2" w:lineRule="exact"/>
        <w:rPr>
          <w:sz w:val="20"/>
          <w:szCs w:val="20"/>
          <w:color w:val="auto"/>
        </w:rPr>
      </w:pPr>
    </w:p>
    <w:p>
      <w:pPr>
        <w:spacing w:after="0"/>
        <w:rPr>
          <w:sz w:val="20"/>
          <w:szCs w:val="20"/>
          <w:color w:val="auto"/>
        </w:rPr>
      </w:pPr>
      <w:r>
        <w:rPr>
          <w:rFonts w:ascii="Arial" w:cs="Arial" w:eastAsia="Arial" w:hAnsi="Arial"/>
          <w:sz w:val="14"/>
          <w:szCs w:val="14"/>
          <w:color w:val="FFFFFF"/>
        </w:rPr>
        <w:t>and staying true to who we are.</w:t>
      </w:r>
    </w:p>
    <w:p>
      <w:pPr>
        <w:ind w:right="240"/>
        <w:spacing w:after="0" w:line="187" w:lineRule="auto"/>
        <w:rPr>
          <w:sz w:val="20"/>
          <w:szCs w:val="20"/>
          <w:color w:val="auto"/>
        </w:rPr>
      </w:pPr>
      <w:r>
        <w:rPr>
          <w:rFonts w:ascii="Arial" w:cs="Arial" w:eastAsia="Arial" w:hAnsi="Arial"/>
          <w:sz w:val="9"/>
          <w:szCs w:val="9"/>
          <w:color w:val="FFFFFF"/>
        </w:rPr>
        <w:t>“Since my first day with Comcast 25 years ago, the company has totally supported my volunteer activities — from backing my involvement in a special-needs camp, to giving me time off to help out in New York City after 9/11.”</w:t>
      </w:r>
    </w:p>
    <w:p>
      <w:pPr>
        <w:spacing w:after="0"/>
        <w:rPr>
          <w:sz w:val="20"/>
          <w:szCs w:val="20"/>
          <w:color w:val="auto"/>
        </w:rPr>
      </w:pPr>
      <w:r>
        <w:rPr>
          <w:rFonts w:ascii="Arial" w:cs="Arial" w:eastAsia="Arial" w:hAnsi="Arial"/>
          <w:sz w:val="3"/>
          <w:szCs w:val="3"/>
          <w:color w:val="FFFFFF"/>
        </w:rPr>
        <w:t>Comcast is deeply rooted in local communities. We focus our civic efforts in three areas: youth leadership, literacy and volunteerism.</w:t>
      </w:r>
    </w:p>
    <w:p>
      <w:pPr>
        <w:spacing w:after="0" w:line="6" w:lineRule="exact"/>
        <w:rPr>
          <w:sz w:val="20"/>
          <w:szCs w:val="20"/>
          <w:color w:val="auto"/>
        </w:rPr>
      </w:pPr>
    </w:p>
    <w:p>
      <w:pPr>
        <w:spacing w:after="0" w:line="187" w:lineRule="auto"/>
        <w:rPr>
          <w:sz w:val="20"/>
          <w:szCs w:val="20"/>
          <w:color w:val="auto"/>
        </w:rPr>
      </w:pPr>
      <w:r>
        <w:rPr>
          <w:rFonts w:ascii="Arial" w:cs="Arial" w:eastAsia="Arial" w:hAnsi="Arial"/>
          <w:sz w:val="9"/>
          <w:szCs w:val="9"/>
          <w:color w:val="FFFFFF"/>
        </w:rPr>
        <w:t>• Comcast is a national partner of City Year, which recruits young people to give a year to full-time community service and leadership development. In 2006, the company provided City Year with $1.4 million in grants and in-kind support.</w:t>
      </w:r>
    </w:p>
    <w:p>
      <w:pPr>
        <w:spacing w:after="0" w:line="213" w:lineRule="auto"/>
        <w:rPr>
          <w:sz w:val="20"/>
          <w:szCs w:val="20"/>
          <w:color w:val="auto"/>
        </w:rPr>
      </w:pPr>
      <w:r>
        <w:rPr>
          <w:rFonts w:ascii="Arial" w:cs="Arial" w:eastAsia="Arial" w:hAnsi="Arial"/>
          <w:sz w:val="2"/>
          <w:szCs w:val="2"/>
          <w:color w:val="FFFFFF"/>
        </w:rPr>
        <w:t>•</w:t>
      </w:r>
      <w:r>
        <w:rPr>
          <w:rFonts w:ascii="Arial" w:cs="Arial" w:eastAsia="Arial" w:hAnsi="Arial"/>
          <w:sz w:val="4"/>
          <w:szCs w:val="4"/>
          <w:color w:val="FFFFFF"/>
          <w:vertAlign w:val="subscript"/>
        </w:rPr>
        <w:t>Achievers®</w:t>
      </w:r>
      <w:r>
        <w:rPr>
          <w:rFonts w:ascii="Arial" w:cs="Arial" w:eastAsia="Arial" w:hAnsi="Arial"/>
          <w:sz w:val="2"/>
          <w:szCs w:val="2"/>
          <w:color w:val="FFFFFF"/>
        </w:rPr>
        <w:t>Comcast’ Leaders and</w:t>
      </w:r>
    </w:p>
    <w:p>
      <w:pPr>
        <w:ind w:left="700"/>
        <w:spacing w:after="0" w:line="211" w:lineRule="auto"/>
        <w:rPr>
          <w:sz w:val="20"/>
          <w:szCs w:val="20"/>
          <w:color w:val="auto"/>
        </w:rPr>
      </w:pPr>
      <w:r>
        <w:rPr>
          <w:rFonts w:ascii="Arial" w:cs="Arial" w:eastAsia="Arial" w:hAnsi="Arial"/>
          <w:sz w:val="4"/>
          <w:szCs w:val="4"/>
          <w:color w:val="FFFFFF"/>
          <w:vertAlign w:val="subscript"/>
        </w:rPr>
        <w:t>Scholarship</w:t>
      </w:r>
      <w:r>
        <w:rPr>
          <w:rFonts w:ascii="Arial" w:cs="Arial" w:eastAsia="Arial" w:hAnsi="Arial"/>
          <w:sz w:val="2"/>
          <w:szCs w:val="2"/>
          <w:color w:val="FFFFFF"/>
        </w:rPr>
        <w:t xml:space="preserve"> Program recognized 1,728 high school seniors nationwide. Based on their community involvement and academic achievement, each earned a $1,000 college scholarship.</w:t>
      </w:r>
    </w:p>
    <w:p>
      <w:pPr>
        <w:ind w:right="340"/>
        <w:spacing w:after="0"/>
        <w:rPr>
          <w:sz w:val="20"/>
          <w:szCs w:val="20"/>
          <w:color w:val="auto"/>
        </w:rPr>
      </w:pPr>
      <w:r>
        <w:rPr>
          <w:rFonts w:ascii="Arial" w:cs="Arial" w:eastAsia="Arial" w:hAnsi="Arial"/>
          <w:sz w:val="10"/>
          <w:szCs w:val="10"/>
          <w:color w:val="FFFFFF"/>
        </w:rPr>
        <w:t>• Comcast recruited diverse group of students to participate as summer interns through our ongoing partnership with the Emma Bowen Foundation. Last year, we hosted 25 interns who received funds for college in addition to their intern stipend.</w:t>
      </w:r>
    </w:p>
    <w:p>
      <w:pPr>
        <w:spacing w:after="0" w:line="6" w:lineRule="exact"/>
        <w:rPr>
          <w:sz w:val="20"/>
          <w:szCs w:val="20"/>
          <w:color w:val="auto"/>
        </w:rPr>
      </w:pPr>
    </w:p>
    <w:p>
      <w:pPr>
        <w:spacing w:after="0"/>
        <w:rPr>
          <w:sz w:val="20"/>
          <w:szCs w:val="20"/>
          <w:color w:val="auto"/>
        </w:rPr>
      </w:pPr>
      <w:r>
        <w:rPr>
          <w:rFonts w:ascii="Arial" w:cs="Arial" w:eastAsia="Arial" w:hAnsi="Arial"/>
          <w:sz w:val="14"/>
          <w:szCs w:val="14"/>
          <w:color w:val="FFFFFF"/>
        </w:rPr>
        <w:t>13William “Billy” Malone Dispatch Manager Union, NJ</w:t>
      </w:r>
    </w:p>
    <w:p>
      <w:pPr>
        <w:sectPr>
          <w:pgSz w:w="11900" w:h="16838" w:orient="portrait"/>
          <w:cols w:equalWidth="0" w:num="1">
            <w:col w:w="11400"/>
          </w:cols>
          <w:pgMar w:left="240" w:top="459" w:right="259" w:bottom="1440" w:gutter="0" w:footer="0" w:header="0"/>
        </w:sectPr>
      </w:pPr>
    </w:p>
    <w:bookmarkStart w:id="90" w:name="page91"/>
    <w:bookmarkEnd w:id="90"/>
    <w:p>
      <w:pPr>
        <w:spacing w:after="0"/>
        <w:rPr>
          <w:rFonts w:ascii="Arial" w:cs="Arial" w:eastAsia="Arial" w:hAnsi="Arial"/>
          <w:sz w:val="16"/>
          <w:szCs w:val="16"/>
          <w:b w:val="1"/>
          <w:bCs w:val="1"/>
          <w:u w:val="single" w:color="auto"/>
          <w:color w:val="0000EE"/>
        </w:rPr>
      </w:pPr>
      <w:r>
        <w:rPr>
          <w:rFonts w:ascii="Arial" w:cs="Arial" w:eastAsia="Arial" w:hAnsi="Arial"/>
          <w:sz w:val="16"/>
          <w:szCs w:val="16"/>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116" name="Picture 1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6"/>
                    <pic:cNvPicPr>
                      <a:picLocks noChangeAspect="1" noChangeArrowheads="1"/>
                    </pic:cNvPicPr>
                  </pic:nvPicPr>
                  <pic:blipFill>
                    <a:blip r:embed="rId123">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3">
        <w:r>
          <w:rPr>
            <w:rFonts w:ascii="Arial" w:cs="Arial" w:eastAsia="Arial" w:hAnsi="Arial"/>
            <w:sz w:val="16"/>
            <w:szCs w:val="16"/>
            <w:b w:val="1"/>
            <w:bCs w:val="1"/>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880110</wp:posOffset>
            </wp:positionH>
            <wp:positionV relativeFrom="paragraph">
              <wp:posOffset>220345</wp:posOffset>
            </wp:positionV>
            <wp:extent cx="5497195" cy="7117715"/>
            <wp:wrapNone/>
            <wp:docPr id="117" name="Picture 1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7"/>
                    <pic:cNvPicPr>
                      <a:picLocks noChangeAspect="1" noChangeArrowheads="1"/>
                    </pic:cNvPicPr>
                  </pic:nvPicPr>
                  <pic:blipFill>
                    <a:blip r:embed="rId124">
                      <a:extLst>
                        <a:ext uri="{28A0092B-C50C-407E-A947-70E740481C1C}"/>
                      </a:extLst>
                    </a:blip>
                    <a:srcRect/>
                    <a:stretch>
                      <a:fillRect/>
                    </a:stretch>
                  </pic:blipFill>
                  <pic:spPr bwMode="auto">
                    <a:xfrm>
                      <a:off x="0" y="0"/>
                      <a:ext cx="5497195" cy="711771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4" w:lineRule="exact"/>
        <w:rPr>
          <w:sz w:val="20"/>
          <w:szCs w:val="20"/>
          <w:color w:val="auto"/>
        </w:rPr>
      </w:pPr>
    </w:p>
    <w:p>
      <w:pPr>
        <w:spacing w:after="0"/>
        <w:rPr>
          <w:sz w:val="20"/>
          <w:szCs w:val="20"/>
          <w:color w:val="auto"/>
        </w:rPr>
      </w:pPr>
      <w:r>
        <w:rPr>
          <w:rFonts w:ascii="Arial" w:cs="Arial" w:eastAsia="Arial" w:hAnsi="Arial"/>
          <w:sz w:val="14"/>
          <w:szCs w:val="14"/>
          <w:color w:val="FFFFFF"/>
        </w:rPr>
        <w:t>14Comcastic! is.</w:t>
      </w:r>
    </w:p>
    <w:p>
      <w:pPr>
        <w:sectPr>
          <w:pgSz w:w="11900" w:h="16838" w:orient="portrait"/>
          <w:cols w:equalWidth="0" w:num="1">
            <w:col w:w="10219"/>
          </w:cols>
          <w:pgMar w:left="240" w:top="459" w:right="1440" w:bottom="1440" w:gutter="0" w:footer="0" w:header="0"/>
        </w:sectPr>
      </w:pPr>
    </w:p>
    <w:bookmarkStart w:id="91" w:name="page92"/>
    <w:bookmarkEnd w:id="91"/>
    <w:p>
      <w:pPr>
        <w:spacing w:after="0"/>
        <w:rPr>
          <w:rFonts w:ascii="Arial" w:cs="Arial" w:eastAsia="Arial" w:hAnsi="Arial"/>
          <w:sz w:val="16"/>
          <w:szCs w:val="16"/>
          <w:b w:val="1"/>
          <w:bCs w:val="1"/>
          <w:u w:val="single" w:color="auto"/>
          <w:color w:val="0000EE"/>
        </w:rPr>
      </w:pPr>
      <w:r>
        <w:rPr>
          <w:rFonts w:ascii="Arial" w:cs="Arial" w:eastAsia="Arial" w:hAnsi="Arial"/>
          <w:sz w:val="16"/>
          <w:szCs w:val="16"/>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118" name="Picture 1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8"/>
                    <pic:cNvPicPr>
                      <a:picLocks noChangeAspect="1" noChangeArrowheads="1"/>
                    </pic:cNvPicPr>
                  </pic:nvPicPr>
                  <pic:blipFill>
                    <a:blip r:embed="rId125">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3">
        <w:r>
          <w:rPr>
            <w:rFonts w:ascii="Arial" w:cs="Arial" w:eastAsia="Arial" w:hAnsi="Arial"/>
            <w:sz w:val="16"/>
            <w:szCs w:val="16"/>
            <w:b w:val="1"/>
            <w:bCs w:val="1"/>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880110</wp:posOffset>
            </wp:positionH>
            <wp:positionV relativeFrom="paragraph">
              <wp:posOffset>220345</wp:posOffset>
            </wp:positionV>
            <wp:extent cx="5497195" cy="7117715"/>
            <wp:wrapNone/>
            <wp:docPr id="119" name="Picture 1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9"/>
                    <pic:cNvPicPr>
                      <a:picLocks noChangeAspect="1" noChangeArrowheads="1"/>
                    </pic:cNvPicPr>
                  </pic:nvPicPr>
                  <pic:blipFill>
                    <a:blip r:embed="rId126">
                      <a:extLst>
                        <a:ext uri="{28A0092B-C50C-407E-A947-70E740481C1C}"/>
                      </a:extLst>
                    </a:blip>
                    <a:srcRect/>
                    <a:stretch>
                      <a:fillRect/>
                    </a:stretch>
                  </pic:blipFill>
                  <pic:spPr bwMode="auto">
                    <a:xfrm>
                      <a:off x="0" y="0"/>
                      <a:ext cx="5497195" cy="7117715"/>
                    </a:xfrm>
                    <a:prstGeom prst="rect">
                      <a:avLst/>
                    </a:prstGeom>
                    <a:noFill/>
                  </pic:spPr>
                </pic:pic>
              </a:graphicData>
            </a:graphic>
          </wp:anchor>
        </w:drawing>
      </w:r>
    </w:p>
    <w:p>
      <w:pPr>
        <w:sectPr>
          <w:pgSz w:w="11900" w:h="16838" w:orient="portrait"/>
          <w:cols w:equalWidth="0" w:num="1">
            <w:col w:w="10219"/>
          </w:cols>
          <w:pgMar w:left="240" w:top="459" w:right="1440" w:bottom="1440" w:gutter="0" w:footer="0" w:header="0"/>
        </w:sectPr>
      </w:pPr>
    </w:p>
    <w:bookmarkStart w:id="92" w:name="page93"/>
    <w:bookmarkEnd w:id="92"/>
    <w:p>
      <w:pPr>
        <w:spacing w:after="0"/>
        <w:rPr>
          <w:rFonts w:ascii="Arial" w:cs="Arial" w:eastAsia="Arial" w:hAnsi="Arial"/>
          <w:sz w:val="16"/>
          <w:szCs w:val="16"/>
          <w:b w:val="1"/>
          <w:bCs w:val="1"/>
          <w:u w:val="single" w:color="auto"/>
          <w:color w:val="0000EE"/>
        </w:rPr>
      </w:pPr>
      <w:r>
        <w:rPr>
          <w:rFonts w:ascii="Arial" w:cs="Arial" w:eastAsia="Arial" w:hAnsi="Arial"/>
          <w:sz w:val="16"/>
          <w:szCs w:val="16"/>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120" name="Picture 1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0"/>
                    <pic:cNvPicPr>
                      <a:picLocks noChangeAspect="1" noChangeArrowheads="1"/>
                    </pic:cNvPicPr>
                  </pic:nvPicPr>
                  <pic:blipFill>
                    <a:blip r:embed="rId127">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3">
        <w:r>
          <w:rPr>
            <w:rFonts w:ascii="Arial" w:cs="Arial" w:eastAsia="Arial" w:hAnsi="Arial"/>
            <w:sz w:val="16"/>
            <w:szCs w:val="16"/>
            <w:b w:val="1"/>
            <w:bCs w:val="1"/>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880110</wp:posOffset>
            </wp:positionH>
            <wp:positionV relativeFrom="paragraph">
              <wp:posOffset>220345</wp:posOffset>
            </wp:positionV>
            <wp:extent cx="5497195" cy="7117715"/>
            <wp:wrapNone/>
            <wp:docPr id="121" name="Picture 1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1"/>
                    <pic:cNvPicPr>
                      <a:picLocks noChangeAspect="1" noChangeArrowheads="1"/>
                    </pic:cNvPicPr>
                  </pic:nvPicPr>
                  <pic:blipFill>
                    <a:blip r:embed="rId128">
                      <a:extLst>
                        <a:ext uri="{28A0092B-C50C-407E-A947-70E740481C1C}"/>
                      </a:extLst>
                    </a:blip>
                    <a:srcRect/>
                    <a:stretch>
                      <a:fillRect/>
                    </a:stretch>
                  </pic:blipFill>
                  <pic:spPr bwMode="auto">
                    <a:xfrm>
                      <a:off x="0" y="0"/>
                      <a:ext cx="5497195" cy="7117715"/>
                    </a:xfrm>
                    <a:prstGeom prst="rect">
                      <a:avLst/>
                    </a:prstGeom>
                    <a:noFill/>
                  </pic:spPr>
                </pic:pic>
              </a:graphicData>
            </a:graphic>
          </wp:anchor>
        </w:drawing>
      </w:r>
    </w:p>
    <w:p>
      <w:pPr>
        <w:sectPr>
          <w:pgSz w:w="11900" w:h="16838" w:orient="portrait"/>
          <w:cols w:equalWidth="0" w:num="1">
            <w:col w:w="10219"/>
          </w:cols>
          <w:pgMar w:left="240" w:top="459" w:right="1440" w:bottom="1440" w:gutter="0" w:footer="0" w:header="0"/>
        </w:sectPr>
      </w:pPr>
    </w:p>
    <w:bookmarkStart w:id="93" w:name="page94"/>
    <w:bookmarkEnd w:id="9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122" name="Picture 1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2"/>
                    <pic:cNvPicPr>
                      <a:picLocks noChangeAspect="1" noChangeArrowheads="1"/>
                    </pic:cNvPicPr>
                  </pic:nvPicPr>
                  <pic:blipFill>
                    <a:blip r:embed="rId129">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880110</wp:posOffset>
            </wp:positionH>
            <wp:positionV relativeFrom="paragraph">
              <wp:posOffset>205740</wp:posOffset>
            </wp:positionV>
            <wp:extent cx="5497195" cy="7117715"/>
            <wp:wrapNone/>
            <wp:docPr id="123" name="Picture 1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3"/>
                    <pic:cNvPicPr>
                      <a:picLocks noChangeAspect="1" noChangeArrowheads="1"/>
                    </pic:cNvPicPr>
                  </pic:nvPicPr>
                  <pic:blipFill>
                    <a:blip r:embed="rId130">
                      <a:extLst>
                        <a:ext uri="{28A0092B-C50C-407E-A947-70E740481C1C}"/>
                      </a:extLst>
                    </a:blip>
                    <a:srcRect/>
                    <a:stretch>
                      <a:fillRect/>
                    </a:stretch>
                  </pic:blipFill>
                  <pic:spPr bwMode="auto">
                    <a:xfrm>
                      <a:off x="0" y="0"/>
                      <a:ext cx="5497195" cy="711771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2" w:lineRule="exact"/>
        <w:rPr>
          <w:sz w:val="20"/>
          <w:szCs w:val="20"/>
          <w:color w:val="auto"/>
        </w:rPr>
      </w:pPr>
    </w:p>
    <w:p>
      <w:pPr>
        <w:spacing w:after="0"/>
        <w:rPr>
          <w:sz w:val="20"/>
          <w:szCs w:val="20"/>
          <w:color w:val="auto"/>
        </w:rPr>
      </w:pPr>
      <w:r>
        <w:rPr>
          <w:rFonts w:ascii="Arial" w:cs="Arial" w:eastAsia="Arial" w:hAnsi="Arial"/>
          <w:sz w:val="14"/>
          <w:szCs w:val="14"/>
          <w:color w:val="FFFFFF"/>
        </w:rPr>
        <w:t>Dear Comcast Shareholders, Employees and Friends:</w:t>
      </w:r>
    </w:p>
    <w:p>
      <w:pPr>
        <w:spacing w:after="0" w:line="211" w:lineRule="auto"/>
        <w:rPr>
          <w:sz w:val="20"/>
          <w:szCs w:val="20"/>
          <w:color w:val="auto"/>
        </w:rPr>
      </w:pPr>
      <w:r>
        <w:rPr>
          <w:rFonts w:ascii="Arial" w:cs="Arial" w:eastAsia="Arial" w:hAnsi="Arial"/>
          <w:sz w:val="2"/>
          <w:szCs w:val="2"/>
          <w:color w:val="FFFFFF"/>
        </w:rPr>
        <w:t xml:space="preserve">About 18 months ago, we decided that it </w:t>
      </w:r>
      <w:r>
        <w:rPr>
          <w:rFonts w:ascii="Arial" w:cs="Arial" w:eastAsia="Arial" w:hAnsi="Arial"/>
          <w:sz w:val="4"/>
          <w:szCs w:val="4"/>
          <w:color w:val="FFFFFF"/>
          <w:vertAlign w:val="subscript"/>
        </w:rPr>
        <w:t>was</w:t>
      </w:r>
      <w:r>
        <w:rPr>
          <w:rFonts w:ascii="Arial" w:cs="Arial" w:eastAsia="Arial" w:hAnsi="Arial"/>
          <w:sz w:val="2"/>
          <w:szCs w:val="2"/>
          <w:color w:val="FFFFFF"/>
        </w:rPr>
        <w:t xml:space="preserve"> time to launch Comcast’</w:t>
      </w:r>
      <w:r>
        <w:rPr>
          <w:rFonts w:ascii="Arial" w:cs="Arial" w:eastAsia="Arial" w:hAnsi="Arial"/>
          <w:sz w:val="4"/>
          <w:szCs w:val="4"/>
          <w:color w:val="FFFFFF"/>
          <w:vertAlign w:val="subscript"/>
        </w:rPr>
        <w:t>customers’</w:t>
      </w:r>
      <w:r>
        <w:rPr>
          <w:rFonts w:ascii="Arial" w:cs="Arial" w:eastAsia="Arial" w:hAnsi="Arial"/>
          <w:sz w:val="2"/>
          <w:szCs w:val="2"/>
          <w:color w:val="FFFFFF"/>
        </w:rPr>
        <w:t>veryfirst nationwide advertising campaign. Surveys showed that customers loved our new products — such as ON DEMAND, high- speed</w:t>
      </w:r>
    </w:p>
    <w:p>
      <w:pPr>
        <w:ind w:left="240" w:right="1680" w:hanging="228"/>
        <w:spacing w:after="0" w:line="211" w:lineRule="auto"/>
        <w:rPr>
          <w:sz w:val="20"/>
          <w:szCs w:val="20"/>
          <w:color w:val="auto"/>
        </w:rPr>
      </w:pPr>
      <w:r>
        <w:rPr>
          <w:rFonts w:ascii="Arial" w:cs="Arial" w:eastAsia="Arial" w:hAnsi="Arial"/>
          <w:sz w:val="27"/>
          <w:szCs w:val="27"/>
          <w:color w:val="FFFFFF"/>
          <w:vertAlign w:val="superscript"/>
        </w:rPr>
        <w:t>I’m</w:t>
      </w:r>
      <w:r>
        <w:rPr>
          <w:rFonts w:ascii="Arial" w:cs="Arial" w:eastAsia="Arial" w:hAnsi="Arial"/>
          <w:sz w:val="14"/>
          <w:szCs w:val="14"/>
          <w:color w:val="FFFFFF"/>
        </w:rPr>
        <w:t>nternet and more. This led us to look for</w:t>
      </w:r>
      <w:r>
        <w:rPr>
          <w:sz w:val="20"/>
          <w:szCs w:val="20"/>
          <w:color w:val="auto"/>
        </w:rPr>
        <w:t xml:space="preserve"> </w:t>
      </w:r>
      <w:r>
        <w:rPr>
          <w:rFonts w:ascii="Arial" w:cs="Arial" w:eastAsia="Arial" w:hAnsi="Arial"/>
          <w:sz w:val="8"/>
          <w:szCs w:val="8"/>
          <w:color w:val="FFFFFF"/>
        </w:rPr>
        <w:t>smart way to express our enthusiasm for Comcast’s new and improved experience — and that’s how “Comcastic!” was born. glad our team came up with that word, because I can’t think of a better way to describe 2006. It was our best year ever. It was truly Comcastic!</w:t>
      </w:r>
    </w:p>
    <w:p>
      <w:pPr>
        <w:spacing w:after="0"/>
        <w:rPr>
          <w:sz w:val="20"/>
          <w:szCs w:val="20"/>
          <w:color w:val="auto"/>
        </w:rPr>
      </w:pPr>
      <w:r>
        <w:rPr>
          <w:rFonts w:ascii="Arial" w:cs="Arial" w:eastAsia="Arial" w:hAnsi="Arial"/>
          <w:sz w:val="3"/>
          <w:szCs w:val="3"/>
          <w:color w:val="FFFFFF"/>
        </w:rPr>
        <w:t>clockwise from left:</w:t>
      </w:r>
    </w:p>
    <w:p>
      <w:pPr>
        <w:spacing w:after="0" w:line="194" w:lineRule="auto"/>
        <w:rPr>
          <w:sz w:val="20"/>
          <w:szCs w:val="20"/>
          <w:color w:val="auto"/>
        </w:rPr>
      </w:pPr>
      <w:r>
        <w:rPr>
          <w:rFonts w:ascii="Arial" w:cs="Arial" w:eastAsia="Arial" w:hAnsi="Arial"/>
          <w:sz w:val="5"/>
          <w:szCs w:val="5"/>
          <w:color w:val="FFFFFF"/>
        </w:rPr>
        <w:t>Brian L. Roberts Chairman and Chief Executive Officer</w:t>
      </w:r>
    </w:p>
    <w:p>
      <w:pPr>
        <w:spacing w:after="0" w:line="188" w:lineRule="auto"/>
        <w:rPr>
          <w:sz w:val="20"/>
          <w:szCs w:val="20"/>
          <w:color w:val="auto"/>
        </w:rPr>
      </w:pPr>
      <w:r>
        <w:rPr>
          <w:rFonts w:ascii="Arial" w:cs="Arial" w:eastAsia="Arial" w:hAnsi="Arial"/>
          <w:sz w:val="9"/>
          <w:szCs w:val="9"/>
          <w:color w:val="FFFFFF"/>
        </w:rPr>
        <w:t>Stephen B. Burke Chief Operating Officer President Comcast Cable</w:t>
      </w:r>
    </w:p>
    <w:p>
      <w:pPr>
        <w:spacing w:after="0"/>
        <w:rPr>
          <w:sz w:val="20"/>
          <w:szCs w:val="20"/>
          <w:color w:val="auto"/>
        </w:rPr>
      </w:pPr>
      <w:r>
        <w:rPr>
          <w:rFonts w:ascii="Arial" w:cs="Arial" w:eastAsia="Arial" w:hAnsi="Arial"/>
          <w:sz w:val="14"/>
          <w:szCs w:val="14"/>
          <w:color w:val="FFFFFF"/>
        </w:rPr>
        <w:t>17Ralph J. Roberts Founder Chairman, Executive and Finance Committee</w:t>
      </w:r>
    </w:p>
    <w:p>
      <w:pPr>
        <w:sectPr>
          <w:pgSz w:w="11900" w:h="16838" w:orient="portrait"/>
          <w:cols w:equalWidth="0" w:num="1">
            <w:col w:w="11420"/>
          </w:cols>
          <w:pgMar w:left="240" w:top="459" w:right="239" w:bottom="1440" w:gutter="0" w:footer="0" w:header="0"/>
        </w:sectPr>
      </w:pPr>
    </w:p>
    <w:bookmarkStart w:id="94" w:name="page95"/>
    <w:bookmarkEnd w:id="9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124" name="Picture 1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4"/>
                    <pic:cNvPicPr>
                      <a:picLocks noChangeAspect="1" noChangeArrowheads="1"/>
                    </pic:cNvPicPr>
                  </pic:nvPicPr>
                  <pic:blipFill>
                    <a:blip r:embed="rId131">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880110</wp:posOffset>
            </wp:positionH>
            <wp:positionV relativeFrom="paragraph">
              <wp:posOffset>205740</wp:posOffset>
            </wp:positionV>
            <wp:extent cx="5497195" cy="7117715"/>
            <wp:wrapNone/>
            <wp:docPr id="125" name="Picture 1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5"/>
                    <pic:cNvPicPr>
                      <a:picLocks noChangeAspect="1" noChangeArrowheads="1"/>
                    </pic:cNvPicPr>
                  </pic:nvPicPr>
                  <pic:blipFill>
                    <a:blip r:embed="rId132">
                      <a:extLst>
                        <a:ext uri="{28A0092B-C50C-407E-A947-70E740481C1C}"/>
                      </a:extLst>
                    </a:blip>
                    <a:srcRect/>
                    <a:stretch>
                      <a:fillRect/>
                    </a:stretch>
                  </pic:blipFill>
                  <pic:spPr bwMode="auto">
                    <a:xfrm>
                      <a:off x="0" y="0"/>
                      <a:ext cx="5497195" cy="711771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1"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11320" w:type="dxa"/>
            <w:vAlign w:val="bottom"/>
            <w:gridSpan w:val="3"/>
          </w:tcPr>
          <w:p>
            <w:pPr>
              <w:spacing w:after="0"/>
              <w:rPr>
                <w:sz w:val="20"/>
                <w:szCs w:val="20"/>
                <w:color w:val="auto"/>
              </w:rPr>
            </w:pPr>
            <w:r>
              <w:rPr>
                <w:rFonts w:ascii="Arial" w:cs="Arial" w:eastAsia="Arial" w:hAnsi="Arial"/>
                <w:sz w:val="14"/>
                <w:szCs w:val="14"/>
                <w:color w:val="FFFFFF"/>
                <w:w w:val="88"/>
              </w:rPr>
              <w:t>We broke all records in 2006, driven by our cable business.(a) Cable revenues increased 12%,   $26.3 billion. Operating cash flow(b) rose 15%, to $10.5 billion, making 2006 our sixth straight year — capping</w:t>
            </w:r>
          </w:p>
        </w:tc>
        <w:tc>
          <w:tcPr>
            <w:tcW w:w="0" w:type="dxa"/>
            <w:vAlign w:val="bottom"/>
          </w:tcPr>
          <w:p>
            <w:pPr>
              <w:spacing w:after="0"/>
              <w:rPr>
                <w:sz w:val="1"/>
                <w:szCs w:val="1"/>
                <w:color w:val="auto"/>
              </w:rPr>
            </w:pPr>
          </w:p>
        </w:tc>
      </w:tr>
      <w:tr>
        <w:trPr>
          <w:trHeight w:val="41"/>
        </w:trPr>
        <w:tc>
          <w:tcPr>
            <w:tcW w:w="8640" w:type="dxa"/>
            <w:vAlign w:val="bottom"/>
            <w:gridSpan w:val="2"/>
          </w:tcPr>
          <w:p>
            <w:pPr>
              <w:spacing w:after="0"/>
              <w:rPr>
                <w:sz w:val="20"/>
                <w:szCs w:val="20"/>
                <w:color w:val="auto"/>
              </w:rPr>
            </w:pPr>
            <w:r>
              <w:rPr>
                <w:rFonts w:ascii="Arial" w:cs="Arial" w:eastAsia="Arial" w:hAnsi="Arial"/>
                <w:sz w:val="3"/>
                <w:szCs w:val="3"/>
                <w:color w:val="FFFFFF"/>
              </w:rPr>
              <w:t>26 consecutive quarters — of double-digit operating cash flow growth. During the year, our customers bought five million new products —or what we call</w:t>
            </w:r>
          </w:p>
        </w:tc>
        <w:tc>
          <w:tcPr>
            <w:tcW w:w="2680" w:type="dxa"/>
            <w:vAlign w:val="bottom"/>
          </w:tcPr>
          <w:p>
            <w:pPr>
              <w:ind w:left="260"/>
              <w:spacing w:after="0"/>
              <w:rPr>
                <w:sz w:val="20"/>
                <w:szCs w:val="20"/>
                <w:color w:val="auto"/>
              </w:rPr>
            </w:pPr>
            <w:r>
              <w:rPr>
                <w:rFonts w:ascii="Arial" w:cs="Arial" w:eastAsia="Arial" w:hAnsi="Arial"/>
                <w:sz w:val="3"/>
                <w:szCs w:val="3"/>
                <w:color w:val="FFFFFF"/>
              </w:rPr>
              <w:t>-generating units” (RGUs)(c) — an increase</w:t>
            </w:r>
          </w:p>
        </w:tc>
        <w:tc>
          <w:tcPr>
            <w:tcW w:w="0" w:type="dxa"/>
            <w:vAlign w:val="bottom"/>
          </w:tcPr>
          <w:p>
            <w:pPr>
              <w:spacing w:after="0"/>
              <w:rPr>
                <w:sz w:val="1"/>
                <w:szCs w:val="1"/>
                <w:color w:val="auto"/>
              </w:rPr>
            </w:pPr>
          </w:p>
        </w:tc>
      </w:tr>
      <w:tr>
        <w:trPr>
          <w:trHeight w:val="41"/>
        </w:trPr>
        <w:tc>
          <w:tcPr>
            <w:tcW w:w="11320" w:type="dxa"/>
            <w:vAlign w:val="bottom"/>
            <w:gridSpan w:val="3"/>
          </w:tcPr>
          <w:p>
            <w:pPr>
              <w:spacing w:after="0"/>
              <w:rPr>
                <w:sz w:val="20"/>
                <w:szCs w:val="20"/>
                <w:color w:val="auto"/>
              </w:rPr>
            </w:pPr>
            <w:r>
              <w:rPr>
                <w:rFonts w:ascii="Arial" w:cs="Arial" w:eastAsia="Arial" w:hAnsi="Arial"/>
                <w:sz w:val="3"/>
                <w:szCs w:val="3"/>
                <w:color w:val="FFFFFF"/>
              </w:rPr>
              <w:t>of 69% from 2005. And each of our services — basic cable, digital cable, high-speed Internet and digital voice — added more new customers than ever before.“revenueWhave real momentum. The past year was</w:t>
            </w:r>
          </w:p>
        </w:tc>
        <w:tc>
          <w:tcPr>
            <w:tcW w:w="0" w:type="dxa"/>
            <w:vAlign w:val="bottom"/>
          </w:tcPr>
          <w:p>
            <w:pPr>
              <w:spacing w:after="0"/>
              <w:rPr>
                <w:sz w:val="1"/>
                <w:szCs w:val="1"/>
                <w:color w:val="auto"/>
              </w:rPr>
            </w:pPr>
          </w:p>
        </w:tc>
      </w:tr>
      <w:tr>
        <w:trPr>
          <w:trHeight w:val="41"/>
        </w:trPr>
        <w:tc>
          <w:tcPr>
            <w:tcW w:w="7600" w:type="dxa"/>
            <w:vAlign w:val="bottom"/>
          </w:tcPr>
          <w:p>
            <w:pPr>
              <w:spacing w:after="0"/>
              <w:rPr>
                <w:sz w:val="20"/>
                <w:szCs w:val="20"/>
                <w:color w:val="auto"/>
              </w:rPr>
            </w:pPr>
            <w:r>
              <w:rPr>
                <w:rFonts w:ascii="Arial" w:cs="Arial" w:eastAsia="Arial" w:hAnsi="Arial"/>
                <w:sz w:val="3"/>
                <w:szCs w:val="3"/>
                <w:color w:val="FFFFFF"/>
              </w:rPr>
              <w:t>sensational, but 2007 and the future have the potential to be even better.</w:t>
            </w:r>
          </w:p>
        </w:tc>
        <w:tc>
          <w:tcPr>
            <w:tcW w:w="1040" w:type="dxa"/>
            <w:vAlign w:val="bottom"/>
          </w:tcPr>
          <w:p>
            <w:pPr>
              <w:spacing w:after="0"/>
              <w:rPr>
                <w:sz w:val="3"/>
                <w:szCs w:val="3"/>
                <w:color w:val="auto"/>
              </w:rPr>
            </w:pPr>
          </w:p>
        </w:tc>
        <w:tc>
          <w:tcPr>
            <w:tcW w:w="268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41"/>
        </w:trPr>
        <w:tc>
          <w:tcPr>
            <w:tcW w:w="7600" w:type="dxa"/>
            <w:vAlign w:val="bottom"/>
          </w:tcPr>
          <w:p>
            <w:pPr>
              <w:ind w:left="100"/>
              <w:spacing w:after="0"/>
              <w:rPr>
                <w:sz w:val="20"/>
                <w:szCs w:val="20"/>
                <w:color w:val="auto"/>
              </w:rPr>
            </w:pPr>
            <w:r>
              <w:rPr>
                <w:rFonts w:ascii="Arial" w:cs="Arial" w:eastAsia="Arial" w:hAnsi="Arial"/>
                <w:sz w:val="3"/>
                <w:szCs w:val="3"/>
                <w:color w:val="FFFFFF"/>
              </w:rPr>
              <w:t>he big story behind these wonderful results is the rollout of Comcast’s Triple Play.</w:t>
            </w:r>
          </w:p>
        </w:tc>
        <w:tc>
          <w:tcPr>
            <w:tcW w:w="1040" w:type="dxa"/>
            <w:vAlign w:val="bottom"/>
          </w:tcPr>
          <w:p>
            <w:pPr>
              <w:spacing w:after="0"/>
              <w:rPr>
                <w:sz w:val="3"/>
                <w:szCs w:val="3"/>
                <w:color w:val="auto"/>
              </w:rPr>
            </w:pPr>
          </w:p>
        </w:tc>
        <w:tc>
          <w:tcPr>
            <w:tcW w:w="268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41"/>
        </w:trPr>
        <w:tc>
          <w:tcPr>
            <w:tcW w:w="7600" w:type="dxa"/>
            <w:vAlign w:val="bottom"/>
          </w:tcPr>
          <w:p>
            <w:pPr>
              <w:spacing w:after="0"/>
              <w:rPr>
                <w:sz w:val="20"/>
                <w:szCs w:val="20"/>
                <w:color w:val="auto"/>
              </w:rPr>
            </w:pPr>
            <w:r>
              <w:rPr>
                <w:rFonts w:ascii="Arial" w:cs="Arial" w:eastAsia="Arial" w:hAnsi="Arial"/>
                <w:sz w:val="3"/>
                <w:szCs w:val="3"/>
                <w:color w:val="FFFFFF"/>
              </w:rPr>
              <w:t>Triple Play: It’s a Whole New Ball Game</w:t>
            </w:r>
          </w:p>
        </w:tc>
        <w:tc>
          <w:tcPr>
            <w:tcW w:w="3720" w:type="dxa"/>
            <w:vAlign w:val="bottom"/>
            <w:gridSpan w:val="2"/>
            <w:vMerge w:val="restart"/>
          </w:tcPr>
          <w:p>
            <w:pPr>
              <w:ind w:left="140"/>
              <w:spacing w:after="0"/>
              <w:rPr>
                <w:sz w:val="20"/>
                <w:szCs w:val="20"/>
                <w:color w:val="auto"/>
              </w:rPr>
            </w:pPr>
            <w:r>
              <w:rPr>
                <w:rFonts w:ascii="Arial" w:cs="Arial" w:eastAsia="Arial" w:hAnsi="Arial"/>
                <w:sz w:val="3"/>
                <w:szCs w:val="3"/>
                <w:color w:val="FFFFFF"/>
              </w:rPr>
              <w:t>compelling value package, providing  simple, convenient and</w:t>
            </w:r>
          </w:p>
        </w:tc>
        <w:tc>
          <w:tcPr>
            <w:tcW w:w="0" w:type="dxa"/>
            <w:vAlign w:val="bottom"/>
          </w:tcPr>
          <w:p>
            <w:pPr>
              <w:spacing w:after="0"/>
              <w:rPr>
                <w:sz w:val="1"/>
                <w:szCs w:val="1"/>
                <w:color w:val="auto"/>
              </w:rPr>
            </w:pPr>
          </w:p>
        </w:tc>
      </w:tr>
      <w:tr>
        <w:trPr>
          <w:trHeight w:val="0"/>
        </w:trPr>
        <w:tc>
          <w:tcPr>
            <w:tcW w:w="7600" w:type="dxa"/>
            <w:vAlign w:val="bottom"/>
          </w:tcPr>
          <w:p>
            <w:pPr>
              <w:spacing w:after="0" w:line="80" w:lineRule="exact"/>
              <w:rPr>
                <w:sz w:val="20"/>
                <w:szCs w:val="20"/>
                <w:color w:val="auto"/>
              </w:rPr>
            </w:pPr>
            <w:r>
              <w:rPr>
                <w:rFonts w:ascii="Arial" w:cs="Arial" w:eastAsia="Arial" w:hAnsi="Arial"/>
                <w:sz w:val="9"/>
                <w:szCs w:val="9"/>
                <w:color w:val="FFFFFF"/>
              </w:rPr>
              <w:t>Our Triple Play offering of video, high-speed Internet and digital voice is just what consumers want. W can deliver our superior products</w:t>
            </w:r>
          </w:p>
        </w:tc>
        <w:tc>
          <w:tcPr>
            <w:tcW w:w="3720" w:type="dxa"/>
            <w:vAlign w:val="bottom"/>
            <w:gridSpan w:val="2"/>
            <w:vMerge w:val="continue"/>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jc w:val="both"/>
        <w:ind w:right="40"/>
        <w:spacing w:after="0" w:line="217" w:lineRule="auto"/>
        <w:rPr>
          <w:sz w:val="20"/>
          <w:szCs w:val="20"/>
          <w:color w:val="auto"/>
        </w:rPr>
      </w:pPr>
      <w:r>
        <w:rPr>
          <w:rFonts w:ascii="Arial" w:cs="Arial" w:eastAsia="Arial" w:hAnsi="Arial"/>
          <w:sz w:val="2"/>
          <w:szCs w:val="2"/>
          <w:color w:val="FFFFFF"/>
        </w:rPr>
        <w:t>attractive option for everyone. With one phone call and one installation visit, we become the primary provider of communications and entertainment services to the home — and at an introductory price of $99 a month, our biggest challenge has been to keep up with demand. With the widespread introduction of Triple Play to 70%, or 32 million, of</w:t>
      </w:r>
      <w:r>
        <w:rPr>
          <w:rFonts w:ascii="Arial" w:cs="Arial" w:eastAsia="Arial" w:hAnsi="Arial"/>
          <w:sz w:val="4"/>
          <w:szCs w:val="4"/>
          <w:color w:val="FFFFFF"/>
          <w:vertAlign w:val="superscript"/>
        </w:rPr>
        <w:t>take</w:t>
      </w:r>
      <w:r>
        <w:rPr>
          <w:rFonts w:ascii="Arial" w:cs="Arial" w:eastAsia="Arial" w:hAnsi="Arial"/>
          <w:sz w:val="2"/>
          <w:szCs w:val="2"/>
          <w:color w:val="FFFFFF"/>
        </w:rPr>
        <w:t>the homes in our markets in 2006, consumers are embracing our</w:t>
      </w:r>
    </w:p>
    <w:p>
      <w:pPr>
        <w:spacing w:after="0"/>
        <w:rPr>
          <w:sz w:val="20"/>
          <w:szCs w:val="20"/>
          <w:color w:val="auto"/>
        </w:rPr>
      </w:pPr>
      <w:r>
        <w:rPr>
          <w:rFonts w:ascii="Arial" w:cs="Arial" w:eastAsia="Arial" w:hAnsi="Arial"/>
          <w:sz w:val="6"/>
          <w:szCs w:val="6"/>
          <w:color w:val="FFFFFF"/>
        </w:rPr>
        <w:t>Comcast Digital Voice® service, loaded with attractive features and with more to come. It’s clear that Triple Play is boosting our overall rates for video and high-speed Internet as well. As customers see the great value they’re getting, they take additional digital and premium video services, too. As</w:t>
      </w:r>
      <w:r>
        <w:rPr>
          <w:rFonts w:ascii="Arial" w:cs="Arial" w:eastAsia="Arial" w:hAnsi="Arial"/>
          <w:sz w:val="7"/>
          <w:szCs w:val="7"/>
          <w:color w:val="FFFFFF"/>
          <w:vertAlign w:val="subscript"/>
        </w:rPr>
        <w:t>formula</w:t>
      </w:r>
      <w:r>
        <w:rPr>
          <w:rFonts w:ascii="Arial" w:cs="Arial" w:eastAsia="Arial" w:hAnsi="Arial"/>
          <w:sz w:val="6"/>
          <w:szCs w:val="6"/>
          <w:color w:val="FFFFFF"/>
        </w:rPr>
        <w:t>result, revenue per Triple Play customer averages $120 – $130 per month.</w:t>
      </w:r>
    </w:p>
    <w:p>
      <w:pPr>
        <w:spacing w:after="0" w:line="1" w:lineRule="exact"/>
        <w:rPr>
          <w:sz w:val="20"/>
          <w:szCs w:val="20"/>
          <w:color w:val="auto"/>
        </w:rPr>
      </w:pPr>
    </w:p>
    <w:p>
      <w:pPr>
        <w:spacing w:after="0"/>
        <w:tabs>
          <w:tab w:leader="none" w:pos="5300" w:val="left"/>
        </w:tabs>
        <w:rPr>
          <w:sz w:val="20"/>
          <w:szCs w:val="20"/>
          <w:color w:val="auto"/>
        </w:rPr>
      </w:pPr>
      <w:r>
        <w:rPr>
          <w:rFonts w:ascii="Arial" w:cs="Arial" w:eastAsia="Arial" w:hAnsi="Arial"/>
          <w:sz w:val="3"/>
          <w:szCs w:val="3"/>
          <w:color w:val="FFFFFF"/>
        </w:rPr>
        <w:t>Our Triple Play offer of video, high-speed Internet and voice has proven to be a powerful</w:t>
      </w:r>
      <w:r>
        <w:rPr>
          <w:sz w:val="20"/>
          <w:szCs w:val="20"/>
          <w:color w:val="auto"/>
        </w:rPr>
        <w:tab/>
      </w:r>
      <w:r>
        <w:rPr>
          <w:rFonts w:ascii="Arial" w:cs="Arial" w:eastAsia="Arial" w:hAnsi="Arial"/>
          <w:sz w:val="3"/>
          <w:szCs w:val="3"/>
          <w:color w:val="FFFFFF"/>
        </w:rPr>
        <w:t>for growth.</w:t>
      </w:r>
    </w:p>
    <w:p>
      <w:pPr>
        <w:spacing w:after="0" w:line="6" w:lineRule="exact"/>
        <w:rPr>
          <w:sz w:val="20"/>
          <w:szCs w:val="20"/>
          <w:color w:val="auto"/>
        </w:rPr>
      </w:pPr>
    </w:p>
    <w:p>
      <w:pPr>
        <w:ind w:left="540" w:right="280" w:hanging="528"/>
        <w:spacing w:after="0" w:line="211" w:lineRule="auto"/>
        <w:rPr>
          <w:sz w:val="20"/>
          <w:szCs w:val="20"/>
          <w:color w:val="auto"/>
        </w:rPr>
      </w:pPr>
      <w:r>
        <w:rPr>
          <w:rFonts w:ascii="Arial" w:cs="Arial" w:eastAsia="Arial" w:hAnsi="Arial"/>
          <w:sz w:val="12"/>
          <w:szCs w:val="12"/>
          <w:color w:val="FFFFFF"/>
          <w:vertAlign w:val="subscript"/>
        </w:rPr>
        <w:t>customer</w:t>
      </w:r>
      <w:r>
        <w:rPr>
          <w:rFonts w:ascii="Arial" w:cs="Arial" w:eastAsia="Arial" w:hAnsi="Arial"/>
          <w:sz w:val="8"/>
          <w:szCs w:val="8"/>
          <w:color w:val="FFFFFF"/>
        </w:rPr>
        <w:t>Wwere determined to be first to market on a wide scale with these three services, and we have succeeded in getting the jump on the competition. As we expand the availability of Triple Play to 85% of our base by the end of 2007, we expect it will continue to power our growth.</w:t>
      </w:r>
    </w:p>
    <w:p>
      <w:pPr>
        <w:spacing w:after="0"/>
        <w:rPr>
          <w:sz w:val="20"/>
          <w:szCs w:val="20"/>
          <w:color w:val="auto"/>
        </w:rPr>
      </w:pPr>
      <w:r>
        <w:rPr>
          <w:rFonts w:ascii="Arial" w:cs="Arial" w:eastAsia="Arial" w:hAnsi="Arial"/>
          <w:sz w:val="14"/>
          <w:szCs w:val="14"/>
          <w:color w:val="FFFFFF"/>
        </w:rPr>
        <w:t>18See notes and definitions on page 23.</w:t>
      </w:r>
    </w:p>
    <w:p>
      <w:pPr>
        <w:sectPr>
          <w:pgSz w:w="11900" w:h="16838" w:orient="portrait"/>
          <w:cols w:equalWidth="0" w:num="1">
            <w:col w:w="11380"/>
          </w:cols>
          <w:pgMar w:left="240" w:top="459" w:right="279" w:bottom="1440" w:gutter="0" w:footer="0" w:header="0"/>
        </w:sectPr>
      </w:pPr>
    </w:p>
    <w:bookmarkStart w:id="95" w:name="page96"/>
    <w:bookmarkEnd w:id="9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126" name="Picture 1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6"/>
                    <pic:cNvPicPr>
                      <a:picLocks noChangeAspect="1" noChangeArrowheads="1"/>
                    </pic:cNvPicPr>
                  </pic:nvPicPr>
                  <pic:blipFill>
                    <a:blip r:embed="rId133">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880110</wp:posOffset>
            </wp:positionH>
            <wp:positionV relativeFrom="paragraph">
              <wp:posOffset>205740</wp:posOffset>
            </wp:positionV>
            <wp:extent cx="5497195" cy="7117715"/>
            <wp:wrapNone/>
            <wp:docPr id="127" name="Picture 1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7"/>
                    <pic:cNvPicPr>
                      <a:picLocks noChangeAspect="1" noChangeArrowheads="1"/>
                    </pic:cNvPicPr>
                  </pic:nvPicPr>
                  <pic:blipFill>
                    <a:blip r:embed="rId134">
                      <a:extLst>
                        <a:ext uri="{28A0092B-C50C-407E-A947-70E740481C1C}"/>
                      </a:extLst>
                    </a:blip>
                    <a:srcRect/>
                    <a:stretch>
                      <a:fillRect/>
                    </a:stretch>
                  </pic:blipFill>
                  <pic:spPr bwMode="auto">
                    <a:xfrm>
                      <a:off x="0" y="0"/>
                      <a:ext cx="5497195" cy="711771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0" w:lineRule="exact"/>
        <w:rPr>
          <w:sz w:val="20"/>
          <w:szCs w:val="20"/>
          <w:color w:val="auto"/>
        </w:rPr>
      </w:pPr>
    </w:p>
    <w:p>
      <w:pPr>
        <w:spacing w:after="0"/>
        <w:rPr>
          <w:sz w:val="20"/>
          <w:szCs w:val="20"/>
          <w:color w:val="auto"/>
        </w:rPr>
      </w:pPr>
      <w:r>
        <w:rPr>
          <w:rFonts w:ascii="Arial" w:cs="Arial" w:eastAsia="Arial" w:hAnsi="Arial"/>
          <w:sz w:val="10"/>
          <w:szCs w:val="10"/>
          <w:color w:val="FFFFFF"/>
        </w:rPr>
        <w:t>Innovate.That’increasebeenDifferentiate.ourmantra forWin.the past several years. We’re absolutely focused on delivering superior products and services, and doing it better than our competitorsconsumers.Wadded 1.9 million digital customers in 2006,</w:t>
      </w:r>
    </w:p>
    <w:p>
      <w:pPr>
        <w:spacing w:after="0" w:line="19" w:lineRule="exact"/>
        <w:rPr>
          <w:sz w:val="20"/>
          <w:szCs w:val="20"/>
          <w:color w:val="auto"/>
        </w:rPr>
      </w:pPr>
    </w:p>
    <w:p>
      <w:pPr>
        <w:ind w:right="340"/>
        <w:spacing w:after="0" w:line="181" w:lineRule="auto"/>
        <w:rPr>
          <w:sz w:val="20"/>
          <w:szCs w:val="20"/>
          <w:color w:val="auto"/>
        </w:rPr>
      </w:pPr>
      <w:r>
        <w:rPr>
          <w:rFonts w:ascii="Arial" w:cs="Arial" w:eastAsia="Arial" w:hAnsi="Arial"/>
          <w:sz w:val="7"/>
          <w:szCs w:val="7"/>
          <w:color w:val="FFFFFF"/>
        </w:rPr>
        <w:t>industryan-leadingof59%videofrom-on2005.-demandTodayplatform,more thandigital12.7videomillion,recorders52%,(DVRs)ofourandvideohighcustomers-definitiontaketelevisionourdigital(HDTV)cable asservices.partof Digitaltheirlives.growth has been steady as see and want ON DEMAND, our ON DEMAND gives our digital cable customers unmatched choice and control. It’s truly the personalization of .</w:t>
      </w:r>
    </w:p>
    <w:p>
      <w:pPr>
        <w:ind w:left="11000"/>
        <w:spacing w:after="0"/>
        <w:rPr>
          <w:sz w:val="20"/>
          <w:szCs w:val="20"/>
          <w:color w:val="auto"/>
        </w:rPr>
      </w:pPr>
      <w:r>
        <w:rPr>
          <w:rFonts w:ascii="Arial" w:cs="Arial" w:eastAsia="Arial" w:hAnsi="Arial"/>
          <w:sz w:val="1"/>
          <w:szCs w:val="1"/>
          <w:color w:val="FFFFFF"/>
        </w:rPr>
        <w:t>AndWith asmorethe thanpenetration8,000programmingofHDTVsetschoices availablewe’retodayexpanding—and ourgrowinghigh-definitioneveryyearON— ONDEMANDDEMANDofferings,gives ourtoo. digitalWenowcableoffercustomersmorethanunmatched150hourschoiceofhighand-definitioncontrol. programmingIt’strulythepersonalizationONDEMAND,of TV.</w:t>
      </w:r>
    </w:p>
    <w:p>
      <w:pPr>
        <w:ind w:right="20"/>
        <w:spacing w:after="0"/>
        <w:rPr>
          <w:sz w:val="20"/>
          <w:szCs w:val="20"/>
          <w:color w:val="auto"/>
        </w:rPr>
      </w:pPr>
      <w:r>
        <w:rPr>
          <w:rFonts w:ascii="Arial" w:cs="Arial" w:eastAsia="Arial" w:hAnsi="Arial"/>
          <w:sz w:val="10"/>
          <w:szCs w:val="10"/>
          <w:color w:val="FFFFFF"/>
        </w:rPr>
        <w:t>primarily movies in high definition. Waccelerates,plantodouble that number in 2007 and again in 2008, and continue to expand our linear HDTV channels, so that we remain the HDTV market leader with the most sports and movies in high definition.</w:t>
      </w:r>
    </w:p>
    <w:p>
      <w:pPr>
        <w:spacing w:after="0" w:line="196" w:lineRule="auto"/>
        <w:rPr>
          <w:sz w:val="20"/>
          <w:szCs w:val="20"/>
          <w:color w:val="auto"/>
        </w:rPr>
      </w:pPr>
      <w:r>
        <w:rPr>
          <w:rFonts w:ascii="Arial" w:cs="Arial" w:eastAsia="Arial" w:hAnsi="Arial"/>
          <w:sz w:val="3"/>
          <w:szCs w:val="3"/>
          <w:color w:val="FFFFFF"/>
        </w:rPr>
        <w:t>With our high-speed Internet service, we deliver a better experience by continually increasing the speed of our service and adding a wealth of new features</w:t>
      </w:r>
      <w:r>
        <w:rPr>
          <w:rFonts w:ascii="Arial" w:cs="Arial" w:eastAsia="Arial" w:hAnsi="Arial"/>
          <w:sz w:val="5"/>
          <w:szCs w:val="5"/>
          <w:color w:val="FFFFFF"/>
          <w:vertAlign w:val="subscript"/>
        </w:rPr>
        <w:t>representing</w:t>
      </w:r>
      <w:r>
        <w:rPr>
          <w:rFonts w:ascii="Arial" w:cs="Arial" w:eastAsia="Arial" w:hAnsi="Arial"/>
          <w:sz w:val="3"/>
          <w:szCs w:val="3"/>
          <w:color w:val="FFFFFF"/>
        </w:rPr>
        <w:t xml:space="preserve">.Wadded 1.9 million high-speed Internet </w:t>
      </w:r>
      <w:r>
        <w:rPr>
          <w:rFonts w:ascii="Arial" w:cs="Arial" w:eastAsia="Arial" w:hAnsi="Arial"/>
          <w:sz w:val="5"/>
          <w:szCs w:val="5"/>
          <w:color w:val="FFFFFF"/>
          <w:vertAlign w:val="subscript"/>
        </w:rPr>
        <w:t>subscribers</w:t>
      </w:r>
    </w:p>
    <w:p>
      <w:pPr>
        <w:spacing w:after="0"/>
        <w:rPr>
          <w:sz w:val="20"/>
          <w:szCs w:val="20"/>
          <w:color w:val="auto"/>
        </w:rPr>
      </w:pPr>
      <w:r>
        <w:rPr>
          <w:rFonts w:ascii="Arial" w:cs="Arial" w:eastAsia="Arial" w:hAnsi="Arial"/>
          <w:sz w:val="6"/>
          <w:szCs w:val="6"/>
          <w:color w:val="FFFFFF"/>
        </w:rPr>
        <w:t>in 2006, the highest level of annual high-speed Internet additions in our history, and ended the year with 11.5 million high-speed Internet customers, 25% penetration of homes in our markets. W believe we will keep growing not only by continuing to attract new customers, but also by capitalizing on the capabilities of our service to power innovation and develop new online services. W</w:t>
      </w:r>
      <w:r>
        <w:rPr>
          <w:rFonts w:ascii="Arial" w:cs="Arial" w:eastAsia="Arial" w:hAnsi="Arial"/>
          <w:sz w:val="7"/>
          <w:szCs w:val="7"/>
          <w:color w:val="FFFFFF"/>
          <w:vertAlign w:val="superscript"/>
        </w:rPr>
        <w:t>other</w:t>
      </w:r>
      <w:r>
        <w:rPr>
          <w:rFonts w:ascii="Arial" w:cs="Arial" w:eastAsia="Arial" w:hAnsi="Arial"/>
          <w:sz w:val="6"/>
          <w:szCs w:val="6"/>
          <w:color w:val="FFFFFF"/>
        </w:rPr>
        <w:t>created Comcast</w:t>
      </w:r>
    </w:p>
    <w:p>
      <w:pPr>
        <w:spacing w:after="0" w:line="1" w:lineRule="exact"/>
        <w:rPr>
          <w:sz w:val="20"/>
          <w:szCs w:val="20"/>
          <w:color w:val="auto"/>
        </w:rPr>
      </w:pPr>
    </w:p>
    <w:p>
      <w:pPr>
        <w:ind w:right="180"/>
        <w:spacing w:after="0" w:line="187" w:lineRule="auto"/>
        <w:rPr>
          <w:sz w:val="20"/>
          <w:szCs w:val="20"/>
          <w:color w:val="auto"/>
        </w:rPr>
      </w:pPr>
      <w:r>
        <w:rPr>
          <w:rFonts w:ascii="Arial" w:cs="Arial" w:eastAsia="Arial" w:hAnsi="Arial"/>
          <w:sz w:val="9"/>
          <w:szCs w:val="9"/>
          <w:color w:val="FFFFFF"/>
        </w:rPr>
        <w:t>Interactive Media to focus on those opportunities. In 2006, we launched several new digital media platforms, including Ziddio, TV Planner and Game Invasion, and in 2007 we plan to launch new online services.</w:t>
      </w:r>
    </w:p>
    <w:p>
      <w:pPr>
        <w:spacing w:after="0"/>
        <w:rPr>
          <w:sz w:val="20"/>
          <w:szCs w:val="20"/>
          <w:color w:val="auto"/>
        </w:rPr>
      </w:pPr>
      <w:r>
        <w:rPr>
          <w:rFonts w:ascii="Arial" w:cs="Arial" w:eastAsia="Arial" w:hAnsi="Arial"/>
          <w:sz w:val="14"/>
          <w:szCs w:val="14"/>
          <w:color w:val="FFFFFF"/>
        </w:rPr>
        <w:t>19</w:t>
      </w:r>
    </w:p>
    <w:p>
      <w:pPr>
        <w:sectPr>
          <w:pgSz w:w="11900" w:h="16838" w:orient="portrait"/>
          <w:cols w:equalWidth="0" w:num="1">
            <w:col w:w="11420"/>
          </w:cols>
          <w:pgMar w:left="240" w:top="459" w:right="239" w:bottom="1440" w:gutter="0" w:footer="0" w:header="0"/>
        </w:sectPr>
      </w:pPr>
    </w:p>
    <w:bookmarkStart w:id="96" w:name="page97"/>
    <w:bookmarkEnd w:id="9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128" name="Picture 1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8"/>
                    <pic:cNvPicPr>
                      <a:picLocks noChangeAspect="1" noChangeArrowheads="1"/>
                    </pic:cNvPicPr>
                  </pic:nvPicPr>
                  <pic:blipFill>
                    <a:blip r:embed="rId135">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880110</wp:posOffset>
            </wp:positionH>
            <wp:positionV relativeFrom="paragraph">
              <wp:posOffset>205740</wp:posOffset>
            </wp:positionV>
            <wp:extent cx="5497195" cy="7117715"/>
            <wp:wrapNone/>
            <wp:docPr id="129" name="Picture 1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9"/>
                    <pic:cNvPicPr>
                      <a:picLocks noChangeAspect="1" noChangeArrowheads="1"/>
                    </pic:cNvPicPr>
                  </pic:nvPicPr>
                  <pic:blipFill>
                    <a:blip r:embed="rId136">
                      <a:extLst>
                        <a:ext uri="{28A0092B-C50C-407E-A947-70E740481C1C}"/>
                      </a:extLst>
                    </a:blip>
                    <a:srcRect/>
                    <a:stretch>
                      <a:fillRect/>
                    </a:stretch>
                  </pic:blipFill>
                  <pic:spPr bwMode="auto">
                    <a:xfrm>
                      <a:off x="0" y="0"/>
                      <a:ext cx="5497195" cy="711771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1"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1660" w:type="dxa"/>
            <w:vAlign w:val="bottom"/>
            <w:gridSpan w:val="3"/>
          </w:tcPr>
          <w:p>
            <w:pPr>
              <w:spacing w:after="0"/>
              <w:rPr>
                <w:sz w:val="20"/>
                <w:szCs w:val="20"/>
                <w:color w:val="auto"/>
              </w:rPr>
            </w:pPr>
            <w:r>
              <w:rPr>
                <w:rFonts w:ascii="Arial" w:cs="Arial" w:eastAsia="Arial" w:hAnsi="Arial"/>
                <w:sz w:val="14"/>
                <w:szCs w:val="14"/>
                <w:color w:val="FFFFFF"/>
                <w:w w:val="90"/>
              </w:rPr>
              <w:t>With the dramatic ramp-up of</w:t>
            </w:r>
          </w:p>
        </w:tc>
        <w:tc>
          <w:tcPr>
            <w:tcW w:w="1300" w:type="dxa"/>
            <w:vAlign w:val="bottom"/>
          </w:tcPr>
          <w:p>
            <w:pPr>
              <w:ind w:left="500"/>
              <w:spacing w:after="0"/>
              <w:rPr>
                <w:sz w:val="20"/>
                <w:szCs w:val="20"/>
                <w:color w:val="auto"/>
              </w:rPr>
            </w:pPr>
            <w:r>
              <w:rPr>
                <w:rFonts w:ascii="Arial" w:cs="Arial" w:eastAsia="Arial" w:hAnsi="Arial"/>
                <w:sz w:val="14"/>
                <w:szCs w:val="14"/>
                <w:color w:val="FFFFFF"/>
              </w:rPr>
              <w:t>Digital Voice</w:t>
            </w:r>
          </w:p>
        </w:tc>
        <w:tc>
          <w:tcPr>
            <w:tcW w:w="8460" w:type="dxa"/>
            <w:vAlign w:val="bottom"/>
            <w:gridSpan w:val="5"/>
          </w:tcPr>
          <w:p>
            <w:pPr>
              <w:ind w:left="80"/>
              <w:spacing w:after="0"/>
              <w:rPr>
                <w:sz w:val="20"/>
                <w:szCs w:val="20"/>
                <w:color w:val="auto"/>
              </w:rPr>
            </w:pPr>
            <w:r>
              <w:rPr>
                <w:rFonts w:ascii="Arial" w:cs="Arial" w:eastAsia="Arial" w:hAnsi="Arial"/>
                <w:sz w:val="14"/>
                <w:szCs w:val="14"/>
                <w:color w:val="FFFFFF"/>
                <w:w w:val="90"/>
              </w:rPr>
              <w:t>2006, we have built a fantastic new engine for continued growth. W added 1.5 million Comcast Digital Voice customers last year, more than five times</w:t>
            </w:r>
          </w:p>
        </w:tc>
        <w:tc>
          <w:tcPr>
            <w:tcW w:w="0" w:type="dxa"/>
            <w:vAlign w:val="bottom"/>
          </w:tcPr>
          <w:p>
            <w:pPr>
              <w:spacing w:after="0"/>
              <w:rPr>
                <w:sz w:val="1"/>
                <w:szCs w:val="1"/>
                <w:color w:val="auto"/>
              </w:rPr>
            </w:pPr>
          </w:p>
        </w:tc>
      </w:tr>
      <w:tr>
        <w:trPr>
          <w:trHeight w:val="41"/>
        </w:trPr>
        <w:tc>
          <w:tcPr>
            <w:tcW w:w="11420" w:type="dxa"/>
            <w:vAlign w:val="bottom"/>
            <w:gridSpan w:val="9"/>
          </w:tcPr>
          <w:p>
            <w:pPr>
              <w:spacing w:after="0"/>
              <w:rPr>
                <w:sz w:val="20"/>
                <w:szCs w:val="20"/>
                <w:color w:val="auto"/>
              </w:rPr>
            </w:pPr>
            <w:r>
              <w:rPr>
                <w:rFonts w:ascii="Arial" w:cs="Arial" w:eastAsia="Arial" w:hAnsi="Arial"/>
                <w:sz w:val="3"/>
                <w:szCs w:val="3"/>
                <w:color w:val="FFFFFF"/>
              </w:rPr>
              <w:t>the number added in 2005. By Comcastyear’end, we were marketing this service to 32 million homes, or 70% of our footprint, yet we are only   6% penetration. We intend to increase that dramatically in 2007. Our</w:t>
            </w:r>
          </w:p>
        </w:tc>
        <w:tc>
          <w:tcPr>
            <w:tcW w:w="0" w:type="dxa"/>
            <w:vAlign w:val="bottom"/>
          </w:tcPr>
          <w:p>
            <w:pPr>
              <w:spacing w:after="0"/>
              <w:rPr>
                <w:sz w:val="1"/>
                <w:szCs w:val="1"/>
                <w:color w:val="auto"/>
              </w:rPr>
            </w:pPr>
          </w:p>
        </w:tc>
      </w:tr>
      <w:tr>
        <w:trPr>
          <w:trHeight w:val="41"/>
        </w:trPr>
        <w:tc>
          <w:tcPr>
            <w:tcW w:w="8000" w:type="dxa"/>
            <w:vAlign w:val="bottom"/>
            <w:gridSpan w:val="6"/>
          </w:tcPr>
          <w:p>
            <w:pPr>
              <w:spacing w:after="0"/>
              <w:rPr>
                <w:sz w:val="20"/>
                <w:szCs w:val="20"/>
                <w:color w:val="auto"/>
              </w:rPr>
            </w:pPr>
            <w:r>
              <w:rPr>
                <w:rFonts w:ascii="Arial" w:cs="Arial" w:eastAsia="Arial" w:hAnsi="Arial"/>
                <w:sz w:val="3"/>
                <w:szCs w:val="3"/>
                <w:color w:val="FFFFFF"/>
              </w:rPr>
              <w:t>goal is to reach at le st 20% penetration, or nine million customers, by 2009. Given the power of Triple Play we are on pace to achieve that goal.</w:t>
            </w:r>
          </w:p>
        </w:tc>
        <w:tc>
          <w:tcPr>
            <w:tcW w:w="660" w:type="dxa"/>
            <w:vAlign w:val="bottom"/>
          </w:tcPr>
          <w:p>
            <w:pPr>
              <w:spacing w:after="0"/>
              <w:rPr>
                <w:sz w:val="3"/>
                <w:szCs w:val="3"/>
                <w:color w:val="auto"/>
              </w:rPr>
            </w:pPr>
          </w:p>
        </w:tc>
        <w:tc>
          <w:tcPr>
            <w:tcW w:w="2520" w:type="dxa"/>
            <w:vAlign w:val="bottom"/>
          </w:tcPr>
          <w:p>
            <w:pPr>
              <w:spacing w:after="0"/>
              <w:rPr>
                <w:sz w:val="3"/>
                <w:szCs w:val="3"/>
                <w:color w:val="auto"/>
              </w:rPr>
            </w:pPr>
          </w:p>
        </w:tc>
        <w:tc>
          <w:tcPr>
            <w:tcW w:w="2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41"/>
        </w:trPr>
        <w:tc>
          <w:tcPr>
            <w:tcW w:w="2960" w:type="dxa"/>
            <w:vAlign w:val="bottom"/>
            <w:gridSpan w:val="4"/>
          </w:tcPr>
          <w:p>
            <w:pPr>
              <w:spacing w:after="0"/>
              <w:rPr>
                <w:sz w:val="20"/>
                <w:szCs w:val="20"/>
                <w:color w:val="auto"/>
              </w:rPr>
            </w:pPr>
            <w:r>
              <w:rPr>
                <w:rFonts w:ascii="Arial" w:cs="Arial" w:eastAsia="Arial" w:hAnsi="Arial"/>
                <w:sz w:val="3"/>
                <w:szCs w:val="3"/>
                <w:color w:val="FFFFFF"/>
              </w:rPr>
              <w:t>W are also excited about our latest initiative:</w:t>
            </w:r>
          </w:p>
        </w:tc>
        <w:tc>
          <w:tcPr>
            <w:tcW w:w="700" w:type="dxa"/>
            <w:vAlign w:val="bottom"/>
          </w:tcPr>
          <w:p>
            <w:pPr>
              <w:ind w:left="140"/>
              <w:spacing w:after="0"/>
              <w:rPr>
                <w:sz w:val="20"/>
                <w:szCs w:val="20"/>
                <w:color w:val="auto"/>
              </w:rPr>
            </w:pPr>
            <w:r>
              <w:rPr>
                <w:rFonts w:ascii="Arial" w:cs="Arial" w:eastAsia="Arial" w:hAnsi="Arial"/>
                <w:sz w:val="3"/>
                <w:szCs w:val="3"/>
                <w:color w:val="FFFFFF"/>
              </w:rPr>
              <w:t>into</w:t>
            </w:r>
          </w:p>
        </w:tc>
        <w:tc>
          <w:tcPr>
            <w:tcW w:w="7520" w:type="dxa"/>
            <w:vAlign w:val="bottom"/>
            <w:gridSpan w:val="3"/>
          </w:tcPr>
          <w:p>
            <w:pPr>
              <w:ind w:left="360"/>
              <w:spacing w:after="0"/>
              <w:rPr>
                <w:sz w:val="20"/>
                <w:szCs w:val="20"/>
                <w:color w:val="auto"/>
              </w:rPr>
            </w:pPr>
            <w:r>
              <w:rPr>
                <w:rFonts w:ascii="Arial" w:cs="Arial" w:eastAsia="Arial" w:hAnsi="Arial"/>
                <w:sz w:val="3"/>
                <w:szCs w:val="3"/>
                <w:color w:val="FFFFFF"/>
              </w:rPr>
              <w:t>business services — providing phone, Internet and video services to small and medium-sized businesses (SMBs). In 2007, we are</w:t>
            </w:r>
          </w:p>
        </w:tc>
        <w:tc>
          <w:tcPr>
            <w:tcW w:w="2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41"/>
        </w:trPr>
        <w:tc>
          <w:tcPr>
            <w:tcW w:w="8000" w:type="dxa"/>
            <w:vAlign w:val="bottom"/>
            <w:gridSpan w:val="6"/>
          </w:tcPr>
          <w:p>
            <w:pPr>
              <w:spacing w:after="0"/>
              <w:rPr>
                <w:sz w:val="20"/>
                <w:szCs w:val="20"/>
                <w:color w:val="auto"/>
              </w:rPr>
            </w:pPr>
            <w:r>
              <w:rPr>
                <w:rFonts w:ascii="Arial" w:cs="Arial" w:eastAsia="Arial" w:hAnsi="Arial"/>
                <w:sz w:val="3"/>
                <w:szCs w:val="3"/>
                <w:color w:val="FFFFFF"/>
              </w:rPr>
              <w:t>beginning to target an estimated five million SMBsexpandingour markets.commercialWestimate that those businesses generated $12 – $15 billion   revenue for</w:t>
            </w:r>
          </w:p>
        </w:tc>
        <w:tc>
          <w:tcPr>
            <w:tcW w:w="3420" w:type="dxa"/>
            <w:vAlign w:val="bottom"/>
            <w:gridSpan w:val="3"/>
          </w:tcPr>
          <w:p>
            <w:pPr>
              <w:ind w:left="140"/>
              <w:spacing w:after="0"/>
              <w:rPr>
                <w:sz w:val="20"/>
                <w:szCs w:val="20"/>
                <w:color w:val="auto"/>
              </w:rPr>
            </w:pPr>
            <w:r>
              <w:rPr>
                <w:rFonts w:ascii="Arial" w:cs="Arial" w:eastAsia="Arial" w:hAnsi="Arial"/>
                <w:sz w:val="3"/>
                <w:szCs w:val="3"/>
                <w:color w:val="FFFFFF"/>
              </w:rPr>
              <w:t>providers in 2006, and our goal is to capture 20% or more of</w:t>
            </w:r>
          </w:p>
        </w:tc>
        <w:tc>
          <w:tcPr>
            <w:tcW w:w="0" w:type="dxa"/>
            <w:vAlign w:val="bottom"/>
          </w:tcPr>
          <w:p>
            <w:pPr>
              <w:spacing w:after="0"/>
              <w:rPr>
                <w:sz w:val="1"/>
                <w:szCs w:val="1"/>
                <w:color w:val="auto"/>
              </w:rPr>
            </w:pPr>
          </w:p>
        </w:tc>
      </w:tr>
      <w:tr>
        <w:trPr>
          <w:trHeight w:val="41"/>
        </w:trPr>
        <w:tc>
          <w:tcPr>
            <w:tcW w:w="660" w:type="dxa"/>
            <w:vAlign w:val="bottom"/>
            <w:gridSpan w:val="2"/>
          </w:tcPr>
          <w:p>
            <w:pPr>
              <w:spacing w:after="0"/>
              <w:rPr>
                <w:sz w:val="20"/>
                <w:szCs w:val="20"/>
                <w:color w:val="auto"/>
              </w:rPr>
            </w:pPr>
            <w:r>
              <w:rPr>
                <w:rFonts w:ascii="Arial" w:cs="Arial" w:eastAsia="Arial" w:hAnsi="Arial"/>
                <w:sz w:val="3"/>
                <w:szCs w:val="3"/>
                <w:color w:val="FFFFFF"/>
              </w:rPr>
              <w:t>this market</w:t>
            </w:r>
          </w:p>
        </w:tc>
        <w:tc>
          <w:tcPr>
            <w:tcW w:w="10520" w:type="dxa"/>
            <w:vAlign w:val="bottom"/>
            <w:gridSpan w:val="6"/>
          </w:tcPr>
          <w:p>
            <w:pPr>
              <w:ind w:left="60"/>
              <w:spacing w:after="0"/>
              <w:rPr>
                <w:sz w:val="20"/>
                <w:szCs w:val="20"/>
                <w:color w:val="auto"/>
              </w:rPr>
            </w:pPr>
            <w:r>
              <w:rPr>
                <w:rFonts w:ascii="Arial" w:cs="Arial" w:eastAsia="Arial" w:hAnsi="Arial"/>
                <w:sz w:val="3"/>
                <w:szCs w:val="3"/>
                <w:color w:val="FFFFFF"/>
              </w:rPr>
              <w:t>ver the next five years. Buoyed by our success in the high-speed Internet and residential digital voice markets, and riding on much ofother same network and infrastructure, we enter this new field</w:t>
            </w:r>
          </w:p>
        </w:tc>
        <w:tc>
          <w:tcPr>
            <w:tcW w:w="2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41"/>
        </w:trPr>
        <w:tc>
          <w:tcPr>
            <w:tcW w:w="1660" w:type="dxa"/>
            <w:vAlign w:val="bottom"/>
            <w:gridSpan w:val="3"/>
          </w:tcPr>
          <w:p>
            <w:pPr>
              <w:spacing w:after="0"/>
              <w:rPr>
                <w:sz w:val="20"/>
                <w:szCs w:val="20"/>
                <w:color w:val="auto"/>
              </w:rPr>
            </w:pPr>
            <w:r>
              <w:rPr>
                <w:rFonts w:ascii="Arial" w:cs="Arial" w:eastAsia="Arial" w:hAnsi="Arial"/>
                <w:sz w:val="3"/>
                <w:szCs w:val="3"/>
                <w:color w:val="FFFFFF"/>
              </w:rPr>
              <w:t>with great confidence.</w:t>
            </w:r>
          </w:p>
        </w:tc>
        <w:tc>
          <w:tcPr>
            <w:tcW w:w="1300" w:type="dxa"/>
            <w:vAlign w:val="bottom"/>
          </w:tcPr>
          <w:p>
            <w:pPr>
              <w:spacing w:after="0"/>
              <w:rPr>
                <w:sz w:val="3"/>
                <w:szCs w:val="3"/>
                <w:color w:val="auto"/>
              </w:rPr>
            </w:pPr>
          </w:p>
        </w:tc>
        <w:tc>
          <w:tcPr>
            <w:tcW w:w="700" w:type="dxa"/>
            <w:vAlign w:val="bottom"/>
          </w:tcPr>
          <w:p>
            <w:pPr>
              <w:spacing w:after="0"/>
              <w:rPr>
                <w:sz w:val="3"/>
                <w:szCs w:val="3"/>
                <w:color w:val="auto"/>
              </w:rPr>
            </w:pPr>
          </w:p>
        </w:tc>
        <w:tc>
          <w:tcPr>
            <w:tcW w:w="4340" w:type="dxa"/>
            <w:vAlign w:val="bottom"/>
          </w:tcPr>
          <w:p>
            <w:pPr>
              <w:spacing w:after="0"/>
              <w:rPr>
                <w:sz w:val="3"/>
                <w:szCs w:val="3"/>
                <w:color w:val="auto"/>
              </w:rPr>
            </w:pPr>
          </w:p>
        </w:tc>
        <w:tc>
          <w:tcPr>
            <w:tcW w:w="660" w:type="dxa"/>
            <w:vAlign w:val="bottom"/>
          </w:tcPr>
          <w:p>
            <w:pPr>
              <w:spacing w:after="0"/>
              <w:rPr>
                <w:sz w:val="3"/>
                <w:szCs w:val="3"/>
                <w:color w:val="auto"/>
              </w:rPr>
            </w:pPr>
          </w:p>
        </w:tc>
        <w:tc>
          <w:tcPr>
            <w:tcW w:w="2520" w:type="dxa"/>
            <w:vAlign w:val="bottom"/>
          </w:tcPr>
          <w:p>
            <w:pPr>
              <w:spacing w:after="0"/>
              <w:rPr>
                <w:sz w:val="3"/>
                <w:szCs w:val="3"/>
                <w:color w:val="auto"/>
              </w:rPr>
            </w:pPr>
          </w:p>
        </w:tc>
        <w:tc>
          <w:tcPr>
            <w:tcW w:w="240" w:type="dxa"/>
            <w:vAlign w:val="bottom"/>
            <w:vMerge w:val="restart"/>
          </w:tcPr>
          <w:p>
            <w:pPr>
              <w:spacing w:after="0" w:line="81" w:lineRule="exact"/>
              <w:rPr>
                <w:sz w:val="20"/>
                <w:szCs w:val="20"/>
                <w:color w:val="auto"/>
              </w:rPr>
            </w:pPr>
            <w:r>
              <w:rPr>
                <w:rFonts w:ascii="Arial" w:cs="Arial" w:eastAsia="Arial" w:hAnsi="Arial"/>
                <w:sz w:val="9"/>
                <w:szCs w:val="9"/>
                <w:color w:val="FFFFFF"/>
              </w:rPr>
              <w:t>the</w:t>
            </w:r>
          </w:p>
        </w:tc>
        <w:tc>
          <w:tcPr>
            <w:tcW w:w="0" w:type="dxa"/>
            <w:vAlign w:val="bottom"/>
          </w:tcPr>
          <w:p>
            <w:pPr>
              <w:spacing w:after="0"/>
              <w:rPr>
                <w:sz w:val="1"/>
                <w:szCs w:val="1"/>
                <w:color w:val="auto"/>
              </w:rPr>
            </w:pPr>
          </w:p>
        </w:tc>
      </w:tr>
      <w:tr>
        <w:trPr>
          <w:trHeight w:val="41"/>
        </w:trPr>
        <w:tc>
          <w:tcPr>
            <w:tcW w:w="11180" w:type="dxa"/>
            <w:vAlign w:val="bottom"/>
            <w:gridSpan w:val="8"/>
          </w:tcPr>
          <w:p>
            <w:pPr>
              <w:spacing w:after="0"/>
              <w:rPr>
                <w:sz w:val="20"/>
                <w:szCs w:val="20"/>
                <w:color w:val="auto"/>
              </w:rPr>
            </w:pPr>
            <w:r>
              <w:rPr>
                <w:rFonts w:ascii="Arial" w:cs="Arial" w:eastAsia="Arial" w:hAnsi="Arial"/>
                <w:sz w:val="3"/>
                <w:szCs w:val="3"/>
                <w:color w:val="FFFFFF"/>
              </w:rPr>
              <w:t>Our programming division continues to be a major value creator for the company and helps us to partner and work with new platforms to help differentiate and grow our cable business. In 2006, we</w:t>
            </w:r>
          </w:p>
        </w:tc>
        <w:tc>
          <w:tcPr>
            <w:tcW w:w="240" w:type="dxa"/>
            <w:vAlign w:val="bottom"/>
            <w:vMerge w:val="continue"/>
          </w:tcPr>
          <w:p>
            <w:pPr>
              <w:spacing w:after="0"/>
              <w:rPr>
                <w:sz w:val="3"/>
                <w:szCs w:val="3"/>
                <w:color w:val="auto"/>
              </w:rPr>
            </w:pPr>
          </w:p>
        </w:tc>
        <w:tc>
          <w:tcPr>
            <w:tcW w:w="0" w:type="dxa"/>
            <w:vAlign w:val="bottom"/>
          </w:tcPr>
          <w:p>
            <w:pPr>
              <w:spacing w:after="0"/>
              <w:rPr>
                <w:sz w:val="1"/>
                <w:szCs w:val="1"/>
                <w:color w:val="auto"/>
              </w:rPr>
            </w:pPr>
          </w:p>
        </w:tc>
      </w:tr>
      <w:tr>
        <w:trPr>
          <w:trHeight w:val="41"/>
        </w:trPr>
        <w:tc>
          <w:tcPr>
            <w:tcW w:w="11420" w:type="dxa"/>
            <w:vAlign w:val="bottom"/>
            <w:gridSpan w:val="9"/>
          </w:tcPr>
          <w:p>
            <w:pPr>
              <w:spacing w:after="0"/>
              <w:rPr>
                <w:sz w:val="20"/>
                <w:szCs w:val="20"/>
                <w:color w:val="auto"/>
              </w:rPr>
            </w:pPr>
            <w:r>
              <w:rPr>
                <w:rFonts w:ascii="Arial" w:cs="Arial" w:eastAsia="Arial" w:hAnsi="Arial"/>
                <w:sz w:val="3"/>
                <w:szCs w:val="3"/>
                <w:color w:val="FFFFFF"/>
              </w:rPr>
              <w:t>remaining interest in E! Entertainment Television and now own 100% of it. We brought in new on-air talent, like Ryan Seacrest, and invested in programming that increased revenues and ratings at E!.acquiredWmade</w:t>
            </w:r>
          </w:p>
        </w:tc>
        <w:tc>
          <w:tcPr>
            <w:tcW w:w="0" w:type="dxa"/>
            <w:vAlign w:val="bottom"/>
          </w:tcPr>
          <w:p>
            <w:pPr>
              <w:spacing w:after="0"/>
              <w:rPr>
                <w:sz w:val="1"/>
                <w:szCs w:val="1"/>
                <w:color w:val="auto"/>
              </w:rPr>
            </w:pPr>
          </w:p>
        </w:tc>
      </w:tr>
      <w:tr>
        <w:trPr>
          <w:trHeight w:val="41"/>
        </w:trPr>
        <w:tc>
          <w:tcPr>
            <w:tcW w:w="420" w:type="dxa"/>
            <w:vAlign w:val="bottom"/>
          </w:tcPr>
          <w:p>
            <w:pPr>
              <w:spacing w:after="0"/>
              <w:rPr>
                <w:sz w:val="20"/>
                <w:szCs w:val="20"/>
                <w:color w:val="auto"/>
              </w:rPr>
            </w:pPr>
            <w:r>
              <w:rPr>
                <w:rFonts w:ascii="Arial" w:cs="Arial" w:eastAsia="Arial" w:hAnsi="Arial"/>
                <w:sz w:val="3"/>
                <w:szCs w:val="3"/>
                <w:color w:val="FFFFFF"/>
              </w:rPr>
              <w:t>similar</w:t>
            </w:r>
          </w:p>
        </w:tc>
        <w:tc>
          <w:tcPr>
            <w:tcW w:w="240" w:type="dxa"/>
            <w:vAlign w:val="bottom"/>
          </w:tcPr>
          <w:p>
            <w:pPr>
              <w:spacing w:after="0"/>
              <w:rPr>
                <w:sz w:val="3"/>
                <w:szCs w:val="3"/>
                <w:color w:val="auto"/>
              </w:rPr>
            </w:pPr>
          </w:p>
        </w:tc>
        <w:tc>
          <w:tcPr>
            <w:tcW w:w="10520" w:type="dxa"/>
            <w:vAlign w:val="bottom"/>
            <w:gridSpan w:val="6"/>
          </w:tcPr>
          <w:p>
            <w:pPr>
              <w:ind w:left="440"/>
              <w:spacing w:after="0"/>
              <w:rPr>
                <w:sz w:val="20"/>
                <w:szCs w:val="20"/>
                <w:color w:val="auto"/>
              </w:rPr>
            </w:pPr>
            <w:r>
              <w:rPr>
                <w:rFonts w:ascii="Arial" w:cs="Arial" w:eastAsia="Arial" w:hAnsi="Arial"/>
                <w:sz w:val="3"/>
                <w:szCs w:val="3"/>
                <w:color w:val="FFFFFF"/>
              </w:rPr>
              <w:t>at The Golf Channel and VERSUS, drawing higher distribution and ratings as the result of our expanded relationships with the PGA TOUR and the National Hockey League.</w:t>
            </w:r>
          </w:p>
        </w:tc>
        <w:tc>
          <w:tcPr>
            <w:tcW w:w="2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41"/>
        </w:trPr>
        <w:tc>
          <w:tcPr>
            <w:tcW w:w="2960" w:type="dxa"/>
            <w:vAlign w:val="bottom"/>
            <w:gridSpan w:val="4"/>
          </w:tcPr>
          <w:p>
            <w:pPr>
              <w:spacing w:after="0"/>
              <w:rPr>
                <w:sz w:val="20"/>
                <w:szCs w:val="20"/>
                <w:color w:val="auto"/>
              </w:rPr>
            </w:pPr>
            <w:r>
              <w:rPr>
                <w:rFonts w:ascii="Arial" w:cs="Arial" w:eastAsia="Arial" w:hAnsi="Arial"/>
                <w:sz w:val="3"/>
                <w:szCs w:val="3"/>
                <w:color w:val="FFFFFF"/>
              </w:rPr>
              <w:t>InvestinginvestmentsFuture of Opportunity</w:t>
            </w:r>
          </w:p>
        </w:tc>
        <w:tc>
          <w:tcPr>
            <w:tcW w:w="700" w:type="dxa"/>
            <w:vAlign w:val="bottom"/>
          </w:tcPr>
          <w:p>
            <w:pPr>
              <w:spacing w:after="0"/>
              <w:rPr>
                <w:sz w:val="3"/>
                <w:szCs w:val="3"/>
                <w:color w:val="auto"/>
              </w:rPr>
            </w:pPr>
          </w:p>
        </w:tc>
        <w:tc>
          <w:tcPr>
            <w:tcW w:w="4340" w:type="dxa"/>
            <w:vAlign w:val="bottom"/>
          </w:tcPr>
          <w:p>
            <w:pPr>
              <w:spacing w:after="0"/>
              <w:rPr>
                <w:sz w:val="3"/>
                <w:szCs w:val="3"/>
                <w:color w:val="auto"/>
              </w:rPr>
            </w:pPr>
          </w:p>
        </w:tc>
        <w:tc>
          <w:tcPr>
            <w:tcW w:w="660" w:type="dxa"/>
            <w:vAlign w:val="bottom"/>
          </w:tcPr>
          <w:p>
            <w:pPr>
              <w:spacing w:after="0"/>
              <w:rPr>
                <w:sz w:val="3"/>
                <w:szCs w:val="3"/>
                <w:color w:val="auto"/>
              </w:rPr>
            </w:pPr>
          </w:p>
        </w:tc>
        <w:tc>
          <w:tcPr>
            <w:tcW w:w="2520" w:type="dxa"/>
            <w:vAlign w:val="bottom"/>
          </w:tcPr>
          <w:p>
            <w:pPr>
              <w:spacing w:after="0"/>
              <w:rPr>
                <w:sz w:val="3"/>
                <w:szCs w:val="3"/>
                <w:color w:val="auto"/>
              </w:rPr>
            </w:pPr>
          </w:p>
        </w:tc>
        <w:tc>
          <w:tcPr>
            <w:tcW w:w="2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41"/>
        </w:trPr>
        <w:tc>
          <w:tcPr>
            <w:tcW w:w="11420" w:type="dxa"/>
            <w:vAlign w:val="bottom"/>
            <w:gridSpan w:val="9"/>
          </w:tcPr>
          <w:p>
            <w:pPr>
              <w:spacing w:after="0"/>
              <w:rPr>
                <w:sz w:val="20"/>
                <w:szCs w:val="20"/>
                <w:color w:val="auto"/>
              </w:rPr>
            </w:pPr>
            <w:r>
              <w:rPr>
                <w:rFonts w:ascii="Arial" w:cs="Arial" w:eastAsia="Arial" w:hAnsi="Arial"/>
                <w:sz w:val="3"/>
                <w:szCs w:val="3"/>
                <w:color w:val="FFFFFF"/>
              </w:rPr>
              <w:t>Consumers want the best services at a great price. They want things to be simple and convenient. They want to feel in control. The next great frontier for Comcast is to integrate our products in ways never before</w:t>
            </w:r>
          </w:p>
        </w:tc>
        <w:tc>
          <w:tcPr>
            <w:tcW w:w="0" w:type="dxa"/>
            <w:vAlign w:val="bottom"/>
          </w:tcPr>
          <w:p>
            <w:pPr>
              <w:spacing w:after="0"/>
              <w:rPr>
                <w:sz w:val="1"/>
                <w:szCs w:val="1"/>
                <w:color w:val="auto"/>
              </w:rPr>
            </w:pPr>
          </w:p>
        </w:tc>
      </w:tr>
      <w:tr>
        <w:trPr>
          <w:trHeight w:val="41"/>
        </w:trPr>
        <w:tc>
          <w:tcPr>
            <w:tcW w:w="1660" w:type="dxa"/>
            <w:vAlign w:val="bottom"/>
            <w:gridSpan w:val="3"/>
          </w:tcPr>
          <w:p>
            <w:pPr>
              <w:spacing w:after="0"/>
              <w:rPr>
                <w:sz w:val="20"/>
                <w:szCs w:val="20"/>
                <w:color w:val="auto"/>
              </w:rPr>
            </w:pPr>
            <w:r>
              <w:rPr>
                <w:rFonts w:ascii="Arial" w:cs="Arial" w:eastAsia="Arial" w:hAnsi="Arial"/>
                <w:sz w:val="3"/>
                <w:szCs w:val="3"/>
                <w:color w:val="FFFFFF"/>
              </w:rPr>
              <w:t>imaginable — like providing</w:t>
            </w:r>
          </w:p>
        </w:tc>
        <w:tc>
          <w:tcPr>
            <w:tcW w:w="9520" w:type="dxa"/>
            <w:vAlign w:val="bottom"/>
            <w:gridSpan w:val="5"/>
          </w:tcPr>
          <w:p>
            <w:pPr>
              <w:ind w:left="40"/>
              <w:spacing w:after="0"/>
              <w:rPr>
                <w:sz w:val="20"/>
                <w:szCs w:val="20"/>
                <w:color w:val="auto"/>
              </w:rPr>
            </w:pPr>
            <w:r>
              <w:rPr>
                <w:rFonts w:ascii="Arial" w:cs="Arial" w:eastAsia="Arial" w:hAnsi="Arial"/>
                <w:sz w:val="3"/>
                <w:szCs w:val="3"/>
                <w:color w:val="FFFFFF"/>
              </w:rPr>
              <w:t>single access point for customers to manage all their communications, or to plan and schedule their TV experience no matter where they are.</w:t>
            </w:r>
          </w:p>
        </w:tc>
        <w:tc>
          <w:tcPr>
            <w:tcW w:w="2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41"/>
        </w:trPr>
        <w:tc>
          <w:tcPr>
            <w:tcW w:w="8660" w:type="dxa"/>
            <w:vAlign w:val="bottom"/>
            <w:gridSpan w:val="7"/>
          </w:tcPr>
          <w:p>
            <w:pPr>
              <w:spacing w:after="0"/>
              <w:rPr>
                <w:sz w:val="20"/>
                <w:szCs w:val="20"/>
                <w:color w:val="auto"/>
              </w:rPr>
            </w:pPr>
            <w:r>
              <w:rPr>
                <w:rFonts w:ascii="Arial" w:cs="Arial" w:eastAsia="Arial" w:hAnsi="Arial"/>
                <w:sz w:val="3"/>
                <w:szCs w:val="3"/>
                <w:color w:val="FFFFFF"/>
              </w:rPr>
              <w:t>Our product teams and Comcast Interactive Media are focused on developing integrated services that offer entertainment and communications to consumers</w:t>
            </w:r>
          </w:p>
        </w:tc>
        <w:tc>
          <w:tcPr>
            <w:tcW w:w="2520" w:type="dxa"/>
            <w:vAlign w:val="bottom"/>
          </w:tcPr>
          <w:p>
            <w:pPr>
              <w:ind w:left="200"/>
              <w:spacing w:after="0"/>
              <w:rPr>
                <w:sz w:val="20"/>
                <w:szCs w:val="20"/>
                <w:color w:val="auto"/>
              </w:rPr>
            </w:pPr>
            <w:r>
              <w:rPr>
                <w:rFonts w:ascii="Arial" w:cs="Arial" w:eastAsia="Arial" w:hAnsi="Arial"/>
                <w:sz w:val="3"/>
                <w:szCs w:val="3"/>
                <w:color w:val="FFFFFF"/>
              </w:rPr>
              <w:t>multiple platforms. Our programming</w:t>
            </w:r>
          </w:p>
        </w:tc>
        <w:tc>
          <w:tcPr>
            <w:tcW w:w="2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41"/>
        </w:trPr>
        <w:tc>
          <w:tcPr>
            <w:tcW w:w="420" w:type="dxa"/>
            <w:vAlign w:val="bottom"/>
          </w:tcPr>
          <w:p>
            <w:pPr>
              <w:spacing w:after="0"/>
              <w:rPr>
                <w:sz w:val="3"/>
                <w:szCs w:val="3"/>
                <w:color w:val="auto"/>
              </w:rPr>
            </w:pPr>
          </w:p>
        </w:tc>
        <w:tc>
          <w:tcPr>
            <w:tcW w:w="10760" w:type="dxa"/>
            <w:vAlign w:val="bottom"/>
            <w:gridSpan w:val="7"/>
          </w:tcPr>
          <w:p>
            <w:pPr>
              <w:ind w:left="40"/>
              <w:spacing w:after="0"/>
              <w:rPr>
                <w:sz w:val="20"/>
                <w:szCs w:val="20"/>
                <w:color w:val="auto"/>
              </w:rPr>
            </w:pPr>
            <w:r>
              <w:rPr>
                <w:rFonts w:ascii="Arial" w:cs="Arial" w:eastAsia="Arial" w:hAnsi="Arial"/>
                <w:sz w:val="3"/>
                <w:szCs w:val="3"/>
                <w:color w:val="FFFFFF"/>
              </w:rPr>
              <w:t>s are also working on that strategy. PBS KIDS Sprout is available on  linear channel, on demand and online. In October 2006, we launched FEARnet,acrossnew advertising-supported, multiplatform</w:t>
            </w:r>
          </w:p>
        </w:tc>
        <w:tc>
          <w:tcPr>
            <w:tcW w:w="2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41"/>
        </w:trPr>
        <w:tc>
          <w:tcPr>
            <w:tcW w:w="8000" w:type="dxa"/>
            <w:vAlign w:val="bottom"/>
            <w:gridSpan w:val="6"/>
          </w:tcPr>
          <w:p>
            <w:pPr>
              <w:spacing w:after="0"/>
              <w:rPr>
                <w:sz w:val="20"/>
                <w:szCs w:val="20"/>
                <w:color w:val="auto"/>
              </w:rPr>
            </w:pPr>
            <w:r>
              <w:rPr>
                <w:rFonts w:ascii="Arial" w:cs="Arial" w:eastAsia="Arial" w:hAnsi="Arial"/>
                <w:sz w:val="3"/>
                <w:szCs w:val="3"/>
                <w:color w:val="FFFFFF"/>
              </w:rPr>
              <w:t>network delivering the best of modern horror films, streaming video and original content — on demand, online and to mobile devices.</w:t>
            </w:r>
          </w:p>
        </w:tc>
        <w:tc>
          <w:tcPr>
            <w:tcW w:w="660" w:type="dxa"/>
            <w:vAlign w:val="bottom"/>
          </w:tcPr>
          <w:p>
            <w:pPr>
              <w:spacing w:after="0"/>
              <w:rPr>
                <w:sz w:val="3"/>
                <w:szCs w:val="3"/>
                <w:color w:val="auto"/>
              </w:rPr>
            </w:pPr>
          </w:p>
        </w:tc>
        <w:tc>
          <w:tcPr>
            <w:tcW w:w="2520" w:type="dxa"/>
            <w:vAlign w:val="bottom"/>
          </w:tcPr>
          <w:p>
            <w:pPr>
              <w:spacing w:after="0"/>
              <w:rPr>
                <w:sz w:val="3"/>
                <w:szCs w:val="3"/>
                <w:color w:val="auto"/>
              </w:rPr>
            </w:pPr>
          </w:p>
        </w:tc>
        <w:tc>
          <w:tcPr>
            <w:tcW w:w="2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172"/>
        </w:trPr>
        <w:tc>
          <w:tcPr>
            <w:tcW w:w="420" w:type="dxa"/>
            <w:vAlign w:val="bottom"/>
          </w:tcPr>
          <w:p>
            <w:pPr>
              <w:spacing w:after="0"/>
              <w:rPr>
                <w:sz w:val="20"/>
                <w:szCs w:val="20"/>
                <w:color w:val="auto"/>
              </w:rPr>
            </w:pPr>
            <w:r>
              <w:rPr>
                <w:rFonts w:ascii="Arial" w:cs="Arial" w:eastAsia="Arial" w:hAnsi="Arial"/>
                <w:sz w:val="14"/>
                <w:szCs w:val="14"/>
                <w:color w:val="FFFFFF"/>
              </w:rPr>
              <w:t>20</w:t>
            </w:r>
          </w:p>
        </w:tc>
        <w:tc>
          <w:tcPr>
            <w:tcW w:w="24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130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434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252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0" w:type="dxa"/>
            <w:vAlign w:val="bottom"/>
          </w:tcPr>
          <w:p>
            <w:pPr>
              <w:spacing w:after="0"/>
              <w:rPr>
                <w:sz w:val="1"/>
                <w:szCs w:val="1"/>
                <w:color w:val="auto"/>
              </w:rPr>
            </w:pPr>
          </w:p>
        </w:tc>
      </w:tr>
    </w:tbl>
    <w:p>
      <w:pPr>
        <w:sectPr>
          <w:pgSz w:w="11900" w:h="16838" w:orient="portrait"/>
          <w:cols w:equalWidth="0" w:num="1">
            <w:col w:w="11420"/>
          </w:cols>
          <w:pgMar w:left="240" w:top="459" w:right="239" w:bottom="1440" w:gutter="0" w:footer="0" w:header="0"/>
        </w:sectPr>
      </w:pPr>
    </w:p>
    <w:bookmarkStart w:id="97" w:name="page98"/>
    <w:bookmarkEnd w:id="9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130" name="Picture 1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0"/>
                    <pic:cNvPicPr>
                      <a:picLocks noChangeAspect="1" noChangeArrowheads="1"/>
                    </pic:cNvPicPr>
                  </pic:nvPicPr>
                  <pic:blipFill>
                    <a:blip r:embed="rId137">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880110</wp:posOffset>
            </wp:positionH>
            <wp:positionV relativeFrom="paragraph">
              <wp:posOffset>205740</wp:posOffset>
            </wp:positionV>
            <wp:extent cx="5497195" cy="7117715"/>
            <wp:wrapNone/>
            <wp:docPr id="131" name="Picture 1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1"/>
                    <pic:cNvPicPr>
                      <a:picLocks noChangeAspect="1" noChangeArrowheads="1"/>
                    </pic:cNvPicPr>
                  </pic:nvPicPr>
                  <pic:blipFill>
                    <a:blip r:embed="rId138">
                      <a:extLst>
                        <a:ext uri="{28A0092B-C50C-407E-A947-70E740481C1C}"/>
                      </a:extLst>
                    </a:blip>
                    <a:srcRect/>
                    <a:stretch>
                      <a:fillRect/>
                    </a:stretch>
                  </pic:blipFill>
                  <pic:spPr bwMode="auto">
                    <a:xfrm>
                      <a:off x="0" y="0"/>
                      <a:ext cx="5497195" cy="711771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1"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1400" w:type="dxa"/>
            <w:vAlign w:val="bottom"/>
            <w:gridSpan w:val="2"/>
          </w:tcPr>
          <w:p>
            <w:pPr>
              <w:spacing w:after="0"/>
              <w:rPr>
                <w:sz w:val="20"/>
                <w:szCs w:val="20"/>
                <w:color w:val="auto"/>
              </w:rPr>
            </w:pPr>
            <w:r>
              <w:rPr>
                <w:rFonts w:ascii="Arial" w:cs="Arial" w:eastAsia="Arial" w:hAnsi="Arial"/>
                <w:sz w:val="14"/>
                <w:szCs w:val="14"/>
                <w:color w:val="FFFFFF"/>
                <w:w w:val="95"/>
              </w:rPr>
              <w:t>With our cable partners</w:t>
            </w:r>
          </w:p>
        </w:tc>
        <w:tc>
          <w:tcPr>
            <w:tcW w:w="10000" w:type="dxa"/>
            <w:vAlign w:val="bottom"/>
            <w:gridSpan w:val="3"/>
          </w:tcPr>
          <w:p>
            <w:pPr>
              <w:jc w:val="right"/>
              <w:spacing w:after="0"/>
              <w:rPr>
                <w:sz w:val="20"/>
                <w:szCs w:val="20"/>
                <w:color w:val="auto"/>
              </w:rPr>
            </w:pPr>
            <w:r>
              <w:rPr>
                <w:rFonts w:ascii="Arial" w:cs="Arial" w:eastAsia="Arial" w:hAnsi="Arial"/>
                <w:sz w:val="14"/>
                <w:szCs w:val="14"/>
                <w:color w:val="FFFFFF"/>
                <w:w w:val="88"/>
              </w:rPr>
              <w:t>Sprint Nextel, we are testing consumer demand and applications to integrate and extend the Comcast experience outside the home, bringing mobility to our products. W also invested</w:t>
            </w:r>
          </w:p>
        </w:tc>
      </w:tr>
      <w:tr>
        <w:trPr>
          <w:trHeight w:val="41"/>
        </w:trPr>
        <w:tc>
          <w:tcPr>
            <w:tcW w:w="11400" w:type="dxa"/>
            <w:vAlign w:val="bottom"/>
            <w:gridSpan w:val="5"/>
          </w:tcPr>
          <w:p>
            <w:pPr>
              <w:spacing w:after="0"/>
              <w:rPr>
                <w:sz w:val="20"/>
                <w:szCs w:val="20"/>
                <w:color w:val="auto"/>
              </w:rPr>
            </w:pPr>
            <w:r>
              <w:rPr>
                <w:rFonts w:ascii="Arial" w:cs="Arial" w:eastAsia="Arial" w:hAnsi="Arial"/>
                <w:sz w:val="3"/>
                <w:szCs w:val="3"/>
                <w:color w:val="FFFFFF"/>
              </w:rPr>
              <w:t>in wireless spectrum withand nationwide reach as part of the SpectrumCo consortium. This spectrum gives us strategic flexibility and many options to capitalize on new wireless functionalities as they evolve.</w:t>
            </w:r>
          </w:p>
        </w:tc>
      </w:tr>
      <w:tr>
        <w:trPr>
          <w:trHeight w:val="41"/>
        </w:trPr>
        <w:tc>
          <w:tcPr>
            <w:tcW w:w="5680" w:type="dxa"/>
            <w:vAlign w:val="bottom"/>
            <w:gridSpan w:val="4"/>
          </w:tcPr>
          <w:p>
            <w:pPr>
              <w:spacing w:after="0"/>
              <w:rPr>
                <w:sz w:val="20"/>
                <w:szCs w:val="20"/>
                <w:color w:val="auto"/>
              </w:rPr>
            </w:pPr>
            <w:r>
              <w:rPr>
                <w:rFonts w:ascii="Arial" w:cs="Arial" w:eastAsia="Arial" w:hAnsi="Arial"/>
                <w:sz w:val="3"/>
                <w:szCs w:val="3"/>
                <w:color w:val="FFFFFF"/>
              </w:rPr>
              <w:t>Our strong balance sheet and free cash flow(d) give us significant financial flexibility to innovate, invest</w:t>
            </w:r>
          </w:p>
        </w:tc>
        <w:tc>
          <w:tcPr>
            <w:tcW w:w="5720" w:type="dxa"/>
            <w:vAlign w:val="bottom"/>
          </w:tcPr>
          <w:p>
            <w:pPr>
              <w:jc w:val="right"/>
              <w:spacing w:after="0"/>
              <w:rPr>
                <w:sz w:val="20"/>
                <w:szCs w:val="20"/>
                <w:color w:val="auto"/>
              </w:rPr>
            </w:pPr>
            <w:r>
              <w:rPr>
                <w:rFonts w:ascii="Arial" w:cs="Arial" w:eastAsia="Arial" w:hAnsi="Arial"/>
                <w:sz w:val="3"/>
                <w:szCs w:val="3"/>
                <w:color w:val="FFFFFF"/>
              </w:rPr>
              <w:t>grow. In 2006, we focused our investments in cable and programming to drive new product RGUs, to</w:t>
            </w:r>
          </w:p>
        </w:tc>
      </w:tr>
      <w:tr>
        <w:trPr>
          <w:trHeight w:val="41"/>
        </w:trPr>
        <w:tc>
          <w:tcPr>
            <w:tcW w:w="2980" w:type="dxa"/>
            <w:vAlign w:val="bottom"/>
            <w:gridSpan w:val="3"/>
          </w:tcPr>
          <w:p>
            <w:pPr>
              <w:spacing w:after="0"/>
              <w:rPr>
                <w:sz w:val="20"/>
                <w:szCs w:val="20"/>
                <w:color w:val="auto"/>
              </w:rPr>
            </w:pPr>
            <w:r>
              <w:rPr>
                <w:rFonts w:ascii="Arial" w:cs="Arial" w:eastAsia="Arial" w:hAnsi="Arial"/>
                <w:sz w:val="3"/>
                <w:szCs w:val="3"/>
                <w:color w:val="FFFFFF"/>
              </w:rPr>
              <w:t>enhance our services and to launch new businesses. W</w:t>
            </w:r>
          </w:p>
        </w:tc>
        <w:tc>
          <w:tcPr>
            <w:tcW w:w="2700" w:type="dxa"/>
            <w:vAlign w:val="bottom"/>
          </w:tcPr>
          <w:p>
            <w:pPr>
              <w:ind w:left="60"/>
              <w:spacing w:after="0"/>
              <w:rPr>
                <w:sz w:val="20"/>
                <w:szCs w:val="20"/>
                <w:color w:val="auto"/>
              </w:rPr>
            </w:pPr>
            <w:r>
              <w:rPr>
                <w:rFonts w:ascii="Arial" w:cs="Arial" w:eastAsia="Arial" w:hAnsi="Arial"/>
                <w:sz w:val="3"/>
                <w:szCs w:val="3"/>
                <w:color w:val="FFFFFF"/>
              </w:rPr>
              <w:t>generated over $2.6 billion   free cash flow</w:t>
            </w:r>
          </w:p>
        </w:tc>
        <w:tc>
          <w:tcPr>
            <w:tcW w:w="5720" w:type="dxa"/>
            <w:vAlign w:val="bottom"/>
          </w:tcPr>
          <w:p>
            <w:pPr>
              <w:jc w:val="right"/>
              <w:ind w:right="43"/>
              <w:spacing w:after="0"/>
              <w:rPr>
                <w:sz w:val="20"/>
                <w:szCs w:val="20"/>
                <w:color w:val="auto"/>
              </w:rPr>
            </w:pPr>
            <w:r>
              <w:rPr>
                <w:rFonts w:ascii="Arial" w:cs="Arial" w:eastAsia="Arial" w:hAnsi="Arial"/>
                <w:sz w:val="3"/>
                <w:szCs w:val="3"/>
                <w:color w:val="FFFFFF"/>
              </w:rPr>
              <w:t>used $2.3 billion to repurchase our stock. In fact, over the past three years, we have invested virtually all</w:t>
            </w:r>
          </w:p>
        </w:tc>
      </w:tr>
      <w:tr>
        <w:trPr>
          <w:trHeight w:val="41"/>
        </w:trPr>
        <w:tc>
          <w:tcPr>
            <w:tcW w:w="11400" w:type="dxa"/>
            <w:vAlign w:val="bottom"/>
            <w:gridSpan w:val="5"/>
          </w:tcPr>
          <w:p>
            <w:pPr>
              <w:spacing w:after="0"/>
              <w:rPr>
                <w:sz w:val="20"/>
                <w:szCs w:val="20"/>
                <w:color w:val="auto"/>
              </w:rPr>
            </w:pPr>
            <w:r>
              <w:rPr>
                <w:rFonts w:ascii="Arial" w:cs="Arial" w:eastAsia="Arial" w:hAnsi="Arial"/>
                <w:sz w:val="3"/>
                <w:szCs w:val="3"/>
                <w:color w:val="FFFFFF"/>
              </w:rPr>
              <w:t>of our free cash flow in our stock and securities exchangeable into our stock, reducing our shares outstanding by more than 10%.</w:t>
            </w:r>
          </w:p>
        </w:tc>
      </w:tr>
      <w:tr>
        <w:trPr>
          <w:trHeight w:val="41"/>
        </w:trPr>
        <w:tc>
          <w:tcPr>
            <w:tcW w:w="1220" w:type="dxa"/>
            <w:vAlign w:val="bottom"/>
          </w:tcPr>
          <w:p>
            <w:pPr>
              <w:spacing w:after="0"/>
              <w:rPr>
                <w:sz w:val="20"/>
                <w:szCs w:val="20"/>
                <w:color w:val="auto"/>
              </w:rPr>
            </w:pPr>
            <w:r>
              <w:rPr>
                <w:rFonts w:ascii="Arial" w:cs="Arial" w:eastAsia="Arial" w:hAnsi="Arial"/>
                <w:sz w:val="3"/>
                <w:szCs w:val="3"/>
                <w:color w:val="FFFFFF"/>
              </w:rPr>
              <w:t>On a Mission to Grow</w:t>
            </w:r>
          </w:p>
        </w:tc>
        <w:tc>
          <w:tcPr>
            <w:tcW w:w="180" w:type="dxa"/>
            <w:vAlign w:val="bottom"/>
          </w:tcPr>
          <w:p>
            <w:pPr>
              <w:spacing w:after="0"/>
              <w:rPr>
                <w:sz w:val="3"/>
                <w:szCs w:val="3"/>
                <w:color w:val="auto"/>
              </w:rPr>
            </w:pPr>
          </w:p>
        </w:tc>
        <w:tc>
          <w:tcPr>
            <w:tcW w:w="1580" w:type="dxa"/>
            <w:vAlign w:val="bottom"/>
          </w:tcPr>
          <w:p>
            <w:pPr>
              <w:spacing w:after="0"/>
              <w:rPr>
                <w:sz w:val="3"/>
                <w:szCs w:val="3"/>
                <w:color w:val="auto"/>
              </w:rPr>
            </w:pPr>
          </w:p>
        </w:tc>
        <w:tc>
          <w:tcPr>
            <w:tcW w:w="2700" w:type="dxa"/>
            <w:vAlign w:val="bottom"/>
          </w:tcPr>
          <w:p>
            <w:pPr>
              <w:spacing w:after="0"/>
              <w:rPr>
                <w:sz w:val="3"/>
                <w:szCs w:val="3"/>
                <w:color w:val="auto"/>
              </w:rPr>
            </w:pPr>
          </w:p>
        </w:tc>
        <w:tc>
          <w:tcPr>
            <w:tcW w:w="5720" w:type="dxa"/>
            <w:vAlign w:val="bottom"/>
          </w:tcPr>
          <w:p>
            <w:pPr>
              <w:spacing w:after="0"/>
              <w:rPr>
                <w:sz w:val="3"/>
                <w:szCs w:val="3"/>
                <w:color w:val="auto"/>
              </w:rPr>
            </w:pPr>
          </w:p>
        </w:tc>
      </w:tr>
      <w:tr>
        <w:trPr>
          <w:trHeight w:val="41"/>
        </w:trPr>
        <w:tc>
          <w:tcPr>
            <w:tcW w:w="11400" w:type="dxa"/>
            <w:vAlign w:val="bottom"/>
            <w:gridSpan w:val="5"/>
          </w:tcPr>
          <w:p>
            <w:pPr>
              <w:spacing w:after="0"/>
              <w:rPr>
                <w:sz w:val="20"/>
                <w:szCs w:val="20"/>
                <w:color w:val="auto"/>
              </w:rPr>
            </w:pPr>
            <w:r>
              <w:rPr>
                <w:rFonts w:ascii="Arial" w:cs="Arial" w:eastAsia="Arial" w:hAnsi="Arial"/>
                <w:sz w:val="3"/>
                <w:szCs w:val="3"/>
                <w:color w:val="FFFFFF"/>
              </w:rPr>
              <w:t>In 2007, we will focus even more intently on growing RGUs to capture market share and extend our leadership in the market. In the last five years, we have transformed Comcast into a company that develops</w:t>
            </w:r>
          </w:p>
        </w:tc>
      </w:tr>
      <w:tr>
        <w:trPr>
          <w:trHeight w:val="41"/>
        </w:trPr>
        <w:tc>
          <w:tcPr>
            <w:tcW w:w="11400" w:type="dxa"/>
            <w:vAlign w:val="bottom"/>
            <w:gridSpan w:val="5"/>
          </w:tcPr>
          <w:p>
            <w:pPr>
              <w:spacing w:after="0"/>
              <w:rPr>
                <w:sz w:val="20"/>
                <w:szCs w:val="20"/>
                <w:color w:val="auto"/>
              </w:rPr>
            </w:pPr>
            <w:r>
              <w:rPr>
                <w:rFonts w:ascii="Arial" w:cs="Arial" w:eastAsia="Arial" w:hAnsi="Arial"/>
                <w:sz w:val="3"/>
                <w:szCs w:val="3"/>
                <w:color w:val="FFFFFF"/>
              </w:rPr>
              <w:t>and delivers multiple services with diverse revenue streams. Over the next few years, it is easy to imagine that our company could be serving as many high-speed Internet and digital voice customers as we have</w:t>
            </w:r>
          </w:p>
        </w:tc>
      </w:tr>
      <w:tr>
        <w:trPr>
          <w:trHeight w:val="41"/>
        </w:trPr>
        <w:tc>
          <w:tcPr>
            <w:tcW w:w="1400" w:type="dxa"/>
            <w:vAlign w:val="bottom"/>
            <w:gridSpan w:val="2"/>
          </w:tcPr>
          <w:p>
            <w:pPr>
              <w:spacing w:after="0"/>
              <w:rPr>
                <w:sz w:val="20"/>
                <w:szCs w:val="20"/>
                <w:color w:val="auto"/>
              </w:rPr>
            </w:pPr>
            <w:r>
              <w:rPr>
                <w:rFonts w:ascii="Arial" w:cs="Arial" w:eastAsia="Arial" w:hAnsi="Arial"/>
                <w:sz w:val="3"/>
                <w:szCs w:val="3"/>
                <w:color w:val="FFFFFF"/>
              </w:rPr>
              <w:t>video customers today.</w:t>
            </w:r>
          </w:p>
        </w:tc>
        <w:tc>
          <w:tcPr>
            <w:tcW w:w="1580" w:type="dxa"/>
            <w:vAlign w:val="bottom"/>
          </w:tcPr>
          <w:p>
            <w:pPr>
              <w:spacing w:after="0"/>
              <w:rPr>
                <w:sz w:val="3"/>
                <w:szCs w:val="3"/>
                <w:color w:val="auto"/>
              </w:rPr>
            </w:pPr>
          </w:p>
        </w:tc>
        <w:tc>
          <w:tcPr>
            <w:tcW w:w="2700" w:type="dxa"/>
            <w:vAlign w:val="bottom"/>
          </w:tcPr>
          <w:p>
            <w:pPr>
              <w:spacing w:after="0"/>
              <w:rPr>
                <w:sz w:val="3"/>
                <w:szCs w:val="3"/>
                <w:color w:val="auto"/>
              </w:rPr>
            </w:pPr>
          </w:p>
        </w:tc>
        <w:tc>
          <w:tcPr>
            <w:tcW w:w="5720" w:type="dxa"/>
            <w:vAlign w:val="bottom"/>
          </w:tcPr>
          <w:p>
            <w:pPr>
              <w:spacing w:after="0"/>
              <w:rPr>
                <w:sz w:val="3"/>
                <w:szCs w:val="3"/>
                <w:color w:val="auto"/>
              </w:rPr>
            </w:pPr>
          </w:p>
        </w:tc>
      </w:tr>
      <w:tr>
        <w:trPr>
          <w:trHeight w:val="41"/>
        </w:trPr>
        <w:tc>
          <w:tcPr>
            <w:tcW w:w="11400" w:type="dxa"/>
            <w:vAlign w:val="bottom"/>
            <w:gridSpan w:val="5"/>
          </w:tcPr>
          <w:p>
            <w:pPr>
              <w:spacing w:after="0"/>
              <w:rPr>
                <w:sz w:val="20"/>
                <w:szCs w:val="20"/>
                <w:color w:val="auto"/>
              </w:rPr>
            </w:pPr>
            <w:r>
              <w:rPr>
                <w:rFonts w:ascii="Arial" w:cs="Arial" w:eastAsia="Arial" w:hAnsi="Arial"/>
                <w:sz w:val="3"/>
                <w:szCs w:val="3"/>
                <w:color w:val="FFFFFF"/>
              </w:rPr>
              <w:t>In 2007, we will focus even more intently on growing RGUs to capture market share and extend our leadership   the market.</w:t>
            </w:r>
          </w:p>
        </w:tc>
      </w:tr>
      <w:tr>
        <w:trPr>
          <w:trHeight w:val="41"/>
        </w:trPr>
        <w:tc>
          <w:tcPr>
            <w:tcW w:w="2980" w:type="dxa"/>
            <w:vAlign w:val="bottom"/>
            <w:gridSpan w:val="3"/>
          </w:tcPr>
          <w:p>
            <w:pPr>
              <w:spacing w:after="0"/>
              <w:rPr>
                <w:sz w:val="20"/>
                <w:szCs w:val="20"/>
                <w:color w:val="auto"/>
              </w:rPr>
            </w:pPr>
            <w:r>
              <w:rPr>
                <w:rFonts w:ascii="Arial" w:cs="Arial" w:eastAsia="Arial" w:hAnsi="Arial"/>
                <w:sz w:val="3"/>
                <w:szCs w:val="3"/>
                <w:color w:val="FFFFFF"/>
              </w:rPr>
              <w:t>The first quarter of 2007 marks a bittersweet</w:t>
            </w:r>
          </w:p>
        </w:tc>
        <w:tc>
          <w:tcPr>
            <w:tcW w:w="8420" w:type="dxa"/>
            <w:vAlign w:val="bottom"/>
            <w:gridSpan w:val="2"/>
          </w:tcPr>
          <w:p>
            <w:pPr>
              <w:jc w:val="right"/>
              <w:ind w:right="123"/>
              <w:spacing w:after="0"/>
              <w:rPr>
                <w:sz w:val="20"/>
                <w:szCs w:val="20"/>
                <w:color w:val="auto"/>
              </w:rPr>
            </w:pPr>
            <w:r>
              <w:rPr>
                <w:rFonts w:ascii="Arial" w:cs="Arial" w:eastAsia="Arial" w:hAnsi="Arial"/>
                <w:sz w:val="3"/>
                <w:szCs w:val="3"/>
                <w:color w:val="FFFFFF"/>
              </w:rPr>
              <w:t>with the retirement of Larry Smith, our Co-Chief Financial Officer. Over the years, I have called Larry the company’s “chief money-making officer.” He</w:t>
            </w:r>
          </w:p>
        </w:tc>
      </w:tr>
      <w:tr>
        <w:trPr>
          <w:trHeight w:val="0"/>
        </w:trPr>
        <w:tc>
          <w:tcPr>
            <w:tcW w:w="1220" w:type="dxa"/>
            <w:vAlign w:val="bottom"/>
          </w:tcPr>
          <w:p>
            <w:pPr>
              <w:spacing w:after="0" w:line="80" w:lineRule="exact"/>
              <w:rPr>
                <w:sz w:val="20"/>
                <w:szCs w:val="20"/>
                <w:color w:val="auto"/>
              </w:rPr>
            </w:pPr>
            <w:r>
              <w:rPr>
                <w:rFonts w:ascii="Arial" w:cs="Arial" w:eastAsia="Arial" w:hAnsi="Arial"/>
                <w:sz w:val="9"/>
                <w:szCs w:val="9"/>
                <w:color w:val="FFFFFF"/>
              </w:rPr>
              <w:t>has made</w:t>
            </w:r>
          </w:p>
        </w:tc>
        <w:tc>
          <w:tcPr>
            <w:tcW w:w="10180" w:type="dxa"/>
            <w:vAlign w:val="bottom"/>
            <w:gridSpan w:val="4"/>
          </w:tcPr>
          <w:p>
            <w:pPr>
              <w:jc w:val="right"/>
              <w:ind w:right="283"/>
              <w:spacing w:after="0" w:line="80" w:lineRule="exact"/>
              <w:rPr>
                <w:sz w:val="20"/>
                <w:szCs w:val="20"/>
                <w:color w:val="auto"/>
              </w:rPr>
            </w:pPr>
            <w:r>
              <w:rPr>
                <w:rFonts w:ascii="Arial" w:cs="Arial" w:eastAsia="Arial" w:hAnsi="Arial"/>
                <w:sz w:val="9"/>
                <w:szCs w:val="9"/>
                <w:color w:val="FFFFFF"/>
              </w:rPr>
              <w:t>contributions to Comcast’milestonegrowth and success — his deal-making prowess, wise counsel and steady leadership are a huge part of Comcast’s culture. His friendship and guidance will</w:t>
            </w:r>
          </w:p>
        </w:tc>
      </w:tr>
    </w:tbl>
    <w:p>
      <w:pPr>
        <w:ind w:left="540"/>
        <w:spacing w:after="0" w:line="25" w:lineRule="auto"/>
        <w:rPr>
          <w:sz w:val="20"/>
          <w:szCs w:val="20"/>
          <w:color w:val="auto"/>
        </w:rPr>
      </w:pPr>
      <w:r>
        <w:rPr>
          <w:rFonts w:ascii="Arial" w:cs="Arial" w:eastAsia="Arial" w:hAnsi="Arial"/>
          <w:sz w:val="1"/>
          <w:szCs w:val="1"/>
          <w:color w:val="FFFFFF"/>
        </w:rPr>
        <w:t>phenomenal</w:t>
      </w:r>
    </w:p>
    <w:p>
      <w:pPr>
        <w:spacing w:after="0" w:line="211" w:lineRule="auto"/>
        <w:rPr>
          <w:sz w:val="20"/>
          <w:szCs w:val="20"/>
          <w:color w:val="auto"/>
        </w:rPr>
      </w:pPr>
      <w:r>
        <w:rPr>
          <w:rFonts w:ascii="Arial" w:cs="Arial" w:eastAsia="Arial" w:hAnsi="Arial"/>
          <w:sz w:val="8"/>
          <w:szCs w:val="8"/>
          <w:color w:val="FFFFFF"/>
        </w:rPr>
        <w:t>Michaelcontinue willas partnerremainswithapartJohn-timeAlchinadvisorin2007intheas future.Co-CFOWeandarewillthrilledsucceedtohaveJohnrecruitedwhenheMichaelretires atAngelakis,theendofa 2007.managing director in the extremely successful Providence Equity Partners, to succeed Larry.</w:t>
      </w:r>
    </w:p>
    <w:p>
      <w:pPr>
        <w:spacing w:after="0"/>
        <w:rPr>
          <w:sz w:val="20"/>
          <w:szCs w:val="20"/>
          <w:color w:val="auto"/>
        </w:rPr>
      </w:pPr>
      <w:r>
        <w:rPr>
          <w:rFonts w:ascii="Arial" w:cs="Arial" w:eastAsia="Arial" w:hAnsi="Arial"/>
          <w:sz w:val="14"/>
          <w:szCs w:val="14"/>
          <w:color w:val="FFFFFF"/>
        </w:rPr>
        <w:t>21See notes and definitions on page 23.</w:t>
      </w:r>
    </w:p>
    <w:p>
      <w:pPr>
        <w:sectPr>
          <w:pgSz w:w="11900" w:h="16838" w:orient="portrait"/>
          <w:cols w:equalWidth="0" w:num="1">
            <w:col w:w="11400"/>
          </w:cols>
          <w:pgMar w:left="240" w:top="459" w:right="259" w:bottom="1440" w:gutter="0" w:footer="0" w:header="0"/>
        </w:sectPr>
      </w:pPr>
    </w:p>
    <w:bookmarkStart w:id="98" w:name="page99"/>
    <w:bookmarkEnd w:id="9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132" name="Picture 1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2"/>
                    <pic:cNvPicPr>
                      <a:picLocks noChangeAspect="1" noChangeArrowheads="1"/>
                    </pic:cNvPicPr>
                  </pic:nvPicPr>
                  <pic:blipFill>
                    <a:blip r:embed="rId139">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880110</wp:posOffset>
            </wp:positionH>
            <wp:positionV relativeFrom="paragraph">
              <wp:posOffset>205740</wp:posOffset>
            </wp:positionV>
            <wp:extent cx="5497195" cy="7117715"/>
            <wp:wrapNone/>
            <wp:docPr id="133" name="Picture 1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3"/>
                    <pic:cNvPicPr>
                      <a:picLocks noChangeAspect="1" noChangeArrowheads="1"/>
                    </pic:cNvPicPr>
                  </pic:nvPicPr>
                  <pic:blipFill>
                    <a:blip r:embed="rId140">
                      <a:extLst>
                        <a:ext uri="{28A0092B-C50C-407E-A947-70E740481C1C}"/>
                      </a:extLst>
                    </a:blip>
                    <a:srcRect/>
                    <a:stretch>
                      <a:fillRect/>
                    </a:stretch>
                  </pic:blipFill>
                  <pic:spPr bwMode="auto">
                    <a:xfrm>
                      <a:off x="0" y="0"/>
                      <a:ext cx="5497195" cy="711771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0" w:lineRule="exact"/>
        <w:rPr>
          <w:sz w:val="20"/>
          <w:szCs w:val="20"/>
          <w:color w:val="auto"/>
        </w:rPr>
      </w:pPr>
    </w:p>
    <w:p>
      <w:pPr>
        <w:ind w:right="100"/>
        <w:spacing w:after="0" w:line="191" w:lineRule="auto"/>
        <w:rPr>
          <w:sz w:val="20"/>
          <w:szCs w:val="20"/>
          <w:color w:val="auto"/>
        </w:rPr>
      </w:pPr>
      <w:r>
        <w:rPr>
          <w:rFonts w:ascii="Arial" w:cs="Arial" w:eastAsia="Arial" w:hAnsi="Arial"/>
          <w:sz w:val="8"/>
          <w:szCs w:val="8"/>
          <w:color w:val="FFFFFF"/>
        </w:rPr>
        <w:t>Finally, since we’re talking about a year of record results, I want to highlight two other records set by Comcasters in 2006. Our nationwide employee United Way campaign reached $4.2 million,</w:t>
      </w:r>
      <w:r>
        <w:rPr>
          <w:rFonts w:ascii="Arial" w:cs="Arial" w:eastAsia="Arial" w:hAnsi="Arial"/>
          <w:sz w:val="12"/>
          <w:szCs w:val="12"/>
          <w:color w:val="FFFFFF"/>
          <w:vertAlign w:val="superscript"/>
        </w:rPr>
        <w:t>day</w:t>
      </w:r>
      <w:r>
        <w:rPr>
          <w:rFonts w:ascii="Arial" w:cs="Arial" w:eastAsia="Arial" w:hAnsi="Arial"/>
          <w:sz w:val="8"/>
          <w:szCs w:val="8"/>
          <w:color w:val="FFFFFF"/>
        </w:rPr>
        <w:t>new record that places us in the top tier of United Way corporate campaigns in America. And on October 7, more than 32,000 employees and their families participated in Comcast Cares Day, our national of volunteerism, delivering over 192,000 hours of community service to 300 projects in 34 states in a single day. This extraordinary effort represents one of the largest single corporate days of service in America. 2006 represents a turning point in our history</w:t>
      </w:r>
      <w:r>
        <w:rPr>
          <w:rFonts w:ascii="Arial" w:cs="Arial" w:eastAsia="Arial" w:hAnsi="Arial"/>
          <w:sz w:val="12"/>
          <w:szCs w:val="12"/>
          <w:color w:val="FFFFFF"/>
          <w:vertAlign w:val="subscript"/>
        </w:rPr>
        <w:t>online,</w:t>
      </w:r>
      <w:r>
        <w:rPr>
          <w:rFonts w:ascii="Arial" w:cs="Arial" w:eastAsia="Arial" w:hAnsi="Arial"/>
          <w:sz w:val="8"/>
          <w:szCs w:val="8"/>
          <w:color w:val="FFFFFF"/>
        </w:rPr>
        <w:t>as we have once again positioned ourselves for growth and success.</w:t>
      </w:r>
    </w:p>
    <w:p>
      <w:pPr>
        <w:spacing w:after="0" w:line="1" w:lineRule="exact"/>
        <w:rPr>
          <w:sz w:val="20"/>
          <w:szCs w:val="20"/>
          <w:color w:val="auto"/>
        </w:rPr>
      </w:pPr>
    </w:p>
    <w:p>
      <w:pPr>
        <w:ind w:right="200"/>
        <w:spacing w:after="0"/>
        <w:rPr>
          <w:sz w:val="20"/>
          <w:szCs w:val="20"/>
          <w:color w:val="auto"/>
        </w:rPr>
      </w:pPr>
      <w:r>
        <w:rPr>
          <w:rFonts w:ascii="Arial" w:cs="Arial" w:eastAsia="Arial" w:hAnsi="Arial"/>
          <w:sz w:val="6"/>
          <w:szCs w:val="6"/>
          <w:color w:val="FFFFFF"/>
        </w:rPr>
        <w:t>As you read this year’s report in print or you’ll see many great Comcasters who exemplify the commitment, confidence, diversity and enthusiasm that made 2006 possible and make the future look so wonderful. Each of them, and every one of our 90,000 employees, gives so much to the company every day. They are our greatest asset, and we’re really proud to highlight them this year.</w:t>
      </w:r>
    </w:p>
    <w:p>
      <w:pPr>
        <w:spacing w:after="0" w:line="12" w:lineRule="exact"/>
        <w:rPr>
          <w:sz w:val="20"/>
          <w:szCs w:val="20"/>
          <w:color w:val="auto"/>
        </w:rPr>
      </w:pPr>
    </w:p>
    <w:p>
      <w:pPr>
        <w:spacing w:after="0"/>
        <w:rPr>
          <w:sz w:val="20"/>
          <w:szCs w:val="20"/>
          <w:color w:val="auto"/>
        </w:rPr>
      </w:pPr>
      <w:r>
        <w:rPr>
          <w:rFonts w:ascii="Arial" w:cs="Arial" w:eastAsia="Arial" w:hAnsi="Arial"/>
          <w:sz w:val="7"/>
          <w:szCs w:val="7"/>
          <w:color w:val="FFFFFF"/>
        </w:rPr>
        <w:t>I will never forget what this company achieved in 2006. In many ways, it represents a turning point in our history, as we have once again positioned ourselves for growth and success. It was a phenomenal effort, led by Steve Burke and his fabulous team. My father, Ralph, and I believe we’re poised for even more great achievements in 2007.</w:t>
      </w:r>
    </w:p>
    <w:p>
      <w:pPr>
        <w:spacing w:after="0" w:line="189" w:lineRule="auto"/>
        <w:rPr>
          <w:sz w:val="20"/>
          <w:szCs w:val="20"/>
          <w:color w:val="auto"/>
        </w:rPr>
      </w:pPr>
      <w:r>
        <w:rPr>
          <w:rFonts w:ascii="Arial" w:cs="Arial" w:eastAsia="Arial" w:hAnsi="Arial"/>
          <w:sz w:val="9"/>
          <w:szCs w:val="9"/>
          <w:color w:val="FFFFFF"/>
        </w:rPr>
        <w:t>Sincerely,Itisanhonor to help lead this company. Thank you for your continued support.</w:t>
      </w:r>
    </w:p>
    <w:p>
      <w:pPr>
        <w:spacing w:after="0" w:line="188" w:lineRule="auto"/>
        <w:rPr>
          <w:sz w:val="20"/>
          <w:szCs w:val="20"/>
          <w:color w:val="auto"/>
        </w:rPr>
      </w:pPr>
      <w:r>
        <w:rPr>
          <w:rFonts w:ascii="Arial" w:cs="Arial" w:eastAsia="Arial" w:hAnsi="Arial"/>
          <w:sz w:val="9"/>
          <w:szCs w:val="9"/>
          <w:color w:val="FFFFFF"/>
        </w:rPr>
        <w:t>Brian L. Roberts</w:t>
      </w:r>
    </w:p>
    <w:p>
      <w:pPr>
        <w:spacing w:after="0"/>
        <w:rPr>
          <w:sz w:val="20"/>
          <w:szCs w:val="20"/>
          <w:color w:val="auto"/>
        </w:rPr>
      </w:pPr>
      <w:r>
        <w:rPr>
          <w:rFonts w:ascii="Arial" w:cs="Arial" w:eastAsia="Arial" w:hAnsi="Arial"/>
          <w:sz w:val="14"/>
          <w:szCs w:val="14"/>
          <w:color w:val="FFFFFF"/>
        </w:rPr>
        <w:t>22Chairman and Chief Executive Officer Comcast Corporation February 23, 2007</w:t>
      </w:r>
    </w:p>
    <w:p>
      <w:pPr>
        <w:sectPr>
          <w:pgSz w:w="11900" w:h="16838" w:orient="portrait"/>
          <w:cols w:equalWidth="0" w:num="1">
            <w:col w:w="11360"/>
          </w:cols>
          <w:pgMar w:left="240" w:top="459" w:right="299" w:bottom="1440" w:gutter="0" w:footer="0" w:header="0"/>
        </w:sectPr>
      </w:pPr>
    </w:p>
    <w:bookmarkStart w:id="99" w:name="page100"/>
    <w:bookmarkEnd w:id="99"/>
    <w:p>
      <w:pPr>
        <w:spacing w:after="0"/>
        <w:rPr>
          <w:rFonts w:ascii="Arial" w:cs="Arial" w:eastAsia="Arial" w:hAnsi="Arial"/>
          <w:sz w:val="16"/>
          <w:szCs w:val="16"/>
          <w:b w:val="1"/>
          <w:bCs w:val="1"/>
          <w:u w:val="single" w:color="auto"/>
          <w:color w:val="0000EE"/>
        </w:rPr>
      </w:pPr>
      <w:r>
        <w:rPr>
          <w:rFonts w:ascii="Arial" w:cs="Arial" w:eastAsia="Arial" w:hAnsi="Arial"/>
          <w:sz w:val="16"/>
          <w:szCs w:val="16"/>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134" name="Picture 1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4"/>
                    <pic:cNvPicPr>
                      <a:picLocks noChangeAspect="1" noChangeArrowheads="1"/>
                    </pic:cNvPicPr>
                  </pic:nvPicPr>
                  <pic:blipFill>
                    <a:blip r:embed="rId141">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3">
        <w:r>
          <w:rPr>
            <w:rFonts w:ascii="Arial" w:cs="Arial" w:eastAsia="Arial" w:hAnsi="Arial"/>
            <w:sz w:val="16"/>
            <w:szCs w:val="16"/>
            <w:b w:val="1"/>
            <w:bCs w:val="1"/>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948690</wp:posOffset>
            </wp:positionH>
            <wp:positionV relativeFrom="paragraph">
              <wp:posOffset>220345</wp:posOffset>
            </wp:positionV>
            <wp:extent cx="5368290" cy="6946265"/>
            <wp:wrapNone/>
            <wp:docPr id="135" name="Picture 1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5"/>
                    <pic:cNvPicPr>
                      <a:picLocks noChangeAspect="1" noChangeArrowheads="1"/>
                    </pic:cNvPicPr>
                  </pic:nvPicPr>
                  <pic:blipFill>
                    <a:blip r:embed="rId142">
                      <a:extLst>
                        <a:ext uri="{28A0092B-C50C-407E-A947-70E740481C1C}"/>
                      </a:extLst>
                    </a:blip>
                    <a:srcRect/>
                    <a:stretch>
                      <a:fillRect/>
                    </a:stretch>
                  </pic:blipFill>
                  <pic:spPr bwMode="auto">
                    <a:xfrm>
                      <a:off x="0" y="0"/>
                      <a:ext cx="5368290" cy="6946265"/>
                    </a:xfrm>
                    <a:prstGeom prst="rect">
                      <a:avLst/>
                    </a:prstGeom>
                    <a:noFill/>
                  </pic:spPr>
                </pic:pic>
              </a:graphicData>
            </a:graphic>
          </wp:anchor>
        </w:drawing>
      </w:r>
    </w:p>
    <w:p>
      <w:pPr>
        <w:sectPr>
          <w:pgSz w:w="11900" w:h="16838" w:orient="portrait"/>
          <w:cols w:equalWidth="0" w:num="1">
            <w:col w:w="11360"/>
          </w:cols>
          <w:pgMar w:left="240" w:top="459" w:right="29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4"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3540" w:type="dxa"/>
            <w:vAlign w:val="bottom"/>
            <w:gridSpan w:val="2"/>
          </w:tcPr>
          <w:p>
            <w:pPr>
              <w:spacing w:after="0"/>
              <w:rPr>
                <w:sz w:val="20"/>
                <w:szCs w:val="20"/>
                <w:color w:val="auto"/>
              </w:rPr>
            </w:pPr>
            <w:r>
              <w:rPr>
                <w:rFonts w:ascii="Arial" w:cs="Arial" w:eastAsia="Arial" w:hAnsi="Arial"/>
                <w:sz w:val="14"/>
                <w:szCs w:val="14"/>
                <w:color w:val="FFFFFF"/>
              </w:rPr>
              <w:t>Financial Highlights</w:t>
            </w:r>
          </w:p>
        </w:tc>
        <w:tc>
          <w:tcPr>
            <w:tcW w:w="2560" w:type="dxa"/>
            <w:vAlign w:val="bottom"/>
          </w:tcPr>
          <w:p>
            <w:pPr>
              <w:spacing w:after="0"/>
              <w:rPr>
                <w:sz w:val="14"/>
                <w:szCs w:val="14"/>
                <w:color w:val="auto"/>
              </w:rPr>
            </w:pPr>
          </w:p>
        </w:tc>
        <w:tc>
          <w:tcPr>
            <w:tcW w:w="52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41"/>
        </w:trPr>
        <w:tc>
          <w:tcPr>
            <w:tcW w:w="3540" w:type="dxa"/>
            <w:vAlign w:val="bottom"/>
            <w:gridSpan w:val="2"/>
          </w:tcPr>
          <w:p>
            <w:pPr>
              <w:spacing w:after="0"/>
              <w:rPr>
                <w:sz w:val="20"/>
                <w:szCs w:val="20"/>
                <w:color w:val="auto"/>
              </w:rPr>
            </w:pPr>
            <w:r>
              <w:rPr>
                <w:rFonts w:ascii="Arial" w:cs="Arial" w:eastAsia="Arial" w:hAnsi="Arial"/>
                <w:sz w:val="3"/>
                <w:szCs w:val="3"/>
                <w:color w:val="FFFFFF"/>
              </w:rPr>
              <w:t>(in millions, except number of employees) 2006 2005</w:t>
            </w:r>
          </w:p>
        </w:tc>
        <w:tc>
          <w:tcPr>
            <w:tcW w:w="2560" w:type="dxa"/>
            <w:vAlign w:val="bottom"/>
          </w:tcPr>
          <w:p>
            <w:pPr>
              <w:spacing w:after="0"/>
              <w:rPr>
                <w:sz w:val="3"/>
                <w:szCs w:val="3"/>
                <w:color w:val="auto"/>
              </w:rPr>
            </w:pPr>
          </w:p>
        </w:tc>
        <w:tc>
          <w:tcPr>
            <w:tcW w:w="526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41"/>
        </w:trPr>
        <w:tc>
          <w:tcPr>
            <w:tcW w:w="3540" w:type="dxa"/>
            <w:vAlign w:val="bottom"/>
            <w:gridSpan w:val="2"/>
          </w:tcPr>
          <w:p>
            <w:pPr>
              <w:spacing w:after="0"/>
              <w:rPr>
                <w:sz w:val="20"/>
                <w:szCs w:val="20"/>
                <w:color w:val="auto"/>
              </w:rPr>
            </w:pPr>
            <w:r>
              <w:rPr>
                <w:rFonts w:ascii="Arial" w:cs="Arial" w:eastAsia="Arial" w:hAnsi="Arial"/>
                <w:sz w:val="3"/>
                <w:szCs w:val="3"/>
                <w:color w:val="FFFFFF"/>
              </w:rPr>
              <w:t>Comcast Cable(a)</w:t>
            </w:r>
          </w:p>
        </w:tc>
        <w:tc>
          <w:tcPr>
            <w:tcW w:w="2560" w:type="dxa"/>
            <w:vAlign w:val="bottom"/>
          </w:tcPr>
          <w:p>
            <w:pPr>
              <w:spacing w:after="0"/>
              <w:rPr>
                <w:sz w:val="3"/>
                <w:szCs w:val="3"/>
                <w:color w:val="auto"/>
              </w:rPr>
            </w:pPr>
          </w:p>
        </w:tc>
        <w:tc>
          <w:tcPr>
            <w:tcW w:w="526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41"/>
        </w:trPr>
        <w:tc>
          <w:tcPr>
            <w:tcW w:w="3540" w:type="dxa"/>
            <w:vAlign w:val="bottom"/>
            <w:gridSpan w:val="2"/>
          </w:tcPr>
          <w:p>
            <w:pPr>
              <w:spacing w:after="0"/>
              <w:rPr>
                <w:sz w:val="20"/>
                <w:szCs w:val="20"/>
                <w:color w:val="auto"/>
              </w:rPr>
            </w:pPr>
            <w:r>
              <w:rPr>
                <w:rFonts w:ascii="Arial" w:cs="Arial" w:eastAsia="Arial" w:hAnsi="Arial"/>
                <w:sz w:val="3"/>
                <w:szCs w:val="3"/>
                <w:color w:val="FFFFFF"/>
              </w:rPr>
              <w:t>Revenues $ 26,339 $ 23,556</w:t>
            </w:r>
          </w:p>
        </w:tc>
        <w:tc>
          <w:tcPr>
            <w:tcW w:w="2560" w:type="dxa"/>
            <w:vAlign w:val="bottom"/>
          </w:tcPr>
          <w:p>
            <w:pPr>
              <w:spacing w:after="0"/>
              <w:rPr>
                <w:sz w:val="3"/>
                <w:szCs w:val="3"/>
                <w:color w:val="auto"/>
              </w:rPr>
            </w:pPr>
          </w:p>
        </w:tc>
        <w:tc>
          <w:tcPr>
            <w:tcW w:w="526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41"/>
        </w:trPr>
        <w:tc>
          <w:tcPr>
            <w:tcW w:w="3540" w:type="dxa"/>
            <w:vAlign w:val="bottom"/>
            <w:gridSpan w:val="2"/>
          </w:tcPr>
          <w:p>
            <w:pPr>
              <w:spacing w:after="0"/>
              <w:rPr>
                <w:sz w:val="20"/>
                <w:szCs w:val="20"/>
                <w:color w:val="auto"/>
              </w:rPr>
            </w:pPr>
            <w:r>
              <w:rPr>
                <w:rFonts w:ascii="Arial" w:cs="Arial" w:eastAsia="Arial" w:hAnsi="Arial"/>
                <w:sz w:val="3"/>
                <w:szCs w:val="3"/>
                <w:color w:val="FFFFFF"/>
              </w:rPr>
              <w:t>Operating Cash Flow(b) $ 10,511 $ 9,132</w:t>
            </w:r>
          </w:p>
        </w:tc>
        <w:tc>
          <w:tcPr>
            <w:tcW w:w="2560" w:type="dxa"/>
            <w:vAlign w:val="bottom"/>
          </w:tcPr>
          <w:p>
            <w:pPr>
              <w:spacing w:after="0"/>
              <w:rPr>
                <w:sz w:val="3"/>
                <w:szCs w:val="3"/>
                <w:color w:val="auto"/>
              </w:rPr>
            </w:pPr>
          </w:p>
        </w:tc>
        <w:tc>
          <w:tcPr>
            <w:tcW w:w="526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41"/>
        </w:trPr>
        <w:tc>
          <w:tcPr>
            <w:tcW w:w="3540" w:type="dxa"/>
            <w:vAlign w:val="bottom"/>
            <w:gridSpan w:val="2"/>
          </w:tcPr>
          <w:p>
            <w:pPr>
              <w:spacing w:after="0"/>
              <w:rPr>
                <w:sz w:val="20"/>
                <w:szCs w:val="20"/>
                <w:color w:val="auto"/>
              </w:rPr>
            </w:pPr>
            <w:r>
              <w:rPr>
                <w:rFonts w:ascii="Arial" w:cs="Arial" w:eastAsia="Arial" w:hAnsi="Arial"/>
                <w:sz w:val="3"/>
                <w:szCs w:val="3"/>
                <w:color w:val="FFFFFF"/>
              </w:rPr>
              <w:t>Total Revenue Generating Units(c) 50.8 45.8</w:t>
            </w:r>
          </w:p>
        </w:tc>
        <w:tc>
          <w:tcPr>
            <w:tcW w:w="2560" w:type="dxa"/>
            <w:vAlign w:val="bottom"/>
          </w:tcPr>
          <w:p>
            <w:pPr>
              <w:spacing w:after="0"/>
              <w:rPr>
                <w:sz w:val="3"/>
                <w:szCs w:val="3"/>
                <w:color w:val="auto"/>
              </w:rPr>
            </w:pPr>
          </w:p>
        </w:tc>
        <w:tc>
          <w:tcPr>
            <w:tcW w:w="526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81"/>
        </w:trPr>
        <w:tc>
          <w:tcPr>
            <w:tcW w:w="3540" w:type="dxa"/>
            <w:vAlign w:val="bottom"/>
            <w:gridSpan w:val="2"/>
          </w:tcPr>
          <w:p>
            <w:pPr>
              <w:spacing w:after="0" w:line="81" w:lineRule="exact"/>
              <w:rPr>
                <w:sz w:val="20"/>
                <w:szCs w:val="20"/>
                <w:color w:val="auto"/>
              </w:rPr>
            </w:pPr>
            <w:r>
              <w:rPr>
                <w:rFonts w:ascii="Arial" w:cs="Arial" w:eastAsia="Arial" w:hAnsi="Arial"/>
                <w:sz w:val="9"/>
                <w:szCs w:val="9"/>
                <w:color w:val="FFFFFF"/>
              </w:rPr>
              <w:t>SubscribersBasCable 24.2 24.1</w:t>
            </w:r>
          </w:p>
        </w:tc>
        <w:tc>
          <w:tcPr>
            <w:tcW w:w="2560" w:type="dxa"/>
            <w:vAlign w:val="bottom"/>
          </w:tcPr>
          <w:p>
            <w:pPr>
              <w:spacing w:after="0"/>
              <w:rPr>
                <w:sz w:val="7"/>
                <w:szCs w:val="7"/>
                <w:color w:val="auto"/>
              </w:rPr>
            </w:pPr>
          </w:p>
        </w:tc>
        <w:tc>
          <w:tcPr>
            <w:tcW w:w="526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41"/>
        </w:trPr>
        <w:tc>
          <w:tcPr>
            <w:tcW w:w="3540" w:type="dxa"/>
            <w:vAlign w:val="bottom"/>
            <w:gridSpan w:val="2"/>
          </w:tcPr>
          <w:p>
            <w:pPr>
              <w:spacing w:after="0"/>
              <w:rPr>
                <w:sz w:val="20"/>
                <w:szCs w:val="20"/>
                <w:color w:val="auto"/>
              </w:rPr>
            </w:pPr>
            <w:r>
              <w:rPr>
                <w:rFonts w:ascii="Arial" w:cs="Arial" w:eastAsia="Arial" w:hAnsi="Arial"/>
                <w:sz w:val="3"/>
                <w:szCs w:val="3"/>
                <w:color w:val="FFFFFF"/>
              </w:rPr>
              <w:t>D  ital Cable 12.7 10.8</w:t>
            </w:r>
          </w:p>
        </w:tc>
        <w:tc>
          <w:tcPr>
            <w:tcW w:w="2560" w:type="dxa"/>
            <w:vAlign w:val="bottom"/>
          </w:tcPr>
          <w:p>
            <w:pPr>
              <w:spacing w:after="0"/>
              <w:rPr>
                <w:sz w:val="3"/>
                <w:szCs w:val="3"/>
                <w:color w:val="auto"/>
              </w:rPr>
            </w:pPr>
          </w:p>
        </w:tc>
        <w:tc>
          <w:tcPr>
            <w:tcW w:w="526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41"/>
        </w:trPr>
        <w:tc>
          <w:tcPr>
            <w:tcW w:w="3540" w:type="dxa"/>
            <w:vAlign w:val="bottom"/>
            <w:gridSpan w:val="2"/>
          </w:tcPr>
          <w:p>
            <w:pPr>
              <w:spacing w:after="0"/>
              <w:rPr>
                <w:sz w:val="20"/>
                <w:szCs w:val="20"/>
                <w:color w:val="auto"/>
              </w:rPr>
            </w:pPr>
            <w:r>
              <w:rPr>
                <w:rFonts w:ascii="Arial" w:cs="Arial" w:eastAsia="Arial" w:hAnsi="Arial"/>
                <w:sz w:val="3"/>
                <w:szCs w:val="3"/>
                <w:color w:val="FFFFFF"/>
              </w:rPr>
              <w:t>High-Speed Internet 11.5 9.6</w:t>
            </w:r>
          </w:p>
        </w:tc>
        <w:tc>
          <w:tcPr>
            <w:tcW w:w="2560" w:type="dxa"/>
            <w:vAlign w:val="bottom"/>
          </w:tcPr>
          <w:p>
            <w:pPr>
              <w:spacing w:after="0"/>
              <w:rPr>
                <w:sz w:val="3"/>
                <w:szCs w:val="3"/>
                <w:color w:val="auto"/>
              </w:rPr>
            </w:pPr>
          </w:p>
        </w:tc>
        <w:tc>
          <w:tcPr>
            <w:tcW w:w="526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41"/>
        </w:trPr>
        <w:tc>
          <w:tcPr>
            <w:tcW w:w="3540" w:type="dxa"/>
            <w:vAlign w:val="bottom"/>
            <w:gridSpan w:val="2"/>
          </w:tcPr>
          <w:p>
            <w:pPr>
              <w:spacing w:after="0"/>
              <w:rPr>
                <w:sz w:val="20"/>
                <w:szCs w:val="20"/>
                <w:color w:val="auto"/>
              </w:rPr>
            </w:pPr>
            <w:r>
              <w:rPr>
                <w:rFonts w:ascii="Arial" w:cs="Arial" w:eastAsia="Arial" w:hAnsi="Arial"/>
                <w:sz w:val="3"/>
                <w:szCs w:val="3"/>
                <w:color w:val="FFFFFF"/>
              </w:rPr>
              <w:t>Phone 2.5 1.3</w:t>
            </w:r>
          </w:p>
        </w:tc>
        <w:tc>
          <w:tcPr>
            <w:tcW w:w="2560" w:type="dxa"/>
            <w:vAlign w:val="bottom"/>
          </w:tcPr>
          <w:p>
            <w:pPr>
              <w:spacing w:after="0"/>
              <w:rPr>
                <w:sz w:val="3"/>
                <w:szCs w:val="3"/>
                <w:color w:val="auto"/>
              </w:rPr>
            </w:pPr>
          </w:p>
        </w:tc>
        <w:tc>
          <w:tcPr>
            <w:tcW w:w="526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41"/>
        </w:trPr>
        <w:tc>
          <w:tcPr>
            <w:tcW w:w="3540" w:type="dxa"/>
            <w:vAlign w:val="bottom"/>
            <w:gridSpan w:val="2"/>
          </w:tcPr>
          <w:p>
            <w:pPr>
              <w:spacing w:after="0"/>
              <w:rPr>
                <w:sz w:val="20"/>
                <w:szCs w:val="20"/>
                <w:color w:val="auto"/>
              </w:rPr>
            </w:pPr>
            <w:r>
              <w:rPr>
                <w:rFonts w:ascii="Arial" w:cs="Arial" w:eastAsia="Arial" w:hAnsi="Arial"/>
                <w:sz w:val="3"/>
                <w:szCs w:val="3"/>
                <w:color w:val="FFFFFF"/>
              </w:rPr>
              <w:t>Consolidated Comcast Corporation</w:t>
            </w:r>
          </w:p>
        </w:tc>
        <w:tc>
          <w:tcPr>
            <w:tcW w:w="2560" w:type="dxa"/>
            <w:vAlign w:val="bottom"/>
          </w:tcPr>
          <w:p>
            <w:pPr>
              <w:spacing w:after="0"/>
              <w:rPr>
                <w:sz w:val="3"/>
                <w:szCs w:val="3"/>
                <w:color w:val="auto"/>
              </w:rPr>
            </w:pPr>
          </w:p>
        </w:tc>
        <w:tc>
          <w:tcPr>
            <w:tcW w:w="526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41"/>
        </w:trPr>
        <w:tc>
          <w:tcPr>
            <w:tcW w:w="3540" w:type="dxa"/>
            <w:vAlign w:val="bottom"/>
            <w:gridSpan w:val="2"/>
          </w:tcPr>
          <w:p>
            <w:pPr>
              <w:spacing w:after="0"/>
              <w:rPr>
                <w:sz w:val="20"/>
                <w:szCs w:val="20"/>
                <w:color w:val="auto"/>
              </w:rPr>
            </w:pPr>
            <w:r>
              <w:rPr>
                <w:rFonts w:ascii="Arial" w:cs="Arial" w:eastAsia="Arial" w:hAnsi="Arial"/>
                <w:sz w:val="3"/>
                <w:szCs w:val="3"/>
                <w:color w:val="FFFFFF"/>
              </w:rPr>
              <w:t>Revenues $ 24,966 $ 21,075</w:t>
            </w:r>
          </w:p>
        </w:tc>
        <w:tc>
          <w:tcPr>
            <w:tcW w:w="2560" w:type="dxa"/>
            <w:vAlign w:val="bottom"/>
          </w:tcPr>
          <w:p>
            <w:pPr>
              <w:spacing w:after="0"/>
              <w:rPr>
                <w:sz w:val="3"/>
                <w:szCs w:val="3"/>
                <w:color w:val="auto"/>
              </w:rPr>
            </w:pPr>
          </w:p>
        </w:tc>
        <w:tc>
          <w:tcPr>
            <w:tcW w:w="526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41"/>
        </w:trPr>
        <w:tc>
          <w:tcPr>
            <w:tcW w:w="220" w:type="dxa"/>
            <w:vAlign w:val="bottom"/>
          </w:tcPr>
          <w:p>
            <w:pPr>
              <w:spacing w:after="0"/>
              <w:rPr>
                <w:sz w:val="3"/>
                <w:szCs w:val="3"/>
                <w:color w:val="auto"/>
              </w:rPr>
            </w:pPr>
          </w:p>
        </w:tc>
        <w:tc>
          <w:tcPr>
            <w:tcW w:w="3320" w:type="dxa"/>
            <w:vAlign w:val="bottom"/>
          </w:tcPr>
          <w:p>
            <w:pPr>
              <w:ind w:left="60"/>
              <w:spacing w:after="0"/>
              <w:rPr>
                <w:sz w:val="20"/>
                <w:szCs w:val="20"/>
                <w:color w:val="auto"/>
              </w:rPr>
            </w:pPr>
            <w:r>
              <w:rPr>
                <w:rFonts w:ascii="Arial" w:cs="Arial" w:eastAsia="Arial" w:hAnsi="Arial"/>
                <w:sz w:val="3"/>
                <w:szCs w:val="3"/>
                <w:color w:val="FFFFFF"/>
              </w:rPr>
              <w:t>ating Cash Flow(b) 9,442 8,072</w:t>
            </w:r>
          </w:p>
        </w:tc>
        <w:tc>
          <w:tcPr>
            <w:tcW w:w="2560" w:type="dxa"/>
            <w:vAlign w:val="bottom"/>
          </w:tcPr>
          <w:p>
            <w:pPr>
              <w:spacing w:after="0"/>
              <w:rPr>
                <w:sz w:val="3"/>
                <w:szCs w:val="3"/>
                <w:color w:val="auto"/>
              </w:rPr>
            </w:pPr>
          </w:p>
        </w:tc>
        <w:tc>
          <w:tcPr>
            <w:tcW w:w="526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41"/>
        </w:trPr>
        <w:tc>
          <w:tcPr>
            <w:tcW w:w="3540" w:type="dxa"/>
            <w:vAlign w:val="bottom"/>
            <w:gridSpan w:val="2"/>
          </w:tcPr>
          <w:p>
            <w:pPr>
              <w:spacing w:after="0"/>
              <w:rPr>
                <w:sz w:val="20"/>
                <w:szCs w:val="20"/>
                <w:color w:val="auto"/>
              </w:rPr>
            </w:pPr>
            <w:r>
              <w:rPr>
                <w:rFonts w:ascii="Arial" w:cs="Arial" w:eastAsia="Arial" w:hAnsi="Arial"/>
                <w:sz w:val="3"/>
                <w:szCs w:val="3"/>
                <w:color w:val="FFFFFF"/>
              </w:rPr>
              <w:t>Dep eciation and Amortization 4,823 4,551</w:t>
            </w:r>
          </w:p>
        </w:tc>
        <w:tc>
          <w:tcPr>
            <w:tcW w:w="2560" w:type="dxa"/>
            <w:vAlign w:val="bottom"/>
          </w:tcPr>
          <w:p>
            <w:pPr>
              <w:spacing w:after="0"/>
              <w:rPr>
                <w:sz w:val="3"/>
                <w:szCs w:val="3"/>
                <w:color w:val="auto"/>
              </w:rPr>
            </w:pPr>
          </w:p>
        </w:tc>
        <w:tc>
          <w:tcPr>
            <w:tcW w:w="526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41"/>
        </w:trPr>
        <w:tc>
          <w:tcPr>
            <w:tcW w:w="3540" w:type="dxa"/>
            <w:vAlign w:val="bottom"/>
            <w:gridSpan w:val="2"/>
          </w:tcPr>
          <w:p>
            <w:pPr>
              <w:spacing w:after="0"/>
              <w:rPr>
                <w:sz w:val="20"/>
                <w:szCs w:val="20"/>
                <w:color w:val="auto"/>
              </w:rPr>
            </w:pPr>
            <w:r>
              <w:rPr>
                <w:rFonts w:ascii="Arial" w:cs="Arial" w:eastAsia="Arial" w:hAnsi="Arial"/>
                <w:sz w:val="3"/>
                <w:szCs w:val="3"/>
                <w:color w:val="FFFFFF"/>
              </w:rPr>
              <w:t>Operating Income 4,619 3,521</w:t>
            </w:r>
          </w:p>
        </w:tc>
        <w:tc>
          <w:tcPr>
            <w:tcW w:w="2560" w:type="dxa"/>
            <w:vAlign w:val="bottom"/>
          </w:tcPr>
          <w:p>
            <w:pPr>
              <w:spacing w:after="0"/>
              <w:rPr>
                <w:sz w:val="3"/>
                <w:szCs w:val="3"/>
                <w:color w:val="auto"/>
              </w:rPr>
            </w:pPr>
          </w:p>
        </w:tc>
        <w:tc>
          <w:tcPr>
            <w:tcW w:w="526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41"/>
        </w:trPr>
        <w:tc>
          <w:tcPr>
            <w:tcW w:w="3540" w:type="dxa"/>
            <w:vAlign w:val="bottom"/>
            <w:gridSpan w:val="2"/>
          </w:tcPr>
          <w:p>
            <w:pPr>
              <w:spacing w:after="0"/>
              <w:rPr>
                <w:sz w:val="20"/>
                <w:szCs w:val="20"/>
                <w:color w:val="auto"/>
              </w:rPr>
            </w:pPr>
            <w:r>
              <w:rPr>
                <w:rFonts w:ascii="Arial" w:cs="Arial" w:eastAsia="Arial" w:hAnsi="Arial"/>
                <w:sz w:val="3"/>
                <w:szCs w:val="3"/>
                <w:color w:val="FFFFFF"/>
              </w:rPr>
              <w:t>Income from Continuing Operations 2,235 828</w:t>
            </w:r>
          </w:p>
        </w:tc>
        <w:tc>
          <w:tcPr>
            <w:tcW w:w="2560" w:type="dxa"/>
            <w:vAlign w:val="bottom"/>
          </w:tcPr>
          <w:p>
            <w:pPr>
              <w:spacing w:after="0"/>
              <w:rPr>
                <w:sz w:val="3"/>
                <w:szCs w:val="3"/>
                <w:color w:val="auto"/>
              </w:rPr>
            </w:pPr>
          </w:p>
        </w:tc>
        <w:tc>
          <w:tcPr>
            <w:tcW w:w="526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41"/>
        </w:trPr>
        <w:tc>
          <w:tcPr>
            <w:tcW w:w="3540" w:type="dxa"/>
            <w:vAlign w:val="bottom"/>
            <w:gridSpan w:val="2"/>
          </w:tcPr>
          <w:p>
            <w:pPr>
              <w:spacing w:after="0"/>
              <w:rPr>
                <w:sz w:val="20"/>
                <w:szCs w:val="20"/>
                <w:color w:val="auto"/>
              </w:rPr>
            </w:pPr>
            <w:r>
              <w:rPr>
                <w:rFonts w:ascii="Arial" w:cs="Arial" w:eastAsia="Arial" w:hAnsi="Arial"/>
                <w:sz w:val="3"/>
                <w:szCs w:val="3"/>
                <w:color w:val="FFFFFF"/>
              </w:rPr>
              <w:t>Discontinued Operations(e) 298 100</w:t>
            </w:r>
          </w:p>
        </w:tc>
        <w:tc>
          <w:tcPr>
            <w:tcW w:w="2560" w:type="dxa"/>
            <w:vAlign w:val="bottom"/>
          </w:tcPr>
          <w:p>
            <w:pPr>
              <w:spacing w:after="0"/>
              <w:rPr>
                <w:sz w:val="3"/>
                <w:szCs w:val="3"/>
                <w:color w:val="auto"/>
              </w:rPr>
            </w:pPr>
          </w:p>
        </w:tc>
        <w:tc>
          <w:tcPr>
            <w:tcW w:w="526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41"/>
        </w:trPr>
        <w:tc>
          <w:tcPr>
            <w:tcW w:w="3540" w:type="dxa"/>
            <w:vAlign w:val="bottom"/>
            <w:gridSpan w:val="2"/>
          </w:tcPr>
          <w:p>
            <w:pPr>
              <w:spacing w:after="0"/>
              <w:rPr>
                <w:sz w:val="20"/>
                <w:szCs w:val="20"/>
                <w:color w:val="auto"/>
              </w:rPr>
            </w:pPr>
            <w:r>
              <w:rPr>
                <w:rFonts w:ascii="Arial" w:cs="Arial" w:eastAsia="Arial" w:hAnsi="Arial"/>
                <w:sz w:val="3"/>
                <w:szCs w:val="3"/>
                <w:color w:val="FFFFFF"/>
              </w:rPr>
              <w:t>Net Income $ 2,533 $ 928</w:t>
            </w:r>
          </w:p>
        </w:tc>
        <w:tc>
          <w:tcPr>
            <w:tcW w:w="2560" w:type="dxa"/>
            <w:vAlign w:val="bottom"/>
          </w:tcPr>
          <w:p>
            <w:pPr>
              <w:spacing w:after="0"/>
              <w:rPr>
                <w:sz w:val="3"/>
                <w:szCs w:val="3"/>
                <w:color w:val="auto"/>
              </w:rPr>
            </w:pPr>
          </w:p>
        </w:tc>
        <w:tc>
          <w:tcPr>
            <w:tcW w:w="526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41"/>
        </w:trPr>
        <w:tc>
          <w:tcPr>
            <w:tcW w:w="3540" w:type="dxa"/>
            <w:vAlign w:val="bottom"/>
            <w:gridSpan w:val="2"/>
          </w:tcPr>
          <w:p>
            <w:pPr>
              <w:spacing w:after="0"/>
              <w:rPr>
                <w:sz w:val="20"/>
                <w:szCs w:val="20"/>
                <w:color w:val="auto"/>
              </w:rPr>
            </w:pPr>
            <w:r>
              <w:rPr>
                <w:rFonts w:ascii="Arial" w:cs="Arial" w:eastAsia="Arial" w:hAnsi="Arial"/>
                <w:sz w:val="3"/>
                <w:szCs w:val="3"/>
                <w:color w:val="FFFFFF"/>
              </w:rPr>
              <w:t>Shares Outstanding(f) 3,119 3,208</w:t>
            </w:r>
          </w:p>
        </w:tc>
        <w:tc>
          <w:tcPr>
            <w:tcW w:w="2560" w:type="dxa"/>
            <w:vAlign w:val="bottom"/>
          </w:tcPr>
          <w:p>
            <w:pPr>
              <w:spacing w:after="0"/>
              <w:rPr>
                <w:sz w:val="3"/>
                <w:szCs w:val="3"/>
                <w:color w:val="auto"/>
              </w:rPr>
            </w:pPr>
          </w:p>
        </w:tc>
        <w:tc>
          <w:tcPr>
            <w:tcW w:w="526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41"/>
        </w:trPr>
        <w:tc>
          <w:tcPr>
            <w:tcW w:w="3540" w:type="dxa"/>
            <w:vAlign w:val="bottom"/>
            <w:gridSpan w:val="2"/>
          </w:tcPr>
          <w:p>
            <w:pPr>
              <w:spacing w:after="0"/>
              <w:rPr>
                <w:sz w:val="20"/>
                <w:szCs w:val="20"/>
                <w:color w:val="auto"/>
              </w:rPr>
            </w:pPr>
            <w:r>
              <w:rPr>
                <w:rFonts w:ascii="Arial" w:cs="Arial" w:eastAsia="Arial" w:hAnsi="Arial"/>
                <w:sz w:val="3"/>
                <w:szCs w:val="3"/>
                <w:color w:val="FFFFFF"/>
              </w:rPr>
              <w:t>Cash and Short-Term Investments $ 2,974 $ 1,095</w:t>
            </w:r>
          </w:p>
        </w:tc>
        <w:tc>
          <w:tcPr>
            <w:tcW w:w="2560" w:type="dxa"/>
            <w:vAlign w:val="bottom"/>
          </w:tcPr>
          <w:p>
            <w:pPr>
              <w:spacing w:after="0"/>
              <w:rPr>
                <w:sz w:val="3"/>
                <w:szCs w:val="3"/>
                <w:color w:val="auto"/>
              </w:rPr>
            </w:pPr>
          </w:p>
        </w:tc>
        <w:tc>
          <w:tcPr>
            <w:tcW w:w="526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41"/>
        </w:trPr>
        <w:tc>
          <w:tcPr>
            <w:tcW w:w="220" w:type="dxa"/>
            <w:vAlign w:val="bottom"/>
          </w:tcPr>
          <w:p>
            <w:pPr>
              <w:spacing w:after="0"/>
              <w:rPr>
                <w:sz w:val="3"/>
                <w:szCs w:val="3"/>
                <w:color w:val="auto"/>
              </w:rPr>
            </w:pPr>
          </w:p>
        </w:tc>
        <w:tc>
          <w:tcPr>
            <w:tcW w:w="3320" w:type="dxa"/>
            <w:vAlign w:val="bottom"/>
          </w:tcPr>
          <w:p>
            <w:pPr>
              <w:ind w:left="100"/>
              <w:spacing w:after="0"/>
              <w:rPr>
                <w:sz w:val="20"/>
                <w:szCs w:val="20"/>
                <w:color w:val="auto"/>
              </w:rPr>
            </w:pPr>
            <w:r>
              <w:rPr>
                <w:rFonts w:ascii="Arial" w:cs="Arial" w:eastAsia="Arial" w:hAnsi="Arial"/>
                <w:sz w:val="3"/>
                <w:szCs w:val="3"/>
                <w:color w:val="FFFFFF"/>
              </w:rPr>
              <w:t>Assets 110,405 103,400</w:t>
            </w:r>
          </w:p>
        </w:tc>
        <w:tc>
          <w:tcPr>
            <w:tcW w:w="2560" w:type="dxa"/>
            <w:vAlign w:val="bottom"/>
          </w:tcPr>
          <w:p>
            <w:pPr>
              <w:spacing w:after="0"/>
              <w:rPr>
                <w:sz w:val="3"/>
                <w:szCs w:val="3"/>
                <w:color w:val="auto"/>
              </w:rPr>
            </w:pPr>
          </w:p>
        </w:tc>
        <w:tc>
          <w:tcPr>
            <w:tcW w:w="526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41"/>
        </w:trPr>
        <w:tc>
          <w:tcPr>
            <w:tcW w:w="3540" w:type="dxa"/>
            <w:vAlign w:val="bottom"/>
            <w:gridSpan w:val="2"/>
          </w:tcPr>
          <w:p>
            <w:pPr>
              <w:spacing w:after="0"/>
              <w:rPr>
                <w:sz w:val="20"/>
                <w:szCs w:val="20"/>
                <w:color w:val="auto"/>
              </w:rPr>
            </w:pPr>
            <w:r>
              <w:rPr>
                <w:rFonts w:ascii="Arial" w:cs="Arial" w:eastAsia="Arial" w:hAnsi="Arial"/>
                <w:sz w:val="3"/>
                <w:szCs w:val="3"/>
                <w:color w:val="FFFFFF"/>
              </w:rPr>
              <w:t>Total Debt $ 28,975 $ 23,371</w:t>
            </w:r>
          </w:p>
        </w:tc>
        <w:tc>
          <w:tcPr>
            <w:tcW w:w="2560" w:type="dxa"/>
            <w:vAlign w:val="bottom"/>
          </w:tcPr>
          <w:p>
            <w:pPr>
              <w:spacing w:after="0"/>
              <w:rPr>
                <w:sz w:val="3"/>
                <w:szCs w:val="3"/>
                <w:color w:val="auto"/>
              </w:rPr>
            </w:pPr>
          </w:p>
        </w:tc>
        <w:tc>
          <w:tcPr>
            <w:tcW w:w="526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41"/>
        </w:trPr>
        <w:tc>
          <w:tcPr>
            <w:tcW w:w="3540" w:type="dxa"/>
            <w:vAlign w:val="bottom"/>
            <w:gridSpan w:val="2"/>
          </w:tcPr>
          <w:p>
            <w:pPr>
              <w:spacing w:after="0"/>
              <w:rPr>
                <w:sz w:val="20"/>
                <w:szCs w:val="20"/>
                <w:color w:val="auto"/>
              </w:rPr>
            </w:pPr>
            <w:r>
              <w:rPr>
                <w:rFonts w:ascii="Arial" w:cs="Arial" w:eastAsia="Arial" w:hAnsi="Arial"/>
                <w:sz w:val="3"/>
                <w:szCs w:val="3"/>
                <w:color w:val="FFFFFF"/>
              </w:rPr>
              <w:t>Number of Employees 90,000 80,000</w:t>
            </w:r>
          </w:p>
        </w:tc>
        <w:tc>
          <w:tcPr>
            <w:tcW w:w="2560" w:type="dxa"/>
            <w:vAlign w:val="bottom"/>
          </w:tcPr>
          <w:p>
            <w:pPr>
              <w:spacing w:after="0"/>
              <w:rPr>
                <w:sz w:val="3"/>
                <w:szCs w:val="3"/>
                <w:color w:val="auto"/>
              </w:rPr>
            </w:pPr>
          </w:p>
        </w:tc>
        <w:tc>
          <w:tcPr>
            <w:tcW w:w="526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41"/>
        </w:trPr>
        <w:tc>
          <w:tcPr>
            <w:tcW w:w="3540" w:type="dxa"/>
            <w:vAlign w:val="bottom"/>
            <w:gridSpan w:val="2"/>
          </w:tcPr>
          <w:p>
            <w:pPr>
              <w:spacing w:after="0"/>
              <w:rPr>
                <w:sz w:val="20"/>
                <w:szCs w:val="20"/>
                <w:color w:val="auto"/>
              </w:rPr>
            </w:pPr>
            <w:r>
              <w:rPr>
                <w:rFonts w:ascii="Arial" w:cs="Arial" w:eastAsia="Arial" w:hAnsi="Arial"/>
                <w:sz w:val="3"/>
                <w:szCs w:val="3"/>
                <w:color w:val="FFFFFF"/>
              </w:rPr>
              <w:t>Minor differences may exist due to rounding.</w:t>
            </w:r>
          </w:p>
        </w:tc>
        <w:tc>
          <w:tcPr>
            <w:tcW w:w="2560" w:type="dxa"/>
            <w:vAlign w:val="bottom"/>
            <w:vMerge w:val="restart"/>
          </w:tcPr>
          <w:p>
            <w:pPr>
              <w:ind w:left="280"/>
              <w:spacing w:after="0" w:line="81" w:lineRule="exact"/>
              <w:rPr>
                <w:sz w:val="20"/>
                <w:szCs w:val="20"/>
                <w:color w:val="auto"/>
              </w:rPr>
            </w:pPr>
            <w:r>
              <w:rPr>
                <w:rFonts w:ascii="Arial" w:cs="Arial" w:eastAsia="Arial" w:hAnsi="Arial"/>
                <w:sz w:val="9"/>
                <w:szCs w:val="9"/>
                <w:color w:val="FFFFFF"/>
              </w:rPr>
              <w:t>Highlights:</w:t>
            </w:r>
          </w:p>
        </w:tc>
        <w:tc>
          <w:tcPr>
            <w:tcW w:w="526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41"/>
        </w:trPr>
        <w:tc>
          <w:tcPr>
            <w:tcW w:w="3540" w:type="dxa"/>
            <w:vAlign w:val="bottom"/>
            <w:gridSpan w:val="2"/>
          </w:tcPr>
          <w:p>
            <w:pPr>
              <w:spacing w:after="0"/>
              <w:rPr>
                <w:sz w:val="20"/>
                <w:szCs w:val="20"/>
                <w:color w:val="auto"/>
              </w:rPr>
            </w:pPr>
            <w:r>
              <w:rPr>
                <w:rFonts w:ascii="Arial" w:cs="Arial" w:eastAsia="Arial" w:hAnsi="Arial"/>
                <w:sz w:val="3"/>
                <w:szCs w:val="3"/>
                <w:color w:val="FFFFFF"/>
              </w:rPr>
              <w:t>Notes and definitions used in the Letter to Shareholders and</w:t>
            </w:r>
          </w:p>
        </w:tc>
        <w:tc>
          <w:tcPr>
            <w:tcW w:w="2560" w:type="dxa"/>
            <w:vAlign w:val="bottom"/>
            <w:vMerge w:val="continue"/>
          </w:tcPr>
          <w:p>
            <w:pPr>
              <w:spacing w:after="0"/>
              <w:rPr>
                <w:sz w:val="3"/>
                <w:szCs w:val="3"/>
                <w:color w:val="auto"/>
              </w:rPr>
            </w:pPr>
          </w:p>
        </w:tc>
        <w:tc>
          <w:tcPr>
            <w:tcW w:w="526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41"/>
        </w:trPr>
        <w:tc>
          <w:tcPr>
            <w:tcW w:w="11360" w:type="dxa"/>
            <w:vAlign w:val="bottom"/>
            <w:gridSpan w:val="4"/>
          </w:tcPr>
          <w:p>
            <w:pPr>
              <w:ind w:left="60"/>
              <w:spacing w:after="0"/>
              <w:rPr>
                <w:sz w:val="20"/>
                <w:szCs w:val="20"/>
                <w:color w:val="auto"/>
              </w:rPr>
            </w:pPr>
            <w:r>
              <w:rPr>
                <w:rFonts w:ascii="Arial" w:cs="Arial" w:eastAsia="Arial" w:hAnsi="Arial"/>
                <w:sz w:val="3"/>
                <w:szCs w:val="3"/>
                <w:color w:val="FFFFFF"/>
              </w:rPr>
              <w:t>a) All Comcast Cable results   the Letter to Shareholders andFinancialthese highlights are presented on a pro forma, as adjusted basis. See reconciliation on page 76.</w:t>
            </w:r>
          </w:p>
        </w:tc>
        <w:tc>
          <w:tcPr>
            <w:tcW w:w="0" w:type="dxa"/>
            <w:vAlign w:val="bottom"/>
          </w:tcPr>
          <w:p>
            <w:pPr>
              <w:spacing w:after="0"/>
              <w:rPr>
                <w:sz w:val="1"/>
                <w:szCs w:val="1"/>
                <w:color w:val="auto"/>
              </w:rPr>
            </w:pPr>
          </w:p>
        </w:tc>
      </w:tr>
      <w:tr>
        <w:trPr>
          <w:trHeight w:val="41"/>
        </w:trPr>
        <w:tc>
          <w:tcPr>
            <w:tcW w:w="11360" w:type="dxa"/>
            <w:vAlign w:val="bottom"/>
            <w:gridSpan w:val="4"/>
          </w:tcPr>
          <w:p>
            <w:pPr>
              <w:spacing w:after="0"/>
              <w:rPr>
                <w:sz w:val="20"/>
                <w:szCs w:val="20"/>
                <w:color w:val="auto"/>
              </w:rPr>
            </w:pPr>
            <w:r>
              <w:rPr>
                <w:rFonts w:ascii="Arial" w:cs="Arial" w:eastAsia="Arial" w:hAnsi="Arial"/>
                <w:sz w:val="3"/>
                <w:szCs w:val="3"/>
                <w:color w:val="FFFFFF"/>
              </w:rPr>
              <w:t>(b) Operating Cash Flow is defined as operating income before depreciation and amortization, excluding impairment charges related to fixed and intangible assets and gains or losses on sale of assets, if any. See</w:t>
            </w:r>
          </w:p>
        </w:tc>
        <w:tc>
          <w:tcPr>
            <w:tcW w:w="0" w:type="dxa"/>
            <w:vAlign w:val="bottom"/>
          </w:tcPr>
          <w:p>
            <w:pPr>
              <w:spacing w:after="0"/>
              <w:rPr>
                <w:sz w:val="1"/>
                <w:szCs w:val="1"/>
                <w:color w:val="auto"/>
              </w:rPr>
            </w:pPr>
          </w:p>
        </w:tc>
      </w:tr>
      <w:tr>
        <w:trPr>
          <w:trHeight w:val="41"/>
        </w:trPr>
        <w:tc>
          <w:tcPr>
            <w:tcW w:w="3540" w:type="dxa"/>
            <w:vAlign w:val="bottom"/>
            <w:gridSpan w:val="2"/>
          </w:tcPr>
          <w:p>
            <w:pPr>
              <w:spacing w:after="0"/>
              <w:rPr>
                <w:sz w:val="20"/>
                <w:szCs w:val="20"/>
                <w:color w:val="auto"/>
              </w:rPr>
            </w:pPr>
            <w:r>
              <w:rPr>
                <w:rFonts w:ascii="Arial" w:cs="Arial" w:eastAsia="Arial" w:hAnsi="Arial"/>
                <w:sz w:val="3"/>
                <w:szCs w:val="3"/>
                <w:color w:val="FFFFFF"/>
              </w:rPr>
              <w:t>reconciliation on page 76.</w:t>
            </w:r>
          </w:p>
        </w:tc>
        <w:tc>
          <w:tcPr>
            <w:tcW w:w="2560" w:type="dxa"/>
            <w:vAlign w:val="bottom"/>
          </w:tcPr>
          <w:p>
            <w:pPr>
              <w:spacing w:after="0"/>
              <w:rPr>
                <w:sz w:val="3"/>
                <w:szCs w:val="3"/>
                <w:color w:val="auto"/>
              </w:rPr>
            </w:pPr>
          </w:p>
        </w:tc>
        <w:tc>
          <w:tcPr>
            <w:tcW w:w="526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41"/>
        </w:trPr>
        <w:tc>
          <w:tcPr>
            <w:tcW w:w="11360" w:type="dxa"/>
            <w:vAlign w:val="bottom"/>
            <w:gridSpan w:val="4"/>
          </w:tcPr>
          <w:p>
            <w:pPr>
              <w:spacing w:after="0"/>
              <w:rPr>
                <w:sz w:val="20"/>
                <w:szCs w:val="20"/>
                <w:color w:val="auto"/>
              </w:rPr>
            </w:pPr>
            <w:r>
              <w:rPr>
                <w:rFonts w:ascii="Arial" w:cs="Arial" w:eastAsia="Arial" w:hAnsi="Arial"/>
                <w:sz w:val="3"/>
                <w:szCs w:val="3"/>
                <w:color w:val="FFFFFF"/>
              </w:rPr>
              <w:t>(c) RGUs represent the sum of basic and digital cable, high-speed Internet and phone subscribers, excluding additional outlets. Subscriptions to DVR and/or HDTV services by existing Comcast Digital Cable</w:t>
            </w:r>
          </w:p>
        </w:tc>
        <w:tc>
          <w:tcPr>
            <w:tcW w:w="0" w:type="dxa"/>
            <w:vAlign w:val="bottom"/>
          </w:tcPr>
          <w:p>
            <w:pPr>
              <w:spacing w:after="0"/>
              <w:rPr>
                <w:sz w:val="1"/>
                <w:szCs w:val="1"/>
                <w:color w:val="auto"/>
              </w:rPr>
            </w:pPr>
          </w:p>
        </w:tc>
      </w:tr>
      <w:tr>
        <w:trPr>
          <w:trHeight w:val="41"/>
        </w:trPr>
        <w:tc>
          <w:tcPr>
            <w:tcW w:w="3540" w:type="dxa"/>
            <w:vAlign w:val="bottom"/>
            <w:gridSpan w:val="2"/>
          </w:tcPr>
          <w:p>
            <w:pPr>
              <w:spacing w:after="0"/>
              <w:rPr>
                <w:sz w:val="20"/>
                <w:szCs w:val="20"/>
                <w:color w:val="auto"/>
              </w:rPr>
            </w:pPr>
            <w:r>
              <w:rPr>
                <w:rFonts w:ascii="Arial" w:cs="Arial" w:eastAsia="Arial" w:hAnsi="Arial"/>
                <w:sz w:val="3"/>
                <w:szCs w:val="3"/>
                <w:color w:val="FFFFFF"/>
              </w:rPr>
              <w:t>customers do not result   additional RGUs.</w:t>
            </w:r>
          </w:p>
        </w:tc>
        <w:tc>
          <w:tcPr>
            <w:tcW w:w="2560" w:type="dxa"/>
            <w:vAlign w:val="bottom"/>
          </w:tcPr>
          <w:p>
            <w:pPr>
              <w:spacing w:after="0"/>
              <w:rPr>
                <w:sz w:val="3"/>
                <w:szCs w:val="3"/>
                <w:color w:val="auto"/>
              </w:rPr>
            </w:pPr>
          </w:p>
        </w:tc>
        <w:tc>
          <w:tcPr>
            <w:tcW w:w="526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41"/>
        </w:trPr>
        <w:tc>
          <w:tcPr>
            <w:tcW w:w="11360" w:type="dxa"/>
            <w:vAlign w:val="bottom"/>
            <w:gridSpan w:val="4"/>
          </w:tcPr>
          <w:p>
            <w:pPr>
              <w:spacing w:after="0"/>
              <w:rPr>
                <w:sz w:val="20"/>
                <w:szCs w:val="20"/>
                <w:color w:val="auto"/>
              </w:rPr>
            </w:pPr>
            <w:r>
              <w:rPr>
                <w:rFonts w:ascii="Arial" w:cs="Arial" w:eastAsia="Arial" w:hAnsi="Arial"/>
                <w:sz w:val="3"/>
                <w:szCs w:val="3"/>
                <w:color w:val="FFFFFF"/>
              </w:rPr>
              <w:t>(d) Free Cash Flow is defined as “Net Cash Provided by Operating Activities From Continuing Operations” (as stated in our Consolidated Statement of Cash Flows) reduced by capital expenditures and cash</w:t>
            </w:r>
          </w:p>
        </w:tc>
        <w:tc>
          <w:tcPr>
            <w:tcW w:w="0" w:type="dxa"/>
            <w:vAlign w:val="bottom"/>
          </w:tcPr>
          <w:p>
            <w:pPr>
              <w:spacing w:after="0"/>
              <w:rPr>
                <w:sz w:val="1"/>
                <w:szCs w:val="1"/>
                <w:color w:val="auto"/>
              </w:rPr>
            </w:pPr>
          </w:p>
        </w:tc>
      </w:tr>
      <w:tr>
        <w:trPr>
          <w:trHeight w:val="41"/>
        </w:trPr>
        <w:tc>
          <w:tcPr>
            <w:tcW w:w="11360" w:type="dxa"/>
            <w:vAlign w:val="bottom"/>
            <w:gridSpan w:val="4"/>
          </w:tcPr>
          <w:p>
            <w:pPr>
              <w:spacing w:after="0"/>
              <w:rPr>
                <w:sz w:val="20"/>
                <w:szCs w:val="20"/>
                <w:color w:val="auto"/>
              </w:rPr>
            </w:pPr>
            <w:r>
              <w:rPr>
                <w:rFonts w:ascii="Arial" w:cs="Arial" w:eastAsia="Arial" w:hAnsi="Arial"/>
                <w:sz w:val="3"/>
                <w:szCs w:val="3"/>
                <w:color w:val="FFFFFF"/>
              </w:rPr>
              <w:t>paid for intangible assets; and increased by any payments related to certain non-operating items, net of estimated tax benefits (such as income taxes on investment sales, and non-recurring payments related to</w:t>
            </w:r>
          </w:p>
        </w:tc>
        <w:tc>
          <w:tcPr>
            <w:tcW w:w="0" w:type="dxa"/>
            <w:vAlign w:val="bottom"/>
          </w:tcPr>
          <w:p>
            <w:pPr>
              <w:spacing w:after="0"/>
              <w:rPr>
                <w:sz w:val="1"/>
                <w:szCs w:val="1"/>
                <w:color w:val="auto"/>
              </w:rPr>
            </w:pPr>
          </w:p>
        </w:tc>
      </w:tr>
      <w:tr>
        <w:trPr>
          <w:trHeight w:val="41"/>
        </w:trPr>
        <w:tc>
          <w:tcPr>
            <w:tcW w:w="6100" w:type="dxa"/>
            <w:vAlign w:val="bottom"/>
            <w:gridSpan w:val="3"/>
          </w:tcPr>
          <w:p>
            <w:pPr>
              <w:spacing w:after="0"/>
              <w:rPr>
                <w:sz w:val="20"/>
                <w:szCs w:val="20"/>
                <w:color w:val="auto"/>
              </w:rPr>
            </w:pPr>
            <w:r>
              <w:rPr>
                <w:rFonts w:ascii="Arial" w:cs="Arial" w:eastAsia="Arial" w:hAnsi="Arial"/>
                <w:sz w:val="3"/>
                <w:szCs w:val="3"/>
                <w:color w:val="FFFFFF"/>
              </w:rPr>
              <w:t>income tax and litigation contingencies of acquired companies). Reconciliation of this item appears on page 76.</w:t>
            </w:r>
          </w:p>
        </w:tc>
        <w:tc>
          <w:tcPr>
            <w:tcW w:w="526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41"/>
        </w:trPr>
        <w:tc>
          <w:tcPr>
            <w:tcW w:w="11360" w:type="dxa"/>
            <w:vAlign w:val="bottom"/>
            <w:gridSpan w:val="4"/>
          </w:tcPr>
          <w:p>
            <w:pPr>
              <w:spacing w:after="0"/>
              <w:rPr>
                <w:sz w:val="20"/>
                <w:szCs w:val="20"/>
                <w:color w:val="auto"/>
              </w:rPr>
            </w:pPr>
            <w:r>
              <w:rPr>
                <w:rFonts w:ascii="Arial" w:cs="Arial" w:eastAsia="Arial" w:hAnsi="Arial"/>
                <w:sz w:val="3"/>
                <w:szCs w:val="3"/>
                <w:color w:val="FFFFFF"/>
              </w:rPr>
              <w:t>(e) In July 2006, in connection with the transactions with Adelphia and Time Warner, we transferred our previously owned cable systems located in Los Angeles, Cleveland and Dallas to Time Warner Cable.</w:t>
            </w:r>
          </w:p>
        </w:tc>
        <w:tc>
          <w:tcPr>
            <w:tcW w:w="0" w:type="dxa"/>
            <w:vAlign w:val="bottom"/>
          </w:tcPr>
          <w:p>
            <w:pPr>
              <w:spacing w:after="0"/>
              <w:rPr>
                <w:sz w:val="1"/>
                <w:szCs w:val="1"/>
                <w:color w:val="auto"/>
              </w:rPr>
            </w:pPr>
          </w:p>
        </w:tc>
      </w:tr>
      <w:tr>
        <w:trPr>
          <w:trHeight w:val="41"/>
        </w:trPr>
        <w:tc>
          <w:tcPr>
            <w:tcW w:w="11360" w:type="dxa"/>
            <w:vAlign w:val="bottom"/>
            <w:gridSpan w:val="4"/>
          </w:tcPr>
          <w:p>
            <w:pPr>
              <w:spacing w:after="0"/>
              <w:rPr>
                <w:sz w:val="20"/>
                <w:szCs w:val="20"/>
                <w:color w:val="auto"/>
              </w:rPr>
            </w:pPr>
            <w:r>
              <w:rPr>
                <w:rFonts w:ascii="Arial" w:cs="Arial" w:eastAsia="Arial" w:hAnsi="Arial"/>
                <w:sz w:val="3"/>
                <w:szCs w:val="3"/>
                <w:color w:val="FFFFFF"/>
              </w:rPr>
              <w:t>These cable systems are presented as discontinued operations for the years ended on or before December 31, 2006 (see Note 5 to our consolidated financial statements).</w:t>
            </w:r>
          </w:p>
        </w:tc>
        <w:tc>
          <w:tcPr>
            <w:tcW w:w="0" w:type="dxa"/>
            <w:vAlign w:val="bottom"/>
          </w:tcPr>
          <w:p>
            <w:pPr>
              <w:spacing w:after="0"/>
              <w:rPr>
                <w:sz w:val="1"/>
                <w:szCs w:val="1"/>
                <w:color w:val="auto"/>
              </w:rPr>
            </w:pPr>
          </w:p>
        </w:tc>
      </w:tr>
      <w:tr>
        <w:trPr>
          <w:trHeight w:val="41"/>
        </w:trPr>
        <w:tc>
          <w:tcPr>
            <w:tcW w:w="220" w:type="dxa"/>
            <w:vAlign w:val="bottom"/>
          </w:tcPr>
          <w:p>
            <w:pPr>
              <w:spacing w:after="0"/>
              <w:rPr>
                <w:sz w:val="20"/>
                <w:szCs w:val="20"/>
                <w:color w:val="auto"/>
              </w:rPr>
            </w:pPr>
            <w:r>
              <w:rPr>
                <w:rFonts w:ascii="Arial" w:cs="Arial" w:eastAsia="Arial" w:hAnsi="Arial"/>
                <w:sz w:val="3"/>
                <w:szCs w:val="3"/>
                <w:color w:val="FFFFFF"/>
              </w:rPr>
              <w:t>(f)</w:t>
            </w:r>
          </w:p>
        </w:tc>
        <w:tc>
          <w:tcPr>
            <w:tcW w:w="3320" w:type="dxa"/>
            <w:vAlign w:val="bottom"/>
          </w:tcPr>
          <w:p>
            <w:pPr>
              <w:ind w:left="240"/>
              <w:spacing w:after="0"/>
              <w:rPr>
                <w:sz w:val="20"/>
                <w:szCs w:val="20"/>
                <w:color w:val="auto"/>
              </w:rPr>
            </w:pPr>
            <w:r>
              <w:rPr>
                <w:rFonts w:ascii="Arial" w:cs="Arial" w:eastAsia="Arial" w:hAnsi="Arial"/>
                <w:sz w:val="3"/>
                <w:szCs w:val="3"/>
                <w:color w:val="FFFFFF"/>
              </w:rPr>
              <w:t>Adjusted to reflect the Stock Split.</w:t>
            </w:r>
          </w:p>
        </w:tc>
        <w:tc>
          <w:tcPr>
            <w:tcW w:w="2560" w:type="dxa"/>
            <w:vAlign w:val="bottom"/>
          </w:tcPr>
          <w:p>
            <w:pPr>
              <w:spacing w:after="0"/>
              <w:rPr>
                <w:sz w:val="3"/>
                <w:szCs w:val="3"/>
                <w:color w:val="auto"/>
              </w:rPr>
            </w:pPr>
          </w:p>
        </w:tc>
        <w:tc>
          <w:tcPr>
            <w:tcW w:w="526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54"/>
        </w:trPr>
        <w:tc>
          <w:tcPr>
            <w:tcW w:w="11360" w:type="dxa"/>
            <w:vAlign w:val="bottom"/>
            <w:gridSpan w:val="4"/>
          </w:tcPr>
          <w:p>
            <w:pPr>
              <w:spacing w:after="0" w:line="54" w:lineRule="exact"/>
              <w:rPr>
                <w:sz w:val="20"/>
                <w:szCs w:val="20"/>
                <w:color w:val="auto"/>
              </w:rPr>
            </w:pPr>
            <w:r>
              <w:rPr>
                <w:rFonts w:ascii="Arial" w:cs="Arial" w:eastAsia="Arial" w:hAnsi="Arial"/>
                <w:sz w:val="6"/>
                <w:szCs w:val="6"/>
                <w:color w:val="FFFFFF"/>
              </w:rPr>
              <w:t>Additional information about Comcast is also contained in our Annual Report on Form 10-K and   our Proxy Statement. We invite you to refer to those documents.</w:t>
            </w:r>
          </w:p>
        </w:tc>
        <w:tc>
          <w:tcPr>
            <w:tcW w:w="0" w:type="dxa"/>
            <w:vAlign w:val="bottom"/>
          </w:tcPr>
          <w:p>
            <w:pPr>
              <w:spacing w:after="0"/>
              <w:rPr>
                <w:sz w:val="1"/>
                <w:szCs w:val="1"/>
                <w:color w:val="auto"/>
              </w:rPr>
            </w:pPr>
          </w:p>
        </w:tc>
      </w:tr>
      <w:tr>
        <w:trPr>
          <w:trHeight w:val="0"/>
        </w:trPr>
        <w:tc>
          <w:tcPr>
            <w:tcW w:w="6100" w:type="dxa"/>
            <w:vAlign w:val="bottom"/>
            <w:gridSpan w:val="3"/>
          </w:tcPr>
          <w:p>
            <w:pPr>
              <w:spacing w:after="0" w:line="80" w:lineRule="exact"/>
              <w:rPr>
                <w:sz w:val="20"/>
                <w:szCs w:val="20"/>
                <w:color w:val="auto"/>
              </w:rPr>
            </w:pPr>
            <w:r>
              <w:rPr>
                <w:rFonts w:ascii="Arial" w:cs="Arial" w:eastAsia="Arial" w:hAnsi="Arial"/>
                <w:sz w:val="9"/>
                <w:szCs w:val="9"/>
                <w:color w:val="FFFFFF"/>
              </w:rPr>
              <w:t>This report may contain forward-looking statements. Readers are cautioned that such forward-looking</w:t>
            </w:r>
          </w:p>
        </w:tc>
        <w:tc>
          <w:tcPr>
            <w:tcW w:w="5260" w:type="dxa"/>
            <w:vAlign w:val="bottom"/>
          </w:tcPr>
          <w:p>
            <w:pPr>
              <w:ind w:left="60"/>
              <w:spacing w:after="0" w:line="80" w:lineRule="exact"/>
              <w:rPr>
                <w:sz w:val="20"/>
                <w:szCs w:val="20"/>
                <w:color w:val="auto"/>
              </w:rPr>
            </w:pPr>
            <w:r>
              <w:rPr>
                <w:rFonts w:ascii="Arial" w:cs="Arial" w:eastAsia="Arial" w:hAnsi="Arial"/>
                <w:sz w:val="9"/>
                <w:szCs w:val="9"/>
                <w:color w:val="FFFFFF"/>
              </w:rPr>
              <w:t>involve risks and uncertainties that could significantly affect actual results from those expressed</w:t>
            </w:r>
          </w:p>
        </w:tc>
        <w:tc>
          <w:tcPr>
            <w:tcW w:w="0" w:type="dxa"/>
            <w:vAlign w:val="bottom"/>
          </w:tcPr>
          <w:p>
            <w:pPr>
              <w:spacing w:after="0" w:line="20" w:lineRule="exact"/>
              <w:rPr>
                <w:sz w:val="1"/>
                <w:szCs w:val="1"/>
                <w:color w:val="auto"/>
              </w:rPr>
            </w:pPr>
          </w:p>
        </w:tc>
      </w:tr>
    </w:tbl>
    <w:p>
      <w:pPr>
        <w:ind w:left="5560"/>
        <w:spacing w:after="0" w:line="25" w:lineRule="auto"/>
        <w:rPr>
          <w:sz w:val="20"/>
          <w:szCs w:val="20"/>
          <w:color w:val="auto"/>
        </w:rPr>
      </w:pPr>
      <w:r>
        <w:rPr>
          <w:rFonts w:ascii="Arial" w:cs="Arial" w:eastAsia="Arial" w:hAnsi="Arial"/>
          <w:sz w:val="1"/>
          <w:szCs w:val="1"/>
          <w:color w:val="FFFFFF"/>
        </w:rPr>
        <w:t>statements</w:t>
      </w:r>
    </w:p>
    <w:p>
      <w:pPr>
        <w:spacing w:after="0" w:line="208" w:lineRule="auto"/>
        <w:tabs>
          <w:tab w:leader="none" w:pos="5980" w:val="left"/>
        </w:tabs>
        <w:rPr>
          <w:sz w:val="20"/>
          <w:szCs w:val="20"/>
          <w:color w:val="auto"/>
        </w:rPr>
      </w:pPr>
      <w:r>
        <w:rPr>
          <w:rFonts w:ascii="Arial" w:cs="Arial" w:eastAsia="Arial" w:hAnsi="Arial"/>
          <w:sz w:val="14"/>
          <w:szCs w:val="14"/>
          <w:color w:val="FFFFFF"/>
        </w:rPr>
        <w:t>23in any such forward-looking statements. Readers are directed to Comcast’s Annual Report on Form 10-K for</w:t>
      </w:r>
      <w:r>
        <w:rPr>
          <w:sz w:val="20"/>
          <w:szCs w:val="20"/>
          <w:color w:val="auto"/>
        </w:rPr>
        <w:tab/>
      </w:r>
      <w:r>
        <w:rPr>
          <w:rFonts w:ascii="Arial" w:cs="Arial" w:eastAsia="Arial" w:hAnsi="Arial"/>
          <w:sz w:val="12"/>
          <w:szCs w:val="12"/>
          <w:color w:val="FFFFFF"/>
        </w:rPr>
        <w:t>description of such risks and uncertainties.</w:t>
      </w:r>
    </w:p>
    <w:p>
      <w:pPr>
        <w:sectPr>
          <w:pgSz w:w="11900" w:h="16838" w:orient="portrait"/>
          <w:cols w:equalWidth="0" w:num="1">
            <w:col w:w="11360"/>
          </w:cols>
          <w:pgMar w:left="240" w:top="459" w:right="299" w:bottom="1440" w:gutter="0" w:footer="0" w:header="0"/>
          <w:type w:val="continuous"/>
        </w:sectPr>
      </w:pPr>
    </w:p>
    <w:bookmarkStart w:id="100" w:name="page101"/>
    <w:bookmarkEnd w:id="100"/>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136" name="Picture 1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6"/>
                    <pic:cNvPicPr>
                      <a:picLocks noChangeAspect="1" noChangeArrowheads="1"/>
                    </pic:cNvPicPr>
                  </pic:nvPicPr>
                  <pic:blipFill>
                    <a:blip r:embed="rId143">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5" w:lineRule="exact"/>
        <w:rPr>
          <w:sz w:val="20"/>
          <w:szCs w:val="20"/>
          <w:color w:val="auto"/>
        </w:rPr>
      </w:pPr>
    </w:p>
    <w:tbl>
      <w:tblPr>
        <w:tblLayout w:type="fixed"/>
        <w:tblInd w:w="0" w:type="dxa"/>
        <w:tblCellMar>
          <w:top w:w="0" w:type="dxa"/>
          <w:left w:w="0" w:type="dxa"/>
          <w:bottom w:w="0" w:type="dxa"/>
          <w:right w:w="0" w:type="dxa"/>
        </w:tblCellMar>
      </w:tblPr>
      <w:tr>
        <w:trPr>
          <w:trHeight w:val="233"/>
        </w:trPr>
        <w:tc>
          <w:tcPr>
            <w:tcW w:w="6920" w:type="dxa"/>
            <w:vAlign w:val="bottom"/>
            <w:gridSpan w:val="28"/>
          </w:tcPr>
          <w:p>
            <w:pPr>
              <w:spacing w:after="0"/>
              <w:rPr>
                <w:sz w:val="20"/>
                <w:szCs w:val="20"/>
                <w:color w:val="auto"/>
              </w:rPr>
            </w:pPr>
            <w:r>
              <w:rPr>
                <w:rFonts w:ascii="Arial" w:cs="Arial" w:eastAsia="Arial" w:hAnsi="Arial"/>
                <w:sz w:val="18"/>
                <w:szCs w:val="18"/>
                <w:b w:val="1"/>
                <w:bCs w:val="1"/>
                <w:color w:val="auto"/>
              </w:rPr>
              <w:t>Financial Report</w:t>
            </w:r>
          </w:p>
        </w:tc>
        <w:tc>
          <w:tcPr>
            <w:tcW w:w="4500" w:type="dxa"/>
            <w:vAlign w:val="bottom"/>
          </w:tcPr>
          <w:p>
            <w:pPr>
              <w:spacing w:after="0"/>
              <w:rPr>
                <w:sz w:val="20"/>
                <w:szCs w:val="20"/>
                <w:color w:val="auto"/>
              </w:rPr>
            </w:pPr>
          </w:p>
        </w:tc>
      </w:tr>
      <w:tr>
        <w:trPr>
          <w:trHeight w:val="367"/>
        </w:trPr>
        <w:tc>
          <w:tcPr>
            <w:tcW w:w="6920" w:type="dxa"/>
            <w:vAlign w:val="bottom"/>
            <w:tcBorders>
              <w:bottom w:val="single" w:sz="8" w:color="0000EE"/>
            </w:tcBorders>
            <w:gridSpan w:val="28"/>
          </w:tcPr>
          <w:p>
            <w:pPr>
              <w:spacing w:after="0"/>
              <w:rPr>
                <w:rFonts w:ascii="Arial" w:cs="Arial" w:eastAsia="Arial" w:hAnsi="Arial"/>
                <w:sz w:val="18"/>
                <w:szCs w:val="18"/>
                <w:color w:val="0000EE"/>
                <w:w w:val="97"/>
              </w:rPr>
            </w:pPr>
            <w:hyperlink w:anchor="page102">
              <w:r>
                <w:rPr>
                  <w:rFonts w:ascii="Arial" w:cs="Arial" w:eastAsia="Arial" w:hAnsi="Arial"/>
                  <w:sz w:val="18"/>
                  <w:szCs w:val="18"/>
                  <w:color w:val="0000EE"/>
                  <w:w w:val="97"/>
                </w:rPr>
                <w:t>Management’s Discussion and Analysis of Financial Condition and Results of Operations</w:t>
              </w:r>
            </w:hyperlink>
          </w:p>
        </w:tc>
        <w:tc>
          <w:tcPr>
            <w:tcW w:w="4500" w:type="dxa"/>
            <w:vAlign w:val="bottom"/>
          </w:tcPr>
          <w:p>
            <w:pPr>
              <w:jc w:val="right"/>
              <w:spacing w:after="0"/>
              <w:rPr>
                <w:sz w:val="20"/>
                <w:szCs w:val="20"/>
                <w:color w:val="auto"/>
              </w:rPr>
            </w:pPr>
            <w:r>
              <w:rPr>
                <w:rFonts w:ascii="Arial" w:cs="Arial" w:eastAsia="Arial" w:hAnsi="Arial"/>
                <w:sz w:val="18"/>
                <w:szCs w:val="18"/>
                <w:color w:val="auto"/>
              </w:rPr>
              <w:t>25</w:t>
            </w:r>
          </w:p>
        </w:tc>
      </w:tr>
      <w:tr>
        <w:trPr>
          <w:trHeight w:val="183"/>
        </w:trPr>
        <w:tc>
          <w:tcPr>
            <w:tcW w:w="6920" w:type="dxa"/>
            <w:vAlign w:val="bottom"/>
            <w:gridSpan w:val="28"/>
          </w:tcPr>
          <w:p>
            <w:pPr>
              <w:spacing w:after="0" w:line="182" w:lineRule="exact"/>
              <w:rPr>
                <w:rFonts w:ascii="Arial" w:cs="Arial" w:eastAsia="Arial" w:hAnsi="Arial"/>
                <w:sz w:val="18"/>
                <w:szCs w:val="18"/>
                <w:color w:val="0000EE"/>
              </w:rPr>
            </w:pPr>
            <w:hyperlink w:anchor="page102">
              <w:r>
                <w:rPr>
                  <w:rFonts w:ascii="Arial" w:cs="Arial" w:eastAsia="Arial" w:hAnsi="Arial"/>
                  <w:sz w:val="18"/>
                  <w:szCs w:val="18"/>
                  <w:color w:val="0000EE"/>
                </w:rPr>
                <w:t>Introduction and Overview</w:t>
              </w:r>
            </w:hyperlink>
          </w:p>
        </w:tc>
        <w:tc>
          <w:tcPr>
            <w:tcW w:w="4500" w:type="dxa"/>
            <w:vAlign w:val="bottom"/>
          </w:tcPr>
          <w:p>
            <w:pPr>
              <w:jc w:val="right"/>
              <w:spacing w:after="0" w:line="182" w:lineRule="exact"/>
              <w:rPr>
                <w:sz w:val="20"/>
                <w:szCs w:val="20"/>
                <w:color w:val="auto"/>
              </w:rPr>
            </w:pPr>
            <w:r>
              <w:rPr>
                <w:rFonts w:ascii="Arial" w:cs="Arial" w:eastAsia="Arial" w:hAnsi="Arial"/>
                <w:sz w:val="18"/>
                <w:szCs w:val="18"/>
                <w:color w:val="auto"/>
              </w:rPr>
              <w:t>25</w:t>
            </w:r>
          </w:p>
        </w:tc>
      </w:tr>
      <w:tr>
        <w:trPr>
          <w:trHeight w:val="20"/>
        </w:trPr>
        <w:tc>
          <w:tcPr>
            <w:tcW w:w="440" w:type="dxa"/>
            <w:vAlign w:val="bottom"/>
            <w:shd w:val="clear" w:color="auto" w:fill="0000EE"/>
          </w:tcPr>
          <w:p>
            <w:pPr>
              <w:spacing w:after="0" w:line="20" w:lineRule="exact"/>
              <w:rPr>
                <w:sz w:val="1"/>
                <w:szCs w:val="1"/>
                <w:color w:val="auto"/>
              </w:rPr>
            </w:pPr>
          </w:p>
        </w:tc>
        <w:tc>
          <w:tcPr>
            <w:tcW w:w="440" w:type="dxa"/>
            <w:vAlign w:val="bottom"/>
            <w:shd w:val="clear" w:color="auto" w:fill="0000EE"/>
          </w:tcPr>
          <w:p>
            <w:pPr>
              <w:spacing w:after="0" w:line="20" w:lineRule="exact"/>
              <w:rPr>
                <w:sz w:val="1"/>
                <w:szCs w:val="1"/>
                <w:color w:val="auto"/>
              </w:rPr>
            </w:pPr>
          </w:p>
        </w:tc>
        <w:tc>
          <w:tcPr>
            <w:tcW w:w="760" w:type="dxa"/>
            <w:vAlign w:val="bottom"/>
            <w:shd w:val="clear" w:color="auto" w:fill="0000EE"/>
          </w:tcPr>
          <w:p>
            <w:pPr>
              <w:spacing w:after="0" w:line="20" w:lineRule="exact"/>
              <w:rPr>
                <w:sz w:val="1"/>
                <w:szCs w:val="1"/>
                <w:color w:val="auto"/>
              </w:rPr>
            </w:pPr>
          </w:p>
        </w:tc>
        <w:tc>
          <w:tcPr>
            <w:tcW w:w="160" w:type="dxa"/>
            <w:vAlign w:val="bottom"/>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2420" w:type="dxa"/>
            <w:vAlign w:val="bottom"/>
          </w:tcPr>
          <w:p>
            <w:pPr>
              <w:spacing w:after="0" w:line="20" w:lineRule="exact"/>
              <w:rPr>
                <w:sz w:val="1"/>
                <w:szCs w:val="1"/>
                <w:color w:val="auto"/>
              </w:rPr>
            </w:pPr>
          </w:p>
        </w:tc>
        <w:tc>
          <w:tcPr>
            <w:tcW w:w="4500" w:type="dxa"/>
            <w:vAlign w:val="bottom"/>
          </w:tcPr>
          <w:p>
            <w:pPr>
              <w:spacing w:after="0" w:line="20" w:lineRule="exact"/>
              <w:rPr>
                <w:sz w:val="1"/>
                <w:szCs w:val="1"/>
                <w:color w:val="auto"/>
              </w:rPr>
            </w:pPr>
          </w:p>
        </w:tc>
      </w:tr>
      <w:tr>
        <w:trPr>
          <w:trHeight w:val="183"/>
        </w:trPr>
        <w:tc>
          <w:tcPr>
            <w:tcW w:w="2520" w:type="dxa"/>
            <w:vAlign w:val="bottom"/>
            <w:tcBorders>
              <w:bottom w:val="single" w:sz="8" w:color="0000EE"/>
            </w:tcBorders>
            <w:gridSpan w:val="15"/>
          </w:tcPr>
          <w:p>
            <w:pPr>
              <w:spacing w:after="0" w:line="182" w:lineRule="exact"/>
              <w:rPr>
                <w:rFonts w:ascii="Arial" w:cs="Arial" w:eastAsia="Arial" w:hAnsi="Arial"/>
                <w:sz w:val="18"/>
                <w:szCs w:val="18"/>
                <w:color w:val="0000EE"/>
                <w:w w:val="98"/>
              </w:rPr>
            </w:pPr>
            <w:hyperlink w:anchor="page103">
              <w:r>
                <w:rPr>
                  <w:rFonts w:ascii="Arial" w:cs="Arial" w:eastAsia="Arial" w:hAnsi="Arial"/>
                  <w:sz w:val="18"/>
                  <w:szCs w:val="18"/>
                  <w:color w:val="0000EE"/>
                  <w:w w:val="98"/>
                </w:rPr>
                <w:t>Consolidated Operating Results</w:t>
              </w:r>
            </w:hyperlink>
          </w:p>
        </w:tc>
        <w:tc>
          <w:tcPr>
            <w:tcW w:w="4400" w:type="dxa"/>
            <w:vAlign w:val="bottom"/>
            <w:gridSpan w:val="13"/>
          </w:tcPr>
          <w:p>
            <w:pPr>
              <w:spacing w:after="0"/>
              <w:rPr>
                <w:sz w:val="15"/>
                <w:szCs w:val="15"/>
                <w:color w:val="auto"/>
              </w:rPr>
            </w:pPr>
          </w:p>
        </w:tc>
        <w:tc>
          <w:tcPr>
            <w:tcW w:w="4500" w:type="dxa"/>
            <w:vAlign w:val="bottom"/>
          </w:tcPr>
          <w:p>
            <w:pPr>
              <w:jc w:val="right"/>
              <w:spacing w:after="0" w:line="182" w:lineRule="exact"/>
              <w:rPr>
                <w:sz w:val="20"/>
                <w:szCs w:val="20"/>
                <w:color w:val="auto"/>
              </w:rPr>
            </w:pPr>
            <w:r>
              <w:rPr>
                <w:rFonts w:ascii="Arial" w:cs="Arial" w:eastAsia="Arial" w:hAnsi="Arial"/>
                <w:sz w:val="18"/>
                <w:szCs w:val="18"/>
                <w:color w:val="auto"/>
              </w:rPr>
              <w:t>26</w:t>
            </w:r>
          </w:p>
        </w:tc>
      </w:tr>
      <w:tr>
        <w:trPr>
          <w:trHeight w:val="183"/>
        </w:trPr>
        <w:tc>
          <w:tcPr>
            <w:tcW w:w="6920" w:type="dxa"/>
            <w:vAlign w:val="bottom"/>
            <w:gridSpan w:val="28"/>
          </w:tcPr>
          <w:p>
            <w:pPr>
              <w:spacing w:after="0" w:line="182" w:lineRule="exact"/>
              <w:rPr>
                <w:rFonts w:ascii="Arial" w:cs="Arial" w:eastAsia="Arial" w:hAnsi="Arial"/>
                <w:sz w:val="18"/>
                <w:szCs w:val="18"/>
                <w:color w:val="0000EE"/>
              </w:rPr>
            </w:pPr>
            <w:hyperlink w:anchor="page104">
              <w:r>
                <w:rPr>
                  <w:rFonts w:ascii="Arial" w:cs="Arial" w:eastAsia="Arial" w:hAnsi="Arial"/>
                  <w:sz w:val="18"/>
                  <w:szCs w:val="18"/>
                  <w:color w:val="0000EE"/>
                </w:rPr>
                <w:t>Segment Operating Results</w:t>
              </w:r>
            </w:hyperlink>
          </w:p>
        </w:tc>
        <w:tc>
          <w:tcPr>
            <w:tcW w:w="4500" w:type="dxa"/>
            <w:vAlign w:val="bottom"/>
          </w:tcPr>
          <w:p>
            <w:pPr>
              <w:jc w:val="right"/>
              <w:spacing w:after="0" w:line="182" w:lineRule="exact"/>
              <w:rPr>
                <w:sz w:val="20"/>
                <w:szCs w:val="20"/>
                <w:color w:val="auto"/>
              </w:rPr>
            </w:pPr>
            <w:r>
              <w:rPr>
                <w:rFonts w:ascii="Arial" w:cs="Arial" w:eastAsia="Arial" w:hAnsi="Arial"/>
                <w:sz w:val="18"/>
                <w:szCs w:val="18"/>
                <w:color w:val="auto"/>
              </w:rPr>
              <w:t>27</w:t>
            </w:r>
          </w:p>
        </w:tc>
      </w:tr>
      <w:tr>
        <w:trPr>
          <w:trHeight w:val="20"/>
        </w:trPr>
        <w:tc>
          <w:tcPr>
            <w:tcW w:w="440" w:type="dxa"/>
            <w:vAlign w:val="bottom"/>
            <w:shd w:val="clear" w:color="auto" w:fill="0000EE"/>
          </w:tcPr>
          <w:p>
            <w:pPr>
              <w:spacing w:after="0" w:line="20" w:lineRule="exact"/>
              <w:rPr>
                <w:sz w:val="1"/>
                <w:szCs w:val="1"/>
                <w:color w:val="auto"/>
              </w:rPr>
            </w:pPr>
          </w:p>
        </w:tc>
        <w:tc>
          <w:tcPr>
            <w:tcW w:w="440" w:type="dxa"/>
            <w:vAlign w:val="bottom"/>
            <w:shd w:val="clear" w:color="auto" w:fill="0000EE"/>
          </w:tcPr>
          <w:p>
            <w:pPr>
              <w:spacing w:after="0" w:line="20" w:lineRule="exact"/>
              <w:rPr>
                <w:sz w:val="1"/>
                <w:szCs w:val="1"/>
                <w:color w:val="auto"/>
              </w:rPr>
            </w:pPr>
          </w:p>
        </w:tc>
        <w:tc>
          <w:tcPr>
            <w:tcW w:w="760" w:type="dxa"/>
            <w:vAlign w:val="bottom"/>
            <w:shd w:val="clear" w:color="auto" w:fill="0000EE"/>
          </w:tcPr>
          <w:p>
            <w:pPr>
              <w:spacing w:after="0" w:line="20" w:lineRule="exact"/>
              <w:rPr>
                <w:sz w:val="1"/>
                <w:szCs w:val="1"/>
                <w:color w:val="auto"/>
              </w:rPr>
            </w:pPr>
          </w:p>
        </w:tc>
        <w:tc>
          <w:tcPr>
            <w:tcW w:w="160" w:type="dxa"/>
            <w:vAlign w:val="bottom"/>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220" w:type="dxa"/>
            <w:vAlign w:val="bottom"/>
            <w:gridSpan w:val="2"/>
            <w:shd w:val="clear" w:color="auto" w:fill="0000EE"/>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gridSpan w:val="2"/>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2420" w:type="dxa"/>
            <w:vAlign w:val="bottom"/>
          </w:tcPr>
          <w:p>
            <w:pPr>
              <w:spacing w:after="0" w:line="20" w:lineRule="exact"/>
              <w:rPr>
                <w:sz w:val="1"/>
                <w:szCs w:val="1"/>
                <w:color w:val="auto"/>
              </w:rPr>
            </w:pPr>
          </w:p>
        </w:tc>
        <w:tc>
          <w:tcPr>
            <w:tcW w:w="4500" w:type="dxa"/>
            <w:vAlign w:val="bottom"/>
          </w:tcPr>
          <w:p>
            <w:pPr>
              <w:spacing w:after="0" w:line="20" w:lineRule="exact"/>
              <w:rPr>
                <w:sz w:val="1"/>
                <w:szCs w:val="1"/>
                <w:color w:val="auto"/>
              </w:rPr>
            </w:pPr>
          </w:p>
        </w:tc>
      </w:tr>
      <w:tr>
        <w:trPr>
          <w:trHeight w:val="183"/>
        </w:trPr>
        <w:tc>
          <w:tcPr>
            <w:tcW w:w="440" w:type="dxa"/>
            <w:vAlign w:val="bottom"/>
          </w:tcPr>
          <w:p>
            <w:pPr>
              <w:spacing w:after="0"/>
              <w:rPr>
                <w:sz w:val="15"/>
                <w:szCs w:val="15"/>
                <w:color w:val="auto"/>
              </w:rPr>
            </w:pPr>
          </w:p>
        </w:tc>
        <w:tc>
          <w:tcPr>
            <w:tcW w:w="2000" w:type="dxa"/>
            <w:vAlign w:val="bottom"/>
            <w:tcBorders>
              <w:bottom w:val="single" w:sz="8" w:color="0000EE"/>
            </w:tcBorders>
            <w:gridSpan w:val="11"/>
          </w:tcPr>
          <w:p>
            <w:pPr>
              <w:spacing w:after="0" w:line="182" w:lineRule="exact"/>
              <w:rPr>
                <w:rFonts w:ascii="Arial" w:cs="Arial" w:eastAsia="Arial" w:hAnsi="Arial"/>
                <w:sz w:val="18"/>
                <w:szCs w:val="18"/>
                <w:color w:val="0000EE"/>
                <w:w w:val="97"/>
              </w:rPr>
            </w:pPr>
            <w:hyperlink w:anchor="page104">
              <w:r>
                <w:rPr>
                  <w:rFonts w:ascii="Arial" w:cs="Arial" w:eastAsia="Arial" w:hAnsi="Arial"/>
                  <w:sz w:val="18"/>
                  <w:szCs w:val="18"/>
                  <w:color w:val="0000EE"/>
                  <w:w w:val="97"/>
                </w:rPr>
                <w:t>Cable Segment Overview</w:t>
              </w:r>
            </w:hyperlink>
          </w:p>
        </w:tc>
        <w:tc>
          <w:tcPr>
            <w:tcW w:w="4480" w:type="dxa"/>
            <w:vAlign w:val="bottom"/>
            <w:gridSpan w:val="16"/>
          </w:tcPr>
          <w:p>
            <w:pPr>
              <w:spacing w:after="0"/>
              <w:rPr>
                <w:sz w:val="15"/>
                <w:szCs w:val="15"/>
                <w:color w:val="auto"/>
              </w:rPr>
            </w:pPr>
          </w:p>
        </w:tc>
        <w:tc>
          <w:tcPr>
            <w:tcW w:w="4500" w:type="dxa"/>
            <w:vAlign w:val="bottom"/>
          </w:tcPr>
          <w:p>
            <w:pPr>
              <w:jc w:val="right"/>
              <w:spacing w:after="0" w:line="182" w:lineRule="exact"/>
              <w:rPr>
                <w:sz w:val="20"/>
                <w:szCs w:val="20"/>
                <w:color w:val="auto"/>
              </w:rPr>
            </w:pPr>
            <w:r>
              <w:rPr>
                <w:rFonts w:ascii="Arial" w:cs="Arial" w:eastAsia="Arial" w:hAnsi="Arial"/>
                <w:sz w:val="18"/>
                <w:szCs w:val="18"/>
                <w:color w:val="auto"/>
              </w:rPr>
              <w:t>27</w:t>
            </w:r>
          </w:p>
        </w:tc>
      </w:tr>
      <w:tr>
        <w:trPr>
          <w:trHeight w:val="183"/>
        </w:trPr>
        <w:tc>
          <w:tcPr>
            <w:tcW w:w="44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6040" w:type="dxa"/>
            <w:vAlign w:val="bottom"/>
            <w:gridSpan w:val="26"/>
          </w:tcPr>
          <w:p>
            <w:pPr>
              <w:spacing w:after="0" w:line="182" w:lineRule="exact"/>
              <w:rPr>
                <w:rFonts w:ascii="Arial" w:cs="Arial" w:eastAsia="Arial" w:hAnsi="Arial"/>
                <w:sz w:val="18"/>
                <w:szCs w:val="18"/>
                <w:color w:val="0000EE"/>
              </w:rPr>
            </w:pPr>
            <w:hyperlink w:anchor="page105">
              <w:r>
                <w:rPr>
                  <w:rFonts w:ascii="Arial" w:cs="Arial" w:eastAsia="Arial" w:hAnsi="Arial"/>
                  <w:sz w:val="18"/>
                  <w:szCs w:val="18"/>
                  <w:color w:val="0000EE"/>
                </w:rPr>
                <w:t>Cable Segment Revenues</w:t>
              </w:r>
            </w:hyperlink>
          </w:p>
        </w:tc>
        <w:tc>
          <w:tcPr>
            <w:tcW w:w="4500" w:type="dxa"/>
            <w:vAlign w:val="bottom"/>
          </w:tcPr>
          <w:p>
            <w:pPr>
              <w:jc w:val="right"/>
              <w:spacing w:after="0" w:line="182" w:lineRule="exact"/>
              <w:rPr>
                <w:sz w:val="20"/>
                <w:szCs w:val="20"/>
                <w:color w:val="auto"/>
              </w:rPr>
            </w:pPr>
            <w:r>
              <w:rPr>
                <w:rFonts w:ascii="Arial" w:cs="Arial" w:eastAsia="Arial" w:hAnsi="Arial"/>
                <w:sz w:val="18"/>
                <w:szCs w:val="18"/>
                <w:color w:val="auto"/>
              </w:rPr>
              <w:t>28</w:t>
            </w:r>
          </w:p>
        </w:tc>
      </w:tr>
      <w:tr>
        <w:trPr>
          <w:trHeight w:val="183"/>
        </w:trPr>
        <w:tc>
          <w:tcPr>
            <w:tcW w:w="44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2040" w:type="dxa"/>
            <w:vAlign w:val="bottom"/>
            <w:tcBorders>
              <w:top w:val="single" w:sz="8" w:color="0000EE"/>
            </w:tcBorders>
            <w:gridSpan w:val="16"/>
          </w:tcPr>
          <w:p>
            <w:pPr>
              <w:spacing w:after="0" w:line="182" w:lineRule="exact"/>
              <w:rPr>
                <w:rFonts w:ascii="Arial" w:cs="Arial" w:eastAsia="Arial" w:hAnsi="Arial"/>
                <w:sz w:val="18"/>
                <w:szCs w:val="18"/>
                <w:color w:val="0000EE"/>
                <w:w w:val="97"/>
              </w:rPr>
            </w:pPr>
            <w:hyperlink w:anchor="page107">
              <w:r>
                <w:rPr>
                  <w:rFonts w:ascii="Arial" w:cs="Arial" w:eastAsia="Arial" w:hAnsi="Arial"/>
                  <w:sz w:val="18"/>
                  <w:szCs w:val="18"/>
                  <w:color w:val="0000EE"/>
                  <w:w w:val="97"/>
                </w:rPr>
                <w:t>Cable Segment Expenses</w:t>
              </w:r>
            </w:hyperlink>
          </w:p>
        </w:tc>
        <w:tc>
          <w:tcPr>
            <w:tcW w:w="4000" w:type="dxa"/>
            <w:vAlign w:val="bottom"/>
            <w:gridSpan w:val="10"/>
          </w:tcPr>
          <w:p>
            <w:pPr>
              <w:spacing w:after="0"/>
              <w:rPr>
                <w:sz w:val="15"/>
                <w:szCs w:val="15"/>
                <w:color w:val="auto"/>
              </w:rPr>
            </w:pPr>
          </w:p>
        </w:tc>
        <w:tc>
          <w:tcPr>
            <w:tcW w:w="4500" w:type="dxa"/>
            <w:vAlign w:val="bottom"/>
          </w:tcPr>
          <w:p>
            <w:pPr>
              <w:jc w:val="right"/>
              <w:spacing w:after="0" w:line="182" w:lineRule="exact"/>
              <w:rPr>
                <w:sz w:val="20"/>
                <w:szCs w:val="20"/>
                <w:color w:val="auto"/>
              </w:rPr>
            </w:pPr>
            <w:r>
              <w:rPr>
                <w:rFonts w:ascii="Arial" w:cs="Arial" w:eastAsia="Arial" w:hAnsi="Arial"/>
                <w:sz w:val="18"/>
                <w:szCs w:val="18"/>
                <w:color w:val="auto"/>
              </w:rPr>
              <w:t>30</w:t>
            </w:r>
          </w:p>
        </w:tc>
      </w:tr>
      <w:tr>
        <w:trPr>
          <w:trHeight w:val="20"/>
        </w:trPr>
        <w:tc>
          <w:tcPr>
            <w:tcW w:w="44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760" w:type="dxa"/>
            <w:vAlign w:val="bottom"/>
            <w:shd w:val="clear" w:color="auto" w:fill="0000EE"/>
          </w:tcPr>
          <w:p>
            <w:pPr>
              <w:spacing w:after="0" w:line="20" w:lineRule="exact"/>
              <w:rPr>
                <w:sz w:val="1"/>
                <w:szCs w:val="1"/>
                <w:color w:val="auto"/>
              </w:rPr>
            </w:pPr>
          </w:p>
        </w:tc>
        <w:tc>
          <w:tcPr>
            <w:tcW w:w="160" w:type="dxa"/>
            <w:vAlign w:val="bottom"/>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280" w:type="dxa"/>
            <w:vAlign w:val="bottom"/>
            <w:gridSpan w:val="3"/>
            <w:shd w:val="clear" w:color="auto" w:fill="0000EE"/>
          </w:tcPr>
          <w:p>
            <w:pPr>
              <w:spacing w:after="0" w:line="20" w:lineRule="exact"/>
              <w:rPr>
                <w:sz w:val="1"/>
                <w:szCs w:val="1"/>
                <w:color w:val="auto"/>
              </w:rPr>
            </w:pPr>
          </w:p>
        </w:tc>
        <w:tc>
          <w:tcPr>
            <w:tcW w:w="180" w:type="dxa"/>
            <w:vAlign w:val="bottom"/>
            <w:shd w:val="clear" w:color="auto" w:fill="0000EE"/>
          </w:tcPr>
          <w:p>
            <w:pPr>
              <w:spacing w:after="0" w:line="20" w:lineRule="exact"/>
              <w:rPr>
                <w:sz w:val="1"/>
                <w:szCs w:val="1"/>
                <w:color w:val="auto"/>
              </w:rPr>
            </w:pPr>
          </w:p>
        </w:tc>
        <w:tc>
          <w:tcPr>
            <w:tcW w:w="80" w:type="dxa"/>
            <w:vAlign w:val="bottom"/>
            <w:gridSpan w:val="2"/>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100" w:type="dxa"/>
            <w:vAlign w:val="bottom"/>
            <w:gridSpan w:val="2"/>
            <w:shd w:val="clear" w:color="auto" w:fill="0000EE"/>
          </w:tcPr>
          <w:p>
            <w:pPr>
              <w:spacing w:after="0" w:line="20" w:lineRule="exact"/>
              <w:rPr>
                <w:sz w:val="1"/>
                <w:szCs w:val="1"/>
                <w:color w:val="auto"/>
              </w:rPr>
            </w:pPr>
          </w:p>
        </w:tc>
        <w:tc>
          <w:tcPr>
            <w:tcW w:w="300" w:type="dxa"/>
            <w:vAlign w:val="bottom"/>
            <w:shd w:val="clear" w:color="auto" w:fill="0000EE"/>
          </w:tcPr>
          <w:p>
            <w:pPr>
              <w:spacing w:after="0" w:line="20" w:lineRule="exact"/>
              <w:rPr>
                <w:sz w:val="1"/>
                <w:szCs w:val="1"/>
                <w:color w:val="auto"/>
              </w:rPr>
            </w:pPr>
          </w:p>
        </w:tc>
        <w:tc>
          <w:tcPr>
            <w:tcW w:w="80" w:type="dxa"/>
            <w:vAlign w:val="bottom"/>
            <w:gridSpan w:val="2"/>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2420" w:type="dxa"/>
            <w:vAlign w:val="bottom"/>
          </w:tcPr>
          <w:p>
            <w:pPr>
              <w:spacing w:after="0" w:line="20" w:lineRule="exact"/>
              <w:rPr>
                <w:sz w:val="1"/>
                <w:szCs w:val="1"/>
                <w:color w:val="auto"/>
              </w:rPr>
            </w:pPr>
          </w:p>
        </w:tc>
        <w:tc>
          <w:tcPr>
            <w:tcW w:w="4500" w:type="dxa"/>
            <w:vAlign w:val="bottom"/>
          </w:tcPr>
          <w:p>
            <w:pPr>
              <w:spacing w:after="0" w:line="20" w:lineRule="exact"/>
              <w:rPr>
                <w:sz w:val="1"/>
                <w:szCs w:val="1"/>
                <w:color w:val="auto"/>
              </w:rPr>
            </w:pPr>
          </w:p>
        </w:tc>
      </w:tr>
      <w:tr>
        <w:trPr>
          <w:trHeight w:val="183"/>
        </w:trPr>
        <w:tc>
          <w:tcPr>
            <w:tcW w:w="440" w:type="dxa"/>
            <w:vAlign w:val="bottom"/>
          </w:tcPr>
          <w:p>
            <w:pPr>
              <w:spacing w:after="0"/>
              <w:rPr>
                <w:sz w:val="15"/>
                <w:szCs w:val="15"/>
                <w:color w:val="auto"/>
              </w:rPr>
            </w:pPr>
          </w:p>
        </w:tc>
        <w:tc>
          <w:tcPr>
            <w:tcW w:w="6480" w:type="dxa"/>
            <w:vAlign w:val="bottom"/>
            <w:gridSpan w:val="27"/>
          </w:tcPr>
          <w:p>
            <w:pPr>
              <w:spacing w:after="0" w:line="182" w:lineRule="exact"/>
              <w:rPr>
                <w:rFonts w:ascii="Arial" w:cs="Arial" w:eastAsia="Arial" w:hAnsi="Arial"/>
                <w:sz w:val="18"/>
                <w:szCs w:val="18"/>
                <w:color w:val="0000EE"/>
              </w:rPr>
            </w:pPr>
            <w:hyperlink w:anchor="page108">
              <w:r>
                <w:rPr>
                  <w:rFonts w:ascii="Arial" w:cs="Arial" w:eastAsia="Arial" w:hAnsi="Arial"/>
                  <w:sz w:val="18"/>
                  <w:szCs w:val="18"/>
                  <w:color w:val="0000EE"/>
                </w:rPr>
                <w:t>Programming Segment Overview</w:t>
              </w:r>
            </w:hyperlink>
          </w:p>
        </w:tc>
        <w:tc>
          <w:tcPr>
            <w:tcW w:w="4500" w:type="dxa"/>
            <w:vAlign w:val="bottom"/>
          </w:tcPr>
          <w:p>
            <w:pPr>
              <w:jc w:val="right"/>
              <w:spacing w:after="0" w:line="182" w:lineRule="exact"/>
              <w:rPr>
                <w:sz w:val="20"/>
                <w:szCs w:val="20"/>
                <w:color w:val="auto"/>
              </w:rPr>
            </w:pPr>
            <w:r>
              <w:rPr>
                <w:rFonts w:ascii="Arial" w:cs="Arial" w:eastAsia="Arial" w:hAnsi="Arial"/>
                <w:sz w:val="18"/>
                <w:szCs w:val="18"/>
                <w:color w:val="auto"/>
              </w:rPr>
              <w:t>31</w:t>
            </w:r>
          </w:p>
        </w:tc>
      </w:tr>
      <w:tr>
        <w:trPr>
          <w:trHeight w:val="20"/>
        </w:trPr>
        <w:tc>
          <w:tcPr>
            <w:tcW w:w="440" w:type="dxa"/>
            <w:vAlign w:val="bottom"/>
          </w:tcPr>
          <w:p>
            <w:pPr>
              <w:spacing w:after="0" w:line="20" w:lineRule="exact"/>
              <w:rPr>
                <w:sz w:val="1"/>
                <w:szCs w:val="1"/>
                <w:color w:val="auto"/>
              </w:rPr>
            </w:pPr>
          </w:p>
        </w:tc>
        <w:tc>
          <w:tcPr>
            <w:tcW w:w="1200" w:type="dxa"/>
            <w:vAlign w:val="bottom"/>
            <w:gridSpan w:val="2"/>
            <w:shd w:val="clear" w:color="auto" w:fill="0000EE"/>
          </w:tcPr>
          <w:p>
            <w:pPr>
              <w:spacing w:after="0" w:line="20" w:lineRule="exact"/>
              <w:rPr>
                <w:sz w:val="1"/>
                <w:szCs w:val="1"/>
                <w:color w:val="auto"/>
              </w:rPr>
            </w:pPr>
          </w:p>
        </w:tc>
        <w:tc>
          <w:tcPr>
            <w:tcW w:w="160" w:type="dxa"/>
            <w:vAlign w:val="bottom"/>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280" w:type="dxa"/>
            <w:vAlign w:val="bottom"/>
            <w:gridSpan w:val="3"/>
            <w:shd w:val="clear" w:color="auto" w:fill="0000EE"/>
          </w:tcPr>
          <w:p>
            <w:pPr>
              <w:spacing w:after="0" w:line="20" w:lineRule="exact"/>
              <w:rPr>
                <w:sz w:val="1"/>
                <w:szCs w:val="1"/>
                <w:color w:val="auto"/>
              </w:rPr>
            </w:pPr>
          </w:p>
        </w:tc>
        <w:tc>
          <w:tcPr>
            <w:tcW w:w="180" w:type="dxa"/>
            <w:vAlign w:val="bottom"/>
            <w:shd w:val="clear" w:color="auto" w:fill="0000EE"/>
          </w:tcPr>
          <w:p>
            <w:pPr>
              <w:spacing w:after="0" w:line="20" w:lineRule="exact"/>
              <w:rPr>
                <w:sz w:val="1"/>
                <w:szCs w:val="1"/>
                <w:color w:val="auto"/>
              </w:rPr>
            </w:pPr>
          </w:p>
        </w:tc>
        <w:tc>
          <w:tcPr>
            <w:tcW w:w="80" w:type="dxa"/>
            <w:vAlign w:val="bottom"/>
            <w:gridSpan w:val="2"/>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100" w:type="dxa"/>
            <w:vAlign w:val="bottom"/>
            <w:gridSpan w:val="2"/>
            <w:shd w:val="clear" w:color="auto" w:fill="0000EE"/>
          </w:tcPr>
          <w:p>
            <w:pPr>
              <w:spacing w:after="0" w:line="20" w:lineRule="exact"/>
              <w:rPr>
                <w:sz w:val="1"/>
                <w:szCs w:val="1"/>
                <w:color w:val="auto"/>
              </w:rPr>
            </w:pPr>
          </w:p>
        </w:tc>
        <w:tc>
          <w:tcPr>
            <w:tcW w:w="380" w:type="dxa"/>
            <w:vAlign w:val="bottom"/>
            <w:gridSpan w:val="3"/>
            <w:shd w:val="clear" w:color="auto" w:fill="0000EE"/>
          </w:tcPr>
          <w:p>
            <w:pPr>
              <w:spacing w:after="0" w:line="20" w:lineRule="exact"/>
              <w:rPr>
                <w:sz w:val="1"/>
                <w:szCs w:val="1"/>
                <w:color w:val="auto"/>
              </w:rPr>
            </w:pPr>
          </w:p>
        </w:tc>
        <w:tc>
          <w:tcPr>
            <w:tcW w:w="60" w:type="dxa"/>
            <w:vAlign w:val="bottom"/>
            <w:tcBorders>
              <w:left w:val="single" w:sz="8" w:color="0000EE"/>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2420" w:type="dxa"/>
            <w:vAlign w:val="bottom"/>
          </w:tcPr>
          <w:p>
            <w:pPr>
              <w:spacing w:after="0" w:line="20" w:lineRule="exact"/>
              <w:rPr>
                <w:sz w:val="1"/>
                <w:szCs w:val="1"/>
                <w:color w:val="auto"/>
              </w:rPr>
            </w:pPr>
          </w:p>
        </w:tc>
        <w:tc>
          <w:tcPr>
            <w:tcW w:w="4500" w:type="dxa"/>
            <w:vAlign w:val="bottom"/>
          </w:tcPr>
          <w:p>
            <w:pPr>
              <w:spacing w:after="0" w:line="20" w:lineRule="exact"/>
              <w:rPr>
                <w:sz w:val="1"/>
                <w:szCs w:val="1"/>
                <w:color w:val="auto"/>
              </w:rPr>
            </w:pPr>
          </w:p>
        </w:tc>
      </w:tr>
      <w:tr>
        <w:trPr>
          <w:trHeight w:val="183"/>
        </w:trPr>
        <w:tc>
          <w:tcPr>
            <w:tcW w:w="3480" w:type="dxa"/>
            <w:vAlign w:val="bottom"/>
            <w:tcBorders>
              <w:bottom w:val="single" w:sz="8" w:color="0000EE"/>
            </w:tcBorders>
            <w:gridSpan w:val="24"/>
          </w:tcPr>
          <w:p>
            <w:pPr>
              <w:spacing w:after="0" w:line="182" w:lineRule="exact"/>
              <w:rPr>
                <w:rFonts w:ascii="Arial" w:cs="Arial" w:eastAsia="Arial" w:hAnsi="Arial"/>
                <w:sz w:val="18"/>
                <w:szCs w:val="18"/>
                <w:color w:val="0000EE"/>
                <w:w w:val="97"/>
              </w:rPr>
            </w:pPr>
            <w:hyperlink w:anchor="page108">
              <w:r>
                <w:rPr>
                  <w:rFonts w:ascii="Arial" w:cs="Arial" w:eastAsia="Arial" w:hAnsi="Arial"/>
                  <w:sz w:val="18"/>
                  <w:szCs w:val="18"/>
                  <w:color w:val="0000EE"/>
                  <w:w w:val="97"/>
                </w:rPr>
                <w:t>Consolidated Other Income (Expense) Items</w:t>
              </w:r>
            </w:hyperlink>
          </w:p>
        </w:tc>
        <w:tc>
          <w:tcPr>
            <w:tcW w:w="3440" w:type="dxa"/>
            <w:vAlign w:val="bottom"/>
            <w:gridSpan w:val="4"/>
          </w:tcPr>
          <w:p>
            <w:pPr>
              <w:spacing w:after="0"/>
              <w:rPr>
                <w:sz w:val="15"/>
                <w:szCs w:val="15"/>
                <w:color w:val="auto"/>
              </w:rPr>
            </w:pPr>
          </w:p>
        </w:tc>
        <w:tc>
          <w:tcPr>
            <w:tcW w:w="4500" w:type="dxa"/>
            <w:vAlign w:val="bottom"/>
          </w:tcPr>
          <w:p>
            <w:pPr>
              <w:jc w:val="right"/>
              <w:spacing w:after="0" w:line="182" w:lineRule="exact"/>
              <w:rPr>
                <w:sz w:val="20"/>
                <w:szCs w:val="20"/>
                <w:color w:val="auto"/>
              </w:rPr>
            </w:pPr>
            <w:r>
              <w:rPr>
                <w:rFonts w:ascii="Arial" w:cs="Arial" w:eastAsia="Arial" w:hAnsi="Arial"/>
                <w:sz w:val="18"/>
                <w:szCs w:val="18"/>
                <w:color w:val="auto"/>
              </w:rPr>
              <w:t>31</w:t>
            </w:r>
          </w:p>
        </w:tc>
      </w:tr>
      <w:tr>
        <w:trPr>
          <w:trHeight w:val="183"/>
        </w:trPr>
        <w:tc>
          <w:tcPr>
            <w:tcW w:w="1640" w:type="dxa"/>
            <w:vAlign w:val="bottom"/>
            <w:tcBorders>
              <w:bottom w:val="single" w:sz="8" w:color="0000EE"/>
            </w:tcBorders>
            <w:gridSpan w:val="3"/>
          </w:tcPr>
          <w:p>
            <w:pPr>
              <w:spacing w:after="0" w:line="182" w:lineRule="exact"/>
              <w:rPr>
                <w:rFonts w:ascii="Arial" w:cs="Arial" w:eastAsia="Arial" w:hAnsi="Arial"/>
                <w:sz w:val="18"/>
                <w:szCs w:val="18"/>
                <w:color w:val="0000EE"/>
                <w:w w:val="95"/>
              </w:rPr>
            </w:pPr>
            <w:hyperlink w:anchor="page109">
              <w:r>
                <w:rPr>
                  <w:rFonts w:ascii="Arial" w:cs="Arial" w:eastAsia="Arial" w:hAnsi="Arial"/>
                  <w:sz w:val="18"/>
                  <w:szCs w:val="18"/>
                  <w:color w:val="0000EE"/>
                  <w:w w:val="95"/>
                </w:rPr>
                <w:t>Income Tax Expense</w:t>
              </w:r>
            </w:hyperlink>
          </w:p>
        </w:tc>
        <w:tc>
          <w:tcPr>
            <w:tcW w:w="5280" w:type="dxa"/>
            <w:vAlign w:val="bottom"/>
            <w:gridSpan w:val="25"/>
          </w:tcPr>
          <w:p>
            <w:pPr>
              <w:spacing w:after="0"/>
              <w:rPr>
                <w:sz w:val="15"/>
                <w:szCs w:val="15"/>
                <w:color w:val="auto"/>
              </w:rPr>
            </w:pPr>
          </w:p>
        </w:tc>
        <w:tc>
          <w:tcPr>
            <w:tcW w:w="4500" w:type="dxa"/>
            <w:vAlign w:val="bottom"/>
          </w:tcPr>
          <w:p>
            <w:pPr>
              <w:jc w:val="right"/>
              <w:spacing w:after="0" w:line="182" w:lineRule="exact"/>
              <w:rPr>
                <w:sz w:val="20"/>
                <w:szCs w:val="20"/>
                <w:color w:val="auto"/>
              </w:rPr>
            </w:pPr>
            <w:r>
              <w:rPr>
                <w:rFonts w:ascii="Arial" w:cs="Arial" w:eastAsia="Arial" w:hAnsi="Arial"/>
                <w:sz w:val="18"/>
                <w:szCs w:val="18"/>
                <w:color w:val="auto"/>
              </w:rPr>
              <w:t>32</w:t>
            </w:r>
          </w:p>
        </w:tc>
      </w:tr>
      <w:tr>
        <w:trPr>
          <w:trHeight w:val="183"/>
        </w:trPr>
        <w:tc>
          <w:tcPr>
            <w:tcW w:w="1940" w:type="dxa"/>
            <w:vAlign w:val="bottom"/>
            <w:tcBorders>
              <w:bottom w:val="single" w:sz="8" w:color="0000EE"/>
            </w:tcBorders>
            <w:gridSpan w:val="7"/>
          </w:tcPr>
          <w:p>
            <w:pPr>
              <w:spacing w:after="0" w:line="182" w:lineRule="exact"/>
              <w:rPr>
                <w:rFonts w:ascii="Arial" w:cs="Arial" w:eastAsia="Arial" w:hAnsi="Arial"/>
                <w:sz w:val="18"/>
                <w:szCs w:val="18"/>
                <w:color w:val="0000EE"/>
                <w:w w:val="97"/>
              </w:rPr>
            </w:pPr>
            <w:hyperlink w:anchor="page109">
              <w:r>
                <w:rPr>
                  <w:rFonts w:ascii="Arial" w:cs="Arial" w:eastAsia="Arial" w:hAnsi="Arial"/>
                  <w:sz w:val="18"/>
                  <w:szCs w:val="18"/>
                  <w:color w:val="0000EE"/>
                  <w:w w:val="97"/>
                </w:rPr>
                <w:t>Discontinued Operations</w:t>
              </w:r>
            </w:hyperlink>
          </w:p>
        </w:tc>
        <w:tc>
          <w:tcPr>
            <w:tcW w:w="4980" w:type="dxa"/>
            <w:vAlign w:val="bottom"/>
            <w:gridSpan w:val="21"/>
          </w:tcPr>
          <w:p>
            <w:pPr>
              <w:spacing w:after="0"/>
              <w:rPr>
                <w:sz w:val="15"/>
                <w:szCs w:val="15"/>
                <w:color w:val="auto"/>
              </w:rPr>
            </w:pPr>
          </w:p>
        </w:tc>
        <w:tc>
          <w:tcPr>
            <w:tcW w:w="4500" w:type="dxa"/>
            <w:vAlign w:val="bottom"/>
          </w:tcPr>
          <w:p>
            <w:pPr>
              <w:jc w:val="right"/>
              <w:spacing w:after="0" w:line="182" w:lineRule="exact"/>
              <w:rPr>
                <w:sz w:val="20"/>
                <w:szCs w:val="20"/>
                <w:color w:val="auto"/>
              </w:rPr>
            </w:pPr>
            <w:r>
              <w:rPr>
                <w:rFonts w:ascii="Arial" w:cs="Arial" w:eastAsia="Arial" w:hAnsi="Arial"/>
                <w:sz w:val="18"/>
                <w:szCs w:val="18"/>
                <w:color w:val="auto"/>
              </w:rPr>
              <w:t>32</w:t>
            </w:r>
          </w:p>
        </w:tc>
      </w:tr>
      <w:tr>
        <w:trPr>
          <w:trHeight w:val="183"/>
        </w:trPr>
        <w:tc>
          <w:tcPr>
            <w:tcW w:w="2500" w:type="dxa"/>
            <w:vAlign w:val="bottom"/>
            <w:tcBorders>
              <w:bottom w:val="single" w:sz="8" w:color="0000EE"/>
            </w:tcBorders>
            <w:gridSpan w:val="14"/>
          </w:tcPr>
          <w:p>
            <w:pPr>
              <w:spacing w:after="0" w:line="182" w:lineRule="exact"/>
              <w:rPr>
                <w:rFonts w:ascii="Arial" w:cs="Arial" w:eastAsia="Arial" w:hAnsi="Arial"/>
                <w:sz w:val="18"/>
                <w:szCs w:val="18"/>
                <w:color w:val="0000EE"/>
                <w:w w:val="97"/>
              </w:rPr>
            </w:pPr>
            <w:hyperlink w:anchor="page109">
              <w:r>
                <w:rPr>
                  <w:rFonts w:ascii="Arial" w:cs="Arial" w:eastAsia="Arial" w:hAnsi="Arial"/>
                  <w:sz w:val="18"/>
                  <w:szCs w:val="18"/>
                  <w:color w:val="0000EE"/>
                  <w:w w:val="97"/>
                </w:rPr>
                <w:t>Liquidity and Capital Resources</w:t>
              </w:r>
            </w:hyperlink>
          </w:p>
        </w:tc>
        <w:tc>
          <w:tcPr>
            <w:tcW w:w="4420" w:type="dxa"/>
            <w:vAlign w:val="bottom"/>
            <w:gridSpan w:val="14"/>
          </w:tcPr>
          <w:p>
            <w:pPr>
              <w:spacing w:after="0"/>
              <w:rPr>
                <w:sz w:val="15"/>
                <w:szCs w:val="15"/>
                <w:color w:val="auto"/>
              </w:rPr>
            </w:pPr>
          </w:p>
        </w:tc>
        <w:tc>
          <w:tcPr>
            <w:tcW w:w="4500" w:type="dxa"/>
            <w:vAlign w:val="bottom"/>
          </w:tcPr>
          <w:p>
            <w:pPr>
              <w:jc w:val="right"/>
              <w:spacing w:after="0" w:line="182" w:lineRule="exact"/>
              <w:rPr>
                <w:sz w:val="20"/>
                <w:szCs w:val="20"/>
                <w:color w:val="auto"/>
              </w:rPr>
            </w:pPr>
            <w:r>
              <w:rPr>
                <w:rFonts w:ascii="Arial" w:cs="Arial" w:eastAsia="Arial" w:hAnsi="Arial"/>
                <w:sz w:val="18"/>
                <w:szCs w:val="18"/>
                <w:color w:val="auto"/>
              </w:rPr>
              <w:t>32</w:t>
            </w:r>
          </w:p>
        </w:tc>
      </w:tr>
      <w:tr>
        <w:trPr>
          <w:trHeight w:val="183"/>
        </w:trPr>
        <w:tc>
          <w:tcPr>
            <w:tcW w:w="2480" w:type="dxa"/>
            <w:vAlign w:val="bottom"/>
            <w:tcBorders>
              <w:bottom w:val="single" w:sz="8" w:color="0000EE"/>
            </w:tcBorders>
            <w:gridSpan w:val="13"/>
          </w:tcPr>
          <w:p>
            <w:pPr>
              <w:spacing w:after="0" w:line="182" w:lineRule="exact"/>
              <w:rPr>
                <w:rFonts w:ascii="Arial" w:cs="Arial" w:eastAsia="Arial" w:hAnsi="Arial"/>
                <w:sz w:val="18"/>
                <w:szCs w:val="18"/>
                <w:color w:val="0000EE"/>
                <w:w w:val="97"/>
              </w:rPr>
            </w:pPr>
            <w:hyperlink w:anchor="page111">
              <w:r>
                <w:rPr>
                  <w:rFonts w:ascii="Arial" w:cs="Arial" w:eastAsia="Arial" w:hAnsi="Arial"/>
                  <w:sz w:val="18"/>
                  <w:szCs w:val="18"/>
                  <w:color w:val="0000EE"/>
                  <w:w w:val="97"/>
                </w:rPr>
                <w:t>Interest Rate Risk Management</w:t>
              </w:r>
            </w:hyperlink>
          </w:p>
        </w:tc>
        <w:tc>
          <w:tcPr>
            <w:tcW w:w="4440" w:type="dxa"/>
            <w:vAlign w:val="bottom"/>
            <w:gridSpan w:val="15"/>
          </w:tcPr>
          <w:p>
            <w:pPr>
              <w:spacing w:after="0"/>
              <w:rPr>
                <w:sz w:val="15"/>
                <w:szCs w:val="15"/>
                <w:color w:val="auto"/>
              </w:rPr>
            </w:pPr>
          </w:p>
        </w:tc>
        <w:tc>
          <w:tcPr>
            <w:tcW w:w="4500" w:type="dxa"/>
            <w:vAlign w:val="bottom"/>
          </w:tcPr>
          <w:p>
            <w:pPr>
              <w:jc w:val="right"/>
              <w:spacing w:after="0" w:line="182" w:lineRule="exact"/>
              <w:rPr>
                <w:sz w:val="20"/>
                <w:szCs w:val="20"/>
                <w:color w:val="auto"/>
              </w:rPr>
            </w:pPr>
            <w:r>
              <w:rPr>
                <w:rFonts w:ascii="Arial" w:cs="Arial" w:eastAsia="Arial" w:hAnsi="Arial"/>
                <w:sz w:val="18"/>
                <w:szCs w:val="18"/>
                <w:color w:val="auto"/>
              </w:rPr>
              <w:t>34</w:t>
            </w:r>
          </w:p>
        </w:tc>
      </w:tr>
      <w:tr>
        <w:trPr>
          <w:trHeight w:val="183"/>
        </w:trPr>
        <w:tc>
          <w:tcPr>
            <w:tcW w:w="6920" w:type="dxa"/>
            <w:vAlign w:val="bottom"/>
            <w:gridSpan w:val="28"/>
          </w:tcPr>
          <w:p>
            <w:pPr>
              <w:spacing w:after="0" w:line="182" w:lineRule="exact"/>
              <w:rPr>
                <w:rFonts w:ascii="Arial" w:cs="Arial" w:eastAsia="Arial" w:hAnsi="Arial"/>
                <w:sz w:val="18"/>
                <w:szCs w:val="18"/>
                <w:color w:val="0000EE"/>
              </w:rPr>
            </w:pPr>
            <w:hyperlink w:anchor="page111">
              <w:r>
                <w:rPr>
                  <w:rFonts w:ascii="Arial" w:cs="Arial" w:eastAsia="Arial" w:hAnsi="Arial"/>
                  <w:sz w:val="18"/>
                  <w:szCs w:val="18"/>
                  <w:color w:val="0000EE"/>
                </w:rPr>
                <w:t>Equity Price Risk Management</w:t>
              </w:r>
            </w:hyperlink>
          </w:p>
        </w:tc>
        <w:tc>
          <w:tcPr>
            <w:tcW w:w="4500" w:type="dxa"/>
            <w:vAlign w:val="bottom"/>
          </w:tcPr>
          <w:p>
            <w:pPr>
              <w:jc w:val="right"/>
              <w:spacing w:after="0" w:line="182" w:lineRule="exact"/>
              <w:rPr>
                <w:sz w:val="20"/>
                <w:szCs w:val="20"/>
                <w:color w:val="auto"/>
              </w:rPr>
            </w:pPr>
            <w:r>
              <w:rPr>
                <w:rFonts w:ascii="Arial" w:cs="Arial" w:eastAsia="Arial" w:hAnsi="Arial"/>
                <w:sz w:val="18"/>
                <w:szCs w:val="18"/>
                <w:color w:val="auto"/>
              </w:rPr>
              <w:t>34</w:t>
            </w:r>
          </w:p>
        </w:tc>
      </w:tr>
      <w:tr>
        <w:trPr>
          <w:trHeight w:val="183"/>
        </w:trPr>
        <w:tc>
          <w:tcPr>
            <w:tcW w:w="1840" w:type="dxa"/>
            <w:vAlign w:val="bottom"/>
            <w:tcBorders>
              <w:top w:val="single" w:sz="8" w:color="0000EE"/>
              <w:bottom w:val="single" w:sz="8" w:color="0000EE"/>
            </w:tcBorders>
            <w:gridSpan w:val="5"/>
          </w:tcPr>
          <w:p>
            <w:pPr>
              <w:spacing w:after="0" w:line="182" w:lineRule="exact"/>
              <w:rPr>
                <w:rFonts w:ascii="Arial" w:cs="Arial" w:eastAsia="Arial" w:hAnsi="Arial"/>
                <w:sz w:val="18"/>
                <w:szCs w:val="18"/>
                <w:color w:val="0000EE"/>
                <w:w w:val="97"/>
              </w:rPr>
            </w:pPr>
            <w:hyperlink w:anchor="page112">
              <w:r>
                <w:rPr>
                  <w:rFonts w:ascii="Arial" w:cs="Arial" w:eastAsia="Arial" w:hAnsi="Arial"/>
                  <w:sz w:val="18"/>
                  <w:szCs w:val="18"/>
                  <w:color w:val="0000EE"/>
                  <w:w w:val="97"/>
                </w:rPr>
                <w:t>Contractual Obligations</w:t>
              </w:r>
            </w:hyperlink>
          </w:p>
        </w:tc>
        <w:tc>
          <w:tcPr>
            <w:tcW w:w="560" w:type="dxa"/>
            <w:vAlign w:val="bottom"/>
            <w:tcBorders>
              <w:top w:val="single" w:sz="8" w:color="0000EE"/>
            </w:tcBorders>
            <w:gridSpan w:val="6"/>
          </w:tcPr>
          <w:p>
            <w:pPr>
              <w:spacing w:after="0"/>
              <w:rPr>
                <w:sz w:val="15"/>
                <w:szCs w:val="15"/>
                <w:color w:val="auto"/>
              </w:rPr>
            </w:pPr>
          </w:p>
        </w:tc>
        <w:tc>
          <w:tcPr>
            <w:tcW w:w="4520" w:type="dxa"/>
            <w:vAlign w:val="bottom"/>
            <w:gridSpan w:val="17"/>
          </w:tcPr>
          <w:p>
            <w:pPr>
              <w:spacing w:after="0"/>
              <w:rPr>
                <w:sz w:val="15"/>
                <w:szCs w:val="15"/>
                <w:color w:val="auto"/>
              </w:rPr>
            </w:pPr>
          </w:p>
        </w:tc>
        <w:tc>
          <w:tcPr>
            <w:tcW w:w="4500" w:type="dxa"/>
            <w:vAlign w:val="bottom"/>
          </w:tcPr>
          <w:p>
            <w:pPr>
              <w:jc w:val="right"/>
              <w:spacing w:after="0" w:line="182" w:lineRule="exact"/>
              <w:rPr>
                <w:sz w:val="20"/>
                <w:szCs w:val="20"/>
                <w:color w:val="auto"/>
              </w:rPr>
            </w:pPr>
            <w:r>
              <w:rPr>
                <w:rFonts w:ascii="Arial" w:cs="Arial" w:eastAsia="Arial" w:hAnsi="Arial"/>
                <w:sz w:val="18"/>
                <w:szCs w:val="18"/>
                <w:color w:val="auto"/>
              </w:rPr>
              <w:t>35</w:t>
            </w:r>
          </w:p>
        </w:tc>
      </w:tr>
      <w:tr>
        <w:trPr>
          <w:trHeight w:val="183"/>
        </w:trPr>
        <w:tc>
          <w:tcPr>
            <w:tcW w:w="2600" w:type="dxa"/>
            <w:vAlign w:val="bottom"/>
            <w:tcBorders>
              <w:bottom w:val="single" w:sz="8" w:color="0000EE"/>
            </w:tcBorders>
            <w:gridSpan w:val="16"/>
          </w:tcPr>
          <w:p>
            <w:pPr>
              <w:spacing w:after="0" w:line="182" w:lineRule="exact"/>
              <w:rPr>
                <w:rFonts w:ascii="Arial" w:cs="Arial" w:eastAsia="Arial" w:hAnsi="Arial"/>
                <w:sz w:val="18"/>
                <w:szCs w:val="18"/>
                <w:color w:val="0000EE"/>
                <w:w w:val="97"/>
              </w:rPr>
            </w:pPr>
            <w:hyperlink w:anchor="page112">
              <w:r>
                <w:rPr>
                  <w:rFonts w:ascii="Arial" w:cs="Arial" w:eastAsia="Arial" w:hAnsi="Arial"/>
                  <w:sz w:val="18"/>
                  <w:szCs w:val="18"/>
                  <w:color w:val="0000EE"/>
                  <w:w w:val="97"/>
                </w:rPr>
                <w:t>Off-Balance Sheet Arrangements</w:t>
              </w:r>
            </w:hyperlink>
          </w:p>
        </w:tc>
        <w:tc>
          <w:tcPr>
            <w:tcW w:w="4320" w:type="dxa"/>
            <w:vAlign w:val="bottom"/>
            <w:gridSpan w:val="12"/>
          </w:tcPr>
          <w:p>
            <w:pPr>
              <w:spacing w:after="0"/>
              <w:rPr>
                <w:sz w:val="15"/>
                <w:szCs w:val="15"/>
                <w:color w:val="auto"/>
              </w:rPr>
            </w:pPr>
          </w:p>
        </w:tc>
        <w:tc>
          <w:tcPr>
            <w:tcW w:w="4500" w:type="dxa"/>
            <w:vAlign w:val="bottom"/>
          </w:tcPr>
          <w:p>
            <w:pPr>
              <w:jc w:val="right"/>
              <w:spacing w:after="0" w:line="182" w:lineRule="exact"/>
              <w:rPr>
                <w:sz w:val="20"/>
                <w:szCs w:val="20"/>
                <w:color w:val="auto"/>
              </w:rPr>
            </w:pPr>
            <w:r>
              <w:rPr>
                <w:rFonts w:ascii="Arial" w:cs="Arial" w:eastAsia="Arial" w:hAnsi="Arial"/>
                <w:sz w:val="18"/>
                <w:szCs w:val="18"/>
                <w:color w:val="auto"/>
              </w:rPr>
              <w:t>35</w:t>
            </w:r>
          </w:p>
        </w:tc>
      </w:tr>
      <w:tr>
        <w:trPr>
          <w:trHeight w:val="183"/>
        </w:trPr>
        <w:tc>
          <w:tcPr>
            <w:tcW w:w="3540" w:type="dxa"/>
            <w:vAlign w:val="bottom"/>
            <w:tcBorders>
              <w:bottom w:val="single" w:sz="8" w:color="0000EE"/>
            </w:tcBorders>
            <w:gridSpan w:val="25"/>
          </w:tcPr>
          <w:p>
            <w:pPr>
              <w:spacing w:after="0" w:line="182" w:lineRule="exact"/>
              <w:rPr>
                <w:rFonts w:ascii="Arial" w:cs="Arial" w:eastAsia="Arial" w:hAnsi="Arial"/>
                <w:sz w:val="18"/>
                <w:szCs w:val="18"/>
                <w:color w:val="0000EE"/>
                <w:w w:val="97"/>
              </w:rPr>
            </w:pPr>
            <w:hyperlink w:anchor="page112">
              <w:r>
                <w:rPr>
                  <w:rFonts w:ascii="Arial" w:cs="Arial" w:eastAsia="Arial" w:hAnsi="Arial"/>
                  <w:sz w:val="18"/>
                  <w:szCs w:val="18"/>
                  <w:color w:val="0000EE"/>
                  <w:w w:val="97"/>
                </w:rPr>
                <w:t>Critical Accounting Judgments and Estimates</w:t>
              </w:r>
            </w:hyperlink>
          </w:p>
        </w:tc>
        <w:tc>
          <w:tcPr>
            <w:tcW w:w="3380" w:type="dxa"/>
            <w:vAlign w:val="bottom"/>
            <w:gridSpan w:val="3"/>
          </w:tcPr>
          <w:p>
            <w:pPr>
              <w:spacing w:after="0"/>
              <w:rPr>
                <w:sz w:val="15"/>
                <w:szCs w:val="15"/>
                <w:color w:val="auto"/>
              </w:rPr>
            </w:pPr>
          </w:p>
        </w:tc>
        <w:tc>
          <w:tcPr>
            <w:tcW w:w="4500" w:type="dxa"/>
            <w:vAlign w:val="bottom"/>
          </w:tcPr>
          <w:p>
            <w:pPr>
              <w:jc w:val="right"/>
              <w:spacing w:after="0" w:line="182" w:lineRule="exact"/>
              <w:rPr>
                <w:sz w:val="20"/>
                <w:szCs w:val="20"/>
                <w:color w:val="auto"/>
              </w:rPr>
            </w:pPr>
            <w:r>
              <w:rPr>
                <w:rFonts w:ascii="Arial" w:cs="Arial" w:eastAsia="Arial" w:hAnsi="Arial"/>
                <w:sz w:val="18"/>
                <w:szCs w:val="18"/>
                <w:color w:val="auto"/>
              </w:rPr>
              <w:t>35</w:t>
            </w:r>
          </w:p>
        </w:tc>
      </w:tr>
      <w:tr>
        <w:trPr>
          <w:trHeight w:val="183"/>
        </w:trPr>
        <w:tc>
          <w:tcPr>
            <w:tcW w:w="6920" w:type="dxa"/>
            <w:vAlign w:val="bottom"/>
            <w:gridSpan w:val="28"/>
          </w:tcPr>
          <w:p>
            <w:pPr>
              <w:spacing w:after="0" w:line="182" w:lineRule="exact"/>
              <w:rPr>
                <w:rFonts w:ascii="Arial" w:cs="Arial" w:eastAsia="Arial" w:hAnsi="Arial"/>
                <w:sz w:val="18"/>
                <w:szCs w:val="18"/>
                <w:color w:val="0000EE"/>
              </w:rPr>
            </w:pPr>
            <w:hyperlink w:anchor="page114">
              <w:r>
                <w:rPr>
                  <w:rFonts w:ascii="Arial" w:cs="Arial" w:eastAsia="Arial" w:hAnsi="Arial"/>
                  <w:sz w:val="18"/>
                  <w:szCs w:val="18"/>
                  <w:color w:val="0000EE"/>
                </w:rPr>
                <w:t>Report of Management</w:t>
              </w:r>
            </w:hyperlink>
          </w:p>
        </w:tc>
        <w:tc>
          <w:tcPr>
            <w:tcW w:w="4500" w:type="dxa"/>
            <w:vAlign w:val="bottom"/>
          </w:tcPr>
          <w:p>
            <w:pPr>
              <w:jc w:val="right"/>
              <w:spacing w:after="0" w:line="182" w:lineRule="exact"/>
              <w:rPr>
                <w:sz w:val="20"/>
                <w:szCs w:val="20"/>
                <w:color w:val="auto"/>
              </w:rPr>
            </w:pPr>
            <w:r>
              <w:rPr>
                <w:rFonts w:ascii="Arial" w:cs="Arial" w:eastAsia="Arial" w:hAnsi="Arial"/>
                <w:sz w:val="18"/>
                <w:szCs w:val="18"/>
                <w:color w:val="auto"/>
              </w:rPr>
              <w:t>37</w:t>
            </w:r>
          </w:p>
        </w:tc>
      </w:tr>
      <w:tr>
        <w:trPr>
          <w:trHeight w:val="20"/>
        </w:trPr>
        <w:tc>
          <w:tcPr>
            <w:tcW w:w="1800" w:type="dxa"/>
            <w:vAlign w:val="bottom"/>
            <w:gridSpan w:val="4"/>
            <w:shd w:val="clear" w:color="auto" w:fill="0000EE"/>
          </w:tcPr>
          <w:p>
            <w:pPr>
              <w:spacing w:after="0" w:line="20" w:lineRule="exact"/>
              <w:rPr>
                <w:sz w:val="1"/>
                <w:szCs w:val="1"/>
                <w:color w:val="auto"/>
              </w:rPr>
            </w:pPr>
          </w:p>
        </w:tc>
        <w:tc>
          <w:tcPr>
            <w:tcW w:w="60" w:type="dxa"/>
            <w:vAlign w:val="bottom"/>
            <w:gridSpan w:val="2"/>
          </w:tcPr>
          <w:p>
            <w:pPr>
              <w:spacing w:after="0" w:line="20" w:lineRule="exact"/>
              <w:rPr>
                <w:sz w:val="1"/>
                <w:szCs w:val="1"/>
                <w:color w:val="auto"/>
              </w:rPr>
            </w:pPr>
          </w:p>
        </w:tc>
        <w:tc>
          <w:tcPr>
            <w:tcW w:w="360" w:type="dxa"/>
            <w:vAlign w:val="bottom"/>
            <w:gridSpan w:val="4"/>
          </w:tcPr>
          <w:p>
            <w:pPr>
              <w:spacing w:after="0" w:line="20" w:lineRule="exact"/>
              <w:rPr>
                <w:sz w:val="1"/>
                <w:szCs w:val="1"/>
                <w:color w:val="auto"/>
              </w:rPr>
            </w:pPr>
          </w:p>
        </w:tc>
        <w:tc>
          <w:tcPr>
            <w:tcW w:w="760" w:type="dxa"/>
            <w:vAlign w:val="bottom"/>
            <w:gridSpan w:val="9"/>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300" w:type="dxa"/>
            <w:vAlign w:val="bottom"/>
            <w:gridSpan w:val="3"/>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2420" w:type="dxa"/>
            <w:vAlign w:val="bottom"/>
          </w:tcPr>
          <w:p>
            <w:pPr>
              <w:spacing w:after="0" w:line="20" w:lineRule="exact"/>
              <w:rPr>
                <w:sz w:val="1"/>
                <w:szCs w:val="1"/>
                <w:color w:val="auto"/>
              </w:rPr>
            </w:pPr>
          </w:p>
        </w:tc>
        <w:tc>
          <w:tcPr>
            <w:tcW w:w="4500" w:type="dxa"/>
            <w:vAlign w:val="bottom"/>
          </w:tcPr>
          <w:p>
            <w:pPr>
              <w:spacing w:after="0" w:line="20" w:lineRule="exact"/>
              <w:rPr>
                <w:sz w:val="1"/>
                <w:szCs w:val="1"/>
                <w:color w:val="auto"/>
              </w:rPr>
            </w:pPr>
          </w:p>
        </w:tc>
      </w:tr>
      <w:tr>
        <w:trPr>
          <w:trHeight w:val="183"/>
        </w:trPr>
        <w:tc>
          <w:tcPr>
            <w:tcW w:w="4500" w:type="dxa"/>
            <w:vAlign w:val="bottom"/>
            <w:tcBorders>
              <w:bottom w:val="single" w:sz="8" w:color="0000EE"/>
            </w:tcBorders>
            <w:gridSpan w:val="27"/>
          </w:tcPr>
          <w:p>
            <w:pPr>
              <w:spacing w:after="0" w:line="182" w:lineRule="exact"/>
              <w:rPr>
                <w:rFonts w:ascii="Arial" w:cs="Arial" w:eastAsia="Arial" w:hAnsi="Arial"/>
                <w:sz w:val="18"/>
                <w:szCs w:val="18"/>
                <w:color w:val="0000EE"/>
                <w:w w:val="97"/>
              </w:rPr>
            </w:pPr>
            <w:hyperlink w:anchor="page115">
              <w:r>
                <w:rPr>
                  <w:rFonts w:ascii="Arial" w:cs="Arial" w:eastAsia="Arial" w:hAnsi="Arial"/>
                  <w:sz w:val="18"/>
                  <w:szCs w:val="18"/>
                  <w:color w:val="0000EE"/>
                  <w:w w:val="97"/>
                </w:rPr>
                <w:t>Report of Independent Registered Public Accounting Firm</w:t>
              </w:r>
            </w:hyperlink>
          </w:p>
        </w:tc>
        <w:tc>
          <w:tcPr>
            <w:tcW w:w="2420" w:type="dxa"/>
            <w:vAlign w:val="bottom"/>
          </w:tcPr>
          <w:p>
            <w:pPr>
              <w:spacing w:after="0"/>
              <w:rPr>
                <w:sz w:val="15"/>
                <w:szCs w:val="15"/>
                <w:color w:val="auto"/>
              </w:rPr>
            </w:pPr>
          </w:p>
        </w:tc>
        <w:tc>
          <w:tcPr>
            <w:tcW w:w="4500" w:type="dxa"/>
            <w:vAlign w:val="bottom"/>
          </w:tcPr>
          <w:p>
            <w:pPr>
              <w:jc w:val="right"/>
              <w:spacing w:after="0" w:line="182" w:lineRule="exact"/>
              <w:rPr>
                <w:sz w:val="20"/>
                <w:szCs w:val="20"/>
                <w:color w:val="auto"/>
              </w:rPr>
            </w:pPr>
            <w:r>
              <w:rPr>
                <w:rFonts w:ascii="Arial" w:cs="Arial" w:eastAsia="Arial" w:hAnsi="Arial"/>
                <w:sz w:val="18"/>
                <w:szCs w:val="18"/>
                <w:color w:val="auto"/>
              </w:rPr>
              <w:t>38</w:t>
            </w:r>
          </w:p>
        </w:tc>
      </w:tr>
      <w:tr>
        <w:trPr>
          <w:trHeight w:val="183"/>
        </w:trPr>
        <w:tc>
          <w:tcPr>
            <w:tcW w:w="6920" w:type="dxa"/>
            <w:vAlign w:val="bottom"/>
            <w:gridSpan w:val="28"/>
          </w:tcPr>
          <w:p>
            <w:pPr>
              <w:spacing w:after="0" w:line="182" w:lineRule="exact"/>
              <w:rPr>
                <w:rFonts w:ascii="Arial" w:cs="Arial" w:eastAsia="Arial" w:hAnsi="Arial"/>
                <w:sz w:val="18"/>
                <w:szCs w:val="18"/>
                <w:color w:val="0000EE"/>
              </w:rPr>
            </w:pPr>
            <w:hyperlink w:anchor="page116">
              <w:r>
                <w:rPr>
                  <w:rFonts w:ascii="Arial" w:cs="Arial" w:eastAsia="Arial" w:hAnsi="Arial"/>
                  <w:sz w:val="18"/>
                  <w:szCs w:val="18"/>
                  <w:color w:val="0000EE"/>
                </w:rPr>
                <w:t>Consolidated Balance Sheet</w:t>
              </w:r>
            </w:hyperlink>
          </w:p>
        </w:tc>
        <w:tc>
          <w:tcPr>
            <w:tcW w:w="4500" w:type="dxa"/>
            <w:vAlign w:val="bottom"/>
          </w:tcPr>
          <w:p>
            <w:pPr>
              <w:jc w:val="right"/>
              <w:spacing w:after="0" w:line="182" w:lineRule="exact"/>
              <w:rPr>
                <w:sz w:val="20"/>
                <w:szCs w:val="20"/>
                <w:color w:val="auto"/>
              </w:rPr>
            </w:pPr>
            <w:r>
              <w:rPr>
                <w:rFonts w:ascii="Arial" w:cs="Arial" w:eastAsia="Arial" w:hAnsi="Arial"/>
                <w:sz w:val="18"/>
                <w:szCs w:val="18"/>
                <w:color w:val="auto"/>
              </w:rPr>
              <w:t>39</w:t>
            </w:r>
          </w:p>
        </w:tc>
      </w:tr>
      <w:tr>
        <w:trPr>
          <w:trHeight w:val="20"/>
        </w:trPr>
        <w:tc>
          <w:tcPr>
            <w:tcW w:w="1860" w:type="dxa"/>
            <w:vAlign w:val="bottom"/>
            <w:gridSpan w:val="6"/>
            <w:shd w:val="clear" w:color="auto" w:fill="0000EE"/>
          </w:tcPr>
          <w:p>
            <w:pPr>
              <w:spacing w:after="0" w:line="20" w:lineRule="exact"/>
              <w:rPr>
                <w:sz w:val="1"/>
                <w:szCs w:val="1"/>
                <w:color w:val="auto"/>
              </w:rPr>
            </w:pPr>
          </w:p>
        </w:tc>
        <w:tc>
          <w:tcPr>
            <w:tcW w:w="360" w:type="dxa"/>
            <w:vAlign w:val="bottom"/>
            <w:gridSpan w:val="4"/>
            <w:shd w:val="clear" w:color="auto" w:fill="0000EE"/>
          </w:tcPr>
          <w:p>
            <w:pPr>
              <w:spacing w:after="0" w:line="20" w:lineRule="exact"/>
              <w:rPr>
                <w:sz w:val="1"/>
                <w:szCs w:val="1"/>
                <w:color w:val="auto"/>
              </w:rPr>
            </w:pPr>
          </w:p>
        </w:tc>
        <w:tc>
          <w:tcPr>
            <w:tcW w:w="760" w:type="dxa"/>
            <w:vAlign w:val="bottom"/>
            <w:gridSpan w:val="9"/>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300" w:type="dxa"/>
            <w:vAlign w:val="bottom"/>
            <w:gridSpan w:val="3"/>
          </w:tcPr>
          <w:p>
            <w:pPr>
              <w:spacing w:after="0" w:line="20" w:lineRule="exact"/>
              <w:rPr>
                <w:sz w:val="1"/>
                <w:szCs w:val="1"/>
                <w:color w:val="auto"/>
              </w:rPr>
            </w:pPr>
          </w:p>
        </w:tc>
        <w:tc>
          <w:tcPr>
            <w:tcW w:w="3200" w:type="dxa"/>
            <w:vAlign w:val="bottom"/>
            <w:gridSpan w:val="2"/>
          </w:tcPr>
          <w:p>
            <w:pPr>
              <w:spacing w:after="0" w:line="20" w:lineRule="exact"/>
              <w:rPr>
                <w:sz w:val="1"/>
                <w:szCs w:val="1"/>
                <w:color w:val="auto"/>
              </w:rPr>
            </w:pPr>
          </w:p>
        </w:tc>
        <w:tc>
          <w:tcPr>
            <w:tcW w:w="4500" w:type="dxa"/>
            <w:vAlign w:val="bottom"/>
          </w:tcPr>
          <w:p>
            <w:pPr>
              <w:spacing w:after="0" w:line="20" w:lineRule="exact"/>
              <w:rPr>
                <w:sz w:val="1"/>
                <w:szCs w:val="1"/>
                <w:color w:val="auto"/>
              </w:rPr>
            </w:pPr>
          </w:p>
        </w:tc>
      </w:tr>
      <w:tr>
        <w:trPr>
          <w:trHeight w:val="183"/>
        </w:trPr>
        <w:tc>
          <w:tcPr>
            <w:tcW w:w="6920" w:type="dxa"/>
            <w:vAlign w:val="bottom"/>
            <w:gridSpan w:val="28"/>
          </w:tcPr>
          <w:p>
            <w:pPr>
              <w:spacing w:after="0" w:line="182" w:lineRule="exact"/>
              <w:rPr>
                <w:rFonts w:ascii="Arial" w:cs="Arial" w:eastAsia="Arial" w:hAnsi="Arial"/>
                <w:sz w:val="18"/>
                <w:szCs w:val="18"/>
                <w:color w:val="0000EE"/>
              </w:rPr>
            </w:pPr>
            <w:hyperlink w:anchor="page117">
              <w:r>
                <w:rPr>
                  <w:rFonts w:ascii="Arial" w:cs="Arial" w:eastAsia="Arial" w:hAnsi="Arial"/>
                  <w:sz w:val="18"/>
                  <w:szCs w:val="18"/>
                  <w:color w:val="0000EE"/>
                </w:rPr>
                <w:t>Consolidated Statement of Operations</w:t>
              </w:r>
            </w:hyperlink>
          </w:p>
        </w:tc>
        <w:tc>
          <w:tcPr>
            <w:tcW w:w="4500" w:type="dxa"/>
            <w:vAlign w:val="bottom"/>
          </w:tcPr>
          <w:p>
            <w:pPr>
              <w:jc w:val="right"/>
              <w:spacing w:after="0" w:line="182" w:lineRule="exact"/>
              <w:rPr>
                <w:sz w:val="20"/>
                <w:szCs w:val="20"/>
                <w:color w:val="auto"/>
              </w:rPr>
            </w:pPr>
            <w:r>
              <w:rPr>
                <w:rFonts w:ascii="Arial" w:cs="Arial" w:eastAsia="Arial" w:hAnsi="Arial"/>
                <w:sz w:val="18"/>
                <w:szCs w:val="18"/>
                <w:color w:val="auto"/>
              </w:rPr>
              <w:t>40</w:t>
            </w:r>
          </w:p>
        </w:tc>
      </w:tr>
      <w:tr>
        <w:trPr>
          <w:trHeight w:val="20"/>
        </w:trPr>
        <w:tc>
          <w:tcPr>
            <w:tcW w:w="1860" w:type="dxa"/>
            <w:vAlign w:val="bottom"/>
            <w:gridSpan w:val="6"/>
            <w:shd w:val="clear" w:color="auto" w:fill="0000EE"/>
          </w:tcPr>
          <w:p>
            <w:pPr>
              <w:spacing w:after="0" w:line="20" w:lineRule="exact"/>
              <w:rPr>
                <w:sz w:val="1"/>
                <w:szCs w:val="1"/>
                <w:color w:val="auto"/>
              </w:rPr>
            </w:pPr>
          </w:p>
        </w:tc>
        <w:tc>
          <w:tcPr>
            <w:tcW w:w="1120" w:type="dxa"/>
            <w:vAlign w:val="bottom"/>
            <w:gridSpan w:val="13"/>
            <w:shd w:val="clear" w:color="auto" w:fill="0000EE"/>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300" w:type="dxa"/>
            <w:vAlign w:val="bottom"/>
            <w:gridSpan w:val="3"/>
          </w:tcPr>
          <w:p>
            <w:pPr>
              <w:spacing w:after="0" w:line="20" w:lineRule="exact"/>
              <w:rPr>
                <w:sz w:val="1"/>
                <w:szCs w:val="1"/>
                <w:color w:val="auto"/>
              </w:rPr>
            </w:pPr>
          </w:p>
        </w:tc>
        <w:tc>
          <w:tcPr>
            <w:tcW w:w="3200" w:type="dxa"/>
            <w:vAlign w:val="bottom"/>
            <w:gridSpan w:val="2"/>
          </w:tcPr>
          <w:p>
            <w:pPr>
              <w:spacing w:after="0" w:line="20" w:lineRule="exact"/>
              <w:rPr>
                <w:sz w:val="1"/>
                <w:szCs w:val="1"/>
                <w:color w:val="auto"/>
              </w:rPr>
            </w:pPr>
          </w:p>
        </w:tc>
        <w:tc>
          <w:tcPr>
            <w:tcW w:w="4500" w:type="dxa"/>
            <w:vAlign w:val="bottom"/>
          </w:tcPr>
          <w:p>
            <w:pPr>
              <w:spacing w:after="0" w:line="20" w:lineRule="exact"/>
              <w:rPr>
                <w:sz w:val="1"/>
                <w:szCs w:val="1"/>
                <w:color w:val="auto"/>
              </w:rPr>
            </w:pPr>
          </w:p>
        </w:tc>
      </w:tr>
      <w:tr>
        <w:trPr>
          <w:trHeight w:val="183"/>
        </w:trPr>
        <w:tc>
          <w:tcPr>
            <w:tcW w:w="3060" w:type="dxa"/>
            <w:vAlign w:val="bottom"/>
            <w:tcBorders>
              <w:bottom w:val="single" w:sz="8" w:color="0000EE"/>
            </w:tcBorders>
            <w:gridSpan w:val="21"/>
          </w:tcPr>
          <w:p>
            <w:pPr>
              <w:spacing w:after="0" w:line="182" w:lineRule="exact"/>
              <w:rPr>
                <w:rFonts w:ascii="Arial" w:cs="Arial" w:eastAsia="Arial" w:hAnsi="Arial"/>
                <w:sz w:val="18"/>
                <w:szCs w:val="18"/>
                <w:color w:val="0000EE"/>
                <w:w w:val="97"/>
              </w:rPr>
            </w:pPr>
            <w:hyperlink w:anchor="page118">
              <w:r>
                <w:rPr>
                  <w:rFonts w:ascii="Arial" w:cs="Arial" w:eastAsia="Arial" w:hAnsi="Arial"/>
                  <w:sz w:val="18"/>
                  <w:szCs w:val="18"/>
                  <w:color w:val="0000EE"/>
                  <w:w w:val="97"/>
                </w:rPr>
                <w:t>Consolidated Statement of Cash Flows</w:t>
              </w:r>
            </w:hyperlink>
          </w:p>
        </w:tc>
        <w:tc>
          <w:tcPr>
            <w:tcW w:w="3860" w:type="dxa"/>
            <w:vAlign w:val="bottom"/>
            <w:gridSpan w:val="7"/>
          </w:tcPr>
          <w:p>
            <w:pPr>
              <w:spacing w:after="0"/>
              <w:rPr>
                <w:sz w:val="15"/>
                <w:szCs w:val="15"/>
                <w:color w:val="auto"/>
              </w:rPr>
            </w:pPr>
          </w:p>
        </w:tc>
        <w:tc>
          <w:tcPr>
            <w:tcW w:w="4500" w:type="dxa"/>
            <w:vAlign w:val="bottom"/>
          </w:tcPr>
          <w:p>
            <w:pPr>
              <w:jc w:val="right"/>
              <w:spacing w:after="0" w:line="182" w:lineRule="exact"/>
              <w:rPr>
                <w:sz w:val="20"/>
                <w:szCs w:val="20"/>
                <w:color w:val="auto"/>
              </w:rPr>
            </w:pPr>
            <w:r>
              <w:rPr>
                <w:rFonts w:ascii="Arial" w:cs="Arial" w:eastAsia="Arial" w:hAnsi="Arial"/>
                <w:sz w:val="18"/>
                <w:szCs w:val="18"/>
                <w:color w:val="auto"/>
              </w:rPr>
              <w:t>41</w:t>
            </w:r>
          </w:p>
        </w:tc>
      </w:tr>
      <w:tr>
        <w:trPr>
          <w:trHeight w:val="183"/>
        </w:trPr>
        <w:tc>
          <w:tcPr>
            <w:tcW w:w="3720" w:type="dxa"/>
            <w:vAlign w:val="bottom"/>
            <w:tcBorders>
              <w:bottom w:val="single" w:sz="8" w:color="0000EE"/>
            </w:tcBorders>
            <w:gridSpan w:val="26"/>
          </w:tcPr>
          <w:p>
            <w:pPr>
              <w:spacing w:after="0" w:line="182" w:lineRule="exact"/>
              <w:rPr>
                <w:rFonts w:ascii="Arial" w:cs="Arial" w:eastAsia="Arial" w:hAnsi="Arial"/>
                <w:sz w:val="18"/>
                <w:szCs w:val="18"/>
                <w:color w:val="0000EE"/>
                <w:w w:val="97"/>
              </w:rPr>
            </w:pPr>
            <w:hyperlink w:anchor="page119">
              <w:r>
                <w:rPr>
                  <w:rFonts w:ascii="Arial" w:cs="Arial" w:eastAsia="Arial" w:hAnsi="Arial"/>
                  <w:sz w:val="18"/>
                  <w:szCs w:val="18"/>
                  <w:color w:val="0000EE"/>
                  <w:w w:val="97"/>
                </w:rPr>
                <w:t>Consolidated Statement of Stockholders’ Equity</w:t>
              </w:r>
            </w:hyperlink>
          </w:p>
        </w:tc>
        <w:tc>
          <w:tcPr>
            <w:tcW w:w="3200" w:type="dxa"/>
            <w:vAlign w:val="bottom"/>
            <w:gridSpan w:val="2"/>
          </w:tcPr>
          <w:p>
            <w:pPr>
              <w:spacing w:after="0"/>
              <w:rPr>
                <w:sz w:val="15"/>
                <w:szCs w:val="15"/>
                <w:color w:val="auto"/>
              </w:rPr>
            </w:pPr>
          </w:p>
        </w:tc>
        <w:tc>
          <w:tcPr>
            <w:tcW w:w="4500" w:type="dxa"/>
            <w:vAlign w:val="bottom"/>
          </w:tcPr>
          <w:p>
            <w:pPr>
              <w:jc w:val="right"/>
              <w:spacing w:after="0" w:line="182" w:lineRule="exact"/>
              <w:rPr>
                <w:sz w:val="20"/>
                <w:szCs w:val="20"/>
                <w:color w:val="auto"/>
              </w:rPr>
            </w:pPr>
            <w:r>
              <w:rPr>
                <w:rFonts w:ascii="Arial" w:cs="Arial" w:eastAsia="Arial" w:hAnsi="Arial"/>
                <w:sz w:val="18"/>
                <w:szCs w:val="18"/>
                <w:color w:val="auto"/>
              </w:rPr>
              <w:t>42</w:t>
            </w:r>
          </w:p>
        </w:tc>
      </w:tr>
      <w:tr>
        <w:trPr>
          <w:trHeight w:val="183"/>
        </w:trPr>
        <w:tc>
          <w:tcPr>
            <w:tcW w:w="6920" w:type="dxa"/>
            <w:vAlign w:val="bottom"/>
            <w:gridSpan w:val="28"/>
          </w:tcPr>
          <w:p>
            <w:pPr>
              <w:spacing w:after="0" w:line="182" w:lineRule="exact"/>
              <w:rPr>
                <w:rFonts w:ascii="Arial" w:cs="Arial" w:eastAsia="Arial" w:hAnsi="Arial"/>
                <w:sz w:val="18"/>
                <w:szCs w:val="18"/>
                <w:color w:val="0000EE"/>
              </w:rPr>
            </w:pPr>
            <w:hyperlink w:anchor="page120">
              <w:r>
                <w:rPr>
                  <w:rFonts w:ascii="Arial" w:cs="Arial" w:eastAsia="Arial" w:hAnsi="Arial"/>
                  <w:sz w:val="18"/>
                  <w:szCs w:val="18"/>
                  <w:color w:val="0000EE"/>
                </w:rPr>
                <w:t>Notes to Consolidated Financial Statements</w:t>
              </w:r>
            </w:hyperlink>
          </w:p>
        </w:tc>
        <w:tc>
          <w:tcPr>
            <w:tcW w:w="4500" w:type="dxa"/>
            <w:vAlign w:val="bottom"/>
          </w:tcPr>
          <w:p>
            <w:pPr>
              <w:jc w:val="right"/>
              <w:spacing w:after="0" w:line="182" w:lineRule="exact"/>
              <w:rPr>
                <w:sz w:val="20"/>
                <w:szCs w:val="20"/>
                <w:color w:val="auto"/>
              </w:rPr>
            </w:pPr>
            <w:r>
              <w:rPr>
                <w:rFonts w:ascii="Arial" w:cs="Arial" w:eastAsia="Arial" w:hAnsi="Arial"/>
                <w:sz w:val="18"/>
                <w:szCs w:val="18"/>
                <w:color w:val="auto"/>
              </w:rPr>
              <w:t>43</w:t>
            </w:r>
          </w:p>
        </w:tc>
      </w:tr>
      <w:tr>
        <w:trPr>
          <w:trHeight w:val="183"/>
        </w:trPr>
        <w:tc>
          <w:tcPr>
            <w:tcW w:w="3040" w:type="dxa"/>
            <w:vAlign w:val="bottom"/>
            <w:tcBorders>
              <w:top w:val="single" w:sz="8" w:color="0000EE"/>
              <w:bottom w:val="single" w:sz="8" w:color="0000EE"/>
            </w:tcBorders>
            <w:gridSpan w:val="20"/>
          </w:tcPr>
          <w:p>
            <w:pPr>
              <w:spacing w:after="0" w:line="182" w:lineRule="exact"/>
              <w:rPr>
                <w:rFonts w:ascii="Arial" w:cs="Arial" w:eastAsia="Arial" w:hAnsi="Arial"/>
                <w:sz w:val="18"/>
                <w:szCs w:val="18"/>
                <w:color w:val="0000EE"/>
                <w:w w:val="97"/>
              </w:rPr>
            </w:pPr>
            <w:hyperlink w:anchor="page153">
              <w:r>
                <w:rPr>
                  <w:rFonts w:ascii="Arial" w:cs="Arial" w:eastAsia="Arial" w:hAnsi="Arial"/>
                  <w:sz w:val="18"/>
                  <w:szCs w:val="18"/>
                  <w:color w:val="0000EE"/>
                  <w:w w:val="97"/>
                </w:rPr>
                <w:t>Reconciliation of Non-GAAP Measures</w:t>
              </w:r>
            </w:hyperlink>
          </w:p>
        </w:tc>
        <w:tc>
          <w:tcPr>
            <w:tcW w:w="380" w:type="dxa"/>
            <w:vAlign w:val="bottom"/>
            <w:tcBorders>
              <w:top w:val="single" w:sz="8" w:color="0000EE"/>
            </w:tcBorders>
            <w:gridSpan w:val="3"/>
          </w:tcPr>
          <w:p>
            <w:pPr>
              <w:spacing w:after="0"/>
              <w:rPr>
                <w:sz w:val="15"/>
                <w:szCs w:val="15"/>
                <w:color w:val="auto"/>
              </w:rPr>
            </w:pPr>
          </w:p>
        </w:tc>
        <w:tc>
          <w:tcPr>
            <w:tcW w:w="3500" w:type="dxa"/>
            <w:vAlign w:val="bottom"/>
            <w:gridSpan w:val="5"/>
          </w:tcPr>
          <w:p>
            <w:pPr>
              <w:spacing w:after="0"/>
              <w:rPr>
                <w:sz w:val="15"/>
                <w:szCs w:val="15"/>
                <w:color w:val="auto"/>
              </w:rPr>
            </w:pPr>
          </w:p>
        </w:tc>
        <w:tc>
          <w:tcPr>
            <w:tcW w:w="4500" w:type="dxa"/>
            <w:vAlign w:val="bottom"/>
          </w:tcPr>
          <w:p>
            <w:pPr>
              <w:jc w:val="right"/>
              <w:spacing w:after="0" w:line="182" w:lineRule="exact"/>
              <w:rPr>
                <w:sz w:val="20"/>
                <w:szCs w:val="20"/>
                <w:color w:val="auto"/>
              </w:rPr>
            </w:pPr>
            <w:r>
              <w:rPr>
                <w:rFonts w:ascii="Arial" w:cs="Arial" w:eastAsia="Arial" w:hAnsi="Arial"/>
                <w:sz w:val="18"/>
                <w:szCs w:val="18"/>
                <w:color w:val="auto"/>
              </w:rPr>
              <w:t>76</w:t>
            </w:r>
          </w:p>
        </w:tc>
      </w:tr>
      <w:tr>
        <w:trPr>
          <w:trHeight w:val="183"/>
        </w:trPr>
        <w:tc>
          <w:tcPr>
            <w:tcW w:w="6920" w:type="dxa"/>
            <w:vAlign w:val="bottom"/>
            <w:gridSpan w:val="28"/>
          </w:tcPr>
          <w:p>
            <w:pPr>
              <w:spacing w:after="0" w:line="182" w:lineRule="exact"/>
              <w:rPr>
                <w:rFonts w:ascii="Arial" w:cs="Arial" w:eastAsia="Arial" w:hAnsi="Arial"/>
                <w:sz w:val="18"/>
                <w:szCs w:val="18"/>
                <w:color w:val="0000EE"/>
              </w:rPr>
            </w:pPr>
            <w:hyperlink w:anchor="page154">
              <w:r>
                <w:rPr>
                  <w:rFonts w:ascii="Arial" w:cs="Arial" w:eastAsia="Arial" w:hAnsi="Arial"/>
                  <w:sz w:val="18"/>
                  <w:szCs w:val="18"/>
                  <w:color w:val="0000EE"/>
                </w:rPr>
                <w:t>Market for the Registrant’s Common Equity</w:t>
              </w:r>
            </w:hyperlink>
          </w:p>
        </w:tc>
        <w:tc>
          <w:tcPr>
            <w:tcW w:w="4500" w:type="dxa"/>
            <w:vAlign w:val="bottom"/>
          </w:tcPr>
          <w:p>
            <w:pPr>
              <w:jc w:val="right"/>
              <w:spacing w:after="0" w:line="182" w:lineRule="exact"/>
              <w:rPr>
                <w:sz w:val="20"/>
                <w:szCs w:val="20"/>
                <w:color w:val="auto"/>
              </w:rPr>
            </w:pPr>
            <w:r>
              <w:rPr>
                <w:rFonts w:ascii="Arial" w:cs="Arial" w:eastAsia="Arial" w:hAnsi="Arial"/>
                <w:sz w:val="18"/>
                <w:szCs w:val="18"/>
                <w:color w:val="auto"/>
              </w:rPr>
              <w:t>77</w:t>
            </w:r>
          </w:p>
        </w:tc>
      </w:tr>
      <w:tr>
        <w:trPr>
          <w:trHeight w:val="183"/>
        </w:trPr>
        <w:tc>
          <w:tcPr>
            <w:tcW w:w="3360" w:type="dxa"/>
            <w:vAlign w:val="bottom"/>
            <w:tcBorders>
              <w:top w:val="single" w:sz="8" w:color="0000EE"/>
            </w:tcBorders>
            <w:gridSpan w:val="22"/>
          </w:tcPr>
          <w:p>
            <w:pPr>
              <w:spacing w:after="0" w:line="182" w:lineRule="exact"/>
              <w:rPr>
                <w:rFonts w:ascii="Arial" w:cs="Arial" w:eastAsia="Arial" w:hAnsi="Arial"/>
                <w:sz w:val="18"/>
                <w:szCs w:val="18"/>
                <w:color w:val="0000EE"/>
              </w:rPr>
            </w:pPr>
            <w:hyperlink w:anchor="page155">
              <w:r>
                <w:rPr>
                  <w:rFonts w:ascii="Arial" w:cs="Arial" w:eastAsia="Arial" w:hAnsi="Arial"/>
                  <w:sz w:val="18"/>
                  <w:szCs w:val="18"/>
                  <w:color w:val="0000EE"/>
                </w:rPr>
                <w:t>Selected Financial Data</w:t>
              </w:r>
            </w:hyperlink>
          </w:p>
        </w:tc>
        <w:tc>
          <w:tcPr>
            <w:tcW w:w="3560" w:type="dxa"/>
            <w:vAlign w:val="bottom"/>
            <w:gridSpan w:val="6"/>
          </w:tcPr>
          <w:p>
            <w:pPr>
              <w:spacing w:after="0"/>
              <w:rPr>
                <w:sz w:val="15"/>
                <w:szCs w:val="15"/>
                <w:color w:val="auto"/>
              </w:rPr>
            </w:pPr>
          </w:p>
        </w:tc>
        <w:tc>
          <w:tcPr>
            <w:tcW w:w="4500" w:type="dxa"/>
            <w:vAlign w:val="bottom"/>
          </w:tcPr>
          <w:p>
            <w:pPr>
              <w:jc w:val="right"/>
              <w:spacing w:after="0" w:line="182" w:lineRule="exact"/>
              <w:rPr>
                <w:sz w:val="20"/>
                <w:szCs w:val="20"/>
                <w:color w:val="auto"/>
              </w:rPr>
            </w:pPr>
            <w:r>
              <w:rPr>
                <w:rFonts w:ascii="Arial" w:cs="Arial" w:eastAsia="Arial" w:hAnsi="Arial"/>
                <w:sz w:val="18"/>
                <w:szCs w:val="18"/>
                <w:color w:val="auto"/>
              </w:rPr>
              <w:t>78</w:t>
            </w:r>
          </w:p>
        </w:tc>
      </w:tr>
      <w:tr>
        <w:trPr>
          <w:trHeight w:val="370"/>
        </w:trPr>
        <w:tc>
          <w:tcPr>
            <w:tcW w:w="1860" w:type="dxa"/>
            <w:vAlign w:val="bottom"/>
            <w:tcBorders>
              <w:top w:val="single" w:sz="8" w:color="0000EE"/>
            </w:tcBorders>
            <w:gridSpan w:val="6"/>
          </w:tcPr>
          <w:p>
            <w:pPr>
              <w:spacing w:after="0"/>
              <w:rPr>
                <w:sz w:val="24"/>
                <w:szCs w:val="24"/>
                <w:color w:val="auto"/>
              </w:rPr>
            </w:pPr>
          </w:p>
        </w:tc>
        <w:tc>
          <w:tcPr>
            <w:tcW w:w="5060" w:type="dxa"/>
            <w:vAlign w:val="bottom"/>
            <w:gridSpan w:val="22"/>
          </w:tcPr>
          <w:p>
            <w:pPr>
              <w:jc w:val="right"/>
              <w:ind w:right="1100"/>
              <w:spacing w:after="0"/>
              <w:rPr>
                <w:sz w:val="20"/>
                <w:szCs w:val="20"/>
                <w:color w:val="auto"/>
              </w:rPr>
            </w:pPr>
            <w:r>
              <w:rPr>
                <w:rFonts w:ascii="Arial" w:cs="Arial" w:eastAsia="Arial" w:hAnsi="Arial"/>
                <w:sz w:val="18"/>
                <w:szCs w:val="18"/>
                <w:color w:val="auto"/>
              </w:rPr>
              <w:t>24</w:t>
            </w:r>
          </w:p>
        </w:tc>
        <w:tc>
          <w:tcPr>
            <w:tcW w:w="4500" w:type="dxa"/>
            <w:vAlign w:val="bottom"/>
          </w:tcPr>
          <w:p>
            <w:pPr>
              <w:spacing w:after="0"/>
              <w:rPr>
                <w:sz w:val="24"/>
                <w:szCs w:val="24"/>
                <w:color w:val="auto"/>
              </w:rPr>
            </w:pPr>
          </w:p>
        </w:tc>
      </w:tr>
    </w:tbl>
    <w:p>
      <w:pPr>
        <w:sectPr>
          <w:pgSz w:w="11900" w:h="16838" w:orient="portrait"/>
          <w:cols w:equalWidth="0" w:num="1">
            <w:col w:w="11420"/>
          </w:cols>
          <w:pgMar w:left="240" w:top="459" w:right="239" w:bottom="1440" w:gutter="0" w:footer="0" w:header="0"/>
        </w:sectPr>
      </w:pPr>
    </w:p>
    <w:bookmarkStart w:id="101" w:name="page102"/>
    <w:bookmarkEnd w:id="10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137" name="Picture 1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7"/>
                    <pic:cNvPicPr>
                      <a:picLocks noChangeAspect="1" noChangeArrowheads="1"/>
                    </pic:cNvPicPr>
                  </pic:nvPicPr>
                  <pic:blipFill>
                    <a:blip r:embed="rId144">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20" w:lineRule="exact"/>
        <w:rPr>
          <w:sz w:val="20"/>
          <w:szCs w:val="20"/>
          <w:color w:val="auto"/>
        </w:rPr>
      </w:pPr>
    </w:p>
    <w:p>
      <w:pPr>
        <w:spacing w:after="0"/>
        <w:rPr>
          <w:sz w:val="20"/>
          <w:szCs w:val="20"/>
          <w:color w:val="auto"/>
        </w:rPr>
      </w:pPr>
      <w:r>
        <w:rPr>
          <w:rFonts w:ascii="Arial" w:cs="Arial" w:eastAsia="Arial" w:hAnsi="Arial"/>
          <w:sz w:val="24"/>
          <w:szCs w:val="24"/>
          <w:color w:val="auto"/>
        </w:rPr>
        <w:t>Management’s Discussion and Analysis of Financial Condition and Results of Operations</w:t>
      </w:r>
    </w:p>
    <w:p>
      <w:pPr>
        <w:sectPr>
          <w:pgSz w:w="11900" w:h="16838" w:orient="portrait"/>
          <w:cols w:equalWidth="0" w:num="1">
            <w:col w:w="11420"/>
          </w:cols>
          <w:pgMar w:left="240" w:top="459" w:right="239" w:bottom="1440" w:gutter="0" w:footer="0" w:header="0"/>
        </w:sectPr>
      </w:pPr>
    </w:p>
    <w:p>
      <w:pPr>
        <w:spacing w:after="0" w:line="141" w:lineRule="exact"/>
        <w:rPr>
          <w:sz w:val="20"/>
          <w:szCs w:val="20"/>
          <w:color w:val="auto"/>
        </w:rPr>
      </w:pPr>
    </w:p>
    <w:p>
      <w:pPr>
        <w:spacing w:after="0"/>
        <w:rPr>
          <w:sz w:val="20"/>
          <w:szCs w:val="20"/>
          <w:color w:val="auto"/>
        </w:rPr>
      </w:pPr>
      <w:r>
        <w:rPr>
          <w:rFonts w:ascii="Arial" w:cs="Arial" w:eastAsia="Arial" w:hAnsi="Arial"/>
          <w:sz w:val="18"/>
          <w:szCs w:val="18"/>
          <w:b w:val="1"/>
          <w:bCs w:val="1"/>
          <w:color w:val="35BF85"/>
        </w:rPr>
        <w:t>Introduction and Overview</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77470</wp:posOffset>
            </wp:positionV>
            <wp:extent cx="3481705" cy="8890"/>
            <wp:wrapNone/>
            <wp:docPr id="138" name="Picture 1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8"/>
                    <pic:cNvPicPr>
                      <a:picLocks noChangeAspect="1" noChangeArrowheads="1"/>
                    </pic:cNvPicPr>
                  </pic:nvPicPr>
                  <pic:blipFill>
                    <a:blip r:embed="rId145">
                      <a:extLst>
                        <a:ext uri="{28A0092B-C50C-407E-A947-70E740481C1C}"/>
                      </a:extLst>
                    </a:blip>
                    <a:srcRect/>
                    <a:stretch>
                      <a:fillRect/>
                    </a:stretch>
                  </pic:blipFill>
                  <pic:spPr bwMode="auto">
                    <a:xfrm>
                      <a:off x="0" y="0"/>
                      <a:ext cx="3481705" cy="8890"/>
                    </a:xfrm>
                    <a:prstGeom prst="rect">
                      <a:avLst/>
                    </a:prstGeom>
                    <a:noFill/>
                  </pic:spPr>
                </pic:pic>
              </a:graphicData>
            </a:graphic>
          </wp:anchor>
        </w:drawing>
      </w:r>
    </w:p>
    <w:p>
      <w:pPr>
        <w:spacing w:after="0" w:line="227" w:lineRule="exact"/>
        <w:rPr>
          <w:sz w:val="20"/>
          <w:szCs w:val="20"/>
          <w:color w:val="auto"/>
        </w:rPr>
      </w:pPr>
    </w:p>
    <w:p>
      <w:pPr>
        <w:jc w:val="both"/>
        <w:spacing w:after="0" w:line="236" w:lineRule="auto"/>
        <w:rPr>
          <w:sz w:val="20"/>
          <w:szCs w:val="20"/>
          <w:color w:val="auto"/>
        </w:rPr>
      </w:pPr>
      <w:r>
        <w:rPr>
          <w:rFonts w:ascii="Arial" w:cs="Arial" w:eastAsia="Arial" w:hAnsi="Arial"/>
          <w:sz w:val="18"/>
          <w:szCs w:val="18"/>
          <w:color w:val="auto"/>
        </w:rPr>
        <w:t>We are the largest cable operator in the United States and offer a variety of consumer entertainment and communication products and services. As of December 31, 2006, our cable systems served approximately 23.4 million video subscribers, 11 million high-speed Internet subscribers and 2.4 million phone subscribers and passed approximately 45.7 million homes in 39 states and the District of Columbia.</w:t>
      </w:r>
    </w:p>
    <w:p>
      <w:pPr>
        <w:spacing w:after="0" w:line="155" w:lineRule="exact"/>
        <w:rPr>
          <w:sz w:val="20"/>
          <w:szCs w:val="20"/>
          <w:color w:val="auto"/>
        </w:rPr>
      </w:pPr>
    </w:p>
    <w:p>
      <w:pPr>
        <w:jc w:val="both"/>
        <w:spacing w:after="0" w:line="236" w:lineRule="auto"/>
        <w:rPr>
          <w:sz w:val="20"/>
          <w:szCs w:val="20"/>
          <w:color w:val="auto"/>
        </w:rPr>
      </w:pPr>
      <w:r>
        <w:rPr>
          <w:rFonts w:ascii="Arial" w:cs="Arial" w:eastAsia="Arial" w:hAnsi="Arial"/>
          <w:sz w:val="18"/>
          <w:szCs w:val="18"/>
          <w:color w:val="auto"/>
        </w:rPr>
        <w:t>We classify our operations in two reportable segments: Cable and Programming. Our Cable segment, which generates approximately 95% of our consolidated revenues, manages and operates our cable systems. Our Programming segment consists of our six national programming networks. During 2006, our operations generated consolidated revenues of approximately $25 billion.</w:t>
      </w:r>
    </w:p>
    <w:p>
      <w:pPr>
        <w:spacing w:after="0" w:line="156" w:lineRule="exact"/>
        <w:rPr>
          <w:sz w:val="20"/>
          <w:szCs w:val="20"/>
          <w:color w:val="auto"/>
        </w:rPr>
      </w:pPr>
    </w:p>
    <w:p>
      <w:pPr>
        <w:jc w:val="both"/>
        <w:spacing w:after="0" w:line="265" w:lineRule="auto"/>
        <w:rPr>
          <w:sz w:val="20"/>
          <w:szCs w:val="20"/>
          <w:color w:val="auto"/>
        </w:rPr>
      </w:pPr>
      <w:r>
        <w:rPr>
          <w:rFonts w:ascii="Arial" w:cs="Arial" w:eastAsia="Arial" w:hAnsi="Arial"/>
          <w:sz w:val="16"/>
          <w:szCs w:val="16"/>
          <w:color w:val="auto"/>
        </w:rPr>
        <w:t>Our Cable segment earns revenues primarily through subscriptions to our video, high-speed Internet and phone services (“cable services”). Our video revenues continue to increase as a result of digital subscriber growth and demand for our other digital cable services, including video on demand, which we refer to as ON DEMAND, Digital Video Recorder (“DVR”) and High Definition Television (“HDTV”), as well as higher pricing on our basic video service. As of December 31, 2006, approximately 51% of the homes in the areas we serve subscribed to our video service and approximately 52% of those video subscribers subscribed to at least one of our digital cable services. Our high-speed Internet service with Internet access at downstream speeds from 6Mbps to 16Mbps, depending on the level of service selected, has been one of our fastest growing services over the past several years. As of December 31, 2006, approximately 25% of the homes in the areas we serve subscribed to our high-speed Internet service. Comcast Digital Voice, our phone service that provides unlimited local and domestic long-distance calling and other features, is our most recent cable service offering. As of December 31, 2006, approximately 6% of the homes in the areas we serve subscribed to Comcast Digital Voice. In 2006, we began offering our video, high-speed Internet and Comcast Digital Voice services in a package that we refer to as the “triple play.” In addition to cable services, other Cable segment revenue sources include advertising and the operation of our regional sports and news networks.</w:t>
      </w:r>
    </w:p>
    <w:p>
      <w:pPr>
        <w:spacing w:after="0" w:line="200" w:lineRule="exact"/>
        <w:rPr>
          <w:sz w:val="20"/>
          <w:szCs w:val="20"/>
          <w:color w:val="auto"/>
        </w:rPr>
      </w:pPr>
    </w:p>
    <w:p>
      <w:pPr>
        <w:spacing w:after="0" w:line="355" w:lineRule="exact"/>
        <w:rPr>
          <w:sz w:val="20"/>
          <w:szCs w:val="20"/>
          <w:color w:val="auto"/>
        </w:rPr>
      </w:pPr>
    </w:p>
    <w:p>
      <w:pPr>
        <w:jc w:val="both"/>
        <w:spacing w:after="0" w:line="236" w:lineRule="auto"/>
        <w:rPr>
          <w:sz w:val="20"/>
          <w:szCs w:val="20"/>
          <w:color w:val="auto"/>
        </w:rPr>
      </w:pPr>
      <w:r>
        <w:rPr>
          <w:rFonts w:ascii="Arial" w:cs="Arial" w:eastAsia="Arial" w:hAnsi="Arial"/>
          <w:sz w:val="18"/>
          <w:szCs w:val="18"/>
          <w:color w:val="auto"/>
        </w:rPr>
        <w:t>Our Programming segment consists of our consolidated national programming networks: E!, Style, The Golf Channel, VERSUS (formerly known as OLN), G4 and AZN Television. Revenue from our Programming segment is earned primarily from advertising revenues and from monthly per subscriber license fees paid by cable and satellite distributors.</w:t>
      </w:r>
    </w:p>
    <w:p>
      <w:pPr>
        <w:spacing w:after="0" w:line="156" w:lineRule="exact"/>
        <w:rPr>
          <w:sz w:val="20"/>
          <w:szCs w:val="20"/>
          <w:color w:val="auto"/>
        </w:rPr>
      </w:pPr>
    </w:p>
    <w:p>
      <w:pPr>
        <w:jc w:val="both"/>
        <w:spacing w:after="0" w:line="238" w:lineRule="auto"/>
        <w:rPr>
          <w:sz w:val="20"/>
          <w:szCs w:val="20"/>
          <w:color w:val="auto"/>
        </w:rPr>
      </w:pPr>
      <w:r>
        <w:rPr>
          <w:rFonts w:ascii="Arial" w:cs="Arial" w:eastAsia="Arial" w:hAnsi="Arial"/>
          <w:sz w:val="18"/>
          <w:szCs w:val="18"/>
          <w:color w:val="auto"/>
        </w:rPr>
        <w:t>Our other business interests include Comcast Spectacor, which owns the Philadelphia Flyers, the Philadelphia 76ers and two large multipurpose arenas in Philadelphia, and manages other</w:t>
      </w:r>
    </w:p>
    <w:p>
      <w:pPr>
        <w:spacing w:after="0" w:line="20" w:lineRule="exact"/>
        <w:rPr>
          <w:sz w:val="20"/>
          <w:szCs w:val="20"/>
          <w:color w:val="auto"/>
        </w:rPr>
      </w:pPr>
      <w:r>
        <w:rPr>
          <w:sz w:val="20"/>
          <w:szCs w:val="20"/>
          <w:color w:val="auto"/>
        </w:rPr>
        <w:br w:type="column"/>
      </w:r>
    </w:p>
    <w:p>
      <w:pPr>
        <w:spacing w:after="0" w:line="143" w:lineRule="exact"/>
        <w:rPr>
          <w:sz w:val="20"/>
          <w:szCs w:val="20"/>
          <w:color w:val="auto"/>
        </w:rPr>
      </w:pPr>
    </w:p>
    <w:p>
      <w:pPr>
        <w:jc w:val="both"/>
        <w:ind w:right="120"/>
        <w:spacing w:after="0" w:line="237" w:lineRule="auto"/>
        <w:rPr>
          <w:sz w:val="20"/>
          <w:szCs w:val="20"/>
          <w:color w:val="auto"/>
        </w:rPr>
      </w:pPr>
      <w:r>
        <w:rPr>
          <w:rFonts w:ascii="Arial" w:cs="Arial" w:eastAsia="Arial" w:hAnsi="Arial"/>
          <w:sz w:val="18"/>
          <w:szCs w:val="18"/>
          <w:color w:val="auto"/>
        </w:rPr>
        <w:t>facilities for sporting events, concerts and other events. Comcast Spectacor and all other consolidated businesses not included in our Cable or Programming segments are included in “Corporate and Other” activities.</w:t>
      </w:r>
    </w:p>
    <w:p>
      <w:pPr>
        <w:spacing w:after="0" w:line="155" w:lineRule="exact"/>
        <w:rPr>
          <w:sz w:val="20"/>
          <w:szCs w:val="20"/>
          <w:color w:val="auto"/>
        </w:rPr>
      </w:pPr>
    </w:p>
    <w:p>
      <w:pPr>
        <w:jc w:val="both"/>
        <w:ind w:right="120"/>
        <w:spacing w:after="0" w:line="236" w:lineRule="auto"/>
        <w:rPr>
          <w:sz w:val="20"/>
          <w:szCs w:val="20"/>
          <w:color w:val="auto"/>
        </w:rPr>
      </w:pPr>
      <w:r>
        <w:rPr>
          <w:rFonts w:ascii="Arial" w:cs="Arial" w:eastAsia="Arial" w:hAnsi="Arial"/>
          <w:sz w:val="18"/>
          <w:szCs w:val="18"/>
          <w:color w:val="auto"/>
        </w:rPr>
        <w:t>On January 31, 2007, our Board of Directors approved a three-for-two stock split in the form of a 50% stock dividend (the “Stock Split”) payable on February 21, 2007, to shareholders of record on February 14, 2007. The number of shares outstanding and related amounts have been adjusted to reflect the Stock Split for all periods presented.</w:t>
      </w:r>
    </w:p>
    <w:p>
      <w:pPr>
        <w:spacing w:after="0" w:line="13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2006 Financial and Operational Highlights</w:t>
      </w:r>
    </w:p>
    <w:p>
      <w:pPr>
        <w:spacing w:after="0" w:line="18" w:lineRule="exact"/>
        <w:rPr>
          <w:sz w:val="20"/>
          <w:szCs w:val="20"/>
          <w:color w:val="auto"/>
        </w:rPr>
      </w:pPr>
    </w:p>
    <w:p>
      <w:pPr>
        <w:jc w:val="both"/>
        <w:ind w:left="120" w:right="140" w:hanging="119"/>
        <w:spacing w:after="0" w:line="238" w:lineRule="auto"/>
        <w:tabs>
          <w:tab w:leader="none" w:pos="120" w:val="left"/>
        </w:tabs>
        <w:numPr>
          <w:ilvl w:val="0"/>
          <w:numId w:val="81"/>
        </w:numPr>
        <w:rPr>
          <w:rFonts w:ascii="Arial" w:cs="Arial" w:eastAsia="Arial" w:hAnsi="Arial"/>
          <w:sz w:val="18"/>
          <w:szCs w:val="18"/>
          <w:color w:val="auto"/>
        </w:rPr>
      </w:pPr>
      <w:r>
        <w:rPr>
          <w:rFonts w:ascii="Arial" w:cs="Arial" w:eastAsia="Arial" w:hAnsi="Arial"/>
          <w:sz w:val="18"/>
          <w:szCs w:val="18"/>
          <w:color w:val="auto"/>
        </w:rPr>
        <w:t>consolidated revenue growth of 18.5% and consolidated operating income growth of 31.2%, both driven by results in our Cable segment</w:t>
      </w:r>
    </w:p>
    <w:p>
      <w:pPr>
        <w:spacing w:after="0" w:line="194" w:lineRule="exact"/>
        <w:rPr>
          <w:rFonts w:ascii="Arial" w:cs="Arial" w:eastAsia="Arial" w:hAnsi="Arial"/>
          <w:sz w:val="18"/>
          <w:szCs w:val="18"/>
          <w:color w:val="auto"/>
        </w:rPr>
      </w:pPr>
    </w:p>
    <w:p>
      <w:pPr>
        <w:jc w:val="both"/>
        <w:ind w:left="120" w:right="120" w:hanging="119"/>
        <w:spacing w:after="0" w:line="237" w:lineRule="auto"/>
        <w:tabs>
          <w:tab w:leader="none" w:pos="120" w:val="left"/>
        </w:tabs>
        <w:numPr>
          <w:ilvl w:val="0"/>
          <w:numId w:val="81"/>
        </w:numPr>
        <w:rPr>
          <w:rFonts w:ascii="Arial" w:cs="Arial" w:eastAsia="Arial" w:hAnsi="Arial"/>
          <w:sz w:val="18"/>
          <w:szCs w:val="18"/>
          <w:color w:val="auto"/>
        </w:rPr>
      </w:pPr>
      <w:r>
        <w:rPr>
          <w:rFonts w:ascii="Arial" w:cs="Arial" w:eastAsia="Arial" w:hAnsi="Arial"/>
          <w:sz w:val="18"/>
          <w:szCs w:val="18"/>
          <w:color w:val="auto"/>
        </w:rPr>
        <w:t>Cable segment revenue growth of 20.6% and growth in operating income before depreciation and amortization of 22.1%, both driven by revenue generating units (“RGUs”) growth and the success of our triple play offering, as well as growth from acquisitions</w:t>
      </w:r>
    </w:p>
    <w:p>
      <w:pPr>
        <w:spacing w:after="0" w:line="13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2006 Business Developments</w:t>
      </w:r>
    </w:p>
    <w:p>
      <w:pPr>
        <w:spacing w:after="0" w:line="18" w:lineRule="exact"/>
        <w:rPr>
          <w:sz w:val="20"/>
          <w:szCs w:val="20"/>
          <w:color w:val="auto"/>
        </w:rPr>
      </w:pPr>
    </w:p>
    <w:p>
      <w:pPr>
        <w:jc w:val="both"/>
        <w:ind w:left="120" w:right="140" w:hanging="119"/>
        <w:spacing w:after="0" w:line="235" w:lineRule="auto"/>
        <w:tabs>
          <w:tab w:leader="none" w:pos="120" w:val="left"/>
        </w:tabs>
        <w:numPr>
          <w:ilvl w:val="0"/>
          <w:numId w:val="82"/>
        </w:numPr>
        <w:rPr>
          <w:rFonts w:ascii="Arial" w:cs="Arial" w:eastAsia="Arial" w:hAnsi="Arial"/>
          <w:sz w:val="18"/>
          <w:szCs w:val="18"/>
          <w:color w:val="auto"/>
        </w:rPr>
      </w:pPr>
      <w:r>
        <w:rPr>
          <w:rFonts w:ascii="Arial" w:cs="Arial" w:eastAsia="Arial" w:hAnsi="Arial"/>
          <w:sz w:val="18"/>
          <w:szCs w:val="18"/>
          <w:color w:val="auto"/>
        </w:rPr>
        <w:t>completed transactions with Adelphia and Time Warner that resulted in a net increase of 1.7 million video subscribers, a net cash payment by us of approximately $1.5 billion and the disposition of our ownership interest in Time Warner Cable Inc. (“TWC”) and Time Warner Entertainment Company, L.P. (“TWE”), the assets of two cable system partnerships and the transfer of our previously owned cable systems in Los Angeles, Cleveland and Dallas. We collectively refer to these transactions as the “Adelphia and Time Warner transactions.”</w:t>
      </w:r>
    </w:p>
    <w:p>
      <w:pPr>
        <w:spacing w:after="0" w:line="201" w:lineRule="exact"/>
        <w:rPr>
          <w:rFonts w:ascii="Arial" w:cs="Arial" w:eastAsia="Arial" w:hAnsi="Arial"/>
          <w:sz w:val="18"/>
          <w:szCs w:val="18"/>
          <w:color w:val="auto"/>
        </w:rPr>
      </w:pPr>
    </w:p>
    <w:p>
      <w:pPr>
        <w:jc w:val="both"/>
        <w:ind w:left="120" w:right="140" w:hanging="119"/>
        <w:spacing w:after="0" w:line="237" w:lineRule="auto"/>
        <w:tabs>
          <w:tab w:leader="none" w:pos="120" w:val="left"/>
        </w:tabs>
        <w:numPr>
          <w:ilvl w:val="0"/>
          <w:numId w:val="82"/>
        </w:numPr>
        <w:rPr>
          <w:rFonts w:ascii="Arial" w:cs="Arial" w:eastAsia="Arial" w:hAnsi="Arial"/>
          <w:sz w:val="18"/>
          <w:szCs w:val="18"/>
          <w:color w:val="auto"/>
        </w:rPr>
      </w:pPr>
      <w:r>
        <w:rPr>
          <w:rFonts w:ascii="Arial" w:cs="Arial" w:eastAsia="Arial" w:hAnsi="Arial"/>
          <w:sz w:val="18"/>
          <w:szCs w:val="18"/>
          <w:color w:val="auto"/>
        </w:rPr>
        <w:t>initiated the dissolution of the Texas and Kansas City Cable Partnership (“TKCCP”) that resulted in our acquisition of cable systems serving Houston, Texas (approximately 700,000 video subscribers) in January 2007</w:t>
      </w:r>
    </w:p>
    <w:p>
      <w:pPr>
        <w:spacing w:after="0" w:line="195" w:lineRule="exact"/>
        <w:rPr>
          <w:rFonts w:ascii="Arial" w:cs="Arial" w:eastAsia="Arial" w:hAnsi="Arial"/>
          <w:sz w:val="18"/>
          <w:szCs w:val="18"/>
          <w:color w:val="auto"/>
        </w:rPr>
      </w:pPr>
    </w:p>
    <w:p>
      <w:pPr>
        <w:jc w:val="both"/>
        <w:ind w:left="120" w:right="140" w:hanging="119"/>
        <w:spacing w:after="0" w:line="238" w:lineRule="auto"/>
        <w:tabs>
          <w:tab w:leader="none" w:pos="120" w:val="left"/>
        </w:tabs>
        <w:numPr>
          <w:ilvl w:val="0"/>
          <w:numId w:val="82"/>
        </w:numPr>
        <w:rPr>
          <w:rFonts w:ascii="Arial" w:cs="Arial" w:eastAsia="Arial" w:hAnsi="Arial"/>
          <w:sz w:val="18"/>
          <w:szCs w:val="18"/>
          <w:color w:val="auto"/>
        </w:rPr>
      </w:pPr>
      <w:r>
        <w:rPr>
          <w:rFonts w:ascii="Arial" w:cs="Arial" w:eastAsia="Arial" w:hAnsi="Arial"/>
          <w:sz w:val="18"/>
          <w:szCs w:val="18"/>
          <w:color w:val="auto"/>
        </w:rPr>
        <w:t>acquired the cable systems of Susquehanna Communications serving approximately 200,000 video subscribers for approximately $775 million</w:t>
      </w:r>
    </w:p>
    <w:p>
      <w:pPr>
        <w:spacing w:after="0" w:line="194" w:lineRule="exact"/>
        <w:rPr>
          <w:rFonts w:ascii="Arial" w:cs="Arial" w:eastAsia="Arial" w:hAnsi="Arial"/>
          <w:sz w:val="18"/>
          <w:szCs w:val="18"/>
          <w:color w:val="auto"/>
        </w:rPr>
      </w:pPr>
    </w:p>
    <w:p>
      <w:pPr>
        <w:jc w:val="both"/>
        <w:ind w:left="120" w:right="140" w:hanging="119"/>
        <w:spacing w:after="0" w:line="238" w:lineRule="auto"/>
        <w:tabs>
          <w:tab w:leader="none" w:pos="120" w:val="left"/>
        </w:tabs>
        <w:numPr>
          <w:ilvl w:val="0"/>
          <w:numId w:val="82"/>
        </w:numPr>
        <w:rPr>
          <w:rFonts w:ascii="Arial" w:cs="Arial" w:eastAsia="Arial" w:hAnsi="Arial"/>
          <w:sz w:val="18"/>
          <w:szCs w:val="18"/>
          <w:color w:val="auto"/>
        </w:rPr>
      </w:pPr>
      <w:r>
        <w:rPr>
          <w:rFonts w:ascii="Arial" w:cs="Arial" w:eastAsia="Arial" w:hAnsi="Arial"/>
          <w:sz w:val="18"/>
          <w:szCs w:val="18"/>
          <w:color w:val="auto"/>
        </w:rPr>
        <w:t>acquired the 39.5% interest in E! Entertainment Television (which operates the E! and Style programming networks) that we did not already own for approximately $1.2 billion</w:t>
      </w:r>
    </w:p>
    <w:p>
      <w:pPr>
        <w:spacing w:after="0" w:line="194" w:lineRule="exact"/>
        <w:rPr>
          <w:rFonts w:ascii="Arial" w:cs="Arial" w:eastAsia="Arial" w:hAnsi="Arial"/>
          <w:sz w:val="18"/>
          <w:szCs w:val="18"/>
          <w:color w:val="auto"/>
        </w:rPr>
      </w:pPr>
    </w:p>
    <w:p>
      <w:pPr>
        <w:jc w:val="both"/>
        <w:ind w:left="120" w:right="140" w:hanging="119"/>
        <w:spacing w:after="0" w:line="237" w:lineRule="auto"/>
        <w:tabs>
          <w:tab w:leader="none" w:pos="120" w:val="left"/>
        </w:tabs>
        <w:numPr>
          <w:ilvl w:val="0"/>
          <w:numId w:val="82"/>
        </w:numPr>
        <w:rPr>
          <w:rFonts w:ascii="Arial" w:cs="Arial" w:eastAsia="Arial" w:hAnsi="Arial"/>
          <w:sz w:val="18"/>
          <w:szCs w:val="18"/>
          <w:color w:val="auto"/>
        </w:rPr>
      </w:pPr>
      <w:r>
        <w:rPr>
          <w:rFonts w:ascii="Arial" w:cs="Arial" w:eastAsia="Arial" w:hAnsi="Arial"/>
          <w:sz w:val="18"/>
          <w:szCs w:val="18"/>
          <w:color w:val="auto"/>
        </w:rPr>
        <w:t>participated in a consortium of investors (“SpectrumCo”) that acquired wireless spectrum licenses covering approximately 91% of the population in the United States for approximately $2.4 billion (our portion was $1.3 billion)</w:t>
      </w:r>
    </w:p>
    <w:p>
      <w:pPr>
        <w:spacing w:after="0" w:line="195" w:lineRule="exact"/>
        <w:rPr>
          <w:rFonts w:ascii="Arial" w:cs="Arial" w:eastAsia="Arial" w:hAnsi="Arial"/>
          <w:sz w:val="18"/>
          <w:szCs w:val="18"/>
          <w:color w:val="auto"/>
        </w:rPr>
      </w:pPr>
    </w:p>
    <w:p>
      <w:pPr>
        <w:jc w:val="both"/>
        <w:ind w:left="120" w:right="140" w:hanging="119"/>
        <w:spacing w:after="0" w:line="237" w:lineRule="auto"/>
        <w:tabs>
          <w:tab w:leader="none" w:pos="120" w:val="left"/>
        </w:tabs>
        <w:numPr>
          <w:ilvl w:val="0"/>
          <w:numId w:val="82"/>
        </w:numPr>
        <w:rPr>
          <w:rFonts w:ascii="Arial" w:cs="Arial" w:eastAsia="Arial" w:hAnsi="Arial"/>
          <w:sz w:val="18"/>
          <w:szCs w:val="18"/>
          <w:color w:val="auto"/>
        </w:rPr>
      </w:pPr>
      <w:r>
        <w:rPr>
          <w:rFonts w:ascii="Arial" w:cs="Arial" w:eastAsia="Arial" w:hAnsi="Arial"/>
          <w:sz w:val="18"/>
          <w:szCs w:val="18"/>
          <w:color w:val="auto"/>
        </w:rPr>
        <w:t>repurchased approximately 113 million shares (adjusted to reflect the Stock Split) of our Class A Special common stock pursuant to our Board-authorized share repurchase program for approximately $2.3 billion</w:t>
      </w:r>
    </w:p>
    <w:p>
      <w:pPr>
        <w:spacing w:after="0" w:line="155" w:lineRule="exact"/>
        <w:rPr>
          <w:sz w:val="20"/>
          <w:szCs w:val="20"/>
          <w:color w:val="auto"/>
        </w:rPr>
      </w:pPr>
    </w:p>
    <w:p>
      <w:pPr>
        <w:ind w:right="140"/>
        <w:spacing w:after="0" w:line="239" w:lineRule="auto"/>
        <w:rPr>
          <w:rFonts w:ascii="Arial" w:cs="Arial" w:eastAsia="Arial" w:hAnsi="Arial"/>
          <w:sz w:val="18"/>
          <w:szCs w:val="18"/>
          <w:color w:val="auto"/>
        </w:rPr>
      </w:pPr>
      <w:r>
        <w:rPr>
          <w:rFonts w:ascii="Arial" w:cs="Arial" w:eastAsia="Arial" w:hAnsi="Arial"/>
          <w:sz w:val="18"/>
          <w:szCs w:val="18"/>
          <w:color w:val="auto"/>
        </w:rPr>
        <w:t xml:space="preserve">Refer to </w:t>
      </w:r>
      <w:hyperlink w:anchor="page126">
        <w:r>
          <w:rPr>
            <w:rFonts w:ascii="Arial" w:cs="Arial" w:eastAsia="Arial" w:hAnsi="Arial"/>
            <w:sz w:val="18"/>
            <w:szCs w:val="18"/>
            <w:u w:val="single" w:color="auto"/>
            <w:color w:val="0000EE"/>
          </w:rPr>
          <w:t>Note 5</w:t>
        </w:r>
        <w:r>
          <w:rPr>
            <w:rFonts w:ascii="Arial" w:cs="Arial" w:eastAsia="Arial" w:hAnsi="Arial"/>
            <w:sz w:val="18"/>
            <w:szCs w:val="18"/>
            <w:u w:val="single" w:color="auto"/>
            <w:color w:val="auto"/>
          </w:rPr>
          <w:t xml:space="preserve"> </w:t>
        </w:r>
      </w:hyperlink>
      <w:r>
        <w:rPr>
          <w:rFonts w:ascii="Arial" w:cs="Arial" w:eastAsia="Arial" w:hAnsi="Arial"/>
          <w:sz w:val="18"/>
          <w:szCs w:val="18"/>
          <w:color w:val="auto"/>
        </w:rPr>
        <w:t>to our consolidated financial statements for information about acquisitions and other significant events.</w:t>
      </w:r>
    </w:p>
    <w:p>
      <w:pPr>
        <w:spacing w:after="0" w:line="176" w:lineRule="exact"/>
        <w:rPr>
          <w:sz w:val="20"/>
          <w:szCs w:val="20"/>
          <w:color w:val="auto"/>
        </w:rPr>
      </w:pPr>
    </w:p>
    <w:p>
      <w:pPr>
        <w:sectPr>
          <w:pgSz w:w="11900" w:h="16838" w:orient="portrait"/>
          <w:cols w:equalWidth="0" w:num="2">
            <w:col w:w="5480" w:space="340"/>
            <w:col w:w="5600"/>
          </w:cols>
          <w:pgMar w:left="240" w:top="459" w:right="239" w:bottom="1440" w:gutter="0" w:footer="0" w:header="0"/>
          <w:type w:val="continuous"/>
        </w:sectPr>
      </w:pPr>
    </w:p>
    <w:p>
      <w:pPr>
        <w:ind w:left="5680"/>
        <w:spacing w:after="0"/>
        <w:tabs>
          <w:tab w:leader="none" w:pos="9620" w:val="left"/>
        </w:tabs>
        <w:rPr>
          <w:sz w:val="20"/>
          <w:szCs w:val="20"/>
          <w:color w:val="auto"/>
        </w:rPr>
      </w:pPr>
      <w:r>
        <w:rPr>
          <w:rFonts w:ascii="Arial" w:cs="Arial" w:eastAsia="Arial" w:hAnsi="Arial"/>
          <w:sz w:val="12"/>
          <w:szCs w:val="12"/>
          <w:b w:val="1"/>
          <w:bCs w:val="1"/>
          <w:color w:val="auto"/>
        </w:rPr>
        <w:t>25</w:t>
      </w:r>
      <w:r>
        <w:rPr>
          <w:sz w:val="20"/>
          <w:szCs w:val="20"/>
          <w:color w:val="auto"/>
        </w:rPr>
        <w:tab/>
      </w:r>
      <w:r>
        <w:rPr>
          <w:rFonts w:ascii="Arial" w:cs="Arial" w:eastAsia="Arial" w:hAnsi="Arial"/>
          <w:sz w:val="12"/>
          <w:szCs w:val="12"/>
          <w:color w:val="auto"/>
        </w:rPr>
        <w:t>Comcast 2006 Annual Report</w:t>
      </w:r>
    </w:p>
    <w:p>
      <w:pPr>
        <w:sectPr>
          <w:pgSz w:w="11900" w:h="16838" w:orient="portrait"/>
          <w:cols w:equalWidth="0" w:num="1">
            <w:col w:w="11420"/>
          </w:cols>
          <w:pgMar w:left="240" w:top="459" w:right="239" w:bottom="1440" w:gutter="0" w:footer="0" w:header="0"/>
          <w:type w:val="continuous"/>
        </w:sectPr>
      </w:pPr>
    </w:p>
    <w:bookmarkStart w:id="102" w:name="page103"/>
    <w:bookmarkEnd w:id="10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139" name="Picture 1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9"/>
                    <pic:cNvPicPr>
                      <a:picLocks noChangeAspect="1" noChangeArrowheads="1"/>
                    </pic:cNvPicPr>
                  </pic:nvPicPr>
                  <pic:blipFill>
                    <a:blip r:embed="rId146">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200" w:lineRule="exact"/>
        <w:rPr>
          <w:sz w:val="20"/>
          <w:szCs w:val="20"/>
          <w:color w:val="auto"/>
        </w:rPr>
      </w:pPr>
    </w:p>
    <w:p>
      <w:pPr>
        <w:spacing w:after="0" w:line="25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The Areas We Serve</w:t>
      </w:r>
    </w:p>
    <w:p>
      <w:pPr>
        <w:spacing w:after="0" w:line="18" w:lineRule="exact"/>
        <w:rPr>
          <w:sz w:val="20"/>
          <w:szCs w:val="20"/>
          <w:color w:val="auto"/>
        </w:rPr>
      </w:pPr>
    </w:p>
    <w:p>
      <w:pPr>
        <w:jc w:val="both"/>
        <w:spacing w:after="0" w:line="239" w:lineRule="auto"/>
        <w:rPr>
          <w:sz w:val="20"/>
          <w:szCs w:val="20"/>
          <w:color w:val="auto"/>
        </w:rPr>
      </w:pPr>
      <w:r>
        <w:rPr>
          <w:rFonts w:ascii="Arial" w:cs="Arial" w:eastAsia="Arial" w:hAnsi="Arial"/>
          <w:sz w:val="18"/>
          <w:szCs w:val="18"/>
          <w:color w:val="auto"/>
        </w:rPr>
        <w:t>The map below highlights our 40 major markets with emphasis on our operations in the top 25 U.S. TV markets. Approximately 90% of our video subscribers are in the markets listed (subscribers in thousands).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777240</wp:posOffset>
            </wp:positionH>
            <wp:positionV relativeFrom="paragraph">
              <wp:posOffset>96520</wp:posOffset>
            </wp:positionV>
            <wp:extent cx="5702935" cy="2744470"/>
            <wp:wrapNone/>
            <wp:docPr id="140" name="Picture 1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0"/>
                    <pic:cNvPicPr>
                      <a:picLocks noChangeAspect="1" noChangeArrowheads="1"/>
                    </pic:cNvPicPr>
                  </pic:nvPicPr>
                  <pic:blipFill>
                    <a:blip r:embed="rId147">
                      <a:extLst>
                        <a:ext uri="{28A0092B-C50C-407E-A947-70E740481C1C}"/>
                      </a:extLst>
                    </a:blip>
                    <a:srcRect/>
                    <a:stretch>
                      <a:fillRect/>
                    </a:stretch>
                  </pic:blipFill>
                  <pic:spPr bwMode="auto">
                    <a:xfrm>
                      <a:off x="0" y="0"/>
                      <a:ext cx="5702935" cy="274447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8" w:lineRule="exact"/>
        <w:rPr>
          <w:sz w:val="20"/>
          <w:szCs w:val="20"/>
          <w:color w:val="auto"/>
        </w:rPr>
      </w:pPr>
    </w:p>
    <w:p>
      <w:pPr>
        <w:spacing w:after="0"/>
        <w:rPr>
          <w:sz w:val="20"/>
          <w:szCs w:val="20"/>
          <w:color w:val="auto"/>
        </w:rPr>
      </w:pPr>
      <w:r>
        <w:rPr>
          <w:rFonts w:ascii="Arial" w:cs="Arial" w:eastAsia="Arial" w:hAnsi="Arial"/>
          <w:sz w:val="18"/>
          <w:szCs w:val="18"/>
          <w:color w:val="auto"/>
        </w:rPr>
        <w:t>* As of January 1, 2007</w:t>
      </w:r>
    </w:p>
    <w:p>
      <w:pPr>
        <w:spacing w:after="0" w:line="158" w:lineRule="exact"/>
        <w:rPr>
          <w:sz w:val="20"/>
          <w:szCs w:val="20"/>
          <w:color w:val="auto"/>
        </w:rPr>
      </w:pPr>
    </w:p>
    <w:p>
      <w:pPr>
        <w:jc w:val="both"/>
        <w:spacing w:after="0" w:line="237" w:lineRule="auto"/>
        <w:rPr>
          <w:sz w:val="20"/>
          <w:szCs w:val="20"/>
          <w:color w:val="auto"/>
        </w:rPr>
      </w:pPr>
      <w:r>
        <w:rPr>
          <w:rFonts w:ascii="Arial" w:cs="Arial" w:eastAsia="Arial" w:hAnsi="Arial"/>
          <w:sz w:val="18"/>
          <w:szCs w:val="18"/>
          <w:color w:val="auto"/>
        </w:rPr>
        <w:t>The following provides further details of our highlights and insights into our consolidated financial statements, including discussion of our results of operations and our liquidity and capital resources. As a result of transferring our previously owned cable systems located in Los Angeles, Cleveland and Dallas (“Comcast Exchange Systems”), the operating results of the Comcast Exchange Systems are reported as discontinued operations for all periods presented.</w:t>
      </w:r>
    </w:p>
    <w:p>
      <w:pPr>
        <w:spacing w:after="0" w:line="133" w:lineRule="exact"/>
        <w:rPr>
          <w:sz w:val="20"/>
          <w:szCs w:val="20"/>
          <w:color w:val="auto"/>
        </w:rPr>
      </w:pPr>
    </w:p>
    <w:p>
      <w:pPr>
        <w:spacing w:after="0"/>
        <w:rPr>
          <w:sz w:val="20"/>
          <w:szCs w:val="20"/>
          <w:color w:val="auto"/>
        </w:rPr>
      </w:pPr>
      <w:r>
        <w:rPr>
          <w:rFonts w:ascii="Arial" w:cs="Arial" w:eastAsia="Arial" w:hAnsi="Arial"/>
          <w:sz w:val="18"/>
          <w:szCs w:val="18"/>
          <w:b w:val="1"/>
          <w:bCs w:val="1"/>
          <w:color w:val="35BF85"/>
        </w:rPr>
        <w:t>Consolidated Operating Results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77470</wp:posOffset>
            </wp:positionV>
            <wp:extent cx="7246620" cy="8890"/>
            <wp:wrapNone/>
            <wp:docPr id="141" name="Picture 1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1"/>
                    <pic:cNvPicPr>
                      <a:picLocks noChangeAspect="1" noChangeArrowheads="1"/>
                    </pic:cNvPicPr>
                  </pic:nvPicPr>
                  <pic:blipFill>
                    <a:blip r:embed="rId148">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195"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5200" w:type="dxa"/>
            <w:vAlign w:val="bottom"/>
          </w:tcPr>
          <w:p>
            <w:pPr>
              <w:spacing w:after="0"/>
              <w:rPr>
                <w:sz w:val="14"/>
                <w:szCs w:val="14"/>
                <w:color w:val="auto"/>
              </w:rPr>
            </w:pPr>
          </w:p>
        </w:tc>
        <w:tc>
          <w:tcPr>
            <w:tcW w:w="118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1320" w:type="dxa"/>
            <w:vAlign w:val="bottom"/>
          </w:tcPr>
          <w:p>
            <w:pPr>
              <w:jc w:val="right"/>
              <w:ind w:right="252"/>
              <w:spacing w:after="0"/>
              <w:rPr>
                <w:sz w:val="20"/>
                <w:szCs w:val="20"/>
                <w:color w:val="auto"/>
              </w:rPr>
            </w:pPr>
            <w:r>
              <w:rPr>
                <w:rFonts w:ascii="Arial" w:cs="Arial" w:eastAsia="Arial" w:hAnsi="Arial"/>
                <w:sz w:val="14"/>
                <w:szCs w:val="14"/>
                <w:b w:val="1"/>
                <w:bCs w:val="1"/>
                <w:color w:val="auto"/>
              </w:rPr>
              <w:t>% Change</w:t>
            </w:r>
          </w:p>
        </w:tc>
        <w:tc>
          <w:tcPr>
            <w:tcW w:w="1160" w:type="dxa"/>
            <w:vAlign w:val="bottom"/>
          </w:tcPr>
          <w:p>
            <w:pPr>
              <w:jc w:val="right"/>
              <w:ind w:right="112"/>
              <w:spacing w:after="0"/>
              <w:rPr>
                <w:sz w:val="20"/>
                <w:szCs w:val="20"/>
                <w:color w:val="auto"/>
              </w:rPr>
            </w:pPr>
            <w:r>
              <w:rPr>
                <w:rFonts w:ascii="Arial" w:cs="Arial" w:eastAsia="Arial" w:hAnsi="Arial"/>
                <w:sz w:val="14"/>
                <w:szCs w:val="14"/>
                <w:color w:val="auto"/>
              </w:rPr>
              <w:t>% Change</w:t>
            </w:r>
          </w:p>
        </w:tc>
        <w:tc>
          <w:tcPr>
            <w:tcW w:w="0" w:type="dxa"/>
            <w:vAlign w:val="bottom"/>
          </w:tcPr>
          <w:p>
            <w:pPr>
              <w:spacing w:after="0"/>
              <w:rPr>
                <w:sz w:val="1"/>
                <w:szCs w:val="1"/>
                <w:color w:val="auto"/>
              </w:rPr>
            </w:pPr>
          </w:p>
        </w:tc>
      </w:tr>
      <w:tr>
        <w:trPr>
          <w:trHeight w:val="165"/>
        </w:trPr>
        <w:tc>
          <w:tcPr>
            <w:tcW w:w="5200" w:type="dxa"/>
            <w:vAlign w:val="bottom"/>
            <w:tcBorders>
              <w:bottom w:val="single" w:sz="8" w:color="auto"/>
            </w:tcBorders>
          </w:tcPr>
          <w:p>
            <w:pPr>
              <w:spacing w:after="0"/>
              <w:rPr>
                <w:sz w:val="20"/>
                <w:szCs w:val="20"/>
                <w:color w:val="auto"/>
              </w:rPr>
            </w:pPr>
            <w:r>
              <w:rPr>
                <w:rFonts w:ascii="Arial" w:cs="Arial" w:eastAsia="Arial" w:hAnsi="Arial"/>
                <w:sz w:val="14"/>
                <w:szCs w:val="14"/>
                <w:color w:val="auto"/>
              </w:rPr>
              <w:t>Year Ended December 31 (in millions)</w:t>
            </w:r>
          </w:p>
        </w:tc>
        <w:tc>
          <w:tcPr>
            <w:tcW w:w="1180" w:type="dxa"/>
            <w:vAlign w:val="bottom"/>
            <w:tcBorders>
              <w:bottom w:val="single" w:sz="8" w:color="auto"/>
            </w:tcBorders>
          </w:tcPr>
          <w:p>
            <w:pPr>
              <w:spacing w:after="0"/>
              <w:rPr>
                <w:sz w:val="14"/>
                <w:szCs w:val="14"/>
                <w:color w:val="auto"/>
              </w:rPr>
            </w:pPr>
          </w:p>
        </w:tc>
        <w:tc>
          <w:tcPr>
            <w:tcW w:w="660" w:type="dxa"/>
            <w:vAlign w:val="bottom"/>
            <w:tcBorders>
              <w:bottom w:val="single" w:sz="8" w:color="auto"/>
            </w:tcBorders>
          </w:tcPr>
          <w:p>
            <w:pPr>
              <w:jc w:val="right"/>
              <w:ind w:right="172"/>
              <w:spacing w:after="0"/>
              <w:rPr>
                <w:sz w:val="20"/>
                <w:szCs w:val="20"/>
                <w:color w:val="auto"/>
              </w:rPr>
            </w:pPr>
            <w:r>
              <w:rPr>
                <w:rFonts w:ascii="Arial" w:cs="Arial" w:eastAsia="Arial" w:hAnsi="Arial"/>
                <w:sz w:val="14"/>
                <w:szCs w:val="14"/>
                <w:b w:val="1"/>
                <w:bCs w:val="1"/>
                <w:color w:val="auto"/>
              </w:rPr>
              <w:t>2006</w:t>
            </w:r>
          </w:p>
        </w:tc>
        <w:tc>
          <w:tcPr>
            <w:tcW w:w="280" w:type="dxa"/>
            <w:vAlign w:val="bottom"/>
            <w:tcBorders>
              <w:bottom w:val="single" w:sz="8" w:color="auto"/>
            </w:tcBorders>
          </w:tcPr>
          <w:p>
            <w:pPr>
              <w:spacing w:after="0"/>
              <w:rPr>
                <w:sz w:val="14"/>
                <w:szCs w:val="14"/>
                <w:color w:val="auto"/>
              </w:rPr>
            </w:pPr>
          </w:p>
        </w:tc>
        <w:tc>
          <w:tcPr>
            <w:tcW w:w="680" w:type="dxa"/>
            <w:vAlign w:val="bottom"/>
            <w:tcBorders>
              <w:bottom w:val="single" w:sz="8" w:color="auto"/>
            </w:tcBorders>
          </w:tcPr>
          <w:p>
            <w:pPr>
              <w:jc w:val="right"/>
              <w:ind w:right="192"/>
              <w:spacing w:after="0"/>
              <w:rPr>
                <w:sz w:val="20"/>
                <w:szCs w:val="20"/>
                <w:color w:val="auto"/>
              </w:rPr>
            </w:pPr>
            <w:r>
              <w:rPr>
                <w:rFonts w:ascii="Arial" w:cs="Arial" w:eastAsia="Arial" w:hAnsi="Arial"/>
                <w:sz w:val="14"/>
                <w:szCs w:val="14"/>
                <w:color w:val="auto"/>
              </w:rPr>
              <w:t>2005</w:t>
            </w:r>
          </w:p>
        </w:tc>
        <w:tc>
          <w:tcPr>
            <w:tcW w:w="280" w:type="dxa"/>
            <w:vAlign w:val="bottom"/>
            <w:tcBorders>
              <w:bottom w:val="single" w:sz="8" w:color="auto"/>
            </w:tcBorders>
          </w:tcPr>
          <w:p>
            <w:pPr>
              <w:spacing w:after="0"/>
              <w:rPr>
                <w:sz w:val="14"/>
                <w:szCs w:val="14"/>
                <w:color w:val="auto"/>
              </w:rPr>
            </w:pPr>
          </w:p>
        </w:tc>
        <w:tc>
          <w:tcPr>
            <w:tcW w:w="660" w:type="dxa"/>
            <w:vAlign w:val="bottom"/>
            <w:tcBorders>
              <w:bottom w:val="single" w:sz="8" w:color="auto"/>
            </w:tcBorders>
          </w:tcPr>
          <w:p>
            <w:pPr>
              <w:jc w:val="right"/>
              <w:ind w:right="172"/>
              <w:spacing w:after="0"/>
              <w:rPr>
                <w:sz w:val="20"/>
                <w:szCs w:val="20"/>
                <w:color w:val="auto"/>
              </w:rPr>
            </w:pPr>
            <w:r>
              <w:rPr>
                <w:rFonts w:ascii="Arial" w:cs="Arial" w:eastAsia="Arial" w:hAnsi="Arial"/>
                <w:sz w:val="14"/>
                <w:szCs w:val="14"/>
                <w:color w:val="auto"/>
              </w:rPr>
              <w:t>2004</w:t>
            </w:r>
          </w:p>
        </w:tc>
        <w:tc>
          <w:tcPr>
            <w:tcW w:w="1320" w:type="dxa"/>
            <w:vAlign w:val="bottom"/>
            <w:tcBorders>
              <w:bottom w:val="single" w:sz="8" w:color="auto"/>
            </w:tcBorders>
          </w:tcPr>
          <w:p>
            <w:pPr>
              <w:jc w:val="right"/>
              <w:ind w:right="252"/>
              <w:spacing w:after="0"/>
              <w:rPr>
                <w:sz w:val="20"/>
                <w:szCs w:val="20"/>
                <w:color w:val="auto"/>
              </w:rPr>
            </w:pPr>
            <w:r>
              <w:rPr>
                <w:rFonts w:ascii="Arial" w:cs="Arial" w:eastAsia="Arial" w:hAnsi="Arial"/>
                <w:sz w:val="14"/>
                <w:szCs w:val="14"/>
                <w:b w:val="1"/>
                <w:bCs w:val="1"/>
                <w:color w:val="auto"/>
              </w:rPr>
              <w:t>2005 to 2006</w:t>
            </w:r>
          </w:p>
        </w:tc>
        <w:tc>
          <w:tcPr>
            <w:tcW w:w="1160" w:type="dxa"/>
            <w:vAlign w:val="bottom"/>
            <w:tcBorders>
              <w:bottom w:val="single" w:sz="8" w:color="auto"/>
            </w:tcBorders>
          </w:tcPr>
          <w:p>
            <w:pPr>
              <w:jc w:val="right"/>
              <w:ind w:right="112"/>
              <w:spacing w:after="0"/>
              <w:rPr>
                <w:sz w:val="20"/>
                <w:szCs w:val="20"/>
                <w:color w:val="auto"/>
              </w:rPr>
            </w:pPr>
            <w:r>
              <w:rPr>
                <w:rFonts w:ascii="Arial" w:cs="Arial" w:eastAsia="Arial" w:hAnsi="Arial"/>
                <w:sz w:val="14"/>
                <w:szCs w:val="14"/>
                <w:color w:val="auto"/>
              </w:rPr>
              <w:t>2004 to 2005</w:t>
            </w:r>
          </w:p>
        </w:tc>
        <w:tc>
          <w:tcPr>
            <w:tcW w:w="0" w:type="dxa"/>
            <w:vAlign w:val="bottom"/>
          </w:tcPr>
          <w:p>
            <w:pPr>
              <w:spacing w:after="0"/>
              <w:rPr>
                <w:sz w:val="1"/>
                <w:szCs w:val="1"/>
                <w:color w:val="auto"/>
              </w:rPr>
            </w:pPr>
          </w:p>
        </w:tc>
      </w:tr>
      <w:tr>
        <w:trPr>
          <w:trHeight w:val="141"/>
        </w:trPr>
        <w:tc>
          <w:tcPr>
            <w:tcW w:w="5200" w:type="dxa"/>
            <w:vAlign w:val="bottom"/>
          </w:tcPr>
          <w:p>
            <w:pPr>
              <w:spacing w:after="0" w:line="141" w:lineRule="exact"/>
              <w:rPr>
                <w:sz w:val="20"/>
                <w:szCs w:val="20"/>
                <w:color w:val="auto"/>
              </w:rPr>
            </w:pPr>
            <w:r>
              <w:rPr>
                <w:rFonts w:ascii="Arial" w:cs="Arial" w:eastAsia="Arial" w:hAnsi="Arial"/>
                <w:sz w:val="14"/>
                <w:szCs w:val="14"/>
                <w:b w:val="1"/>
                <w:bCs w:val="1"/>
                <w:color w:val="auto"/>
              </w:rPr>
              <w:t>Revenues</w:t>
            </w:r>
          </w:p>
        </w:tc>
        <w:tc>
          <w:tcPr>
            <w:tcW w:w="1180" w:type="dxa"/>
            <w:vAlign w:val="bottom"/>
          </w:tcPr>
          <w:p>
            <w:pPr>
              <w:jc w:val="right"/>
              <w:spacing w:after="0" w:line="141" w:lineRule="exact"/>
              <w:rPr>
                <w:sz w:val="20"/>
                <w:szCs w:val="20"/>
                <w:color w:val="auto"/>
              </w:rPr>
            </w:pPr>
            <w:r>
              <w:rPr>
                <w:rFonts w:ascii="Arial" w:cs="Arial" w:eastAsia="Arial" w:hAnsi="Arial"/>
                <w:sz w:val="14"/>
                <w:szCs w:val="14"/>
                <w:b w:val="1"/>
                <w:bCs w:val="1"/>
                <w:color w:val="auto"/>
              </w:rPr>
              <w:t>$</w:t>
            </w:r>
          </w:p>
        </w:tc>
        <w:tc>
          <w:tcPr>
            <w:tcW w:w="660" w:type="dxa"/>
            <w:vAlign w:val="bottom"/>
          </w:tcPr>
          <w:p>
            <w:pPr>
              <w:jc w:val="right"/>
              <w:ind w:right="172"/>
              <w:spacing w:after="0" w:line="141" w:lineRule="exact"/>
              <w:rPr>
                <w:sz w:val="20"/>
                <w:szCs w:val="20"/>
                <w:color w:val="auto"/>
              </w:rPr>
            </w:pPr>
            <w:r>
              <w:rPr>
                <w:rFonts w:ascii="Arial" w:cs="Arial" w:eastAsia="Arial" w:hAnsi="Arial"/>
                <w:sz w:val="14"/>
                <w:szCs w:val="14"/>
                <w:b w:val="1"/>
                <w:bCs w:val="1"/>
                <w:color w:val="auto"/>
                <w:w w:val="93"/>
              </w:rPr>
              <w:t>24,966</w:t>
            </w:r>
          </w:p>
        </w:tc>
        <w:tc>
          <w:tcPr>
            <w:tcW w:w="280" w:type="dxa"/>
            <w:vAlign w:val="bottom"/>
          </w:tcPr>
          <w:p>
            <w:pPr>
              <w:jc w:val="right"/>
              <w:spacing w:after="0" w:line="141" w:lineRule="exact"/>
              <w:rPr>
                <w:sz w:val="20"/>
                <w:szCs w:val="20"/>
                <w:color w:val="auto"/>
              </w:rPr>
            </w:pPr>
            <w:r>
              <w:rPr>
                <w:rFonts w:ascii="Arial" w:cs="Arial" w:eastAsia="Arial" w:hAnsi="Arial"/>
                <w:sz w:val="14"/>
                <w:szCs w:val="14"/>
                <w:color w:val="auto"/>
              </w:rPr>
              <w:t>$</w:t>
            </w:r>
          </w:p>
        </w:tc>
        <w:tc>
          <w:tcPr>
            <w:tcW w:w="680" w:type="dxa"/>
            <w:vAlign w:val="bottom"/>
          </w:tcPr>
          <w:p>
            <w:pPr>
              <w:jc w:val="right"/>
              <w:ind w:right="192"/>
              <w:spacing w:after="0" w:line="141" w:lineRule="exact"/>
              <w:rPr>
                <w:sz w:val="20"/>
                <w:szCs w:val="20"/>
                <w:color w:val="auto"/>
              </w:rPr>
            </w:pPr>
            <w:r>
              <w:rPr>
                <w:rFonts w:ascii="Arial" w:cs="Arial" w:eastAsia="Arial" w:hAnsi="Arial"/>
                <w:sz w:val="14"/>
                <w:szCs w:val="14"/>
                <w:color w:val="auto"/>
                <w:w w:val="93"/>
              </w:rPr>
              <w:t>21,075</w:t>
            </w:r>
          </w:p>
        </w:tc>
        <w:tc>
          <w:tcPr>
            <w:tcW w:w="280" w:type="dxa"/>
            <w:vAlign w:val="bottom"/>
          </w:tcPr>
          <w:p>
            <w:pPr>
              <w:jc w:val="right"/>
              <w:spacing w:after="0" w:line="141" w:lineRule="exact"/>
              <w:rPr>
                <w:sz w:val="20"/>
                <w:szCs w:val="20"/>
                <w:color w:val="auto"/>
              </w:rPr>
            </w:pPr>
            <w:r>
              <w:rPr>
                <w:rFonts w:ascii="Arial" w:cs="Arial" w:eastAsia="Arial" w:hAnsi="Arial"/>
                <w:sz w:val="14"/>
                <w:szCs w:val="14"/>
                <w:color w:val="auto"/>
              </w:rPr>
              <w:t>$</w:t>
            </w:r>
          </w:p>
        </w:tc>
        <w:tc>
          <w:tcPr>
            <w:tcW w:w="660" w:type="dxa"/>
            <w:vAlign w:val="bottom"/>
          </w:tcPr>
          <w:p>
            <w:pPr>
              <w:jc w:val="right"/>
              <w:ind w:right="172"/>
              <w:spacing w:after="0" w:line="141" w:lineRule="exact"/>
              <w:rPr>
                <w:sz w:val="20"/>
                <w:szCs w:val="20"/>
                <w:color w:val="auto"/>
              </w:rPr>
            </w:pPr>
            <w:r>
              <w:rPr>
                <w:rFonts w:ascii="Arial" w:cs="Arial" w:eastAsia="Arial" w:hAnsi="Arial"/>
                <w:sz w:val="14"/>
                <w:szCs w:val="14"/>
                <w:color w:val="auto"/>
                <w:w w:val="93"/>
              </w:rPr>
              <w:t>19,221</w:t>
            </w:r>
          </w:p>
        </w:tc>
        <w:tc>
          <w:tcPr>
            <w:tcW w:w="1320" w:type="dxa"/>
            <w:vAlign w:val="bottom"/>
          </w:tcPr>
          <w:p>
            <w:pPr>
              <w:jc w:val="right"/>
              <w:ind w:right="132"/>
              <w:spacing w:after="0" w:line="141" w:lineRule="exact"/>
              <w:rPr>
                <w:sz w:val="20"/>
                <w:szCs w:val="20"/>
                <w:color w:val="auto"/>
              </w:rPr>
            </w:pPr>
            <w:r>
              <w:rPr>
                <w:rFonts w:ascii="Arial" w:cs="Arial" w:eastAsia="Arial" w:hAnsi="Arial"/>
                <w:sz w:val="14"/>
                <w:szCs w:val="14"/>
                <w:b w:val="1"/>
                <w:bCs w:val="1"/>
                <w:color w:val="auto"/>
              </w:rPr>
              <w:t>18.5%</w:t>
            </w:r>
          </w:p>
        </w:tc>
        <w:tc>
          <w:tcPr>
            <w:tcW w:w="1160" w:type="dxa"/>
            <w:vAlign w:val="bottom"/>
          </w:tcPr>
          <w:p>
            <w:pPr>
              <w:jc w:val="right"/>
              <w:spacing w:after="0" w:line="141" w:lineRule="exact"/>
              <w:rPr>
                <w:sz w:val="20"/>
                <w:szCs w:val="20"/>
                <w:color w:val="auto"/>
              </w:rPr>
            </w:pPr>
            <w:r>
              <w:rPr>
                <w:rFonts w:ascii="Arial" w:cs="Arial" w:eastAsia="Arial" w:hAnsi="Arial"/>
                <w:sz w:val="14"/>
                <w:szCs w:val="14"/>
                <w:color w:val="auto"/>
              </w:rPr>
              <w:t>9.6%</w:t>
            </w:r>
          </w:p>
        </w:tc>
        <w:tc>
          <w:tcPr>
            <w:tcW w:w="0" w:type="dxa"/>
            <w:vAlign w:val="bottom"/>
          </w:tcPr>
          <w:p>
            <w:pPr>
              <w:spacing w:after="0"/>
              <w:rPr>
                <w:sz w:val="1"/>
                <w:szCs w:val="1"/>
                <w:color w:val="auto"/>
              </w:rPr>
            </w:pPr>
          </w:p>
        </w:tc>
      </w:tr>
      <w:tr>
        <w:trPr>
          <w:trHeight w:val="149"/>
        </w:trPr>
        <w:tc>
          <w:tcPr>
            <w:tcW w:w="5200" w:type="dxa"/>
            <w:vAlign w:val="bottom"/>
          </w:tcPr>
          <w:p>
            <w:pPr>
              <w:spacing w:after="0" w:line="149" w:lineRule="exact"/>
              <w:rPr>
                <w:sz w:val="20"/>
                <w:szCs w:val="20"/>
                <w:color w:val="auto"/>
              </w:rPr>
            </w:pPr>
            <w:r>
              <w:rPr>
                <w:rFonts w:ascii="Arial" w:cs="Arial" w:eastAsia="Arial" w:hAnsi="Arial"/>
                <w:sz w:val="14"/>
                <w:szCs w:val="14"/>
                <w:color w:val="auto"/>
              </w:rPr>
              <w:t>Costs and Expenses</w:t>
            </w:r>
          </w:p>
        </w:tc>
        <w:tc>
          <w:tcPr>
            <w:tcW w:w="1180" w:type="dxa"/>
            <w:vAlign w:val="bottom"/>
          </w:tcPr>
          <w:p>
            <w:pPr>
              <w:spacing w:after="0"/>
              <w:rPr>
                <w:sz w:val="12"/>
                <w:szCs w:val="12"/>
                <w:color w:val="auto"/>
              </w:rPr>
            </w:pPr>
          </w:p>
        </w:tc>
        <w:tc>
          <w:tcPr>
            <w:tcW w:w="660" w:type="dxa"/>
            <w:vAlign w:val="bottom"/>
            <w:vMerge w:val="restart"/>
          </w:tcPr>
          <w:p>
            <w:pPr>
              <w:jc w:val="right"/>
              <w:ind w:right="172"/>
              <w:spacing w:after="0"/>
              <w:rPr>
                <w:sz w:val="20"/>
                <w:szCs w:val="20"/>
                <w:color w:val="auto"/>
              </w:rPr>
            </w:pPr>
            <w:r>
              <w:rPr>
                <w:rFonts w:ascii="Arial" w:cs="Arial" w:eastAsia="Arial" w:hAnsi="Arial"/>
                <w:sz w:val="14"/>
                <w:szCs w:val="14"/>
                <w:b w:val="1"/>
                <w:bCs w:val="1"/>
                <w:color w:val="auto"/>
                <w:w w:val="93"/>
              </w:rPr>
              <w:t>15,524</w:t>
            </w:r>
          </w:p>
        </w:tc>
        <w:tc>
          <w:tcPr>
            <w:tcW w:w="28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1320" w:type="dxa"/>
            <w:vAlign w:val="bottom"/>
            <w:vMerge w:val="restart"/>
          </w:tcPr>
          <w:p>
            <w:pPr>
              <w:jc w:val="right"/>
              <w:ind w:right="252"/>
              <w:spacing w:after="0"/>
              <w:rPr>
                <w:sz w:val="20"/>
                <w:szCs w:val="20"/>
                <w:color w:val="auto"/>
              </w:rPr>
            </w:pPr>
            <w:r>
              <w:rPr>
                <w:rFonts w:ascii="Arial" w:cs="Arial" w:eastAsia="Arial" w:hAnsi="Arial"/>
                <w:sz w:val="14"/>
                <w:szCs w:val="14"/>
                <w:b w:val="1"/>
                <w:bCs w:val="1"/>
                <w:color w:val="auto"/>
              </w:rPr>
              <w:t>19.4</w:t>
            </w:r>
          </w:p>
        </w:tc>
        <w:tc>
          <w:tcPr>
            <w:tcW w:w="11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33"/>
        </w:trPr>
        <w:tc>
          <w:tcPr>
            <w:tcW w:w="5200" w:type="dxa"/>
            <w:vAlign w:val="bottom"/>
          </w:tcPr>
          <w:p>
            <w:pPr>
              <w:spacing w:after="0" w:line="133" w:lineRule="exact"/>
              <w:rPr>
                <w:sz w:val="20"/>
                <w:szCs w:val="20"/>
                <w:color w:val="auto"/>
              </w:rPr>
            </w:pPr>
            <w:r>
              <w:rPr>
                <w:rFonts w:ascii="Arial" w:cs="Arial" w:eastAsia="Arial" w:hAnsi="Arial"/>
                <w:sz w:val="14"/>
                <w:szCs w:val="14"/>
                <w:color w:val="auto"/>
              </w:rPr>
              <w:t>Operating, Selling, General and Administrative (excluding depreciation)</w:t>
            </w:r>
          </w:p>
        </w:tc>
        <w:tc>
          <w:tcPr>
            <w:tcW w:w="1180" w:type="dxa"/>
            <w:vAlign w:val="bottom"/>
          </w:tcPr>
          <w:p>
            <w:pPr>
              <w:spacing w:after="0"/>
              <w:rPr>
                <w:sz w:val="11"/>
                <w:szCs w:val="11"/>
                <w:color w:val="auto"/>
              </w:rPr>
            </w:pPr>
          </w:p>
        </w:tc>
        <w:tc>
          <w:tcPr>
            <w:tcW w:w="660" w:type="dxa"/>
            <w:vAlign w:val="bottom"/>
            <w:vMerge w:val="continue"/>
          </w:tcPr>
          <w:p>
            <w:pPr>
              <w:spacing w:after="0"/>
              <w:rPr>
                <w:sz w:val="11"/>
                <w:szCs w:val="11"/>
                <w:color w:val="auto"/>
              </w:rPr>
            </w:pPr>
          </w:p>
        </w:tc>
        <w:tc>
          <w:tcPr>
            <w:tcW w:w="280" w:type="dxa"/>
            <w:vAlign w:val="bottom"/>
          </w:tcPr>
          <w:p>
            <w:pPr>
              <w:spacing w:after="0"/>
              <w:rPr>
                <w:sz w:val="11"/>
                <w:szCs w:val="11"/>
                <w:color w:val="auto"/>
              </w:rPr>
            </w:pPr>
          </w:p>
        </w:tc>
        <w:tc>
          <w:tcPr>
            <w:tcW w:w="680" w:type="dxa"/>
            <w:vAlign w:val="bottom"/>
          </w:tcPr>
          <w:p>
            <w:pPr>
              <w:jc w:val="right"/>
              <w:ind w:right="192"/>
              <w:spacing w:after="0" w:line="133" w:lineRule="exact"/>
              <w:rPr>
                <w:sz w:val="20"/>
                <w:szCs w:val="20"/>
                <w:color w:val="auto"/>
              </w:rPr>
            </w:pPr>
            <w:r>
              <w:rPr>
                <w:rFonts w:ascii="Arial" w:cs="Arial" w:eastAsia="Arial" w:hAnsi="Arial"/>
                <w:sz w:val="14"/>
                <w:szCs w:val="14"/>
                <w:color w:val="auto"/>
                <w:w w:val="93"/>
              </w:rPr>
              <w:t>13,003</w:t>
            </w:r>
          </w:p>
        </w:tc>
        <w:tc>
          <w:tcPr>
            <w:tcW w:w="280" w:type="dxa"/>
            <w:vAlign w:val="bottom"/>
          </w:tcPr>
          <w:p>
            <w:pPr>
              <w:spacing w:after="0"/>
              <w:rPr>
                <w:sz w:val="11"/>
                <w:szCs w:val="11"/>
                <w:color w:val="auto"/>
              </w:rPr>
            </w:pPr>
          </w:p>
        </w:tc>
        <w:tc>
          <w:tcPr>
            <w:tcW w:w="660" w:type="dxa"/>
            <w:vAlign w:val="bottom"/>
          </w:tcPr>
          <w:p>
            <w:pPr>
              <w:jc w:val="right"/>
              <w:ind w:right="172"/>
              <w:spacing w:after="0" w:line="133" w:lineRule="exact"/>
              <w:rPr>
                <w:sz w:val="20"/>
                <w:szCs w:val="20"/>
                <w:color w:val="auto"/>
              </w:rPr>
            </w:pPr>
            <w:r>
              <w:rPr>
                <w:rFonts w:ascii="Arial" w:cs="Arial" w:eastAsia="Arial" w:hAnsi="Arial"/>
                <w:sz w:val="14"/>
                <w:szCs w:val="14"/>
                <w:color w:val="auto"/>
                <w:w w:val="93"/>
              </w:rPr>
              <w:t>12,041</w:t>
            </w:r>
          </w:p>
        </w:tc>
        <w:tc>
          <w:tcPr>
            <w:tcW w:w="1320" w:type="dxa"/>
            <w:vAlign w:val="bottom"/>
            <w:vMerge w:val="continue"/>
          </w:tcPr>
          <w:p>
            <w:pPr>
              <w:spacing w:after="0"/>
              <w:rPr>
                <w:sz w:val="11"/>
                <w:szCs w:val="11"/>
                <w:color w:val="auto"/>
              </w:rPr>
            </w:pPr>
          </w:p>
        </w:tc>
        <w:tc>
          <w:tcPr>
            <w:tcW w:w="1160" w:type="dxa"/>
            <w:vAlign w:val="bottom"/>
          </w:tcPr>
          <w:p>
            <w:pPr>
              <w:jc w:val="right"/>
              <w:ind w:right="112"/>
              <w:spacing w:after="0" w:line="133" w:lineRule="exact"/>
              <w:rPr>
                <w:sz w:val="20"/>
                <w:szCs w:val="20"/>
                <w:color w:val="auto"/>
              </w:rPr>
            </w:pPr>
            <w:r>
              <w:rPr>
                <w:rFonts w:ascii="Arial" w:cs="Arial" w:eastAsia="Arial" w:hAnsi="Arial"/>
                <w:sz w:val="14"/>
                <w:szCs w:val="14"/>
                <w:color w:val="auto"/>
              </w:rPr>
              <w:t>8.0</w:t>
            </w:r>
          </w:p>
        </w:tc>
        <w:tc>
          <w:tcPr>
            <w:tcW w:w="0" w:type="dxa"/>
            <w:vAlign w:val="bottom"/>
          </w:tcPr>
          <w:p>
            <w:pPr>
              <w:spacing w:after="0"/>
              <w:rPr>
                <w:sz w:val="1"/>
                <w:szCs w:val="1"/>
                <w:color w:val="auto"/>
              </w:rPr>
            </w:pPr>
          </w:p>
        </w:tc>
      </w:tr>
      <w:tr>
        <w:trPr>
          <w:trHeight w:val="149"/>
        </w:trPr>
        <w:tc>
          <w:tcPr>
            <w:tcW w:w="5200" w:type="dxa"/>
            <w:vAlign w:val="bottom"/>
          </w:tcPr>
          <w:p>
            <w:pPr>
              <w:spacing w:after="0" w:line="149" w:lineRule="exact"/>
              <w:rPr>
                <w:sz w:val="20"/>
                <w:szCs w:val="20"/>
                <w:color w:val="auto"/>
              </w:rPr>
            </w:pPr>
            <w:r>
              <w:rPr>
                <w:rFonts w:ascii="Arial" w:cs="Arial" w:eastAsia="Arial" w:hAnsi="Arial"/>
                <w:sz w:val="14"/>
                <w:szCs w:val="14"/>
                <w:color w:val="auto"/>
              </w:rPr>
              <w:t>Depreciation</w:t>
            </w:r>
          </w:p>
        </w:tc>
        <w:tc>
          <w:tcPr>
            <w:tcW w:w="1180" w:type="dxa"/>
            <w:vAlign w:val="bottom"/>
          </w:tcPr>
          <w:p>
            <w:pPr>
              <w:spacing w:after="0"/>
              <w:rPr>
                <w:sz w:val="12"/>
                <w:szCs w:val="12"/>
                <w:color w:val="auto"/>
              </w:rPr>
            </w:pPr>
          </w:p>
        </w:tc>
        <w:tc>
          <w:tcPr>
            <w:tcW w:w="660" w:type="dxa"/>
            <w:vAlign w:val="bottom"/>
          </w:tcPr>
          <w:p>
            <w:pPr>
              <w:jc w:val="right"/>
              <w:ind w:right="172"/>
              <w:spacing w:after="0" w:line="149" w:lineRule="exact"/>
              <w:rPr>
                <w:sz w:val="20"/>
                <w:szCs w:val="20"/>
                <w:color w:val="auto"/>
              </w:rPr>
            </w:pPr>
            <w:r>
              <w:rPr>
                <w:rFonts w:ascii="Arial" w:cs="Arial" w:eastAsia="Arial" w:hAnsi="Arial"/>
                <w:sz w:val="14"/>
                <w:szCs w:val="14"/>
                <w:b w:val="1"/>
                <w:bCs w:val="1"/>
                <w:color w:val="auto"/>
              </w:rPr>
              <w:t>3,828</w:t>
            </w:r>
          </w:p>
        </w:tc>
        <w:tc>
          <w:tcPr>
            <w:tcW w:w="280" w:type="dxa"/>
            <w:vAlign w:val="bottom"/>
          </w:tcPr>
          <w:p>
            <w:pPr>
              <w:spacing w:after="0"/>
              <w:rPr>
                <w:sz w:val="12"/>
                <w:szCs w:val="12"/>
                <w:color w:val="auto"/>
              </w:rPr>
            </w:pPr>
          </w:p>
        </w:tc>
        <w:tc>
          <w:tcPr>
            <w:tcW w:w="680" w:type="dxa"/>
            <w:vAlign w:val="bottom"/>
          </w:tcPr>
          <w:p>
            <w:pPr>
              <w:jc w:val="right"/>
              <w:ind w:right="192"/>
              <w:spacing w:after="0" w:line="149" w:lineRule="exact"/>
              <w:rPr>
                <w:sz w:val="20"/>
                <w:szCs w:val="20"/>
                <w:color w:val="auto"/>
              </w:rPr>
            </w:pPr>
            <w:r>
              <w:rPr>
                <w:rFonts w:ascii="Arial" w:cs="Arial" w:eastAsia="Arial" w:hAnsi="Arial"/>
                <w:sz w:val="14"/>
                <w:szCs w:val="14"/>
                <w:color w:val="auto"/>
              </w:rPr>
              <w:t>3,413</w:t>
            </w:r>
          </w:p>
        </w:tc>
        <w:tc>
          <w:tcPr>
            <w:tcW w:w="280" w:type="dxa"/>
            <w:vAlign w:val="bottom"/>
          </w:tcPr>
          <w:p>
            <w:pPr>
              <w:spacing w:after="0"/>
              <w:rPr>
                <w:sz w:val="12"/>
                <w:szCs w:val="12"/>
                <w:color w:val="auto"/>
              </w:rPr>
            </w:pPr>
          </w:p>
        </w:tc>
        <w:tc>
          <w:tcPr>
            <w:tcW w:w="660" w:type="dxa"/>
            <w:vAlign w:val="bottom"/>
          </w:tcPr>
          <w:p>
            <w:pPr>
              <w:jc w:val="right"/>
              <w:ind w:right="172"/>
              <w:spacing w:after="0" w:line="149" w:lineRule="exact"/>
              <w:rPr>
                <w:sz w:val="20"/>
                <w:szCs w:val="20"/>
                <w:color w:val="auto"/>
              </w:rPr>
            </w:pPr>
            <w:r>
              <w:rPr>
                <w:rFonts w:ascii="Arial" w:cs="Arial" w:eastAsia="Arial" w:hAnsi="Arial"/>
                <w:sz w:val="14"/>
                <w:szCs w:val="14"/>
                <w:color w:val="auto"/>
              </w:rPr>
              <w:t>3,197</w:t>
            </w:r>
          </w:p>
        </w:tc>
        <w:tc>
          <w:tcPr>
            <w:tcW w:w="1320" w:type="dxa"/>
            <w:vAlign w:val="bottom"/>
          </w:tcPr>
          <w:p>
            <w:pPr>
              <w:jc w:val="right"/>
              <w:ind w:right="252"/>
              <w:spacing w:after="0" w:line="149" w:lineRule="exact"/>
              <w:rPr>
                <w:sz w:val="20"/>
                <w:szCs w:val="20"/>
                <w:color w:val="auto"/>
              </w:rPr>
            </w:pPr>
            <w:r>
              <w:rPr>
                <w:rFonts w:ascii="Arial" w:cs="Arial" w:eastAsia="Arial" w:hAnsi="Arial"/>
                <w:sz w:val="14"/>
                <w:szCs w:val="14"/>
                <w:b w:val="1"/>
                <w:bCs w:val="1"/>
                <w:color w:val="auto"/>
              </w:rPr>
              <w:t>12.2</w:t>
            </w:r>
          </w:p>
        </w:tc>
        <w:tc>
          <w:tcPr>
            <w:tcW w:w="1160" w:type="dxa"/>
            <w:vAlign w:val="bottom"/>
          </w:tcPr>
          <w:p>
            <w:pPr>
              <w:jc w:val="right"/>
              <w:ind w:right="112"/>
              <w:spacing w:after="0" w:line="149" w:lineRule="exact"/>
              <w:rPr>
                <w:sz w:val="20"/>
                <w:szCs w:val="20"/>
                <w:color w:val="auto"/>
              </w:rPr>
            </w:pPr>
            <w:r>
              <w:rPr>
                <w:rFonts w:ascii="Arial" w:cs="Arial" w:eastAsia="Arial" w:hAnsi="Arial"/>
                <w:sz w:val="14"/>
                <w:szCs w:val="14"/>
                <w:color w:val="auto"/>
              </w:rPr>
              <w:t>6.8</w:t>
            </w:r>
          </w:p>
        </w:tc>
        <w:tc>
          <w:tcPr>
            <w:tcW w:w="0" w:type="dxa"/>
            <w:vAlign w:val="bottom"/>
          </w:tcPr>
          <w:p>
            <w:pPr>
              <w:spacing w:after="0"/>
              <w:rPr>
                <w:sz w:val="1"/>
                <w:szCs w:val="1"/>
                <w:color w:val="auto"/>
              </w:rPr>
            </w:pPr>
          </w:p>
        </w:tc>
      </w:tr>
      <w:tr>
        <w:trPr>
          <w:trHeight w:val="165"/>
        </w:trPr>
        <w:tc>
          <w:tcPr>
            <w:tcW w:w="5200" w:type="dxa"/>
            <w:vAlign w:val="bottom"/>
            <w:tcBorders>
              <w:bottom w:val="single" w:sz="8" w:color="auto"/>
            </w:tcBorders>
          </w:tcPr>
          <w:p>
            <w:pPr>
              <w:spacing w:after="0"/>
              <w:rPr>
                <w:sz w:val="20"/>
                <w:szCs w:val="20"/>
                <w:color w:val="auto"/>
              </w:rPr>
            </w:pPr>
            <w:r>
              <w:rPr>
                <w:rFonts w:ascii="Arial" w:cs="Arial" w:eastAsia="Arial" w:hAnsi="Arial"/>
                <w:sz w:val="14"/>
                <w:szCs w:val="14"/>
                <w:color w:val="auto"/>
              </w:rPr>
              <w:t>Amortization</w:t>
            </w:r>
          </w:p>
        </w:tc>
        <w:tc>
          <w:tcPr>
            <w:tcW w:w="1180" w:type="dxa"/>
            <w:vAlign w:val="bottom"/>
            <w:tcBorders>
              <w:bottom w:val="single" w:sz="8" w:color="auto"/>
            </w:tcBorders>
          </w:tcPr>
          <w:p>
            <w:pPr>
              <w:spacing w:after="0"/>
              <w:rPr>
                <w:sz w:val="14"/>
                <w:szCs w:val="14"/>
                <w:color w:val="auto"/>
              </w:rPr>
            </w:pPr>
          </w:p>
        </w:tc>
        <w:tc>
          <w:tcPr>
            <w:tcW w:w="660" w:type="dxa"/>
            <w:vAlign w:val="bottom"/>
            <w:tcBorders>
              <w:bottom w:val="single" w:sz="8" w:color="auto"/>
            </w:tcBorders>
          </w:tcPr>
          <w:p>
            <w:pPr>
              <w:jc w:val="right"/>
              <w:ind w:right="172"/>
              <w:spacing w:after="0"/>
              <w:rPr>
                <w:sz w:val="20"/>
                <w:szCs w:val="20"/>
                <w:color w:val="auto"/>
              </w:rPr>
            </w:pPr>
            <w:r>
              <w:rPr>
                <w:rFonts w:ascii="Arial" w:cs="Arial" w:eastAsia="Arial" w:hAnsi="Arial"/>
                <w:sz w:val="14"/>
                <w:szCs w:val="14"/>
                <w:b w:val="1"/>
                <w:bCs w:val="1"/>
                <w:color w:val="auto"/>
              </w:rPr>
              <w:t>995</w:t>
            </w:r>
          </w:p>
        </w:tc>
        <w:tc>
          <w:tcPr>
            <w:tcW w:w="280" w:type="dxa"/>
            <w:vAlign w:val="bottom"/>
            <w:tcBorders>
              <w:bottom w:val="single" w:sz="8" w:color="auto"/>
            </w:tcBorders>
          </w:tcPr>
          <w:p>
            <w:pPr>
              <w:spacing w:after="0"/>
              <w:rPr>
                <w:sz w:val="14"/>
                <w:szCs w:val="14"/>
                <w:color w:val="auto"/>
              </w:rPr>
            </w:pPr>
          </w:p>
        </w:tc>
        <w:tc>
          <w:tcPr>
            <w:tcW w:w="680" w:type="dxa"/>
            <w:vAlign w:val="bottom"/>
            <w:tcBorders>
              <w:bottom w:val="single" w:sz="8" w:color="auto"/>
            </w:tcBorders>
          </w:tcPr>
          <w:p>
            <w:pPr>
              <w:jc w:val="right"/>
              <w:ind w:right="192"/>
              <w:spacing w:after="0"/>
              <w:rPr>
                <w:sz w:val="20"/>
                <w:szCs w:val="20"/>
                <w:color w:val="auto"/>
              </w:rPr>
            </w:pPr>
            <w:r>
              <w:rPr>
                <w:rFonts w:ascii="Arial" w:cs="Arial" w:eastAsia="Arial" w:hAnsi="Arial"/>
                <w:sz w:val="14"/>
                <w:szCs w:val="14"/>
                <w:color w:val="auto"/>
              </w:rPr>
              <w:t>1,138</w:t>
            </w:r>
          </w:p>
        </w:tc>
        <w:tc>
          <w:tcPr>
            <w:tcW w:w="280" w:type="dxa"/>
            <w:vAlign w:val="bottom"/>
            <w:tcBorders>
              <w:bottom w:val="single" w:sz="8" w:color="auto"/>
            </w:tcBorders>
          </w:tcPr>
          <w:p>
            <w:pPr>
              <w:spacing w:after="0"/>
              <w:rPr>
                <w:sz w:val="14"/>
                <w:szCs w:val="14"/>
                <w:color w:val="auto"/>
              </w:rPr>
            </w:pPr>
          </w:p>
        </w:tc>
        <w:tc>
          <w:tcPr>
            <w:tcW w:w="660" w:type="dxa"/>
            <w:vAlign w:val="bottom"/>
            <w:tcBorders>
              <w:bottom w:val="single" w:sz="8" w:color="auto"/>
            </w:tcBorders>
          </w:tcPr>
          <w:p>
            <w:pPr>
              <w:jc w:val="right"/>
              <w:ind w:right="172"/>
              <w:spacing w:after="0"/>
              <w:rPr>
                <w:sz w:val="20"/>
                <w:szCs w:val="20"/>
                <w:color w:val="auto"/>
              </w:rPr>
            </w:pPr>
            <w:r>
              <w:rPr>
                <w:rFonts w:ascii="Arial" w:cs="Arial" w:eastAsia="Arial" w:hAnsi="Arial"/>
                <w:sz w:val="14"/>
                <w:szCs w:val="14"/>
                <w:color w:val="auto"/>
              </w:rPr>
              <w:t>1,154</w:t>
            </w:r>
          </w:p>
        </w:tc>
        <w:tc>
          <w:tcPr>
            <w:tcW w:w="1320" w:type="dxa"/>
            <w:vAlign w:val="bottom"/>
            <w:tcBorders>
              <w:bottom w:val="single" w:sz="8" w:color="auto"/>
            </w:tcBorders>
          </w:tcPr>
          <w:p>
            <w:pPr>
              <w:jc w:val="right"/>
              <w:ind w:right="192"/>
              <w:spacing w:after="0"/>
              <w:rPr>
                <w:sz w:val="20"/>
                <w:szCs w:val="20"/>
                <w:color w:val="auto"/>
              </w:rPr>
            </w:pPr>
            <w:r>
              <w:rPr>
                <w:rFonts w:ascii="Arial" w:cs="Arial" w:eastAsia="Arial" w:hAnsi="Arial"/>
                <w:sz w:val="14"/>
                <w:szCs w:val="14"/>
                <w:b w:val="1"/>
                <w:bCs w:val="1"/>
                <w:color w:val="auto"/>
              </w:rPr>
              <w:t>(12.5)</w:t>
            </w:r>
          </w:p>
        </w:tc>
        <w:tc>
          <w:tcPr>
            <w:tcW w:w="1160" w:type="dxa"/>
            <w:vAlign w:val="bottom"/>
            <w:tcBorders>
              <w:bottom w:val="single" w:sz="8" w:color="auto"/>
            </w:tcBorders>
          </w:tcPr>
          <w:p>
            <w:pPr>
              <w:jc w:val="right"/>
              <w:ind w:right="72"/>
              <w:spacing w:after="0"/>
              <w:rPr>
                <w:sz w:val="20"/>
                <w:szCs w:val="20"/>
                <w:color w:val="auto"/>
              </w:rPr>
            </w:pPr>
            <w:r>
              <w:rPr>
                <w:rFonts w:ascii="Arial" w:cs="Arial" w:eastAsia="Arial" w:hAnsi="Arial"/>
                <w:sz w:val="14"/>
                <w:szCs w:val="14"/>
                <w:color w:val="auto"/>
              </w:rPr>
              <w:t>(1.5)</w:t>
            </w:r>
          </w:p>
        </w:tc>
        <w:tc>
          <w:tcPr>
            <w:tcW w:w="0" w:type="dxa"/>
            <w:vAlign w:val="bottom"/>
          </w:tcPr>
          <w:p>
            <w:pPr>
              <w:spacing w:after="0"/>
              <w:rPr>
                <w:sz w:val="1"/>
                <w:szCs w:val="1"/>
                <w:color w:val="auto"/>
              </w:rPr>
            </w:pPr>
          </w:p>
        </w:tc>
      </w:tr>
      <w:tr>
        <w:trPr>
          <w:trHeight w:val="125"/>
        </w:trPr>
        <w:tc>
          <w:tcPr>
            <w:tcW w:w="5200" w:type="dxa"/>
            <w:vAlign w:val="bottom"/>
          </w:tcPr>
          <w:p>
            <w:pPr>
              <w:spacing w:after="0" w:line="125" w:lineRule="exact"/>
              <w:rPr>
                <w:sz w:val="20"/>
                <w:szCs w:val="20"/>
                <w:color w:val="auto"/>
              </w:rPr>
            </w:pPr>
            <w:r>
              <w:rPr>
                <w:rFonts w:ascii="Arial" w:cs="Arial" w:eastAsia="Arial" w:hAnsi="Arial"/>
                <w:sz w:val="14"/>
                <w:szCs w:val="14"/>
                <w:b w:val="1"/>
                <w:bCs w:val="1"/>
                <w:color w:val="auto"/>
              </w:rPr>
              <w:t>Operating Income</w:t>
            </w:r>
          </w:p>
        </w:tc>
        <w:tc>
          <w:tcPr>
            <w:tcW w:w="1180" w:type="dxa"/>
            <w:vAlign w:val="bottom"/>
          </w:tcPr>
          <w:p>
            <w:pPr>
              <w:spacing w:after="0"/>
              <w:rPr>
                <w:sz w:val="10"/>
                <w:szCs w:val="10"/>
                <w:color w:val="auto"/>
              </w:rPr>
            </w:pPr>
          </w:p>
        </w:tc>
        <w:tc>
          <w:tcPr>
            <w:tcW w:w="660" w:type="dxa"/>
            <w:vAlign w:val="bottom"/>
          </w:tcPr>
          <w:p>
            <w:pPr>
              <w:jc w:val="right"/>
              <w:ind w:right="172"/>
              <w:spacing w:after="0" w:line="125" w:lineRule="exact"/>
              <w:rPr>
                <w:sz w:val="20"/>
                <w:szCs w:val="20"/>
                <w:color w:val="auto"/>
              </w:rPr>
            </w:pPr>
            <w:r>
              <w:rPr>
                <w:rFonts w:ascii="Arial" w:cs="Arial" w:eastAsia="Arial" w:hAnsi="Arial"/>
                <w:sz w:val="14"/>
                <w:szCs w:val="14"/>
                <w:b w:val="1"/>
                <w:bCs w:val="1"/>
                <w:color w:val="auto"/>
              </w:rPr>
              <w:t>4,619</w:t>
            </w:r>
          </w:p>
        </w:tc>
        <w:tc>
          <w:tcPr>
            <w:tcW w:w="280" w:type="dxa"/>
            <w:vAlign w:val="bottom"/>
          </w:tcPr>
          <w:p>
            <w:pPr>
              <w:spacing w:after="0"/>
              <w:rPr>
                <w:sz w:val="10"/>
                <w:szCs w:val="10"/>
                <w:color w:val="auto"/>
              </w:rPr>
            </w:pPr>
          </w:p>
        </w:tc>
        <w:tc>
          <w:tcPr>
            <w:tcW w:w="680" w:type="dxa"/>
            <w:vAlign w:val="bottom"/>
          </w:tcPr>
          <w:p>
            <w:pPr>
              <w:jc w:val="right"/>
              <w:ind w:right="192"/>
              <w:spacing w:after="0" w:line="125" w:lineRule="exact"/>
              <w:rPr>
                <w:sz w:val="20"/>
                <w:szCs w:val="20"/>
                <w:color w:val="auto"/>
              </w:rPr>
            </w:pPr>
            <w:r>
              <w:rPr>
                <w:rFonts w:ascii="Arial" w:cs="Arial" w:eastAsia="Arial" w:hAnsi="Arial"/>
                <w:sz w:val="14"/>
                <w:szCs w:val="14"/>
                <w:color w:val="auto"/>
              </w:rPr>
              <w:t>3,521</w:t>
            </w:r>
          </w:p>
        </w:tc>
        <w:tc>
          <w:tcPr>
            <w:tcW w:w="280" w:type="dxa"/>
            <w:vAlign w:val="bottom"/>
          </w:tcPr>
          <w:p>
            <w:pPr>
              <w:spacing w:after="0"/>
              <w:rPr>
                <w:sz w:val="10"/>
                <w:szCs w:val="10"/>
                <w:color w:val="auto"/>
              </w:rPr>
            </w:pPr>
          </w:p>
        </w:tc>
        <w:tc>
          <w:tcPr>
            <w:tcW w:w="660" w:type="dxa"/>
            <w:vAlign w:val="bottom"/>
          </w:tcPr>
          <w:p>
            <w:pPr>
              <w:jc w:val="right"/>
              <w:ind w:right="172"/>
              <w:spacing w:after="0" w:line="125" w:lineRule="exact"/>
              <w:rPr>
                <w:sz w:val="20"/>
                <w:szCs w:val="20"/>
                <w:color w:val="auto"/>
              </w:rPr>
            </w:pPr>
            <w:r>
              <w:rPr>
                <w:rFonts w:ascii="Arial" w:cs="Arial" w:eastAsia="Arial" w:hAnsi="Arial"/>
                <w:sz w:val="14"/>
                <w:szCs w:val="14"/>
                <w:color w:val="auto"/>
              </w:rPr>
              <w:t>2,829</w:t>
            </w:r>
          </w:p>
        </w:tc>
        <w:tc>
          <w:tcPr>
            <w:tcW w:w="1320" w:type="dxa"/>
            <w:vAlign w:val="bottom"/>
          </w:tcPr>
          <w:p>
            <w:pPr>
              <w:jc w:val="right"/>
              <w:ind w:right="252"/>
              <w:spacing w:after="0" w:line="125" w:lineRule="exact"/>
              <w:rPr>
                <w:sz w:val="20"/>
                <w:szCs w:val="20"/>
                <w:color w:val="auto"/>
              </w:rPr>
            </w:pPr>
            <w:r>
              <w:rPr>
                <w:rFonts w:ascii="Arial" w:cs="Arial" w:eastAsia="Arial" w:hAnsi="Arial"/>
                <w:sz w:val="14"/>
                <w:szCs w:val="14"/>
                <w:b w:val="1"/>
                <w:bCs w:val="1"/>
                <w:color w:val="auto"/>
              </w:rPr>
              <w:t>31.2</w:t>
            </w:r>
          </w:p>
        </w:tc>
        <w:tc>
          <w:tcPr>
            <w:tcW w:w="1160" w:type="dxa"/>
            <w:vAlign w:val="bottom"/>
          </w:tcPr>
          <w:p>
            <w:pPr>
              <w:jc w:val="right"/>
              <w:ind w:right="112"/>
              <w:spacing w:after="0" w:line="125" w:lineRule="exact"/>
              <w:rPr>
                <w:sz w:val="20"/>
                <w:szCs w:val="20"/>
                <w:color w:val="auto"/>
              </w:rPr>
            </w:pPr>
            <w:r>
              <w:rPr>
                <w:rFonts w:ascii="Arial" w:cs="Arial" w:eastAsia="Arial" w:hAnsi="Arial"/>
                <w:sz w:val="14"/>
                <w:szCs w:val="14"/>
                <w:color w:val="auto"/>
              </w:rPr>
              <w:t>24.4</w:t>
            </w:r>
          </w:p>
        </w:tc>
        <w:tc>
          <w:tcPr>
            <w:tcW w:w="0" w:type="dxa"/>
            <w:vAlign w:val="bottom"/>
          </w:tcPr>
          <w:p>
            <w:pPr>
              <w:spacing w:after="0"/>
              <w:rPr>
                <w:sz w:val="1"/>
                <w:szCs w:val="1"/>
                <w:color w:val="auto"/>
              </w:rPr>
            </w:pPr>
          </w:p>
        </w:tc>
      </w:tr>
      <w:tr>
        <w:trPr>
          <w:trHeight w:val="165"/>
        </w:trPr>
        <w:tc>
          <w:tcPr>
            <w:tcW w:w="5200" w:type="dxa"/>
            <w:vAlign w:val="bottom"/>
            <w:tcBorders>
              <w:bottom w:val="single" w:sz="8" w:color="auto"/>
            </w:tcBorders>
          </w:tcPr>
          <w:p>
            <w:pPr>
              <w:spacing w:after="0"/>
              <w:rPr>
                <w:sz w:val="20"/>
                <w:szCs w:val="20"/>
                <w:color w:val="auto"/>
              </w:rPr>
            </w:pPr>
            <w:r>
              <w:rPr>
                <w:rFonts w:ascii="Arial" w:cs="Arial" w:eastAsia="Arial" w:hAnsi="Arial"/>
                <w:sz w:val="14"/>
                <w:szCs w:val="14"/>
                <w:color w:val="auto"/>
              </w:rPr>
              <w:t>Other Income (Expense) Items, net</w:t>
            </w:r>
          </w:p>
        </w:tc>
        <w:tc>
          <w:tcPr>
            <w:tcW w:w="1180" w:type="dxa"/>
            <w:vAlign w:val="bottom"/>
            <w:tcBorders>
              <w:bottom w:val="single" w:sz="8" w:color="auto"/>
            </w:tcBorders>
          </w:tcPr>
          <w:p>
            <w:pPr>
              <w:spacing w:after="0"/>
              <w:rPr>
                <w:sz w:val="14"/>
                <w:szCs w:val="14"/>
                <w:color w:val="auto"/>
              </w:rPr>
            </w:pPr>
          </w:p>
        </w:tc>
        <w:tc>
          <w:tcPr>
            <w:tcW w:w="660" w:type="dxa"/>
            <w:vAlign w:val="bottom"/>
            <w:tcBorders>
              <w:bottom w:val="single" w:sz="8" w:color="auto"/>
            </w:tcBorders>
          </w:tcPr>
          <w:p>
            <w:pPr>
              <w:jc w:val="right"/>
              <w:ind w:right="132"/>
              <w:spacing w:after="0"/>
              <w:rPr>
                <w:sz w:val="20"/>
                <w:szCs w:val="20"/>
                <w:color w:val="auto"/>
              </w:rPr>
            </w:pPr>
            <w:r>
              <w:rPr>
                <w:rFonts w:ascii="Arial" w:cs="Arial" w:eastAsia="Arial" w:hAnsi="Arial"/>
                <w:sz w:val="14"/>
                <w:szCs w:val="14"/>
                <w:b w:val="1"/>
                <w:bCs w:val="1"/>
                <w:color w:val="auto"/>
                <w:w w:val="99"/>
              </w:rPr>
              <w:t>(1,025)</w:t>
            </w:r>
          </w:p>
        </w:tc>
        <w:tc>
          <w:tcPr>
            <w:tcW w:w="280" w:type="dxa"/>
            <w:vAlign w:val="bottom"/>
            <w:tcBorders>
              <w:bottom w:val="single" w:sz="8" w:color="auto"/>
            </w:tcBorders>
          </w:tcPr>
          <w:p>
            <w:pPr>
              <w:spacing w:after="0"/>
              <w:rPr>
                <w:sz w:val="14"/>
                <w:szCs w:val="14"/>
                <w:color w:val="auto"/>
              </w:rPr>
            </w:pPr>
          </w:p>
        </w:tc>
        <w:tc>
          <w:tcPr>
            <w:tcW w:w="680" w:type="dxa"/>
            <w:vAlign w:val="bottom"/>
            <w:tcBorders>
              <w:bottom w:val="single" w:sz="8" w:color="auto"/>
            </w:tcBorders>
          </w:tcPr>
          <w:p>
            <w:pPr>
              <w:jc w:val="right"/>
              <w:ind w:right="132"/>
              <w:spacing w:after="0"/>
              <w:rPr>
                <w:sz w:val="20"/>
                <w:szCs w:val="20"/>
                <w:color w:val="auto"/>
              </w:rPr>
            </w:pPr>
            <w:r>
              <w:rPr>
                <w:rFonts w:ascii="Arial" w:cs="Arial" w:eastAsia="Arial" w:hAnsi="Arial"/>
                <w:sz w:val="14"/>
                <w:szCs w:val="14"/>
                <w:color w:val="auto"/>
              </w:rPr>
              <w:t>(1,801)</w:t>
            </w:r>
          </w:p>
        </w:tc>
        <w:tc>
          <w:tcPr>
            <w:tcW w:w="280" w:type="dxa"/>
            <w:vAlign w:val="bottom"/>
            <w:tcBorders>
              <w:bottom w:val="single" w:sz="8" w:color="auto"/>
            </w:tcBorders>
          </w:tcPr>
          <w:p>
            <w:pPr>
              <w:spacing w:after="0"/>
              <w:rPr>
                <w:sz w:val="14"/>
                <w:szCs w:val="14"/>
                <w:color w:val="auto"/>
              </w:rPr>
            </w:pPr>
          </w:p>
        </w:tc>
        <w:tc>
          <w:tcPr>
            <w:tcW w:w="660" w:type="dxa"/>
            <w:vAlign w:val="bottom"/>
            <w:tcBorders>
              <w:bottom w:val="single" w:sz="8" w:color="auto"/>
            </w:tcBorders>
          </w:tcPr>
          <w:p>
            <w:pPr>
              <w:jc w:val="right"/>
              <w:ind w:right="132"/>
              <w:spacing w:after="0"/>
              <w:rPr>
                <w:sz w:val="20"/>
                <w:szCs w:val="20"/>
                <w:color w:val="auto"/>
              </w:rPr>
            </w:pPr>
            <w:r>
              <w:rPr>
                <w:rFonts w:ascii="Arial" w:cs="Arial" w:eastAsia="Arial" w:hAnsi="Arial"/>
                <w:sz w:val="14"/>
                <w:szCs w:val="14"/>
                <w:color w:val="auto"/>
                <w:w w:val="99"/>
              </w:rPr>
              <w:t>(1,086)</w:t>
            </w:r>
          </w:p>
        </w:tc>
        <w:tc>
          <w:tcPr>
            <w:tcW w:w="1320" w:type="dxa"/>
            <w:vAlign w:val="bottom"/>
            <w:tcBorders>
              <w:bottom w:val="single" w:sz="8" w:color="auto"/>
            </w:tcBorders>
          </w:tcPr>
          <w:p>
            <w:pPr>
              <w:jc w:val="right"/>
              <w:ind w:right="192"/>
              <w:spacing w:after="0"/>
              <w:rPr>
                <w:sz w:val="20"/>
                <w:szCs w:val="20"/>
                <w:color w:val="auto"/>
              </w:rPr>
            </w:pPr>
            <w:r>
              <w:rPr>
                <w:rFonts w:ascii="Arial" w:cs="Arial" w:eastAsia="Arial" w:hAnsi="Arial"/>
                <w:sz w:val="14"/>
                <w:szCs w:val="14"/>
                <w:b w:val="1"/>
                <w:bCs w:val="1"/>
                <w:color w:val="auto"/>
              </w:rPr>
              <w:t>(43.1)</w:t>
            </w:r>
          </w:p>
        </w:tc>
        <w:tc>
          <w:tcPr>
            <w:tcW w:w="1160" w:type="dxa"/>
            <w:vAlign w:val="bottom"/>
            <w:tcBorders>
              <w:bottom w:val="single" w:sz="8" w:color="auto"/>
            </w:tcBorders>
          </w:tcPr>
          <w:p>
            <w:pPr>
              <w:jc w:val="right"/>
              <w:ind w:right="112"/>
              <w:spacing w:after="0"/>
              <w:rPr>
                <w:sz w:val="20"/>
                <w:szCs w:val="20"/>
                <w:color w:val="auto"/>
              </w:rPr>
            </w:pPr>
            <w:r>
              <w:rPr>
                <w:rFonts w:ascii="Arial" w:cs="Arial" w:eastAsia="Arial" w:hAnsi="Arial"/>
                <w:sz w:val="14"/>
                <w:szCs w:val="14"/>
                <w:color w:val="auto"/>
              </w:rPr>
              <w:t>65.8</w:t>
            </w:r>
          </w:p>
        </w:tc>
        <w:tc>
          <w:tcPr>
            <w:tcW w:w="0" w:type="dxa"/>
            <w:vAlign w:val="bottom"/>
          </w:tcPr>
          <w:p>
            <w:pPr>
              <w:spacing w:after="0"/>
              <w:rPr>
                <w:sz w:val="1"/>
                <w:szCs w:val="1"/>
                <w:color w:val="auto"/>
              </w:rPr>
            </w:pPr>
          </w:p>
        </w:tc>
      </w:tr>
      <w:tr>
        <w:trPr>
          <w:trHeight w:val="125"/>
        </w:trPr>
        <w:tc>
          <w:tcPr>
            <w:tcW w:w="5200" w:type="dxa"/>
            <w:vAlign w:val="bottom"/>
          </w:tcPr>
          <w:p>
            <w:pPr>
              <w:spacing w:after="0" w:line="125" w:lineRule="exact"/>
              <w:rPr>
                <w:sz w:val="20"/>
                <w:szCs w:val="20"/>
                <w:color w:val="auto"/>
              </w:rPr>
            </w:pPr>
            <w:r>
              <w:rPr>
                <w:rFonts w:ascii="Arial" w:cs="Arial" w:eastAsia="Arial" w:hAnsi="Arial"/>
                <w:sz w:val="14"/>
                <w:szCs w:val="14"/>
                <w:color w:val="auto"/>
              </w:rPr>
              <w:t>Income from Continuing Operations before Income Taxes and Minority Interest</w:t>
            </w:r>
          </w:p>
        </w:tc>
        <w:tc>
          <w:tcPr>
            <w:tcW w:w="1180" w:type="dxa"/>
            <w:vAlign w:val="bottom"/>
          </w:tcPr>
          <w:p>
            <w:pPr>
              <w:spacing w:after="0"/>
              <w:rPr>
                <w:sz w:val="10"/>
                <w:szCs w:val="10"/>
                <w:color w:val="auto"/>
              </w:rPr>
            </w:pPr>
          </w:p>
        </w:tc>
        <w:tc>
          <w:tcPr>
            <w:tcW w:w="660" w:type="dxa"/>
            <w:vAlign w:val="bottom"/>
          </w:tcPr>
          <w:p>
            <w:pPr>
              <w:jc w:val="right"/>
              <w:ind w:right="172"/>
              <w:spacing w:after="0" w:line="125" w:lineRule="exact"/>
              <w:rPr>
                <w:sz w:val="20"/>
                <w:szCs w:val="20"/>
                <w:color w:val="auto"/>
              </w:rPr>
            </w:pPr>
            <w:r>
              <w:rPr>
                <w:rFonts w:ascii="Arial" w:cs="Arial" w:eastAsia="Arial" w:hAnsi="Arial"/>
                <w:sz w:val="14"/>
                <w:szCs w:val="14"/>
                <w:b w:val="1"/>
                <w:bCs w:val="1"/>
                <w:color w:val="auto"/>
              </w:rPr>
              <w:t>3,594</w:t>
            </w:r>
          </w:p>
        </w:tc>
        <w:tc>
          <w:tcPr>
            <w:tcW w:w="280" w:type="dxa"/>
            <w:vAlign w:val="bottom"/>
          </w:tcPr>
          <w:p>
            <w:pPr>
              <w:spacing w:after="0"/>
              <w:rPr>
                <w:sz w:val="10"/>
                <w:szCs w:val="10"/>
                <w:color w:val="auto"/>
              </w:rPr>
            </w:pPr>
          </w:p>
        </w:tc>
        <w:tc>
          <w:tcPr>
            <w:tcW w:w="680" w:type="dxa"/>
            <w:vAlign w:val="bottom"/>
          </w:tcPr>
          <w:p>
            <w:pPr>
              <w:jc w:val="right"/>
              <w:ind w:right="192"/>
              <w:spacing w:after="0" w:line="125" w:lineRule="exact"/>
              <w:rPr>
                <w:sz w:val="20"/>
                <w:szCs w:val="20"/>
                <w:color w:val="auto"/>
              </w:rPr>
            </w:pPr>
            <w:r>
              <w:rPr>
                <w:rFonts w:ascii="Arial" w:cs="Arial" w:eastAsia="Arial" w:hAnsi="Arial"/>
                <w:sz w:val="14"/>
                <w:szCs w:val="14"/>
                <w:color w:val="auto"/>
              </w:rPr>
              <w:t>1,720</w:t>
            </w:r>
          </w:p>
        </w:tc>
        <w:tc>
          <w:tcPr>
            <w:tcW w:w="280" w:type="dxa"/>
            <w:vAlign w:val="bottom"/>
          </w:tcPr>
          <w:p>
            <w:pPr>
              <w:spacing w:after="0"/>
              <w:rPr>
                <w:sz w:val="10"/>
                <w:szCs w:val="10"/>
                <w:color w:val="auto"/>
              </w:rPr>
            </w:pPr>
          </w:p>
        </w:tc>
        <w:tc>
          <w:tcPr>
            <w:tcW w:w="660" w:type="dxa"/>
            <w:vAlign w:val="bottom"/>
          </w:tcPr>
          <w:p>
            <w:pPr>
              <w:jc w:val="right"/>
              <w:ind w:right="172"/>
              <w:spacing w:after="0" w:line="125" w:lineRule="exact"/>
              <w:rPr>
                <w:sz w:val="20"/>
                <w:szCs w:val="20"/>
                <w:color w:val="auto"/>
              </w:rPr>
            </w:pPr>
            <w:r>
              <w:rPr>
                <w:rFonts w:ascii="Arial" w:cs="Arial" w:eastAsia="Arial" w:hAnsi="Arial"/>
                <w:sz w:val="14"/>
                <w:szCs w:val="14"/>
                <w:color w:val="auto"/>
              </w:rPr>
              <w:t>1,743</w:t>
            </w:r>
          </w:p>
        </w:tc>
        <w:tc>
          <w:tcPr>
            <w:tcW w:w="1320" w:type="dxa"/>
            <w:vAlign w:val="bottom"/>
          </w:tcPr>
          <w:p>
            <w:pPr>
              <w:jc w:val="right"/>
              <w:ind w:right="252"/>
              <w:spacing w:after="0" w:line="125" w:lineRule="exact"/>
              <w:rPr>
                <w:sz w:val="20"/>
                <w:szCs w:val="20"/>
                <w:color w:val="auto"/>
              </w:rPr>
            </w:pPr>
            <w:r>
              <w:rPr>
                <w:rFonts w:ascii="Arial" w:cs="Arial" w:eastAsia="Arial" w:hAnsi="Arial"/>
                <w:sz w:val="14"/>
                <w:szCs w:val="14"/>
                <w:b w:val="1"/>
                <w:bCs w:val="1"/>
                <w:color w:val="auto"/>
              </w:rPr>
              <w:t>109.0</w:t>
            </w:r>
          </w:p>
        </w:tc>
        <w:tc>
          <w:tcPr>
            <w:tcW w:w="1160" w:type="dxa"/>
            <w:vAlign w:val="bottom"/>
          </w:tcPr>
          <w:p>
            <w:pPr>
              <w:jc w:val="right"/>
              <w:ind w:right="72"/>
              <w:spacing w:after="0" w:line="125" w:lineRule="exact"/>
              <w:rPr>
                <w:sz w:val="20"/>
                <w:szCs w:val="20"/>
                <w:color w:val="auto"/>
              </w:rPr>
            </w:pPr>
            <w:r>
              <w:rPr>
                <w:rFonts w:ascii="Arial" w:cs="Arial" w:eastAsia="Arial" w:hAnsi="Arial"/>
                <w:sz w:val="14"/>
                <w:szCs w:val="14"/>
                <w:color w:val="auto"/>
              </w:rPr>
              <w:t>(1.4)</w:t>
            </w:r>
          </w:p>
        </w:tc>
        <w:tc>
          <w:tcPr>
            <w:tcW w:w="0" w:type="dxa"/>
            <w:vAlign w:val="bottom"/>
          </w:tcPr>
          <w:p>
            <w:pPr>
              <w:spacing w:after="0"/>
              <w:rPr>
                <w:sz w:val="1"/>
                <w:szCs w:val="1"/>
                <w:color w:val="auto"/>
              </w:rPr>
            </w:pPr>
          </w:p>
        </w:tc>
      </w:tr>
      <w:tr>
        <w:trPr>
          <w:trHeight w:val="165"/>
        </w:trPr>
        <w:tc>
          <w:tcPr>
            <w:tcW w:w="5200" w:type="dxa"/>
            <w:vAlign w:val="bottom"/>
            <w:tcBorders>
              <w:bottom w:val="single" w:sz="8" w:color="auto"/>
            </w:tcBorders>
          </w:tcPr>
          <w:p>
            <w:pPr>
              <w:spacing w:after="0"/>
              <w:rPr>
                <w:sz w:val="20"/>
                <w:szCs w:val="20"/>
                <w:color w:val="auto"/>
              </w:rPr>
            </w:pPr>
            <w:r>
              <w:rPr>
                <w:rFonts w:ascii="Arial" w:cs="Arial" w:eastAsia="Arial" w:hAnsi="Arial"/>
                <w:sz w:val="14"/>
                <w:szCs w:val="14"/>
                <w:color w:val="auto"/>
              </w:rPr>
              <w:t>Income Tax Expense</w:t>
            </w:r>
          </w:p>
        </w:tc>
        <w:tc>
          <w:tcPr>
            <w:tcW w:w="1180" w:type="dxa"/>
            <w:vAlign w:val="bottom"/>
            <w:tcBorders>
              <w:bottom w:val="single" w:sz="8" w:color="auto"/>
            </w:tcBorders>
          </w:tcPr>
          <w:p>
            <w:pPr>
              <w:spacing w:after="0"/>
              <w:rPr>
                <w:sz w:val="14"/>
                <w:szCs w:val="14"/>
                <w:color w:val="auto"/>
              </w:rPr>
            </w:pPr>
          </w:p>
        </w:tc>
        <w:tc>
          <w:tcPr>
            <w:tcW w:w="660" w:type="dxa"/>
            <w:vAlign w:val="bottom"/>
            <w:tcBorders>
              <w:bottom w:val="single" w:sz="8" w:color="auto"/>
            </w:tcBorders>
          </w:tcPr>
          <w:p>
            <w:pPr>
              <w:jc w:val="right"/>
              <w:ind w:right="132"/>
              <w:spacing w:after="0"/>
              <w:rPr>
                <w:sz w:val="20"/>
                <w:szCs w:val="20"/>
                <w:color w:val="auto"/>
              </w:rPr>
            </w:pPr>
            <w:r>
              <w:rPr>
                <w:rFonts w:ascii="Arial" w:cs="Arial" w:eastAsia="Arial" w:hAnsi="Arial"/>
                <w:sz w:val="14"/>
                <w:szCs w:val="14"/>
                <w:b w:val="1"/>
                <w:bCs w:val="1"/>
                <w:color w:val="auto"/>
                <w:w w:val="99"/>
              </w:rPr>
              <w:t>(1,347)</w:t>
            </w:r>
          </w:p>
        </w:tc>
        <w:tc>
          <w:tcPr>
            <w:tcW w:w="280" w:type="dxa"/>
            <w:vAlign w:val="bottom"/>
            <w:tcBorders>
              <w:bottom w:val="single" w:sz="8" w:color="auto"/>
            </w:tcBorders>
          </w:tcPr>
          <w:p>
            <w:pPr>
              <w:spacing w:after="0"/>
              <w:rPr>
                <w:sz w:val="14"/>
                <w:szCs w:val="14"/>
                <w:color w:val="auto"/>
              </w:rPr>
            </w:pPr>
          </w:p>
        </w:tc>
        <w:tc>
          <w:tcPr>
            <w:tcW w:w="680" w:type="dxa"/>
            <w:vAlign w:val="bottom"/>
            <w:tcBorders>
              <w:bottom w:val="single" w:sz="8" w:color="auto"/>
            </w:tcBorders>
          </w:tcPr>
          <w:p>
            <w:pPr>
              <w:jc w:val="right"/>
              <w:ind w:right="132"/>
              <w:spacing w:after="0"/>
              <w:rPr>
                <w:sz w:val="20"/>
                <w:szCs w:val="20"/>
                <w:color w:val="auto"/>
              </w:rPr>
            </w:pPr>
            <w:r>
              <w:rPr>
                <w:rFonts w:ascii="Arial" w:cs="Arial" w:eastAsia="Arial" w:hAnsi="Arial"/>
                <w:sz w:val="14"/>
                <w:szCs w:val="14"/>
                <w:color w:val="auto"/>
              </w:rPr>
              <w:t>(873)</w:t>
            </w:r>
          </w:p>
        </w:tc>
        <w:tc>
          <w:tcPr>
            <w:tcW w:w="280" w:type="dxa"/>
            <w:vAlign w:val="bottom"/>
            <w:tcBorders>
              <w:bottom w:val="single" w:sz="8" w:color="auto"/>
            </w:tcBorders>
          </w:tcPr>
          <w:p>
            <w:pPr>
              <w:spacing w:after="0"/>
              <w:rPr>
                <w:sz w:val="14"/>
                <w:szCs w:val="14"/>
                <w:color w:val="auto"/>
              </w:rPr>
            </w:pPr>
          </w:p>
        </w:tc>
        <w:tc>
          <w:tcPr>
            <w:tcW w:w="660" w:type="dxa"/>
            <w:vAlign w:val="bottom"/>
            <w:tcBorders>
              <w:bottom w:val="single" w:sz="8" w:color="auto"/>
            </w:tcBorders>
          </w:tcPr>
          <w:p>
            <w:pPr>
              <w:jc w:val="right"/>
              <w:ind w:right="132"/>
              <w:spacing w:after="0"/>
              <w:rPr>
                <w:sz w:val="20"/>
                <w:szCs w:val="20"/>
                <w:color w:val="auto"/>
              </w:rPr>
            </w:pPr>
            <w:r>
              <w:rPr>
                <w:rFonts w:ascii="Arial" w:cs="Arial" w:eastAsia="Arial" w:hAnsi="Arial"/>
                <w:sz w:val="14"/>
                <w:szCs w:val="14"/>
                <w:color w:val="auto"/>
              </w:rPr>
              <w:t>(801)</w:t>
            </w:r>
          </w:p>
        </w:tc>
        <w:tc>
          <w:tcPr>
            <w:tcW w:w="1320" w:type="dxa"/>
            <w:vAlign w:val="bottom"/>
            <w:tcBorders>
              <w:bottom w:val="single" w:sz="8" w:color="auto"/>
            </w:tcBorders>
          </w:tcPr>
          <w:p>
            <w:pPr>
              <w:jc w:val="right"/>
              <w:ind w:right="252"/>
              <w:spacing w:after="0"/>
              <w:rPr>
                <w:sz w:val="20"/>
                <w:szCs w:val="20"/>
                <w:color w:val="auto"/>
              </w:rPr>
            </w:pPr>
            <w:r>
              <w:rPr>
                <w:rFonts w:ascii="Arial" w:cs="Arial" w:eastAsia="Arial" w:hAnsi="Arial"/>
                <w:sz w:val="14"/>
                <w:szCs w:val="14"/>
                <w:b w:val="1"/>
                <w:bCs w:val="1"/>
                <w:color w:val="auto"/>
              </w:rPr>
              <w:t>54.3</w:t>
            </w:r>
          </w:p>
        </w:tc>
        <w:tc>
          <w:tcPr>
            <w:tcW w:w="1160" w:type="dxa"/>
            <w:vAlign w:val="bottom"/>
            <w:tcBorders>
              <w:bottom w:val="single" w:sz="8" w:color="auto"/>
            </w:tcBorders>
          </w:tcPr>
          <w:p>
            <w:pPr>
              <w:jc w:val="right"/>
              <w:ind w:right="112"/>
              <w:spacing w:after="0"/>
              <w:rPr>
                <w:sz w:val="20"/>
                <w:szCs w:val="20"/>
                <w:color w:val="auto"/>
              </w:rPr>
            </w:pPr>
            <w:r>
              <w:rPr>
                <w:rFonts w:ascii="Arial" w:cs="Arial" w:eastAsia="Arial" w:hAnsi="Arial"/>
                <w:sz w:val="14"/>
                <w:szCs w:val="14"/>
                <w:color w:val="auto"/>
              </w:rPr>
              <w:t>9.0</w:t>
            </w:r>
          </w:p>
        </w:tc>
        <w:tc>
          <w:tcPr>
            <w:tcW w:w="0" w:type="dxa"/>
            <w:vAlign w:val="bottom"/>
          </w:tcPr>
          <w:p>
            <w:pPr>
              <w:spacing w:after="0"/>
              <w:rPr>
                <w:sz w:val="1"/>
                <w:szCs w:val="1"/>
                <w:color w:val="auto"/>
              </w:rPr>
            </w:pPr>
          </w:p>
        </w:tc>
      </w:tr>
      <w:tr>
        <w:trPr>
          <w:trHeight w:val="125"/>
        </w:trPr>
        <w:tc>
          <w:tcPr>
            <w:tcW w:w="5200" w:type="dxa"/>
            <w:vAlign w:val="bottom"/>
          </w:tcPr>
          <w:p>
            <w:pPr>
              <w:spacing w:after="0" w:line="125" w:lineRule="exact"/>
              <w:rPr>
                <w:sz w:val="20"/>
                <w:szCs w:val="20"/>
                <w:color w:val="auto"/>
              </w:rPr>
            </w:pPr>
            <w:r>
              <w:rPr>
                <w:rFonts w:ascii="Arial" w:cs="Arial" w:eastAsia="Arial" w:hAnsi="Arial"/>
                <w:sz w:val="14"/>
                <w:szCs w:val="14"/>
                <w:color w:val="auto"/>
              </w:rPr>
              <w:t>Income from Continuing Operations before Minority Interest</w:t>
            </w:r>
          </w:p>
        </w:tc>
        <w:tc>
          <w:tcPr>
            <w:tcW w:w="1180" w:type="dxa"/>
            <w:vAlign w:val="bottom"/>
          </w:tcPr>
          <w:p>
            <w:pPr>
              <w:spacing w:after="0"/>
              <w:rPr>
                <w:sz w:val="10"/>
                <w:szCs w:val="10"/>
                <w:color w:val="auto"/>
              </w:rPr>
            </w:pPr>
          </w:p>
        </w:tc>
        <w:tc>
          <w:tcPr>
            <w:tcW w:w="660" w:type="dxa"/>
            <w:vAlign w:val="bottom"/>
          </w:tcPr>
          <w:p>
            <w:pPr>
              <w:jc w:val="right"/>
              <w:ind w:right="172"/>
              <w:spacing w:after="0" w:line="125" w:lineRule="exact"/>
              <w:rPr>
                <w:sz w:val="20"/>
                <w:szCs w:val="20"/>
                <w:color w:val="auto"/>
              </w:rPr>
            </w:pPr>
            <w:r>
              <w:rPr>
                <w:rFonts w:ascii="Arial" w:cs="Arial" w:eastAsia="Arial" w:hAnsi="Arial"/>
                <w:sz w:val="14"/>
                <w:szCs w:val="14"/>
                <w:b w:val="1"/>
                <w:bCs w:val="1"/>
                <w:color w:val="auto"/>
              </w:rPr>
              <w:t>2,247</w:t>
            </w:r>
          </w:p>
        </w:tc>
        <w:tc>
          <w:tcPr>
            <w:tcW w:w="280" w:type="dxa"/>
            <w:vAlign w:val="bottom"/>
          </w:tcPr>
          <w:p>
            <w:pPr>
              <w:spacing w:after="0"/>
              <w:rPr>
                <w:sz w:val="10"/>
                <w:szCs w:val="10"/>
                <w:color w:val="auto"/>
              </w:rPr>
            </w:pPr>
          </w:p>
        </w:tc>
        <w:tc>
          <w:tcPr>
            <w:tcW w:w="680" w:type="dxa"/>
            <w:vAlign w:val="bottom"/>
          </w:tcPr>
          <w:p>
            <w:pPr>
              <w:jc w:val="right"/>
              <w:ind w:right="192"/>
              <w:spacing w:after="0" w:line="125" w:lineRule="exact"/>
              <w:rPr>
                <w:sz w:val="20"/>
                <w:szCs w:val="20"/>
                <w:color w:val="auto"/>
              </w:rPr>
            </w:pPr>
            <w:r>
              <w:rPr>
                <w:rFonts w:ascii="Arial" w:cs="Arial" w:eastAsia="Arial" w:hAnsi="Arial"/>
                <w:sz w:val="14"/>
                <w:szCs w:val="14"/>
                <w:color w:val="auto"/>
              </w:rPr>
              <w:t>847</w:t>
            </w:r>
          </w:p>
        </w:tc>
        <w:tc>
          <w:tcPr>
            <w:tcW w:w="280" w:type="dxa"/>
            <w:vAlign w:val="bottom"/>
          </w:tcPr>
          <w:p>
            <w:pPr>
              <w:spacing w:after="0"/>
              <w:rPr>
                <w:sz w:val="10"/>
                <w:szCs w:val="10"/>
                <w:color w:val="auto"/>
              </w:rPr>
            </w:pPr>
          </w:p>
        </w:tc>
        <w:tc>
          <w:tcPr>
            <w:tcW w:w="660" w:type="dxa"/>
            <w:vAlign w:val="bottom"/>
          </w:tcPr>
          <w:p>
            <w:pPr>
              <w:jc w:val="right"/>
              <w:ind w:right="172"/>
              <w:spacing w:after="0" w:line="125" w:lineRule="exact"/>
              <w:rPr>
                <w:sz w:val="20"/>
                <w:szCs w:val="20"/>
                <w:color w:val="auto"/>
              </w:rPr>
            </w:pPr>
            <w:r>
              <w:rPr>
                <w:rFonts w:ascii="Arial" w:cs="Arial" w:eastAsia="Arial" w:hAnsi="Arial"/>
                <w:sz w:val="14"/>
                <w:szCs w:val="14"/>
                <w:color w:val="auto"/>
              </w:rPr>
              <w:t>942</w:t>
            </w:r>
          </w:p>
        </w:tc>
        <w:tc>
          <w:tcPr>
            <w:tcW w:w="1320" w:type="dxa"/>
            <w:vAlign w:val="bottom"/>
          </w:tcPr>
          <w:p>
            <w:pPr>
              <w:jc w:val="right"/>
              <w:ind w:right="252"/>
              <w:spacing w:after="0" w:line="125" w:lineRule="exact"/>
              <w:rPr>
                <w:sz w:val="20"/>
                <w:szCs w:val="20"/>
                <w:color w:val="auto"/>
              </w:rPr>
            </w:pPr>
            <w:r>
              <w:rPr>
                <w:rFonts w:ascii="Arial" w:cs="Arial" w:eastAsia="Arial" w:hAnsi="Arial"/>
                <w:sz w:val="14"/>
                <w:szCs w:val="14"/>
                <w:b w:val="1"/>
                <w:bCs w:val="1"/>
                <w:color w:val="auto"/>
              </w:rPr>
              <w:t>165.5</w:t>
            </w:r>
          </w:p>
        </w:tc>
        <w:tc>
          <w:tcPr>
            <w:tcW w:w="1160" w:type="dxa"/>
            <w:vAlign w:val="bottom"/>
          </w:tcPr>
          <w:p>
            <w:pPr>
              <w:jc w:val="right"/>
              <w:ind w:right="72"/>
              <w:spacing w:after="0" w:line="125" w:lineRule="exact"/>
              <w:rPr>
                <w:sz w:val="20"/>
                <w:szCs w:val="20"/>
                <w:color w:val="auto"/>
              </w:rPr>
            </w:pPr>
            <w:r>
              <w:rPr>
                <w:rFonts w:ascii="Arial" w:cs="Arial" w:eastAsia="Arial" w:hAnsi="Arial"/>
                <w:sz w:val="14"/>
                <w:szCs w:val="14"/>
                <w:color w:val="auto"/>
              </w:rPr>
              <w:t>(10.2)</w:t>
            </w:r>
          </w:p>
        </w:tc>
        <w:tc>
          <w:tcPr>
            <w:tcW w:w="0" w:type="dxa"/>
            <w:vAlign w:val="bottom"/>
          </w:tcPr>
          <w:p>
            <w:pPr>
              <w:spacing w:after="0"/>
              <w:rPr>
                <w:sz w:val="1"/>
                <w:szCs w:val="1"/>
                <w:color w:val="auto"/>
              </w:rPr>
            </w:pPr>
          </w:p>
        </w:tc>
      </w:tr>
      <w:tr>
        <w:trPr>
          <w:trHeight w:val="165"/>
        </w:trPr>
        <w:tc>
          <w:tcPr>
            <w:tcW w:w="5200" w:type="dxa"/>
            <w:vAlign w:val="bottom"/>
            <w:tcBorders>
              <w:bottom w:val="single" w:sz="8" w:color="auto"/>
            </w:tcBorders>
          </w:tcPr>
          <w:p>
            <w:pPr>
              <w:spacing w:after="0"/>
              <w:rPr>
                <w:sz w:val="20"/>
                <w:szCs w:val="20"/>
                <w:color w:val="auto"/>
              </w:rPr>
            </w:pPr>
            <w:r>
              <w:rPr>
                <w:rFonts w:ascii="Arial" w:cs="Arial" w:eastAsia="Arial" w:hAnsi="Arial"/>
                <w:sz w:val="14"/>
                <w:szCs w:val="14"/>
                <w:color w:val="auto"/>
              </w:rPr>
              <w:t>Minority Interest</w:t>
            </w:r>
          </w:p>
        </w:tc>
        <w:tc>
          <w:tcPr>
            <w:tcW w:w="1180" w:type="dxa"/>
            <w:vAlign w:val="bottom"/>
            <w:tcBorders>
              <w:bottom w:val="single" w:sz="8" w:color="auto"/>
            </w:tcBorders>
          </w:tcPr>
          <w:p>
            <w:pPr>
              <w:spacing w:after="0"/>
              <w:rPr>
                <w:sz w:val="14"/>
                <w:szCs w:val="14"/>
                <w:color w:val="auto"/>
              </w:rPr>
            </w:pPr>
          </w:p>
        </w:tc>
        <w:tc>
          <w:tcPr>
            <w:tcW w:w="660" w:type="dxa"/>
            <w:vAlign w:val="bottom"/>
            <w:tcBorders>
              <w:bottom w:val="single" w:sz="8" w:color="auto"/>
            </w:tcBorders>
          </w:tcPr>
          <w:p>
            <w:pPr>
              <w:jc w:val="right"/>
              <w:ind w:right="132"/>
              <w:spacing w:after="0"/>
              <w:rPr>
                <w:sz w:val="20"/>
                <w:szCs w:val="20"/>
                <w:color w:val="auto"/>
              </w:rPr>
            </w:pPr>
            <w:r>
              <w:rPr>
                <w:rFonts w:ascii="Arial" w:cs="Arial" w:eastAsia="Arial" w:hAnsi="Arial"/>
                <w:sz w:val="14"/>
                <w:szCs w:val="14"/>
                <w:b w:val="1"/>
                <w:bCs w:val="1"/>
                <w:color w:val="auto"/>
              </w:rPr>
              <w:t>(12)</w:t>
            </w:r>
          </w:p>
        </w:tc>
        <w:tc>
          <w:tcPr>
            <w:tcW w:w="280" w:type="dxa"/>
            <w:vAlign w:val="bottom"/>
            <w:tcBorders>
              <w:bottom w:val="single" w:sz="8" w:color="auto"/>
            </w:tcBorders>
          </w:tcPr>
          <w:p>
            <w:pPr>
              <w:spacing w:after="0"/>
              <w:rPr>
                <w:sz w:val="14"/>
                <w:szCs w:val="14"/>
                <w:color w:val="auto"/>
              </w:rPr>
            </w:pPr>
          </w:p>
        </w:tc>
        <w:tc>
          <w:tcPr>
            <w:tcW w:w="680" w:type="dxa"/>
            <w:vAlign w:val="bottom"/>
            <w:tcBorders>
              <w:bottom w:val="single" w:sz="8" w:color="auto"/>
            </w:tcBorders>
          </w:tcPr>
          <w:p>
            <w:pPr>
              <w:jc w:val="right"/>
              <w:ind w:right="132"/>
              <w:spacing w:after="0"/>
              <w:rPr>
                <w:sz w:val="20"/>
                <w:szCs w:val="20"/>
                <w:color w:val="auto"/>
              </w:rPr>
            </w:pPr>
            <w:r>
              <w:rPr>
                <w:rFonts w:ascii="Arial" w:cs="Arial" w:eastAsia="Arial" w:hAnsi="Arial"/>
                <w:sz w:val="14"/>
                <w:szCs w:val="14"/>
                <w:color w:val="auto"/>
              </w:rPr>
              <w:t>(19)</w:t>
            </w:r>
          </w:p>
        </w:tc>
        <w:tc>
          <w:tcPr>
            <w:tcW w:w="280" w:type="dxa"/>
            <w:vAlign w:val="bottom"/>
            <w:tcBorders>
              <w:bottom w:val="single" w:sz="8" w:color="auto"/>
            </w:tcBorders>
          </w:tcPr>
          <w:p>
            <w:pPr>
              <w:spacing w:after="0"/>
              <w:rPr>
                <w:sz w:val="14"/>
                <w:szCs w:val="14"/>
                <w:color w:val="auto"/>
              </w:rPr>
            </w:pPr>
          </w:p>
        </w:tc>
        <w:tc>
          <w:tcPr>
            <w:tcW w:w="660" w:type="dxa"/>
            <w:vAlign w:val="bottom"/>
            <w:tcBorders>
              <w:bottom w:val="single" w:sz="8" w:color="auto"/>
            </w:tcBorders>
          </w:tcPr>
          <w:p>
            <w:pPr>
              <w:jc w:val="right"/>
              <w:ind w:right="132"/>
              <w:spacing w:after="0"/>
              <w:rPr>
                <w:sz w:val="20"/>
                <w:szCs w:val="20"/>
                <w:color w:val="auto"/>
              </w:rPr>
            </w:pPr>
            <w:r>
              <w:rPr>
                <w:rFonts w:ascii="Arial" w:cs="Arial" w:eastAsia="Arial" w:hAnsi="Arial"/>
                <w:sz w:val="14"/>
                <w:szCs w:val="14"/>
                <w:color w:val="auto"/>
              </w:rPr>
              <w:t>(14)</w:t>
            </w:r>
          </w:p>
        </w:tc>
        <w:tc>
          <w:tcPr>
            <w:tcW w:w="1320" w:type="dxa"/>
            <w:vAlign w:val="bottom"/>
            <w:tcBorders>
              <w:bottom w:val="single" w:sz="8" w:color="auto"/>
            </w:tcBorders>
          </w:tcPr>
          <w:p>
            <w:pPr>
              <w:jc w:val="right"/>
              <w:ind w:right="192"/>
              <w:spacing w:after="0"/>
              <w:rPr>
                <w:sz w:val="20"/>
                <w:szCs w:val="20"/>
                <w:color w:val="auto"/>
              </w:rPr>
            </w:pPr>
            <w:r>
              <w:rPr>
                <w:rFonts w:ascii="Arial" w:cs="Arial" w:eastAsia="Arial" w:hAnsi="Arial"/>
                <w:sz w:val="14"/>
                <w:szCs w:val="14"/>
                <w:b w:val="1"/>
                <w:bCs w:val="1"/>
                <w:color w:val="auto"/>
              </w:rPr>
              <w:t>(36.8)</w:t>
            </w:r>
          </w:p>
        </w:tc>
        <w:tc>
          <w:tcPr>
            <w:tcW w:w="1160" w:type="dxa"/>
            <w:vAlign w:val="bottom"/>
            <w:tcBorders>
              <w:bottom w:val="single" w:sz="8" w:color="auto"/>
            </w:tcBorders>
          </w:tcPr>
          <w:p>
            <w:pPr>
              <w:jc w:val="right"/>
              <w:ind w:right="112"/>
              <w:spacing w:after="0"/>
              <w:rPr>
                <w:sz w:val="20"/>
                <w:szCs w:val="20"/>
                <w:color w:val="auto"/>
              </w:rPr>
            </w:pPr>
            <w:r>
              <w:rPr>
                <w:rFonts w:ascii="Arial" w:cs="Arial" w:eastAsia="Arial" w:hAnsi="Arial"/>
                <w:sz w:val="14"/>
                <w:szCs w:val="14"/>
                <w:color w:val="auto"/>
              </w:rPr>
              <w:t>35.7</w:t>
            </w:r>
          </w:p>
        </w:tc>
        <w:tc>
          <w:tcPr>
            <w:tcW w:w="0" w:type="dxa"/>
            <w:vAlign w:val="bottom"/>
          </w:tcPr>
          <w:p>
            <w:pPr>
              <w:spacing w:after="0"/>
              <w:rPr>
                <w:sz w:val="1"/>
                <w:szCs w:val="1"/>
                <w:color w:val="auto"/>
              </w:rPr>
            </w:pPr>
          </w:p>
        </w:tc>
      </w:tr>
      <w:tr>
        <w:trPr>
          <w:trHeight w:val="125"/>
        </w:trPr>
        <w:tc>
          <w:tcPr>
            <w:tcW w:w="5200" w:type="dxa"/>
            <w:vAlign w:val="bottom"/>
          </w:tcPr>
          <w:p>
            <w:pPr>
              <w:spacing w:after="0" w:line="125" w:lineRule="exact"/>
              <w:rPr>
                <w:sz w:val="20"/>
                <w:szCs w:val="20"/>
                <w:color w:val="auto"/>
              </w:rPr>
            </w:pPr>
            <w:r>
              <w:rPr>
                <w:rFonts w:ascii="Arial" w:cs="Arial" w:eastAsia="Arial" w:hAnsi="Arial"/>
                <w:sz w:val="14"/>
                <w:szCs w:val="14"/>
                <w:b w:val="1"/>
                <w:bCs w:val="1"/>
                <w:color w:val="auto"/>
              </w:rPr>
              <w:t>Income from Continuing Operations</w:t>
            </w:r>
          </w:p>
        </w:tc>
        <w:tc>
          <w:tcPr>
            <w:tcW w:w="1180" w:type="dxa"/>
            <w:vAlign w:val="bottom"/>
          </w:tcPr>
          <w:p>
            <w:pPr>
              <w:spacing w:after="0"/>
              <w:rPr>
                <w:sz w:val="10"/>
                <w:szCs w:val="10"/>
                <w:color w:val="auto"/>
              </w:rPr>
            </w:pPr>
          </w:p>
        </w:tc>
        <w:tc>
          <w:tcPr>
            <w:tcW w:w="660" w:type="dxa"/>
            <w:vAlign w:val="bottom"/>
          </w:tcPr>
          <w:p>
            <w:pPr>
              <w:jc w:val="right"/>
              <w:ind w:right="172"/>
              <w:spacing w:after="0" w:line="125" w:lineRule="exact"/>
              <w:rPr>
                <w:sz w:val="20"/>
                <w:szCs w:val="20"/>
                <w:color w:val="auto"/>
              </w:rPr>
            </w:pPr>
            <w:r>
              <w:rPr>
                <w:rFonts w:ascii="Arial" w:cs="Arial" w:eastAsia="Arial" w:hAnsi="Arial"/>
                <w:sz w:val="14"/>
                <w:szCs w:val="14"/>
                <w:b w:val="1"/>
                <w:bCs w:val="1"/>
                <w:color w:val="auto"/>
              </w:rPr>
              <w:t>2,235</w:t>
            </w:r>
          </w:p>
        </w:tc>
        <w:tc>
          <w:tcPr>
            <w:tcW w:w="280" w:type="dxa"/>
            <w:vAlign w:val="bottom"/>
          </w:tcPr>
          <w:p>
            <w:pPr>
              <w:spacing w:after="0"/>
              <w:rPr>
                <w:sz w:val="10"/>
                <w:szCs w:val="10"/>
                <w:color w:val="auto"/>
              </w:rPr>
            </w:pPr>
          </w:p>
        </w:tc>
        <w:tc>
          <w:tcPr>
            <w:tcW w:w="680" w:type="dxa"/>
            <w:vAlign w:val="bottom"/>
          </w:tcPr>
          <w:p>
            <w:pPr>
              <w:jc w:val="right"/>
              <w:ind w:right="192"/>
              <w:spacing w:after="0" w:line="125" w:lineRule="exact"/>
              <w:rPr>
                <w:sz w:val="20"/>
                <w:szCs w:val="20"/>
                <w:color w:val="auto"/>
              </w:rPr>
            </w:pPr>
            <w:r>
              <w:rPr>
                <w:rFonts w:ascii="Arial" w:cs="Arial" w:eastAsia="Arial" w:hAnsi="Arial"/>
                <w:sz w:val="14"/>
                <w:szCs w:val="14"/>
                <w:color w:val="auto"/>
              </w:rPr>
              <w:t>828</w:t>
            </w:r>
          </w:p>
        </w:tc>
        <w:tc>
          <w:tcPr>
            <w:tcW w:w="280" w:type="dxa"/>
            <w:vAlign w:val="bottom"/>
          </w:tcPr>
          <w:p>
            <w:pPr>
              <w:spacing w:after="0"/>
              <w:rPr>
                <w:sz w:val="10"/>
                <w:szCs w:val="10"/>
                <w:color w:val="auto"/>
              </w:rPr>
            </w:pPr>
          </w:p>
        </w:tc>
        <w:tc>
          <w:tcPr>
            <w:tcW w:w="660" w:type="dxa"/>
            <w:vAlign w:val="bottom"/>
          </w:tcPr>
          <w:p>
            <w:pPr>
              <w:jc w:val="right"/>
              <w:ind w:right="172"/>
              <w:spacing w:after="0" w:line="125" w:lineRule="exact"/>
              <w:rPr>
                <w:sz w:val="20"/>
                <w:szCs w:val="20"/>
                <w:color w:val="auto"/>
              </w:rPr>
            </w:pPr>
            <w:r>
              <w:rPr>
                <w:rFonts w:ascii="Arial" w:cs="Arial" w:eastAsia="Arial" w:hAnsi="Arial"/>
                <w:sz w:val="14"/>
                <w:szCs w:val="14"/>
                <w:color w:val="auto"/>
              </w:rPr>
              <w:t>928</w:t>
            </w:r>
          </w:p>
        </w:tc>
        <w:tc>
          <w:tcPr>
            <w:tcW w:w="1320" w:type="dxa"/>
            <w:vAlign w:val="bottom"/>
          </w:tcPr>
          <w:p>
            <w:pPr>
              <w:jc w:val="right"/>
              <w:ind w:right="252"/>
              <w:spacing w:after="0" w:line="125" w:lineRule="exact"/>
              <w:rPr>
                <w:sz w:val="20"/>
                <w:szCs w:val="20"/>
                <w:color w:val="auto"/>
              </w:rPr>
            </w:pPr>
            <w:r>
              <w:rPr>
                <w:rFonts w:ascii="Arial" w:cs="Arial" w:eastAsia="Arial" w:hAnsi="Arial"/>
                <w:sz w:val="14"/>
                <w:szCs w:val="14"/>
                <w:b w:val="1"/>
                <w:bCs w:val="1"/>
                <w:color w:val="auto"/>
              </w:rPr>
              <w:t>169.9</w:t>
            </w:r>
          </w:p>
        </w:tc>
        <w:tc>
          <w:tcPr>
            <w:tcW w:w="1160" w:type="dxa"/>
            <w:vAlign w:val="bottom"/>
          </w:tcPr>
          <w:p>
            <w:pPr>
              <w:jc w:val="right"/>
              <w:ind w:right="72"/>
              <w:spacing w:after="0" w:line="125" w:lineRule="exact"/>
              <w:rPr>
                <w:sz w:val="20"/>
                <w:szCs w:val="20"/>
                <w:color w:val="auto"/>
              </w:rPr>
            </w:pPr>
            <w:r>
              <w:rPr>
                <w:rFonts w:ascii="Arial" w:cs="Arial" w:eastAsia="Arial" w:hAnsi="Arial"/>
                <w:sz w:val="14"/>
                <w:szCs w:val="14"/>
                <w:color w:val="auto"/>
              </w:rPr>
              <w:t>(10.8)</w:t>
            </w:r>
          </w:p>
        </w:tc>
        <w:tc>
          <w:tcPr>
            <w:tcW w:w="0" w:type="dxa"/>
            <w:vAlign w:val="bottom"/>
          </w:tcPr>
          <w:p>
            <w:pPr>
              <w:spacing w:after="0"/>
              <w:rPr>
                <w:sz w:val="1"/>
                <w:szCs w:val="1"/>
                <w:color w:val="auto"/>
              </w:rPr>
            </w:pPr>
          </w:p>
        </w:tc>
      </w:tr>
      <w:tr>
        <w:trPr>
          <w:trHeight w:val="165"/>
        </w:trPr>
        <w:tc>
          <w:tcPr>
            <w:tcW w:w="5200" w:type="dxa"/>
            <w:vAlign w:val="bottom"/>
            <w:tcBorders>
              <w:bottom w:val="single" w:sz="8" w:color="auto"/>
            </w:tcBorders>
          </w:tcPr>
          <w:p>
            <w:pPr>
              <w:spacing w:after="0"/>
              <w:rPr>
                <w:sz w:val="20"/>
                <w:szCs w:val="20"/>
                <w:color w:val="auto"/>
              </w:rPr>
            </w:pPr>
            <w:r>
              <w:rPr>
                <w:rFonts w:ascii="Arial" w:cs="Arial" w:eastAsia="Arial" w:hAnsi="Arial"/>
                <w:sz w:val="14"/>
                <w:szCs w:val="14"/>
                <w:color w:val="auto"/>
              </w:rPr>
              <w:t>Discontinued Operations, net of Tax</w:t>
            </w:r>
          </w:p>
        </w:tc>
        <w:tc>
          <w:tcPr>
            <w:tcW w:w="1180" w:type="dxa"/>
            <w:vAlign w:val="bottom"/>
            <w:tcBorders>
              <w:bottom w:val="single" w:sz="8" w:color="auto"/>
            </w:tcBorders>
          </w:tcPr>
          <w:p>
            <w:pPr>
              <w:spacing w:after="0"/>
              <w:rPr>
                <w:sz w:val="14"/>
                <w:szCs w:val="14"/>
                <w:color w:val="auto"/>
              </w:rPr>
            </w:pPr>
          </w:p>
        </w:tc>
        <w:tc>
          <w:tcPr>
            <w:tcW w:w="660" w:type="dxa"/>
            <w:vAlign w:val="bottom"/>
            <w:tcBorders>
              <w:bottom w:val="single" w:sz="8" w:color="auto"/>
            </w:tcBorders>
          </w:tcPr>
          <w:p>
            <w:pPr>
              <w:jc w:val="right"/>
              <w:ind w:right="172"/>
              <w:spacing w:after="0"/>
              <w:rPr>
                <w:sz w:val="20"/>
                <w:szCs w:val="20"/>
                <w:color w:val="auto"/>
              </w:rPr>
            </w:pPr>
            <w:r>
              <w:rPr>
                <w:rFonts w:ascii="Arial" w:cs="Arial" w:eastAsia="Arial" w:hAnsi="Arial"/>
                <w:sz w:val="14"/>
                <w:szCs w:val="14"/>
                <w:b w:val="1"/>
                <w:bCs w:val="1"/>
                <w:color w:val="auto"/>
              </w:rPr>
              <w:t>298</w:t>
            </w:r>
          </w:p>
        </w:tc>
        <w:tc>
          <w:tcPr>
            <w:tcW w:w="280" w:type="dxa"/>
            <w:vAlign w:val="bottom"/>
            <w:tcBorders>
              <w:bottom w:val="single" w:sz="8" w:color="auto"/>
            </w:tcBorders>
          </w:tcPr>
          <w:p>
            <w:pPr>
              <w:spacing w:after="0"/>
              <w:rPr>
                <w:sz w:val="14"/>
                <w:szCs w:val="14"/>
                <w:color w:val="auto"/>
              </w:rPr>
            </w:pPr>
          </w:p>
        </w:tc>
        <w:tc>
          <w:tcPr>
            <w:tcW w:w="680" w:type="dxa"/>
            <w:vAlign w:val="bottom"/>
            <w:tcBorders>
              <w:bottom w:val="single" w:sz="8" w:color="auto"/>
            </w:tcBorders>
          </w:tcPr>
          <w:p>
            <w:pPr>
              <w:jc w:val="right"/>
              <w:ind w:right="192"/>
              <w:spacing w:after="0"/>
              <w:rPr>
                <w:sz w:val="20"/>
                <w:szCs w:val="20"/>
                <w:color w:val="auto"/>
              </w:rPr>
            </w:pPr>
            <w:r>
              <w:rPr>
                <w:rFonts w:ascii="Arial" w:cs="Arial" w:eastAsia="Arial" w:hAnsi="Arial"/>
                <w:sz w:val="14"/>
                <w:szCs w:val="14"/>
                <w:color w:val="auto"/>
              </w:rPr>
              <w:t>100</w:t>
            </w:r>
          </w:p>
        </w:tc>
        <w:tc>
          <w:tcPr>
            <w:tcW w:w="280" w:type="dxa"/>
            <w:vAlign w:val="bottom"/>
            <w:tcBorders>
              <w:bottom w:val="single" w:sz="8" w:color="auto"/>
            </w:tcBorders>
          </w:tcPr>
          <w:p>
            <w:pPr>
              <w:spacing w:after="0"/>
              <w:rPr>
                <w:sz w:val="14"/>
                <w:szCs w:val="14"/>
                <w:color w:val="auto"/>
              </w:rPr>
            </w:pPr>
          </w:p>
        </w:tc>
        <w:tc>
          <w:tcPr>
            <w:tcW w:w="660" w:type="dxa"/>
            <w:vAlign w:val="bottom"/>
            <w:tcBorders>
              <w:bottom w:val="single" w:sz="8" w:color="auto"/>
            </w:tcBorders>
          </w:tcPr>
          <w:p>
            <w:pPr>
              <w:jc w:val="right"/>
              <w:ind w:right="172"/>
              <w:spacing w:after="0"/>
              <w:rPr>
                <w:sz w:val="20"/>
                <w:szCs w:val="20"/>
                <w:color w:val="auto"/>
              </w:rPr>
            </w:pPr>
            <w:r>
              <w:rPr>
                <w:rFonts w:ascii="Arial" w:cs="Arial" w:eastAsia="Arial" w:hAnsi="Arial"/>
                <w:sz w:val="14"/>
                <w:szCs w:val="14"/>
                <w:color w:val="auto"/>
              </w:rPr>
              <w:t>42</w:t>
            </w:r>
          </w:p>
        </w:tc>
        <w:tc>
          <w:tcPr>
            <w:tcW w:w="1320" w:type="dxa"/>
            <w:vAlign w:val="bottom"/>
            <w:tcBorders>
              <w:bottom w:val="single" w:sz="8" w:color="auto"/>
            </w:tcBorders>
          </w:tcPr>
          <w:p>
            <w:pPr>
              <w:jc w:val="right"/>
              <w:ind w:right="252"/>
              <w:spacing w:after="0"/>
              <w:rPr>
                <w:sz w:val="20"/>
                <w:szCs w:val="20"/>
                <w:color w:val="auto"/>
              </w:rPr>
            </w:pPr>
            <w:r>
              <w:rPr>
                <w:rFonts w:ascii="Arial" w:cs="Arial" w:eastAsia="Arial" w:hAnsi="Arial"/>
                <w:sz w:val="14"/>
                <w:szCs w:val="14"/>
                <w:b w:val="1"/>
                <w:bCs w:val="1"/>
                <w:color w:val="auto"/>
              </w:rPr>
              <w:t>198.0</w:t>
            </w:r>
          </w:p>
        </w:tc>
        <w:tc>
          <w:tcPr>
            <w:tcW w:w="1160" w:type="dxa"/>
            <w:vAlign w:val="bottom"/>
            <w:tcBorders>
              <w:bottom w:val="single" w:sz="8" w:color="auto"/>
            </w:tcBorders>
          </w:tcPr>
          <w:p>
            <w:pPr>
              <w:jc w:val="right"/>
              <w:ind w:right="112"/>
              <w:spacing w:after="0"/>
              <w:rPr>
                <w:sz w:val="20"/>
                <w:szCs w:val="20"/>
                <w:color w:val="auto"/>
              </w:rPr>
            </w:pPr>
            <w:r>
              <w:rPr>
                <w:rFonts w:ascii="Arial" w:cs="Arial" w:eastAsia="Arial" w:hAnsi="Arial"/>
                <w:sz w:val="14"/>
                <w:szCs w:val="14"/>
                <w:color w:val="auto"/>
              </w:rPr>
              <w:t>138.1</w:t>
            </w:r>
          </w:p>
        </w:tc>
        <w:tc>
          <w:tcPr>
            <w:tcW w:w="0" w:type="dxa"/>
            <w:vAlign w:val="bottom"/>
          </w:tcPr>
          <w:p>
            <w:pPr>
              <w:spacing w:after="0"/>
              <w:rPr>
                <w:sz w:val="1"/>
                <w:szCs w:val="1"/>
                <w:color w:val="auto"/>
              </w:rPr>
            </w:pPr>
          </w:p>
        </w:tc>
      </w:tr>
      <w:tr>
        <w:trPr>
          <w:trHeight w:val="142"/>
        </w:trPr>
        <w:tc>
          <w:tcPr>
            <w:tcW w:w="5200" w:type="dxa"/>
            <w:vAlign w:val="bottom"/>
            <w:tcBorders>
              <w:bottom w:val="single" w:sz="8" w:color="35BF85"/>
            </w:tcBorders>
          </w:tcPr>
          <w:p>
            <w:pPr>
              <w:spacing w:after="0" w:line="142" w:lineRule="exact"/>
              <w:rPr>
                <w:sz w:val="20"/>
                <w:szCs w:val="20"/>
                <w:color w:val="auto"/>
              </w:rPr>
            </w:pPr>
            <w:r>
              <w:rPr>
                <w:rFonts w:ascii="Arial" w:cs="Arial" w:eastAsia="Arial" w:hAnsi="Arial"/>
                <w:sz w:val="14"/>
                <w:szCs w:val="14"/>
                <w:color w:val="auto"/>
              </w:rPr>
              <w:t>Net Income</w:t>
            </w:r>
          </w:p>
        </w:tc>
        <w:tc>
          <w:tcPr>
            <w:tcW w:w="1180" w:type="dxa"/>
            <w:vAlign w:val="bottom"/>
            <w:tcBorders>
              <w:bottom w:val="single" w:sz="8" w:color="35BF85"/>
            </w:tcBorders>
          </w:tcPr>
          <w:p>
            <w:pPr>
              <w:jc w:val="right"/>
              <w:spacing w:after="0" w:line="142" w:lineRule="exact"/>
              <w:rPr>
                <w:sz w:val="20"/>
                <w:szCs w:val="20"/>
                <w:color w:val="auto"/>
              </w:rPr>
            </w:pPr>
            <w:r>
              <w:rPr>
                <w:rFonts w:ascii="Arial" w:cs="Arial" w:eastAsia="Arial" w:hAnsi="Arial"/>
                <w:sz w:val="14"/>
                <w:szCs w:val="14"/>
                <w:b w:val="1"/>
                <w:bCs w:val="1"/>
                <w:color w:val="auto"/>
              </w:rPr>
              <w:t>$</w:t>
            </w:r>
          </w:p>
        </w:tc>
        <w:tc>
          <w:tcPr>
            <w:tcW w:w="660" w:type="dxa"/>
            <w:vAlign w:val="bottom"/>
            <w:tcBorders>
              <w:bottom w:val="single" w:sz="8" w:color="35BF85"/>
            </w:tcBorders>
          </w:tcPr>
          <w:p>
            <w:pPr>
              <w:jc w:val="right"/>
              <w:ind w:right="172"/>
              <w:spacing w:after="0" w:line="142" w:lineRule="exact"/>
              <w:rPr>
                <w:sz w:val="20"/>
                <w:szCs w:val="20"/>
                <w:color w:val="auto"/>
              </w:rPr>
            </w:pPr>
            <w:r>
              <w:rPr>
                <w:rFonts w:ascii="Arial" w:cs="Arial" w:eastAsia="Arial" w:hAnsi="Arial"/>
                <w:sz w:val="14"/>
                <w:szCs w:val="14"/>
                <w:b w:val="1"/>
                <w:bCs w:val="1"/>
                <w:color w:val="auto"/>
              </w:rPr>
              <w:t>2,533</w:t>
            </w:r>
          </w:p>
        </w:tc>
        <w:tc>
          <w:tcPr>
            <w:tcW w:w="280" w:type="dxa"/>
            <w:vAlign w:val="bottom"/>
            <w:tcBorders>
              <w:bottom w:val="single" w:sz="8" w:color="35BF85"/>
            </w:tcBorders>
          </w:tcPr>
          <w:p>
            <w:pPr>
              <w:jc w:val="right"/>
              <w:spacing w:after="0" w:line="142" w:lineRule="exact"/>
              <w:rPr>
                <w:sz w:val="20"/>
                <w:szCs w:val="20"/>
                <w:color w:val="auto"/>
              </w:rPr>
            </w:pPr>
            <w:r>
              <w:rPr>
                <w:rFonts w:ascii="Arial" w:cs="Arial" w:eastAsia="Arial" w:hAnsi="Arial"/>
                <w:sz w:val="14"/>
                <w:szCs w:val="14"/>
                <w:color w:val="auto"/>
              </w:rPr>
              <w:t>$</w:t>
            </w:r>
          </w:p>
        </w:tc>
        <w:tc>
          <w:tcPr>
            <w:tcW w:w="680" w:type="dxa"/>
            <w:vAlign w:val="bottom"/>
            <w:tcBorders>
              <w:bottom w:val="single" w:sz="8" w:color="35BF85"/>
            </w:tcBorders>
          </w:tcPr>
          <w:p>
            <w:pPr>
              <w:jc w:val="right"/>
              <w:ind w:right="192"/>
              <w:spacing w:after="0" w:line="142" w:lineRule="exact"/>
              <w:rPr>
                <w:sz w:val="20"/>
                <w:szCs w:val="20"/>
                <w:color w:val="auto"/>
              </w:rPr>
            </w:pPr>
            <w:r>
              <w:rPr>
                <w:rFonts w:ascii="Arial" w:cs="Arial" w:eastAsia="Arial" w:hAnsi="Arial"/>
                <w:sz w:val="14"/>
                <w:szCs w:val="14"/>
                <w:color w:val="auto"/>
              </w:rPr>
              <w:t>928</w:t>
            </w:r>
          </w:p>
        </w:tc>
        <w:tc>
          <w:tcPr>
            <w:tcW w:w="280" w:type="dxa"/>
            <w:vAlign w:val="bottom"/>
            <w:tcBorders>
              <w:bottom w:val="single" w:sz="8" w:color="35BF85"/>
            </w:tcBorders>
          </w:tcPr>
          <w:p>
            <w:pPr>
              <w:jc w:val="right"/>
              <w:spacing w:after="0" w:line="142" w:lineRule="exact"/>
              <w:rPr>
                <w:sz w:val="20"/>
                <w:szCs w:val="20"/>
                <w:color w:val="auto"/>
              </w:rPr>
            </w:pPr>
            <w:r>
              <w:rPr>
                <w:rFonts w:ascii="Arial" w:cs="Arial" w:eastAsia="Arial" w:hAnsi="Arial"/>
                <w:sz w:val="14"/>
                <w:szCs w:val="14"/>
                <w:color w:val="auto"/>
              </w:rPr>
              <w:t>$</w:t>
            </w:r>
          </w:p>
        </w:tc>
        <w:tc>
          <w:tcPr>
            <w:tcW w:w="660" w:type="dxa"/>
            <w:vAlign w:val="bottom"/>
            <w:tcBorders>
              <w:bottom w:val="single" w:sz="8" w:color="35BF85"/>
            </w:tcBorders>
          </w:tcPr>
          <w:p>
            <w:pPr>
              <w:jc w:val="right"/>
              <w:ind w:right="172"/>
              <w:spacing w:after="0" w:line="142" w:lineRule="exact"/>
              <w:rPr>
                <w:sz w:val="20"/>
                <w:szCs w:val="20"/>
                <w:color w:val="auto"/>
              </w:rPr>
            </w:pPr>
            <w:r>
              <w:rPr>
                <w:rFonts w:ascii="Arial" w:cs="Arial" w:eastAsia="Arial" w:hAnsi="Arial"/>
                <w:sz w:val="14"/>
                <w:szCs w:val="14"/>
                <w:color w:val="auto"/>
              </w:rPr>
              <w:t>970</w:t>
            </w:r>
          </w:p>
        </w:tc>
        <w:tc>
          <w:tcPr>
            <w:tcW w:w="1320" w:type="dxa"/>
            <w:vAlign w:val="bottom"/>
            <w:tcBorders>
              <w:bottom w:val="single" w:sz="8" w:color="35BF85"/>
            </w:tcBorders>
          </w:tcPr>
          <w:p>
            <w:pPr>
              <w:jc w:val="right"/>
              <w:ind w:right="132"/>
              <w:spacing w:after="0" w:line="142" w:lineRule="exact"/>
              <w:rPr>
                <w:sz w:val="20"/>
                <w:szCs w:val="20"/>
                <w:color w:val="auto"/>
              </w:rPr>
            </w:pPr>
            <w:r>
              <w:rPr>
                <w:rFonts w:ascii="Arial" w:cs="Arial" w:eastAsia="Arial" w:hAnsi="Arial"/>
                <w:sz w:val="14"/>
                <w:szCs w:val="14"/>
                <w:b w:val="1"/>
                <w:bCs w:val="1"/>
                <w:color w:val="auto"/>
              </w:rPr>
              <w:t>173.0%</w:t>
            </w:r>
          </w:p>
        </w:tc>
        <w:tc>
          <w:tcPr>
            <w:tcW w:w="1160" w:type="dxa"/>
            <w:vAlign w:val="bottom"/>
            <w:tcBorders>
              <w:bottom w:val="single" w:sz="8" w:color="35BF85"/>
            </w:tcBorders>
          </w:tcPr>
          <w:p>
            <w:pPr>
              <w:jc w:val="right"/>
              <w:spacing w:after="0" w:line="142" w:lineRule="exact"/>
              <w:rPr>
                <w:sz w:val="20"/>
                <w:szCs w:val="20"/>
                <w:color w:val="auto"/>
              </w:rPr>
            </w:pPr>
            <w:r>
              <w:rPr>
                <w:rFonts w:ascii="Arial" w:cs="Arial" w:eastAsia="Arial" w:hAnsi="Arial"/>
                <w:sz w:val="14"/>
                <w:szCs w:val="14"/>
                <w:color w:val="auto"/>
              </w:rPr>
              <w:t>(4.3)%</w:t>
            </w:r>
          </w:p>
        </w:tc>
        <w:tc>
          <w:tcPr>
            <w:tcW w:w="0" w:type="dxa"/>
            <w:vAlign w:val="bottom"/>
          </w:tcPr>
          <w:p>
            <w:pPr>
              <w:spacing w:after="0"/>
              <w:rPr>
                <w:sz w:val="1"/>
                <w:szCs w:val="1"/>
                <w:color w:val="auto"/>
              </w:rPr>
            </w:pPr>
          </w:p>
        </w:tc>
      </w:tr>
      <w:tr>
        <w:trPr>
          <w:trHeight w:val="209"/>
        </w:trPr>
        <w:tc>
          <w:tcPr>
            <w:tcW w:w="6380" w:type="dxa"/>
            <w:vAlign w:val="bottom"/>
            <w:gridSpan w:val="2"/>
          </w:tcPr>
          <w:p>
            <w:pPr>
              <w:spacing w:after="0"/>
              <w:rPr>
                <w:sz w:val="20"/>
                <w:szCs w:val="20"/>
                <w:color w:val="auto"/>
              </w:rPr>
            </w:pPr>
            <w:r>
              <w:rPr>
                <w:rFonts w:ascii="Arial" w:cs="Arial" w:eastAsia="Arial" w:hAnsi="Arial"/>
                <w:sz w:val="14"/>
                <w:szCs w:val="14"/>
                <w:color w:val="auto"/>
              </w:rPr>
              <w:t>All percentages are calculated based on actual amounts. Minor differences may exist due to rounding.</w:t>
            </w:r>
          </w:p>
        </w:tc>
        <w:tc>
          <w:tcPr>
            <w:tcW w:w="66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132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97"/>
        </w:trPr>
        <w:tc>
          <w:tcPr>
            <w:tcW w:w="5200" w:type="dxa"/>
            <w:vAlign w:val="bottom"/>
          </w:tcPr>
          <w:p>
            <w:pPr>
              <w:spacing w:after="0"/>
              <w:rPr>
                <w:sz w:val="20"/>
                <w:szCs w:val="20"/>
                <w:color w:val="auto"/>
              </w:rPr>
            </w:pPr>
            <w:r>
              <w:rPr>
                <w:rFonts w:ascii="Arial" w:cs="Arial" w:eastAsia="Arial" w:hAnsi="Arial"/>
                <w:sz w:val="14"/>
                <w:szCs w:val="14"/>
                <w:b w:val="1"/>
                <w:bCs w:val="1"/>
                <w:color w:val="auto"/>
              </w:rPr>
              <w:t xml:space="preserve">MD&amp;A </w:t>
            </w:r>
            <w:r>
              <w:rPr>
                <w:rFonts w:ascii="Arial" w:cs="Arial" w:eastAsia="Arial" w:hAnsi="Arial"/>
                <w:sz w:val="14"/>
                <w:szCs w:val="14"/>
                <w:color w:val="auto"/>
              </w:rPr>
              <w:t>Comcast 2006 Annual Report</w:t>
            </w:r>
          </w:p>
        </w:tc>
        <w:tc>
          <w:tcPr>
            <w:tcW w:w="1180" w:type="dxa"/>
            <w:vAlign w:val="bottom"/>
          </w:tcPr>
          <w:p>
            <w:pPr>
              <w:jc w:val="right"/>
              <w:ind w:right="472"/>
              <w:spacing w:after="0"/>
              <w:rPr>
                <w:sz w:val="20"/>
                <w:szCs w:val="20"/>
                <w:color w:val="auto"/>
              </w:rPr>
            </w:pPr>
            <w:r>
              <w:rPr>
                <w:rFonts w:ascii="Arial" w:cs="Arial" w:eastAsia="Arial" w:hAnsi="Arial"/>
                <w:sz w:val="14"/>
                <w:szCs w:val="14"/>
                <w:b w:val="1"/>
                <w:bCs w:val="1"/>
                <w:color w:val="auto"/>
              </w:rPr>
              <w:t>26</w:t>
            </w:r>
          </w:p>
        </w:tc>
        <w:tc>
          <w:tcPr>
            <w:tcW w:w="66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132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420"/>
          </w:cols>
          <w:pgMar w:left="240" w:top="459" w:right="239" w:bottom="1440" w:gutter="0" w:footer="0" w:header="0"/>
        </w:sectPr>
      </w:pPr>
    </w:p>
    <w:bookmarkStart w:id="103" w:name="page104"/>
    <w:bookmarkEnd w:id="103"/>
    <w:p>
      <w:pPr>
        <w:spacing w:after="0"/>
        <w:rPr>
          <w:rFonts w:ascii="Arial" w:cs="Arial" w:eastAsia="Arial" w:hAnsi="Arial"/>
          <w:sz w:val="18"/>
          <w:szCs w:val="18"/>
          <w:b w:val="1"/>
          <w:bCs w:val="1"/>
          <w:u w:val="single" w:color="auto"/>
          <w:color w:val="0000EE"/>
        </w:rPr>
      </w:pPr>
      <w:hyperlink w:anchor="page3">
        <w:r>
          <w:rPr>
            <w:rFonts w:ascii="Arial" w:cs="Arial" w:eastAsia="Arial" w:hAnsi="Arial"/>
            <w:sz w:val="18"/>
            <w:szCs w:val="18"/>
            <w:b w:val="1"/>
            <w:bCs w:val="1"/>
            <w:u w:val="single" w:color="auto"/>
            <w:color w:val="0000EE"/>
          </w:rPr>
          <w:t>Table of Contents</w:t>
        </w:r>
      </w:hyperlink>
    </w:p>
    <w:p>
      <w:pPr>
        <w:spacing w:after="0" w:line="200" w:lineRule="exact"/>
        <w:rPr>
          <w:sz w:val="20"/>
          <w:szCs w:val="20"/>
          <w:color w:val="auto"/>
        </w:rPr>
      </w:pPr>
    </w:p>
    <w:p>
      <w:pPr>
        <w:spacing w:after="0" w:line="25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Consolidated Revenues</w:t>
      </w:r>
    </w:p>
    <w:p>
      <w:pPr>
        <w:spacing w:after="0" w:line="18" w:lineRule="exact"/>
        <w:rPr>
          <w:sz w:val="20"/>
          <w:szCs w:val="20"/>
          <w:color w:val="auto"/>
        </w:rPr>
      </w:pPr>
    </w:p>
    <w:p>
      <w:pPr>
        <w:jc w:val="both"/>
        <w:spacing w:after="0" w:line="236" w:lineRule="auto"/>
        <w:rPr>
          <w:sz w:val="20"/>
          <w:szCs w:val="20"/>
          <w:color w:val="auto"/>
        </w:rPr>
      </w:pPr>
      <w:r>
        <w:rPr>
          <w:rFonts w:ascii="Arial" w:cs="Arial" w:eastAsia="Arial" w:hAnsi="Arial"/>
          <w:sz w:val="18"/>
          <w:szCs w:val="18"/>
          <w:color w:val="auto"/>
        </w:rPr>
        <w:t>Our Cable and Programming segments accounted for substantially all of the increases in consolidated revenues for 2006 and 2005. Cable segment and Programming segment revenues are discussed separately below. The remaining changes relate to our other business activities, primarily Comcast Spectacor, whose revenues were negatively affected in 2005 by the National Hockey League (“NHL”) lockout.</w:t>
      </w:r>
    </w:p>
    <w:p>
      <w:pPr>
        <w:spacing w:after="0" w:line="133" w:lineRule="exact"/>
        <w:rPr>
          <w:sz w:val="20"/>
          <w:szCs w:val="20"/>
          <w:color w:val="auto"/>
        </w:rPr>
      </w:pPr>
    </w:p>
    <w:p>
      <w:pPr>
        <w:ind w:right="440"/>
        <w:spacing w:after="0" w:line="247" w:lineRule="auto"/>
        <w:rPr>
          <w:sz w:val="20"/>
          <w:szCs w:val="20"/>
          <w:color w:val="auto"/>
        </w:rPr>
      </w:pPr>
      <w:r>
        <w:rPr>
          <w:rFonts w:ascii="Arial" w:cs="Arial" w:eastAsia="Arial" w:hAnsi="Arial"/>
          <w:sz w:val="18"/>
          <w:szCs w:val="18"/>
          <w:b w:val="1"/>
          <w:bCs w:val="1"/>
          <w:color w:val="auto"/>
        </w:rPr>
        <w:t>Consolidated Operating, Selling, General and Administrative Expenses</w:t>
      </w:r>
    </w:p>
    <w:p>
      <w:pPr>
        <w:spacing w:after="0" w:line="1" w:lineRule="exact"/>
        <w:rPr>
          <w:sz w:val="20"/>
          <w:szCs w:val="20"/>
          <w:color w:val="auto"/>
        </w:rPr>
      </w:pPr>
    </w:p>
    <w:p>
      <w:pPr>
        <w:jc w:val="both"/>
        <w:spacing w:after="0" w:line="236" w:lineRule="auto"/>
        <w:rPr>
          <w:sz w:val="20"/>
          <w:szCs w:val="20"/>
          <w:color w:val="auto"/>
        </w:rPr>
      </w:pPr>
      <w:r>
        <w:rPr>
          <w:rFonts w:ascii="Arial" w:cs="Arial" w:eastAsia="Arial" w:hAnsi="Arial"/>
          <w:sz w:val="18"/>
          <w:szCs w:val="18"/>
          <w:color w:val="auto"/>
        </w:rPr>
        <w:t>Our Cable and Programming segments accounted for substantially all of the increases in consolidated operating, selling, general and administrative expenses for 2006 and 2005. Cable segment and Programming segment expenses are discussed separately below. The remaining changes relate to our other business activities, primarily Comcast Spectacor, and the impact of adopting Statement of Financial Accounting Standards (“SFAS”) No. 123R, “Share-Based Payment” (“SFAS No. 123R”).</w:t>
      </w:r>
    </w:p>
    <w:p>
      <w:pPr>
        <w:spacing w:after="0" w:line="154" w:lineRule="exact"/>
        <w:rPr>
          <w:sz w:val="20"/>
          <w:szCs w:val="20"/>
          <w:color w:val="auto"/>
        </w:rPr>
      </w:pPr>
    </w:p>
    <w:p>
      <w:pPr>
        <w:jc w:val="both"/>
        <w:spacing w:after="0" w:line="235" w:lineRule="auto"/>
        <w:rPr>
          <w:sz w:val="20"/>
          <w:szCs w:val="20"/>
          <w:color w:val="auto"/>
        </w:rPr>
      </w:pPr>
      <w:r>
        <w:rPr>
          <w:rFonts w:ascii="Arial" w:cs="Arial" w:eastAsia="Arial" w:hAnsi="Arial"/>
          <w:sz w:val="18"/>
          <w:szCs w:val="18"/>
          <w:color w:val="auto"/>
        </w:rPr>
        <w:t>Effective January 1, 2006, we adopted SFAS No. 123R using the Modified Prospective Approach. SFAS No. 123R revises SFAS No. 123, “Accounting for Stock-Based Compensation” (“SFAS No. 123”) and supersedes Accounting Principles Board (“APB”) Opinion No. 25, “Accounting for Stock Issued to Employees” (“APB No. 25”). SFAS No. 123R requires the cost of all share-based payments to employees, including grants of employee stock options, to be recognized in the financial statements based on their fair values at grant date, or the date of later modification, over the requisite service period. In addition, SFAS No. 123R requires unrecognized cost (based on the amounts previously disclosed in our pro forma footnote disclosure) related to options vesting after the date of initial adoption to be recognized in the financial statements over the remaining requisite service period.</w:t>
      </w:r>
    </w:p>
    <w:p>
      <w:pPr>
        <w:spacing w:after="0" w:line="161" w:lineRule="exact"/>
        <w:rPr>
          <w:sz w:val="20"/>
          <w:szCs w:val="20"/>
          <w:color w:val="auto"/>
        </w:rPr>
      </w:pPr>
    </w:p>
    <w:p>
      <w:pPr>
        <w:jc w:val="both"/>
        <w:spacing w:after="0" w:line="235" w:lineRule="auto"/>
        <w:rPr>
          <w:rFonts w:ascii="Arial" w:cs="Arial" w:eastAsia="Arial" w:hAnsi="Arial"/>
          <w:sz w:val="18"/>
          <w:szCs w:val="18"/>
          <w:color w:val="auto"/>
        </w:rPr>
      </w:pPr>
      <w:r>
        <w:rPr>
          <w:rFonts w:ascii="Arial" w:cs="Arial" w:eastAsia="Arial" w:hAnsi="Arial"/>
          <w:sz w:val="18"/>
          <w:szCs w:val="18"/>
          <w:color w:val="auto"/>
        </w:rPr>
        <w:t xml:space="preserve">The incremental pretax share-based compensation expense recognized because of the adoption of SFAS No. 123R for the year ended December 31, 2006, was $126 million. Total share-based compensation expense recognized under SFAS No. 123R, including the incremental pretax share-based compensation expense, was $190 million for the year ended December 31, 2006. Share-based compensation expense is reflected in the operating results of each of our business segments. Refer to </w:t>
      </w:r>
      <w:hyperlink w:anchor="page134">
        <w:r>
          <w:rPr>
            <w:rFonts w:ascii="Arial" w:cs="Arial" w:eastAsia="Arial" w:hAnsi="Arial"/>
            <w:sz w:val="18"/>
            <w:szCs w:val="18"/>
            <w:u w:val="single" w:color="auto"/>
            <w:color w:val="0000EE"/>
          </w:rPr>
          <w:t>Note 10</w:t>
        </w:r>
        <w:r>
          <w:rPr>
            <w:rFonts w:ascii="Arial" w:cs="Arial" w:eastAsia="Arial" w:hAnsi="Arial"/>
            <w:sz w:val="18"/>
            <w:szCs w:val="18"/>
            <w:u w:val="single" w:color="auto"/>
            <w:color w:val="auto"/>
          </w:rPr>
          <w:t xml:space="preserve"> </w:t>
        </w:r>
      </w:hyperlink>
      <w:r>
        <w:rPr>
          <w:rFonts w:ascii="Arial" w:cs="Arial" w:eastAsia="Arial" w:hAnsi="Arial"/>
          <w:sz w:val="18"/>
          <w:szCs w:val="18"/>
          <w:color w:val="auto"/>
        </w:rPr>
        <w:t xml:space="preserve">and </w:t>
      </w:r>
      <w:hyperlink w:anchor="page142">
        <w:r>
          <w:rPr>
            <w:rFonts w:ascii="Arial" w:cs="Arial" w:eastAsia="Arial" w:hAnsi="Arial"/>
            <w:sz w:val="18"/>
            <w:szCs w:val="18"/>
            <w:u w:val="single" w:color="auto"/>
            <w:color w:val="0000EE"/>
          </w:rPr>
          <w:t>Note 14</w:t>
        </w:r>
        <w:r>
          <w:rPr>
            <w:rFonts w:ascii="Arial" w:cs="Arial" w:eastAsia="Arial" w:hAnsi="Arial"/>
            <w:sz w:val="18"/>
            <w:szCs w:val="18"/>
            <w:u w:val="single" w:color="auto"/>
            <w:color w:val="auto"/>
          </w:rPr>
          <w:t xml:space="preserve"> </w:t>
        </w:r>
      </w:hyperlink>
      <w:r>
        <w:rPr>
          <w:rFonts w:ascii="Arial" w:cs="Arial" w:eastAsia="Arial" w:hAnsi="Arial"/>
          <w:sz w:val="18"/>
          <w:szCs w:val="18"/>
          <w:color w:val="auto"/>
        </w:rPr>
        <w:t>to our consolidated financial statements for further details on our adoption of SFAS No. 123R.</w:t>
      </w:r>
    </w:p>
    <w:p>
      <w:pPr>
        <w:spacing w:after="0" w:line="13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Consolidated Depreciation and Amortization</w:t>
      </w:r>
    </w:p>
    <w:p>
      <w:pPr>
        <w:spacing w:after="0" w:line="18" w:lineRule="exact"/>
        <w:rPr>
          <w:sz w:val="20"/>
          <w:szCs w:val="20"/>
          <w:color w:val="auto"/>
        </w:rPr>
      </w:pPr>
    </w:p>
    <w:p>
      <w:pPr>
        <w:jc w:val="both"/>
        <w:spacing w:after="0" w:line="281" w:lineRule="auto"/>
        <w:rPr>
          <w:sz w:val="20"/>
          <w:szCs w:val="20"/>
          <w:color w:val="auto"/>
        </w:rPr>
      </w:pPr>
      <w:r>
        <w:rPr>
          <w:rFonts w:ascii="Arial" w:cs="Arial" w:eastAsia="Arial" w:hAnsi="Arial"/>
          <w:sz w:val="16"/>
          <w:szCs w:val="16"/>
          <w:color w:val="auto"/>
        </w:rPr>
        <w:t>The increases in depreciation expense for 2006 and 2005 are primarily a result of capital expenditures in our Cable segment and, in 2006, the depreciation associated with acquisitions of cable systems.</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63" w:lineRule="exact"/>
        <w:rPr>
          <w:sz w:val="20"/>
          <w:szCs w:val="20"/>
          <w:color w:val="auto"/>
        </w:rPr>
      </w:pPr>
    </w:p>
    <w:p>
      <w:pPr>
        <w:jc w:val="both"/>
        <w:ind w:left="140" w:right="120"/>
        <w:spacing w:after="0" w:line="236" w:lineRule="auto"/>
        <w:rPr>
          <w:sz w:val="20"/>
          <w:szCs w:val="20"/>
          <w:color w:val="auto"/>
        </w:rPr>
      </w:pPr>
      <w:r>
        <w:rPr>
          <w:rFonts w:ascii="Arial" w:cs="Arial" w:eastAsia="Arial" w:hAnsi="Arial"/>
          <w:sz w:val="18"/>
          <w:szCs w:val="18"/>
          <w:color w:val="auto"/>
        </w:rPr>
        <w:t>The decreases in amortization expense for 2006 and 2005 are primarily a result of decreases in the amortization of our franchise-related customer relationship intangible assets, partially offset by increased amortization expense related to software-related intangibles acquired in various transactions, and in 2006, the customer relationship intangible assets recorded in connection with the acquisitions of cable systems.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-3602990</wp:posOffset>
            </wp:positionH>
            <wp:positionV relativeFrom="paragraph">
              <wp:posOffset>-1540510</wp:posOffset>
            </wp:positionV>
            <wp:extent cx="7267575" cy="27940"/>
            <wp:wrapNone/>
            <wp:docPr id="142" name="Picture 1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2"/>
                    <pic:cNvPicPr>
                      <a:picLocks noChangeAspect="1" noChangeArrowheads="1"/>
                    </pic:cNvPicPr>
                  </pic:nvPicPr>
                  <pic:blipFill>
                    <a:blip r:embed="rId149">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p>
    <w:p>
      <w:pPr>
        <w:spacing w:after="0" w:line="113" w:lineRule="exact"/>
        <w:rPr>
          <w:sz w:val="20"/>
          <w:szCs w:val="20"/>
          <w:color w:val="auto"/>
        </w:rPr>
      </w:pPr>
    </w:p>
    <w:p>
      <w:pPr>
        <w:ind w:left="140"/>
        <w:spacing w:after="0"/>
        <w:rPr>
          <w:sz w:val="20"/>
          <w:szCs w:val="20"/>
          <w:color w:val="auto"/>
        </w:rPr>
      </w:pPr>
      <w:r>
        <w:rPr>
          <w:rFonts w:ascii="Arial" w:cs="Arial" w:eastAsia="Arial" w:hAnsi="Arial"/>
          <w:sz w:val="18"/>
          <w:szCs w:val="18"/>
          <w:b w:val="1"/>
          <w:bCs w:val="1"/>
          <w:color w:val="35BF85"/>
        </w:rPr>
        <w:t>Segment Operating Results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85725</wp:posOffset>
            </wp:positionH>
            <wp:positionV relativeFrom="paragraph">
              <wp:posOffset>77470</wp:posOffset>
            </wp:positionV>
            <wp:extent cx="3481705" cy="8890"/>
            <wp:wrapNone/>
            <wp:docPr id="143" name="Picture 1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3"/>
                    <pic:cNvPicPr>
                      <a:picLocks noChangeAspect="1" noChangeArrowheads="1"/>
                    </pic:cNvPicPr>
                  </pic:nvPicPr>
                  <pic:blipFill>
                    <a:blip r:embed="rId150">
                      <a:extLst>
                        <a:ext uri="{28A0092B-C50C-407E-A947-70E740481C1C}"/>
                      </a:extLst>
                    </a:blip>
                    <a:srcRect/>
                    <a:stretch>
                      <a:fillRect/>
                    </a:stretch>
                  </pic:blipFill>
                  <pic:spPr bwMode="auto">
                    <a:xfrm>
                      <a:off x="0" y="0"/>
                      <a:ext cx="3481705" cy="8890"/>
                    </a:xfrm>
                    <a:prstGeom prst="rect">
                      <a:avLst/>
                    </a:prstGeom>
                    <a:noFill/>
                  </pic:spPr>
                </pic:pic>
              </a:graphicData>
            </a:graphic>
          </wp:anchor>
        </w:drawing>
      </w:r>
    </w:p>
    <w:p>
      <w:pPr>
        <w:spacing w:after="0" w:line="281" w:lineRule="exact"/>
        <w:rPr>
          <w:sz w:val="20"/>
          <w:szCs w:val="20"/>
          <w:color w:val="auto"/>
        </w:rPr>
      </w:pPr>
    </w:p>
    <w:p>
      <w:pPr>
        <w:jc w:val="both"/>
        <w:ind w:left="140" w:right="120"/>
        <w:spacing w:after="0" w:line="236" w:lineRule="auto"/>
        <w:rPr>
          <w:sz w:val="20"/>
          <w:szCs w:val="20"/>
          <w:color w:val="auto"/>
        </w:rPr>
      </w:pPr>
      <w:r>
        <w:rPr>
          <w:rFonts w:ascii="Arial" w:cs="Arial" w:eastAsia="Arial" w:hAnsi="Arial"/>
          <w:sz w:val="18"/>
          <w:szCs w:val="18"/>
          <w:color w:val="auto"/>
        </w:rPr>
        <w:t>Certain adjustments have been made in our segment presentation to be consistent with our management reporting presentation. These adjustments primarily relate to the adoption of SFAS No. 123R and are further discussed in Note 14 to our consolidated financial statements.</w:t>
      </w:r>
    </w:p>
    <w:p>
      <w:pPr>
        <w:spacing w:after="0" w:line="157" w:lineRule="exact"/>
        <w:rPr>
          <w:sz w:val="20"/>
          <w:szCs w:val="20"/>
          <w:color w:val="auto"/>
        </w:rPr>
      </w:pPr>
    </w:p>
    <w:p>
      <w:pPr>
        <w:jc w:val="both"/>
        <w:ind w:left="140" w:right="120"/>
        <w:spacing w:after="0" w:line="235" w:lineRule="auto"/>
        <w:rPr>
          <w:sz w:val="20"/>
          <w:szCs w:val="20"/>
          <w:color w:val="auto"/>
        </w:rPr>
      </w:pPr>
      <w:r>
        <w:rPr>
          <w:rFonts w:ascii="Arial" w:cs="Arial" w:eastAsia="Arial" w:hAnsi="Arial"/>
          <w:sz w:val="18"/>
          <w:szCs w:val="18"/>
          <w:color w:val="auto"/>
        </w:rPr>
        <w:t>To measure the performance of our operating segments, we use operating income before depreciation and amortization, excluding impairment charges related to fixed and intangible assets, and gains or losses from the sale of assets, if any. This measure eliminates the significant level of noncash depreciation and amortization expense that results from the capital-intensive nature of our businesses and from intangible assets recognized in business combinations. It is also unaffected by our capital structure or investment activities. We use this measure to evaluate our consolidated operating performance, the operating performance of our operating segments, and to allocate resources and capital to our operating segments. It is also a significant performance measure in our annual incentive compensation programs. We believe that this measure is useful to investors because it is one of the bases for comparing our operating performance with other companies in our industries, although our measure may not be directly comparable to similar measures used by other companies. Because we use this metric to measure our segment profit or loss, we reconcile it to operating income, the most directly comparable financial measure calculated and presented in accordance with generally accepted accounting principles in the United States (“GAAP”) in the business segment footnote to our consolidated financial statements. You should not consider this measure a substitute for operating income (loss), net income (loss), net cash provided by operating activities, or other measures of performance or liquidity we have reported in accordance with GAAP.</w:t>
      </w:r>
    </w:p>
    <w:p>
      <w:pPr>
        <w:spacing w:after="0" w:line="138" w:lineRule="exact"/>
        <w:rPr>
          <w:sz w:val="20"/>
          <w:szCs w:val="20"/>
          <w:color w:val="auto"/>
        </w:rPr>
      </w:pPr>
    </w:p>
    <w:p>
      <w:pPr>
        <w:ind w:left="140"/>
        <w:spacing w:after="0"/>
        <w:rPr>
          <w:sz w:val="20"/>
          <w:szCs w:val="20"/>
          <w:color w:val="auto"/>
        </w:rPr>
      </w:pPr>
      <w:r>
        <w:rPr>
          <w:rFonts w:ascii="Arial" w:cs="Arial" w:eastAsia="Arial" w:hAnsi="Arial"/>
          <w:sz w:val="18"/>
          <w:szCs w:val="18"/>
          <w:b w:val="1"/>
          <w:bCs w:val="1"/>
          <w:color w:val="auto"/>
        </w:rPr>
        <w:t>Cable Segment Overview</w:t>
      </w:r>
    </w:p>
    <w:p>
      <w:pPr>
        <w:spacing w:after="0" w:line="18" w:lineRule="exact"/>
        <w:rPr>
          <w:sz w:val="20"/>
          <w:szCs w:val="20"/>
          <w:color w:val="auto"/>
        </w:rPr>
      </w:pPr>
    </w:p>
    <w:p>
      <w:pPr>
        <w:jc w:val="both"/>
        <w:ind w:left="140" w:right="120"/>
        <w:spacing w:after="0" w:line="268" w:lineRule="auto"/>
        <w:rPr>
          <w:sz w:val="20"/>
          <w:szCs w:val="20"/>
          <w:color w:val="auto"/>
        </w:rPr>
      </w:pPr>
      <w:r>
        <w:rPr>
          <w:rFonts w:ascii="Arial" w:cs="Arial" w:eastAsia="Arial" w:hAnsi="Arial"/>
          <w:sz w:val="16"/>
          <w:szCs w:val="16"/>
          <w:color w:val="auto"/>
        </w:rPr>
        <w:t>Our cable systems simultaneously deliver video, high-speed Internet and phone services to our subscribers. The majority of our Cable segment revenue is earned from subscriptions to these cable services. Subscribers typically pay us monthly, based on their chosen level of service, number of services and the type of equipment they use, and generally may discontinue service at any time. We measure our success in selling subscription-based services to customers by a metric referred to as a revenue generating unit (“RGU”). Each individual cable service (basic cable, digital cable, high-speed Internet or phone service) that a subscriber receives represents one RGU. As of December 31, 2006, we had approximately</w:t>
      </w:r>
    </w:p>
    <w:p>
      <w:pPr>
        <w:spacing w:after="0" w:line="357" w:lineRule="exact"/>
        <w:rPr>
          <w:sz w:val="20"/>
          <w:szCs w:val="20"/>
          <w:color w:val="auto"/>
        </w:rPr>
      </w:pPr>
    </w:p>
    <w:p>
      <w:pPr>
        <w:spacing w:after="0"/>
        <w:tabs>
          <w:tab w:leader="none" w:pos="3500" w:val="left"/>
        </w:tabs>
        <w:rPr>
          <w:sz w:val="20"/>
          <w:szCs w:val="20"/>
          <w:color w:val="auto"/>
        </w:rPr>
      </w:pPr>
      <w:r>
        <w:rPr>
          <w:rFonts w:ascii="Arial" w:cs="Arial" w:eastAsia="Arial" w:hAnsi="Arial"/>
          <w:sz w:val="12"/>
          <w:szCs w:val="12"/>
          <w:b w:val="1"/>
          <w:bCs w:val="1"/>
          <w:color w:val="auto"/>
        </w:rPr>
        <w:t>27</w:t>
      </w:r>
      <w:r>
        <w:rPr>
          <w:sz w:val="20"/>
          <w:szCs w:val="20"/>
          <w:color w:val="auto"/>
        </w:rPr>
        <w:tab/>
      </w:r>
      <w:r>
        <w:rPr>
          <w:rFonts w:ascii="Arial" w:cs="Arial" w:eastAsia="Arial" w:hAnsi="Arial"/>
          <w:sz w:val="12"/>
          <w:szCs w:val="12"/>
          <w:color w:val="auto"/>
        </w:rPr>
        <w:t xml:space="preserve">Comcast 2006 Annual Report </w:t>
      </w:r>
      <w:r>
        <w:rPr>
          <w:rFonts w:ascii="Arial" w:cs="Arial" w:eastAsia="Arial" w:hAnsi="Arial"/>
          <w:sz w:val="12"/>
          <w:szCs w:val="12"/>
          <w:b w:val="1"/>
          <w:bCs w:val="1"/>
          <w:color w:val="auto"/>
        </w:rPr>
        <w:t>MD&amp;A</w:t>
      </w:r>
    </w:p>
    <w:p>
      <w:pPr>
        <w:sectPr>
          <w:pgSz w:w="11900" w:h="16838" w:orient="portrait"/>
          <w:cols w:equalWidth="0" w:num="2">
            <w:col w:w="5480" w:space="200"/>
            <w:col w:w="5740"/>
          </w:cols>
          <w:pgMar w:left="240" w:top="459" w:right="239" w:bottom="1440" w:gutter="0" w:footer="0" w:header="0"/>
        </w:sectPr>
      </w:pPr>
    </w:p>
    <w:bookmarkStart w:id="104" w:name="page105"/>
    <w:bookmarkEnd w:id="104"/>
    <w:p>
      <w:pPr>
        <w:spacing w:after="0"/>
        <w:rPr>
          <w:rFonts w:ascii="Arial" w:cs="Arial" w:eastAsia="Arial" w:hAnsi="Arial"/>
          <w:sz w:val="18"/>
          <w:szCs w:val="18"/>
          <w:b w:val="1"/>
          <w:bCs w:val="1"/>
          <w:u w:val="single" w:color="auto"/>
          <w:color w:val="0000EE"/>
        </w:rPr>
      </w:pPr>
      <w:hyperlink w:anchor="page3">
        <w:r>
          <w:rPr>
            <w:rFonts w:ascii="Arial" w:cs="Arial" w:eastAsia="Arial" w:hAnsi="Arial"/>
            <w:sz w:val="18"/>
            <w:szCs w:val="18"/>
            <w:b w:val="1"/>
            <w:bCs w:val="1"/>
            <w:u w:val="single" w:color="auto"/>
            <w:color w:val="0000EE"/>
          </w:rPr>
          <w:t>Table of Contents</w:t>
        </w:r>
      </w:hyperlink>
    </w:p>
    <w:p>
      <w:pPr>
        <w:spacing w:after="0" w:line="200" w:lineRule="exact"/>
        <w:rPr>
          <w:sz w:val="20"/>
          <w:szCs w:val="20"/>
          <w:color w:val="auto"/>
        </w:rPr>
      </w:pPr>
    </w:p>
    <w:p>
      <w:pPr>
        <w:spacing w:after="0" w:line="276" w:lineRule="exact"/>
        <w:rPr>
          <w:sz w:val="20"/>
          <w:szCs w:val="20"/>
          <w:color w:val="auto"/>
        </w:rPr>
      </w:pPr>
    </w:p>
    <w:p>
      <w:pPr>
        <w:jc w:val="both"/>
        <w:spacing w:after="0" w:line="236" w:lineRule="auto"/>
        <w:rPr>
          <w:sz w:val="20"/>
          <w:szCs w:val="20"/>
          <w:color w:val="auto"/>
        </w:rPr>
      </w:pPr>
      <w:r>
        <w:rPr>
          <w:rFonts w:ascii="Arial" w:cs="Arial" w:eastAsia="Arial" w:hAnsi="Arial"/>
          <w:sz w:val="18"/>
          <w:szCs w:val="18"/>
          <w:color w:val="auto"/>
        </w:rPr>
        <w:t>50.8 million RGUs. As a result of continued and growing demand for our existing and new products and services, including our triple play offering, as well as other factors discussed below, we have increased our revenues and operating income before depreciation and amortization.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880110</wp:posOffset>
            </wp:positionH>
            <wp:positionV relativeFrom="paragraph">
              <wp:posOffset>97790</wp:posOffset>
            </wp:positionV>
            <wp:extent cx="1732280" cy="2641600"/>
            <wp:wrapNone/>
            <wp:docPr id="144" name="Picture 1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4"/>
                    <pic:cNvPicPr>
                      <a:picLocks noChangeAspect="1" noChangeArrowheads="1"/>
                    </pic:cNvPicPr>
                  </pic:nvPicPr>
                  <pic:blipFill>
                    <a:blip r:embed="rId151">
                      <a:extLst>
                        <a:ext uri="{28A0092B-C50C-407E-A947-70E740481C1C}"/>
                      </a:extLst>
                    </a:blip>
                    <a:srcRect/>
                    <a:stretch>
                      <a:fillRect/>
                    </a:stretch>
                  </pic:blipFill>
                  <pic:spPr bwMode="auto">
                    <a:xfrm>
                      <a:off x="0" y="0"/>
                      <a:ext cx="1732280" cy="264160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Cable Segment Results of Operations</w:t>
      </w:r>
    </w:p>
    <w:p>
      <w:pPr>
        <w:spacing w:after="0" w:line="18" w:lineRule="exact"/>
        <w:rPr>
          <w:sz w:val="20"/>
          <w:szCs w:val="20"/>
          <w:color w:val="auto"/>
        </w:rPr>
      </w:pPr>
    </w:p>
    <w:p>
      <w:pPr>
        <w:jc w:val="both"/>
        <w:spacing w:after="0" w:line="237" w:lineRule="auto"/>
        <w:rPr>
          <w:sz w:val="20"/>
          <w:szCs w:val="20"/>
          <w:color w:val="auto"/>
        </w:rPr>
      </w:pPr>
      <w:r>
        <w:rPr>
          <w:rFonts w:ascii="Arial" w:cs="Arial" w:eastAsia="Arial" w:hAnsi="Arial"/>
          <w:sz w:val="18"/>
          <w:szCs w:val="18"/>
          <w:color w:val="auto"/>
        </w:rPr>
        <w:t>The comparability of the results of operations and subscriber information of our Cable segment are impacted by the Adelphia and Time Warner transactions (closed July 31, 2006) and the acquisition of the cable systems of Susquehanna Communications (closed</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63" w:lineRule="exact"/>
        <w:rPr>
          <w:sz w:val="20"/>
          <w:szCs w:val="20"/>
          <w:color w:val="auto"/>
        </w:rPr>
      </w:pPr>
    </w:p>
    <w:p>
      <w:pPr>
        <w:jc w:val="both"/>
        <w:ind w:right="120"/>
        <w:spacing w:after="0" w:line="235" w:lineRule="auto"/>
        <w:rPr>
          <w:sz w:val="20"/>
          <w:szCs w:val="20"/>
          <w:color w:val="auto"/>
        </w:rPr>
      </w:pPr>
      <w:r>
        <w:rPr>
          <w:rFonts w:ascii="Arial" w:cs="Arial" w:eastAsia="Arial" w:hAnsi="Arial"/>
          <w:sz w:val="18"/>
          <w:szCs w:val="18"/>
          <w:color w:val="auto"/>
        </w:rPr>
        <w:t>April 30, 2006). Further, consistent with our management reporting presentation, the operating results and subscriber information of the cable systems serving Houston, Texas have been included in the Cable segment beginning August 1, 2006. However, the operating results of the Houston cable systems are eliminated in our consolidated financial statements as TKCCP continued to be accounted for as an equity method investment for external financial reporting purposes until the Houston cable systems were actually acquired on January 1, 2007 (see Note 5). We collectively refer to these cable systems as the “newly acquired cable systems.” The newly acquired cable systems accounted for $1.7 billion of increased revenue in 2006.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-3691890</wp:posOffset>
            </wp:positionH>
            <wp:positionV relativeFrom="paragraph">
              <wp:posOffset>-2180590</wp:posOffset>
            </wp:positionV>
            <wp:extent cx="7267575" cy="27940"/>
            <wp:wrapNone/>
            <wp:docPr id="145" name="Picture 1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5"/>
                    <pic:cNvPicPr>
                      <a:picLocks noChangeAspect="1" noChangeArrowheads="1"/>
                    </pic:cNvPicPr>
                  </pic:nvPicPr>
                  <pic:blipFill>
                    <a:blip r:embed="rId152">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p>
    <w:p>
      <w:pPr>
        <w:spacing w:after="0" w:line="119" w:lineRule="exact"/>
        <w:rPr>
          <w:sz w:val="20"/>
          <w:szCs w:val="20"/>
          <w:color w:val="auto"/>
        </w:rPr>
      </w:pPr>
    </w:p>
    <w:p>
      <w:pPr>
        <w:spacing w:after="0"/>
        <w:rPr>
          <w:sz w:val="20"/>
          <w:szCs w:val="20"/>
          <w:color w:val="auto"/>
        </w:rPr>
      </w:pPr>
      <w:r>
        <w:rPr>
          <w:rFonts w:ascii="Arial" w:cs="Arial" w:eastAsia="Arial" w:hAnsi="Arial"/>
          <w:sz w:val="18"/>
          <w:szCs w:val="18"/>
          <w:b w:val="1"/>
          <w:bCs w:val="1"/>
          <w:color w:val="35BF85"/>
        </w:rPr>
        <w:t>Cable Segment Revenues</w:t>
      </w:r>
    </w:p>
    <w:p>
      <w:pPr>
        <w:spacing w:after="0" w:line="18" w:lineRule="exact"/>
        <w:rPr>
          <w:sz w:val="20"/>
          <w:szCs w:val="20"/>
          <w:color w:val="auto"/>
        </w:rPr>
      </w:pPr>
    </w:p>
    <w:p>
      <w:pPr>
        <w:jc w:val="both"/>
        <w:ind w:right="120"/>
        <w:spacing w:after="0" w:line="235" w:lineRule="auto"/>
        <w:rPr>
          <w:sz w:val="20"/>
          <w:szCs w:val="20"/>
          <w:color w:val="auto"/>
        </w:rPr>
      </w:pPr>
      <w:r>
        <w:rPr>
          <w:rFonts w:ascii="Arial" w:cs="Arial" w:eastAsia="Arial" w:hAnsi="Arial"/>
          <w:sz w:val="18"/>
          <w:szCs w:val="18"/>
          <w:b w:val="1"/>
          <w:bCs w:val="1"/>
          <w:color w:val="auto"/>
        </w:rPr>
        <w:t xml:space="preserve">Video. </w:t>
      </w:r>
      <w:r>
        <w:rPr>
          <w:rFonts w:ascii="Arial" w:cs="Arial" w:eastAsia="Arial" w:hAnsi="Arial"/>
          <w:sz w:val="18"/>
          <w:szCs w:val="18"/>
          <w:color w:val="auto"/>
        </w:rPr>
        <w:t>We offer a full range of video services, ranging from a limited</w:t>
      </w:r>
      <w:r>
        <w:rPr>
          <w:rFonts w:ascii="Arial" w:cs="Arial" w:eastAsia="Arial" w:hAnsi="Arial"/>
          <w:sz w:val="18"/>
          <w:szCs w:val="18"/>
          <w:b w:val="1"/>
          <w:bCs w:val="1"/>
          <w:color w:val="auto"/>
        </w:rPr>
        <w:t xml:space="preserve"> </w:t>
      </w:r>
      <w:r>
        <w:rPr>
          <w:rFonts w:ascii="Arial" w:cs="Arial" w:eastAsia="Arial" w:hAnsi="Arial"/>
          <w:sz w:val="18"/>
          <w:szCs w:val="18"/>
          <w:color w:val="auto"/>
        </w:rPr>
        <w:t>basic service and a digital starter service, to our full digital cable service, which provides access to over 250 channels, including premium and pay-per-view channels; ON DEMAND (which allows access to a library of movies, sports and news, starting a selection at any time, and pausing, rewinding and fast-forwarding selections); music channels; and an interactive, on-screen program guide (which allows navigating the channel lineup and ON DEMAND library). Digital cable subscribers may also subscribe to additional digital cable services, including DVR (which allows digital recording of programs, and pausing and rewinding of live television), and HDTV (which provides multiple channels in high definition).</w:t>
      </w:r>
    </w:p>
    <w:p>
      <w:pPr>
        <w:spacing w:after="0" w:line="161" w:lineRule="exact"/>
        <w:rPr>
          <w:sz w:val="20"/>
          <w:szCs w:val="20"/>
          <w:color w:val="auto"/>
        </w:rPr>
      </w:pPr>
    </w:p>
    <w:p>
      <w:pPr>
        <w:jc w:val="both"/>
        <w:ind w:right="120"/>
        <w:spacing w:after="0" w:line="237" w:lineRule="auto"/>
        <w:rPr>
          <w:sz w:val="20"/>
          <w:szCs w:val="20"/>
          <w:color w:val="auto"/>
        </w:rPr>
      </w:pPr>
      <w:r>
        <w:rPr>
          <w:rFonts w:ascii="Arial" w:cs="Arial" w:eastAsia="Arial" w:hAnsi="Arial"/>
          <w:sz w:val="18"/>
          <w:szCs w:val="18"/>
          <w:color w:val="auto"/>
        </w:rPr>
        <w:t>As of December 31, 2006, approximately 52% of our video subscribers subscribed to at least one of our digital cable services, compared to approximately 45% and approximately 39% as of December 31, 2005 and 2004, respectively.</w:t>
      </w:r>
    </w:p>
    <w:p>
      <w:pPr>
        <w:spacing w:after="0" w:line="510" w:lineRule="exact"/>
        <w:rPr>
          <w:sz w:val="20"/>
          <w:szCs w:val="20"/>
          <w:color w:val="auto"/>
        </w:rPr>
      </w:pPr>
    </w:p>
    <w:p>
      <w:pPr>
        <w:sectPr>
          <w:pgSz w:w="11900" w:h="16838" w:orient="portrait"/>
          <w:cols w:equalWidth="0" w:num="2">
            <w:col w:w="5480" w:space="340"/>
            <w:col w:w="5600"/>
          </w:cols>
          <w:pgMar w:left="240" w:top="459" w:right="239" w:bottom="1440" w:gutter="0" w:footer="0" w:header="0"/>
        </w:sectPr>
      </w:pPr>
    </w:p>
    <w:p>
      <w:pPr>
        <w:spacing w:after="0" w:line="17"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4640" w:type="dxa"/>
            <w:vAlign w:val="bottom"/>
          </w:tcPr>
          <w:p>
            <w:pPr>
              <w:spacing w:after="0"/>
              <w:rPr>
                <w:sz w:val="14"/>
                <w:szCs w:val="14"/>
                <w:color w:val="auto"/>
              </w:rPr>
            </w:pPr>
          </w:p>
        </w:tc>
        <w:tc>
          <w:tcPr>
            <w:tcW w:w="168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1360" w:type="dxa"/>
            <w:vAlign w:val="bottom"/>
          </w:tcPr>
          <w:p>
            <w:pPr>
              <w:jc w:val="right"/>
              <w:ind w:right="252"/>
              <w:spacing w:after="0"/>
              <w:rPr>
                <w:sz w:val="20"/>
                <w:szCs w:val="20"/>
                <w:color w:val="auto"/>
              </w:rPr>
            </w:pPr>
            <w:r>
              <w:rPr>
                <w:rFonts w:ascii="Arial" w:cs="Arial" w:eastAsia="Arial" w:hAnsi="Arial"/>
                <w:sz w:val="14"/>
                <w:szCs w:val="14"/>
                <w:b w:val="1"/>
                <w:bCs w:val="1"/>
                <w:color w:val="auto"/>
              </w:rPr>
              <w:t>% Change</w:t>
            </w:r>
          </w:p>
        </w:tc>
        <w:tc>
          <w:tcPr>
            <w:tcW w:w="1100" w:type="dxa"/>
            <w:vAlign w:val="bottom"/>
          </w:tcPr>
          <w:p>
            <w:pPr>
              <w:jc w:val="right"/>
              <w:ind w:right="52"/>
              <w:spacing w:after="0"/>
              <w:rPr>
                <w:sz w:val="20"/>
                <w:szCs w:val="20"/>
                <w:color w:val="auto"/>
              </w:rPr>
            </w:pPr>
            <w:r>
              <w:rPr>
                <w:rFonts w:ascii="Arial" w:cs="Arial" w:eastAsia="Arial" w:hAnsi="Arial"/>
                <w:sz w:val="14"/>
                <w:szCs w:val="14"/>
                <w:color w:val="auto"/>
              </w:rPr>
              <w:t>% Change</w:t>
            </w:r>
          </w:p>
        </w:tc>
      </w:tr>
      <w:tr>
        <w:trPr>
          <w:trHeight w:val="165"/>
        </w:trPr>
        <w:tc>
          <w:tcPr>
            <w:tcW w:w="4640" w:type="dxa"/>
            <w:vAlign w:val="bottom"/>
            <w:tcBorders>
              <w:bottom w:val="single" w:sz="8" w:color="auto"/>
            </w:tcBorders>
          </w:tcPr>
          <w:p>
            <w:pPr>
              <w:spacing w:after="0"/>
              <w:rPr>
                <w:sz w:val="20"/>
                <w:szCs w:val="20"/>
                <w:color w:val="auto"/>
              </w:rPr>
            </w:pPr>
            <w:r>
              <w:rPr>
                <w:rFonts w:ascii="Arial" w:cs="Arial" w:eastAsia="Arial" w:hAnsi="Arial"/>
                <w:sz w:val="14"/>
                <w:szCs w:val="14"/>
                <w:color w:val="auto"/>
              </w:rPr>
              <w:t>Year Ended December 31 (in millions)</w:t>
            </w:r>
          </w:p>
        </w:tc>
        <w:tc>
          <w:tcPr>
            <w:tcW w:w="1680" w:type="dxa"/>
            <w:vAlign w:val="bottom"/>
            <w:tcBorders>
              <w:bottom w:val="single" w:sz="8" w:color="auto"/>
            </w:tcBorders>
          </w:tcPr>
          <w:p>
            <w:pPr>
              <w:spacing w:after="0"/>
              <w:rPr>
                <w:sz w:val="14"/>
                <w:szCs w:val="14"/>
                <w:color w:val="auto"/>
              </w:rPr>
            </w:pPr>
          </w:p>
        </w:tc>
        <w:tc>
          <w:tcPr>
            <w:tcW w:w="660" w:type="dxa"/>
            <w:vAlign w:val="bottom"/>
            <w:tcBorders>
              <w:bottom w:val="single" w:sz="8" w:color="auto"/>
            </w:tcBorders>
          </w:tcPr>
          <w:p>
            <w:pPr>
              <w:jc w:val="right"/>
              <w:ind w:right="172"/>
              <w:spacing w:after="0"/>
              <w:rPr>
                <w:sz w:val="20"/>
                <w:szCs w:val="20"/>
                <w:color w:val="auto"/>
              </w:rPr>
            </w:pPr>
            <w:r>
              <w:rPr>
                <w:rFonts w:ascii="Arial" w:cs="Arial" w:eastAsia="Arial" w:hAnsi="Arial"/>
                <w:sz w:val="14"/>
                <w:szCs w:val="14"/>
                <w:b w:val="1"/>
                <w:bCs w:val="1"/>
                <w:color w:val="auto"/>
              </w:rPr>
              <w:t>2006</w:t>
            </w:r>
          </w:p>
        </w:tc>
        <w:tc>
          <w:tcPr>
            <w:tcW w:w="320" w:type="dxa"/>
            <w:vAlign w:val="bottom"/>
            <w:tcBorders>
              <w:bottom w:val="single" w:sz="8" w:color="auto"/>
            </w:tcBorders>
          </w:tcPr>
          <w:p>
            <w:pPr>
              <w:spacing w:after="0"/>
              <w:rPr>
                <w:sz w:val="14"/>
                <w:szCs w:val="14"/>
                <w:color w:val="auto"/>
              </w:rPr>
            </w:pPr>
          </w:p>
        </w:tc>
        <w:tc>
          <w:tcPr>
            <w:tcW w:w="660" w:type="dxa"/>
            <w:vAlign w:val="bottom"/>
            <w:tcBorders>
              <w:bottom w:val="single" w:sz="8" w:color="auto"/>
            </w:tcBorders>
          </w:tcPr>
          <w:p>
            <w:pPr>
              <w:jc w:val="right"/>
              <w:ind w:right="172"/>
              <w:spacing w:after="0"/>
              <w:rPr>
                <w:sz w:val="20"/>
                <w:szCs w:val="20"/>
                <w:color w:val="auto"/>
              </w:rPr>
            </w:pPr>
            <w:r>
              <w:rPr>
                <w:rFonts w:ascii="Arial" w:cs="Arial" w:eastAsia="Arial" w:hAnsi="Arial"/>
                <w:sz w:val="14"/>
                <w:szCs w:val="14"/>
                <w:color w:val="auto"/>
              </w:rPr>
              <w:t>2005</w:t>
            </w:r>
          </w:p>
        </w:tc>
        <w:tc>
          <w:tcPr>
            <w:tcW w:w="320" w:type="dxa"/>
            <w:vAlign w:val="bottom"/>
            <w:tcBorders>
              <w:bottom w:val="single" w:sz="8" w:color="auto"/>
            </w:tcBorders>
          </w:tcPr>
          <w:p>
            <w:pPr>
              <w:spacing w:after="0"/>
              <w:rPr>
                <w:sz w:val="14"/>
                <w:szCs w:val="14"/>
                <w:color w:val="auto"/>
              </w:rPr>
            </w:pPr>
          </w:p>
        </w:tc>
        <w:tc>
          <w:tcPr>
            <w:tcW w:w="680" w:type="dxa"/>
            <w:vAlign w:val="bottom"/>
            <w:tcBorders>
              <w:bottom w:val="single" w:sz="8" w:color="auto"/>
            </w:tcBorders>
          </w:tcPr>
          <w:p>
            <w:pPr>
              <w:jc w:val="right"/>
              <w:ind w:right="192"/>
              <w:spacing w:after="0"/>
              <w:rPr>
                <w:sz w:val="20"/>
                <w:szCs w:val="20"/>
                <w:color w:val="auto"/>
              </w:rPr>
            </w:pPr>
            <w:r>
              <w:rPr>
                <w:rFonts w:ascii="Arial" w:cs="Arial" w:eastAsia="Arial" w:hAnsi="Arial"/>
                <w:sz w:val="14"/>
                <w:szCs w:val="14"/>
                <w:color w:val="auto"/>
              </w:rPr>
              <w:t>2004</w:t>
            </w:r>
          </w:p>
        </w:tc>
        <w:tc>
          <w:tcPr>
            <w:tcW w:w="1360" w:type="dxa"/>
            <w:vAlign w:val="bottom"/>
            <w:tcBorders>
              <w:bottom w:val="single" w:sz="8" w:color="auto"/>
            </w:tcBorders>
          </w:tcPr>
          <w:p>
            <w:pPr>
              <w:jc w:val="right"/>
              <w:ind w:right="252"/>
              <w:spacing w:after="0"/>
              <w:rPr>
                <w:sz w:val="20"/>
                <w:szCs w:val="20"/>
                <w:color w:val="auto"/>
              </w:rPr>
            </w:pPr>
            <w:r>
              <w:rPr>
                <w:rFonts w:ascii="Arial" w:cs="Arial" w:eastAsia="Arial" w:hAnsi="Arial"/>
                <w:sz w:val="14"/>
                <w:szCs w:val="14"/>
                <w:b w:val="1"/>
                <w:bCs w:val="1"/>
                <w:color w:val="auto"/>
              </w:rPr>
              <w:t>2005 to 2006</w:t>
            </w:r>
          </w:p>
        </w:tc>
        <w:tc>
          <w:tcPr>
            <w:tcW w:w="1100" w:type="dxa"/>
            <w:vAlign w:val="bottom"/>
            <w:tcBorders>
              <w:bottom w:val="single" w:sz="8" w:color="auto"/>
            </w:tcBorders>
          </w:tcPr>
          <w:p>
            <w:pPr>
              <w:jc w:val="right"/>
              <w:ind w:right="52"/>
              <w:spacing w:after="0"/>
              <w:rPr>
                <w:sz w:val="20"/>
                <w:szCs w:val="20"/>
                <w:color w:val="auto"/>
              </w:rPr>
            </w:pPr>
            <w:r>
              <w:rPr>
                <w:rFonts w:ascii="Arial" w:cs="Arial" w:eastAsia="Arial" w:hAnsi="Arial"/>
                <w:sz w:val="14"/>
                <w:szCs w:val="14"/>
                <w:color w:val="auto"/>
              </w:rPr>
              <w:t>2004 to 2005</w:t>
            </w:r>
          </w:p>
        </w:tc>
      </w:tr>
      <w:tr>
        <w:trPr>
          <w:trHeight w:val="125"/>
        </w:trPr>
        <w:tc>
          <w:tcPr>
            <w:tcW w:w="4640" w:type="dxa"/>
            <w:vAlign w:val="bottom"/>
          </w:tcPr>
          <w:p>
            <w:pPr>
              <w:spacing w:after="0" w:line="125" w:lineRule="exact"/>
              <w:rPr>
                <w:sz w:val="20"/>
                <w:szCs w:val="20"/>
                <w:color w:val="auto"/>
              </w:rPr>
            </w:pPr>
            <w:r>
              <w:rPr>
                <w:rFonts w:ascii="Arial" w:cs="Arial" w:eastAsia="Arial" w:hAnsi="Arial"/>
                <w:sz w:val="14"/>
                <w:szCs w:val="14"/>
                <w:color w:val="auto"/>
              </w:rPr>
              <w:t>Video</w:t>
            </w:r>
          </w:p>
        </w:tc>
        <w:tc>
          <w:tcPr>
            <w:tcW w:w="1680" w:type="dxa"/>
            <w:vAlign w:val="bottom"/>
          </w:tcPr>
          <w:p>
            <w:pPr>
              <w:jc w:val="right"/>
              <w:spacing w:after="0" w:line="125" w:lineRule="exact"/>
              <w:rPr>
                <w:sz w:val="20"/>
                <w:szCs w:val="20"/>
                <w:color w:val="auto"/>
              </w:rPr>
            </w:pPr>
            <w:r>
              <w:rPr>
                <w:rFonts w:ascii="Arial" w:cs="Arial" w:eastAsia="Arial" w:hAnsi="Arial"/>
                <w:sz w:val="14"/>
                <w:szCs w:val="14"/>
                <w:b w:val="1"/>
                <w:bCs w:val="1"/>
                <w:color w:val="auto"/>
              </w:rPr>
              <w:t>$</w:t>
            </w:r>
          </w:p>
        </w:tc>
        <w:tc>
          <w:tcPr>
            <w:tcW w:w="660" w:type="dxa"/>
            <w:vAlign w:val="bottom"/>
          </w:tcPr>
          <w:p>
            <w:pPr>
              <w:jc w:val="right"/>
              <w:ind w:right="172"/>
              <w:spacing w:after="0" w:line="125" w:lineRule="exact"/>
              <w:rPr>
                <w:sz w:val="20"/>
                <w:szCs w:val="20"/>
                <w:color w:val="auto"/>
              </w:rPr>
            </w:pPr>
            <w:r>
              <w:rPr>
                <w:rFonts w:ascii="Arial" w:cs="Arial" w:eastAsia="Arial" w:hAnsi="Arial"/>
                <w:sz w:val="14"/>
                <w:szCs w:val="14"/>
                <w:b w:val="1"/>
                <w:bCs w:val="1"/>
                <w:color w:val="auto"/>
                <w:w w:val="93"/>
              </w:rPr>
              <w:t>15,096</w:t>
            </w:r>
          </w:p>
        </w:tc>
        <w:tc>
          <w:tcPr>
            <w:tcW w:w="320" w:type="dxa"/>
            <w:vAlign w:val="bottom"/>
          </w:tcPr>
          <w:p>
            <w:pPr>
              <w:jc w:val="right"/>
              <w:spacing w:after="0" w:line="125" w:lineRule="exact"/>
              <w:rPr>
                <w:sz w:val="20"/>
                <w:szCs w:val="20"/>
                <w:color w:val="auto"/>
              </w:rPr>
            </w:pPr>
            <w:r>
              <w:rPr>
                <w:rFonts w:ascii="Arial" w:cs="Arial" w:eastAsia="Arial" w:hAnsi="Arial"/>
                <w:sz w:val="14"/>
                <w:szCs w:val="14"/>
                <w:color w:val="auto"/>
              </w:rPr>
              <w:t>$</w:t>
            </w:r>
          </w:p>
        </w:tc>
        <w:tc>
          <w:tcPr>
            <w:tcW w:w="660" w:type="dxa"/>
            <w:vAlign w:val="bottom"/>
          </w:tcPr>
          <w:p>
            <w:pPr>
              <w:jc w:val="right"/>
              <w:ind w:right="172"/>
              <w:spacing w:after="0" w:line="125" w:lineRule="exact"/>
              <w:rPr>
                <w:sz w:val="20"/>
                <w:szCs w:val="20"/>
                <w:color w:val="auto"/>
              </w:rPr>
            </w:pPr>
            <w:r>
              <w:rPr>
                <w:rFonts w:ascii="Arial" w:cs="Arial" w:eastAsia="Arial" w:hAnsi="Arial"/>
                <w:sz w:val="14"/>
                <w:szCs w:val="14"/>
                <w:color w:val="auto"/>
                <w:w w:val="93"/>
              </w:rPr>
              <w:t>12,918</w:t>
            </w:r>
          </w:p>
        </w:tc>
        <w:tc>
          <w:tcPr>
            <w:tcW w:w="320" w:type="dxa"/>
            <w:vAlign w:val="bottom"/>
          </w:tcPr>
          <w:p>
            <w:pPr>
              <w:jc w:val="right"/>
              <w:spacing w:after="0" w:line="125" w:lineRule="exact"/>
              <w:rPr>
                <w:sz w:val="20"/>
                <w:szCs w:val="20"/>
                <w:color w:val="auto"/>
              </w:rPr>
            </w:pPr>
            <w:r>
              <w:rPr>
                <w:rFonts w:ascii="Arial" w:cs="Arial" w:eastAsia="Arial" w:hAnsi="Arial"/>
                <w:sz w:val="14"/>
                <w:szCs w:val="14"/>
                <w:color w:val="auto"/>
              </w:rPr>
              <w:t>$</w:t>
            </w:r>
          </w:p>
        </w:tc>
        <w:tc>
          <w:tcPr>
            <w:tcW w:w="680" w:type="dxa"/>
            <w:vAlign w:val="bottom"/>
          </w:tcPr>
          <w:p>
            <w:pPr>
              <w:jc w:val="right"/>
              <w:ind w:right="192"/>
              <w:spacing w:after="0" w:line="125" w:lineRule="exact"/>
              <w:rPr>
                <w:sz w:val="20"/>
                <w:szCs w:val="20"/>
                <w:color w:val="auto"/>
              </w:rPr>
            </w:pPr>
            <w:r>
              <w:rPr>
                <w:rFonts w:ascii="Arial" w:cs="Arial" w:eastAsia="Arial" w:hAnsi="Arial"/>
                <w:sz w:val="14"/>
                <w:szCs w:val="14"/>
                <w:color w:val="auto"/>
                <w:w w:val="93"/>
              </w:rPr>
              <w:t>12,211</w:t>
            </w:r>
          </w:p>
        </w:tc>
        <w:tc>
          <w:tcPr>
            <w:tcW w:w="1360" w:type="dxa"/>
            <w:vAlign w:val="bottom"/>
          </w:tcPr>
          <w:p>
            <w:pPr>
              <w:jc w:val="right"/>
              <w:ind w:right="132"/>
              <w:spacing w:after="0" w:line="125" w:lineRule="exact"/>
              <w:rPr>
                <w:sz w:val="20"/>
                <w:szCs w:val="20"/>
                <w:color w:val="auto"/>
              </w:rPr>
            </w:pPr>
            <w:r>
              <w:rPr>
                <w:rFonts w:ascii="Arial" w:cs="Arial" w:eastAsia="Arial" w:hAnsi="Arial"/>
                <w:sz w:val="14"/>
                <w:szCs w:val="14"/>
                <w:b w:val="1"/>
                <w:bCs w:val="1"/>
                <w:color w:val="auto"/>
              </w:rPr>
              <w:t>16.9%</w:t>
            </w:r>
          </w:p>
        </w:tc>
        <w:tc>
          <w:tcPr>
            <w:tcW w:w="1100" w:type="dxa"/>
            <w:vAlign w:val="bottom"/>
          </w:tcPr>
          <w:p>
            <w:pPr>
              <w:jc w:val="right"/>
              <w:spacing w:after="0" w:line="125" w:lineRule="exact"/>
              <w:rPr>
                <w:sz w:val="20"/>
                <w:szCs w:val="20"/>
                <w:color w:val="auto"/>
              </w:rPr>
            </w:pPr>
            <w:r>
              <w:rPr>
                <w:rFonts w:ascii="Arial" w:cs="Arial" w:eastAsia="Arial" w:hAnsi="Arial"/>
                <w:sz w:val="14"/>
                <w:szCs w:val="14"/>
                <w:color w:val="auto"/>
              </w:rPr>
              <w:t>5.8%</w:t>
            </w:r>
          </w:p>
        </w:tc>
      </w:tr>
      <w:tr>
        <w:trPr>
          <w:trHeight w:val="149"/>
        </w:trPr>
        <w:tc>
          <w:tcPr>
            <w:tcW w:w="4640" w:type="dxa"/>
            <w:vAlign w:val="bottom"/>
          </w:tcPr>
          <w:p>
            <w:pPr>
              <w:spacing w:after="0" w:line="149" w:lineRule="exact"/>
              <w:rPr>
                <w:sz w:val="20"/>
                <w:szCs w:val="20"/>
                <w:color w:val="auto"/>
              </w:rPr>
            </w:pPr>
            <w:r>
              <w:rPr>
                <w:rFonts w:ascii="Arial" w:cs="Arial" w:eastAsia="Arial" w:hAnsi="Arial"/>
                <w:sz w:val="14"/>
                <w:szCs w:val="14"/>
                <w:color w:val="auto"/>
              </w:rPr>
              <w:t>High-speed Internet</w:t>
            </w:r>
          </w:p>
        </w:tc>
        <w:tc>
          <w:tcPr>
            <w:tcW w:w="1680" w:type="dxa"/>
            <w:vAlign w:val="bottom"/>
          </w:tcPr>
          <w:p>
            <w:pPr>
              <w:spacing w:after="0"/>
              <w:rPr>
                <w:sz w:val="12"/>
                <w:szCs w:val="12"/>
                <w:color w:val="auto"/>
              </w:rPr>
            </w:pPr>
          </w:p>
        </w:tc>
        <w:tc>
          <w:tcPr>
            <w:tcW w:w="660" w:type="dxa"/>
            <w:vAlign w:val="bottom"/>
          </w:tcPr>
          <w:p>
            <w:pPr>
              <w:jc w:val="right"/>
              <w:ind w:right="172"/>
              <w:spacing w:after="0" w:line="149" w:lineRule="exact"/>
              <w:rPr>
                <w:sz w:val="20"/>
                <w:szCs w:val="20"/>
                <w:color w:val="auto"/>
              </w:rPr>
            </w:pPr>
            <w:r>
              <w:rPr>
                <w:rFonts w:ascii="Arial" w:cs="Arial" w:eastAsia="Arial" w:hAnsi="Arial"/>
                <w:sz w:val="14"/>
                <w:szCs w:val="14"/>
                <w:b w:val="1"/>
                <w:bCs w:val="1"/>
                <w:color w:val="auto"/>
              </w:rPr>
              <w:t>4,986</w:t>
            </w:r>
          </w:p>
        </w:tc>
        <w:tc>
          <w:tcPr>
            <w:tcW w:w="320" w:type="dxa"/>
            <w:vAlign w:val="bottom"/>
          </w:tcPr>
          <w:p>
            <w:pPr>
              <w:spacing w:after="0"/>
              <w:rPr>
                <w:sz w:val="12"/>
                <w:szCs w:val="12"/>
                <w:color w:val="auto"/>
              </w:rPr>
            </w:pPr>
          </w:p>
        </w:tc>
        <w:tc>
          <w:tcPr>
            <w:tcW w:w="660" w:type="dxa"/>
            <w:vAlign w:val="bottom"/>
          </w:tcPr>
          <w:p>
            <w:pPr>
              <w:jc w:val="right"/>
              <w:ind w:right="172"/>
              <w:spacing w:after="0" w:line="149" w:lineRule="exact"/>
              <w:rPr>
                <w:sz w:val="20"/>
                <w:szCs w:val="20"/>
                <w:color w:val="auto"/>
              </w:rPr>
            </w:pPr>
            <w:r>
              <w:rPr>
                <w:rFonts w:ascii="Arial" w:cs="Arial" w:eastAsia="Arial" w:hAnsi="Arial"/>
                <w:sz w:val="14"/>
                <w:szCs w:val="14"/>
                <w:color w:val="auto"/>
              </w:rPr>
              <w:t>3,757</w:t>
            </w:r>
          </w:p>
        </w:tc>
        <w:tc>
          <w:tcPr>
            <w:tcW w:w="320" w:type="dxa"/>
            <w:vAlign w:val="bottom"/>
          </w:tcPr>
          <w:p>
            <w:pPr>
              <w:spacing w:after="0"/>
              <w:rPr>
                <w:sz w:val="12"/>
                <w:szCs w:val="12"/>
                <w:color w:val="auto"/>
              </w:rPr>
            </w:pPr>
          </w:p>
        </w:tc>
        <w:tc>
          <w:tcPr>
            <w:tcW w:w="680" w:type="dxa"/>
            <w:vAlign w:val="bottom"/>
          </w:tcPr>
          <w:p>
            <w:pPr>
              <w:jc w:val="right"/>
              <w:ind w:right="192"/>
              <w:spacing w:after="0" w:line="149" w:lineRule="exact"/>
              <w:rPr>
                <w:sz w:val="20"/>
                <w:szCs w:val="20"/>
                <w:color w:val="auto"/>
              </w:rPr>
            </w:pPr>
            <w:r>
              <w:rPr>
                <w:rFonts w:ascii="Arial" w:cs="Arial" w:eastAsia="Arial" w:hAnsi="Arial"/>
                <w:sz w:val="14"/>
                <w:szCs w:val="14"/>
                <w:color w:val="auto"/>
              </w:rPr>
              <w:t>2,938</w:t>
            </w:r>
          </w:p>
        </w:tc>
        <w:tc>
          <w:tcPr>
            <w:tcW w:w="1360" w:type="dxa"/>
            <w:vAlign w:val="bottom"/>
          </w:tcPr>
          <w:p>
            <w:pPr>
              <w:jc w:val="right"/>
              <w:ind w:right="252"/>
              <w:spacing w:after="0" w:line="149" w:lineRule="exact"/>
              <w:rPr>
                <w:sz w:val="20"/>
                <w:szCs w:val="20"/>
                <w:color w:val="auto"/>
              </w:rPr>
            </w:pPr>
            <w:r>
              <w:rPr>
                <w:rFonts w:ascii="Arial" w:cs="Arial" w:eastAsia="Arial" w:hAnsi="Arial"/>
                <w:sz w:val="14"/>
                <w:szCs w:val="14"/>
                <w:b w:val="1"/>
                <w:bCs w:val="1"/>
                <w:color w:val="auto"/>
              </w:rPr>
              <w:t>32.7</w:t>
            </w:r>
          </w:p>
        </w:tc>
        <w:tc>
          <w:tcPr>
            <w:tcW w:w="1100" w:type="dxa"/>
            <w:vAlign w:val="bottom"/>
          </w:tcPr>
          <w:p>
            <w:pPr>
              <w:jc w:val="right"/>
              <w:ind w:right="52"/>
              <w:spacing w:after="0" w:line="149" w:lineRule="exact"/>
              <w:rPr>
                <w:sz w:val="20"/>
                <w:szCs w:val="20"/>
                <w:color w:val="auto"/>
              </w:rPr>
            </w:pPr>
            <w:r>
              <w:rPr>
                <w:rFonts w:ascii="Arial" w:cs="Arial" w:eastAsia="Arial" w:hAnsi="Arial"/>
                <w:sz w:val="14"/>
                <w:szCs w:val="14"/>
                <w:color w:val="auto"/>
              </w:rPr>
              <w:t>27.9</w:t>
            </w:r>
          </w:p>
        </w:tc>
      </w:tr>
      <w:tr>
        <w:trPr>
          <w:trHeight w:val="149"/>
        </w:trPr>
        <w:tc>
          <w:tcPr>
            <w:tcW w:w="4640" w:type="dxa"/>
            <w:vAlign w:val="bottom"/>
          </w:tcPr>
          <w:p>
            <w:pPr>
              <w:spacing w:after="0" w:line="149" w:lineRule="exact"/>
              <w:rPr>
                <w:sz w:val="20"/>
                <w:szCs w:val="20"/>
                <w:color w:val="auto"/>
              </w:rPr>
            </w:pPr>
            <w:r>
              <w:rPr>
                <w:rFonts w:ascii="Arial" w:cs="Arial" w:eastAsia="Arial" w:hAnsi="Arial"/>
                <w:sz w:val="14"/>
                <w:szCs w:val="14"/>
                <w:color w:val="auto"/>
              </w:rPr>
              <w:t>Phone</w:t>
            </w:r>
          </w:p>
        </w:tc>
        <w:tc>
          <w:tcPr>
            <w:tcW w:w="1680" w:type="dxa"/>
            <w:vAlign w:val="bottom"/>
          </w:tcPr>
          <w:p>
            <w:pPr>
              <w:spacing w:after="0"/>
              <w:rPr>
                <w:sz w:val="12"/>
                <w:szCs w:val="12"/>
                <w:color w:val="auto"/>
              </w:rPr>
            </w:pPr>
          </w:p>
        </w:tc>
        <w:tc>
          <w:tcPr>
            <w:tcW w:w="660" w:type="dxa"/>
            <w:vAlign w:val="bottom"/>
          </w:tcPr>
          <w:p>
            <w:pPr>
              <w:jc w:val="right"/>
              <w:ind w:right="172"/>
              <w:spacing w:after="0" w:line="149" w:lineRule="exact"/>
              <w:rPr>
                <w:sz w:val="20"/>
                <w:szCs w:val="20"/>
                <w:color w:val="auto"/>
              </w:rPr>
            </w:pPr>
            <w:r>
              <w:rPr>
                <w:rFonts w:ascii="Arial" w:cs="Arial" w:eastAsia="Arial" w:hAnsi="Arial"/>
                <w:sz w:val="14"/>
                <w:szCs w:val="14"/>
                <w:b w:val="1"/>
                <w:bCs w:val="1"/>
                <w:color w:val="auto"/>
              </w:rPr>
              <w:t>913</w:t>
            </w:r>
          </w:p>
        </w:tc>
        <w:tc>
          <w:tcPr>
            <w:tcW w:w="320" w:type="dxa"/>
            <w:vAlign w:val="bottom"/>
          </w:tcPr>
          <w:p>
            <w:pPr>
              <w:spacing w:after="0"/>
              <w:rPr>
                <w:sz w:val="12"/>
                <w:szCs w:val="12"/>
                <w:color w:val="auto"/>
              </w:rPr>
            </w:pPr>
          </w:p>
        </w:tc>
        <w:tc>
          <w:tcPr>
            <w:tcW w:w="660" w:type="dxa"/>
            <w:vAlign w:val="bottom"/>
          </w:tcPr>
          <w:p>
            <w:pPr>
              <w:jc w:val="right"/>
              <w:ind w:right="172"/>
              <w:spacing w:after="0" w:line="149" w:lineRule="exact"/>
              <w:rPr>
                <w:sz w:val="20"/>
                <w:szCs w:val="20"/>
                <w:color w:val="auto"/>
              </w:rPr>
            </w:pPr>
            <w:r>
              <w:rPr>
                <w:rFonts w:ascii="Arial" w:cs="Arial" w:eastAsia="Arial" w:hAnsi="Arial"/>
                <w:sz w:val="14"/>
                <w:szCs w:val="14"/>
                <w:color w:val="auto"/>
              </w:rPr>
              <w:t>617</w:t>
            </w:r>
          </w:p>
        </w:tc>
        <w:tc>
          <w:tcPr>
            <w:tcW w:w="320" w:type="dxa"/>
            <w:vAlign w:val="bottom"/>
          </w:tcPr>
          <w:p>
            <w:pPr>
              <w:spacing w:after="0"/>
              <w:rPr>
                <w:sz w:val="12"/>
                <w:szCs w:val="12"/>
                <w:color w:val="auto"/>
              </w:rPr>
            </w:pPr>
          </w:p>
        </w:tc>
        <w:tc>
          <w:tcPr>
            <w:tcW w:w="680" w:type="dxa"/>
            <w:vAlign w:val="bottom"/>
          </w:tcPr>
          <w:p>
            <w:pPr>
              <w:jc w:val="right"/>
              <w:ind w:right="192"/>
              <w:spacing w:after="0" w:line="149" w:lineRule="exact"/>
              <w:rPr>
                <w:sz w:val="20"/>
                <w:szCs w:val="20"/>
                <w:color w:val="auto"/>
              </w:rPr>
            </w:pPr>
            <w:r>
              <w:rPr>
                <w:rFonts w:ascii="Arial" w:cs="Arial" w:eastAsia="Arial" w:hAnsi="Arial"/>
                <w:sz w:val="14"/>
                <w:szCs w:val="14"/>
                <w:color w:val="auto"/>
              </w:rPr>
              <w:t>620</w:t>
            </w:r>
          </w:p>
        </w:tc>
        <w:tc>
          <w:tcPr>
            <w:tcW w:w="1360" w:type="dxa"/>
            <w:vAlign w:val="bottom"/>
          </w:tcPr>
          <w:p>
            <w:pPr>
              <w:jc w:val="right"/>
              <w:ind w:right="252"/>
              <w:spacing w:after="0" w:line="149" w:lineRule="exact"/>
              <w:rPr>
                <w:sz w:val="20"/>
                <w:szCs w:val="20"/>
                <w:color w:val="auto"/>
              </w:rPr>
            </w:pPr>
            <w:r>
              <w:rPr>
                <w:rFonts w:ascii="Arial" w:cs="Arial" w:eastAsia="Arial" w:hAnsi="Arial"/>
                <w:sz w:val="14"/>
                <w:szCs w:val="14"/>
                <w:b w:val="1"/>
                <w:bCs w:val="1"/>
                <w:color w:val="auto"/>
              </w:rPr>
              <w:t>48.0</w:t>
            </w:r>
          </w:p>
        </w:tc>
        <w:tc>
          <w:tcPr>
            <w:tcW w:w="1100" w:type="dxa"/>
            <w:vAlign w:val="bottom"/>
          </w:tcPr>
          <w:p>
            <w:pPr>
              <w:jc w:val="right"/>
              <w:ind w:right="12"/>
              <w:spacing w:after="0" w:line="149" w:lineRule="exact"/>
              <w:rPr>
                <w:sz w:val="20"/>
                <w:szCs w:val="20"/>
                <w:color w:val="auto"/>
              </w:rPr>
            </w:pPr>
            <w:r>
              <w:rPr>
                <w:rFonts w:ascii="Arial" w:cs="Arial" w:eastAsia="Arial" w:hAnsi="Arial"/>
                <w:sz w:val="14"/>
                <w:szCs w:val="14"/>
                <w:color w:val="auto"/>
              </w:rPr>
              <w:t>(0.5)</w:t>
            </w:r>
          </w:p>
        </w:tc>
      </w:tr>
      <w:tr>
        <w:trPr>
          <w:trHeight w:val="149"/>
        </w:trPr>
        <w:tc>
          <w:tcPr>
            <w:tcW w:w="4640" w:type="dxa"/>
            <w:vAlign w:val="bottom"/>
          </w:tcPr>
          <w:p>
            <w:pPr>
              <w:spacing w:after="0" w:line="149" w:lineRule="exact"/>
              <w:rPr>
                <w:sz w:val="20"/>
                <w:szCs w:val="20"/>
                <w:color w:val="auto"/>
              </w:rPr>
            </w:pPr>
            <w:r>
              <w:rPr>
                <w:rFonts w:ascii="Arial" w:cs="Arial" w:eastAsia="Arial" w:hAnsi="Arial"/>
                <w:sz w:val="14"/>
                <w:szCs w:val="14"/>
                <w:color w:val="auto"/>
              </w:rPr>
              <w:t>Advertising</w:t>
            </w:r>
          </w:p>
        </w:tc>
        <w:tc>
          <w:tcPr>
            <w:tcW w:w="1680" w:type="dxa"/>
            <w:vAlign w:val="bottom"/>
          </w:tcPr>
          <w:p>
            <w:pPr>
              <w:spacing w:after="0"/>
              <w:rPr>
                <w:sz w:val="12"/>
                <w:szCs w:val="12"/>
                <w:color w:val="auto"/>
              </w:rPr>
            </w:pPr>
          </w:p>
        </w:tc>
        <w:tc>
          <w:tcPr>
            <w:tcW w:w="660" w:type="dxa"/>
            <w:vAlign w:val="bottom"/>
          </w:tcPr>
          <w:p>
            <w:pPr>
              <w:jc w:val="right"/>
              <w:ind w:right="172"/>
              <w:spacing w:after="0" w:line="149" w:lineRule="exact"/>
              <w:rPr>
                <w:sz w:val="20"/>
                <w:szCs w:val="20"/>
                <w:color w:val="auto"/>
              </w:rPr>
            </w:pPr>
            <w:r>
              <w:rPr>
                <w:rFonts w:ascii="Arial" w:cs="Arial" w:eastAsia="Arial" w:hAnsi="Arial"/>
                <w:sz w:val="14"/>
                <w:szCs w:val="14"/>
                <w:b w:val="1"/>
                <w:bCs w:val="1"/>
                <w:color w:val="auto"/>
              </w:rPr>
              <w:t>1,537</w:t>
            </w:r>
          </w:p>
        </w:tc>
        <w:tc>
          <w:tcPr>
            <w:tcW w:w="320" w:type="dxa"/>
            <w:vAlign w:val="bottom"/>
          </w:tcPr>
          <w:p>
            <w:pPr>
              <w:spacing w:after="0"/>
              <w:rPr>
                <w:sz w:val="12"/>
                <w:szCs w:val="12"/>
                <w:color w:val="auto"/>
              </w:rPr>
            </w:pPr>
          </w:p>
        </w:tc>
        <w:tc>
          <w:tcPr>
            <w:tcW w:w="660" w:type="dxa"/>
            <w:vAlign w:val="bottom"/>
          </w:tcPr>
          <w:p>
            <w:pPr>
              <w:jc w:val="right"/>
              <w:ind w:right="172"/>
              <w:spacing w:after="0" w:line="149" w:lineRule="exact"/>
              <w:rPr>
                <w:sz w:val="20"/>
                <w:szCs w:val="20"/>
                <w:color w:val="auto"/>
              </w:rPr>
            </w:pPr>
            <w:r>
              <w:rPr>
                <w:rFonts w:ascii="Arial" w:cs="Arial" w:eastAsia="Arial" w:hAnsi="Arial"/>
                <w:sz w:val="14"/>
                <w:szCs w:val="14"/>
                <w:color w:val="auto"/>
              </w:rPr>
              <w:t>1,272</w:t>
            </w:r>
          </w:p>
        </w:tc>
        <w:tc>
          <w:tcPr>
            <w:tcW w:w="320" w:type="dxa"/>
            <w:vAlign w:val="bottom"/>
          </w:tcPr>
          <w:p>
            <w:pPr>
              <w:spacing w:after="0"/>
              <w:rPr>
                <w:sz w:val="12"/>
                <w:szCs w:val="12"/>
                <w:color w:val="auto"/>
              </w:rPr>
            </w:pPr>
          </w:p>
        </w:tc>
        <w:tc>
          <w:tcPr>
            <w:tcW w:w="680" w:type="dxa"/>
            <w:vAlign w:val="bottom"/>
          </w:tcPr>
          <w:p>
            <w:pPr>
              <w:jc w:val="right"/>
              <w:ind w:right="192"/>
              <w:spacing w:after="0" w:line="149" w:lineRule="exact"/>
              <w:rPr>
                <w:sz w:val="20"/>
                <w:szCs w:val="20"/>
                <w:color w:val="auto"/>
              </w:rPr>
            </w:pPr>
            <w:r>
              <w:rPr>
                <w:rFonts w:ascii="Arial" w:cs="Arial" w:eastAsia="Arial" w:hAnsi="Arial"/>
                <w:sz w:val="14"/>
                <w:szCs w:val="14"/>
                <w:color w:val="auto"/>
              </w:rPr>
              <w:t>1,206</w:t>
            </w:r>
          </w:p>
        </w:tc>
        <w:tc>
          <w:tcPr>
            <w:tcW w:w="1360" w:type="dxa"/>
            <w:vAlign w:val="bottom"/>
          </w:tcPr>
          <w:p>
            <w:pPr>
              <w:jc w:val="right"/>
              <w:ind w:right="252"/>
              <w:spacing w:after="0" w:line="149" w:lineRule="exact"/>
              <w:rPr>
                <w:sz w:val="20"/>
                <w:szCs w:val="20"/>
                <w:color w:val="auto"/>
              </w:rPr>
            </w:pPr>
            <w:r>
              <w:rPr>
                <w:rFonts w:ascii="Arial" w:cs="Arial" w:eastAsia="Arial" w:hAnsi="Arial"/>
                <w:sz w:val="14"/>
                <w:szCs w:val="14"/>
                <w:b w:val="1"/>
                <w:bCs w:val="1"/>
                <w:color w:val="auto"/>
              </w:rPr>
              <w:t>20.8</w:t>
            </w:r>
          </w:p>
        </w:tc>
        <w:tc>
          <w:tcPr>
            <w:tcW w:w="1100" w:type="dxa"/>
            <w:vAlign w:val="bottom"/>
          </w:tcPr>
          <w:p>
            <w:pPr>
              <w:jc w:val="right"/>
              <w:ind w:right="52"/>
              <w:spacing w:after="0" w:line="149" w:lineRule="exact"/>
              <w:rPr>
                <w:sz w:val="20"/>
                <w:szCs w:val="20"/>
                <w:color w:val="auto"/>
              </w:rPr>
            </w:pPr>
            <w:r>
              <w:rPr>
                <w:rFonts w:ascii="Arial" w:cs="Arial" w:eastAsia="Arial" w:hAnsi="Arial"/>
                <w:sz w:val="14"/>
                <w:szCs w:val="14"/>
                <w:color w:val="auto"/>
              </w:rPr>
              <w:t>5.4</w:t>
            </w:r>
          </w:p>
        </w:tc>
      </w:tr>
      <w:tr>
        <w:trPr>
          <w:trHeight w:val="149"/>
        </w:trPr>
        <w:tc>
          <w:tcPr>
            <w:tcW w:w="4640" w:type="dxa"/>
            <w:vAlign w:val="bottom"/>
          </w:tcPr>
          <w:p>
            <w:pPr>
              <w:spacing w:after="0" w:line="149" w:lineRule="exact"/>
              <w:rPr>
                <w:sz w:val="20"/>
                <w:szCs w:val="20"/>
                <w:color w:val="auto"/>
              </w:rPr>
            </w:pPr>
            <w:r>
              <w:rPr>
                <w:rFonts w:ascii="Arial" w:cs="Arial" w:eastAsia="Arial" w:hAnsi="Arial"/>
                <w:sz w:val="14"/>
                <w:szCs w:val="14"/>
                <w:color w:val="auto"/>
              </w:rPr>
              <w:t>Other</w:t>
            </w:r>
          </w:p>
        </w:tc>
        <w:tc>
          <w:tcPr>
            <w:tcW w:w="1680" w:type="dxa"/>
            <w:vAlign w:val="bottom"/>
          </w:tcPr>
          <w:p>
            <w:pPr>
              <w:spacing w:after="0"/>
              <w:rPr>
                <w:sz w:val="12"/>
                <w:szCs w:val="12"/>
                <w:color w:val="auto"/>
              </w:rPr>
            </w:pPr>
          </w:p>
        </w:tc>
        <w:tc>
          <w:tcPr>
            <w:tcW w:w="660" w:type="dxa"/>
            <w:vAlign w:val="bottom"/>
          </w:tcPr>
          <w:p>
            <w:pPr>
              <w:jc w:val="right"/>
              <w:ind w:right="172"/>
              <w:spacing w:after="0" w:line="149" w:lineRule="exact"/>
              <w:rPr>
                <w:sz w:val="20"/>
                <w:szCs w:val="20"/>
                <w:color w:val="auto"/>
              </w:rPr>
            </w:pPr>
            <w:r>
              <w:rPr>
                <w:rFonts w:ascii="Arial" w:cs="Arial" w:eastAsia="Arial" w:hAnsi="Arial"/>
                <w:sz w:val="14"/>
                <w:szCs w:val="14"/>
                <w:b w:val="1"/>
                <w:bCs w:val="1"/>
                <w:color w:val="auto"/>
              </w:rPr>
              <w:t>851</w:t>
            </w:r>
          </w:p>
        </w:tc>
        <w:tc>
          <w:tcPr>
            <w:tcW w:w="320" w:type="dxa"/>
            <w:vAlign w:val="bottom"/>
          </w:tcPr>
          <w:p>
            <w:pPr>
              <w:spacing w:after="0"/>
              <w:rPr>
                <w:sz w:val="12"/>
                <w:szCs w:val="12"/>
                <w:color w:val="auto"/>
              </w:rPr>
            </w:pPr>
          </w:p>
        </w:tc>
        <w:tc>
          <w:tcPr>
            <w:tcW w:w="660" w:type="dxa"/>
            <w:vAlign w:val="bottom"/>
          </w:tcPr>
          <w:p>
            <w:pPr>
              <w:jc w:val="right"/>
              <w:ind w:right="172"/>
              <w:spacing w:after="0" w:line="149" w:lineRule="exact"/>
              <w:rPr>
                <w:sz w:val="20"/>
                <w:szCs w:val="20"/>
                <w:color w:val="auto"/>
              </w:rPr>
            </w:pPr>
            <w:r>
              <w:rPr>
                <w:rFonts w:ascii="Arial" w:cs="Arial" w:eastAsia="Arial" w:hAnsi="Arial"/>
                <w:sz w:val="14"/>
                <w:szCs w:val="14"/>
                <w:color w:val="auto"/>
              </w:rPr>
              <w:t>789</w:t>
            </w:r>
          </w:p>
        </w:tc>
        <w:tc>
          <w:tcPr>
            <w:tcW w:w="320" w:type="dxa"/>
            <w:vAlign w:val="bottom"/>
          </w:tcPr>
          <w:p>
            <w:pPr>
              <w:spacing w:after="0"/>
              <w:rPr>
                <w:sz w:val="12"/>
                <w:szCs w:val="12"/>
                <w:color w:val="auto"/>
              </w:rPr>
            </w:pPr>
          </w:p>
        </w:tc>
        <w:tc>
          <w:tcPr>
            <w:tcW w:w="680" w:type="dxa"/>
            <w:vAlign w:val="bottom"/>
          </w:tcPr>
          <w:p>
            <w:pPr>
              <w:jc w:val="right"/>
              <w:ind w:right="192"/>
              <w:spacing w:after="0" w:line="149" w:lineRule="exact"/>
              <w:rPr>
                <w:sz w:val="20"/>
                <w:szCs w:val="20"/>
                <w:color w:val="auto"/>
              </w:rPr>
            </w:pPr>
            <w:r>
              <w:rPr>
                <w:rFonts w:ascii="Arial" w:cs="Arial" w:eastAsia="Arial" w:hAnsi="Arial"/>
                <w:sz w:val="14"/>
                <w:szCs w:val="14"/>
                <w:color w:val="auto"/>
              </w:rPr>
              <w:t>654</w:t>
            </w:r>
          </w:p>
        </w:tc>
        <w:tc>
          <w:tcPr>
            <w:tcW w:w="1360" w:type="dxa"/>
            <w:vAlign w:val="bottom"/>
          </w:tcPr>
          <w:p>
            <w:pPr>
              <w:jc w:val="right"/>
              <w:ind w:right="252"/>
              <w:spacing w:after="0" w:line="149" w:lineRule="exact"/>
              <w:rPr>
                <w:sz w:val="20"/>
                <w:szCs w:val="20"/>
                <w:color w:val="auto"/>
              </w:rPr>
            </w:pPr>
            <w:r>
              <w:rPr>
                <w:rFonts w:ascii="Arial" w:cs="Arial" w:eastAsia="Arial" w:hAnsi="Arial"/>
                <w:sz w:val="14"/>
                <w:szCs w:val="14"/>
                <w:b w:val="1"/>
                <w:bCs w:val="1"/>
                <w:color w:val="auto"/>
              </w:rPr>
              <w:t>7.8</w:t>
            </w:r>
          </w:p>
        </w:tc>
        <w:tc>
          <w:tcPr>
            <w:tcW w:w="1100" w:type="dxa"/>
            <w:vAlign w:val="bottom"/>
          </w:tcPr>
          <w:p>
            <w:pPr>
              <w:jc w:val="right"/>
              <w:ind w:right="52"/>
              <w:spacing w:after="0" w:line="149" w:lineRule="exact"/>
              <w:rPr>
                <w:sz w:val="20"/>
                <w:szCs w:val="20"/>
                <w:color w:val="auto"/>
              </w:rPr>
            </w:pPr>
            <w:r>
              <w:rPr>
                <w:rFonts w:ascii="Arial" w:cs="Arial" w:eastAsia="Arial" w:hAnsi="Arial"/>
                <w:sz w:val="14"/>
                <w:szCs w:val="14"/>
                <w:color w:val="auto"/>
              </w:rPr>
              <w:t>20.7</w:t>
            </w:r>
          </w:p>
        </w:tc>
      </w:tr>
      <w:tr>
        <w:trPr>
          <w:trHeight w:val="165"/>
        </w:trPr>
        <w:tc>
          <w:tcPr>
            <w:tcW w:w="4640" w:type="dxa"/>
            <w:vAlign w:val="bottom"/>
            <w:tcBorders>
              <w:bottom w:val="single" w:sz="8" w:color="auto"/>
            </w:tcBorders>
          </w:tcPr>
          <w:p>
            <w:pPr>
              <w:spacing w:after="0"/>
              <w:rPr>
                <w:sz w:val="20"/>
                <w:szCs w:val="20"/>
                <w:color w:val="auto"/>
              </w:rPr>
            </w:pPr>
            <w:r>
              <w:rPr>
                <w:rFonts w:ascii="Arial" w:cs="Arial" w:eastAsia="Arial" w:hAnsi="Arial"/>
                <w:sz w:val="14"/>
                <w:szCs w:val="14"/>
                <w:color w:val="auto"/>
              </w:rPr>
              <w:t>Franchise fees</w:t>
            </w:r>
          </w:p>
        </w:tc>
        <w:tc>
          <w:tcPr>
            <w:tcW w:w="1680" w:type="dxa"/>
            <w:vAlign w:val="bottom"/>
            <w:tcBorders>
              <w:bottom w:val="single" w:sz="8" w:color="auto"/>
            </w:tcBorders>
          </w:tcPr>
          <w:p>
            <w:pPr>
              <w:spacing w:after="0"/>
              <w:rPr>
                <w:sz w:val="14"/>
                <w:szCs w:val="14"/>
                <w:color w:val="auto"/>
              </w:rPr>
            </w:pPr>
          </w:p>
        </w:tc>
        <w:tc>
          <w:tcPr>
            <w:tcW w:w="660" w:type="dxa"/>
            <w:vAlign w:val="bottom"/>
            <w:tcBorders>
              <w:bottom w:val="single" w:sz="8" w:color="auto"/>
            </w:tcBorders>
          </w:tcPr>
          <w:p>
            <w:pPr>
              <w:jc w:val="right"/>
              <w:ind w:right="172"/>
              <w:spacing w:after="0"/>
              <w:rPr>
                <w:sz w:val="20"/>
                <w:szCs w:val="20"/>
                <w:color w:val="auto"/>
              </w:rPr>
            </w:pPr>
            <w:r>
              <w:rPr>
                <w:rFonts w:ascii="Arial" w:cs="Arial" w:eastAsia="Arial" w:hAnsi="Arial"/>
                <w:sz w:val="14"/>
                <w:szCs w:val="14"/>
                <w:b w:val="1"/>
                <w:bCs w:val="1"/>
                <w:color w:val="auto"/>
              </w:rPr>
              <w:t>717</w:t>
            </w:r>
          </w:p>
        </w:tc>
        <w:tc>
          <w:tcPr>
            <w:tcW w:w="320" w:type="dxa"/>
            <w:vAlign w:val="bottom"/>
            <w:tcBorders>
              <w:bottom w:val="single" w:sz="8" w:color="auto"/>
            </w:tcBorders>
          </w:tcPr>
          <w:p>
            <w:pPr>
              <w:spacing w:after="0"/>
              <w:rPr>
                <w:sz w:val="14"/>
                <w:szCs w:val="14"/>
                <w:color w:val="auto"/>
              </w:rPr>
            </w:pPr>
          </w:p>
        </w:tc>
        <w:tc>
          <w:tcPr>
            <w:tcW w:w="660" w:type="dxa"/>
            <w:vAlign w:val="bottom"/>
            <w:tcBorders>
              <w:bottom w:val="single" w:sz="8" w:color="auto"/>
            </w:tcBorders>
          </w:tcPr>
          <w:p>
            <w:pPr>
              <w:jc w:val="right"/>
              <w:ind w:right="172"/>
              <w:spacing w:after="0"/>
              <w:rPr>
                <w:sz w:val="20"/>
                <w:szCs w:val="20"/>
                <w:color w:val="auto"/>
              </w:rPr>
            </w:pPr>
            <w:r>
              <w:rPr>
                <w:rFonts w:ascii="Arial" w:cs="Arial" w:eastAsia="Arial" w:hAnsi="Arial"/>
                <w:sz w:val="14"/>
                <w:szCs w:val="14"/>
                <w:color w:val="auto"/>
              </w:rPr>
              <w:t>634</w:t>
            </w:r>
          </w:p>
        </w:tc>
        <w:tc>
          <w:tcPr>
            <w:tcW w:w="320" w:type="dxa"/>
            <w:vAlign w:val="bottom"/>
            <w:tcBorders>
              <w:bottom w:val="single" w:sz="8" w:color="auto"/>
            </w:tcBorders>
          </w:tcPr>
          <w:p>
            <w:pPr>
              <w:spacing w:after="0"/>
              <w:rPr>
                <w:sz w:val="14"/>
                <w:szCs w:val="14"/>
                <w:color w:val="auto"/>
              </w:rPr>
            </w:pPr>
          </w:p>
        </w:tc>
        <w:tc>
          <w:tcPr>
            <w:tcW w:w="680" w:type="dxa"/>
            <w:vAlign w:val="bottom"/>
            <w:tcBorders>
              <w:bottom w:val="single" w:sz="8" w:color="auto"/>
            </w:tcBorders>
          </w:tcPr>
          <w:p>
            <w:pPr>
              <w:jc w:val="right"/>
              <w:ind w:right="192"/>
              <w:spacing w:after="0"/>
              <w:rPr>
                <w:sz w:val="20"/>
                <w:szCs w:val="20"/>
                <w:color w:val="auto"/>
              </w:rPr>
            </w:pPr>
            <w:r>
              <w:rPr>
                <w:rFonts w:ascii="Arial" w:cs="Arial" w:eastAsia="Arial" w:hAnsi="Arial"/>
                <w:sz w:val="14"/>
                <w:szCs w:val="14"/>
                <w:color w:val="auto"/>
              </w:rPr>
              <w:t>601</w:t>
            </w:r>
          </w:p>
        </w:tc>
        <w:tc>
          <w:tcPr>
            <w:tcW w:w="1360" w:type="dxa"/>
            <w:vAlign w:val="bottom"/>
            <w:tcBorders>
              <w:bottom w:val="single" w:sz="8" w:color="auto"/>
            </w:tcBorders>
          </w:tcPr>
          <w:p>
            <w:pPr>
              <w:jc w:val="right"/>
              <w:ind w:right="252"/>
              <w:spacing w:after="0"/>
              <w:rPr>
                <w:sz w:val="20"/>
                <w:szCs w:val="20"/>
                <w:color w:val="auto"/>
              </w:rPr>
            </w:pPr>
            <w:r>
              <w:rPr>
                <w:rFonts w:ascii="Arial" w:cs="Arial" w:eastAsia="Arial" w:hAnsi="Arial"/>
                <w:sz w:val="14"/>
                <w:szCs w:val="14"/>
                <w:b w:val="1"/>
                <w:bCs w:val="1"/>
                <w:color w:val="auto"/>
              </w:rPr>
              <w:t>13.1</w:t>
            </w:r>
          </w:p>
        </w:tc>
        <w:tc>
          <w:tcPr>
            <w:tcW w:w="1100" w:type="dxa"/>
            <w:vAlign w:val="bottom"/>
            <w:tcBorders>
              <w:bottom w:val="single" w:sz="8" w:color="auto"/>
            </w:tcBorders>
          </w:tcPr>
          <w:p>
            <w:pPr>
              <w:jc w:val="right"/>
              <w:ind w:right="52"/>
              <w:spacing w:after="0"/>
              <w:rPr>
                <w:sz w:val="20"/>
                <w:szCs w:val="20"/>
                <w:color w:val="auto"/>
              </w:rPr>
            </w:pPr>
            <w:r>
              <w:rPr>
                <w:rFonts w:ascii="Arial" w:cs="Arial" w:eastAsia="Arial" w:hAnsi="Arial"/>
                <w:sz w:val="14"/>
                <w:szCs w:val="14"/>
                <w:color w:val="auto"/>
              </w:rPr>
              <w:t>5.3</w:t>
            </w:r>
          </w:p>
        </w:tc>
      </w:tr>
      <w:tr>
        <w:trPr>
          <w:trHeight w:val="125"/>
        </w:trPr>
        <w:tc>
          <w:tcPr>
            <w:tcW w:w="4640" w:type="dxa"/>
            <w:vAlign w:val="bottom"/>
          </w:tcPr>
          <w:p>
            <w:pPr>
              <w:spacing w:after="0" w:line="125" w:lineRule="exact"/>
              <w:rPr>
                <w:sz w:val="20"/>
                <w:szCs w:val="20"/>
                <w:color w:val="auto"/>
              </w:rPr>
            </w:pPr>
            <w:r>
              <w:rPr>
                <w:rFonts w:ascii="Arial" w:cs="Arial" w:eastAsia="Arial" w:hAnsi="Arial"/>
                <w:sz w:val="14"/>
                <w:szCs w:val="14"/>
                <w:b w:val="1"/>
                <w:bCs w:val="1"/>
                <w:color w:val="auto"/>
              </w:rPr>
              <w:t>Revenues</w:t>
            </w:r>
          </w:p>
        </w:tc>
        <w:tc>
          <w:tcPr>
            <w:tcW w:w="1680" w:type="dxa"/>
            <w:vAlign w:val="bottom"/>
          </w:tcPr>
          <w:p>
            <w:pPr>
              <w:spacing w:after="0"/>
              <w:rPr>
                <w:sz w:val="10"/>
                <w:szCs w:val="10"/>
                <w:color w:val="auto"/>
              </w:rPr>
            </w:pPr>
          </w:p>
        </w:tc>
        <w:tc>
          <w:tcPr>
            <w:tcW w:w="660" w:type="dxa"/>
            <w:vAlign w:val="bottom"/>
          </w:tcPr>
          <w:p>
            <w:pPr>
              <w:jc w:val="right"/>
              <w:ind w:right="172"/>
              <w:spacing w:after="0" w:line="125" w:lineRule="exact"/>
              <w:rPr>
                <w:sz w:val="20"/>
                <w:szCs w:val="20"/>
                <w:color w:val="auto"/>
              </w:rPr>
            </w:pPr>
            <w:r>
              <w:rPr>
                <w:rFonts w:ascii="Arial" w:cs="Arial" w:eastAsia="Arial" w:hAnsi="Arial"/>
                <w:sz w:val="14"/>
                <w:szCs w:val="14"/>
                <w:b w:val="1"/>
                <w:bCs w:val="1"/>
                <w:color w:val="auto"/>
                <w:w w:val="93"/>
              </w:rPr>
              <w:t>24,100</w:t>
            </w:r>
          </w:p>
        </w:tc>
        <w:tc>
          <w:tcPr>
            <w:tcW w:w="320" w:type="dxa"/>
            <w:vAlign w:val="bottom"/>
          </w:tcPr>
          <w:p>
            <w:pPr>
              <w:spacing w:after="0"/>
              <w:rPr>
                <w:sz w:val="10"/>
                <w:szCs w:val="10"/>
                <w:color w:val="auto"/>
              </w:rPr>
            </w:pPr>
          </w:p>
        </w:tc>
        <w:tc>
          <w:tcPr>
            <w:tcW w:w="660" w:type="dxa"/>
            <w:vAlign w:val="bottom"/>
          </w:tcPr>
          <w:p>
            <w:pPr>
              <w:jc w:val="right"/>
              <w:ind w:right="172"/>
              <w:spacing w:after="0" w:line="125" w:lineRule="exact"/>
              <w:rPr>
                <w:sz w:val="20"/>
                <w:szCs w:val="20"/>
                <w:color w:val="auto"/>
              </w:rPr>
            </w:pPr>
            <w:r>
              <w:rPr>
                <w:rFonts w:ascii="Arial" w:cs="Arial" w:eastAsia="Arial" w:hAnsi="Arial"/>
                <w:sz w:val="14"/>
                <w:szCs w:val="14"/>
                <w:color w:val="auto"/>
                <w:w w:val="93"/>
              </w:rPr>
              <w:t>19,987</w:t>
            </w:r>
          </w:p>
        </w:tc>
        <w:tc>
          <w:tcPr>
            <w:tcW w:w="320" w:type="dxa"/>
            <w:vAlign w:val="bottom"/>
          </w:tcPr>
          <w:p>
            <w:pPr>
              <w:spacing w:after="0"/>
              <w:rPr>
                <w:sz w:val="10"/>
                <w:szCs w:val="10"/>
                <w:color w:val="auto"/>
              </w:rPr>
            </w:pPr>
          </w:p>
        </w:tc>
        <w:tc>
          <w:tcPr>
            <w:tcW w:w="680" w:type="dxa"/>
            <w:vAlign w:val="bottom"/>
          </w:tcPr>
          <w:p>
            <w:pPr>
              <w:jc w:val="right"/>
              <w:ind w:right="192"/>
              <w:spacing w:after="0" w:line="125" w:lineRule="exact"/>
              <w:rPr>
                <w:sz w:val="20"/>
                <w:szCs w:val="20"/>
                <w:color w:val="auto"/>
              </w:rPr>
            </w:pPr>
            <w:r>
              <w:rPr>
                <w:rFonts w:ascii="Arial" w:cs="Arial" w:eastAsia="Arial" w:hAnsi="Arial"/>
                <w:sz w:val="14"/>
                <w:szCs w:val="14"/>
                <w:color w:val="auto"/>
                <w:w w:val="93"/>
              </w:rPr>
              <w:t>18,230</w:t>
            </w:r>
          </w:p>
        </w:tc>
        <w:tc>
          <w:tcPr>
            <w:tcW w:w="1360" w:type="dxa"/>
            <w:vAlign w:val="bottom"/>
          </w:tcPr>
          <w:p>
            <w:pPr>
              <w:jc w:val="right"/>
              <w:ind w:right="252"/>
              <w:spacing w:after="0" w:line="125" w:lineRule="exact"/>
              <w:rPr>
                <w:sz w:val="20"/>
                <w:szCs w:val="20"/>
                <w:color w:val="auto"/>
              </w:rPr>
            </w:pPr>
            <w:r>
              <w:rPr>
                <w:rFonts w:ascii="Arial" w:cs="Arial" w:eastAsia="Arial" w:hAnsi="Arial"/>
                <w:sz w:val="14"/>
                <w:szCs w:val="14"/>
                <w:b w:val="1"/>
                <w:bCs w:val="1"/>
                <w:color w:val="auto"/>
              </w:rPr>
              <w:t>20.6</w:t>
            </w:r>
          </w:p>
        </w:tc>
        <w:tc>
          <w:tcPr>
            <w:tcW w:w="1100" w:type="dxa"/>
            <w:vAlign w:val="bottom"/>
          </w:tcPr>
          <w:p>
            <w:pPr>
              <w:jc w:val="right"/>
              <w:ind w:right="52"/>
              <w:spacing w:after="0" w:line="125" w:lineRule="exact"/>
              <w:rPr>
                <w:sz w:val="20"/>
                <w:szCs w:val="20"/>
                <w:color w:val="auto"/>
              </w:rPr>
            </w:pPr>
            <w:r>
              <w:rPr>
                <w:rFonts w:ascii="Arial" w:cs="Arial" w:eastAsia="Arial" w:hAnsi="Arial"/>
                <w:sz w:val="14"/>
                <w:szCs w:val="14"/>
                <w:color w:val="auto"/>
              </w:rPr>
              <w:t>9.6</w:t>
            </w:r>
          </w:p>
        </w:tc>
      </w:tr>
      <w:tr>
        <w:trPr>
          <w:trHeight w:val="149"/>
        </w:trPr>
        <w:tc>
          <w:tcPr>
            <w:tcW w:w="4640" w:type="dxa"/>
            <w:vAlign w:val="bottom"/>
          </w:tcPr>
          <w:p>
            <w:pPr>
              <w:spacing w:after="0" w:line="149" w:lineRule="exact"/>
              <w:rPr>
                <w:sz w:val="20"/>
                <w:szCs w:val="20"/>
                <w:color w:val="auto"/>
              </w:rPr>
            </w:pPr>
            <w:r>
              <w:rPr>
                <w:rFonts w:ascii="Arial" w:cs="Arial" w:eastAsia="Arial" w:hAnsi="Arial"/>
                <w:sz w:val="14"/>
                <w:szCs w:val="14"/>
                <w:color w:val="auto"/>
              </w:rPr>
              <w:t>Operating expenses</w:t>
            </w:r>
          </w:p>
        </w:tc>
        <w:tc>
          <w:tcPr>
            <w:tcW w:w="1680" w:type="dxa"/>
            <w:vAlign w:val="bottom"/>
          </w:tcPr>
          <w:p>
            <w:pPr>
              <w:spacing w:after="0"/>
              <w:rPr>
                <w:sz w:val="12"/>
                <w:szCs w:val="12"/>
                <w:color w:val="auto"/>
              </w:rPr>
            </w:pPr>
          </w:p>
        </w:tc>
        <w:tc>
          <w:tcPr>
            <w:tcW w:w="660" w:type="dxa"/>
            <w:vAlign w:val="bottom"/>
          </w:tcPr>
          <w:p>
            <w:pPr>
              <w:jc w:val="right"/>
              <w:ind w:right="172"/>
              <w:spacing w:after="0" w:line="149" w:lineRule="exact"/>
              <w:rPr>
                <w:sz w:val="20"/>
                <w:szCs w:val="20"/>
                <w:color w:val="auto"/>
              </w:rPr>
            </w:pPr>
            <w:r>
              <w:rPr>
                <w:rFonts w:ascii="Arial" w:cs="Arial" w:eastAsia="Arial" w:hAnsi="Arial"/>
                <w:sz w:val="14"/>
                <w:szCs w:val="14"/>
                <w:b w:val="1"/>
                <w:bCs w:val="1"/>
                <w:color w:val="auto"/>
              </w:rPr>
              <w:t>8,600</w:t>
            </w:r>
          </w:p>
        </w:tc>
        <w:tc>
          <w:tcPr>
            <w:tcW w:w="320" w:type="dxa"/>
            <w:vAlign w:val="bottom"/>
          </w:tcPr>
          <w:p>
            <w:pPr>
              <w:spacing w:after="0"/>
              <w:rPr>
                <w:sz w:val="12"/>
                <w:szCs w:val="12"/>
                <w:color w:val="auto"/>
              </w:rPr>
            </w:pPr>
          </w:p>
        </w:tc>
        <w:tc>
          <w:tcPr>
            <w:tcW w:w="660" w:type="dxa"/>
            <w:vAlign w:val="bottom"/>
          </w:tcPr>
          <w:p>
            <w:pPr>
              <w:jc w:val="right"/>
              <w:ind w:right="172"/>
              <w:spacing w:after="0" w:line="149" w:lineRule="exact"/>
              <w:rPr>
                <w:sz w:val="20"/>
                <w:szCs w:val="20"/>
                <w:color w:val="auto"/>
              </w:rPr>
            </w:pPr>
            <w:r>
              <w:rPr>
                <w:rFonts w:ascii="Arial" w:cs="Arial" w:eastAsia="Arial" w:hAnsi="Arial"/>
                <w:sz w:val="14"/>
                <w:szCs w:val="14"/>
                <w:color w:val="auto"/>
              </w:rPr>
              <w:t>7,041</w:t>
            </w:r>
          </w:p>
        </w:tc>
        <w:tc>
          <w:tcPr>
            <w:tcW w:w="320" w:type="dxa"/>
            <w:vAlign w:val="bottom"/>
          </w:tcPr>
          <w:p>
            <w:pPr>
              <w:spacing w:after="0"/>
              <w:rPr>
                <w:sz w:val="12"/>
                <w:szCs w:val="12"/>
                <w:color w:val="auto"/>
              </w:rPr>
            </w:pPr>
          </w:p>
        </w:tc>
        <w:tc>
          <w:tcPr>
            <w:tcW w:w="680" w:type="dxa"/>
            <w:vAlign w:val="bottom"/>
          </w:tcPr>
          <w:p>
            <w:pPr>
              <w:jc w:val="right"/>
              <w:ind w:right="192"/>
              <w:spacing w:after="0" w:line="149" w:lineRule="exact"/>
              <w:rPr>
                <w:sz w:val="20"/>
                <w:szCs w:val="20"/>
                <w:color w:val="auto"/>
              </w:rPr>
            </w:pPr>
            <w:r>
              <w:rPr>
                <w:rFonts w:ascii="Arial" w:cs="Arial" w:eastAsia="Arial" w:hAnsi="Arial"/>
                <w:sz w:val="14"/>
                <w:szCs w:val="14"/>
                <w:color w:val="auto"/>
              </w:rPr>
              <w:t>6,656</w:t>
            </w:r>
          </w:p>
        </w:tc>
        <w:tc>
          <w:tcPr>
            <w:tcW w:w="1360" w:type="dxa"/>
            <w:vAlign w:val="bottom"/>
          </w:tcPr>
          <w:p>
            <w:pPr>
              <w:jc w:val="right"/>
              <w:ind w:right="252"/>
              <w:spacing w:after="0" w:line="149" w:lineRule="exact"/>
              <w:rPr>
                <w:sz w:val="20"/>
                <w:szCs w:val="20"/>
                <w:color w:val="auto"/>
              </w:rPr>
            </w:pPr>
            <w:r>
              <w:rPr>
                <w:rFonts w:ascii="Arial" w:cs="Arial" w:eastAsia="Arial" w:hAnsi="Arial"/>
                <w:sz w:val="14"/>
                <w:szCs w:val="14"/>
                <w:b w:val="1"/>
                <w:bCs w:val="1"/>
                <w:color w:val="auto"/>
              </w:rPr>
              <w:t>22.1</w:t>
            </w:r>
          </w:p>
        </w:tc>
        <w:tc>
          <w:tcPr>
            <w:tcW w:w="1100" w:type="dxa"/>
            <w:vAlign w:val="bottom"/>
          </w:tcPr>
          <w:p>
            <w:pPr>
              <w:jc w:val="right"/>
              <w:ind w:right="52"/>
              <w:spacing w:after="0" w:line="149" w:lineRule="exact"/>
              <w:rPr>
                <w:sz w:val="20"/>
                <w:szCs w:val="20"/>
                <w:color w:val="auto"/>
              </w:rPr>
            </w:pPr>
            <w:r>
              <w:rPr>
                <w:rFonts w:ascii="Arial" w:cs="Arial" w:eastAsia="Arial" w:hAnsi="Arial"/>
                <w:sz w:val="14"/>
                <w:szCs w:val="14"/>
                <w:color w:val="auto"/>
              </w:rPr>
              <w:t>5.8</w:t>
            </w:r>
          </w:p>
        </w:tc>
      </w:tr>
      <w:tr>
        <w:trPr>
          <w:trHeight w:val="165"/>
        </w:trPr>
        <w:tc>
          <w:tcPr>
            <w:tcW w:w="4640" w:type="dxa"/>
            <w:vAlign w:val="bottom"/>
            <w:tcBorders>
              <w:bottom w:val="single" w:sz="8" w:color="auto"/>
            </w:tcBorders>
          </w:tcPr>
          <w:p>
            <w:pPr>
              <w:spacing w:after="0"/>
              <w:rPr>
                <w:sz w:val="20"/>
                <w:szCs w:val="20"/>
                <w:color w:val="auto"/>
              </w:rPr>
            </w:pPr>
            <w:r>
              <w:rPr>
                <w:rFonts w:ascii="Arial" w:cs="Arial" w:eastAsia="Arial" w:hAnsi="Arial"/>
                <w:sz w:val="14"/>
                <w:szCs w:val="14"/>
                <w:color w:val="auto"/>
              </w:rPr>
              <w:t>Selling, general and administrative expenses</w:t>
            </w:r>
          </w:p>
        </w:tc>
        <w:tc>
          <w:tcPr>
            <w:tcW w:w="1680" w:type="dxa"/>
            <w:vAlign w:val="bottom"/>
            <w:tcBorders>
              <w:bottom w:val="single" w:sz="8" w:color="auto"/>
            </w:tcBorders>
          </w:tcPr>
          <w:p>
            <w:pPr>
              <w:spacing w:after="0"/>
              <w:rPr>
                <w:sz w:val="14"/>
                <w:szCs w:val="14"/>
                <w:color w:val="auto"/>
              </w:rPr>
            </w:pPr>
          </w:p>
        </w:tc>
        <w:tc>
          <w:tcPr>
            <w:tcW w:w="660" w:type="dxa"/>
            <w:vAlign w:val="bottom"/>
            <w:tcBorders>
              <w:bottom w:val="single" w:sz="8" w:color="auto"/>
            </w:tcBorders>
          </w:tcPr>
          <w:p>
            <w:pPr>
              <w:jc w:val="right"/>
              <w:ind w:right="172"/>
              <w:spacing w:after="0"/>
              <w:rPr>
                <w:sz w:val="20"/>
                <w:szCs w:val="20"/>
                <w:color w:val="auto"/>
              </w:rPr>
            </w:pPr>
            <w:r>
              <w:rPr>
                <w:rFonts w:ascii="Arial" w:cs="Arial" w:eastAsia="Arial" w:hAnsi="Arial"/>
                <w:sz w:val="14"/>
                <w:szCs w:val="14"/>
                <w:b w:val="1"/>
                <w:bCs w:val="1"/>
                <w:color w:val="auto"/>
              </w:rPr>
              <w:t>5,796</w:t>
            </w:r>
          </w:p>
        </w:tc>
        <w:tc>
          <w:tcPr>
            <w:tcW w:w="320" w:type="dxa"/>
            <w:vAlign w:val="bottom"/>
            <w:tcBorders>
              <w:bottom w:val="single" w:sz="8" w:color="auto"/>
            </w:tcBorders>
          </w:tcPr>
          <w:p>
            <w:pPr>
              <w:spacing w:after="0"/>
              <w:rPr>
                <w:sz w:val="14"/>
                <w:szCs w:val="14"/>
                <w:color w:val="auto"/>
              </w:rPr>
            </w:pPr>
          </w:p>
        </w:tc>
        <w:tc>
          <w:tcPr>
            <w:tcW w:w="660" w:type="dxa"/>
            <w:vAlign w:val="bottom"/>
            <w:tcBorders>
              <w:bottom w:val="single" w:sz="8" w:color="auto"/>
            </w:tcBorders>
          </w:tcPr>
          <w:p>
            <w:pPr>
              <w:jc w:val="right"/>
              <w:ind w:right="172"/>
              <w:spacing w:after="0"/>
              <w:rPr>
                <w:sz w:val="20"/>
                <w:szCs w:val="20"/>
                <w:color w:val="auto"/>
              </w:rPr>
            </w:pPr>
            <w:r>
              <w:rPr>
                <w:rFonts w:ascii="Arial" w:cs="Arial" w:eastAsia="Arial" w:hAnsi="Arial"/>
                <w:sz w:val="14"/>
                <w:szCs w:val="14"/>
                <w:color w:val="auto"/>
              </w:rPr>
              <w:t>4,999</w:t>
            </w:r>
          </w:p>
        </w:tc>
        <w:tc>
          <w:tcPr>
            <w:tcW w:w="320" w:type="dxa"/>
            <w:vAlign w:val="bottom"/>
            <w:tcBorders>
              <w:bottom w:val="single" w:sz="8" w:color="auto"/>
            </w:tcBorders>
          </w:tcPr>
          <w:p>
            <w:pPr>
              <w:spacing w:after="0"/>
              <w:rPr>
                <w:sz w:val="14"/>
                <w:szCs w:val="14"/>
                <w:color w:val="auto"/>
              </w:rPr>
            </w:pPr>
          </w:p>
        </w:tc>
        <w:tc>
          <w:tcPr>
            <w:tcW w:w="680" w:type="dxa"/>
            <w:vAlign w:val="bottom"/>
            <w:tcBorders>
              <w:bottom w:val="single" w:sz="8" w:color="auto"/>
            </w:tcBorders>
          </w:tcPr>
          <w:p>
            <w:pPr>
              <w:jc w:val="right"/>
              <w:ind w:right="192"/>
              <w:spacing w:after="0"/>
              <w:rPr>
                <w:sz w:val="20"/>
                <w:szCs w:val="20"/>
                <w:color w:val="auto"/>
              </w:rPr>
            </w:pPr>
            <w:r>
              <w:rPr>
                <w:rFonts w:ascii="Arial" w:cs="Arial" w:eastAsia="Arial" w:hAnsi="Arial"/>
                <w:sz w:val="14"/>
                <w:szCs w:val="14"/>
                <w:color w:val="auto"/>
              </w:rPr>
              <w:t>4,634</w:t>
            </w:r>
          </w:p>
        </w:tc>
        <w:tc>
          <w:tcPr>
            <w:tcW w:w="1360" w:type="dxa"/>
            <w:vAlign w:val="bottom"/>
            <w:tcBorders>
              <w:bottom w:val="single" w:sz="8" w:color="auto"/>
            </w:tcBorders>
          </w:tcPr>
          <w:p>
            <w:pPr>
              <w:jc w:val="right"/>
              <w:ind w:right="252"/>
              <w:spacing w:after="0"/>
              <w:rPr>
                <w:sz w:val="20"/>
                <w:szCs w:val="20"/>
                <w:color w:val="auto"/>
              </w:rPr>
            </w:pPr>
            <w:r>
              <w:rPr>
                <w:rFonts w:ascii="Arial" w:cs="Arial" w:eastAsia="Arial" w:hAnsi="Arial"/>
                <w:sz w:val="14"/>
                <w:szCs w:val="14"/>
                <w:b w:val="1"/>
                <w:bCs w:val="1"/>
                <w:color w:val="auto"/>
              </w:rPr>
              <w:t>15.9</w:t>
            </w:r>
          </w:p>
        </w:tc>
        <w:tc>
          <w:tcPr>
            <w:tcW w:w="1100" w:type="dxa"/>
            <w:vAlign w:val="bottom"/>
            <w:tcBorders>
              <w:bottom w:val="single" w:sz="8" w:color="auto"/>
            </w:tcBorders>
          </w:tcPr>
          <w:p>
            <w:pPr>
              <w:jc w:val="right"/>
              <w:ind w:right="52"/>
              <w:spacing w:after="0"/>
              <w:rPr>
                <w:sz w:val="20"/>
                <w:szCs w:val="20"/>
                <w:color w:val="auto"/>
              </w:rPr>
            </w:pPr>
            <w:r>
              <w:rPr>
                <w:rFonts w:ascii="Arial" w:cs="Arial" w:eastAsia="Arial" w:hAnsi="Arial"/>
                <w:sz w:val="14"/>
                <w:szCs w:val="14"/>
                <w:color w:val="auto"/>
              </w:rPr>
              <w:t>7.8</w:t>
            </w:r>
          </w:p>
        </w:tc>
      </w:tr>
      <w:tr>
        <w:trPr>
          <w:trHeight w:val="142"/>
        </w:trPr>
        <w:tc>
          <w:tcPr>
            <w:tcW w:w="4640" w:type="dxa"/>
            <w:vAlign w:val="bottom"/>
            <w:tcBorders>
              <w:bottom w:val="single" w:sz="8" w:color="35BF85"/>
            </w:tcBorders>
          </w:tcPr>
          <w:p>
            <w:pPr>
              <w:spacing w:after="0" w:line="142" w:lineRule="exact"/>
              <w:rPr>
                <w:sz w:val="20"/>
                <w:szCs w:val="20"/>
                <w:color w:val="auto"/>
              </w:rPr>
            </w:pPr>
            <w:r>
              <w:rPr>
                <w:rFonts w:ascii="Arial" w:cs="Arial" w:eastAsia="Arial" w:hAnsi="Arial"/>
                <w:sz w:val="14"/>
                <w:szCs w:val="14"/>
                <w:b w:val="1"/>
                <w:bCs w:val="1"/>
                <w:color w:val="auto"/>
              </w:rPr>
              <w:t>Operating income before depreciation and amortization</w:t>
            </w:r>
          </w:p>
        </w:tc>
        <w:tc>
          <w:tcPr>
            <w:tcW w:w="1680" w:type="dxa"/>
            <w:vAlign w:val="bottom"/>
            <w:tcBorders>
              <w:bottom w:val="single" w:sz="8" w:color="35BF85"/>
            </w:tcBorders>
          </w:tcPr>
          <w:p>
            <w:pPr>
              <w:jc w:val="right"/>
              <w:spacing w:after="0" w:line="142" w:lineRule="exact"/>
              <w:rPr>
                <w:sz w:val="20"/>
                <w:szCs w:val="20"/>
                <w:color w:val="auto"/>
              </w:rPr>
            </w:pPr>
            <w:r>
              <w:rPr>
                <w:rFonts w:ascii="Arial" w:cs="Arial" w:eastAsia="Arial" w:hAnsi="Arial"/>
                <w:sz w:val="14"/>
                <w:szCs w:val="14"/>
                <w:b w:val="1"/>
                <w:bCs w:val="1"/>
                <w:color w:val="auto"/>
              </w:rPr>
              <w:t>$</w:t>
            </w:r>
          </w:p>
        </w:tc>
        <w:tc>
          <w:tcPr>
            <w:tcW w:w="660" w:type="dxa"/>
            <w:vAlign w:val="bottom"/>
            <w:tcBorders>
              <w:bottom w:val="single" w:sz="8" w:color="35BF85"/>
            </w:tcBorders>
          </w:tcPr>
          <w:p>
            <w:pPr>
              <w:jc w:val="right"/>
              <w:ind w:right="172"/>
              <w:spacing w:after="0" w:line="142" w:lineRule="exact"/>
              <w:rPr>
                <w:sz w:val="20"/>
                <w:szCs w:val="20"/>
                <w:color w:val="auto"/>
              </w:rPr>
            </w:pPr>
            <w:r>
              <w:rPr>
                <w:rFonts w:ascii="Arial" w:cs="Arial" w:eastAsia="Arial" w:hAnsi="Arial"/>
                <w:sz w:val="14"/>
                <w:szCs w:val="14"/>
                <w:b w:val="1"/>
                <w:bCs w:val="1"/>
                <w:color w:val="auto"/>
              </w:rPr>
              <w:t>9,704</w:t>
            </w:r>
          </w:p>
        </w:tc>
        <w:tc>
          <w:tcPr>
            <w:tcW w:w="320" w:type="dxa"/>
            <w:vAlign w:val="bottom"/>
            <w:tcBorders>
              <w:bottom w:val="single" w:sz="8" w:color="35BF85"/>
            </w:tcBorders>
          </w:tcPr>
          <w:p>
            <w:pPr>
              <w:jc w:val="right"/>
              <w:spacing w:after="0" w:line="142" w:lineRule="exact"/>
              <w:rPr>
                <w:sz w:val="20"/>
                <w:szCs w:val="20"/>
                <w:color w:val="auto"/>
              </w:rPr>
            </w:pPr>
            <w:r>
              <w:rPr>
                <w:rFonts w:ascii="Arial" w:cs="Arial" w:eastAsia="Arial" w:hAnsi="Arial"/>
                <w:sz w:val="14"/>
                <w:szCs w:val="14"/>
                <w:color w:val="auto"/>
              </w:rPr>
              <w:t>$</w:t>
            </w:r>
          </w:p>
        </w:tc>
        <w:tc>
          <w:tcPr>
            <w:tcW w:w="660" w:type="dxa"/>
            <w:vAlign w:val="bottom"/>
            <w:tcBorders>
              <w:bottom w:val="single" w:sz="8" w:color="35BF85"/>
            </w:tcBorders>
          </w:tcPr>
          <w:p>
            <w:pPr>
              <w:jc w:val="right"/>
              <w:ind w:right="172"/>
              <w:spacing w:after="0" w:line="142" w:lineRule="exact"/>
              <w:rPr>
                <w:sz w:val="20"/>
                <w:szCs w:val="20"/>
                <w:color w:val="auto"/>
              </w:rPr>
            </w:pPr>
            <w:r>
              <w:rPr>
                <w:rFonts w:ascii="Arial" w:cs="Arial" w:eastAsia="Arial" w:hAnsi="Arial"/>
                <w:sz w:val="14"/>
                <w:szCs w:val="14"/>
                <w:color w:val="auto"/>
              </w:rPr>
              <w:t>7,947</w:t>
            </w:r>
          </w:p>
        </w:tc>
        <w:tc>
          <w:tcPr>
            <w:tcW w:w="320" w:type="dxa"/>
            <w:vAlign w:val="bottom"/>
            <w:tcBorders>
              <w:bottom w:val="single" w:sz="8" w:color="35BF85"/>
            </w:tcBorders>
          </w:tcPr>
          <w:p>
            <w:pPr>
              <w:jc w:val="right"/>
              <w:spacing w:after="0" w:line="142" w:lineRule="exact"/>
              <w:rPr>
                <w:sz w:val="20"/>
                <w:szCs w:val="20"/>
                <w:color w:val="auto"/>
              </w:rPr>
            </w:pPr>
            <w:r>
              <w:rPr>
                <w:rFonts w:ascii="Arial" w:cs="Arial" w:eastAsia="Arial" w:hAnsi="Arial"/>
                <w:sz w:val="14"/>
                <w:szCs w:val="14"/>
                <w:color w:val="auto"/>
              </w:rPr>
              <w:t>$</w:t>
            </w:r>
          </w:p>
        </w:tc>
        <w:tc>
          <w:tcPr>
            <w:tcW w:w="680" w:type="dxa"/>
            <w:vAlign w:val="bottom"/>
            <w:tcBorders>
              <w:bottom w:val="single" w:sz="8" w:color="35BF85"/>
            </w:tcBorders>
          </w:tcPr>
          <w:p>
            <w:pPr>
              <w:jc w:val="right"/>
              <w:ind w:right="192"/>
              <w:spacing w:after="0" w:line="142" w:lineRule="exact"/>
              <w:rPr>
                <w:sz w:val="20"/>
                <w:szCs w:val="20"/>
                <w:color w:val="auto"/>
              </w:rPr>
            </w:pPr>
            <w:r>
              <w:rPr>
                <w:rFonts w:ascii="Arial" w:cs="Arial" w:eastAsia="Arial" w:hAnsi="Arial"/>
                <w:sz w:val="14"/>
                <w:szCs w:val="14"/>
                <w:color w:val="auto"/>
              </w:rPr>
              <w:t>6,940</w:t>
            </w:r>
          </w:p>
        </w:tc>
        <w:tc>
          <w:tcPr>
            <w:tcW w:w="1360" w:type="dxa"/>
            <w:vAlign w:val="bottom"/>
            <w:tcBorders>
              <w:bottom w:val="single" w:sz="8" w:color="35BF85"/>
            </w:tcBorders>
          </w:tcPr>
          <w:p>
            <w:pPr>
              <w:jc w:val="right"/>
              <w:ind w:right="132"/>
              <w:spacing w:after="0" w:line="142" w:lineRule="exact"/>
              <w:rPr>
                <w:sz w:val="20"/>
                <w:szCs w:val="20"/>
                <w:color w:val="auto"/>
              </w:rPr>
            </w:pPr>
            <w:r>
              <w:rPr>
                <w:rFonts w:ascii="Arial" w:cs="Arial" w:eastAsia="Arial" w:hAnsi="Arial"/>
                <w:sz w:val="14"/>
                <w:szCs w:val="14"/>
                <w:b w:val="1"/>
                <w:bCs w:val="1"/>
                <w:color w:val="auto"/>
              </w:rPr>
              <w:t>22.1%</w:t>
            </w:r>
          </w:p>
        </w:tc>
        <w:tc>
          <w:tcPr>
            <w:tcW w:w="1100" w:type="dxa"/>
            <w:vAlign w:val="bottom"/>
            <w:tcBorders>
              <w:bottom w:val="single" w:sz="8" w:color="35BF85"/>
            </w:tcBorders>
          </w:tcPr>
          <w:p>
            <w:pPr>
              <w:jc w:val="right"/>
              <w:spacing w:after="0" w:line="142" w:lineRule="exact"/>
              <w:rPr>
                <w:sz w:val="20"/>
                <w:szCs w:val="20"/>
                <w:color w:val="auto"/>
              </w:rPr>
            </w:pPr>
            <w:r>
              <w:rPr>
                <w:rFonts w:ascii="Arial" w:cs="Arial" w:eastAsia="Arial" w:hAnsi="Arial"/>
                <w:sz w:val="14"/>
                <w:szCs w:val="14"/>
                <w:color w:val="auto"/>
              </w:rPr>
              <w:t>14.5%</w:t>
            </w:r>
          </w:p>
        </w:tc>
      </w:tr>
      <w:tr>
        <w:trPr>
          <w:trHeight w:val="304"/>
        </w:trPr>
        <w:tc>
          <w:tcPr>
            <w:tcW w:w="4640" w:type="dxa"/>
            <w:vAlign w:val="bottom"/>
          </w:tcPr>
          <w:p>
            <w:pPr>
              <w:spacing w:after="0"/>
              <w:rPr>
                <w:sz w:val="20"/>
                <w:szCs w:val="20"/>
                <w:color w:val="auto"/>
              </w:rPr>
            </w:pPr>
            <w:r>
              <w:rPr>
                <w:rFonts w:ascii="Arial" w:cs="Arial" w:eastAsia="Arial" w:hAnsi="Arial"/>
                <w:sz w:val="14"/>
                <w:szCs w:val="14"/>
                <w:b w:val="1"/>
                <w:bCs w:val="1"/>
                <w:color w:val="auto"/>
              </w:rPr>
              <w:t xml:space="preserve">MD&amp;A </w:t>
            </w:r>
            <w:r>
              <w:rPr>
                <w:rFonts w:ascii="Arial" w:cs="Arial" w:eastAsia="Arial" w:hAnsi="Arial"/>
                <w:sz w:val="14"/>
                <w:szCs w:val="14"/>
                <w:color w:val="auto"/>
              </w:rPr>
              <w:t>Comcast 2006 Annual Report</w:t>
            </w:r>
          </w:p>
        </w:tc>
        <w:tc>
          <w:tcPr>
            <w:tcW w:w="1680" w:type="dxa"/>
            <w:vAlign w:val="bottom"/>
          </w:tcPr>
          <w:p>
            <w:pPr>
              <w:jc w:val="right"/>
              <w:ind w:right="412"/>
              <w:spacing w:after="0"/>
              <w:rPr>
                <w:sz w:val="20"/>
                <w:szCs w:val="20"/>
                <w:color w:val="auto"/>
              </w:rPr>
            </w:pPr>
            <w:r>
              <w:rPr>
                <w:rFonts w:ascii="Arial" w:cs="Arial" w:eastAsia="Arial" w:hAnsi="Arial"/>
                <w:sz w:val="14"/>
                <w:szCs w:val="14"/>
                <w:b w:val="1"/>
                <w:bCs w:val="1"/>
                <w:color w:val="auto"/>
              </w:rPr>
              <w:t>28</w:t>
            </w:r>
          </w:p>
        </w:tc>
        <w:tc>
          <w:tcPr>
            <w:tcW w:w="66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1360" w:type="dxa"/>
            <w:vAlign w:val="bottom"/>
          </w:tcPr>
          <w:p>
            <w:pPr>
              <w:spacing w:after="0"/>
              <w:rPr>
                <w:sz w:val="24"/>
                <w:szCs w:val="24"/>
                <w:color w:val="auto"/>
              </w:rPr>
            </w:pPr>
          </w:p>
        </w:tc>
        <w:tc>
          <w:tcPr>
            <w:tcW w:w="1100" w:type="dxa"/>
            <w:vAlign w:val="bottom"/>
          </w:tcPr>
          <w:p>
            <w:pPr>
              <w:spacing w:after="0"/>
              <w:rPr>
                <w:sz w:val="24"/>
                <w:szCs w:val="24"/>
                <w:color w:val="auto"/>
              </w:rPr>
            </w:pPr>
          </w:p>
        </w:tc>
      </w:tr>
    </w:tbl>
    <w:p>
      <w:pPr>
        <w:sectPr>
          <w:pgSz w:w="11900" w:h="16838" w:orient="portrait"/>
          <w:cols w:equalWidth="0" w:num="1">
            <w:col w:w="11420"/>
          </w:cols>
          <w:pgMar w:left="240" w:top="459" w:right="239" w:bottom="1440" w:gutter="0" w:footer="0" w:header="0"/>
          <w:type w:val="continuous"/>
        </w:sectPr>
      </w:pPr>
    </w:p>
    <w:bookmarkStart w:id="105" w:name="page106"/>
    <w:bookmarkEnd w:id="105"/>
    <w:p>
      <w:pPr>
        <w:spacing w:after="0"/>
        <w:rPr>
          <w:rFonts w:ascii="Arial" w:cs="Arial" w:eastAsia="Arial" w:hAnsi="Arial"/>
          <w:sz w:val="16"/>
          <w:szCs w:val="16"/>
          <w:b w:val="1"/>
          <w:bCs w:val="1"/>
          <w:u w:val="single" w:color="auto"/>
          <w:color w:val="0000EE"/>
        </w:rPr>
      </w:pPr>
      <w:r>
        <w:rPr>
          <w:rFonts w:ascii="Arial" w:cs="Arial" w:eastAsia="Arial" w:hAnsi="Arial"/>
          <w:sz w:val="16"/>
          <w:szCs w:val="16"/>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146" name="Picture 1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6"/>
                    <pic:cNvPicPr>
                      <a:picLocks noChangeAspect="1" noChangeArrowheads="1"/>
                    </pic:cNvPicPr>
                  </pic:nvPicPr>
                  <pic:blipFill>
                    <a:blip r:embed="rId153">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3">
        <w:r>
          <w:rPr>
            <w:rFonts w:ascii="Arial" w:cs="Arial" w:eastAsia="Arial" w:hAnsi="Arial"/>
            <w:sz w:val="16"/>
            <w:szCs w:val="16"/>
            <w:b w:val="1"/>
            <w:bCs w:val="1"/>
            <w:u w:val="single" w:color="auto"/>
            <w:color w:val="0000EE"/>
          </w:rPr>
          <w:t>Table of Contents</w:t>
        </w:r>
      </w:hyperlink>
    </w:p>
    <w:p>
      <w:pPr>
        <w:sectPr>
          <w:pgSz w:w="11900" w:h="16838" w:orient="portrait"/>
          <w:cols w:equalWidth="0" w:num="1">
            <w:col w:w="11420"/>
          </w:cols>
          <w:pgMar w:left="240" w:top="459" w:right="2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4" w:lineRule="exact"/>
        <w:rPr>
          <w:sz w:val="20"/>
          <w:szCs w:val="20"/>
          <w:color w:val="auto"/>
        </w:rPr>
      </w:pPr>
    </w:p>
    <w:p>
      <w:pPr>
        <w:jc w:val="both"/>
        <w:spacing w:after="0" w:line="236" w:lineRule="auto"/>
        <w:rPr>
          <w:sz w:val="20"/>
          <w:szCs w:val="20"/>
          <w:color w:val="auto"/>
        </w:rPr>
      </w:pPr>
      <w:r>
        <w:rPr>
          <w:rFonts w:ascii="Arial" w:cs="Arial" w:eastAsia="Arial" w:hAnsi="Arial"/>
          <w:sz w:val="18"/>
          <w:szCs w:val="18"/>
          <w:color w:val="auto"/>
        </w:rPr>
        <w:t>Revenues increased as a result of higher pricing on our basic video service, growth in our digital cable services and, in 2006, the addition of our newly acquired cable systems. Our newly acquired cable systems added approximately 3.7 million video subscribers and contributed $1.143 billion of our video revenue growth for the year ended December 31, 2006. As a result of these factors, our average monthly video revenue per video subscriber increased from $50 in 2004 to $57 in 2006.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-3882390</wp:posOffset>
            </wp:positionV>
            <wp:extent cx="2040890" cy="2744470"/>
            <wp:wrapNone/>
            <wp:docPr id="147" name="Picture 1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7"/>
                    <pic:cNvPicPr>
                      <a:picLocks noChangeAspect="1" noChangeArrowheads="1"/>
                    </pic:cNvPicPr>
                  </pic:nvPicPr>
                  <pic:blipFill>
                    <a:blip r:embed="rId154">
                      <a:extLst>
                        <a:ext uri="{28A0092B-C50C-407E-A947-70E740481C1C}"/>
                      </a:extLst>
                    </a:blip>
                    <a:srcRect/>
                    <a:stretch>
                      <a:fillRect/>
                    </a:stretch>
                  </pic:blipFill>
                  <pic:spPr bwMode="auto">
                    <a:xfrm>
                      <a:off x="0" y="0"/>
                      <a:ext cx="2040890" cy="2744470"/>
                    </a:xfrm>
                    <a:prstGeom prst="rect">
                      <a:avLst/>
                    </a:prstGeom>
                    <a:noFill/>
                  </pic:spPr>
                </pic:pic>
              </a:graphicData>
            </a:graphic>
          </wp:anchor>
        </w:drawing>
      </w:r>
    </w:p>
    <w:p>
      <w:pPr>
        <w:spacing w:after="0" w:line="112" w:lineRule="exact"/>
        <w:rPr>
          <w:sz w:val="20"/>
          <w:szCs w:val="20"/>
          <w:color w:val="auto"/>
        </w:rPr>
      </w:pPr>
    </w:p>
    <w:p>
      <w:pPr>
        <w:jc w:val="both"/>
        <w:spacing w:after="0" w:line="239" w:lineRule="auto"/>
        <w:rPr>
          <w:sz w:val="20"/>
          <w:szCs w:val="20"/>
          <w:color w:val="auto"/>
        </w:rPr>
      </w:pPr>
      <w:r>
        <w:rPr>
          <w:rFonts w:ascii="Arial" w:cs="Arial" w:eastAsia="Arial" w:hAnsi="Arial"/>
          <w:sz w:val="18"/>
          <w:szCs w:val="18"/>
          <w:b w:val="1"/>
          <w:bCs w:val="1"/>
          <w:color w:val="auto"/>
        </w:rPr>
        <w:t xml:space="preserve">High-Speed Internet. </w:t>
      </w:r>
      <w:r>
        <w:rPr>
          <w:rFonts w:ascii="Arial" w:cs="Arial" w:eastAsia="Arial" w:hAnsi="Arial"/>
          <w:sz w:val="18"/>
          <w:szCs w:val="18"/>
          <w:color w:val="auto"/>
        </w:rPr>
        <w:t>We offer high-speed Internet service with</w:t>
      </w:r>
      <w:r>
        <w:rPr>
          <w:rFonts w:ascii="Arial" w:cs="Arial" w:eastAsia="Arial" w:hAnsi="Arial"/>
          <w:sz w:val="18"/>
          <w:szCs w:val="18"/>
          <w:b w:val="1"/>
          <w:bCs w:val="1"/>
          <w:color w:val="auto"/>
        </w:rPr>
        <w:t xml:space="preserve"> </w:t>
      </w:r>
      <w:r>
        <w:rPr>
          <w:rFonts w:ascii="Arial" w:cs="Arial" w:eastAsia="Arial" w:hAnsi="Arial"/>
          <w:sz w:val="18"/>
          <w:szCs w:val="18"/>
          <w:color w:val="auto"/>
        </w:rPr>
        <w:t>Internet access at downstream speeds from 6Mbps to 16Mbps, depending on the level of service selected. This service also includes our interactive portal, Comcast.net, which provides multiple e-mail addresses and online storage, as well as a variety of proprietary content and value-added features and enhancements that are designed to take advantage of the speed of the Internet service we provide.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802640</wp:posOffset>
            </wp:positionH>
            <wp:positionV relativeFrom="paragraph">
              <wp:posOffset>97155</wp:posOffset>
            </wp:positionV>
            <wp:extent cx="1878330" cy="1920875"/>
            <wp:wrapNone/>
            <wp:docPr id="148" name="Picture 1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8"/>
                    <pic:cNvPicPr>
                      <a:picLocks noChangeAspect="1" noChangeArrowheads="1"/>
                    </pic:cNvPicPr>
                  </pic:nvPicPr>
                  <pic:blipFill>
                    <a:blip r:embed="rId155">
                      <a:extLst>
                        <a:ext uri="{28A0092B-C50C-407E-A947-70E740481C1C}"/>
                      </a:extLst>
                    </a:blip>
                    <a:srcRect/>
                    <a:stretch>
                      <a:fillRect/>
                    </a:stretch>
                  </pic:blipFill>
                  <pic:spPr bwMode="auto">
                    <a:xfrm>
                      <a:off x="0" y="0"/>
                      <a:ext cx="1878330" cy="1920875"/>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79" w:lineRule="exact"/>
        <w:rPr>
          <w:sz w:val="20"/>
          <w:szCs w:val="20"/>
          <w:color w:val="auto"/>
        </w:rPr>
      </w:pPr>
    </w:p>
    <w:p>
      <w:pPr>
        <w:jc w:val="both"/>
        <w:ind w:right="120"/>
        <w:spacing w:after="0" w:line="235" w:lineRule="auto"/>
        <w:rPr>
          <w:sz w:val="20"/>
          <w:szCs w:val="20"/>
          <w:color w:val="auto"/>
        </w:rPr>
      </w:pPr>
      <w:r>
        <w:rPr>
          <w:rFonts w:ascii="Arial" w:cs="Arial" w:eastAsia="Arial" w:hAnsi="Arial"/>
          <w:sz w:val="18"/>
          <w:szCs w:val="18"/>
          <w:color w:val="auto"/>
        </w:rPr>
        <w:t>Revenues increased in 2006 and 2005 as a result of subscriber growth and, in 2006, the addition of our newly acquired cable systems. As of December 31, 2006, 24.5% of our homes passed subscribed to our high-speed Internet service, compared to 21.1% and 17.8% as of December 31, 2005 and 2004, respectively. Our newly acquired cable systems added approximately 1.7 million high-speed Internet subscribers and contributed $379 million of our high-speed Internet revenue growth for the year ended December 31, 2006. Average monthly revenue per high-speed Internet subscriber has remained relatively stable between $42 and $43 from 2004 through 2006. The rate of subscriber and revenue growth may slow as the market continues to mature and competition increases.</w:t>
      </w:r>
    </w:p>
    <w:p>
      <w:pPr>
        <w:spacing w:after="0" w:line="139" w:lineRule="exact"/>
        <w:rPr>
          <w:sz w:val="20"/>
          <w:szCs w:val="20"/>
          <w:color w:val="auto"/>
        </w:rPr>
      </w:pPr>
    </w:p>
    <w:p>
      <w:pPr>
        <w:jc w:val="both"/>
        <w:ind w:right="120"/>
        <w:spacing w:after="0" w:line="272" w:lineRule="auto"/>
        <w:rPr>
          <w:sz w:val="20"/>
          <w:szCs w:val="20"/>
          <w:color w:val="auto"/>
        </w:rPr>
      </w:pPr>
      <w:r>
        <w:rPr>
          <w:rFonts w:ascii="Arial" w:cs="Arial" w:eastAsia="Arial" w:hAnsi="Arial"/>
          <w:sz w:val="16"/>
          <w:szCs w:val="16"/>
          <w:b w:val="1"/>
          <w:bCs w:val="1"/>
          <w:color w:val="auto"/>
        </w:rPr>
        <w:t xml:space="preserve">Phone. </w:t>
      </w:r>
      <w:r>
        <w:rPr>
          <w:rFonts w:ascii="Arial" w:cs="Arial" w:eastAsia="Arial" w:hAnsi="Arial"/>
          <w:sz w:val="16"/>
          <w:szCs w:val="16"/>
          <w:color w:val="auto"/>
        </w:rPr>
        <w:t>We offer Comcast Digital Voice, our IP-enabled phone service</w:t>
      </w:r>
      <w:r>
        <w:rPr>
          <w:rFonts w:ascii="Arial" w:cs="Arial" w:eastAsia="Arial" w:hAnsi="Arial"/>
          <w:sz w:val="16"/>
          <w:szCs w:val="16"/>
          <w:b w:val="1"/>
          <w:bCs w:val="1"/>
          <w:color w:val="auto"/>
        </w:rPr>
        <w:t xml:space="preserve"> </w:t>
      </w:r>
      <w:r>
        <w:rPr>
          <w:rFonts w:ascii="Arial" w:cs="Arial" w:eastAsia="Arial" w:hAnsi="Arial"/>
          <w:sz w:val="16"/>
          <w:szCs w:val="16"/>
          <w:color w:val="auto"/>
        </w:rPr>
        <w:t>that provides unlimited local and domestic long-distance calling and includes such features as Voice Mail, Caller ID and Call Waiting. Comcast Digital Voice was available to 32 million homes as of December 31, 2006. We expect that by the end of 2007 approximately 85% of our homes passed will have access to Comcast Digital Voice. In some areas, we provide our circuit-switched local phone service. Subscribers to this service have access to a full array of calling features and third-party long-distance services.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666115</wp:posOffset>
            </wp:positionH>
            <wp:positionV relativeFrom="paragraph">
              <wp:posOffset>213360</wp:posOffset>
            </wp:positionV>
            <wp:extent cx="2143760" cy="1929765"/>
            <wp:wrapNone/>
            <wp:docPr id="149" name="Picture 1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9"/>
                    <pic:cNvPicPr>
                      <a:picLocks noChangeAspect="1" noChangeArrowheads="1"/>
                    </pic:cNvPicPr>
                  </pic:nvPicPr>
                  <pic:blipFill>
                    <a:blip r:embed="rId156">
                      <a:extLst>
                        <a:ext uri="{28A0092B-C50C-407E-A947-70E740481C1C}"/>
                      </a:extLst>
                    </a:blip>
                    <a:srcRect/>
                    <a:stretch>
                      <a:fillRect/>
                    </a:stretch>
                  </pic:blipFill>
                  <pic:spPr bwMode="auto">
                    <a:xfrm>
                      <a:off x="0" y="0"/>
                      <a:ext cx="2143760" cy="192976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0" w:lineRule="exact"/>
        <w:rPr>
          <w:sz w:val="20"/>
          <w:szCs w:val="20"/>
          <w:color w:val="auto"/>
        </w:rPr>
      </w:pPr>
    </w:p>
    <w:p>
      <w:pPr>
        <w:jc w:val="both"/>
        <w:ind w:right="120"/>
        <w:spacing w:after="0" w:line="235" w:lineRule="auto"/>
        <w:rPr>
          <w:sz w:val="20"/>
          <w:szCs w:val="20"/>
          <w:color w:val="auto"/>
        </w:rPr>
      </w:pPr>
      <w:r>
        <w:rPr>
          <w:rFonts w:ascii="Arial" w:cs="Arial" w:eastAsia="Arial" w:hAnsi="Arial"/>
          <w:sz w:val="18"/>
          <w:szCs w:val="18"/>
          <w:color w:val="auto"/>
        </w:rPr>
        <w:t>Revenues increased in 2006 as a result of the increase in Comcast Digital Voice subscribers, partially offset by the loss of approximately 300,000 circuit-switched subscribers. Our newly acquired cable systems added approximately 156,000 phone subscribers and contributed $40 million of our phone revenue growth for the year ended December 31, 2006. The decrease in phone revenues in 2005 from 2004 was primarily the result of a reduction in the number of circuit-switched phone subscribers as we began the deployment of Comcast Digital Voice. We expect the number of phone subscribers will grow as we expand Comcast Digital Voice to new markets in 2007. We expect the number of subscribers to our circuit-switched local phone service to continue to decrease in 2007 as our marketing efforts are now focused on Comcast Digital Voice.</w:t>
      </w:r>
    </w:p>
    <w:p>
      <w:pPr>
        <w:spacing w:after="0" w:line="200" w:lineRule="exact"/>
        <w:rPr>
          <w:sz w:val="20"/>
          <w:szCs w:val="20"/>
          <w:color w:val="auto"/>
        </w:rPr>
      </w:pPr>
    </w:p>
    <w:p>
      <w:pPr>
        <w:sectPr>
          <w:pgSz w:w="11900" w:h="16838" w:orient="portrait"/>
          <w:cols w:equalWidth="0" w:num="2">
            <w:col w:w="5480" w:space="340"/>
            <w:col w:w="5600"/>
          </w:cols>
          <w:pgMar w:left="240" w:top="459" w:right="239" w:bottom="1440" w:gutter="0" w:footer="0" w:header="0"/>
          <w:type w:val="continuous"/>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4" w:lineRule="exact"/>
        <w:rPr>
          <w:sz w:val="20"/>
          <w:szCs w:val="20"/>
          <w:color w:val="auto"/>
        </w:rPr>
      </w:pPr>
    </w:p>
    <w:p>
      <w:pPr>
        <w:ind w:left="5680"/>
        <w:spacing w:after="0"/>
        <w:tabs>
          <w:tab w:leader="none" w:pos="9180" w:val="left"/>
        </w:tabs>
        <w:rPr>
          <w:sz w:val="20"/>
          <w:szCs w:val="20"/>
          <w:color w:val="auto"/>
        </w:rPr>
      </w:pPr>
      <w:r>
        <w:rPr>
          <w:rFonts w:ascii="Arial" w:cs="Arial" w:eastAsia="Arial" w:hAnsi="Arial"/>
          <w:sz w:val="12"/>
          <w:szCs w:val="12"/>
          <w:b w:val="1"/>
          <w:bCs w:val="1"/>
          <w:color w:val="auto"/>
        </w:rPr>
        <w:t>29</w:t>
      </w:r>
      <w:r>
        <w:rPr>
          <w:sz w:val="20"/>
          <w:szCs w:val="20"/>
          <w:color w:val="auto"/>
        </w:rPr>
        <w:tab/>
      </w:r>
      <w:r>
        <w:rPr>
          <w:rFonts w:ascii="Arial" w:cs="Arial" w:eastAsia="Arial" w:hAnsi="Arial"/>
          <w:sz w:val="12"/>
          <w:szCs w:val="12"/>
          <w:color w:val="auto"/>
        </w:rPr>
        <w:t xml:space="preserve">Comcast 2006 Annual Report </w:t>
      </w:r>
      <w:r>
        <w:rPr>
          <w:rFonts w:ascii="Arial" w:cs="Arial" w:eastAsia="Arial" w:hAnsi="Arial"/>
          <w:sz w:val="12"/>
          <w:szCs w:val="12"/>
          <w:b w:val="1"/>
          <w:bCs w:val="1"/>
          <w:color w:val="auto"/>
        </w:rPr>
        <w:t>MD&amp;A</w:t>
      </w:r>
    </w:p>
    <w:p>
      <w:pPr>
        <w:sectPr>
          <w:pgSz w:w="11900" w:h="16838" w:orient="portrait"/>
          <w:cols w:equalWidth="0" w:num="1">
            <w:col w:w="11420"/>
          </w:cols>
          <w:pgMar w:left="240" w:top="459" w:right="239" w:bottom="1440" w:gutter="0" w:footer="0" w:header="0"/>
          <w:type w:val="continuous"/>
        </w:sectPr>
      </w:pPr>
    </w:p>
    <w:bookmarkStart w:id="106" w:name="page107"/>
    <w:bookmarkEnd w:id="106"/>
    <w:p>
      <w:pPr>
        <w:spacing w:after="0"/>
        <w:rPr>
          <w:rFonts w:ascii="Arial" w:cs="Arial" w:eastAsia="Arial" w:hAnsi="Arial"/>
          <w:sz w:val="18"/>
          <w:szCs w:val="18"/>
          <w:b w:val="1"/>
          <w:bCs w:val="1"/>
          <w:u w:val="single" w:color="auto"/>
          <w:color w:val="0000EE"/>
        </w:rPr>
      </w:pPr>
      <w:hyperlink w:anchor="page3">
        <w:r>
          <w:rPr>
            <w:rFonts w:ascii="Arial" w:cs="Arial" w:eastAsia="Arial" w:hAnsi="Arial"/>
            <w:sz w:val="18"/>
            <w:szCs w:val="18"/>
            <w:b w:val="1"/>
            <w:bCs w:val="1"/>
            <w:u w:val="single" w:color="auto"/>
            <w:color w:val="0000EE"/>
          </w:rPr>
          <w:t>Table of Contents</w:t>
        </w:r>
      </w:hyperlink>
    </w:p>
    <w:p>
      <w:pPr>
        <w:spacing w:after="0" w:line="200" w:lineRule="exact"/>
        <w:rPr>
          <w:sz w:val="20"/>
          <w:szCs w:val="20"/>
          <w:color w:val="auto"/>
        </w:rPr>
      </w:pPr>
    </w:p>
    <w:p>
      <w:pPr>
        <w:spacing w:after="0" w:line="254" w:lineRule="exact"/>
        <w:rPr>
          <w:sz w:val="20"/>
          <w:szCs w:val="20"/>
          <w:color w:val="auto"/>
        </w:rPr>
      </w:pPr>
    </w:p>
    <w:p>
      <w:pPr>
        <w:jc w:val="both"/>
        <w:spacing w:after="0" w:line="238" w:lineRule="auto"/>
        <w:rPr>
          <w:sz w:val="20"/>
          <w:szCs w:val="20"/>
          <w:color w:val="auto"/>
        </w:rPr>
      </w:pPr>
      <w:r>
        <w:rPr>
          <w:rFonts w:ascii="Arial" w:cs="Arial" w:eastAsia="Arial" w:hAnsi="Arial"/>
          <w:sz w:val="18"/>
          <w:szCs w:val="18"/>
          <w:b w:val="1"/>
          <w:bCs w:val="1"/>
          <w:color w:val="auto"/>
        </w:rPr>
        <w:t xml:space="preserve">Advertising. </w:t>
      </w:r>
      <w:r>
        <w:rPr>
          <w:rFonts w:ascii="Arial" w:cs="Arial" w:eastAsia="Arial" w:hAnsi="Arial"/>
          <w:sz w:val="18"/>
          <w:szCs w:val="18"/>
          <w:color w:val="auto"/>
        </w:rPr>
        <w:t>As part of our programming license agreements with</w:t>
      </w:r>
      <w:r>
        <w:rPr>
          <w:rFonts w:ascii="Arial" w:cs="Arial" w:eastAsia="Arial" w:hAnsi="Arial"/>
          <w:sz w:val="18"/>
          <w:szCs w:val="18"/>
          <w:b w:val="1"/>
          <w:bCs w:val="1"/>
          <w:color w:val="auto"/>
        </w:rPr>
        <w:t xml:space="preserve"> </w:t>
      </w:r>
      <w:r>
        <w:rPr>
          <w:rFonts w:ascii="Arial" w:cs="Arial" w:eastAsia="Arial" w:hAnsi="Arial"/>
          <w:sz w:val="18"/>
          <w:szCs w:val="18"/>
          <w:color w:val="auto"/>
        </w:rPr>
        <w:t>programming networks, we receive an allocation of scheduled advertising time that we may sell to local, regional and national advertisers. We also coordinate the advertising sales efforts of other cable operators in some markets, and in other markets we have formed and operate advertising interconnects, which establish a physical, direct link between multiple cable systems and provide for the sale of regional and national advertising across larger geographic areas than could be provided by a single cable operator.</w:t>
      </w:r>
    </w:p>
    <w:p>
      <w:pPr>
        <w:spacing w:after="0" w:line="160" w:lineRule="exact"/>
        <w:rPr>
          <w:sz w:val="20"/>
          <w:szCs w:val="20"/>
          <w:color w:val="auto"/>
        </w:rPr>
      </w:pPr>
    </w:p>
    <w:p>
      <w:pPr>
        <w:jc w:val="both"/>
        <w:spacing w:after="0" w:line="237" w:lineRule="auto"/>
        <w:rPr>
          <w:sz w:val="20"/>
          <w:szCs w:val="20"/>
          <w:color w:val="auto"/>
        </w:rPr>
      </w:pPr>
      <w:r>
        <w:rPr>
          <w:rFonts w:ascii="Arial" w:cs="Arial" w:eastAsia="Arial" w:hAnsi="Arial"/>
          <w:sz w:val="18"/>
          <w:szCs w:val="18"/>
          <w:color w:val="auto"/>
        </w:rPr>
        <w:t>Advertising revenues increased in 2006 as a result of the strong growth in political advertising and the addition of our newly acquired cable systems. We expect slower growth in our advertising revenues in 2007, primarily as a result of lower levels of political advertising.</w:t>
      </w:r>
    </w:p>
    <w:p>
      <w:pPr>
        <w:spacing w:after="0" w:line="133" w:lineRule="exact"/>
        <w:rPr>
          <w:sz w:val="20"/>
          <w:szCs w:val="20"/>
          <w:color w:val="auto"/>
        </w:rPr>
      </w:pPr>
    </w:p>
    <w:p>
      <w:pPr>
        <w:jc w:val="both"/>
        <w:spacing w:after="0" w:line="269" w:lineRule="auto"/>
        <w:rPr>
          <w:sz w:val="20"/>
          <w:szCs w:val="20"/>
          <w:color w:val="auto"/>
        </w:rPr>
      </w:pPr>
      <w:r>
        <w:rPr>
          <w:rFonts w:ascii="Arial" w:cs="Arial" w:eastAsia="Arial" w:hAnsi="Arial"/>
          <w:sz w:val="16"/>
          <w:szCs w:val="16"/>
          <w:b w:val="1"/>
          <w:bCs w:val="1"/>
          <w:color w:val="auto"/>
        </w:rPr>
        <w:t xml:space="preserve">Other. </w:t>
      </w:r>
      <w:r>
        <w:rPr>
          <w:rFonts w:ascii="Arial" w:cs="Arial" w:eastAsia="Arial" w:hAnsi="Arial"/>
          <w:sz w:val="16"/>
          <w:szCs w:val="16"/>
          <w:color w:val="auto"/>
        </w:rPr>
        <w:t>We also generate revenues from our regional sports and news</w:t>
      </w:r>
      <w:r>
        <w:rPr>
          <w:rFonts w:ascii="Arial" w:cs="Arial" w:eastAsia="Arial" w:hAnsi="Arial"/>
          <w:sz w:val="16"/>
          <w:szCs w:val="16"/>
          <w:b w:val="1"/>
          <w:bCs w:val="1"/>
          <w:color w:val="auto"/>
        </w:rPr>
        <w:t xml:space="preserve"> </w:t>
      </w:r>
      <w:r>
        <w:rPr>
          <w:rFonts w:ascii="Arial" w:cs="Arial" w:eastAsia="Arial" w:hAnsi="Arial"/>
          <w:sz w:val="16"/>
          <w:szCs w:val="16"/>
          <w:color w:val="auto"/>
        </w:rPr>
        <w:t>networks, video installation services, commissions from third-party electronic retailing, and fees for other services, such as providing businesses with data connectivity and networked applications. Our regional sports and news networks include Comcast SportsNet</w:t>
      </w:r>
    </w:p>
    <w:p>
      <w:pPr>
        <w:spacing w:after="0" w:line="4" w:lineRule="exact"/>
        <w:rPr>
          <w:sz w:val="20"/>
          <w:szCs w:val="20"/>
          <w:color w:val="auto"/>
        </w:rPr>
      </w:pPr>
    </w:p>
    <w:p>
      <w:pPr>
        <w:jc w:val="both"/>
        <w:spacing w:after="0" w:line="236" w:lineRule="auto"/>
        <w:rPr>
          <w:sz w:val="20"/>
          <w:szCs w:val="20"/>
          <w:color w:val="auto"/>
        </w:rPr>
      </w:pPr>
      <w:r>
        <w:rPr>
          <w:rFonts w:ascii="Arial" w:cs="Arial" w:eastAsia="Arial" w:hAnsi="Arial"/>
          <w:sz w:val="18"/>
          <w:szCs w:val="18"/>
          <w:color w:val="auto"/>
        </w:rPr>
        <w:t>(Philadelphia), Comcast SportsNet Mid-Atlantic (Baltimore/Washington), Cable Sports Southeast, CN8 — The Comcast Network, Comcast SportsNet Chicago, Comcast SportsNet West (Sacramento) and MountainWest Sports Network. These networks earn revenue through the sale of advertising time and receive programming license fees paid by cable and satellite distributors.</w:t>
      </w:r>
    </w:p>
    <w:p>
      <w:pPr>
        <w:spacing w:after="0" w:line="133" w:lineRule="exact"/>
        <w:rPr>
          <w:sz w:val="20"/>
          <w:szCs w:val="20"/>
          <w:color w:val="auto"/>
        </w:rPr>
      </w:pPr>
    </w:p>
    <w:p>
      <w:pPr>
        <w:jc w:val="both"/>
        <w:spacing w:after="0" w:line="239" w:lineRule="auto"/>
        <w:rPr>
          <w:sz w:val="20"/>
          <w:szCs w:val="20"/>
          <w:color w:val="auto"/>
        </w:rPr>
      </w:pPr>
      <w:r>
        <w:rPr>
          <w:rFonts w:ascii="Arial" w:cs="Arial" w:eastAsia="Arial" w:hAnsi="Arial"/>
          <w:sz w:val="18"/>
          <w:szCs w:val="18"/>
          <w:b w:val="1"/>
          <w:bCs w:val="1"/>
          <w:color w:val="auto"/>
        </w:rPr>
        <w:t xml:space="preserve">Franchise Fees. </w:t>
      </w:r>
      <w:r>
        <w:rPr>
          <w:rFonts w:ascii="Arial" w:cs="Arial" w:eastAsia="Arial" w:hAnsi="Arial"/>
          <w:sz w:val="18"/>
          <w:szCs w:val="18"/>
          <w:color w:val="auto"/>
        </w:rPr>
        <w:t>Our franchise fee revenues represent the pass-through to our subscribers of the fees required to be paid to state and local franchising authorities. Under the terms of our franchise agreements, we are generally required to pay up to 5% of our gross video revenues to the local franchising authority. The increases in franchise fees are primarily a result of the increases in our revenues upon which the fees apply.</w:t>
      </w:r>
    </w:p>
    <w:p>
      <w:pPr>
        <w:spacing w:after="0" w:line="137" w:lineRule="exact"/>
        <w:rPr>
          <w:sz w:val="20"/>
          <w:szCs w:val="20"/>
          <w:color w:val="auto"/>
        </w:rPr>
      </w:pPr>
    </w:p>
    <w:p>
      <w:pPr>
        <w:jc w:val="both"/>
        <w:spacing w:after="0" w:line="242" w:lineRule="auto"/>
        <w:rPr>
          <w:sz w:val="20"/>
          <w:szCs w:val="20"/>
          <w:color w:val="auto"/>
        </w:rPr>
      </w:pPr>
      <w:r>
        <w:rPr>
          <w:rFonts w:ascii="Arial" w:cs="Arial" w:eastAsia="Arial" w:hAnsi="Arial"/>
          <w:sz w:val="18"/>
          <w:szCs w:val="18"/>
          <w:b w:val="1"/>
          <w:bCs w:val="1"/>
          <w:color w:val="auto"/>
        </w:rPr>
        <w:t xml:space="preserve">Total Cable Segment Revenue. </w:t>
      </w:r>
      <w:r>
        <w:rPr>
          <w:rFonts w:ascii="Arial" w:cs="Arial" w:eastAsia="Arial" w:hAnsi="Arial"/>
          <w:sz w:val="18"/>
          <w:szCs w:val="18"/>
          <w:color w:val="auto"/>
        </w:rPr>
        <w:t>As a result of the growth in revenues</w:t>
      </w:r>
      <w:r>
        <w:rPr>
          <w:rFonts w:ascii="Arial" w:cs="Arial" w:eastAsia="Arial" w:hAnsi="Arial"/>
          <w:sz w:val="18"/>
          <w:szCs w:val="18"/>
          <w:b w:val="1"/>
          <w:bCs w:val="1"/>
          <w:color w:val="auto"/>
        </w:rPr>
        <w:t xml:space="preserve"> </w:t>
      </w:r>
      <w:r>
        <w:rPr>
          <w:rFonts w:ascii="Arial" w:cs="Arial" w:eastAsia="Arial" w:hAnsi="Arial"/>
          <w:sz w:val="18"/>
          <w:szCs w:val="18"/>
          <w:color w:val="auto"/>
        </w:rPr>
        <w:t>from our products and services, we have been able to increase our total average monthly revenue per video subscriber (including all revenue sources) from approximately $77 in 2004 to approximately $95 in 2006.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836930</wp:posOffset>
            </wp:positionH>
            <wp:positionV relativeFrom="paragraph">
              <wp:posOffset>-6985</wp:posOffset>
            </wp:positionV>
            <wp:extent cx="1818005" cy="1920875"/>
            <wp:wrapNone/>
            <wp:docPr id="150" name="Picture 1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0"/>
                    <pic:cNvPicPr>
                      <a:picLocks noChangeAspect="1" noChangeArrowheads="1"/>
                    </pic:cNvPicPr>
                  </pic:nvPicPr>
                  <pic:blipFill>
                    <a:blip r:embed="rId157">
                      <a:extLst>
                        <a:ext uri="{28A0092B-C50C-407E-A947-70E740481C1C}"/>
                      </a:extLst>
                    </a:blip>
                    <a:srcRect/>
                    <a:stretch>
                      <a:fillRect/>
                    </a:stretch>
                  </pic:blipFill>
                  <pic:spPr bwMode="auto">
                    <a:xfrm>
                      <a:off x="0" y="0"/>
                      <a:ext cx="1818005" cy="1920875"/>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58" w:lineRule="exact"/>
        <w:rPr>
          <w:sz w:val="20"/>
          <w:szCs w:val="20"/>
          <w:color w:val="auto"/>
        </w:rPr>
      </w:pPr>
    </w:p>
    <w:p>
      <w:pPr>
        <w:spacing w:after="0"/>
        <w:rPr>
          <w:sz w:val="20"/>
          <w:szCs w:val="20"/>
          <w:color w:val="auto"/>
        </w:rPr>
      </w:pPr>
      <w:r>
        <w:rPr>
          <w:rFonts w:ascii="Arial" w:cs="Arial" w:eastAsia="Arial" w:hAnsi="Arial"/>
          <w:sz w:val="18"/>
          <w:szCs w:val="18"/>
          <w:color w:val="35BF85"/>
        </w:rPr>
        <w:t>Cable Segment Expenses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-3691890</wp:posOffset>
            </wp:positionH>
            <wp:positionV relativeFrom="paragraph">
              <wp:posOffset>-764540</wp:posOffset>
            </wp:positionV>
            <wp:extent cx="7267575" cy="27940"/>
            <wp:wrapNone/>
            <wp:docPr id="151" name="Picture 1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1"/>
                    <pic:cNvPicPr>
                      <a:picLocks noChangeAspect="1" noChangeArrowheads="1"/>
                    </pic:cNvPicPr>
                  </pic:nvPicPr>
                  <pic:blipFill>
                    <a:blip r:embed="rId158">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p>
    <w:p>
      <w:pPr>
        <w:jc w:val="both"/>
        <w:spacing w:after="0" w:line="236" w:lineRule="auto"/>
        <w:rPr>
          <w:sz w:val="20"/>
          <w:szCs w:val="20"/>
          <w:color w:val="auto"/>
        </w:rPr>
      </w:pPr>
      <w:r>
        <w:rPr>
          <w:rFonts w:ascii="Arial" w:cs="Arial" w:eastAsia="Arial" w:hAnsi="Arial"/>
          <w:sz w:val="18"/>
          <w:szCs w:val="18"/>
          <w:color w:val="auto"/>
        </w:rPr>
        <w:t>We continue to focus on controlling the growth of expenses. Our operating margins (operating income before depreciation and amortization as a percentage of revenue) were 40.2%, 39.8% and 38.1% for the years ended December 31, 2006, 2005 and 2004, respectively.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1026160</wp:posOffset>
            </wp:positionH>
            <wp:positionV relativeFrom="paragraph">
              <wp:posOffset>97790</wp:posOffset>
            </wp:positionV>
            <wp:extent cx="1423670" cy="2409825"/>
            <wp:wrapNone/>
            <wp:docPr id="152" name="Picture 1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2"/>
                    <pic:cNvPicPr>
                      <a:picLocks noChangeAspect="1" noChangeArrowheads="1"/>
                    </pic:cNvPicPr>
                  </pic:nvPicPr>
                  <pic:blipFill>
                    <a:blip r:embed="rId159">
                      <a:extLst>
                        <a:ext uri="{28A0092B-C50C-407E-A947-70E740481C1C}"/>
                      </a:extLst>
                    </a:blip>
                    <a:srcRect/>
                    <a:stretch>
                      <a:fillRect/>
                    </a:stretch>
                  </pic:blipFill>
                  <pic:spPr bwMode="auto">
                    <a:xfrm>
                      <a:off x="0" y="0"/>
                      <a:ext cx="1423670" cy="240982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2" w:lineRule="exact"/>
        <w:rPr>
          <w:sz w:val="20"/>
          <w:szCs w:val="20"/>
          <w:color w:val="auto"/>
        </w:rPr>
      </w:pPr>
    </w:p>
    <w:p>
      <w:pPr>
        <w:jc w:val="both"/>
        <w:spacing w:after="0" w:line="237" w:lineRule="auto"/>
        <w:rPr>
          <w:sz w:val="20"/>
          <w:szCs w:val="20"/>
          <w:color w:val="auto"/>
        </w:rPr>
      </w:pPr>
      <w:r>
        <w:rPr>
          <w:rFonts w:ascii="Arial" w:cs="Arial" w:eastAsia="Arial" w:hAnsi="Arial"/>
          <w:sz w:val="18"/>
          <w:szCs w:val="18"/>
          <w:b w:val="1"/>
          <w:bCs w:val="1"/>
          <w:color w:val="auto"/>
        </w:rPr>
        <w:t xml:space="preserve">Cable Segment Operating Expenses. </w:t>
      </w:r>
      <w:r>
        <w:rPr>
          <w:rFonts w:ascii="Arial" w:cs="Arial" w:eastAsia="Arial" w:hAnsi="Arial"/>
          <w:sz w:val="18"/>
          <w:szCs w:val="18"/>
          <w:color w:val="auto"/>
        </w:rPr>
        <w:t>Cable programming</w:t>
      </w:r>
      <w:r>
        <w:rPr>
          <w:rFonts w:ascii="Arial" w:cs="Arial" w:eastAsia="Arial" w:hAnsi="Arial"/>
          <w:sz w:val="18"/>
          <w:szCs w:val="18"/>
          <w:b w:val="1"/>
          <w:bCs w:val="1"/>
          <w:color w:val="auto"/>
        </w:rPr>
        <w:t xml:space="preserve"> </w:t>
      </w:r>
      <w:r>
        <w:rPr>
          <w:rFonts w:ascii="Arial" w:cs="Arial" w:eastAsia="Arial" w:hAnsi="Arial"/>
          <w:sz w:val="18"/>
          <w:szCs w:val="18"/>
          <w:color w:val="auto"/>
        </w:rPr>
        <w:t>expenses, our largest expense, are the fees we pay to programming networks to license the programming we package, offer and distribute to our cable subscribers. These expenses are affected by changes in the rates charged by programming networks, the number of subscribers and the programming options we offer to subscribers. Cable programming expenses increased to $4.9 billion in 2006 as a result of increases in rates and the newly acquired cable systems, from $4.1 billion in 2005 and $3.9 billion in 2004. We anticipate our cable programming expenses will increase in the future, as the fees charged by programming networks increase and as we provide additional channels and ON DEMAND programming options to our subscribers. We anticipate that these increases may be mitigated to some extent by volume discounts.</w:t>
      </w:r>
    </w:p>
    <w:p>
      <w:pPr>
        <w:spacing w:after="0" w:line="159" w:lineRule="exact"/>
        <w:rPr>
          <w:sz w:val="20"/>
          <w:szCs w:val="20"/>
          <w:color w:val="auto"/>
        </w:rPr>
      </w:pPr>
    </w:p>
    <w:p>
      <w:pPr>
        <w:jc w:val="both"/>
        <w:spacing w:after="0" w:line="267" w:lineRule="auto"/>
        <w:rPr>
          <w:sz w:val="20"/>
          <w:szCs w:val="20"/>
          <w:color w:val="auto"/>
        </w:rPr>
      </w:pPr>
      <w:r>
        <w:rPr>
          <w:rFonts w:ascii="Arial" w:cs="Arial" w:eastAsia="Arial" w:hAnsi="Arial"/>
          <w:sz w:val="16"/>
          <w:szCs w:val="16"/>
          <w:color w:val="auto"/>
        </w:rPr>
        <w:t>Other operating expenses increased to $3.7 billion in 2006 from $2.9 billion in 2005 and $2.8 billion in 2004. In 2006, our newly acquired cable systems contributed approximately $650 million of our increases in other operating expenses. The remaining increases in 2006 were primarily a result of growth in the number of subscribers to our cable services, which required additional personnel to handle service calls and provide customer support, and costs associated with the delivery of these services. The increase in 2005 was primarily a result of increases in our technical services group due to the launch of Comcast Digital Voice, the deployment of digital simulcasting, the implementation of a new provisioning system and, to a lesser degree, the repair of our cable systems as a result of weather-related damage.</w:t>
      </w:r>
    </w:p>
    <w:p>
      <w:pPr>
        <w:spacing w:after="0" w:line="200" w:lineRule="exact"/>
        <w:rPr>
          <w:sz w:val="20"/>
          <w:szCs w:val="20"/>
          <w:color w:val="auto"/>
        </w:rPr>
      </w:pPr>
    </w:p>
    <w:p>
      <w:pPr>
        <w:sectPr>
          <w:pgSz w:w="11900" w:h="16838" w:orient="portrait"/>
          <w:cols w:equalWidth="0" w:num="2">
            <w:col w:w="5480" w:space="340"/>
            <w:col w:w="5480"/>
          </w:cols>
          <w:pgMar w:left="240" w:top="459" w:right="35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316" w:lineRule="exact"/>
        <w:rPr>
          <w:sz w:val="20"/>
          <w:szCs w:val="20"/>
          <w:color w:val="auto"/>
        </w:rPr>
      </w:pPr>
    </w:p>
    <w:tbl>
      <w:tblPr>
        <w:tblLayout w:type="fixed"/>
        <w:tblInd w:w="0" w:type="dxa"/>
        <w:tblCellMar>
          <w:top w:w="0" w:type="dxa"/>
          <w:left w:w="0" w:type="dxa"/>
          <w:bottom w:w="0" w:type="dxa"/>
          <w:right w:w="0" w:type="dxa"/>
        </w:tblCellMar>
      </w:tblPr>
      <w:tr>
        <w:trPr>
          <w:trHeight w:val="178"/>
        </w:trPr>
        <w:tc>
          <w:tcPr>
            <w:tcW w:w="3960" w:type="dxa"/>
            <w:vAlign w:val="bottom"/>
          </w:tcPr>
          <w:p>
            <w:pPr>
              <w:spacing w:after="0"/>
              <w:rPr>
                <w:sz w:val="20"/>
                <w:szCs w:val="20"/>
                <w:color w:val="auto"/>
              </w:rPr>
            </w:pPr>
            <w:r>
              <w:rPr>
                <w:rFonts w:ascii="Arial" w:cs="Arial" w:eastAsia="Arial" w:hAnsi="Arial"/>
                <w:sz w:val="14"/>
                <w:szCs w:val="14"/>
                <w:b w:val="1"/>
                <w:bCs w:val="1"/>
                <w:color w:val="auto"/>
              </w:rPr>
              <w:t xml:space="preserve">MD&amp;A </w:t>
            </w:r>
            <w:r>
              <w:rPr>
                <w:rFonts w:ascii="Arial" w:cs="Arial" w:eastAsia="Arial" w:hAnsi="Arial"/>
                <w:sz w:val="14"/>
                <w:szCs w:val="14"/>
                <w:color w:val="auto"/>
              </w:rPr>
              <w:t>Comcast 2006 Annual Report</w:t>
            </w:r>
          </w:p>
        </w:tc>
        <w:tc>
          <w:tcPr>
            <w:tcW w:w="1880" w:type="dxa"/>
            <w:vAlign w:val="bottom"/>
          </w:tcPr>
          <w:p>
            <w:pPr>
              <w:jc w:val="right"/>
              <w:spacing w:after="0"/>
              <w:rPr>
                <w:sz w:val="20"/>
                <w:szCs w:val="20"/>
                <w:color w:val="auto"/>
              </w:rPr>
            </w:pPr>
            <w:r>
              <w:rPr>
                <w:rFonts w:ascii="Arial" w:cs="Arial" w:eastAsia="Arial" w:hAnsi="Arial"/>
                <w:sz w:val="14"/>
                <w:szCs w:val="14"/>
                <w:b w:val="1"/>
                <w:bCs w:val="1"/>
                <w:color w:val="auto"/>
              </w:rPr>
              <w:t>30</w:t>
            </w:r>
          </w:p>
        </w:tc>
      </w:tr>
    </w:tbl>
    <w:p>
      <w:pPr>
        <w:sectPr>
          <w:pgSz w:w="11900" w:h="16838" w:orient="portrait"/>
          <w:cols w:equalWidth="0" w:num="1">
            <w:col w:w="11300"/>
          </w:cols>
          <w:pgMar w:left="240" w:top="459" w:right="359" w:bottom="1440" w:gutter="0" w:footer="0" w:header="0"/>
          <w:type w:val="continuous"/>
        </w:sectPr>
      </w:pPr>
    </w:p>
    <w:bookmarkStart w:id="107" w:name="page108"/>
    <w:bookmarkEnd w:id="107"/>
    <w:p>
      <w:pPr>
        <w:spacing w:after="0"/>
        <w:rPr>
          <w:rFonts w:ascii="Arial" w:cs="Arial" w:eastAsia="Arial" w:hAnsi="Arial"/>
          <w:sz w:val="18"/>
          <w:szCs w:val="18"/>
          <w:b w:val="1"/>
          <w:bCs w:val="1"/>
          <w:u w:val="single" w:color="auto"/>
          <w:color w:val="0000EE"/>
        </w:rPr>
      </w:pPr>
      <w:hyperlink w:anchor="page3">
        <w:r>
          <w:rPr>
            <w:rFonts w:ascii="Arial" w:cs="Arial" w:eastAsia="Arial" w:hAnsi="Arial"/>
            <w:sz w:val="18"/>
            <w:szCs w:val="18"/>
            <w:b w:val="1"/>
            <w:bCs w:val="1"/>
            <w:u w:val="single" w:color="auto"/>
            <w:color w:val="0000EE"/>
          </w:rPr>
          <w:t>Table of Contents</w:t>
        </w:r>
      </w:hyperlink>
    </w:p>
    <w:p>
      <w:pPr>
        <w:spacing w:after="0" w:line="200" w:lineRule="exact"/>
        <w:rPr>
          <w:sz w:val="20"/>
          <w:szCs w:val="20"/>
          <w:color w:val="auto"/>
        </w:rPr>
      </w:pPr>
    </w:p>
    <w:p>
      <w:pPr>
        <w:spacing w:after="0" w:line="276" w:lineRule="exact"/>
        <w:rPr>
          <w:sz w:val="20"/>
          <w:szCs w:val="20"/>
          <w:color w:val="auto"/>
        </w:rPr>
      </w:pPr>
    </w:p>
    <w:p>
      <w:pPr>
        <w:spacing w:after="0" w:line="236" w:lineRule="auto"/>
        <w:rPr>
          <w:sz w:val="20"/>
          <w:szCs w:val="20"/>
          <w:color w:val="auto"/>
        </w:rPr>
      </w:pPr>
      <w:r>
        <w:rPr>
          <w:rFonts w:ascii="Arial" w:cs="Arial" w:eastAsia="Arial" w:hAnsi="Arial"/>
          <w:sz w:val="18"/>
          <w:szCs w:val="18"/>
          <w:color w:val="35BF85"/>
        </w:rPr>
        <w:t xml:space="preserve">Cable Segment Selling, General and Administrative Expenses. </w:t>
      </w:r>
      <w:r>
        <w:rPr>
          <w:rFonts w:ascii="Arial" w:cs="Arial" w:eastAsia="Arial" w:hAnsi="Arial"/>
          <w:sz w:val="18"/>
          <w:szCs w:val="18"/>
          <w:color w:val="000000"/>
        </w:rPr>
        <w:t>Selling, general and administrative expenses increased $797 million to $5.8 billion in 2006. In 2006, our newly acquired cable systems contributed approximately $400 million of our increases in sellin general and administrative expenses. The remaining increases in 2006 were primarily a result of growth in the number</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63" w:lineRule="exact"/>
        <w:rPr>
          <w:sz w:val="20"/>
          <w:szCs w:val="20"/>
          <w:color w:val="auto"/>
        </w:rPr>
      </w:pPr>
    </w:p>
    <w:p>
      <w:pPr>
        <w:jc w:val="both"/>
        <w:ind w:right="140"/>
        <w:spacing w:after="0" w:line="236" w:lineRule="auto"/>
        <w:rPr>
          <w:sz w:val="20"/>
          <w:szCs w:val="20"/>
          <w:color w:val="auto"/>
        </w:rPr>
      </w:pPr>
      <w:r>
        <w:rPr>
          <w:rFonts w:ascii="Arial" w:cs="Arial" w:eastAsia="Arial" w:hAnsi="Arial"/>
          <w:sz w:val="18"/>
          <w:szCs w:val="18"/>
          <w:color w:val="auto"/>
        </w:rPr>
        <w:t>of subscribers to our cable services, which required additional employees to handle customer service, marketing and other administrative costs. The increase in 2005 was primarily a result of the launch of Comcast Digital Voice, the deployment of digital simulcasting and the implementation of a new provisioning system.</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-3691890</wp:posOffset>
            </wp:positionH>
            <wp:positionV relativeFrom="paragraph">
              <wp:posOffset>-1282065</wp:posOffset>
            </wp:positionV>
            <wp:extent cx="7267575" cy="27940"/>
            <wp:wrapNone/>
            <wp:docPr id="153" name="Picture 1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3"/>
                    <pic:cNvPicPr>
                      <a:picLocks noChangeAspect="1" noChangeArrowheads="1"/>
                    </pic:cNvPicPr>
                  </pic:nvPicPr>
                  <pic:blipFill>
                    <a:blip r:embed="rId160">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p>
    <w:p>
      <w:pPr>
        <w:spacing w:after="0" w:line="391" w:lineRule="exact"/>
        <w:rPr>
          <w:sz w:val="20"/>
          <w:szCs w:val="20"/>
          <w:color w:val="auto"/>
        </w:rPr>
      </w:pPr>
    </w:p>
    <w:p>
      <w:pPr>
        <w:sectPr>
          <w:pgSz w:w="11900" w:h="16838" w:orient="portrait"/>
          <w:cols w:equalWidth="0" w:num="2">
            <w:col w:w="5480" w:space="340"/>
            <w:col w:w="5600"/>
          </w:cols>
          <w:pgMar w:left="240" w:top="459" w:right="239" w:bottom="1440" w:gutter="0" w:footer="0" w:header="0"/>
        </w:sectPr>
      </w:pPr>
    </w:p>
    <w:p>
      <w:pPr>
        <w:spacing w:after="0"/>
        <w:rPr>
          <w:sz w:val="20"/>
          <w:szCs w:val="20"/>
          <w:color w:val="auto"/>
        </w:rPr>
      </w:pPr>
      <w:r>
        <w:rPr>
          <w:rFonts w:ascii="Arial" w:cs="Arial" w:eastAsia="Arial" w:hAnsi="Arial"/>
          <w:sz w:val="18"/>
          <w:szCs w:val="18"/>
          <w:b w:val="1"/>
          <w:bCs w:val="1"/>
          <w:color w:val="auto"/>
        </w:rPr>
        <w:t>Programming Segment Overview</w:t>
      </w:r>
    </w:p>
    <w:p>
      <w:pPr>
        <w:spacing w:after="0" w:line="18" w:lineRule="exact"/>
        <w:rPr>
          <w:sz w:val="20"/>
          <w:szCs w:val="20"/>
          <w:color w:val="auto"/>
        </w:rPr>
      </w:pPr>
    </w:p>
    <w:p>
      <w:pPr>
        <w:spacing w:after="0"/>
        <w:rPr>
          <w:sz w:val="20"/>
          <w:szCs w:val="20"/>
          <w:color w:val="auto"/>
        </w:rPr>
      </w:pPr>
      <w:r>
        <w:rPr>
          <w:rFonts w:ascii="Arial" w:cs="Arial" w:eastAsia="Arial" w:hAnsi="Arial"/>
          <w:sz w:val="18"/>
          <w:szCs w:val="18"/>
          <w:color w:val="auto"/>
        </w:rPr>
        <w:t>Our Programming segment consists of our consolidated national programming networks:</w:t>
      </w:r>
    </w:p>
    <w:p>
      <w:pPr>
        <w:spacing w:after="0" w:line="182"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3100" w:type="dxa"/>
            <w:vAlign w:val="bottom"/>
          </w:tcPr>
          <w:p>
            <w:pPr>
              <w:spacing w:after="0"/>
              <w:rPr>
                <w:sz w:val="14"/>
                <w:szCs w:val="14"/>
                <w:color w:val="auto"/>
              </w:rPr>
            </w:pPr>
          </w:p>
        </w:tc>
        <w:tc>
          <w:tcPr>
            <w:tcW w:w="3440" w:type="dxa"/>
            <w:vAlign w:val="bottom"/>
          </w:tcPr>
          <w:p>
            <w:pPr>
              <w:jc w:val="right"/>
              <w:ind w:right="619"/>
              <w:spacing w:after="0"/>
              <w:rPr>
                <w:sz w:val="20"/>
                <w:szCs w:val="20"/>
                <w:color w:val="auto"/>
              </w:rPr>
            </w:pPr>
            <w:r>
              <w:rPr>
                <w:rFonts w:ascii="Arial" w:cs="Arial" w:eastAsia="Arial" w:hAnsi="Arial"/>
                <w:sz w:val="14"/>
                <w:szCs w:val="14"/>
                <w:color w:val="auto"/>
              </w:rPr>
              <w:t>Approximate</w:t>
            </w:r>
          </w:p>
        </w:tc>
        <w:tc>
          <w:tcPr>
            <w:tcW w:w="4880" w:type="dxa"/>
            <w:vAlign w:val="bottom"/>
          </w:tcPr>
          <w:p>
            <w:pPr>
              <w:spacing w:after="0"/>
              <w:rPr>
                <w:sz w:val="14"/>
                <w:szCs w:val="14"/>
                <w:color w:val="auto"/>
              </w:rPr>
            </w:pPr>
          </w:p>
        </w:tc>
      </w:tr>
      <w:tr>
        <w:trPr>
          <w:trHeight w:val="149"/>
        </w:trPr>
        <w:tc>
          <w:tcPr>
            <w:tcW w:w="3100" w:type="dxa"/>
            <w:vAlign w:val="bottom"/>
          </w:tcPr>
          <w:p>
            <w:pPr>
              <w:spacing w:after="0"/>
              <w:rPr>
                <w:sz w:val="12"/>
                <w:szCs w:val="12"/>
                <w:color w:val="auto"/>
              </w:rPr>
            </w:pPr>
          </w:p>
        </w:tc>
        <w:tc>
          <w:tcPr>
            <w:tcW w:w="3440" w:type="dxa"/>
            <w:vAlign w:val="bottom"/>
          </w:tcPr>
          <w:p>
            <w:pPr>
              <w:jc w:val="right"/>
              <w:ind w:right="619"/>
              <w:spacing w:after="0" w:line="149" w:lineRule="exact"/>
              <w:rPr>
                <w:sz w:val="20"/>
                <w:szCs w:val="20"/>
                <w:color w:val="auto"/>
              </w:rPr>
            </w:pPr>
            <w:r>
              <w:rPr>
                <w:rFonts w:ascii="Arial" w:cs="Arial" w:eastAsia="Arial" w:hAnsi="Arial"/>
                <w:sz w:val="14"/>
                <w:szCs w:val="14"/>
                <w:color w:val="auto"/>
              </w:rPr>
              <w:t>U.S. Subscribers</w:t>
            </w:r>
          </w:p>
        </w:tc>
        <w:tc>
          <w:tcPr>
            <w:tcW w:w="4880" w:type="dxa"/>
            <w:vAlign w:val="bottom"/>
          </w:tcPr>
          <w:p>
            <w:pPr>
              <w:spacing w:after="0"/>
              <w:rPr>
                <w:sz w:val="12"/>
                <w:szCs w:val="12"/>
                <w:color w:val="auto"/>
              </w:rPr>
            </w:pPr>
          </w:p>
        </w:tc>
      </w:tr>
      <w:tr>
        <w:trPr>
          <w:trHeight w:val="149"/>
        </w:trPr>
        <w:tc>
          <w:tcPr>
            <w:tcW w:w="3100" w:type="dxa"/>
            <w:vAlign w:val="bottom"/>
            <w:tcBorders>
              <w:bottom w:val="single" w:sz="8" w:color="auto"/>
            </w:tcBorders>
          </w:tcPr>
          <w:p>
            <w:pPr>
              <w:spacing w:after="0" w:line="149" w:lineRule="exact"/>
              <w:rPr>
                <w:sz w:val="20"/>
                <w:szCs w:val="20"/>
                <w:color w:val="auto"/>
              </w:rPr>
            </w:pPr>
            <w:r>
              <w:rPr>
                <w:rFonts w:ascii="Arial" w:cs="Arial" w:eastAsia="Arial" w:hAnsi="Arial"/>
                <w:sz w:val="14"/>
                <w:szCs w:val="14"/>
                <w:color w:val="auto"/>
              </w:rPr>
              <w:t>Programming Network</w:t>
            </w:r>
          </w:p>
        </w:tc>
        <w:tc>
          <w:tcPr>
            <w:tcW w:w="3440" w:type="dxa"/>
            <w:vAlign w:val="bottom"/>
            <w:tcBorders>
              <w:bottom w:val="single" w:sz="8" w:color="auto"/>
            </w:tcBorders>
          </w:tcPr>
          <w:p>
            <w:pPr>
              <w:jc w:val="right"/>
              <w:ind w:right="619"/>
              <w:spacing w:after="0" w:line="149" w:lineRule="exact"/>
              <w:rPr>
                <w:sz w:val="20"/>
                <w:szCs w:val="20"/>
                <w:color w:val="auto"/>
              </w:rPr>
            </w:pPr>
            <w:r>
              <w:rPr>
                <w:rFonts w:ascii="Arial" w:cs="Arial" w:eastAsia="Arial" w:hAnsi="Arial"/>
                <w:sz w:val="14"/>
                <w:szCs w:val="14"/>
                <w:color w:val="auto"/>
              </w:rPr>
              <w:t>(in millions)</w:t>
            </w:r>
          </w:p>
        </w:tc>
        <w:tc>
          <w:tcPr>
            <w:tcW w:w="4880" w:type="dxa"/>
            <w:vAlign w:val="bottom"/>
            <w:tcBorders>
              <w:bottom w:val="single" w:sz="8" w:color="auto"/>
            </w:tcBorders>
          </w:tcPr>
          <w:p>
            <w:pPr>
              <w:ind w:left="680"/>
              <w:spacing w:after="0" w:line="149" w:lineRule="exact"/>
              <w:rPr>
                <w:sz w:val="20"/>
                <w:szCs w:val="20"/>
                <w:color w:val="auto"/>
              </w:rPr>
            </w:pPr>
            <w:r>
              <w:rPr>
                <w:rFonts w:ascii="Arial" w:cs="Arial" w:eastAsia="Arial" w:hAnsi="Arial"/>
                <w:sz w:val="14"/>
                <w:szCs w:val="14"/>
                <w:color w:val="auto"/>
              </w:rPr>
              <w:t>Description</w:t>
            </w:r>
          </w:p>
        </w:tc>
      </w:tr>
      <w:tr>
        <w:trPr>
          <w:trHeight w:val="199"/>
        </w:trPr>
        <w:tc>
          <w:tcPr>
            <w:tcW w:w="3100" w:type="dxa"/>
            <w:vAlign w:val="bottom"/>
          </w:tcPr>
          <w:p>
            <w:pPr>
              <w:spacing w:after="0" w:line="200" w:lineRule="exact"/>
              <w:rPr>
                <w:sz w:val="20"/>
                <w:szCs w:val="20"/>
                <w:color w:val="auto"/>
              </w:rPr>
            </w:pPr>
            <w:r>
              <w:rPr>
                <w:rFonts w:ascii="Arial" w:cs="Arial" w:eastAsia="Arial" w:hAnsi="Arial"/>
                <w:sz w:val="18"/>
                <w:szCs w:val="18"/>
                <w:color w:val="auto"/>
              </w:rPr>
              <w:t>E!</w:t>
            </w:r>
          </w:p>
        </w:tc>
        <w:tc>
          <w:tcPr>
            <w:tcW w:w="3440" w:type="dxa"/>
            <w:vAlign w:val="bottom"/>
          </w:tcPr>
          <w:p>
            <w:pPr>
              <w:jc w:val="right"/>
              <w:ind w:right="619"/>
              <w:spacing w:after="0" w:line="200" w:lineRule="exact"/>
              <w:rPr>
                <w:sz w:val="20"/>
                <w:szCs w:val="20"/>
                <w:color w:val="auto"/>
              </w:rPr>
            </w:pPr>
            <w:r>
              <w:rPr>
                <w:rFonts w:ascii="Arial" w:cs="Arial" w:eastAsia="Arial" w:hAnsi="Arial"/>
                <w:sz w:val="18"/>
                <w:szCs w:val="18"/>
                <w:color w:val="auto"/>
              </w:rPr>
              <w:t>81</w:t>
            </w:r>
          </w:p>
        </w:tc>
        <w:tc>
          <w:tcPr>
            <w:tcW w:w="4880" w:type="dxa"/>
            <w:vAlign w:val="bottom"/>
          </w:tcPr>
          <w:p>
            <w:pPr>
              <w:ind w:left="680"/>
              <w:spacing w:after="0" w:line="200" w:lineRule="exact"/>
              <w:rPr>
                <w:sz w:val="20"/>
                <w:szCs w:val="20"/>
                <w:color w:val="auto"/>
              </w:rPr>
            </w:pPr>
            <w:r>
              <w:rPr>
                <w:rFonts w:ascii="Arial" w:cs="Arial" w:eastAsia="Arial" w:hAnsi="Arial"/>
                <w:sz w:val="18"/>
                <w:szCs w:val="18"/>
                <w:color w:val="auto"/>
              </w:rPr>
              <w:t>Pop culture and entertainment-related programming</w:t>
            </w:r>
          </w:p>
        </w:tc>
      </w:tr>
      <w:tr>
        <w:trPr>
          <w:trHeight w:val="203"/>
        </w:trPr>
        <w:tc>
          <w:tcPr>
            <w:tcW w:w="3100" w:type="dxa"/>
            <w:vAlign w:val="bottom"/>
          </w:tcPr>
          <w:p>
            <w:pPr>
              <w:spacing w:after="0" w:line="202" w:lineRule="exact"/>
              <w:rPr>
                <w:sz w:val="20"/>
                <w:szCs w:val="20"/>
                <w:color w:val="auto"/>
              </w:rPr>
            </w:pPr>
            <w:r>
              <w:rPr>
                <w:rFonts w:ascii="Arial" w:cs="Arial" w:eastAsia="Arial" w:hAnsi="Arial"/>
                <w:sz w:val="18"/>
                <w:szCs w:val="18"/>
                <w:color w:val="auto"/>
              </w:rPr>
              <w:t>Style</w:t>
            </w:r>
          </w:p>
        </w:tc>
        <w:tc>
          <w:tcPr>
            <w:tcW w:w="3440" w:type="dxa"/>
            <w:vAlign w:val="bottom"/>
          </w:tcPr>
          <w:p>
            <w:pPr>
              <w:jc w:val="right"/>
              <w:ind w:right="619"/>
              <w:spacing w:after="0" w:line="202" w:lineRule="exact"/>
              <w:rPr>
                <w:sz w:val="20"/>
                <w:szCs w:val="20"/>
                <w:color w:val="auto"/>
              </w:rPr>
            </w:pPr>
            <w:r>
              <w:rPr>
                <w:rFonts w:ascii="Arial" w:cs="Arial" w:eastAsia="Arial" w:hAnsi="Arial"/>
                <w:sz w:val="18"/>
                <w:szCs w:val="18"/>
                <w:color w:val="auto"/>
              </w:rPr>
              <w:t>37</w:t>
            </w:r>
          </w:p>
        </w:tc>
        <w:tc>
          <w:tcPr>
            <w:tcW w:w="4880" w:type="dxa"/>
            <w:vAlign w:val="bottom"/>
          </w:tcPr>
          <w:p>
            <w:pPr>
              <w:ind w:left="680"/>
              <w:spacing w:after="0" w:line="202" w:lineRule="exact"/>
              <w:rPr>
                <w:sz w:val="20"/>
                <w:szCs w:val="20"/>
                <w:color w:val="auto"/>
              </w:rPr>
            </w:pPr>
            <w:r>
              <w:rPr>
                <w:rFonts w:ascii="Arial" w:cs="Arial" w:eastAsia="Arial" w:hAnsi="Arial"/>
                <w:sz w:val="18"/>
                <w:szCs w:val="18"/>
                <w:color w:val="auto"/>
              </w:rPr>
              <w:t>Lifestyle-related programming</w:t>
            </w:r>
          </w:p>
        </w:tc>
      </w:tr>
      <w:tr>
        <w:trPr>
          <w:trHeight w:val="203"/>
        </w:trPr>
        <w:tc>
          <w:tcPr>
            <w:tcW w:w="3100" w:type="dxa"/>
            <w:vAlign w:val="bottom"/>
          </w:tcPr>
          <w:p>
            <w:pPr>
              <w:spacing w:after="0" w:line="202" w:lineRule="exact"/>
              <w:rPr>
                <w:sz w:val="20"/>
                <w:szCs w:val="20"/>
                <w:color w:val="auto"/>
              </w:rPr>
            </w:pPr>
            <w:r>
              <w:rPr>
                <w:rFonts w:ascii="Arial" w:cs="Arial" w:eastAsia="Arial" w:hAnsi="Arial"/>
                <w:sz w:val="18"/>
                <w:szCs w:val="18"/>
                <w:color w:val="auto"/>
              </w:rPr>
              <w:t>The Golf Channel</w:t>
            </w:r>
          </w:p>
        </w:tc>
        <w:tc>
          <w:tcPr>
            <w:tcW w:w="3440" w:type="dxa"/>
            <w:vAlign w:val="bottom"/>
          </w:tcPr>
          <w:p>
            <w:pPr>
              <w:jc w:val="right"/>
              <w:ind w:right="619"/>
              <w:spacing w:after="0" w:line="202" w:lineRule="exact"/>
              <w:rPr>
                <w:sz w:val="20"/>
                <w:szCs w:val="20"/>
                <w:color w:val="auto"/>
              </w:rPr>
            </w:pPr>
            <w:r>
              <w:rPr>
                <w:rFonts w:ascii="Arial" w:cs="Arial" w:eastAsia="Arial" w:hAnsi="Arial"/>
                <w:sz w:val="18"/>
                <w:szCs w:val="18"/>
                <w:color w:val="auto"/>
              </w:rPr>
              <w:t>63</w:t>
            </w:r>
          </w:p>
        </w:tc>
        <w:tc>
          <w:tcPr>
            <w:tcW w:w="4880" w:type="dxa"/>
            <w:vAlign w:val="bottom"/>
          </w:tcPr>
          <w:p>
            <w:pPr>
              <w:ind w:left="680"/>
              <w:spacing w:after="0" w:line="202" w:lineRule="exact"/>
              <w:rPr>
                <w:sz w:val="20"/>
                <w:szCs w:val="20"/>
                <w:color w:val="auto"/>
              </w:rPr>
            </w:pPr>
            <w:r>
              <w:rPr>
                <w:rFonts w:ascii="Arial" w:cs="Arial" w:eastAsia="Arial" w:hAnsi="Arial"/>
                <w:sz w:val="18"/>
                <w:szCs w:val="18"/>
                <w:color w:val="auto"/>
              </w:rPr>
              <w:t>Golf and golf-related programming</w:t>
            </w:r>
          </w:p>
        </w:tc>
      </w:tr>
      <w:tr>
        <w:trPr>
          <w:trHeight w:val="203"/>
        </w:trPr>
        <w:tc>
          <w:tcPr>
            <w:tcW w:w="3100" w:type="dxa"/>
            <w:vAlign w:val="bottom"/>
          </w:tcPr>
          <w:p>
            <w:pPr>
              <w:spacing w:after="0" w:line="202" w:lineRule="exact"/>
              <w:rPr>
                <w:sz w:val="20"/>
                <w:szCs w:val="20"/>
                <w:color w:val="auto"/>
              </w:rPr>
            </w:pPr>
            <w:r>
              <w:rPr>
                <w:rFonts w:ascii="Arial" w:cs="Arial" w:eastAsia="Arial" w:hAnsi="Arial"/>
                <w:sz w:val="18"/>
                <w:szCs w:val="18"/>
                <w:color w:val="auto"/>
              </w:rPr>
              <w:t>VERSUS</w:t>
            </w:r>
          </w:p>
        </w:tc>
        <w:tc>
          <w:tcPr>
            <w:tcW w:w="3440" w:type="dxa"/>
            <w:vAlign w:val="bottom"/>
          </w:tcPr>
          <w:p>
            <w:pPr>
              <w:jc w:val="right"/>
              <w:ind w:right="619"/>
              <w:spacing w:after="0" w:line="202" w:lineRule="exact"/>
              <w:rPr>
                <w:sz w:val="20"/>
                <w:szCs w:val="20"/>
                <w:color w:val="auto"/>
              </w:rPr>
            </w:pPr>
            <w:r>
              <w:rPr>
                <w:rFonts w:ascii="Arial" w:cs="Arial" w:eastAsia="Arial" w:hAnsi="Arial"/>
                <w:sz w:val="18"/>
                <w:szCs w:val="18"/>
                <w:color w:val="auto"/>
              </w:rPr>
              <w:t>61</w:t>
            </w:r>
          </w:p>
        </w:tc>
        <w:tc>
          <w:tcPr>
            <w:tcW w:w="4880" w:type="dxa"/>
            <w:vAlign w:val="bottom"/>
          </w:tcPr>
          <w:p>
            <w:pPr>
              <w:ind w:left="680"/>
              <w:spacing w:after="0" w:line="202" w:lineRule="exact"/>
              <w:rPr>
                <w:sz w:val="20"/>
                <w:szCs w:val="20"/>
                <w:color w:val="auto"/>
              </w:rPr>
            </w:pPr>
            <w:r>
              <w:rPr>
                <w:rFonts w:ascii="Arial" w:cs="Arial" w:eastAsia="Arial" w:hAnsi="Arial"/>
                <w:sz w:val="18"/>
                <w:szCs w:val="18"/>
                <w:color w:val="auto"/>
              </w:rPr>
              <w:t>Sports and leisure programming</w:t>
            </w:r>
          </w:p>
        </w:tc>
      </w:tr>
      <w:tr>
        <w:trPr>
          <w:trHeight w:val="203"/>
        </w:trPr>
        <w:tc>
          <w:tcPr>
            <w:tcW w:w="3100" w:type="dxa"/>
            <w:vAlign w:val="bottom"/>
          </w:tcPr>
          <w:p>
            <w:pPr>
              <w:spacing w:after="0" w:line="202" w:lineRule="exact"/>
              <w:rPr>
                <w:sz w:val="20"/>
                <w:szCs w:val="20"/>
                <w:color w:val="auto"/>
              </w:rPr>
            </w:pPr>
            <w:r>
              <w:rPr>
                <w:rFonts w:ascii="Arial" w:cs="Arial" w:eastAsia="Arial" w:hAnsi="Arial"/>
                <w:sz w:val="18"/>
                <w:szCs w:val="18"/>
                <w:color w:val="auto"/>
              </w:rPr>
              <w:t>G4</w:t>
            </w:r>
          </w:p>
        </w:tc>
        <w:tc>
          <w:tcPr>
            <w:tcW w:w="3440" w:type="dxa"/>
            <w:vAlign w:val="bottom"/>
          </w:tcPr>
          <w:p>
            <w:pPr>
              <w:jc w:val="right"/>
              <w:ind w:right="619"/>
              <w:spacing w:after="0" w:line="202" w:lineRule="exact"/>
              <w:rPr>
                <w:sz w:val="20"/>
                <w:szCs w:val="20"/>
                <w:color w:val="auto"/>
              </w:rPr>
            </w:pPr>
            <w:r>
              <w:rPr>
                <w:rFonts w:ascii="Arial" w:cs="Arial" w:eastAsia="Arial" w:hAnsi="Arial"/>
                <w:sz w:val="18"/>
                <w:szCs w:val="18"/>
                <w:color w:val="auto"/>
              </w:rPr>
              <w:t>53</w:t>
            </w:r>
          </w:p>
        </w:tc>
        <w:tc>
          <w:tcPr>
            <w:tcW w:w="4880" w:type="dxa"/>
            <w:vAlign w:val="bottom"/>
          </w:tcPr>
          <w:p>
            <w:pPr>
              <w:ind w:left="680"/>
              <w:spacing w:after="0" w:line="202" w:lineRule="exact"/>
              <w:rPr>
                <w:sz w:val="20"/>
                <w:szCs w:val="20"/>
                <w:color w:val="auto"/>
              </w:rPr>
            </w:pPr>
            <w:r>
              <w:rPr>
                <w:rFonts w:ascii="Arial" w:cs="Arial" w:eastAsia="Arial" w:hAnsi="Arial"/>
                <w:sz w:val="18"/>
                <w:szCs w:val="18"/>
                <w:color w:val="auto"/>
              </w:rPr>
              <w:t>Gamer lifestyle programming</w:t>
            </w:r>
          </w:p>
        </w:tc>
      </w:tr>
      <w:tr>
        <w:trPr>
          <w:trHeight w:val="199"/>
        </w:trPr>
        <w:tc>
          <w:tcPr>
            <w:tcW w:w="3100" w:type="dxa"/>
            <w:vAlign w:val="bottom"/>
            <w:tcBorders>
              <w:bottom w:val="single" w:sz="8" w:color="auto"/>
            </w:tcBorders>
          </w:tcPr>
          <w:p>
            <w:pPr>
              <w:spacing w:after="0" w:line="200" w:lineRule="exact"/>
              <w:rPr>
                <w:sz w:val="20"/>
                <w:szCs w:val="20"/>
                <w:color w:val="auto"/>
              </w:rPr>
            </w:pPr>
            <w:r>
              <w:rPr>
                <w:rFonts w:ascii="Arial" w:cs="Arial" w:eastAsia="Arial" w:hAnsi="Arial"/>
                <w:sz w:val="18"/>
                <w:szCs w:val="18"/>
                <w:color w:val="auto"/>
              </w:rPr>
              <w:t>AZN Television</w:t>
            </w:r>
          </w:p>
        </w:tc>
        <w:tc>
          <w:tcPr>
            <w:tcW w:w="3440" w:type="dxa"/>
            <w:vAlign w:val="bottom"/>
            <w:tcBorders>
              <w:bottom w:val="single" w:sz="8" w:color="auto"/>
            </w:tcBorders>
          </w:tcPr>
          <w:p>
            <w:pPr>
              <w:jc w:val="right"/>
              <w:ind w:right="619"/>
              <w:spacing w:after="0" w:line="200" w:lineRule="exact"/>
              <w:rPr>
                <w:sz w:val="20"/>
                <w:szCs w:val="20"/>
                <w:color w:val="auto"/>
              </w:rPr>
            </w:pPr>
            <w:r>
              <w:rPr>
                <w:rFonts w:ascii="Arial" w:cs="Arial" w:eastAsia="Arial" w:hAnsi="Arial"/>
                <w:sz w:val="18"/>
                <w:szCs w:val="18"/>
                <w:color w:val="auto"/>
              </w:rPr>
              <w:t>14</w:t>
            </w:r>
          </w:p>
        </w:tc>
        <w:tc>
          <w:tcPr>
            <w:tcW w:w="4880" w:type="dxa"/>
            <w:vAlign w:val="bottom"/>
            <w:tcBorders>
              <w:bottom w:val="single" w:sz="8" w:color="auto"/>
            </w:tcBorders>
          </w:tcPr>
          <w:p>
            <w:pPr>
              <w:ind w:left="680"/>
              <w:spacing w:after="0" w:line="200" w:lineRule="exact"/>
              <w:rPr>
                <w:sz w:val="20"/>
                <w:szCs w:val="20"/>
                <w:color w:val="auto"/>
              </w:rPr>
            </w:pPr>
            <w:r>
              <w:rPr>
                <w:rFonts w:ascii="Arial" w:cs="Arial" w:eastAsia="Arial" w:hAnsi="Arial"/>
                <w:sz w:val="18"/>
                <w:szCs w:val="18"/>
                <w:color w:val="auto"/>
              </w:rPr>
              <w:t>Asian American programming</w:t>
            </w:r>
          </w:p>
        </w:tc>
      </w:tr>
    </w:tbl>
    <w:p>
      <w:pPr>
        <w:spacing w:after="0" w:line="165" w:lineRule="exact"/>
        <w:rPr>
          <w:sz w:val="20"/>
          <w:szCs w:val="20"/>
          <w:color w:val="auto"/>
        </w:rPr>
      </w:pPr>
    </w:p>
    <w:p>
      <w:pPr>
        <w:jc w:val="both"/>
        <w:spacing w:after="0" w:line="238" w:lineRule="auto"/>
        <w:rPr>
          <w:sz w:val="20"/>
          <w:szCs w:val="20"/>
          <w:color w:val="auto"/>
        </w:rPr>
      </w:pPr>
      <w:r>
        <w:rPr>
          <w:rFonts w:ascii="Arial" w:cs="Arial" w:eastAsia="Arial" w:hAnsi="Arial"/>
          <w:sz w:val="18"/>
          <w:szCs w:val="18"/>
          <w:color w:val="auto"/>
        </w:rPr>
        <w:t>We also own interests in MGM (20%), iN DEMAND (54%), TV One (33%), PBS KIDS Sprout (40%), FEARnet (33%) and ExerciseTV (55%). The operating results of these entities are not included in our Programming segment’s operating results as they are presented in equity in net (losses) income of affiliates, net or Corporate and Other activities.</w:t>
      </w:r>
    </w:p>
    <w:p>
      <w:pPr>
        <w:spacing w:after="0" w:line="13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Programming Segment Results of Operations</w:t>
      </w:r>
    </w:p>
    <w:p>
      <w:pPr>
        <w:spacing w:after="0" w:line="188"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4980" w:type="dxa"/>
            <w:vAlign w:val="bottom"/>
          </w:tcPr>
          <w:p>
            <w:pPr>
              <w:spacing w:after="0"/>
              <w:rPr>
                <w:sz w:val="14"/>
                <w:szCs w:val="14"/>
                <w:color w:val="auto"/>
              </w:rPr>
            </w:pPr>
          </w:p>
        </w:tc>
        <w:tc>
          <w:tcPr>
            <w:tcW w:w="174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1420" w:type="dxa"/>
            <w:vAlign w:val="bottom"/>
          </w:tcPr>
          <w:p>
            <w:pPr>
              <w:jc w:val="right"/>
              <w:ind w:right="312"/>
              <w:spacing w:after="0"/>
              <w:rPr>
                <w:sz w:val="20"/>
                <w:szCs w:val="20"/>
                <w:color w:val="auto"/>
              </w:rPr>
            </w:pPr>
            <w:r>
              <w:rPr>
                <w:rFonts w:ascii="Arial" w:cs="Arial" w:eastAsia="Arial" w:hAnsi="Arial"/>
                <w:sz w:val="14"/>
                <w:szCs w:val="14"/>
                <w:b w:val="1"/>
                <w:bCs w:val="1"/>
                <w:color w:val="auto"/>
              </w:rPr>
              <w:t>% Change</w:t>
            </w:r>
          </w:p>
        </w:tc>
        <w:tc>
          <w:tcPr>
            <w:tcW w:w="1100" w:type="dxa"/>
            <w:vAlign w:val="bottom"/>
          </w:tcPr>
          <w:p>
            <w:pPr>
              <w:jc w:val="right"/>
              <w:ind w:right="52"/>
              <w:spacing w:after="0"/>
              <w:rPr>
                <w:sz w:val="20"/>
                <w:szCs w:val="20"/>
                <w:color w:val="auto"/>
              </w:rPr>
            </w:pPr>
            <w:r>
              <w:rPr>
                <w:rFonts w:ascii="Arial" w:cs="Arial" w:eastAsia="Arial" w:hAnsi="Arial"/>
                <w:sz w:val="14"/>
                <w:szCs w:val="14"/>
                <w:color w:val="auto"/>
              </w:rPr>
              <w:t>% Change</w:t>
            </w:r>
          </w:p>
        </w:tc>
      </w:tr>
      <w:tr>
        <w:trPr>
          <w:trHeight w:val="165"/>
        </w:trPr>
        <w:tc>
          <w:tcPr>
            <w:tcW w:w="4980" w:type="dxa"/>
            <w:vAlign w:val="bottom"/>
            <w:tcBorders>
              <w:bottom w:val="single" w:sz="8" w:color="auto"/>
            </w:tcBorders>
          </w:tcPr>
          <w:p>
            <w:pPr>
              <w:spacing w:after="0"/>
              <w:rPr>
                <w:sz w:val="20"/>
                <w:szCs w:val="20"/>
                <w:color w:val="auto"/>
              </w:rPr>
            </w:pPr>
            <w:r>
              <w:rPr>
                <w:rFonts w:ascii="Arial" w:cs="Arial" w:eastAsia="Arial" w:hAnsi="Arial"/>
                <w:sz w:val="14"/>
                <w:szCs w:val="14"/>
                <w:color w:val="auto"/>
              </w:rPr>
              <w:t>Year Ended December 31 (in millions)</w:t>
            </w:r>
          </w:p>
        </w:tc>
        <w:tc>
          <w:tcPr>
            <w:tcW w:w="1740" w:type="dxa"/>
            <w:vAlign w:val="bottom"/>
            <w:tcBorders>
              <w:bottom w:val="single" w:sz="8" w:color="auto"/>
            </w:tcBorders>
          </w:tcPr>
          <w:p>
            <w:pPr>
              <w:spacing w:after="0"/>
              <w:rPr>
                <w:sz w:val="14"/>
                <w:szCs w:val="14"/>
                <w:color w:val="auto"/>
              </w:rPr>
            </w:pPr>
          </w:p>
        </w:tc>
        <w:tc>
          <w:tcPr>
            <w:tcW w:w="580" w:type="dxa"/>
            <w:vAlign w:val="bottom"/>
            <w:tcBorders>
              <w:bottom w:val="single" w:sz="8" w:color="auto"/>
            </w:tcBorders>
          </w:tcPr>
          <w:p>
            <w:pPr>
              <w:jc w:val="right"/>
              <w:ind w:right="172"/>
              <w:spacing w:after="0"/>
              <w:rPr>
                <w:sz w:val="20"/>
                <w:szCs w:val="20"/>
                <w:color w:val="auto"/>
              </w:rPr>
            </w:pPr>
            <w:r>
              <w:rPr>
                <w:rFonts w:ascii="Arial" w:cs="Arial" w:eastAsia="Arial" w:hAnsi="Arial"/>
                <w:sz w:val="14"/>
                <w:szCs w:val="14"/>
                <w:b w:val="1"/>
                <w:bCs w:val="1"/>
                <w:color w:val="auto"/>
              </w:rPr>
              <w:t>2006</w:t>
            </w:r>
          </w:p>
        </w:tc>
        <w:tc>
          <w:tcPr>
            <w:tcW w:w="800" w:type="dxa"/>
            <w:vAlign w:val="bottom"/>
            <w:tcBorders>
              <w:bottom w:val="single" w:sz="8" w:color="auto"/>
            </w:tcBorders>
          </w:tcPr>
          <w:p>
            <w:pPr>
              <w:jc w:val="right"/>
              <w:ind w:right="172"/>
              <w:spacing w:after="0"/>
              <w:rPr>
                <w:sz w:val="20"/>
                <w:szCs w:val="20"/>
                <w:color w:val="auto"/>
              </w:rPr>
            </w:pPr>
            <w:r>
              <w:rPr>
                <w:rFonts w:ascii="Arial" w:cs="Arial" w:eastAsia="Arial" w:hAnsi="Arial"/>
                <w:sz w:val="14"/>
                <w:szCs w:val="14"/>
                <w:color w:val="auto"/>
              </w:rPr>
              <w:t>2005</w:t>
            </w:r>
          </w:p>
        </w:tc>
        <w:tc>
          <w:tcPr>
            <w:tcW w:w="800" w:type="dxa"/>
            <w:vAlign w:val="bottom"/>
            <w:tcBorders>
              <w:bottom w:val="single" w:sz="8" w:color="auto"/>
            </w:tcBorders>
          </w:tcPr>
          <w:p>
            <w:pPr>
              <w:jc w:val="right"/>
              <w:ind w:right="172"/>
              <w:spacing w:after="0"/>
              <w:rPr>
                <w:sz w:val="20"/>
                <w:szCs w:val="20"/>
                <w:color w:val="auto"/>
              </w:rPr>
            </w:pPr>
            <w:r>
              <w:rPr>
                <w:rFonts w:ascii="Arial" w:cs="Arial" w:eastAsia="Arial" w:hAnsi="Arial"/>
                <w:sz w:val="14"/>
                <w:szCs w:val="14"/>
                <w:color w:val="auto"/>
              </w:rPr>
              <w:t>2004</w:t>
            </w:r>
          </w:p>
        </w:tc>
        <w:tc>
          <w:tcPr>
            <w:tcW w:w="1420" w:type="dxa"/>
            <w:vAlign w:val="bottom"/>
            <w:tcBorders>
              <w:bottom w:val="single" w:sz="8" w:color="auto"/>
            </w:tcBorders>
          </w:tcPr>
          <w:p>
            <w:pPr>
              <w:jc w:val="right"/>
              <w:ind w:right="312"/>
              <w:spacing w:after="0"/>
              <w:rPr>
                <w:sz w:val="20"/>
                <w:szCs w:val="20"/>
                <w:color w:val="auto"/>
              </w:rPr>
            </w:pPr>
            <w:r>
              <w:rPr>
                <w:rFonts w:ascii="Arial" w:cs="Arial" w:eastAsia="Arial" w:hAnsi="Arial"/>
                <w:sz w:val="14"/>
                <w:szCs w:val="14"/>
                <w:b w:val="1"/>
                <w:bCs w:val="1"/>
                <w:color w:val="auto"/>
              </w:rPr>
              <w:t>2005 to 2006</w:t>
            </w:r>
          </w:p>
        </w:tc>
        <w:tc>
          <w:tcPr>
            <w:tcW w:w="1100" w:type="dxa"/>
            <w:vAlign w:val="bottom"/>
            <w:tcBorders>
              <w:bottom w:val="single" w:sz="8" w:color="auto"/>
            </w:tcBorders>
          </w:tcPr>
          <w:p>
            <w:pPr>
              <w:jc w:val="right"/>
              <w:ind w:right="52"/>
              <w:spacing w:after="0"/>
              <w:rPr>
                <w:sz w:val="20"/>
                <w:szCs w:val="20"/>
                <w:color w:val="auto"/>
              </w:rPr>
            </w:pPr>
            <w:r>
              <w:rPr>
                <w:rFonts w:ascii="Arial" w:cs="Arial" w:eastAsia="Arial" w:hAnsi="Arial"/>
                <w:sz w:val="14"/>
                <w:szCs w:val="14"/>
                <w:color w:val="auto"/>
              </w:rPr>
              <w:t>2004 to 2005</w:t>
            </w:r>
          </w:p>
        </w:tc>
      </w:tr>
      <w:tr>
        <w:trPr>
          <w:trHeight w:val="125"/>
        </w:trPr>
        <w:tc>
          <w:tcPr>
            <w:tcW w:w="4980" w:type="dxa"/>
            <w:vAlign w:val="bottom"/>
          </w:tcPr>
          <w:p>
            <w:pPr>
              <w:spacing w:after="0" w:line="125" w:lineRule="exact"/>
              <w:rPr>
                <w:sz w:val="20"/>
                <w:szCs w:val="20"/>
                <w:color w:val="auto"/>
              </w:rPr>
            </w:pPr>
            <w:r>
              <w:rPr>
                <w:rFonts w:ascii="Arial" w:cs="Arial" w:eastAsia="Arial" w:hAnsi="Arial"/>
                <w:sz w:val="14"/>
                <w:szCs w:val="14"/>
                <w:b w:val="1"/>
                <w:bCs w:val="1"/>
                <w:color w:val="auto"/>
              </w:rPr>
              <w:t>Revenues</w:t>
            </w:r>
          </w:p>
        </w:tc>
        <w:tc>
          <w:tcPr>
            <w:tcW w:w="1740" w:type="dxa"/>
            <w:vAlign w:val="bottom"/>
          </w:tcPr>
          <w:p>
            <w:pPr>
              <w:jc w:val="right"/>
              <w:spacing w:after="0" w:line="125" w:lineRule="exact"/>
              <w:rPr>
                <w:sz w:val="20"/>
                <w:szCs w:val="20"/>
                <w:color w:val="auto"/>
              </w:rPr>
            </w:pPr>
            <w:r>
              <w:rPr>
                <w:rFonts w:ascii="Arial" w:cs="Arial" w:eastAsia="Arial" w:hAnsi="Arial"/>
                <w:sz w:val="14"/>
                <w:szCs w:val="14"/>
                <w:b w:val="1"/>
                <w:bCs w:val="1"/>
                <w:color w:val="auto"/>
              </w:rPr>
              <w:t>$</w:t>
            </w:r>
          </w:p>
        </w:tc>
        <w:tc>
          <w:tcPr>
            <w:tcW w:w="580" w:type="dxa"/>
            <w:vAlign w:val="bottom"/>
          </w:tcPr>
          <w:p>
            <w:pPr>
              <w:jc w:val="right"/>
              <w:ind w:right="172"/>
              <w:spacing w:after="0" w:line="125" w:lineRule="exact"/>
              <w:rPr>
                <w:sz w:val="20"/>
                <w:szCs w:val="20"/>
                <w:color w:val="auto"/>
              </w:rPr>
            </w:pPr>
            <w:r>
              <w:rPr>
                <w:rFonts w:ascii="Arial" w:cs="Arial" w:eastAsia="Arial" w:hAnsi="Arial"/>
                <w:sz w:val="14"/>
                <w:szCs w:val="14"/>
                <w:b w:val="1"/>
                <w:bCs w:val="1"/>
                <w:color w:val="auto"/>
                <w:w w:val="91"/>
              </w:rPr>
              <w:t>1,053</w:t>
            </w:r>
          </w:p>
        </w:tc>
        <w:tc>
          <w:tcPr>
            <w:tcW w:w="800" w:type="dxa"/>
            <w:vAlign w:val="bottom"/>
          </w:tcPr>
          <w:p>
            <w:pPr>
              <w:jc w:val="right"/>
              <w:ind w:right="172"/>
              <w:spacing w:after="0" w:line="125" w:lineRule="exact"/>
              <w:rPr>
                <w:sz w:val="20"/>
                <w:szCs w:val="20"/>
                <w:color w:val="auto"/>
              </w:rPr>
            </w:pPr>
            <w:r>
              <w:rPr>
                <w:rFonts w:ascii="Arial" w:cs="Arial" w:eastAsia="Arial" w:hAnsi="Arial"/>
                <w:sz w:val="14"/>
                <w:szCs w:val="14"/>
                <w:color w:val="auto"/>
              </w:rPr>
              <w:t>$919</w:t>
            </w:r>
          </w:p>
        </w:tc>
        <w:tc>
          <w:tcPr>
            <w:tcW w:w="800" w:type="dxa"/>
            <w:vAlign w:val="bottom"/>
          </w:tcPr>
          <w:p>
            <w:pPr>
              <w:jc w:val="right"/>
              <w:ind w:right="172"/>
              <w:spacing w:after="0" w:line="125" w:lineRule="exact"/>
              <w:rPr>
                <w:sz w:val="20"/>
                <w:szCs w:val="20"/>
                <w:color w:val="auto"/>
              </w:rPr>
            </w:pPr>
            <w:r>
              <w:rPr>
                <w:rFonts w:ascii="Arial" w:cs="Arial" w:eastAsia="Arial" w:hAnsi="Arial"/>
                <w:sz w:val="14"/>
                <w:szCs w:val="14"/>
                <w:color w:val="auto"/>
              </w:rPr>
              <w:t>$787</w:t>
            </w:r>
          </w:p>
        </w:tc>
        <w:tc>
          <w:tcPr>
            <w:tcW w:w="1420" w:type="dxa"/>
            <w:vAlign w:val="bottom"/>
          </w:tcPr>
          <w:p>
            <w:pPr>
              <w:jc w:val="right"/>
              <w:ind w:right="192"/>
              <w:spacing w:after="0" w:line="125" w:lineRule="exact"/>
              <w:rPr>
                <w:sz w:val="20"/>
                <w:szCs w:val="20"/>
                <w:color w:val="auto"/>
              </w:rPr>
            </w:pPr>
            <w:r>
              <w:rPr>
                <w:rFonts w:ascii="Arial" w:cs="Arial" w:eastAsia="Arial" w:hAnsi="Arial"/>
                <w:sz w:val="14"/>
                <w:szCs w:val="14"/>
                <w:b w:val="1"/>
                <w:bCs w:val="1"/>
                <w:color w:val="auto"/>
              </w:rPr>
              <w:t>14.6%</w:t>
            </w:r>
          </w:p>
        </w:tc>
        <w:tc>
          <w:tcPr>
            <w:tcW w:w="1100" w:type="dxa"/>
            <w:vAlign w:val="bottom"/>
          </w:tcPr>
          <w:p>
            <w:pPr>
              <w:jc w:val="right"/>
              <w:spacing w:after="0" w:line="125" w:lineRule="exact"/>
              <w:rPr>
                <w:sz w:val="20"/>
                <w:szCs w:val="20"/>
                <w:color w:val="auto"/>
              </w:rPr>
            </w:pPr>
            <w:r>
              <w:rPr>
                <w:rFonts w:ascii="Arial" w:cs="Arial" w:eastAsia="Arial" w:hAnsi="Arial"/>
                <w:sz w:val="14"/>
                <w:szCs w:val="14"/>
                <w:color w:val="auto"/>
              </w:rPr>
              <w:t>16.7%</w:t>
            </w:r>
          </w:p>
        </w:tc>
      </w:tr>
      <w:tr>
        <w:trPr>
          <w:trHeight w:val="165"/>
        </w:trPr>
        <w:tc>
          <w:tcPr>
            <w:tcW w:w="4980" w:type="dxa"/>
            <w:vAlign w:val="bottom"/>
            <w:tcBorders>
              <w:bottom w:val="single" w:sz="8" w:color="auto"/>
            </w:tcBorders>
          </w:tcPr>
          <w:p>
            <w:pPr>
              <w:spacing w:after="0"/>
              <w:rPr>
                <w:sz w:val="20"/>
                <w:szCs w:val="20"/>
                <w:color w:val="auto"/>
              </w:rPr>
            </w:pPr>
            <w:r>
              <w:rPr>
                <w:rFonts w:ascii="Arial" w:cs="Arial" w:eastAsia="Arial" w:hAnsi="Arial"/>
                <w:sz w:val="14"/>
                <w:szCs w:val="14"/>
                <w:color w:val="auto"/>
              </w:rPr>
              <w:t>Operating, selling, general and administrative expenses</w:t>
            </w:r>
          </w:p>
        </w:tc>
        <w:tc>
          <w:tcPr>
            <w:tcW w:w="1740" w:type="dxa"/>
            <w:vAlign w:val="bottom"/>
            <w:tcBorders>
              <w:bottom w:val="single" w:sz="8" w:color="auto"/>
            </w:tcBorders>
          </w:tcPr>
          <w:p>
            <w:pPr>
              <w:spacing w:after="0"/>
              <w:rPr>
                <w:sz w:val="14"/>
                <w:szCs w:val="14"/>
                <w:color w:val="auto"/>
              </w:rPr>
            </w:pPr>
          </w:p>
        </w:tc>
        <w:tc>
          <w:tcPr>
            <w:tcW w:w="580" w:type="dxa"/>
            <w:vAlign w:val="bottom"/>
            <w:tcBorders>
              <w:bottom w:val="single" w:sz="8" w:color="auto"/>
            </w:tcBorders>
          </w:tcPr>
          <w:p>
            <w:pPr>
              <w:jc w:val="right"/>
              <w:ind w:right="172"/>
              <w:spacing w:after="0"/>
              <w:rPr>
                <w:sz w:val="20"/>
                <w:szCs w:val="20"/>
                <w:color w:val="auto"/>
              </w:rPr>
            </w:pPr>
            <w:r>
              <w:rPr>
                <w:rFonts w:ascii="Arial" w:cs="Arial" w:eastAsia="Arial" w:hAnsi="Arial"/>
                <w:sz w:val="14"/>
                <w:szCs w:val="14"/>
                <w:b w:val="1"/>
                <w:bCs w:val="1"/>
                <w:color w:val="auto"/>
              </w:rPr>
              <w:t>812</w:t>
            </w:r>
          </w:p>
        </w:tc>
        <w:tc>
          <w:tcPr>
            <w:tcW w:w="800" w:type="dxa"/>
            <w:vAlign w:val="bottom"/>
            <w:tcBorders>
              <w:bottom w:val="single" w:sz="8" w:color="auto"/>
            </w:tcBorders>
          </w:tcPr>
          <w:p>
            <w:pPr>
              <w:jc w:val="right"/>
              <w:ind w:right="172"/>
              <w:spacing w:after="0"/>
              <w:rPr>
                <w:sz w:val="20"/>
                <w:szCs w:val="20"/>
                <w:color w:val="auto"/>
              </w:rPr>
            </w:pPr>
            <w:r>
              <w:rPr>
                <w:rFonts w:ascii="Arial" w:cs="Arial" w:eastAsia="Arial" w:hAnsi="Arial"/>
                <w:sz w:val="14"/>
                <w:szCs w:val="14"/>
                <w:color w:val="auto"/>
              </w:rPr>
              <w:t>647</w:t>
            </w:r>
          </w:p>
        </w:tc>
        <w:tc>
          <w:tcPr>
            <w:tcW w:w="800" w:type="dxa"/>
            <w:vAlign w:val="bottom"/>
            <w:tcBorders>
              <w:bottom w:val="single" w:sz="8" w:color="auto"/>
            </w:tcBorders>
          </w:tcPr>
          <w:p>
            <w:pPr>
              <w:jc w:val="right"/>
              <w:ind w:right="172"/>
              <w:spacing w:after="0"/>
              <w:rPr>
                <w:sz w:val="20"/>
                <w:szCs w:val="20"/>
                <w:color w:val="auto"/>
              </w:rPr>
            </w:pPr>
            <w:r>
              <w:rPr>
                <w:rFonts w:ascii="Arial" w:cs="Arial" w:eastAsia="Arial" w:hAnsi="Arial"/>
                <w:sz w:val="14"/>
                <w:szCs w:val="14"/>
                <w:color w:val="auto"/>
              </w:rPr>
              <w:t>518</w:t>
            </w:r>
          </w:p>
        </w:tc>
        <w:tc>
          <w:tcPr>
            <w:tcW w:w="1420" w:type="dxa"/>
            <w:vAlign w:val="bottom"/>
            <w:tcBorders>
              <w:bottom w:val="single" w:sz="8" w:color="auto"/>
            </w:tcBorders>
          </w:tcPr>
          <w:p>
            <w:pPr>
              <w:jc w:val="right"/>
              <w:ind w:right="312"/>
              <w:spacing w:after="0"/>
              <w:rPr>
                <w:sz w:val="20"/>
                <w:szCs w:val="20"/>
                <w:color w:val="auto"/>
              </w:rPr>
            </w:pPr>
            <w:r>
              <w:rPr>
                <w:rFonts w:ascii="Arial" w:cs="Arial" w:eastAsia="Arial" w:hAnsi="Arial"/>
                <w:sz w:val="14"/>
                <w:szCs w:val="14"/>
                <w:b w:val="1"/>
                <w:bCs w:val="1"/>
                <w:color w:val="auto"/>
              </w:rPr>
              <w:t>25.6</w:t>
            </w:r>
          </w:p>
        </w:tc>
        <w:tc>
          <w:tcPr>
            <w:tcW w:w="1100" w:type="dxa"/>
            <w:vAlign w:val="bottom"/>
            <w:tcBorders>
              <w:bottom w:val="single" w:sz="8" w:color="auto"/>
            </w:tcBorders>
          </w:tcPr>
          <w:p>
            <w:pPr>
              <w:jc w:val="right"/>
              <w:ind w:right="52"/>
              <w:spacing w:after="0"/>
              <w:rPr>
                <w:sz w:val="20"/>
                <w:szCs w:val="20"/>
                <w:color w:val="auto"/>
              </w:rPr>
            </w:pPr>
            <w:r>
              <w:rPr>
                <w:rFonts w:ascii="Arial" w:cs="Arial" w:eastAsia="Arial" w:hAnsi="Arial"/>
                <w:sz w:val="14"/>
                <w:szCs w:val="14"/>
                <w:color w:val="auto"/>
              </w:rPr>
              <w:t>24.7</w:t>
            </w:r>
          </w:p>
        </w:tc>
      </w:tr>
      <w:tr>
        <w:trPr>
          <w:trHeight w:val="142"/>
        </w:trPr>
        <w:tc>
          <w:tcPr>
            <w:tcW w:w="4980" w:type="dxa"/>
            <w:vAlign w:val="bottom"/>
            <w:tcBorders>
              <w:bottom w:val="single" w:sz="8" w:color="35BF85"/>
            </w:tcBorders>
          </w:tcPr>
          <w:p>
            <w:pPr>
              <w:spacing w:after="0" w:line="142" w:lineRule="exact"/>
              <w:rPr>
                <w:sz w:val="20"/>
                <w:szCs w:val="20"/>
                <w:color w:val="auto"/>
              </w:rPr>
            </w:pPr>
            <w:r>
              <w:rPr>
                <w:rFonts w:ascii="Arial" w:cs="Arial" w:eastAsia="Arial" w:hAnsi="Arial"/>
                <w:sz w:val="14"/>
                <w:szCs w:val="14"/>
                <w:color w:val="auto"/>
              </w:rPr>
              <w:t>Operating income before depreciation and amortization</w:t>
            </w:r>
          </w:p>
        </w:tc>
        <w:tc>
          <w:tcPr>
            <w:tcW w:w="1740" w:type="dxa"/>
            <w:vAlign w:val="bottom"/>
            <w:tcBorders>
              <w:bottom w:val="single" w:sz="8" w:color="35BF85"/>
            </w:tcBorders>
          </w:tcPr>
          <w:p>
            <w:pPr>
              <w:jc w:val="right"/>
              <w:spacing w:after="0" w:line="142" w:lineRule="exact"/>
              <w:rPr>
                <w:sz w:val="20"/>
                <w:szCs w:val="20"/>
                <w:color w:val="auto"/>
              </w:rPr>
            </w:pPr>
            <w:r>
              <w:rPr>
                <w:rFonts w:ascii="Arial" w:cs="Arial" w:eastAsia="Arial" w:hAnsi="Arial"/>
                <w:sz w:val="14"/>
                <w:szCs w:val="14"/>
                <w:b w:val="1"/>
                <w:bCs w:val="1"/>
                <w:color w:val="auto"/>
              </w:rPr>
              <w:t>$</w:t>
            </w:r>
          </w:p>
        </w:tc>
        <w:tc>
          <w:tcPr>
            <w:tcW w:w="580" w:type="dxa"/>
            <w:vAlign w:val="bottom"/>
            <w:tcBorders>
              <w:bottom w:val="single" w:sz="8" w:color="35BF85"/>
            </w:tcBorders>
          </w:tcPr>
          <w:p>
            <w:pPr>
              <w:jc w:val="right"/>
              <w:ind w:right="172"/>
              <w:spacing w:after="0" w:line="142" w:lineRule="exact"/>
              <w:rPr>
                <w:sz w:val="20"/>
                <w:szCs w:val="20"/>
                <w:color w:val="auto"/>
              </w:rPr>
            </w:pPr>
            <w:r>
              <w:rPr>
                <w:rFonts w:ascii="Arial" w:cs="Arial" w:eastAsia="Arial" w:hAnsi="Arial"/>
                <w:sz w:val="14"/>
                <w:szCs w:val="14"/>
                <w:b w:val="1"/>
                <w:bCs w:val="1"/>
                <w:color w:val="auto"/>
              </w:rPr>
              <w:t>241</w:t>
            </w:r>
          </w:p>
        </w:tc>
        <w:tc>
          <w:tcPr>
            <w:tcW w:w="800" w:type="dxa"/>
            <w:vAlign w:val="bottom"/>
            <w:tcBorders>
              <w:bottom w:val="single" w:sz="8" w:color="35BF85"/>
            </w:tcBorders>
          </w:tcPr>
          <w:p>
            <w:pPr>
              <w:jc w:val="right"/>
              <w:ind w:right="172"/>
              <w:spacing w:after="0" w:line="142" w:lineRule="exact"/>
              <w:rPr>
                <w:sz w:val="20"/>
                <w:szCs w:val="20"/>
                <w:color w:val="auto"/>
              </w:rPr>
            </w:pPr>
            <w:r>
              <w:rPr>
                <w:rFonts w:ascii="Arial" w:cs="Arial" w:eastAsia="Arial" w:hAnsi="Arial"/>
                <w:sz w:val="14"/>
                <w:szCs w:val="14"/>
                <w:color w:val="auto"/>
              </w:rPr>
              <w:t>$272</w:t>
            </w:r>
          </w:p>
        </w:tc>
        <w:tc>
          <w:tcPr>
            <w:tcW w:w="800" w:type="dxa"/>
            <w:vAlign w:val="bottom"/>
            <w:tcBorders>
              <w:bottom w:val="single" w:sz="8" w:color="35BF85"/>
            </w:tcBorders>
          </w:tcPr>
          <w:p>
            <w:pPr>
              <w:jc w:val="right"/>
              <w:ind w:right="172"/>
              <w:spacing w:after="0" w:line="142" w:lineRule="exact"/>
              <w:rPr>
                <w:sz w:val="20"/>
                <w:szCs w:val="20"/>
                <w:color w:val="auto"/>
              </w:rPr>
            </w:pPr>
            <w:r>
              <w:rPr>
                <w:rFonts w:ascii="Arial" w:cs="Arial" w:eastAsia="Arial" w:hAnsi="Arial"/>
                <w:sz w:val="14"/>
                <w:szCs w:val="14"/>
                <w:color w:val="auto"/>
              </w:rPr>
              <w:t>$269</w:t>
            </w:r>
          </w:p>
        </w:tc>
        <w:tc>
          <w:tcPr>
            <w:tcW w:w="1420" w:type="dxa"/>
            <w:vAlign w:val="bottom"/>
            <w:tcBorders>
              <w:bottom w:val="single" w:sz="8" w:color="35BF85"/>
            </w:tcBorders>
          </w:tcPr>
          <w:p>
            <w:pPr>
              <w:jc w:val="right"/>
              <w:ind w:right="132"/>
              <w:spacing w:after="0" w:line="142" w:lineRule="exact"/>
              <w:rPr>
                <w:sz w:val="20"/>
                <w:szCs w:val="20"/>
                <w:color w:val="auto"/>
              </w:rPr>
            </w:pPr>
            <w:r>
              <w:rPr>
                <w:rFonts w:ascii="Arial" w:cs="Arial" w:eastAsia="Arial" w:hAnsi="Arial"/>
                <w:sz w:val="14"/>
                <w:szCs w:val="14"/>
                <w:b w:val="1"/>
                <w:bCs w:val="1"/>
                <w:color w:val="auto"/>
              </w:rPr>
              <w:t>(11.4)%</w:t>
            </w:r>
          </w:p>
        </w:tc>
        <w:tc>
          <w:tcPr>
            <w:tcW w:w="1100" w:type="dxa"/>
            <w:vAlign w:val="bottom"/>
            <w:tcBorders>
              <w:bottom w:val="single" w:sz="8" w:color="35BF85"/>
            </w:tcBorders>
          </w:tcPr>
          <w:p>
            <w:pPr>
              <w:jc w:val="right"/>
              <w:spacing w:after="0" w:line="142" w:lineRule="exact"/>
              <w:rPr>
                <w:sz w:val="20"/>
                <w:szCs w:val="20"/>
                <w:color w:val="auto"/>
              </w:rPr>
            </w:pPr>
            <w:r>
              <w:rPr>
                <w:rFonts w:ascii="Arial" w:cs="Arial" w:eastAsia="Arial" w:hAnsi="Arial"/>
                <w:sz w:val="14"/>
                <w:szCs w:val="14"/>
                <w:color w:val="auto"/>
              </w:rPr>
              <w:t>1.3%</w:t>
            </w:r>
          </w:p>
        </w:tc>
      </w:tr>
    </w:tbl>
    <w:p>
      <w:pPr>
        <w:spacing w:after="0" w:line="200" w:lineRule="exact"/>
        <w:rPr>
          <w:sz w:val="20"/>
          <w:szCs w:val="20"/>
          <w:color w:val="auto"/>
        </w:rPr>
      </w:pPr>
    </w:p>
    <w:p>
      <w:pPr>
        <w:sectPr>
          <w:pgSz w:w="11900" w:h="16838" w:orient="portrait"/>
          <w:cols w:equalWidth="0" w:num="1">
            <w:col w:w="11420"/>
          </w:cols>
          <w:pgMar w:left="240" w:top="459" w:right="239" w:bottom="1440" w:gutter="0" w:footer="0" w:header="0"/>
          <w:type w:val="continuous"/>
        </w:sectPr>
      </w:pPr>
    </w:p>
    <w:p>
      <w:pPr>
        <w:spacing w:after="0" w:line="1" w:lineRule="exact"/>
        <w:rPr>
          <w:sz w:val="20"/>
          <w:szCs w:val="20"/>
          <w:color w:val="auto"/>
        </w:rPr>
      </w:pPr>
    </w:p>
    <w:p>
      <w:pPr>
        <w:spacing w:after="0"/>
        <w:rPr>
          <w:sz w:val="20"/>
          <w:szCs w:val="20"/>
          <w:color w:val="auto"/>
        </w:rPr>
      </w:pPr>
      <w:r>
        <w:rPr>
          <w:rFonts w:ascii="Arial" w:cs="Arial" w:eastAsia="Arial" w:hAnsi="Arial"/>
          <w:sz w:val="18"/>
          <w:szCs w:val="18"/>
          <w:color w:val="35BF85"/>
        </w:rPr>
        <w:t>Programming Segment Revenues</w:t>
      </w:r>
    </w:p>
    <w:p>
      <w:pPr>
        <w:jc w:val="both"/>
        <w:spacing w:after="0" w:line="235" w:lineRule="auto"/>
        <w:rPr>
          <w:sz w:val="20"/>
          <w:szCs w:val="20"/>
          <w:color w:val="auto"/>
        </w:rPr>
      </w:pPr>
      <w:r>
        <w:rPr>
          <w:rFonts w:ascii="Arial" w:cs="Arial" w:eastAsia="Arial" w:hAnsi="Arial"/>
          <w:sz w:val="18"/>
          <w:szCs w:val="18"/>
          <w:color w:val="auto"/>
        </w:rPr>
        <w:t>Revenues from our Programming segment are earned primarily from the sale of advertising time and from monthly per subscriber license fees paid by cable and satellite distributors. Programming revenues for 2006 and 2005 increased as a result of increases in advertising and license fee revenues. For 2006, 2005 and 2004, approximately 11% to 12% of our Programming segment revenues were generated from our Cable segment and are eliminated in our consolidated financial statements, but are included in the amounts presented above.</w:t>
      </w:r>
    </w:p>
    <w:p>
      <w:pPr>
        <w:spacing w:after="0" w:line="161" w:lineRule="exact"/>
        <w:rPr>
          <w:sz w:val="20"/>
          <w:szCs w:val="20"/>
          <w:color w:val="auto"/>
        </w:rPr>
      </w:pPr>
    </w:p>
    <w:p>
      <w:pPr>
        <w:jc w:val="both"/>
        <w:spacing w:after="0" w:line="234" w:lineRule="auto"/>
        <w:rPr>
          <w:sz w:val="20"/>
          <w:szCs w:val="20"/>
          <w:color w:val="auto"/>
        </w:rPr>
      </w:pPr>
      <w:r>
        <w:rPr>
          <w:rFonts w:ascii="Arial" w:cs="Arial" w:eastAsia="Arial" w:hAnsi="Arial"/>
          <w:sz w:val="18"/>
          <w:szCs w:val="18"/>
          <w:color w:val="35BF85"/>
        </w:rPr>
        <w:t>Programming Segment Operating, Selling, General and Administrative Expenses</w:t>
      </w:r>
    </w:p>
    <w:p>
      <w:pPr>
        <w:spacing w:after="0" w:line="2" w:lineRule="exact"/>
        <w:rPr>
          <w:sz w:val="20"/>
          <w:szCs w:val="20"/>
          <w:color w:val="auto"/>
        </w:rPr>
      </w:pPr>
    </w:p>
    <w:p>
      <w:pPr>
        <w:jc w:val="both"/>
        <w:spacing w:after="0" w:line="235" w:lineRule="auto"/>
        <w:rPr>
          <w:sz w:val="20"/>
          <w:szCs w:val="20"/>
          <w:color w:val="auto"/>
        </w:rPr>
      </w:pPr>
      <w:r>
        <w:rPr>
          <w:rFonts w:ascii="Arial" w:cs="Arial" w:eastAsia="Arial" w:hAnsi="Arial"/>
          <w:sz w:val="18"/>
          <w:szCs w:val="18"/>
          <w:color w:val="auto"/>
        </w:rPr>
        <w:t>Operating, selling, general and administrative expenses consist mainly of the cost of producing television programs and live events, the purchase of programming rights, marketing and promoting our programming networks, and administrative costs. Programming expenses for 2006 and 2005 increased as a result of an increase in production and programming rights costs for new and live event programming for our programming networks, including the NHL on VERSUS, and a corresponding increase in marketing expenses for this programming. The full-year impact of our 2004 acquisitions of TechTV and AZN Television also contributed to the growth in</w:t>
      </w:r>
    </w:p>
    <w:p>
      <w:pPr>
        <w:spacing w:after="0" w:line="20" w:lineRule="exact"/>
        <w:rPr>
          <w:sz w:val="20"/>
          <w:szCs w:val="20"/>
          <w:color w:val="auto"/>
        </w:rPr>
      </w:pPr>
      <w:r>
        <w:rPr>
          <w:sz w:val="20"/>
          <w:szCs w:val="20"/>
          <w:color w:val="auto"/>
        </w:rPr>
        <w:br w:type="column"/>
      </w:r>
    </w:p>
    <w:p>
      <w:pPr>
        <w:jc w:val="both"/>
        <w:ind w:right="120"/>
        <w:spacing w:after="0" w:line="237" w:lineRule="auto"/>
        <w:rPr>
          <w:sz w:val="20"/>
          <w:szCs w:val="20"/>
          <w:color w:val="auto"/>
        </w:rPr>
      </w:pPr>
      <w:r>
        <w:rPr>
          <w:rFonts w:ascii="Arial" w:cs="Arial" w:eastAsia="Arial" w:hAnsi="Arial"/>
          <w:sz w:val="18"/>
          <w:szCs w:val="18"/>
          <w:color w:val="auto"/>
        </w:rPr>
        <w:t>2005 expenses. We have and expect to continue to invest in new and live event programming, such as our recent rights agreement with the PGA TOUR, that will cause our Programming segment expenses to increase in the future.</w:t>
      </w:r>
    </w:p>
    <w:p>
      <w:pPr>
        <w:spacing w:after="0" w:line="13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Consolidated Other Income (Expense) Items</w:t>
      </w:r>
    </w:p>
    <w:p>
      <w:pPr>
        <w:spacing w:after="0" w:line="204"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360" w:type="dxa"/>
            <w:vAlign w:val="bottom"/>
          </w:tcPr>
          <w:p>
            <w:pPr>
              <w:spacing w:after="0"/>
              <w:rPr>
                <w:sz w:val="20"/>
                <w:szCs w:val="20"/>
                <w:color w:val="auto"/>
              </w:rPr>
            </w:pPr>
            <w:r>
              <w:rPr>
                <w:rFonts w:ascii="Arial" w:cs="Arial" w:eastAsia="Arial" w:hAnsi="Arial"/>
                <w:sz w:val="14"/>
                <w:szCs w:val="14"/>
                <w:color w:val="auto"/>
              </w:rPr>
              <w:t>Year Ended December 31 (in</w:t>
            </w:r>
          </w:p>
        </w:tc>
        <w:tc>
          <w:tcPr>
            <w:tcW w:w="1200" w:type="dxa"/>
            <w:vAlign w:val="bottom"/>
            <w:vMerge w:val="restart"/>
          </w:tcPr>
          <w:p>
            <w:pPr>
              <w:jc w:val="right"/>
              <w:ind w:right="176"/>
              <w:spacing w:after="0"/>
              <w:rPr>
                <w:sz w:val="20"/>
                <w:szCs w:val="20"/>
                <w:color w:val="auto"/>
              </w:rPr>
            </w:pPr>
            <w:r>
              <w:rPr>
                <w:rFonts w:ascii="Arial" w:cs="Arial" w:eastAsia="Arial" w:hAnsi="Arial"/>
                <w:sz w:val="14"/>
                <w:szCs w:val="14"/>
                <w:b w:val="1"/>
                <w:bCs w:val="1"/>
                <w:color w:val="auto"/>
              </w:rPr>
              <w:t>2006</w:t>
            </w:r>
          </w:p>
        </w:tc>
        <w:tc>
          <w:tcPr>
            <w:tcW w:w="104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9"/>
        </w:trPr>
        <w:tc>
          <w:tcPr>
            <w:tcW w:w="2360" w:type="dxa"/>
            <w:vAlign w:val="bottom"/>
            <w:tcBorders>
              <w:bottom w:val="single" w:sz="8" w:color="auto"/>
            </w:tcBorders>
          </w:tcPr>
          <w:p>
            <w:pPr>
              <w:spacing w:after="0" w:line="149" w:lineRule="exact"/>
              <w:rPr>
                <w:sz w:val="20"/>
                <w:szCs w:val="20"/>
                <w:color w:val="auto"/>
              </w:rPr>
            </w:pPr>
            <w:r>
              <w:rPr>
                <w:rFonts w:ascii="Arial" w:cs="Arial" w:eastAsia="Arial" w:hAnsi="Arial"/>
                <w:sz w:val="14"/>
                <w:szCs w:val="14"/>
                <w:color w:val="auto"/>
              </w:rPr>
              <w:t>millions)</w:t>
            </w:r>
          </w:p>
        </w:tc>
        <w:tc>
          <w:tcPr>
            <w:tcW w:w="1200" w:type="dxa"/>
            <w:vAlign w:val="bottom"/>
            <w:tcBorders>
              <w:bottom w:val="single" w:sz="8" w:color="auto"/>
            </w:tcBorders>
            <w:vMerge w:val="continue"/>
          </w:tcPr>
          <w:p>
            <w:pPr>
              <w:spacing w:after="0"/>
              <w:rPr>
                <w:sz w:val="12"/>
                <w:szCs w:val="12"/>
                <w:color w:val="auto"/>
              </w:rPr>
            </w:pPr>
          </w:p>
        </w:tc>
        <w:tc>
          <w:tcPr>
            <w:tcW w:w="1040" w:type="dxa"/>
            <w:vAlign w:val="bottom"/>
            <w:tcBorders>
              <w:bottom w:val="single" w:sz="8" w:color="auto"/>
            </w:tcBorders>
          </w:tcPr>
          <w:p>
            <w:pPr>
              <w:jc w:val="right"/>
              <w:ind w:right="156"/>
              <w:spacing w:after="0" w:line="149" w:lineRule="exact"/>
              <w:rPr>
                <w:sz w:val="20"/>
                <w:szCs w:val="20"/>
                <w:color w:val="auto"/>
              </w:rPr>
            </w:pPr>
            <w:r>
              <w:rPr>
                <w:rFonts w:ascii="Arial" w:cs="Arial" w:eastAsia="Arial" w:hAnsi="Arial"/>
                <w:sz w:val="14"/>
                <w:szCs w:val="14"/>
                <w:color w:val="auto"/>
              </w:rPr>
              <w:t>2005</w:t>
            </w:r>
          </w:p>
        </w:tc>
        <w:tc>
          <w:tcPr>
            <w:tcW w:w="880" w:type="dxa"/>
            <w:vAlign w:val="bottom"/>
            <w:tcBorders>
              <w:bottom w:val="single" w:sz="8" w:color="auto"/>
            </w:tcBorders>
          </w:tcPr>
          <w:p>
            <w:pPr>
              <w:jc w:val="right"/>
              <w:spacing w:after="0" w:line="149" w:lineRule="exact"/>
              <w:rPr>
                <w:sz w:val="20"/>
                <w:szCs w:val="20"/>
                <w:color w:val="auto"/>
              </w:rPr>
            </w:pPr>
            <w:r>
              <w:rPr>
                <w:rFonts w:ascii="Arial" w:cs="Arial" w:eastAsia="Arial" w:hAnsi="Arial"/>
                <w:sz w:val="14"/>
                <w:szCs w:val="14"/>
                <w:color w:val="auto"/>
              </w:rPr>
              <w:t>2004</w:t>
            </w:r>
          </w:p>
        </w:tc>
        <w:tc>
          <w:tcPr>
            <w:tcW w:w="0" w:type="dxa"/>
            <w:vAlign w:val="bottom"/>
          </w:tcPr>
          <w:p>
            <w:pPr>
              <w:spacing w:after="0"/>
              <w:rPr>
                <w:sz w:val="1"/>
                <w:szCs w:val="1"/>
                <w:color w:val="auto"/>
              </w:rPr>
            </w:pPr>
          </w:p>
        </w:tc>
      </w:tr>
      <w:tr>
        <w:trPr>
          <w:trHeight w:val="199"/>
        </w:trPr>
        <w:tc>
          <w:tcPr>
            <w:tcW w:w="2360" w:type="dxa"/>
            <w:vAlign w:val="bottom"/>
          </w:tcPr>
          <w:p>
            <w:pPr>
              <w:spacing w:after="0" w:line="200" w:lineRule="exact"/>
              <w:rPr>
                <w:sz w:val="20"/>
                <w:szCs w:val="20"/>
                <w:color w:val="auto"/>
              </w:rPr>
            </w:pPr>
            <w:r>
              <w:rPr>
                <w:rFonts w:ascii="Arial" w:cs="Arial" w:eastAsia="Arial" w:hAnsi="Arial"/>
                <w:sz w:val="18"/>
                <w:szCs w:val="18"/>
                <w:color w:val="auto"/>
              </w:rPr>
              <w:t>Interest expense</w:t>
            </w:r>
          </w:p>
        </w:tc>
        <w:tc>
          <w:tcPr>
            <w:tcW w:w="1200" w:type="dxa"/>
            <w:vAlign w:val="bottom"/>
          </w:tcPr>
          <w:p>
            <w:pPr>
              <w:jc w:val="right"/>
              <w:ind w:right="116"/>
              <w:spacing w:after="0" w:line="200" w:lineRule="exact"/>
              <w:rPr>
                <w:sz w:val="20"/>
                <w:szCs w:val="20"/>
                <w:color w:val="auto"/>
              </w:rPr>
            </w:pPr>
            <w:r>
              <w:rPr>
                <w:rFonts w:ascii="Arial" w:cs="Arial" w:eastAsia="Arial" w:hAnsi="Arial"/>
                <w:sz w:val="18"/>
                <w:szCs w:val="18"/>
                <w:b w:val="1"/>
                <w:bCs w:val="1"/>
                <w:color w:val="auto"/>
              </w:rPr>
              <w:t>$(2,064)</w:t>
            </w:r>
          </w:p>
        </w:tc>
        <w:tc>
          <w:tcPr>
            <w:tcW w:w="1040" w:type="dxa"/>
            <w:vAlign w:val="bottom"/>
          </w:tcPr>
          <w:p>
            <w:pPr>
              <w:jc w:val="right"/>
              <w:ind w:right="96"/>
              <w:spacing w:after="0" w:line="200" w:lineRule="exact"/>
              <w:rPr>
                <w:sz w:val="20"/>
                <w:szCs w:val="20"/>
                <w:color w:val="auto"/>
              </w:rPr>
            </w:pPr>
            <w:r>
              <w:rPr>
                <w:rFonts w:ascii="Arial" w:cs="Arial" w:eastAsia="Arial" w:hAnsi="Arial"/>
                <w:sz w:val="18"/>
                <w:szCs w:val="18"/>
                <w:color w:val="auto"/>
              </w:rPr>
              <w:t>$(1,795)</w:t>
            </w:r>
          </w:p>
        </w:tc>
        <w:tc>
          <w:tcPr>
            <w:tcW w:w="880" w:type="dxa"/>
            <w:vAlign w:val="bottom"/>
          </w:tcPr>
          <w:p>
            <w:pPr>
              <w:jc w:val="right"/>
              <w:spacing w:after="0" w:line="200" w:lineRule="exact"/>
              <w:rPr>
                <w:sz w:val="20"/>
                <w:szCs w:val="20"/>
                <w:color w:val="auto"/>
              </w:rPr>
            </w:pPr>
            <w:r>
              <w:rPr>
                <w:rFonts w:ascii="Arial" w:cs="Arial" w:eastAsia="Arial" w:hAnsi="Arial"/>
                <w:sz w:val="18"/>
                <w:szCs w:val="18"/>
                <w:color w:val="auto"/>
              </w:rPr>
              <w:t>$(1,874)</w:t>
            </w:r>
          </w:p>
        </w:tc>
        <w:tc>
          <w:tcPr>
            <w:tcW w:w="0" w:type="dxa"/>
            <w:vAlign w:val="bottom"/>
          </w:tcPr>
          <w:p>
            <w:pPr>
              <w:spacing w:after="0"/>
              <w:rPr>
                <w:sz w:val="1"/>
                <w:szCs w:val="1"/>
                <w:color w:val="auto"/>
              </w:rPr>
            </w:pPr>
          </w:p>
        </w:tc>
      </w:tr>
      <w:tr>
        <w:trPr>
          <w:trHeight w:val="203"/>
        </w:trPr>
        <w:tc>
          <w:tcPr>
            <w:tcW w:w="2360" w:type="dxa"/>
            <w:vAlign w:val="bottom"/>
          </w:tcPr>
          <w:p>
            <w:pPr>
              <w:spacing w:after="0" w:line="202" w:lineRule="exact"/>
              <w:rPr>
                <w:sz w:val="20"/>
                <w:szCs w:val="20"/>
                <w:color w:val="auto"/>
              </w:rPr>
            </w:pPr>
            <w:r>
              <w:rPr>
                <w:rFonts w:ascii="Arial" w:cs="Arial" w:eastAsia="Arial" w:hAnsi="Arial"/>
                <w:sz w:val="18"/>
                <w:szCs w:val="18"/>
                <w:color w:val="auto"/>
              </w:rPr>
              <w:t>Investment income (loss),</w:t>
            </w:r>
          </w:p>
        </w:tc>
        <w:tc>
          <w:tcPr>
            <w:tcW w:w="1200" w:type="dxa"/>
            <w:vAlign w:val="bottom"/>
            <w:vMerge w:val="restart"/>
          </w:tcPr>
          <w:p>
            <w:pPr>
              <w:jc w:val="right"/>
              <w:ind w:right="176"/>
              <w:spacing w:after="0"/>
              <w:rPr>
                <w:sz w:val="20"/>
                <w:szCs w:val="20"/>
                <w:color w:val="auto"/>
              </w:rPr>
            </w:pPr>
            <w:r>
              <w:rPr>
                <w:rFonts w:ascii="Arial" w:cs="Arial" w:eastAsia="Arial" w:hAnsi="Arial"/>
                <w:sz w:val="18"/>
                <w:szCs w:val="18"/>
                <w:b w:val="1"/>
                <w:bCs w:val="1"/>
                <w:color w:val="auto"/>
              </w:rPr>
              <w:t>990</w:t>
            </w:r>
          </w:p>
        </w:tc>
        <w:tc>
          <w:tcPr>
            <w:tcW w:w="104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360" w:type="dxa"/>
            <w:vAlign w:val="bottom"/>
          </w:tcPr>
          <w:p>
            <w:pPr>
              <w:ind w:left="220"/>
              <w:spacing w:after="0" w:line="202" w:lineRule="exact"/>
              <w:rPr>
                <w:sz w:val="20"/>
                <w:szCs w:val="20"/>
                <w:color w:val="auto"/>
              </w:rPr>
            </w:pPr>
            <w:r>
              <w:rPr>
                <w:rFonts w:ascii="Arial" w:cs="Arial" w:eastAsia="Arial" w:hAnsi="Arial"/>
                <w:sz w:val="18"/>
                <w:szCs w:val="18"/>
                <w:color w:val="auto"/>
              </w:rPr>
              <w:t>net</w:t>
            </w:r>
          </w:p>
        </w:tc>
        <w:tc>
          <w:tcPr>
            <w:tcW w:w="1200" w:type="dxa"/>
            <w:vAlign w:val="bottom"/>
            <w:vMerge w:val="continue"/>
          </w:tcPr>
          <w:p>
            <w:pPr>
              <w:spacing w:after="0"/>
              <w:rPr>
                <w:sz w:val="17"/>
                <w:szCs w:val="17"/>
                <w:color w:val="auto"/>
              </w:rPr>
            </w:pPr>
          </w:p>
        </w:tc>
        <w:tc>
          <w:tcPr>
            <w:tcW w:w="1040" w:type="dxa"/>
            <w:vAlign w:val="bottom"/>
          </w:tcPr>
          <w:p>
            <w:pPr>
              <w:jc w:val="right"/>
              <w:ind w:right="156"/>
              <w:spacing w:after="0" w:line="202" w:lineRule="exact"/>
              <w:rPr>
                <w:sz w:val="20"/>
                <w:szCs w:val="20"/>
                <w:color w:val="auto"/>
              </w:rPr>
            </w:pPr>
            <w:r>
              <w:rPr>
                <w:rFonts w:ascii="Arial" w:cs="Arial" w:eastAsia="Arial" w:hAnsi="Arial"/>
                <w:sz w:val="18"/>
                <w:szCs w:val="18"/>
                <w:color w:val="auto"/>
              </w:rPr>
              <w:t>89</w:t>
            </w:r>
          </w:p>
        </w:tc>
        <w:tc>
          <w:tcPr>
            <w:tcW w:w="880" w:type="dxa"/>
            <w:vAlign w:val="bottom"/>
          </w:tcPr>
          <w:p>
            <w:pPr>
              <w:jc w:val="right"/>
              <w:spacing w:after="0" w:line="202" w:lineRule="exact"/>
              <w:rPr>
                <w:sz w:val="20"/>
                <w:szCs w:val="20"/>
                <w:color w:val="auto"/>
              </w:rPr>
            </w:pPr>
            <w:r>
              <w:rPr>
                <w:rFonts w:ascii="Arial" w:cs="Arial" w:eastAsia="Arial" w:hAnsi="Arial"/>
                <w:sz w:val="18"/>
                <w:szCs w:val="18"/>
                <w:color w:val="auto"/>
              </w:rPr>
              <w:t>472</w:t>
            </w:r>
          </w:p>
        </w:tc>
        <w:tc>
          <w:tcPr>
            <w:tcW w:w="0" w:type="dxa"/>
            <w:vAlign w:val="bottom"/>
          </w:tcPr>
          <w:p>
            <w:pPr>
              <w:spacing w:after="0"/>
              <w:rPr>
                <w:sz w:val="1"/>
                <w:szCs w:val="1"/>
                <w:color w:val="auto"/>
              </w:rPr>
            </w:pPr>
          </w:p>
        </w:tc>
      </w:tr>
      <w:tr>
        <w:trPr>
          <w:trHeight w:val="203"/>
        </w:trPr>
        <w:tc>
          <w:tcPr>
            <w:tcW w:w="2360" w:type="dxa"/>
            <w:vAlign w:val="bottom"/>
          </w:tcPr>
          <w:p>
            <w:pPr>
              <w:spacing w:after="0" w:line="202" w:lineRule="exact"/>
              <w:rPr>
                <w:sz w:val="20"/>
                <w:szCs w:val="20"/>
                <w:color w:val="auto"/>
              </w:rPr>
            </w:pPr>
            <w:r>
              <w:rPr>
                <w:rFonts w:ascii="Arial" w:cs="Arial" w:eastAsia="Arial" w:hAnsi="Arial"/>
                <w:sz w:val="18"/>
                <w:szCs w:val="18"/>
                <w:color w:val="auto"/>
              </w:rPr>
              <w:t>Equity in net (losses)</w:t>
            </w:r>
          </w:p>
        </w:tc>
        <w:tc>
          <w:tcPr>
            <w:tcW w:w="1200" w:type="dxa"/>
            <w:vAlign w:val="bottom"/>
            <w:vMerge w:val="restart"/>
          </w:tcPr>
          <w:p>
            <w:pPr>
              <w:jc w:val="right"/>
              <w:ind w:right="116"/>
              <w:spacing w:after="0"/>
              <w:rPr>
                <w:sz w:val="20"/>
                <w:szCs w:val="20"/>
                <w:color w:val="auto"/>
              </w:rPr>
            </w:pPr>
            <w:r>
              <w:rPr>
                <w:rFonts w:ascii="Arial" w:cs="Arial" w:eastAsia="Arial" w:hAnsi="Arial"/>
                <w:sz w:val="18"/>
                <w:szCs w:val="18"/>
                <w:b w:val="1"/>
                <w:bCs w:val="1"/>
                <w:color w:val="auto"/>
              </w:rPr>
              <w:t>(124)</w:t>
            </w:r>
          </w:p>
        </w:tc>
        <w:tc>
          <w:tcPr>
            <w:tcW w:w="104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81"/>
        </w:trPr>
        <w:tc>
          <w:tcPr>
            <w:tcW w:w="2360" w:type="dxa"/>
            <w:vAlign w:val="bottom"/>
          </w:tcPr>
          <w:p>
            <w:pPr>
              <w:ind w:left="220"/>
              <w:spacing w:after="0" w:line="181" w:lineRule="exact"/>
              <w:rPr>
                <w:sz w:val="20"/>
                <w:szCs w:val="20"/>
                <w:color w:val="auto"/>
              </w:rPr>
            </w:pPr>
            <w:r>
              <w:rPr>
                <w:rFonts w:ascii="Arial" w:cs="Arial" w:eastAsia="Arial" w:hAnsi="Arial"/>
                <w:sz w:val="18"/>
                <w:szCs w:val="18"/>
                <w:color w:val="auto"/>
              </w:rPr>
              <w:t>income of affiliates, net</w:t>
            </w:r>
          </w:p>
        </w:tc>
        <w:tc>
          <w:tcPr>
            <w:tcW w:w="1200" w:type="dxa"/>
            <w:vAlign w:val="bottom"/>
            <w:vMerge w:val="continue"/>
          </w:tcPr>
          <w:p>
            <w:pPr>
              <w:spacing w:after="0"/>
              <w:rPr>
                <w:sz w:val="15"/>
                <w:szCs w:val="15"/>
                <w:color w:val="auto"/>
              </w:rPr>
            </w:pPr>
          </w:p>
        </w:tc>
        <w:tc>
          <w:tcPr>
            <w:tcW w:w="1040" w:type="dxa"/>
            <w:vAlign w:val="bottom"/>
          </w:tcPr>
          <w:p>
            <w:pPr>
              <w:jc w:val="right"/>
              <w:ind w:right="96"/>
              <w:spacing w:after="0" w:line="181" w:lineRule="exact"/>
              <w:rPr>
                <w:sz w:val="20"/>
                <w:szCs w:val="20"/>
                <w:color w:val="auto"/>
              </w:rPr>
            </w:pPr>
            <w:r>
              <w:rPr>
                <w:rFonts w:ascii="Arial" w:cs="Arial" w:eastAsia="Arial" w:hAnsi="Arial"/>
                <w:sz w:val="18"/>
                <w:szCs w:val="18"/>
                <w:color w:val="auto"/>
              </w:rPr>
              <w:t>(42)</w:t>
            </w:r>
          </w:p>
        </w:tc>
        <w:tc>
          <w:tcPr>
            <w:tcW w:w="880" w:type="dxa"/>
            <w:vAlign w:val="bottom"/>
          </w:tcPr>
          <w:p>
            <w:pPr>
              <w:jc w:val="right"/>
              <w:spacing w:after="0" w:line="181" w:lineRule="exact"/>
              <w:rPr>
                <w:sz w:val="20"/>
                <w:szCs w:val="20"/>
                <w:color w:val="auto"/>
              </w:rPr>
            </w:pPr>
            <w:r>
              <w:rPr>
                <w:rFonts w:ascii="Arial" w:cs="Arial" w:eastAsia="Arial" w:hAnsi="Arial"/>
                <w:sz w:val="18"/>
                <w:szCs w:val="18"/>
                <w:color w:val="auto"/>
              </w:rPr>
              <w:t>(81)</w:t>
            </w:r>
          </w:p>
        </w:tc>
        <w:tc>
          <w:tcPr>
            <w:tcW w:w="0" w:type="dxa"/>
            <w:vAlign w:val="bottom"/>
          </w:tcPr>
          <w:p>
            <w:pPr>
              <w:spacing w:after="0"/>
              <w:rPr>
                <w:sz w:val="1"/>
                <w:szCs w:val="1"/>
                <w:color w:val="auto"/>
              </w:rPr>
            </w:pPr>
          </w:p>
        </w:tc>
      </w:tr>
      <w:tr>
        <w:trPr>
          <w:trHeight w:val="221"/>
        </w:trPr>
        <w:tc>
          <w:tcPr>
            <w:tcW w:w="236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Other income (expense)</w:t>
            </w:r>
          </w:p>
        </w:tc>
        <w:tc>
          <w:tcPr>
            <w:tcW w:w="1200" w:type="dxa"/>
            <w:vAlign w:val="bottom"/>
            <w:tcBorders>
              <w:bottom w:val="single" w:sz="8" w:color="auto"/>
            </w:tcBorders>
          </w:tcPr>
          <w:p>
            <w:pPr>
              <w:jc w:val="right"/>
              <w:ind w:right="176"/>
              <w:spacing w:after="0"/>
              <w:rPr>
                <w:sz w:val="20"/>
                <w:szCs w:val="20"/>
                <w:color w:val="auto"/>
              </w:rPr>
            </w:pPr>
            <w:r>
              <w:rPr>
                <w:rFonts w:ascii="Arial" w:cs="Arial" w:eastAsia="Arial" w:hAnsi="Arial"/>
                <w:sz w:val="18"/>
                <w:szCs w:val="18"/>
                <w:b w:val="1"/>
                <w:bCs w:val="1"/>
                <w:color w:val="auto"/>
              </w:rPr>
              <w:t>173</w:t>
            </w:r>
          </w:p>
        </w:tc>
        <w:tc>
          <w:tcPr>
            <w:tcW w:w="1040" w:type="dxa"/>
            <w:vAlign w:val="bottom"/>
            <w:tcBorders>
              <w:bottom w:val="single" w:sz="8" w:color="auto"/>
            </w:tcBorders>
          </w:tcPr>
          <w:p>
            <w:pPr>
              <w:jc w:val="right"/>
              <w:ind w:right="96"/>
              <w:spacing w:after="0"/>
              <w:rPr>
                <w:sz w:val="20"/>
                <w:szCs w:val="20"/>
                <w:color w:val="auto"/>
              </w:rPr>
            </w:pPr>
            <w:r>
              <w:rPr>
                <w:rFonts w:ascii="Arial" w:cs="Arial" w:eastAsia="Arial" w:hAnsi="Arial"/>
                <w:sz w:val="18"/>
                <w:szCs w:val="18"/>
                <w:color w:val="auto"/>
              </w:rPr>
              <w:t>(53)</w:t>
            </w:r>
          </w:p>
        </w:tc>
        <w:tc>
          <w:tcPr>
            <w:tcW w:w="8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397</w:t>
            </w:r>
          </w:p>
        </w:tc>
        <w:tc>
          <w:tcPr>
            <w:tcW w:w="0" w:type="dxa"/>
            <w:vAlign w:val="bottom"/>
          </w:tcPr>
          <w:p>
            <w:pPr>
              <w:spacing w:after="0"/>
              <w:rPr>
                <w:sz w:val="1"/>
                <w:szCs w:val="1"/>
                <w:color w:val="auto"/>
              </w:rPr>
            </w:pPr>
          </w:p>
        </w:tc>
      </w:tr>
      <w:tr>
        <w:trPr>
          <w:trHeight w:val="196"/>
        </w:trPr>
        <w:tc>
          <w:tcPr>
            <w:tcW w:w="2360" w:type="dxa"/>
            <w:vAlign w:val="bottom"/>
            <w:tcBorders>
              <w:bottom w:val="single" w:sz="8" w:color="35BF85"/>
            </w:tcBorders>
          </w:tcPr>
          <w:p>
            <w:pPr>
              <w:spacing w:after="0" w:line="196" w:lineRule="exact"/>
              <w:rPr>
                <w:sz w:val="20"/>
                <w:szCs w:val="20"/>
                <w:color w:val="auto"/>
              </w:rPr>
            </w:pPr>
            <w:r>
              <w:rPr>
                <w:rFonts w:ascii="Arial" w:cs="Arial" w:eastAsia="Arial" w:hAnsi="Arial"/>
                <w:sz w:val="18"/>
                <w:szCs w:val="18"/>
                <w:color w:val="auto"/>
              </w:rPr>
              <w:t>Total</w:t>
            </w:r>
          </w:p>
        </w:tc>
        <w:tc>
          <w:tcPr>
            <w:tcW w:w="1200" w:type="dxa"/>
            <w:vAlign w:val="bottom"/>
            <w:tcBorders>
              <w:bottom w:val="single" w:sz="8" w:color="35BF85"/>
            </w:tcBorders>
          </w:tcPr>
          <w:p>
            <w:pPr>
              <w:jc w:val="right"/>
              <w:ind w:right="116"/>
              <w:spacing w:after="0" w:line="196" w:lineRule="exact"/>
              <w:rPr>
                <w:sz w:val="20"/>
                <w:szCs w:val="20"/>
                <w:color w:val="auto"/>
              </w:rPr>
            </w:pPr>
            <w:r>
              <w:rPr>
                <w:rFonts w:ascii="Arial" w:cs="Arial" w:eastAsia="Arial" w:hAnsi="Arial"/>
                <w:sz w:val="18"/>
                <w:szCs w:val="18"/>
                <w:b w:val="1"/>
                <w:bCs w:val="1"/>
                <w:color w:val="auto"/>
              </w:rPr>
              <w:t>$(1,025)</w:t>
            </w:r>
          </w:p>
        </w:tc>
        <w:tc>
          <w:tcPr>
            <w:tcW w:w="1040" w:type="dxa"/>
            <w:vAlign w:val="bottom"/>
            <w:tcBorders>
              <w:bottom w:val="single" w:sz="8" w:color="35BF85"/>
            </w:tcBorders>
          </w:tcPr>
          <w:p>
            <w:pPr>
              <w:jc w:val="right"/>
              <w:ind w:right="96"/>
              <w:spacing w:after="0" w:line="196" w:lineRule="exact"/>
              <w:rPr>
                <w:sz w:val="20"/>
                <w:szCs w:val="20"/>
                <w:color w:val="auto"/>
              </w:rPr>
            </w:pPr>
            <w:r>
              <w:rPr>
                <w:rFonts w:ascii="Arial" w:cs="Arial" w:eastAsia="Arial" w:hAnsi="Arial"/>
                <w:sz w:val="18"/>
                <w:szCs w:val="18"/>
                <w:color w:val="auto"/>
              </w:rPr>
              <w:t>$(1,801)</w:t>
            </w:r>
          </w:p>
        </w:tc>
        <w:tc>
          <w:tcPr>
            <w:tcW w:w="880" w:type="dxa"/>
            <w:vAlign w:val="bottom"/>
            <w:tcBorders>
              <w:bottom w:val="single" w:sz="8" w:color="35BF85"/>
            </w:tcBorders>
          </w:tcPr>
          <w:p>
            <w:pPr>
              <w:jc w:val="right"/>
              <w:spacing w:after="0" w:line="196" w:lineRule="exact"/>
              <w:rPr>
                <w:sz w:val="20"/>
                <w:szCs w:val="20"/>
                <w:color w:val="auto"/>
              </w:rPr>
            </w:pPr>
            <w:r>
              <w:rPr>
                <w:rFonts w:ascii="Arial" w:cs="Arial" w:eastAsia="Arial" w:hAnsi="Arial"/>
                <w:sz w:val="18"/>
                <w:szCs w:val="18"/>
                <w:color w:val="auto"/>
              </w:rPr>
              <w:t>$(1,086)</w:t>
            </w:r>
          </w:p>
        </w:tc>
        <w:tc>
          <w:tcPr>
            <w:tcW w:w="0" w:type="dxa"/>
            <w:vAlign w:val="bottom"/>
          </w:tcPr>
          <w:p>
            <w:pPr>
              <w:spacing w:after="0"/>
              <w:rPr>
                <w:sz w:val="1"/>
                <w:szCs w:val="1"/>
                <w:color w:val="auto"/>
              </w:rPr>
            </w:pPr>
          </w:p>
        </w:tc>
      </w:tr>
    </w:tbl>
    <w:p>
      <w:pPr>
        <w:spacing w:after="0" w:line="14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Interest Expense</w:t>
      </w:r>
    </w:p>
    <w:p>
      <w:pPr>
        <w:spacing w:after="0" w:line="18" w:lineRule="exact"/>
        <w:rPr>
          <w:sz w:val="20"/>
          <w:szCs w:val="20"/>
          <w:color w:val="auto"/>
        </w:rPr>
      </w:pPr>
    </w:p>
    <w:p>
      <w:pPr>
        <w:jc w:val="both"/>
        <w:ind w:right="120"/>
        <w:spacing w:after="0" w:line="273" w:lineRule="auto"/>
        <w:rPr>
          <w:sz w:val="20"/>
          <w:szCs w:val="20"/>
          <w:color w:val="auto"/>
        </w:rPr>
      </w:pPr>
      <w:r>
        <w:rPr>
          <w:rFonts w:ascii="Arial" w:cs="Arial" w:eastAsia="Arial" w:hAnsi="Arial"/>
          <w:sz w:val="16"/>
          <w:szCs w:val="16"/>
          <w:color w:val="auto"/>
        </w:rPr>
        <w:t>The increase in interest expense for 2006 from 2005 was primarily the result of an increase in our average debt outstanding and higher interest rates on our variable-rate debt, as well as $57 million of gains recognized in 2005 in connection with the early extinguishment of some of our debt facilities. The decrease in interest expense for 2005</w:t>
      </w:r>
    </w:p>
    <w:p>
      <w:pPr>
        <w:spacing w:after="0" w:line="275" w:lineRule="exact"/>
        <w:rPr>
          <w:sz w:val="20"/>
          <w:szCs w:val="20"/>
          <w:color w:val="auto"/>
        </w:rPr>
      </w:pPr>
    </w:p>
    <w:p>
      <w:pPr>
        <w:sectPr>
          <w:pgSz w:w="11900" w:h="16838" w:orient="portrait"/>
          <w:cols w:equalWidth="0" w:num="2">
            <w:col w:w="5480" w:space="340"/>
            <w:col w:w="5600"/>
          </w:cols>
          <w:pgMar w:left="240" w:top="459" w:right="239" w:bottom="1440" w:gutter="0" w:footer="0" w:header="0"/>
          <w:type w:val="continuous"/>
        </w:sectPr>
      </w:pPr>
    </w:p>
    <w:p>
      <w:pPr>
        <w:spacing w:after="0" w:line="130" w:lineRule="exact"/>
        <w:rPr>
          <w:sz w:val="20"/>
          <w:szCs w:val="20"/>
          <w:color w:val="auto"/>
        </w:rPr>
      </w:pPr>
    </w:p>
    <w:p>
      <w:pPr>
        <w:ind w:left="5680"/>
        <w:spacing w:after="0"/>
        <w:tabs>
          <w:tab w:leader="none" w:pos="9180" w:val="left"/>
        </w:tabs>
        <w:rPr>
          <w:sz w:val="20"/>
          <w:szCs w:val="20"/>
          <w:color w:val="auto"/>
        </w:rPr>
      </w:pPr>
      <w:r>
        <w:rPr>
          <w:rFonts w:ascii="Arial" w:cs="Arial" w:eastAsia="Arial" w:hAnsi="Arial"/>
          <w:sz w:val="12"/>
          <w:szCs w:val="12"/>
          <w:b w:val="1"/>
          <w:bCs w:val="1"/>
          <w:color w:val="auto"/>
        </w:rPr>
        <w:t>31</w:t>
      </w:r>
      <w:r>
        <w:rPr>
          <w:sz w:val="20"/>
          <w:szCs w:val="20"/>
          <w:color w:val="auto"/>
        </w:rPr>
        <w:tab/>
      </w:r>
      <w:r>
        <w:rPr>
          <w:rFonts w:ascii="Arial" w:cs="Arial" w:eastAsia="Arial" w:hAnsi="Arial"/>
          <w:sz w:val="12"/>
          <w:szCs w:val="12"/>
          <w:color w:val="auto"/>
        </w:rPr>
        <w:t xml:space="preserve">Comcast 2006 Annual Report </w:t>
      </w:r>
      <w:r>
        <w:rPr>
          <w:rFonts w:ascii="Arial" w:cs="Arial" w:eastAsia="Arial" w:hAnsi="Arial"/>
          <w:sz w:val="12"/>
          <w:szCs w:val="12"/>
          <w:b w:val="1"/>
          <w:bCs w:val="1"/>
          <w:color w:val="auto"/>
        </w:rPr>
        <w:t>MD&amp;A</w:t>
      </w:r>
    </w:p>
    <w:p>
      <w:pPr>
        <w:sectPr>
          <w:pgSz w:w="11900" w:h="16838" w:orient="portrait"/>
          <w:cols w:equalWidth="0" w:num="1">
            <w:col w:w="11420"/>
          </w:cols>
          <w:pgMar w:left="240" w:top="459" w:right="239" w:bottom="1440" w:gutter="0" w:footer="0" w:header="0"/>
          <w:type w:val="continuous"/>
        </w:sectPr>
      </w:pPr>
    </w:p>
    <w:bookmarkStart w:id="108" w:name="page109"/>
    <w:bookmarkEnd w:id="108"/>
    <w:p>
      <w:pPr>
        <w:spacing w:after="0"/>
        <w:rPr>
          <w:rFonts w:ascii="Arial" w:cs="Arial" w:eastAsia="Arial" w:hAnsi="Arial"/>
          <w:sz w:val="16"/>
          <w:szCs w:val="16"/>
          <w:b w:val="1"/>
          <w:bCs w:val="1"/>
          <w:u w:val="single" w:color="auto"/>
          <w:color w:val="0000EE"/>
        </w:rPr>
      </w:pPr>
      <w:r>
        <w:rPr>
          <w:rFonts w:ascii="Arial" w:cs="Arial" w:eastAsia="Arial" w:hAnsi="Arial"/>
          <w:sz w:val="16"/>
          <w:szCs w:val="16"/>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154" name="Picture 1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4"/>
                    <pic:cNvPicPr>
                      <a:picLocks noChangeAspect="1" noChangeArrowheads="1"/>
                    </pic:cNvPicPr>
                  </pic:nvPicPr>
                  <pic:blipFill>
                    <a:blip r:embed="rId161">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3">
        <w:r>
          <w:rPr>
            <w:rFonts w:ascii="Arial" w:cs="Arial" w:eastAsia="Arial" w:hAnsi="Arial"/>
            <w:sz w:val="16"/>
            <w:szCs w:val="16"/>
            <w:b w:val="1"/>
            <w:bCs w:val="1"/>
            <w:u w:val="single" w:color="auto"/>
            <w:color w:val="0000EE"/>
          </w:rPr>
          <w:t>Table of Contents</w:t>
        </w:r>
      </w:hyperlink>
    </w:p>
    <w:p>
      <w:pPr>
        <w:sectPr>
          <w:pgSz w:w="11900" w:h="16838" w:orient="portrait"/>
          <w:cols w:equalWidth="0" w:num="1">
            <w:col w:w="11300"/>
          </w:cols>
          <w:pgMar w:left="240" w:top="459" w:right="359" w:bottom="1440" w:gutter="0" w:footer="0" w:header="0"/>
        </w:sectPr>
      </w:pPr>
    </w:p>
    <w:p>
      <w:pPr>
        <w:spacing w:after="0" w:line="200" w:lineRule="exact"/>
        <w:rPr>
          <w:sz w:val="20"/>
          <w:szCs w:val="20"/>
          <w:color w:val="auto"/>
        </w:rPr>
      </w:pPr>
    </w:p>
    <w:p>
      <w:pPr>
        <w:spacing w:after="0" w:line="299" w:lineRule="exact"/>
        <w:rPr>
          <w:sz w:val="20"/>
          <w:szCs w:val="20"/>
          <w:color w:val="auto"/>
        </w:rPr>
      </w:pPr>
    </w:p>
    <w:p>
      <w:pPr>
        <w:jc w:val="both"/>
        <w:spacing w:after="0" w:line="275" w:lineRule="auto"/>
        <w:rPr>
          <w:sz w:val="20"/>
          <w:szCs w:val="20"/>
          <w:color w:val="auto"/>
        </w:rPr>
      </w:pPr>
      <w:r>
        <w:rPr>
          <w:rFonts w:ascii="Arial" w:cs="Arial" w:eastAsia="Arial" w:hAnsi="Arial"/>
          <w:sz w:val="16"/>
          <w:szCs w:val="16"/>
          <w:color w:val="auto"/>
        </w:rPr>
        <w:t>from 2004 was primarily the result of $57 million of gains recognized in 2005 and $69 million of losses recognized in 2004 in connection with the early extinguishment of some of our debt facilities, partially offset by the effects of higher interest rates on variable-rate debt in 2005.</w:t>
      </w:r>
    </w:p>
    <w:p>
      <w:pPr>
        <w:spacing w:after="0" w:line="10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Investment Income (Loss), Net</w:t>
      </w:r>
    </w:p>
    <w:p>
      <w:pPr>
        <w:spacing w:after="0" w:line="18" w:lineRule="exact"/>
        <w:rPr>
          <w:sz w:val="20"/>
          <w:szCs w:val="20"/>
          <w:color w:val="auto"/>
        </w:rPr>
      </w:pPr>
    </w:p>
    <w:p>
      <w:pPr>
        <w:jc w:val="both"/>
        <w:spacing w:after="0" w:line="236" w:lineRule="auto"/>
        <w:rPr>
          <w:rFonts w:ascii="Arial" w:cs="Arial" w:eastAsia="Arial" w:hAnsi="Arial"/>
          <w:sz w:val="18"/>
          <w:szCs w:val="18"/>
          <w:color w:val="auto"/>
        </w:rPr>
      </w:pPr>
      <w:r>
        <w:rPr>
          <w:rFonts w:ascii="Arial" w:cs="Arial" w:eastAsia="Arial" w:hAnsi="Arial"/>
          <w:sz w:val="18"/>
          <w:szCs w:val="18"/>
          <w:color w:val="auto"/>
        </w:rPr>
        <w:t xml:space="preserve">The components of investment income (loss), net for 2006, 2005 and 2004 are presented in a table in </w:t>
      </w:r>
      <w:hyperlink w:anchor="page128">
        <w:r>
          <w:rPr>
            <w:rFonts w:ascii="Arial" w:cs="Arial" w:eastAsia="Arial" w:hAnsi="Arial"/>
            <w:sz w:val="18"/>
            <w:szCs w:val="18"/>
            <w:u w:val="single" w:color="auto"/>
            <w:color w:val="0000EE"/>
          </w:rPr>
          <w:t>Note 6</w:t>
        </w:r>
        <w:r>
          <w:rPr>
            <w:rFonts w:ascii="Arial" w:cs="Arial" w:eastAsia="Arial" w:hAnsi="Arial"/>
            <w:sz w:val="18"/>
            <w:szCs w:val="18"/>
            <w:u w:val="single" w:color="auto"/>
            <w:color w:val="auto"/>
          </w:rPr>
          <w:t xml:space="preserve"> </w:t>
        </w:r>
      </w:hyperlink>
      <w:r>
        <w:rPr>
          <w:rFonts w:ascii="Arial" w:cs="Arial" w:eastAsia="Arial" w:hAnsi="Arial"/>
          <w:sz w:val="18"/>
          <w:szCs w:val="18"/>
          <w:color w:val="auto"/>
        </w:rPr>
        <w:t>to our consolidated financial statements. In connection with the Adelphia and Time Warner transactions, we recognized gains of approximately $646 million for the year ended December 31, 2006.</w:t>
      </w:r>
    </w:p>
    <w:p>
      <w:pPr>
        <w:spacing w:after="0" w:line="157" w:lineRule="exact"/>
        <w:rPr>
          <w:sz w:val="20"/>
          <w:szCs w:val="20"/>
          <w:color w:val="auto"/>
        </w:rPr>
      </w:pPr>
    </w:p>
    <w:p>
      <w:pPr>
        <w:jc w:val="both"/>
        <w:spacing w:after="0" w:line="270" w:lineRule="auto"/>
        <w:rPr>
          <w:rFonts w:ascii="Arial" w:cs="Arial" w:eastAsia="Arial" w:hAnsi="Arial"/>
          <w:sz w:val="16"/>
          <w:szCs w:val="16"/>
          <w:color w:val="auto"/>
        </w:rPr>
      </w:pPr>
      <w:r>
        <w:rPr>
          <w:rFonts w:ascii="Arial" w:cs="Arial" w:eastAsia="Arial" w:hAnsi="Arial"/>
          <w:sz w:val="16"/>
          <w:szCs w:val="16"/>
          <w:color w:val="auto"/>
        </w:rPr>
        <w:t xml:space="preserve">We have entered into derivative financial instruments that we account for at fair value and which economically hedge the market price fluctuations in the common stock of substantially all of our investments accounted for as trading securities. The differences between the unrealized gains (losses) on trading securities and the mark to market adjustments on derivatives related to trading securities, as presented in the table in </w:t>
      </w:r>
      <w:hyperlink w:anchor="page128">
        <w:r>
          <w:rPr>
            <w:rFonts w:ascii="Arial" w:cs="Arial" w:eastAsia="Arial" w:hAnsi="Arial"/>
            <w:sz w:val="16"/>
            <w:szCs w:val="16"/>
            <w:u w:val="single" w:color="auto"/>
            <w:color w:val="0000EE"/>
          </w:rPr>
          <w:t>Note 6</w:t>
        </w:r>
      </w:hyperlink>
      <w:r>
        <w:rPr>
          <w:rFonts w:ascii="Arial" w:cs="Arial" w:eastAsia="Arial" w:hAnsi="Arial"/>
          <w:sz w:val="16"/>
          <w:szCs w:val="16"/>
          <w:color w:val="auto"/>
        </w:rPr>
        <w:t>, result from one or more of the following:</w:t>
      </w:r>
    </w:p>
    <w:p>
      <w:pPr>
        <w:spacing w:after="0" w:line="172" w:lineRule="exact"/>
        <w:rPr>
          <w:sz w:val="20"/>
          <w:szCs w:val="20"/>
          <w:color w:val="auto"/>
        </w:rPr>
      </w:pPr>
    </w:p>
    <w:p>
      <w:pPr>
        <w:ind w:left="120" w:hanging="112"/>
        <w:spacing w:after="0" w:line="239" w:lineRule="auto"/>
        <w:tabs>
          <w:tab w:leader="none" w:pos="120" w:val="left"/>
        </w:tabs>
        <w:numPr>
          <w:ilvl w:val="0"/>
          <w:numId w:val="83"/>
        </w:numPr>
        <w:rPr>
          <w:rFonts w:ascii="Arial" w:cs="Arial" w:eastAsia="Arial" w:hAnsi="Arial"/>
          <w:sz w:val="18"/>
          <w:szCs w:val="18"/>
          <w:color w:val="auto"/>
        </w:rPr>
      </w:pPr>
      <w:r>
        <w:rPr>
          <w:rFonts w:ascii="Arial" w:cs="Arial" w:eastAsia="Arial" w:hAnsi="Arial"/>
          <w:sz w:val="18"/>
          <w:szCs w:val="18"/>
          <w:color w:val="auto"/>
        </w:rPr>
        <w:t>we did not maintain an economic hedge for our entire investment in the security during some or all of the period</w:t>
      </w:r>
    </w:p>
    <w:p>
      <w:pPr>
        <w:spacing w:after="0" w:line="195" w:lineRule="exact"/>
        <w:rPr>
          <w:rFonts w:ascii="Arial" w:cs="Arial" w:eastAsia="Arial" w:hAnsi="Arial"/>
          <w:sz w:val="18"/>
          <w:szCs w:val="18"/>
          <w:color w:val="auto"/>
        </w:rPr>
      </w:pPr>
    </w:p>
    <w:p>
      <w:pPr>
        <w:ind w:left="120" w:hanging="112"/>
        <w:spacing w:after="0" w:line="239" w:lineRule="auto"/>
        <w:tabs>
          <w:tab w:leader="none" w:pos="120" w:val="left"/>
        </w:tabs>
        <w:numPr>
          <w:ilvl w:val="0"/>
          <w:numId w:val="83"/>
        </w:numPr>
        <w:rPr>
          <w:rFonts w:ascii="Arial" w:cs="Arial" w:eastAsia="Arial" w:hAnsi="Arial"/>
          <w:sz w:val="18"/>
          <w:szCs w:val="18"/>
          <w:color w:val="auto"/>
        </w:rPr>
      </w:pPr>
      <w:r>
        <w:rPr>
          <w:rFonts w:ascii="Arial" w:cs="Arial" w:eastAsia="Arial" w:hAnsi="Arial"/>
          <w:sz w:val="18"/>
          <w:szCs w:val="18"/>
          <w:color w:val="auto"/>
        </w:rPr>
        <w:t>there were changes in the derivative valuation assumptions such as interest rates, volatility and dividend policy</w:t>
      </w:r>
    </w:p>
    <w:p>
      <w:pPr>
        <w:spacing w:after="0" w:line="195" w:lineRule="exact"/>
        <w:rPr>
          <w:rFonts w:ascii="Arial" w:cs="Arial" w:eastAsia="Arial" w:hAnsi="Arial"/>
          <w:sz w:val="18"/>
          <w:szCs w:val="18"/>
          <w:color w:val="auto"/>
        </w:rPr>
      </w:pPr>
    </w:p>
    <w:p>
      <w:pPr>
        <w:jc w:val="both"/>
        <w:ind w:left="120" w:hanging="112"/>
        <w:spacing w:after="0" w:line="238" w:lineRule="auto"/>
        <w:tabs>
          <w:tab w:leader="none" w:pos="120" w:val="left"/>
        </w:tabs>
        <w:numPr>
          <w:ilvl w:val="0"/>
          <w:numId w:val="83"/>
        </w:numPr>
        <w:rPr>
          <w:rFonts w:ascii="Arial" w:cs="Arial" w:eastAsia="Arial" w:hAnsi="Arial"/>
          <w:sz w:val="18"/>
          <w:szCs w:val="18"/>
          <w:color w:val="auto"/>
        </w:rPr>
      </w:pPr>
      <w:r>
        <w:rPr>
          <w:rFonts w:ascii="Arial" w:cs="Arial" w:eastAsia="Arial" w:hAnsi="Arial"/>
          <w:sz w:val="18"/>
          <w:szCs w:val="18"/>
          <w:color w:val="auto"/>
        </w:rPr>
        <w:t>the magnitude of the difference between the market price of the underlying security to which the derivative relates and the strike price of the derivative</w:t>
      </w:r>
    </w:p>
    <w:p>
      <w:pPr>
        <w:spacing w:after="0" w:line="194" w:lineRule="exact"/>
        <w:rPr>
          <w:rFonts w:ascii="Arial" w:cs="Arial" w:eastAsia="Arial" w:hAnsi="Arial"/>
          <w:sz w:val="18"/>
          <w:szCs w:val="18"/>
          <w:color w:val="auto"/>
        </w:rPr>
      </w:pPr>
    </w:p>
    <w:p>
      <w:pPr>
        <w:ind w:left="120" w:hanging="112"/>
        <w:spacing w:after="0" w:line="239" w:lineRule="auto"/>
        <w:tabs>
          <w:tab w:leader="none" w:pos="120" w:val="left"/>
        </w:tabs>
        <w:numPr>
          <w:ilvl w:val="0"/>
          <w:numId w:val="83"/>
        </w:numPr>
        <w:rPr>
          <w:rFonts w:ascii="Arial" w:cs="Arial" w:eastAsia="Arial" w:hAnsi="Arial"/>
          <w:sz w:val="18"/>
          <w:szCs w:val="18"/>
          <w:color w:val="auto"/>
        </w:rPr>
      </w:pPr>
      <w:r>
        <w:rPr>
          <w:rFonts w:ascii="Arial" w:cs="Arial" w:eastAsia="Arial" w:hAnsi="Arial"/>
          <w:sz w:val="18"/>
          <w:szCs w:val="18"/>
          <w:color w:val="auto"/>
        </w:rPr>
        <w:t>the change in the time value component of the derivative value during the period</w:t>
      </w:r>
    </w:p>
    <w:p>
      <w:pPr>
        <w:spacing w:after="0" w:line="195" w:lineRule="exact"/>
        <w:rPr>
          <w:rFonts w:ascii="Arial" w:cs="Arial" w:eastAsia="Arial" w:hAnsi="Arial"/>
          <w:sz w:val="18"/>
          <w:szCs w:val="18"/>
          <w:color w:val="auto"/>
        </w:rPr>
      </w:pPr>
    </w:p>
    <w:p>
      <w:pPr>
        <w:jc w:val="both"/>
        <w:ind w:left="120" w:hanging="112"/>
        <w:spacing w:after="0" w:line="238" w:lineRule="auto"/>
        <w:tabs>
          <w:tab w:leader="none" w:pos="120" w:val="left"/>
        </w:tabs>
        <w:numPr>
          <w:ilvl w:val="0"/>
          <w:numId w:val="83"/>
        </w:numPr>
        <w:rPr>
          <w:rFonts w:ascii="Arial" w:cs="Arial" w:eastAsia="Arial" w:hAnsi="Arial"/>
          <w:sz w:val="18"/>
          <w:szCs w:val="18"/>
          <w:color w:val="auto"/>
        </w:rPr>
      </w:pPr>
      <w:r>
        <w:rPr>
          <w:rFonts w:ascii="Arial" w:cs="Arial" w:eastAsia="Arial" w:hAnsi="Arial"/>
          <w:sz w:val="18"/>
          <w:szCs w:val="18"/>
          <w:color w:val="auto"/>
        </w:rPr>
        <w:t>the security to which the derivative relates changed due to a corporate reorganization of the issuing company to a security with a different volatility rate</w:t>
      </w:r>
    </w:p>
    <w:p>
      <w:pPr>
        <w:spacing w:after="0" w:line="13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Equity in Net (losses) Income of Affiliates, Net</w:t>
      </w:r>
    </w:p>
    <w:p>
      <w:pPr>
        <w:spacing w:after="0" w:line="18" w:lineRule="exact"/>
        <w:rPr>
          <w:sz w:val="20"/>
          <w:szCs w:val="20"/>
          <w:color w:val="auto"/>
        </w:rPr>
      </w:pPr>
    </w:p>
    <w:p>
      <w:pPr>
        <w:jc w:val="both"/>
        <w:spacing w:after="0" w:line="236" w:lineRule="auto"/>
        <w:rPr>
          <w:sz w:val="20"/>
          <w:szCs w:val="20"/>
          <w:color w:val="auto"/>
        </w:rPr>
      </w:pPr>
      <w:r>
        <w:rPr>
          <w:rFonts w:ascii="Arial" w:cs="Arial" w:eastAsia="Arial" w:hAnsi="Arial"/>
          <w:sz w:val="18"/>
          <w:szCs w:val="18"/>
          <w:color w:val="auto"/>
        </w:rPr>
        <w:t>The increase in equity in net losses of affiliates for 2006 from 2005 was primarily a result of other-than-temporary impairment charges recognized in 2006. The decrease in equity in net losses of affiliates for 2005 from 2004 was primarily a result of changes in the net income or loss of our equity investees.</w:t>
      </w:r>
    </w:p>
    <w:p>
      <w:pPr>
        <w:spacing w:after="0" w:line="13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Other Income (Expense)</w:t>
      </w:r>
    </w:p>
    <w:p>
      <w:pPr>
        <w:spacing w:after="0" w:line="18" w:lineRule="exact"/>
        <w:rPr>
          <w:sz w:val="20"/>
          <w:szCs w:val="20"/>
          <w:color w:val="auto"/>
        </w:rPr>
      </w:pPr>
    </w:p>
    <w:p>
      <w:pPr>
        <w:jc w:val="both"/>
        <w:spacing w:after="0" w:line="236" w:lineRule="auto"/>
        <w:rPr>
          <w:sz w:val="20"/>
          <w:szCs w:val="20"/>
          <w:color w:val="auto"/>
        </w:rPr>
      </w:pPr>
      <w:r>
        <w:rPr>
          <w:rFonts w:ascii="Arial" w:cs="Arial" w:eastAsia="Arial" w:hAnsi="Arial"/>
          <w:sz w:val="18"/>
          <w:szCs w:val="18"/>
          <w:color w:val="auto"/>
        </w:rPr>
        <w:t>Other income for 2006 consisted principally of $170 million of gains on the sales of investment assets. Other expense for 2005 consisted principally of a $170 million payment representing our share of the settlement amount related to certain of AT&amp;T’s litigation with At Home, partially offset by a $24 million gain on the exchange of one of our equity method investments and $62 million of gains recognized on the sale or restructuring of investment assets in 2005. Other income for 2004 consisted principally of the</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79" w:lineRule="exact"/>
        <w:rPr>
          <w:sz w:val="20"/>
          <w:szCs w:val="20"/>
          <w:color w:val="auto"/>
        </w:rPr>
      </w:pPr>
    </w:p>
    <w:p>
      <w:pPr>
        <w:jc w:val="both"/>
        <w:spacing w:after="0" w:line="237" w:lineRule="auto"/>
        <w:rPr>
          <w:sz w:val="20"/>
          <w:szCs w:val="20"/>
          <w:color w:val="auto"/>
        </w:rPr>
      </w:pPr>
      <w:r>
        <w:rPr>
          <w:rFonts w:ascii="Arial" w:cs="Arial" w:eastAsia="Arial" w:hAnsi="Arial"/>
          <w:sz w:val="18"/>
          <w:szCs w:val="18"/>
          <w:color w:val="auto"/>
        </w:rPr>
        <w:t>$250 million reduction in the estimated fair value liability associated with the securities litigation of an acquired company and the $94 million gain recognized on the sale of our investment in DHC Ventures, LLC (“Discovery Health Channel”).</w:t>
      </w:r>
    </w:p>
    <w:p>
      <w:pPr>
        <w:spacing w:after="0" w:line="155" w:lineRule="exact"/>
        <w:rPr>
          <w:sz w:val="20"/>
          <w:szCs w:val="20"/>
          <w:color w:val="auto"/>
        </w:rPr>
      </w:pPr>
    </w:p>
    <w:p>
      <w:pPr>
        <w:spacing w:after="0"/>
        <w:rPr>
          <w:sz w:val="20"/>
          <w:szCs w:val="20"/>
          <w:color w:val="auto"/>
        </w:rPr>
      </w:pPr>
      <w:r>
        <w:rPr>
          <w:rFonts w:ascii="Arial" w:cs="Arial" w:eastAsia="Arial" w:hAnsi="Arial"/>
          <w:sz w:val="18"/>
          <w:szCs w:val="18"/>
          <w:color w:val="35BF85"/>
        </w:rPr>
        <w:t>Income Tax Expense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63500</wp:posOffset>
            </wp:positionV>
            <wp:extent cx="3481705" cy="8890"/>
            <wp:wrapNone/>
            <wp:docPr id="155" name="Picture 1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5"/>
                    <pic:cNvPicPr>
                      <a:picLocks noChangeAspect="1" noChangeArrowheads="1"/>
                    </pic:cNvPicPr>
                  </pic:nvPicPr>
                  <pic:blipFill>
                    <a:blip r:embed="rId162">
                      <a:extLst>
                        <a:ext uri="{28A0092B-C50C-407E-A947-70E740481C1C}"/>
                      </a:extLst>
                    </a:blip>
                    <a:srcRect/>
                    <a:stretch>
                      <a:fillRect/>
                    </a:stretch>
                  </pic:blipFill>
                  <pic:spPr bwMode="auto">
                    <a:xfrm>
                      <a:off x="0" y="0"/>
                      <a:ext cx="3481705" cy="8890"/>
                    </a:xfrm>
                    <a:prstGeom prst="rect">
                      <a:avLst/>
                    </a:prstGeom>
                    <a:noFill/>
                  </pic:spPr>
                </pic:pic>
              </a:graphicData>
            </a:graphic>
          </wp:anchor>
        </w:drawing>
      </w:r>
    </w:p>
    <w:p>
      <w:pPr>
        <w:spacing w:after="0" w:line="259" w:lineRule="exact"/>
        <w:rPr>
          <w:sz w:val="20"/>
          <w:szCs w:val="20"/>
          <w:color w:val="auto"/>
        </w:rPr>
      </w:pPr>
    </w:p>
    <w:p>
      <w:pPr>
        <w:jc w:val="both"/>
        <w:spacing w:after="0" w:line="236" w:lineRule="auto"/>
        <w:rPr>
          <w:sz w:val="20"/>
          <w:szCs w:val="20"/>
          <w:color w:val="auto"/>
        </w:rPr>
      </w:pPr>
      <w:r>
        <w:rPr>
          <w:rFonts w:ascii="Arial" w:cs="Arial" w:eastAsia="Arial" w:hAnsi="Arial"/>
          <w:sz w:val="18"/>
          <w:szCs w:val="18"/>
          <w:color w:val="auto"/>
        </w:rPr>
        <w:t>Our effective income tax rate was 37.5%, 50.7% and 45.9% for 2006, 2005 and 2004, respectively. Tax expense reflects an effective income tax rate that differs from the federal statutory rate primarily as a result of state income taxes and adjustments to prior year accruals, including related interest. Adjustments to prior year accruals in 2006 are principally related to the favorable resolution of issues and revised estimates of the outcome of unresolved issues with various taxing authorities.</w:t>
      </w:r>
    </w:p>
    <w:p>
      <w:pPr>
        <w:spacing w:after="0" w:line="154" w:lineRule="exact"/>
        <w:rPr>
          <w:sz w:val="20"/>
          <w:szCs w:val="20"/>
          <w:color w:val="auto"/>
        </w:rPr>
      </w:pPr>
    </w:p>
    <w:p>
      <w:pPr>
        <w:spacing w:after="0"/>
        <w:rPr>
          <w:sz w:val="20"/>
          <w:szCs w:val="20"/>
          <w:color w:val="auto"/>
        </w:rPr>
      </w:pPr>
      <w:r>
        <w:rPr>
          <w:rFonts w:ascii="Arial" w:cs="Arial" w:eastAsia="Arial" w:hAnsi="Arial"/>
          <w:sz w:val="18"/>
          <w:szCs w:val="18"/>
          <w:color w:val="35BF85"/>
        </w:rPr>
        <w:t>Discontinued Operations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63500</wp:posOffset>
            </wp:positionV>
            <wp:extent cx="3481705" cy="8890"/>
            <wp:wrapNone/>
            <wp:docPr id="156" name="Picture 1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6"/>
                    <pic:cNvPicPr>
                      <a:picLocks noChangeAspect="1" noChangeArrowheads="1"/>
                    </pic:cNvPicPr>
                  </pic:nvPicPr>
                  <pic:blipFill>
                    <a:blip r:embed="rId163">
                      <a:extLst>
                        <a:ext uri="{28A0092B-C50C-407E-A947-70E740481C1C}"/>
                      </a:extLst>
                    </a:blip>
                    <a:srcRect/>
                    <a:stretch>
                      <a:fillRect/>
                    </a:stretch>
                  </pic:blipFill>
                  <pic:spPr bwMode="auto">
                    <a:xfrm>
                      <a:off x="0" y="0"/>
                      <a:ext cx="3481705" cy="8890"/>
                    </a:xfrm>
                    <a:prstGeom prst="rect">
                      <a:avLst/>
                    </a:prstGeom>
                    <a:noFill/>
                  </pic:spPr>
                </pic:pic>
              </a:graphicData>
            </a:graphic>
          </wp:anchor>
        </w:drawing>
      </w:r>
    </w:p>
    <w:p>
      <w:pPr>
        <w:spacing w:after="0" w:line="259" w:lineRule="exact"/>
        <w:rPr>
          <w:sz w:val="20"/>
          <w:szCs w:val="20"/>
          <w:color w:val="auto"/>
        </w:rPr>
      </w:pPr>
    </w:p>
    <w:p>
      <w:pPr>
        <w:jc w:val="both"/>
        <w:spacing w:after="0" w:line="269" w:lineRule="auto"/>
        <w:rPr>
          <w:rFonts w:ascii="Arial" w:cs="Arial" w:eastAsia="Arial" w:hAnsi="Arial"/>
          <w:sz w:val="16"/>
          <w:szCs w:val="16"/>
          <w:color w:val="auto"/>
        </w:rPr>
      </w:pPr>
      <w:r>
        <w:rPr>
          <w:rFonts w:ascii="Arial" w:cs="Arial" w:eastAsia="Arial" w:hAnsi="Arial"/>
          <w:sz w:val="16"/>
          <w:szCs w:val="16"/>
          <w:color w:val="auto"/>
        </w:rPr>
        <w:t xml:space="preserve">The operating results of our previously owned cable systems located in Los Angeles, Dallas and Cleveland, reported as discontinued operations for 2006, include seven months of operations, as the closing date of the transaction was July 31, 2006. For 2005 and 2004, results include 12 months of operations. As a result of the exchange transaction, we recognized a gain on the sale of these systems of $195 million, net of tax of $541 million (see </w:t>
      </w:r>
      <w:hyperlink w:anchor="page126">
        <w:r>
          <w:rPr>
            <w:rFonts w:ascii="Arial" w:cs="Arial" w:eastAsia="Arial" w:hAnsi="Arial"/>
            <w:sz w:val="16"/>
            <w:szCs w:val="16"/>
            <w:u w:val="single" w:color="auto"/>
            <w:color w:val="0000EE"/>
          </w:rPr>
          <w:t>Note 5</w:t>
        </w:r>
      </w:hyperlink>
      <w:r>
        <w:rPr>
          <w:rFonts w:ascii="Arial" w:cs="Arial" w:eastAsia="Arial" w:hAnsi="Arial"/>
          <w:sz w:val="16"/>
          <w:szCs w:val="16"/>
          <w:color w:val="auto"/>
        </w:rPr>
        <w:t>). The effective tax rate on the gain is higher than the federal statutory rate primarily as a result of the nondeductible amounts attributed to goodwill.</w:t>
      </w:r>
    </w:p>
    <w:p>
      <w:pPr>
        <w:spacing w:after="0" w:line="336" w:lineRule="exact"/>
        <w:rPr>
          <w:sz w:val="20"/>
          <w:szCs w:val="20"/>
          <w:color w:val="auto"/>
        </w:rPr>
      </w:pPr>
    </w:p>
    <w:p>
      <w:pPr>
        <w:spacing w:after="0"/>
        <w:rPr>
          <w:sz w:val="20"/>
          <w:szCs w:val="20"/>
          <w:color w:val="auto"/>
        </w:rPr>
      </w:pPr>
      <w:r>
        <w:rPr>
          <w:rFonts w:ascii="Arial" w:cs="Arial" w:eastAsia="Arial" w:hAnsi="Arial"/>
          <w:sz w:val="18"/>
          <w:szCs w:val="18"/>
          <w:color w:val="35BF85"/>
        </w:rPr>
        <w:t>Liquidity and Capital Resources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63500</wp:posOffset>
            </wp:positionV>
            <wp:extent cx="3481705" cy="8890"/>
            <wp:wrapNone/>
            <wp:docPr id="157" name="Picture 1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7"/>
                    <pic:cNvPicPr>
                      <a:picLocks noChangeAspect="1" noChangeArrowheads="1"/>
                    </pic:cNvPicPr>
                  </pic:nvPicPr>
                  <pic:blipFill>
                    <a:blip r:embed="rId164">
                      <a:extLst>
                        <a:ext uri="{28A0092B-C50C-407E-A947-70E740481C1C}"/>
                      </a:extLst>
                    </a:blip>
                    <a:srcRect/>
                    <a:stretch>
                      <a:fillRect/>
                    </a:stretch>
                  </pic:blipFill>
                  <pic:spPr bwMode="auto">
                    <a:xfrm>
                      <a:off x="0" y="0"/>
                      <a:ext cx="3481705" cy="8890"/>
                    </a:xfrm>
                    <a:prstGeom prst="rect">
                      <a:avLst/>
                    </a:prstGeom>
                    <a:noFill/>
                  </pic:spPr>
                </pic:pic>
              </a:graphicData>
            </a:graphic>
          </wp:anchor>
        </w:drawing>
      </w:r>
    </w:p>
    <w:p>
      <w:pPr>
        <w:spacing w:after="0" w:line="259" w:lineRule="exact"/>
        <w:rPr>
          <w:sz w:val="20"/>
          <w:szCs w:val="20"/>
          <w:color w:val="auto"/>
        </w:rPr>
      </w:pPr>
    </w:p>
    <w:p>
      <w:pPr>
        <w:jc w:val="both"/>
        <w:spacing w:after="0" w:line="235" w:lineRule="auto"/>
        <w:rPr>
          <w:sz w:val="20"/>
          <w:szCs w:val="20"/>
          <w:color w:val="auto"/>
        </w:rPr>
      </w:pPr>
      <w:r>
        <w:rPr>
          <w:rFonts w:ascii="Arial" w:cs="Arial" w:eastAsia="Arial" w:hAnsi="Arial"/>
          <w:sz w:val="18"/>
          <w:szCs w:val="18"/>
          <w:color w:val="auto"/>
        </w:rPr>
        <w:t>As we describe further below, our businesses generate significant cash flow from operating activities. The proceeds from monetizing our nonstrategic investments have also provided us with a significant source of cash flow. We believe that we will be able to meet our current and long-term liquidity and capital requirements, including fixed charges, through our cash flow from operating activities, existing cash, cash equivalents and investments; through available borrowings under our existing credit facilities; and through our ability to obtain future external financing. We anticipate continuing to use a substantial portion of our cash flow to fund our capital expenditures, invest in business opportunities and repurchase our stock.</w:t>
      </w:r>
    </w:p>
    <w:p>
      <w:pPr>
        <w:spacing w:after="0" w:line="13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Operating Activities</w:t>
      </w:r>
    </w:p>
    <w:p>
      <w:pPr>
        <w:spacing w:after="0" w:line="18" w:lineRule="exact"/>
        <w:rPr>
          <w:sz w:val="20"/>
          <w:szCs w:val="20"/>
          <w:color w:val="auto"/>
        </w:rPr>
      </w:pPr>
    </w:p>
    <w:p>
      <w:pPr>
        <w:jc w:val="both"/>
        <w:spacing w:after="0" w:line="237" w:lineRule="auto"/>
        <w:rPr>
          <w:sz w:val="20"/>
          <w:szCs w:val="20"/>
          <w:color w:val="auto"/>
        </w:rPr>
      </w:pPr>
      <w:r>
        <w:rPr>
          <w:rFonts w:ascii="Arial" w:cs="Arial" w:eastAsia="Arial" w:hAnsi="Arial"/>
          <w:sz w:val="18"/>
          <w:szCs w:val="18"/>
          <w:color w:val="auto"/>
        </w:rPr>
        <w:t>Net cash provided by operating activities amounted to $6.618 billion for 2006, primarily as a result of our operating income before depreciation and amortization, the timing of interest and income tax payments, and changes in other operating assets and liabilities.</w:t>
      </w:r>
    </w:p>
    <w:p>
      <w:pPr>
        <w:spacing w:after="0" w:line="13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Financing Activities</w:t>
      </w:r>
    </w:p>
    <w:p>
      <w:pPr>
        <w:spacing w:after="0" w:line="18" w:lineRule="exact"/>
        <w:rPr>
          <w:sz w:val="20"/>
          <w:szCs w:val="20"/>
          <w:color w:val="auto"/>
        </w:rPr>
      </w:pPr>
    </w:p>
    <w:p>
      <w:pPr>
        <w:jc w:val="both"/>
        <w:spacing w:after="0" w:line="239" w:lineRule="auto"/>
        <w:rPr>
          <w:sz w:val="20"/>
          <w:szCs w:val="20"/>
          <w:color w:val="auto"/>
        </w:rPr>
      </w:pPr>
      <w:r>
        <w:rPr>
          <w:rFonts w:ascii="Arial" w:cs="Arial" w:eastAsia="Arial" w:hAnsi="Arial"/>
          <w:sz w:val="18"/>
          <w:szCs w:val="18"/>
          <w:color w:val="auto"/>
        </w:rPr>
        <w:t>Net cash provided by financing activities was $3.546 billion for 2006, and consisted principally of our proceeds from borrowings of</w:t>
      </w:r>
    </w:p>
    <w:p>
      <w:pPr>
        <w:spacing w:after="0" w:line="403" w:lineRule="exact"/>
        <w:rPr>
          <w:sz w:val="20"/>
          <w:szCs w:val="20"/>
          <w:color w:val="auto"/>
        </w:rPr>
      </w:pPr>
    </w:p>
    <w:p>
      <w:pPr>
        <w:sectPr>
          <w:pgSz w:w="11900" w:h="16838" w:orient="portrait"/>
          <w:cols w:equalWidth="0" w:num="2">
            <w:col w:w="5480" w:space="340"/>
            <w:col w:w="5480"/>
          </w:cols>
          <w:pgMar w:left="240" w:top="459" w:right="359" w:bottom="1440" w:gutter="0" w:footer="0" w:header="0"/>
          <w:type w:val="continuous"/>
        </w:sectPr>
      </w:pPr>
    </w:p>
    <w:p>
      <w:pPr>
        <w:spacing w:after="0" w:line="124" w:lineRule="exact"/>
        <w:rPr>
          <w:sz w:val="20"/>
          <w:szCs w:val="20"/>
          <w:color w:val="auto"/>
        </w:rPr>
      </w:pPr>
    </w:p>
    <w:tbl>
      <w:tblPr>
        <w:tblLayout w:type="fixed"/>
        <w:tblInd w:w="0" w:type="dxa"/>
        <w:tblCellMar>
          <w:top w:w="0" w:type="dxa"/>
          <w:left w:w="0" w:type="dxa"/>
          <w:bottom w:w="0" w:type="dxa"/>
          <w:right w:w="0" w:type="dxa"/>
        </w:tblCellMar>
      </w:tblPr>
      <w:tr>
        <w:trPr>
          <w:trHeight w:val="178"/>
        </w:trPr>
        <w:tc>
          <w:tcPr>
            <w:tcW w:w="3960" w:type="dxa"/>
            <w:vAlign w:val="bottom"/>
          </w:tcPr>
          <w:p>
            <w:pPr>
              <w:spacing w:after="0"/>
              <w:rPr>
                <w:sz w:val="20"/>
                <w:szCs w:val="20"/>
                <w:color w:val="auto"/>
              </w:rPr>
            </w:pPr>
            <w:r>
              <w:rPr>
                <w:rFonts w:ascii="Arial" w:cs="Arial" w:eastAsia="Arial" w:hAnsi="Arial"/>
                <w:sz w:val="14"/>
                <w:szCs w:val="14"/>
                <w:b w:val="1"/>
                <w:bCs w:val="1"/>
                <w:color w:val="auto"/>
              </w:rPr>
              <w:t xml:space="preserve">MD&amp;A </w:t>
            </w:r>
            <w:r>
              <w:rPr>
                <w:rFonts w:ascii="Arial" w:cs="Arial" w:eastAsia="Arial" w:hAnsi="Arial"/>
                <w:sz w:val="14"/>
                <w:szCs w:val="14"/>
                <w:color w:val="auto"/>
              </w:rPr>
              <w:t>Comcast 2006 Annual Report</w:t>
            </w:r>
          </w:p>
        </w:tc>
        <w:tc>
          <w:tcPr>
            <w:tcW w:w="1880" w:type="dxa"/>
            <w:vAlign w:val="bottom"/>
          </w:tcPr>
          <w:p>
            <w:pPr>
              <w:jc w:val="right"/>
              <w:spacing w:after="0"/>
              <w:rPr>
                <w:sz w:val="20"/>
                <w:szCs w:val="20"/>
                <w:color w:val="auto"/>
              </w:rPr>
            </w:pPr>
            <w:r>
              <w:rPr>
                <w:rFonts w:ascii="Arial" w:cs="Arial" w:eastAsia="Arial" w:hAnsi="Arial"/>
                <w:sz w:val="14"/>
                <w:szCs w:val="14"/>
                <w:b w:val="1"/>
                <w:bCs w:val="1"/>
                <w:color w:val="auto"/>
              </w:rPr>
              <w:t>32</w:t>
            </w:r>
          </w:p>
        </w:tc>
      </w:tr>
    </w:tbl>
    <w:p>
      <w:pPr>
        <w:sectPr>
          <w:pgSz w:w="11900" w:h="16838" w:orient="portrait"/>
          <w:cols w:equalWidth="0" w:num="1">
            <w:col w:w="11300"/>
          </w:cols>
          <w:pgMar w:left="240" w:top="459" w:right="359" w:bottom="1440" w:gutter="0" w:footer="0" w:header="0"/>
          <w:type w:val="continuous"/>
        </w:sectPr>
      </w:pPr>
    </w:p>
    <w:bookmarkStart w:id="109" w:name="page110"/>
    <w:bookmarkEnd w:id="109"/>
    <w:p>
      <w:pPr>
        <w:spacing w:after="0"/>
        <w:rPr>
          <w:rFonts w:ascii="Arial" w:cs="Arial" w:eastAsia="Arial" w:hAnsi="Arial"/>
          <w:sz w:val="18"/>
          <w:szCs w:val="18"/>
          <w:b w:val="1"/>
          <w:bCs w:val="1"/>
          <w:u w:val="single" w:color="auto"/>
          <w:color w:val="0000EE"/>
        </w:rPr>
      </w:pPr>
      <w:hyperlink w:anchor="page3">
        <w:r>
          <w:rPr>
            <w:rFonts w:ascii="Arial" w:cs="Arial" w:eastAsia="Arial" w:hAnsi="Arial"/>
            <w:sz w:val="18"/>
            <w:szCs w:val="18"/>
            <w:b w:val="1"/>
            <w:bCs w:val="1"/>
            <w:u w:val="single" w:color="auto"/>
            <w:color w:val="0000EE"/>
          </w:rPr>
          <w:t>Table of Contents</w:t>
        </w:r>
      </w:hyperlink>
    </w:p>
    <w:p>
      <w:pPr>
        <w:spacing w:after="0" w:line="200" w:lineRule="exact"/>
        <w:rPr>
          <w:sz w:val="20"/>
          <w:szCs w:val="20"/>
          <w:color w:val="auto"/>
        </w:rPr>
      </w:pPr>
    </w:p>
    <w:p>
      <w:pPr>
        <w:spacing w:after="0" w:line="276" w:lineRule="exact"/>
        <w:rPr>
          <w:sz w:val="20"/>
          <w:szCs w:val="20"/>
          <w:color w:val="auto"/>
        </w:rPr>
      </w:pPr>
    </w:p>
    <w:p>
      <w:pPr>
        <w:jc w:val="both"/>
        <w:spacing w:after="0" w:line="235" w:lineRule="auto"/>
        <w:rPr>
          <w:sz w:val="20"/>
          <w:szCs w:val="20"/>
          <w:color w:val="auto"/>
        </w:rPr>
      </w:pPr>
      <w:r>
        <w:rPr>
          <w:rFonts w:ascii="Arial" w:cs="Arial" w:eastAsia="Arial" w:hAnsi="Arial"/>
          <w:sz w:val="18"/>
          <w:szCs w:val="18"/>
          <w:color w:val="auto"/>
        </w:rPr>
        <w:t>$7.497 billion, partially offset by our debt repayments of $2.039 billion, and our repurchase of approximately 113 million shares of our Class A Special common stock at a weighted-average share price of $20.76 for $2.347 billion (recognized on a settlement date or cash basis and adjusted to reflect the Stock Split). We have made, and may from time to time in the future make, optional repayments on our debt obligations, which may include repurchases of our outstanding public notes and debentures, depending on various factors, such as market conditions. See Note 8 to our consolidated financial statements for further discussion of our financing activities, including details of our debt repayments and borrowings.</w:t>
      </w:r>
    </w:p>
    <w:p>
      <w:pPr>
        <w:spacing w:after="0" w:line="157" w:lineRule="exact"/>
        <w:rPr>
          <w:sz w:val="20"/>
          <w:szCs w:val="20"/>
          <w:color w:val="auto"/>
        </w:rPr>
      </w:pPr>
    </w:p>
    <w:p>
      <w:pPr>
        <w:spacing w:after="0"/>
        <w:rPr>
          <w:sz w:val="20"/>
          <w:szCs w:val="20"/>
          <w:color w:val="auto"/>
        </w:rPr>
      </w:pPr>
      <w:r>
        <w:rPr>
          <w:rFonts w:ascii="Arial" w:cs="Arial" w:eastAsia="Arial" w:hAnsi="Arial"/>
          <w:sz w:val="18"/>
          <w:szCs w:val="18"/>
          <w:color w:val="35BF85"/>
        </w:rPr>
        <w:t>Available Borrowings Under Credit Facilities</w:t>
      </w:r>
    </w:p>
    <w:p>
      <w:pPr>
        <w:jc w:val="both"/>
        <w:spacing w:after="0" w:line="237" w:lineRule="auto"/>
        <w:rPr>
          <w:sz w:val="20"/>
          <w:szCs w:val="20"/>
          <w:color w:val="auto"/>
        </w:rPr>
      </w:pPr>
      <w:r>
        <w:rPr>
          <w:rFonts w:ascii="Arial" w:cs="Arial" w:eastAsia="Arial" w:hAnsi="Arial"/>
          <w:sz w:val="18"/>
          <w:szCs w:val="18"/>
          <w:color w:val="auto"/>
        </w:rPr>
        <w:t>We traditionally maintain significant availability under lines of credit and our commercial paper program to meet our short-term liquidity requirements. As of December 31, 2006, amounts available under these facilities totaled $4.464 billion.</w:t>
      </w:r>
    </w:p>
    <w:p>
      <w:pPr>
        <w:spacing w:after="0" w:line="150" w:lineRule="exact"/>
        <w:rPr>
          <w:sz w:val="20"/>
          <w:szCs w:val="20"/>
          <w:color w:val="auto"/>
        </w:rPr>
      </w:pPr>
    </w:p>
    <w:p>
      <w:pPr>
        <w:spacing w:after="0"/>
        <w:rPr>
          <w:sz w:val="20"/>
          <w:szCs w:val="20"/>
          <w:color w:val="auto"/>
        </w:rPr>
      </w:pPr>
      <w:r>
        <w:rPr>
          <w:rFonts w:ascii="Arial" w:cs="Arial" w:eastAsia="Arial" w:hAnsi="Arial"/>
          <w:sz w:val="18"/>
          <w:szCs w:val="18"/>
          <w:color w:val="35BF85"/>
        </w:rPr>
        <w:t>Debt Covenants</w:t>
      </w:r>
    </w:p>
    <w:p>
      <w:pPr>
        <w:jc w:val="both"/>
        <w:spacing w:after="0" w:line="267" w:lineRule="auto"/>
        <w:rPr>
          <w:rFonts w:ascii="Arial" w:cs="Arial" w:eastAsia="Arial" w:hAnsi="Arial"/>
          <w:sz w:val="16"/>
          <w:szCs w:val="16"/>
          <w:color w:val="0000EE"/>
        </w:rPr>
      </w:pPr>
      <w:r>
        <w:rPr>
          <w:rFonts w:ascii="Arial" w:cs="Arial" w:eastAsia="Arial" w:hAnsi="Arial"/>
          <w:sz w:val="16"/>
          <w:szCs w:val="16"/>
          <w:color w:val="auto"/>
        </w:rPr>
        <w:t xml:space="preserve">We and our cable subsidiaries that have provided guarantees (see </w:t>
      </w:r>
      <w:hyperlink w:anchor="page132">
        <w:r>
          <w:rPr>
            <w:rFonts w:ascii="Arial" w:cs="Arial" w:eastAsia="Arial" w:hAnsi="Arial"/>
            <w:sz w:val="16"/>
            <w:szCs w:val="16"/>
            <w:u w:val="single" w:color="auto"/>
            <w:color w:val="0000EE"/>
          </w:rPr>
          <w:t>Note 8</w:t>
        </w:r>
      </w:hyperlink>
      <w:r>
        <w:rPr>
          <w:rFonts w:ascii="Arial" w:cs="Arial" w:eastAsia="Arial" w:hAnsi="Arial"/>
          <w:sz w:val="16"/>
          <w:szCs w:val="16"/>
          <w:color w:val="000000"/>
        </w:rPr>
        <w:t>)</w:t>
      </w:r>
      <w:r>
        <w:rPr>
          <w:rFonts w:ascii="Arial" w:cs="Arial" w:eastAsia="Arial" w:hAnsi="Arial"/>
          <w:sz w:val="16"/>
          <w:szCs w:val="16"/>
          <w:color w:val="0000EE"/>
        </w:rPr>
        <w:t xml:space="preserve"> </w:t>
      </w:r>
      <w:r>
        <w:rPr>
          <w:rFonts w:ascii="Arial" w:cs="Arial" w:eastAsia="Arial" w:hAnsi="Arial"/>
          <w:sz w:val="16"/>
          <w:szCs w:val="16"/>
          <w:color w:val="000000"/>
        </w:rPr>
        <w:t>are subject to the covenants and restrictions set forth in the</w:t>
      </w:r>
      <w:r>
        <w:rPr>
          <w:rFonts w:ascii="Arial" w:cs="Arial" w:eastAsia="Arial" w:hAnsi="Arial"/>
          <w:sz w:val="16"/>
          <w:szCs w:val="16"/>
          <w:color w:val="0000EE"/>
        </w:rPr>
        <w:t xml:space="preserve"> </w:t>
      </w:r>
      <w:r>
        <w:rPr>
          <w:rFonts w:ascii="Arial" w:cs="Arial" w:eastAsia="Arial" w:hAnsi="Arial"/>
          <w:sz w:val="16"/>
          <w:szCs w:val="16"/>
          <w:color w:val="000000"/>
        </w:rPr>
        <w:t>indentures governing our public debt securities and in the credit agreement governing our bank credit facilities. We and the guarantors are in compliance with the covenants, and we believe that neither the covenants nor the restrictions in our indentures or loan documents will limit our ability to operate our business or raise additional capital. Our covenants are tested on an ongoing basis. The only financial covenant in our $5.0 billion revolving credit facility relates to leverage (ratio of debt to operating income before depreciation and amortization), which we met by a significant margin as of December 31, 2006. Our ability to comply with this financial covenant in the future does not depend on further debt reduction or on improved operating results.</w:t>
      </w:r>
    </w:p>
    <w:p>
      <w:pPr>
        <w:spacing w:after="0" w:line="335" w:lineRule="exact"/>
        <w:rPr>
          <w:sz w:val="20"/>
          <w:szCs w:val="20"/>
          <w:color w:val="auto"/>
        </w:rPr>
      </w:pPr>
    </w:p>
    <w:p>
      <w:pPr>
        <w:spacing w:after="0"/>
        <w:rPr>
          <w:sz w:val="20"/>
          <w:szCs w:val="20"/>
          <w:color w:val="auto"/>
        </w:rPr>
      </w:pPr>
      <w:r>
        <w:rPr>
          <w:rFonts w:ascii="Arial" w:cs="Arial" w:eastAsia="Arial" w:hAnsi="Arial"/>
          <w:sz w:val="18"/>
          <w:szCs w:val="18"/>
          <w:color w:val="35BF85"/>
        </w:rPr>
        <w:t>Share Repurchase Program</w:t>
      </w:r>
    </w:p>
    <w:p>
      <w:pPr>
        <w:jc w:val="both"/>
        <w:spacing w:after="0" w:line="236" w:lineRule="auto"/>
        <w:rPr>
          <w:sz w:val="20"/>
          <w:szCs w:val="20"/>
          <w:color w:val="auto"/>
        </w:rPr>
      </w:pPr>
      <w:r>
        <w:rPr>
          <w:rFonts w:ascii="Arial" w:cs="Arial" w:eastAsia="Arial" w:hAnsi="Arial"/>
          <w:sz w:val="18"/>
          <w:szCs w:val="18"/>
          <w:color w:val="auto"/>
        </w:rPr>
        <w:t>As of December 31, 2006, the maximum dollar value of shares remaining that may be repurchased under our Board-authorized share repurchase program was approximately $3 billion. We expect such repurchases to continue from time to time in the open market or in private transactions, subject to market conditions.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1102995</wp:posOffset>
            </wp:positionH>
            <wp:positionV relativeFrom="paragraph">
              <wp:posOffset>97790</wp:posOffset>
            </wp:positionV>
            <wp:extent cx="1277620" cy="1895475"/>
            <wp:wrapNone/>
            <wp:docPr id="158" name="Picture 1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8"/>
                    <pic:cNvPicPr>
                      <a:picLocks noChangeAspect="1" noChangeArrowheads="1"/>
                    </pic:cNvPicPr>
                  </pic:nvPicPr>
                  <pic:blipFill>
                    <a:blip r:embed="rId165">
                      <a:extLst>
                        <a:ext uri="{28A0092B-C50C-407E-A947-70E740481C1C}"/>
                      </a:extLst>
                    </a:blip>
                    <a:srcRect/>
                    <a:stretch>
                      <a:fillRect/>
                    </a:stretch>
                  </pic:blipFill>
                  <pic:spPr bwMode="auto">
                    <a:xfrm>
                      <a:off x="0" y="0"/>
                      <a:ext cx="1277620" cy="1895475"/>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4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Investing Activities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-3691890</wp:posOffset>
            </wp:positionH>
            <wp:positionV relativeFrom="paragraph">
              <wp:posOffset>-753110</wp:posOffset>
            </wp:positionV>
            <wp:extent cx="7267575" cy="27940"/>
            <wp:wrapNone/>
            <wp:docPr id="159" name="Picture 1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9"/>
                    <pic:cNvPicPr>
                      <a:picLocks noChangeAspect="1" noChangeArrowheads="1"/>
                    </pic:cNvPicPr>
                  </pic:nvPicPr>
                  <pic:blipFill>
                    <a:blip r:embed="rId166">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p>
    <w:p>
      <w:pPr>
        <w:jc w:val="both"/>
        <w:ind w:right="120"/>
        <w:spacing w:after="0" w:line="235" w:lineRule="auto"/>
        <w:rPr>
          <w:sz w:val="20"/>
          <w:szCs w:val="20"/>
          <w:color w:val="auto"/>
        </w:rPr>
      </w:pPr>
      <w:r>
        <w:rPr>
          <w:rFonts w:ascii="Arial" w:cs="Arial" w:eastAsia="Arial" w:hAnsi="Arial"/>
          <w:sz w:val="18"/>
          <w:szCs w:val="18"/>
          <w:color w:val="auto"/>
        </w:rPr>
        <w:t>Net cash used in investing activities was $9.872 billion for 2006 and consists principally of cash paid for acquisitions of $5.110 billion (primarily related to the Adelphia transaction, Susquehanna Communications acquisition and the acquisition of our additional interest in E! Entertainment Television), capital expenditures of $4.395 billion, and investments of $2.812 billion (primarily related to our interest in SpectrumCo and the additional funding related to the dissolution of TKCCP). These cash outflows were partially offset by proceeds from sales, settlements and restructuring of investments of $2.720 billion (primarily related to our disposition of our ownership interest in TWE and TWC).</w:t>
      </w:r>
    </w:p>
    <w:p>
      <w:pPr>
        <w:spacing w:after="0" w:line="161" w:lineRule="exact"/>
        <w:rPr>
          <w:sz w:val="20"/>
          <w:szCs w:val="20"/>
          <w:color w:val="auto"/>
        </w:rPr>
      </w:pPr>
    </w:p>
    <w:p>
      <w:pPr>
        <w:jc w:val="both"/>
        <w:ind w:right="120"/>
        <w:spacing w:after="0" w:line="238" w:lineRule="auto"/>
        <w:rPr>
          <w:rFonts w:ascii="Arial" w:cs="Arial" w:eastAsia="Arial" w:hAnsi="Arial"/>
          <w:sz w:val="18"/>
          <w:szCs w:val="18"/>
          <w:color w:val="auto"/>
        </w:rPr>
      </w:pPr>
      <w:r>
        <w:rPr>
          <w:rFonts w:ascii="Arial" w:cs="Arial" w:eastAsia="Arial" w:hAnsi="Arial"/>
          <w:sz w:val="18"/>
          <w:szCs w:val="18"/>
          <w:color w:val="auto"/>
        </w:rPr>
        <w:t xml:space="preserve">Refer to </w:t>
      </w:r>
      <w:hyperlink w:anchor="page126">
        <w:r>
          <w:rPr>
            <w:rFonts w:ascii="Arial" w:cs="Arial" w:eastAsia="Arial" w:hAnsi="Arial"/>
            <w:sz w:val="18"/>
            <w:szCs w:val="18"/>
            <w:u w:val="single" w:color="auto"/>
            <w:color w:val="0000EE"/>
          </w:rPr>
          <w:t>Notes 5</w:t>
        </w:r>
      </w:hyperlink>
      <w:r>
        <w:rPr>
          <w:rFonts w:ascii="Arial" w:cs="Arial" w:eastAsia="Arial" w:hAnsi="Arial"/>
          <w:sz w:val="18"/>
          <w:szCs w:val="18"/>
          <w:color w:val="auto"/>
        </w:rPr>
        <w:t xml:space="preserve">, </w:t>
      </w:r>
      <w:hyperlink w:anchor="page128">
        <w:r>
          <w:rPr>
            <w:rFonts w:ascii="Arial" w:cs="Arial" w:eastAsia="Arial" w:hAnsi="Arial"/>
            <w:sz w:val="18"/>
            <w:szCs w:val="18"/>
            <w:u w:val="single" w:color="auto"/>
            <w:color w:val="0000EE"/>
          </w:rPr>
          <w:t>6</w:t>
        </w:r>
        <w:r>
          <w:rPr>
            <w:rFonts w:ascii="Arial" w:cs="Arial" w:eastAsia="Arial" w:hAnsi="Arial"/>
            <w:sz w:val="18"/>
            <w:szCs w:val="18"/>
            <w:u w:val="single" w:color="auto"/>
            <w:color w:val="auto"/>
          </w:rPr>
          <w:t xml:space="preserve"> </w:t>
        </w:r>
      </w:hyperlink>
      <w:r>
        <w:rPr>
          <w:rFonts w:ascii="Arial" w:cs="Arial" w:eastAsia="Arial" w:hAnsi="Arial"/>
          <w:sz w:val="18"/>
          <w:szCs w:val="18"/>
          <w:color w:val="auto"/>
        </w:rPr>
        <w:t xml:space="preserve">and </w:t>
      </w:r>
      <w:hyperlink w:anchor="page131">
        <w:r>
          <w:rPr>
            <w:rFonts w:ascii="Arial" w:cs="Arial" w:eastAsia="Arial" w:hAnsi="Arial"/>
            <w:sz w:val="18"/>
            <w:szCs w:val="18"/>
            <w:u w:val="single" w:color="auto"/>
            <w:color w:val="0000EE"/>
          </w:rPr>
          <w:t>7</w:t>
        </w:r>
        <w:r>
          <w:rPr>
            <w:rFonts w:ascii="Arial" w:cs="Arial" w:eastAsia="Arial" w:hAnsi="Arial"/>
            <w:sz w:val="18"/>
            <w:szCs w:val="18"/>
            <w:u w:val="single" w:color="auto"/>
            <w:color w:val="auto"/>
          </w:rPr>
          <w:t xml:space="preserve"> </w:t>
        </w:r>
      </w:hyperlink>
      <w:r>
        <w:rPr>
          <w:rFonts w:ascii="Arial" w:cs="Arial" w:eastAsia="Arial" w:hAnsi="Arial"/>
          <w:sz w:val="18"/>
          <w:szCs w:val="18"/>
          <w:color w:val="auto"/>
        </w:rPr>
        <w:t>to our consolidated financial statements for a discussion of our acquisitions and other significant events, investments, and our intangible assets, respectively.</w:t>
      </w:r>
    </w:p>
    <w:p>
      <w:pPr>
        <w:spacing w:after="0" w:line="132" w:lineRule="exact"/>
        <w:rPr>
          <w:rFonts w:ascii="Arial" w:cs="Arial" w:eastAsia="Arial" w:hAnsi="Arial"/>
          <w:sz w:val="18"/>
          <w:szCs w:val="18"/>
          <w:color w:val="auto"/>
        </w:rPr>
      </w:pPr>
    </w:p>
    <w:p>
      <w:pPr>
        <w:spacing w:after="0"/>
        <w:rPr>
          <w:sz w:val="20"/>
          <w:szCs w:val="20"/>
          <w:color w:val="auto"/>
        </w:rPr>
      </w:pPr>
      <w:r>
        <w:rPr>
          <w:rFonts w:ascii="Arial" w:cs="Arial" w:eastAsia="Arial" w:hAnsi="Arial"/>
          <w:sz w:val="18"/>
          <w:szCs w:val="18"/>
          <w:b w:val="1"/>
          <w:bCs w:val="1"/>
          <w:color w:val="auto"/>
        </w:rPr>
        <w:t>Capital Expenditures</w:t>
      </w:r>
    </w:p>
    <w:p>
      <w:pPr>
        <w:spacing w:after="0" w:line="18" w:lineRule="exact"/>
        <w:rPr>
          <w:rFonts w:ascii="Arial" w:cs="Arial" w:eastAsia="Arial" w:hAnsi="Arial"/>
          <w:sz w:val="18"/>
          <w:szCs w:val="18"/>
          <w:color w:val="auto"/>
        </w:rPr>
      </w:pPr>
    </w:p>
    <w:p>
      <w:pPr>
        <w:jc w:val="both"/>
        <w:ind w:right="120"/>
        <w:spacing w:after="0" w:line="237" w:lineRule="auto"/>
        <w:rPr>
          <w:sz w:val="20"/>
          <w:szCs w:val="20"/>
          <w:color w:val="auto"/>
        </w:rPr>
      </w:pPr>
      <w:r>
        <w:rPr>
          <w:rFonts w:ascii="Arial" w:cs="Arial" w:eastAsia="Arial" w:hAnsi="Arial"/>
          <w:sz w:val="18"/>
          <w:szCs w:val="18"/>
          <w:color w:val="auto"/>
        </w:rPr>
        <w:t>Our most significant recurring investing activity has been capital expenditures, and we expect that this will continue in the future. The following chart illustrates the capital expenditures we incurred in our Cable segment from 2004 through 2006:</w:t>
      </w:r>
    </w:p>
    <w:p>
      <w:pPr>
        <w:spacing w:after="0" w:line="20" w:lineRule="exact"/>
        <w:rPr>
          <w:rFonts w:ascii="Arial" w:cs="Arial" w:eastAsia="Arial" w:hAnsi="Arial"/>
          <w:sz w:val="18"/>
          <w:szCs w:val="18"/>
          <w:color w:val="auto"/>
        </w:rPr>
      </w:pPr>
      <w:r>
        <w:rPr>
          <w:rFonts w:ascii="Arial" w:cs="Arial" w:eastAsia="Arial" w:hAnsi="Arial"/>
          <w:sz w:val="18"/>
          <w:szCs w:val="18"/>
          <w:color w:val="auto"/>
        </w:rPr>
        <w:drawing>
          <wp:anchor simplePos="0" relativeHeight="251657728" behindDoc="1" locked="0" layoutInCell="0" allowOverlap="1">
            <wp:simplePos x="0" y="0"/>
            <wp:positionH relativeFrom="column">
              <wp:posOffset>940435</wp:posOffset>
            </wp:positionH>
            <wp:positionV relativeFrom="paragraph">
              <wp:posOffset>96520</wp:posOffset>
            </wp:positionV>
            <wp:extent cx="1595120" cy="2366645"/>
            <wp:wrapNone/>
            <wp:docPr id="160" name="Picture 1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0"/>
                    <pic:cNvPicPr>
                      <a:picLocks noChangeAspect="1" noChangeArrowheads="1"/>
                    </pic:cNvPicPr>
                  </pic:nvPicPr>
                  <pic:blipFill>
                    <a:blip r:embed="rId167">
                      <a:extLst>
                        <a:ext uri="{28A0092B-C50C-407E-A947-70E740481C1C}"/>
                      </a:extLst>
                    </a:blip>
                    <a:srcRect/>
                    <a:stretch>
                      <a:fillRect/>
                    </a:stretch>
                  </pic:blipFill>
                  <pic:spPr bwMode="auto">
                    <a:xfrm>
                      <a:off x="0" y="0"/>
                      <a:ext cx="1595120" cy="2366645"/>
                    </a:xfrm>
                    <a:prstGeom prst="rect">
                      <a:avLst/>
                    </a:prstGeom>
                    <a:noFill/>
                  </pic:spPr>
                </pic:pic>
              </a:graphicData>
            </a:graphic>
          </wp:anchor>
        </w:drawing>
      </w:r>
    </w:p>
    <w:p>
      <w:pPr>
        <w:spacing w:after="0" w:line="200" w:lineRule="exact"/>
        <w:rPr>
          <w:rFonts w:ascii="Arial" w:cs="Arial" w:eastAsia="Arial" w:hAnsi="Arial"/>
          <w:sz w:val="18"/>
          <w:szCs w:val="18"/>
          <w:color w:val="auto"/>
        </w:rPr>
      </w:pPr>
    </w:p>
    <w:p>
      <w:pPr>
        <w:spacing w:after="0" w:line="200" w:lineRule="exact"/>
        <w:rPr>
          <w:rFonts w:ascii="Arial" w:cs="Arial" w:eastAsia="Arial" w:hAnsi="Arial"/>
          <w:sz w:val="18"/>
          <w:szCs w:val="18"/>
          <w:color w:val="auto"/>
        </w:rPr>
      </w:pPr>
    </w:p>
    <w:p>
      <w:pPr>
        <w:spacing w:after="0" w:line="200" w:lineRule="exact"/>
        <w:rPr>
          <w:rFonts w:ascii="Arial" w:cs="Arial" w:eastAsia="Arial" w:hAnsi="Arial"/>
          <w:sz w:val="18"/>
          <w:szCs w:val="18"/>
          <w:color w:val="auto"/>
        </w:rPr>
      </w:pPr>
    </w:p>
    <w:p>
      <w:pPr>
        <w:spacing w:after="0" w:line="200" w:lineRule="exact"/>
        <w:rPr>
          <w:rFonts w:ascii="Arial" w:cs="Arial" w:eastAsia="Arial" w:hAnsi="Arial"/>
          <w:sz w:val="18"/>
          <w:szCs w:val="18"/>
          <w:color w:val="auto"/>
        </w:rPr>
      </w:pPr>
    </w:p>
    <w:p>
      <w:pPr>
        <w:spacing w:after="0" w:line="200" w:lineRule="exact"/>
        <w:rPr>
          <w:rFonts w:ascii="Arial" w:cs="Arial" w:eastAsia="Arial" w:hAnsi="Arial"/>
          <w:sz w:val="18"/>
          <w:szCs w:val="18"/>
          <w:color w:val="auto"/>
        </w:rPr>
      </w:pPr>
    </w:p>
    <w:p>
      <w:pPr>
        <w:spacing w:after="0" w:line="200" w:lineRule="exact"/>
        <w:rPr>
          <w:rFonts w:ascii="Arial" w:cs="Arial" w:eastAsia="Arial" w:hAnsi="Arial"/>
          <w:sz w:val="18"/>
          <w:szCs w:val="18"/>
          <w:color w:val="auto"/>
        </w:rPr>
      </w:pPr>
    </w:p>
    <w:p>
      <w:pPr>
        <w:spacing w:after="0" w:line="200" w:lineRule="exact"/>
        <w:rPr>
          <w:rFonts w:ascii="Arial" w:cs="Arial" w:eastAsia="Arial" w:hAnsi="Arial"/>
          <w:sz w:val="18"/>
          <w:szCs w:val="18"/>
          <w:color w:val="auto"/>
        </w:rPr>
      </w:pPr>
    </w:p>
    <w:p>
      <w:pPr>
        <w:spacing w:after="0" w:line="200" w:lineRule="exact"/>
        <w:rPr>
          <w:rFonts w:ascii="Arial" w:cs="Arial" w:eastAsia="Arial" w:hAnsi="Arial"/>
          <w:sz w:val="18"/>
          <w:szCs w:val="18"/>
          <w:color w:val="auto"/>
        </w:rPr>
      </w:pPr>
    </w:p>
    <w:p>
      <w:pPr>
        <w:spacing w:after="0" w:line="200" w:lineRule="exact"/>
        <w:rPr>
          <w:rFonts w:ascii="Arial" w:cs="Arial" w:eastAsia="Arial" w:hAnsi="Arial"/>
          <w:sz w:val="18"/>
          <w:szCs w:val="18"/>
          <w:color w:val="auto"/>
        </w:rPr>
      </w:pPr>
    </w:p>
    <w:p>
      <w:pPr>
        <w:spacing w:after="0" w:line="200" w:lineRule="exact"/>
        <w:rPr>
          <w:rFonts w:ascii="Arial" w:cs="Arial" w:eastAsia="Arial" w:hAnsi="Arial"/>
          <w:sz w:val="18"/>
          <w:szCs w:val="18"/>
          <w:color w:val="auto"/>
        </w:rPr>
      </w:pPr>
    </w:p>
    <w:p>
      <w:pPr>
        <w:spacing w:after="0" w:line="200" w:lineRule="exact"/>
        <w:rPr>
          <w:rFonts w:ascii="Arial" w:cs="Arial" w:eastAsia="Arial" w:hAnsi="Arial"/>
          <w:sz w:val="18"/>
          <w:szCs w:val="18"/>
          <w:color w:val="auto"/>
        </w:rPr>
      </w:pPr>
    </w:p>
    <w:p>
      <w:pPr>
        <w:spacing w:after="0" w:line="200" w:lineRule="exact"/>
        <w:rPr>
          <w:rFonts w:ascii="Arial" w:cs="Arial" w:eastAsia="Arial" w:hAnsi="Arial"/>
          <w:sz w:val="18"/>
          <w:szCs w:val="18"/>
          <w:color w:val="auto"/>
        </w:rPr>
      </w:pPr>
    </w:p>
    <w:p>
      <w:pPr>
        <w:spacing w:after="0" w:line="200" w:lineRule="exact"/>
        <w:rPr>
          <w:rFonts w:ascii="Arial" w:cs="Arial" w:eastAsia="Arial" w:hAnsi="Arial"/>
          <w:sz w:val="18"/>
          <w:szCs w:val="18"/>
          <w:color w:val="auto"/>
        </w:rPr>
      </w:pPr>
    </w:p>
    <w:p>
      <w:pPr>
        <w:spacing w:after="0" w:line="200" w:lineRule="exact"/>
        <w:rPr>
          <w:rFonts w:ascii="Arial" w:cs="Arial" w:eastAsia="Arial" w:hAnsi="Arial"/>
          <w:sz w:val="18"/>
          <w:szCs w:val="18"/>
          <w:color w:val="auto"/>
        </w:rPr>
      </w:pPr>
    </w:p>
    <w:p>
      <w:pPr>
        <w:spacing w:after="0" w:line="200" w:lineRule="exact"/>
        <w:rPr>
          <w:rFonts w:ascii="Arial" w:cs="Arial" w:eastAsia="Arial" w:hAnsi="Arial"/>
          <w:sz w:val="18"/>
          <w:szCs w:val="18"/>
          <w:color w:val="auto"/>
        </w:rPr>
      </w:pPr>
    </w:p>
    <w:p>
      <w:pPr>
        <w:spacing w:after="0" w:line="200" w:lineRule="exact"/>
        <w:rPr>
          <w:rFonts w:ascii="Arial" w:cs="Arial" w:eastAsia="Arial" w:hAnsi="Arial"/>
          <w:sz w:val="18"/>
          <w:szCs w:val="18"/>
          <w:color w:val="auto"/>
        </w:rPr>
      </w:pPr>
    </w:p>
    <w:p>
      <w:pPr>
        <w:spacing w:after="0" w:line="200" w:lineRule="exact"/>
        <w:rPr>
          <w:rFonts w:ascii="Arial" w:cs="Arial" w:eastAsia="Arial" w:hAnsi="Arial"/>
          <w:sz w:val="18"/>
          <w:szCs w:val="18"/>
          <w:color w:val="auto"/>
        </w:rPr>
      </w:pPr>
    </w:p>
    <w:p>
      <w:pPr>
        <w:spacing w:after="0" w:line="200" w:lineRule="exact"/>
        <w:rPr>
          <w:rFonts w:ascii="Arial" w:cs="Arial" w:eastAsia="Arial" w:hAnsi="Arial"/>
          <w:sz w:val="18"/>
          <w:szCs w:val="18"/>
          <w:color w:val="auto"/>
        </w:rPr>
      </w:pPr>
    </w:p>
    <w:p>
      <w:pPr>
        <w:spacing w:after="0" w:line="200" w:lineRule="exact"/>
        <w:rPr>
          <w:rFonts w:ascii="Arial" w:cs="Arial" w:eastAsia="Arial" w:hAnsi="Arial"/>
          <w:sz w:val="18"/>
          <w:szCs w:val="18"/>
          <w:color w:val="auto"/>
        </w:rPr>
      </w:pPr>
    </w:p>
    <w:p>
      <w:pPr>
        <w:spacing w:after="0" w:line="224" w:lineRule="exact"/>
        <w:rPr>
          <w:rFonts w:ascii="Arial" w:cs="Arial" w:eastAsia="Arial" w:hAnsi="Arial"/>
          <w:sz w:val="18"/>
          <w:szCs w:val="18"/>
          <w:color w:val="auto"/>
        </w:rPr>
      </w:pPr>
    </w:p>
    <w:p>
      <w:pPr>
        <w:jc w:val="both"/>
        <w:ind w:right="120"/>
        <w:spacing w:after="0" w:line="235" w:lineRule="auto"/>
        <w:rPr>
          <w:sz w:val="20"/>
          <w:szCs w:val="20"/>
          <w:color w:val="auto"/>
        </w:rPr>
      </w:pPr>
      <w:r>
        <w:rPr>
          <w:rFonts w:ascii="Arial" w:cs="Arial" w:eastAsia="Arial" w:hAnsi="Arial"/>
          <w:sz w:val="18"/>
          <w:szCs w:val="18"/>
          <w:color w:val="auto"/>
        </w:rPr>
        <w:t>In 2006, approximately 75% of Cable capital expenditures were variable and directly associated with continued and growing demand for our existing and new products and services, which leads to increases in RGUs. The amounts of capital expenditures in our Programming segment and our other business activities have not been significant and have been relatively stable from 2004 through 2006. The amounts of our capital expenditures for 2007 and for subsequent years will depend on numerous factors, including acquisitions, competition, changes in technology and the timing and rate of deployment of new services.</w:t>
      </w:r>
    </w:p>
    <w:p>
      <w:pPr>
        <w:spacing w:after="0" w:line="200" w:lineRule="exact"/>
        <w:rPr>
          <w:rFonts w:ascii="Arial" w:cs="Arial" w:eastAsia="Arial" w:hAnsi="Arial"/>
          <w:sz w:val="18"/>
          <w:szCs w:val="18"/>
          <w:color w:val="auto"/>
        </w:rPr>
      </w:pPr>
    </w:p>
    <w:p>
      <w:pPr>
        <w:sectPr>
          <w:pgSz w:w="11900" w:h="16838" w:orient="portrait"/>
          <w:cols w:equalWidth="0" w:num="2">
            <w:col w:w="5480" w:space="340"/>
            <w:col w:w="5600"/>
          </w:cols>
          <w:pgMar w:left="240" w:top="459" w:right="239" w:bottom="1440" w:gutter="0" w:footer="0" w:header="0"/>
        </w:sectPr>
      </w:pPr>
    </w:p>
    <w:p>
      <w:pPr>
        <w:spacing w:after="0" w:line="200" w:lineRule="exact"/>
        <w:rPr>
          <w:rFonts w:ascii="Arial" w:cs="Arial" w:eastAsia="Arial" w:hAnsi="Arial"/>
          <w:sz w:val="18"/>
          <w:szCs w:val="18"/>
          <w:color w:val="auto"/>
        </w:rPr>
      </w:pPr>
    </w:p>
    <w:p>
      <w:pPr>
        <w:spacing w:after="0" w:line="200" w:lineRule="exact"/>
        <w:rPr>
          <w:rFonts w:ascii="Arial" w:cs="Arial" w:eastAsia="Arial" w:hAnsi="Arial"/>
          <w:sz w:val="18"/>
          <w:szCs w:val="18"/>
          <w:color w:val="auto"/>
        </w:rPr>
      </w:pPr>
    </w:p>
    <w:p>
      <w:pPr>
        <w:spacing w:after="0" w:line="203" w:lineRule="exact"/>
        <w:rPr>
          <w:rFonts w:ascii="Arial" w:cs="Arial" w:eastAsia="Arial" w:hAnsi="Arial"/>
          <w:sz w:val="18"/>
          <w:szCs w:val="18"/>
          <w:color w:val="auto"/>
        </w:rPr>
      </w:pPr>
    </w:p>
    <w:p>
      <w:pPr>
        <w:ind w:left="5680"/>
        <w:spacing w:after="0"/>
        <w:tabs>
          <w:tab w:leader="none" w:pos="9180" w:val="left"/>
        </w:tabs>
        <w:rPr>
          <w:sz w:val="20"/>
          <w:szCs w:val="20"/>
          <w:color w:val="auto"/>
        </w:rPr>
      </w:pPr>
      <w:r>
        <w:rPr>
          <w:rFonts w:ascii="Arial" w:cs="Arial" w:eastAsia="Arial" w:hAnsi="Arial"/>
          <w:sz w:val="12"/>
          <w:szCs w:val="12"/>
          <w:b w:val="1"/>
          <w:bCs w:val="1"/>
          <w:color w:val="auto"/>
        </w:rPr>
        <w:t>33</w:t>
      </w:r>
      <w:r>
        <w:rPr>
          <w:sz w:val="20"/>
          <w:szCs w:val="20"/>
          <w:color w:val="auto"/>
        </w:rPr>
        <w:tab/>
      </w:r>
      <w:r>
        <w:rPr>
          <w:rFonts w:ascii="Arial" w:cs="Arial" w:eastAsia="Arial" w:hAnsi="Arial"/>
          <w:sz w:val="12"/>
          <w:szCs w:val="12"/>
          <w:color w:val="auto"/>
        </w:rPr>
        <w:t xml:space="preserve">Comcast 2006 Annual Report </w:t>
      </w:r>
      <w:r>
        <w:rPr>
          <w:rFonts w:ascii="Arial" w:cs="Arial" w:eastAsia="Arial" w:hAnsi="Arial"/>
          <w:sz w:val="12"/>
          <w:szCs w:val="12"/>
          <w:b w:val="1"/>
          <w:bCs w:val="1"/>
          <w:color w:val="auto"/>
        </w:rPr>
        <w:t>MD&amp;A</w:t>
      </w:r>
    </w:p>
    <w:p>
      <w:pPr>
        <w:sectPr>
          <w:pgSz w:w="11900" w:h="16838" w:orient="portrait"/>
          <w:cols w:equalWidth="0" w:num="1">
            <w:col w:w="11420"/>
          </w:cols>
          <w:pgMar w:left="240" w:top="459" w:right="239" w:bottom="1440" w:gutter="0" w:footer="0" w:header="0"/>
          <w:type w:val="continuous"/>
        </w:sectPr>
      </w:pPr>
    </w:p>
    <w:bookmarkStart w:id="110" w:name="page111"/>
    <w:bookmarkEnd w:id="110"/>
    <w:p>
      <w:pPr>
        <w:spacing w:after="0"/>
        <w:rPr>
          <w:rFonts w:ascii="Arial" w:cs="Arial" w:eastAsia="Arial" w:hAnsi="Arial"/>
          <w:sz w:val="18"/>
          <w:szCs w:val="18"/>
          <w:b w:val="1"/>
          <w:bCs w:val="1"/>
          <w:u w:val="single" w:color="auto"/>
          <w:color w:val="0000EE"/>
        </w:rPr>
      </w:pPr>
      <w:hyperlink w:anchor="page3">
        <w:r>
          <w:rPr>
            <w:rFonts w:ascii="Arial" w:cs="Arial" w:eastAsia="Arial" w:hAnsi="Arial"/>
            <w:sz w:val="18"/>
            <w:szCs w:val="18"/>
            <w:b w:val="1"/>
            <w:bCs w:val="1"/>
            <w:u w:val="single" w:color="auto"/>
            <w:color w:val="0000EE"/>
          </w:rPr>
          <w:t>Table of Contents</w:t>
        </w:r>
      </w:hyperlink>
    </w:p>
    <w:p>
      <w:pPr>
        <w:spacing w:after="0" w:line="200" w:lineRule="exact"/>
        <w:rPr>
          <w:sz w:val="20"/>
          <w:szCs w:val="20"/>
          <w:color w:val="auto"/>
        </w:rPr>
      </w:pPr>
    </w:p>
    <w:p>
      <w:pPr>
        <w:spacing w:after="0" w:line="276" w:lineRule="exact"/>
        <w:rPr>
          <w:sz w:val="20"/>
          <w:szCs w:val="20"/>
          <w:color w:val="auto"/>
        </w:rPr>
      </w:pPr>
    </w:p>
    <w:p>
      <w:pPr>
        <w:spacing w:after="0"/>
        <w:rPr>
          <w:sz w:val="20"/>
          <w:szCs w:val="20"/>
          <w:color w:val="auto"/>
        </w:rPr>
      </w:pPr>
      <w:r>
        <w:rPr>
          <w:rFonts w:ascii="Arial" w:cs="Arial" w:eastAsia="Arial" w:hAnsi="Arial"/>
          <w:sz w:val="18"/>
          <w:szCs w:val="18"/>
          <w:color w:val="35BF85"/>
        </w:rPr>
        <w:t>Interest Rate Risk Management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63500</wp:posOffset>
            </wp:positionV>
            <wp:extent cx="3481705" cy="8890"/>
            <wp:wrapNone/>
            <wp:docPr id="161" name="Picture 1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1"/>
                    <pic:cNvPicPr>
                      <a:picLocks noChangeAspect="1" noChangeArrowheads="1"/>
                    </pic:cNvPicPr>
                  </pic:nvPicPr>
                  <pic:blipFill>
                    <a:blip r:embed="rId168">
                      <a:extLst>
                        <a:ext uri="{28A0092B-C50C-407E-A947-70E740481C1C}"/>
                      </a:extLst>
                    </a:blip>
                    <a:srcRect/>
                    <a:stretch>
                      <a:fillRect/>
                    </a:stretch>
                  </pic:blipFill>
                  <pic:spPr bwMode="auto">
                    <a:xfrm>
                      <a:off x="0" y="0"/>
                      <a:ext cx="3481705" cy="8890"/>
                    </a:xfrm>
                    <a:prstGeom prst="rect">
                      <a:avLst/>
                    </a:prstGeom>
                    <a:noFill/>
                  </pic:spPr>
                </pic:pic>
              </a:graphicData>
            </a:graphic>
          </wp:anchor>
        </w:drawing>
      </w:r>
    </w:p>
    <w:p>
      <w:pPr>
        <w:spacing w:after="0" w:line="205" w:lineRule="exact"/>
        <w:rPr>
          <w:sz w:val="20"/>
          <w:szCs w:val="20"/>
          <w:color w:val="auto"/>
        </w:rPr>
      </w:pPr>
    </w:p>
    <w:p>
      <w:pPr>
        <w:jc w:val="both"/>
        <w:spacing w:after="0" w:line="236" w:lineRule="auto"/>
        <w:rPr>
          <w:sz w:val="20"/>
          <w:szCs w:val="20"/>
          <w:color w:val="auto"/>
        </w:rPr>
      </w:pPr>
      <w:r>
        <w:rPr>
          <w:rFonts w:ascii="Arial" w:cs="Arial" w:eastAsia="Arial" w:hAnsi="Arial"/>
          <w:sz w:val="18"/>
          <w:szCs w:val="18"/>
          <w:color w:val="auto"/>
        </w:rPr>
        <w:t>We maintain a mix of fixed and variable-rate debt. Approximately 94% of our total debt of $28.975 billion is at fixed rates with the remaining at variable rates. We are exposed to the market risk of adverse changes in interest rates. In order to manage the cost and volatility relating to the interest cost of our outstanding debt, we enter into various interest rate risk management derivative transactions pursuant to our policies.</w:t>
      </w:r>
    </w:p>
    <w:p>
      <w:pPr>
        <w:spacing w:after="0" w:line="155" w:lineRule="exact"/>
        <w:rPr>
          <w:sz w:val="20"/>
          <w:szCs w:val="20"/>
          <w:color w:val="auto"/>
        </w:rPr>
      </w:pPr>
    </w:p>
    <w:p>
      <w:pPr>
        <w:jc w:val="both"/>
        <w:spacing w:after="0" w:line="237" w:lineRule="auto"/>
        <w:rPr>
          <w:sz w:val="20"/>
          <w:szCs w:val="20"/>
          <w:color w:val="auto"/>
        </w:rPr>
      </w:pPr>
      <w:r>
        <w:rPr>
          <w:rFonts w:ascii="Arial" w:cs="Arial" w:eastAsia="Arial" w:hAnsi="Arial"/>
          <w:sz w:val="18"/>
          <w:szCs w:val="18"/>
          <w:color w:val="auto"/>
        </w:rPr>
        <w:t>We monitor our interest rate risk exposures using techniques that include market value and sensitivity analyses. We do not hold or issue any derivative financial instruments for speculative purposes and we are not a party to any leveraged derivative instruments.</w:t>
      </w:r>
    </w:p>
    <w:p>
      <w:pPr>
        <w:spacing w:after="0" w:line="155" w:lineRule="exact"/>
        <w:rPr>
          <w:sz w:val="20"/>
          <w:szCs w:val="20"/>
          <w:color w:val="auto"/>
        </w:rPr>
      </w:pPr>
    </w:p>
    <w:p>
      <w:pPr>
        <w:jc w:val="both"/>
        <w:spacing w:after="0" w:line="238" w:lineRule="auto"/>
        <w:rPr>
          <w:sz w:val="20"/>
          <w:szCs w:val="20"/>
          <w:color w:val="auto"/>
        </w:rPr>
      </w:pPr>
      <w:r>
        <w:rPr>
          <w:rFonts w:ascii="Arial" w:cs="Arial" w:eastAsia="Arial" w:hAnsi="Arial"/>
          <w:sz w:val="18"/>
          <w:szCs w:val="18"/>
          <w:color w:val="auto"/>
        </w:rPr>
        <w:t>We manage the credit risks associated with our derivative financial instruments through the evaluation and monitoring of the creditworthiness of the</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63" w:lineRule="exact"/>
        <w:rPr>
          <w:sz w:val="20"/>
          <w:szCs w:val="20"/>
          <w:color w:val="auto"/>
        </w:rPr>
      </w:pPr>
    </w:p>
    <w:p>
      <w:pPr>
        <w:jc w:val="both"/>
        <w:ind w:right="120"/>
        <w:spacing w:after="0" w:line="238" w:lineRule="auto"/>
        <w:rPr>
          <w:sz w:val="20"/>
          <w:szCs w:val="20"/>
          <w:color w:val="auto"/>
        </w:rPr>
      </w:pPr>
      <w:r>
        <w:rPr>
          <w:rFonts w:ascii="Arial" w:cs="Arial" w:eastAsia="Arial" w:hAnsi="Arial"/>
          <w:sz w:val="18"/>
          <w:szCs w:val="18"/>
          <w:color w:val="auto"/>
        </w:rPr>
        <w:t>counterparties. Although we may be exposed to losses in the event of nonperformance by the counterparties, we do not expect such losses, if any, to be significant.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-3691890</wp:posOffset>
            </wp:positionH>
            <wp:positionV relativeFrom="paragraph">
              <wp:posOffset>-1026795</wp:posOffset>
            </wp:positionV>
            <wp:extent cx="7267575" cy="27940"/>
            <wp:wrapNone/>
            <wp:docPr id="162" name="Picture 1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2"/>
                    <pic:cNvPicPr>
                      <a:picLocks noChangeAspect="1" noChangeArrowheads="1"/>
                    </pic:cNvPicPr>
                  </pic:nvPicPr>
                  <pic:blipFill>
                    <a:blip r:embed="rId169">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p>
    <w:p>
      <w:pPr>
        <w:spacing w:after="0" w:line="134" w:lineRule="exact"/>
        <w:rPr>
          <w:sz w:val="20"/>
          <w:szCs w:val="20"/>
          <w:color w:val="auto"/>
        </w:rPr>
      </w:pPr>
    </w:p>
    <w:p>
      <w:pPr>
        <w:jc w:val="both"/>
        <w:ind w:right="120"/>
        <w:spacing w:after="0" w:line="268" w:lineRule="auto"/>
        <w:rPr>
          <w:sz w:val="20"/>
          <w:szCs w:val="20"/>
          <w:color w:val="auto"/>
        </w:rPr>
      </w:pPr>
      <w:r>
        <w:rPr>
          <w:rFonts w:ascii="Arial" w:cs="Arial" w:eastAsia="Arial" w:hAnsi="Arial"/>
          <w:sz w:val="16"/>
          <w:szCs w:val="16"/>
          <w:color w:val="auto"/>
        </w:rPr>
        <w:t>Our interest rate derivative financial instruments, which can include swaps, rate locks, caps and collars, represent an integral part of our interest rate risk management program. Our interest rate derivative financial instruments reduced the portion of our total debt at fixed-rates from 94% to 83% as of December 31, 2006. The effect of our interest rate derivative financial instruments increased our interest expense by approximately $39 million in 2006, and decreased our interest expense by approximately $16 million and $66 million in 2005 and 2004, respectively. Interest rate risk management instruments may have a significant effect on our interest expense in the future.</w:t>
      </w:r>
    </w:p>
    <w:p>
      <w:pPr>
        <w:spacing w:after="0" w:line="976" w:lineRule="exact"/>
        <w:rPr>
          <w:sz w:val="20"/>
          <w:szCs w:val="20"/>
          <w:color w:val="auto"/>
        </w:rPr>
      </w:pPr>
    </w:p>
    <w:p>
      <w:pPr>
        <w:sectPr>
          <w:pgSz w:w="11900" w:h="16838" w:orient="portrait"/>
          <w:cols w:equalWidth="0" w:num="2">
            <w:col w:w="5480" w:space="340"/>
            <w:col w:w="5600"/>
          </w:cols>
          <w:pgMar w:left="240" w:top="459" w:right="239" w:bottom="1440" w:gutter="0" w:footer="0" w:header="0"/>
        </w:sectPr>
      </w:pPr>
    </w:p>
    <w:p>
      <w:pPr>
        <w:spacing w:after="0" w:line="157" w:lineRule="exact"/>
        <w:rPr>
          <w:sz w:val="20"/>
          <w:szCs w:val="20"/>
          <w:color w:val="auto"/>
        </w:rPr>
      </w:pPr>
    </w:p>
    <w:p>
      <w:pPr>
        <w:spacing w:after="0"/>
        <w:rPr>
          <w:sz w:val="20"/>
          <w:szCs w:val="20"/>
          <w:color w:val="auto"/>
        </w:rPr>
      </w:pPr>
      <w:r>
        <w:rPr>
          <w:rFonts w:ascii="Arial" w:cs="Arial" w:eastAsia="Arial" w:hAnsi="Arial"/>
          <w:sz w:val="16"/>
          <w:szCs w:val="16"/>
          <w:color w:val="auto"/>
        </w:rPr>
        <w:t>The table set forth below summarizes the fair values and contract terms of financial instruments subject to interest rate risk maintained by us as of</w:t>
      </w:r>
    </w:p>
    <w:p>
      <w:pPr>
        <w:spacing w:after="0" w:line="19" w:lineRule="exact"/>
        <w:rPr>
          <w:sz w:val="20"/>
          <w:szCs w:val="20"/>
          <w:color w:val="auto"/>
        </w:rPr>
      </w:pPr>
    </w:p>
    <w:p>
      <w:pPr>
        <w:spacing w:after="0"/>
        <w:rPr>
          <w:sz w:val="20"/>
          <w:szCs w:val="20"/>
          <w:color w:val="auto"/>
        </w:rPr>
      </w:pPr>
      <w:r>
        <w:rPr>
          <w:rFonts w:ascii="Arial" w:cs="Arial" w:eastAsia="Arial" w:hAnsi="Arial"/>
          <w:sz w:val="18"/>
          <w:szCs w:val="18"/>
          <w:color w:val="auto"/>
        </w:rPr>
        <w:t>December 31, 2006:</w:t>
      </w:r>
    </w:p>
    <w:p>
      <w:pPr>
        <w:spacing w:after="0" w:line="194"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292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08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760" w:type="dxa"/>
            <w:vAlign w:val="bottom"/>
          </w:tcPr>
          <w:p>
            <w:pPr>
              <w:jc w:val="right"/>
              <w:spacing w:after="0"/>
              <w:rPr>
                <w:sz w:val="20"/>
                <w:szCs w:val="20"/>
                <w:color w:val="auto"/>
              </w:rPr>
            </w:pPr>
            <w:r>
              <w:rPr>
                <w:rFonts w:ascii="Arial" w:cs="Arial" w:eastAsia="Arial" w:hAnsi="Arial"/>
                <w:sz w:val="18"/>
                <w:szCs w:val="18"/>
                <w:color w:val="auto"/>
              </w:rPr>
              <w:t>Fair</w:t>
            </w:r>
          </w:p>
        </w:tc>
      </w:tr>
      <w:tr>
        <w:trPr>
          <w:trHeight w:val="203"/>
        </w:trPr>
        <w:tc>
          <w:tcPr>
            <w:tcW w:w="292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08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760" w:type="dxa"/>
            <w:vAlign w:val="bottom"/>
          </w:tcPr>
          <w:p>
            <w:pPr>
              <w:jc w:val="right"/>
              <w:spacing w:after="0" w:line="202" w:lineRule="exact"/>
              <w:rPr>
                <w:sz w:val="20"/>
                <w:szCs w:val="20"/>
                <w:color w:val="auto"/>
              </w:rPr>
            </w:pPr>
            <w:r>
              <w:rPr>
                <w:rFonts w:ascii="Arial" w:cs="Arial" w:eastAsia="Arial" w:hAnsi="Arial"/>
                <w:sz w:val="18"/>
                <w:szCs w:val="18"/>
                <w:color w:val="auto"/>
              </w:rPr>
              <w:t>Value</w:t>
            </w:r>
          </w:p>
        </w:tc>
      </w:tr>
      <w:tr>
        <w:trPr>
          <w:trHeight w:val="199"/>
        </w:trPr>
        <w:tc>
          <w:tcPr>
            <w:tcW w:w="2920" w:type="dxa"/>
            <w:vAlign w:val="bottom"/>
            <w:tcBorders>
              <w:bottom w:val="single" w:sz="8" w:color="auto"/>
            </w:tcBorders>
          </w:tcPr>
          <w:p>
            <w:pPr>
              <w:spacing w:after="0" w:line="200" w:lineRule="exact"/>
              <w:rPr>
                <w:sz w:val="20"/>
                <w:szCs w:val="20"/>
                <w:color w:val="auto"/>
              </w:rPr>
            </w:pPr>
            <w:r>
              <w:rPr>
                <w:rFonts w:ascii="Arial" w:cs="Arial" w:eastAsia="Arial" w:hAnsi="Arial"/>
                <w:sz w:val="18"/>
                <w:szCs w:val="18"/>
                <w:color w:val="auto"/>
              </w:rPr>
              <w:t>(in millions)</w:t>
            </w:r>
          </w:p>
        </w:tc>
        <w:tc>
          <w:tcPr>
            <w:tcW w:w="900" w:type="dxa"/>
            <w:vAlign w:val="bottom"/>
            <w:tcBorders>
              <w:bottom w:val="single" w:sz="8" w:color="auto"/>
            </w:tcBorders>
          </w:tcPr>
          <w:p>
            <w:pPr>
              <w:spacing w:after="0"/>
              <w:rPr>
                <w:sz w:val="17"/>
                <w:szCs w:val="17"/>
                <w:color w:val="auto"/>
              </w:rPr>
            </w:pPr>
          </w:p>
        </w:tc>
        <w:tc>
          <w:tcPr>
            <w:tcW w:w="660" w:type="dxa"/>
            <w:vAlign w:val="bottom"/>
            <w:tcBorders>
              <w:bottom w:val="single" w:sz="8" w:color="auto"/>
            </w:tcBorders>
          </w:tcPr>
          <w:p>
            <w:pPr>
              <w:jc w:val="right"/>
              <w:ind w:right="172"/>
              <w:spacing w:after="0" w:line="200" w:lineRule="exact"/>
              <w:rPr>
                <w:sz w:val="20"/>
                <w:szCs w:val="20"/>
                <w:color w:val="auto"/>
              </w:rPr>
            </w:pPr>
            <w:r>
              <w:rPr>
                <w:rFonts w:ascii="Arial" w:cs="Arial" w:eastAsia="Arial" w:hAnsi="Arial"/>
                <w:sz w:val="18"/>
                <w:szCs w:val="18"/>
                <w:color w:val="auto"/>
                <w:w w:val="94"/>
              </w:rPr>
              <w:t>2007</w:t>
            </w:r>
          </w:p>
        </w:tc>
        <w:tc>
          <w:tcPr>
            <w:tcW w:w="220" w:type="dxa"/>
            <w:vAlign w:val="bottom"/>
            <w:tcBorders>
              <w:bottom w:val="single" w:sz="8" w:color="auto"/>
            </w:tcBorders>
          </w:tcPr>
          <w:p>
            <w:pPr>
              <w:spacing w:after="0"/>
              <w:rPr>
                <w:sz w:val="17"/>
                <w:szCs w:val="17"/>
                <w:color w:val="auto"/>
              </w:rPr>
            </w:pPr>
          </w:p>
        </w:tc>
        <w:tc>
          <w:tcPr>
            <w:tcW w:w="700" w:type="dxa"/>
            <w:vAlign w:val="bottom"/>
            <w:tcBorders>
              <w:bottom w:val="single" w:sz="8" w:color="auto"/>
            </w:tcBorders>
          </w:tcPr>
          <w:p>
            <w:pPr>
              <w:jc w:val="right"/>
              <w:ind w:right="172"/>
              <w:spacing w:after="0" w:line="200" w:lineRule="exact"/>
              <w:rPr>
                <w:sz w:val="20"/>
                <w:szCs w:val="20"/>
                <w:color w:val="auto"/>
              </w:rPr>
            </w:pPr>
            <w:r>
              <w:rPr>
                <w:rFonts w:ascii="Arial" w:cs="Arial" w:eastAsia="Arial" w:hAnsi="Arial"/>
                <w:sz w:val="18"/>
                <w:szCs w:val="18"/>
                <w:color w:val="auto"/>
              </w:rPr>
              <w:t>2008</w:t>
            </w:r>
          </w:p>
        </w:tc>
        <w:tc>
          <w:tcPr>
            <w:tcW w:w="220" w:type="dxa"/>
            <w:vAlign w:val="bottom"/>
            <w:tcBorders>
              <w:bottom w:val="single" w:sz="8" w:color="auto"/>
            </w:tcBorders>
          </w:tcPr>
          <w:p>
            <w:pPr>
              <w:spacing w:after="0"/>
              <w:rPr>
                <w:sz w:val="17"/>
                <w:szCs w:val="17"/>
                <w:color w:val="auto"/>
              </w:rPr>
            </w:pPr>
          </w:p>
        </w:tc>
        <w:tc>
          <w:tcPr>
            <w:tcW w:w="700" w:type="dxa"/>
            <w:vAlign w:val="bottom"/>
            <w:tcBorders>
              <w:bottom w:val="single" w:sz="8" w:color="auto"/>
            </w:tcBorders>
          </w:tcPr>
          <w:p>
            <w:pPr>
              <w:jc w:val="right"/>
              <w:ind w:right="172"/>
              <w:spacing w:after="0" w:line="200" w:lineRule="exact"/>
              <w:rPr>
                <w:sz w:val="20"/>
                <w:szCs w:val="20"/>
                <w:color w:val="auto"/>
              </w:rPr>
            </w:pPr>
            <w:r>
              <w:rPr>
                <w:rFonts w:ascii="Arial" w:cs="Arial" w:eastAsia="Arial" w:hAnsi="Arial"/>
                <w:sz w:val="18"/>
                <w:szCs w:val="18"/>
                <w:color w:val="auto"/>
              </w:rPr>
              <w:t>2009</w:t>
            </w:r>
          </w:p>
        </w:tc>
        <w:tc>
          <w:tcPr>
            <w:tcW w:w="200" w:type="dxa"/>
            <w:vAlign w:val="bottom"/>
            <w:tcBorders>
              <w:bottom w:val="single" w:sz="8" w:color="auto"/>
            </w:tcBorders>
          </w:tcPr>
          <w:p>
            <w:pPr>
              <w:spacing w:after="0"/>
              <w:rPr>
                <w:sz w:val="17"/>
                <w:szCs w:val="17"/>
                <w:color w:val="auto"/>
              </w:rPr>
            </w:pPr>
          </w:p>
        </w:tc>
        <w:tc>
          <w:tcPr>
            <w:tcW w:w="720" w:type="dxa"/>
            <w:vAlign w:val="bottom"/>
            <w:tcBorders>
              <w:bottom w:val="single" w:sz="8" w:color="auto"/>
            </w:tcBorders>
          </w:tcPr>
          <w:p>
            <w:pPr>
              <w:jc w:val="right"/>
              <w:ind w:right="172"/>
              <w:spacing w:after="0" w:line="200" w:lineRule="exact"/>
              <w:rPr>
                <w:sz w:val="20"/>
                <w:szCs w:val="20"/>
                <w:color w:val="auto"/>
              </w:rPr>
            </w:pPr>
            <w:r>
              <w:rPr>
                <w:rFonts w:ascii="Arial" w:cs="Arial" w:eastAsia="Arial" w:hAnsi="Arial"/>
                <w:sz w:val="18"/>
                <w:szCs w:val="18"/>
                <w:color w:val="auto"/>
              </w:rPr>
              <w:t>2010</w:t>
            </w:r>
          </w:p>
        </w:tc>
        <w:tc>
          <w:tcPr>
            <w:tcW w:w="200" w:type="dxa"/>
            <w:vAlign w:val="bottom"/>
            <w:tcBorders>
              <w:bottom w:val="single" w:sz="8" w:color="auto"/>
            </w:tcBorders>
          </w:tcPr>
          <w:p>
            <w:pPr>
              <w:spacing w:after="0"/>
              <w:rPr>
                <w:sz w:val="17"/>
                <w:szCs w:val="17"/>
                <w:color w:val="auto"/>
              </w:rPr>
            </w:pPr>
          </w:p>
        </w:tc>
        <w:tc>
          <w:tcPr>
            <w:tcW w:w="720" w:type="dxa"/>
            <w:vAlign w:val="bottom"/>
            <w:tcBorders>
              <w:bottom w:val="single" w:sz="8" w:color="auto"/>
            </w:tcBorders>
          </w:tcPr>
          <w:p>
            <w:pPr>
              <w:jc w:val="right"/>
              <w:ind w:right="172"/>
              <w:spacing w:after="0" w:line="200" w:lineRule="exact"/>
              <w:rPr>
                <w:sz w:val="20"/>
                <w:szCs w:val="20"/>
                <w:color w:val="auto"/>
              </w:rPr>
            </w:pPr>
            <w:r>
              <w:rPr>
                <w:rFonts w:ascii="Arial" w:cs="Arial" w:eastAsia="Arial" w:hAnsi="Arial"/>
                <w:sz w:val="18"/>
                <w:szCs w:val="18"/>
                <w:color w:val="auto"/>
              </w:rPr>
              <w:t>2011</w:t>
            </w:r>
          </w:p>
        </w:tc>
        <w:tc>
          <w:tcPr>
            <w:tcW w:w="200" w:type="dxa"/>
            <w:vAlign w:val="bottom"/>
            <w:tcBorders>
              <w:bottom w:val="single" w:sz="8" w:color="auto"/>
            </w:tcBorders>
          </w:tcPr>
          <w:p>
            <w:pPr>
              <w:spacing w:after="0"/>
              <w:rPr>
                <w:sz w:val="17"/>
                <w:szCs w:val="17"/>
                <w:color w:val="auto"/>
              </w:rPr>
            </w:pPr>
          </w:p>
        </w:tc>
        <w:tc>
          <w:tcPr>
            <w:tcW w:w="1080" w:type="dxa"/>
            <w:vAlign w:val="bottom"/>
            <w:tcBorders>
              <w:bottom w:val="single" w:sz="8" w:color="auto"/>
            </w:tcBorders>
          </w:tcPr>
          <w:p>
            <w:pPr>
              <w:jc w:val="right"/>
              <w:ind w:right="172"/>
              <w:spacing w:after="0" w:line="200" w:lineRule="exact"/>
              <w:rPr>
                <w:sz w:val="20"/>
                <w:szCs w:val="20"/>
                <w:color w:val="auto"/>
              </w:rPr>
            </w:pPr>
            <w:r>
              <w:rPr>
                <w:rFonts w:ascii="Arial" w:cs="Arial" w:eastAsia="Arial" w:hAnsi="Arial"/>
                <w:sz w:val="18"/>
                <w:szCs w:val="18"/>
                <w:color w:val="auto"/>
                <w:w w:val="96"/>
              </w:rPr>
              <w:t>Thereafter</w:t>
            </w:r>
          </w:p>
        </w:tc>
        <w:tc>
          <w:tcPr>
            <w:tcW w:w="200" w:type="dxa"/>
            <w:vAlign w:val="bottom"/>
            <w:tcBorders>
              <w:bottom w:val="single" w:sz="8" w:color="auto"/>
            </w:tcBorders>
          </w:tcPr>
          <w:p>
            <w:pPr>
              <w:spacing w:after="0"/>
              <w:rPr>
                <w:sz w:val="17"/>
                <w:szCs w:val="17"/>
                <w:color w:val="auto"/>
              </w:rPr>
            </w:pPr>
          </w:p>
        </w:tc>
        <w:tc>
          <w:tcPr>
            <w:tcW w:w="820" w:type="dxa"/>
            <w:vAlign w:val="bottom"/>
            <w:tcBorders>
              <w:bottom w:val="single" w:sz="8" w:color="auto"/>
            </w:tcBorders>
          </w:tcPr>
          <w:p>
            <w:pPr>
              <w:jc w:val="right"/>
              <w:ind w:right="172"/>
              <w:spacing w:after="0" w:line="200" w:lineRule="exact"/>
              <w:rPr>
                <w:sz w:val="20"/>
                <w:szCs w:val="20"/>
                <w:color w:val="auto"/>
              </w:rPr>
            </w:pPr>
            <w:r>
              <w:rPr>
                <w:rFonts w:ascii="Arial" w:cs="Arial" w:eastAsia="Arial" w:hAnsi="Arial"/>
                <w:sz w:val="18"/>
                <w:szCs w:val="18"/>
                <w:color w:val="auto"/>
              </w:rPr>
              <w:t>Total</w:t>
            </w:r>
          </w:p>
        </w:tc>
        <w:tc>
          <w:tcPr>
            <w:tcW w:w="200" w:type="dxa"/>
            <w:vAlign w:val="bottom"/>
            <w:tcBorders>
              <w:bottom w:val="single" w:sz="8" w:color="auto"/>
            </w:tcBorders>
          </w:tcPr>
          <w:p>
            <w:pPr>
              <w:spacing w:after="0"/>
              <w:rPr>
                <w:sz w:val="17"/>
                <w:szCs w:val="17"/>
                <w:color w:val="auto"/>
              </w:rPr>
            </w:pPr>
          </w:p>
        </w:tc>
        <w:tc>
          <w:tcPr>
            <w:tcW w:w="760" w:type="dxa"/>
            <w:vAlign w:val="bottom"/>
            <w:tcBorders>
              <w:bottom w:val="single" w:sz="8" w:color="auto"/>
            </w:tcBorders>
          </w:tcPr>
          <w:p>
            <w:pPr>
              <w:jc w:val="right"/>
              <w:spacing w:after="0" w:line="200" w:lineRule="exact"/>
              <w:rPr>
                <w:sz w:val="20"/>
                <w:szCs w:val="20"/>
                <w:color w:val="auto"/>
              </w:rPr>
            </w:pPr>
            <w:r>
              <w:rPr>
                <w:rFonts w:ascii="Arial" w:cs="Arial" w:eastAsia="Arial" w:hAnsi="Arial"/>
                <w:sz w:val="18"/>
                <w:szCs w:val="18"/>
                <w:color w:val="auto"/>
                <w:w w:val="96"/>
              </w:rPr>
              <w:t>12/31/06</w:t>
            </w:r>
          </w:p>
        </w:tc>
      </w:tr>
      <w:tr>
        <w:trPr>
          <w:trHeight w:val="199"/>
        </w:trPr>
        <w:tc>
          <w:tcPr>
            <w:tcW w:w="2920" w:type="dxa"/>
            <w:vAlign w:val="bottom"/>
          </w:tcPr>
          <w:p>
            <w:pPr>
              <w:spacing w:after="0" w:line="200" w:lineRule="exact"/>
              <w:rPr>
                <w:sz w:val="20"/>
                <w:szCs w:val="20"/>
                <w:color w:val="auto"/>
              </w:rPr>
            </w:pPr>
            <w:r>
              <w:rPr>
                <w:rFonts w:ascii="Arial" w:cs="Arial" w:eastAsia="Arial" w:hAnsi="Arial"/>
                <w:sz w:val="18"/>
                <w:szCs w:val="18"/>
                <w:color w:val="auto"/>
              </w:rPr>
              <w:t>Debt</w:t>
            </w:r>
          </w:p>
        </w:tc>
        <w:tc>
          <w:tcPr>
            <w:tcW w:w="90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08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760" w:type="dxa"/>
            <w:vAlign w:val="bottom"/>
          </w:tcPr>
          <w:p>
            <w:pPr>
              <w:spacing w:after="0"/>
              <w:rPr>
                <w:sz w:val="17"/>
                <w:szCs w:val="17"/>
                <w:color w:val="auto"/>
              </w:rPr>
            </w:pPr>
          </w:p>
        </w:tc>
      </w:tr>
      <w:tr>
        <w:trPr>
          <w:trHeight w:val="203"/>
        </w:trPr>
        <w:tc>
          <w:tcPr>
            <w:tcW w:w="2920" w:type="dxa"/>
            <w:vAlign w:val="bottom"/>
          </w:tcPr>
          <w:p>
            <w:pPr>
              <w:spacing w:after="0" w:line="202" w:lineRule="exact"/>
              <w:rPr>
                <w:sz w:val="20"/>
                <w:szCs w:val="20"/>
                <w:color w:val="auto"/>
              </w:rPr>
            </w:pPr>
            <w:r>
              <w:rPr>
                <w:rFonts w:ascii="Arial" w:cs="Arial" w:eastAsia="Arial" w:hAnsi="Arial"/>
                <w:sz w:val="18"/>
                <w:szCs w:val="18"/>
                <w:color w:val="auto"/>
              </w:rPr>
              <w:t>Fixed-Rate</w:t>
            </w:r>
          </w:p>
        </w:tc>
        <w:tc>
          <w:tcPr>
            <w:tcW w:w="900" w:type="dxa"/>
            <w:vAlign w:val="bottom"/>
          </w:tcPr>
          <w:p>
            <w:pPr>
              <w:jc w:val="right"/>
              <w:spacing w:after="0" w:line="202" w:lineRule="exact"/>
              <w:rPr>
                <w:sz w:val="20"/>
                <w:szCs w:val="20"/>
                <w:color w:val="auto"/>
              </w:rPr>
            </w:pPr>
            <w:r>
              <w:rPr>
                <w:rFonts w:ascii="Arial" w:cs="Arial" w:eastAsia="Arial" w:hAnsi="Arial"/>
                <w:sz w:val="18"/>
                <w:szCs w:val="18"/>
                <w:color w:val="auto"/>
              </w:rPr>
              <w:t>$</w:t>
            </w:r>
          </w:p>
        </w:tc>
        <w:tc>
          <w:tcPr>
            <w:tcW w:w="660" w:type="dxa"/>
            <w:vAlign w:val="bottom"/>
          </w:tcPr>
          <w:p>
            <w:pPr>
              <w:jc w:val="right"/>
              <w:ind w:right="172"/>
              <w:spacing w:after="0" w:line="202" w:lineRule="exact"/>
              <w:rPr>
                <w:sz w:val="20"/>
                <w:szCs w:val="20"/>
                <w:color w:val="auto"/>
              </w:rPr>
            </w:pPr>
            <w:r>
              <w:rPr>
                <w:rFonts w:ascii="Arial" w:cs="Arial" w:eastAsia="Arial" w:hAnsi="Arial"/>
                <w:sz w:val="18"/>
                <w:szCs w:val="18"/>
                <w:color w:val="auto"/>
              </w:rPr>
              <w:t>908</w:t>
            </w:r>
          </w:p>
        </w:tc>
        <w:tc>
          <w:tcPr>
            <w:tcW w:w="220" w:type="dxa"/>
            <w:vAlign w:val="bottom"/>
          </w:tcPr>
          <w:p>
            <w:pPr>
              <w:jc w:val="right"/>
              <w:spacing w:after="0" w:line="202" w:lineRule="exact"/>
              <w:rPr>
                <w:sz w:val="20"/>
                <w:szCs w:val="20"/>
                <w:color w:val="auto"/>
              </w:rPr>
            </w:pPr>
            <w:r>
              <w:rPr>
                <w:rFonts w:ascii="Arial" w:cs="Arial" w:eastAsia="Arial" w:hAnsi="Arial"/>
                <w:sz w:val="18"/>
                <w:szCs w:val="18"/>
                <w:color w:val="auto"/>
              </w:rPr>
              <w:t>$</w:t>
            </w:r>
          </w:p>
        </w:tc>
        <w:tc>
          <w:tcPr>
            <w:tcW w:w="700" w:type="dxa"/>
            <w:vAlign w:val="bottom"/>
          </w:tcPr>
          <w:p>
            <w:pPr>
              <w:jc w:val="right"/>
              <w:ind w:right="172"/>
              <w:spacing w:after="0" w:line="202" w:lineRule="exact"/>
              <w:rPr>
                <w:sz w:val="20"/>
                <w:szCs w:val="20"/>
                <w:color w:val="auto"/>
              </w:rPr>
            </w:pPr>
            <w:r>
              <w:rPr>
                <w:rFonts w:ascii="Arial" w:cs="Arial" w:eastAsia="Arial" w:hAnsi="Arial"/>
                <w:sz w:val="18"/>
                <w:szCs w:val="18"/>
                <w:color w:val="auto"/>
                <w:w w:val="93"/>
              </w:rPr>
              <w:t>1,474</w:t>
            </w:r>
          </w:p>
        </w:tc>
        <w:tc>
          <w:tcPr>
            <w:tcW w:w="220" w:type="dxa"/>
            <w:vAlign w:val="bottom"/>
          </w:tcPr>
          <w:p>
            <w:pPr>
              <w:jc w:val="right"/>
              <w:spacing w:after="0" w:line="202" w:lineRule="exact"/>
              <w:rPr>
                <w:sz w:val="20"/>
                <w:szCs w:val="20"/>
                <w:color w:val="auto"/>
              </w:rPr>
            </w:pPr>
            <w:r>
              <w:rPr>
                <w:rFonts w:ascii="Arial" w:cs="Arial" w:eastAsia="Arial" w:hAnsi="Arial"/>
                <w:sz w:val="18"/>
                <w:szCs w:val="18"/>
                <w:color w:val="auto"/>
              </w:rPr>
              <w:t>$</w:t>
            </w:r>
          </w:p>
        </w:tc>
        <w:tc>
          <w:tcPr>
            <w:tcW w:w="700" w:type="dxa"/>
            <w:vAlign w:val="bottom"/>
          </w:tcPr>
          <w:p>
            <w:pPr>
              <w:jc w:val="right"/>
              <w:ind w:right="172"/>
              <w:spacing w:after="0" w:line="202" w:lineRule="exact"/>
              <w:rPr>
                <w:sz w:val="20"/>
                <w:szCs w:val="20"/>
                <w:color w:val="auto"/>
              </w:rPr>
            </w:pPr>
            <w:r>
              <w:rPr>
                <w:rFonts w:ascii="Arial" w:cs="Arial" w:eastAsia="Arial" w:hAnsi="Arial"/>
                <w:sz w:val="18"/>
                <w:szCs w:val="18"/>
                <w:color w:val="auto"/>
              </w:rPr>
              <w:t>990</w:t>
            </w:r>
          </w:p>
        </w:tc>
        <w:tc>
          <w:tcPr>
            <w:tcW w:w="200" w:type="dxa"/>
            <w:vAlign w:val="bottom"/>
          </w:tcPr>
          <w:p>
            <w:pPr>
              <w:jc w:val="right"/>
              <w:spacing w:after="0" w:line="202" w:lineRule="exact"/>
              <w:rPr>
                <w:sz w:val="20"/>
                <w:szCs w:val="20"/>
                <w:color w:val="auto"/>
              </w:rPr>
            </w:pPr>
            <w:r>
              <w:rPr>
                <w:rFonts w:ascii="Arial" w:cs="Arial" w:eastAsia="Arial" w:hAnsi="Arial"/>
                <w:sz w:val="18"/>
                <w:szCs w:val="18"/>
                <w:color w:val="auto"/>
              </w:rPr>
              <w:t>$</w:t>
            </w:r>
          </w:p>
        </w:tc>
        <w:tc>
          <w:tcPr>
            <w:tcW w:w="720" w:type="dxa"/>
            <w:vAlign w:val="bottom"/>
          </w:tcPr>
          <w:p>
            <w:pPr>
              <w:jc w:val="right"/>
              <w:ind w:right="172"/>
              <w:spacing w:after="0" w:line="202" w:lineRule="exact"/>
              <w:rPr>
                <w:sz w:val="20"/>
                <w:szCs w:val="20"/>
                <w:color w:val="auto"/>
              </w:rPr>
            </w:pPr>
            <w:r>
              <w:rPr>
                <w:rFonts w:ascii="Arial" w:cs="Arial" w:eastAsia="Arial" w:hAnsi="Arial"/>
                <w:sz w:val="18"/>
                <w:szCs w:val="18"/>
                <w:color w:val="auto"/>
                <w:w w:val="97"/>
              </w:rPr>
              <w:t>1,109</w:t>
            </w:r>
          </w:p>
        </w:tc>
        <w:tc>
          <w:tcPr>
            <w:tcW w:w="200" w:type="dxa"/>
            <w:vAlign w:val="bottom"/>
          </w:tcPr>
          <w:p>
            <w:pPr>
              <w:jc w:val="right"/>
              <w:spacing w:after="0" w:line="202" w:lineRule="exact"/>
              <w:rPr>
                <w:sz w:val="20"/>
                <w:szCs w:val="20"/>
                <w:color w:val="auto"/>
              </w:rPr>
            </w:pPr>
            <w:r>
              <w:rPr>
                <w:rFonts w:ascii="Arial" w:cs="Arial" w:eastAsia="Arial" w:hAnsi="Arial"/>
                <w:sz w:val="18"/>
                <w:szCs w:val="18"/>
                <w:color w:val="auto"/>
              </w:rPr>
              <w:t>$</w:t>
            </w:r>
          </w:p>
        </w:tc>
        <w:tc>
          <w:tcPr>
            <w:tcW w:w="720" w:type="dxa"/>
            <w:vAlign w:val="bottom"/>
          </w:tcPr>
          <w:p>
            <w:pPr>
              <w:jc w:val="right"/>
              <w:ind w:right="172"/>
              <w:spacing w:after="0" w:line="202" w:lineRule="exact"/>
              <w:rPr>
                <w:sz w:val="20"/>
                <w:szCs w:val="20"/>
                <w:color w:val="auto"/>
              </w:rPr>
            </w:pPr>
            <w:r>
              <w:rPr>
                <w:rFonts w:ascii="Arial" w:cs="Arial" w:eastAsia="Arial" w:hAnsi="Arial"/>
                <w:sz w:val="18"/>
                <w:szCs w:val="18"/>
                <w:color w:val="auto"/>
                <w:w w:val="97"/>
              </w:rPr>
              <w:t>1,741</w:t>
            </w:r>
          </w:p>
        </w:tc>
        <w:tc>
          <w:tcPr>
            <w:tcW w:w="200" w:type="dxa"/>
            <w:vAlign w:val="bottom"/>
          </w:tcPr>
          <w:p>
            <w:pPr>
              <w:jc w:val="right"/>
              <w:spacing w:after="0" w:line="202" w:lineRule="exact"/>
              <w:rPr>
                <w:sz w:val="20"/>
                <w:szCs w:val="20"/>
                <w:color w:val="auto"/>
              </w:rPr>
            </w:pPr>
            <w:r>
              <w:rPr>
                <w:rFonts w:ascii="Arial" w:cs="Arial" w:eastAsia="Arial" w:hAnsi="Arial"/>
                <w:sz w:val="18"/>
                <w:szCs w:val="18"/>
                <w:color w:val="auto"/>
              </w:rPr>
              <w:t>$</w:t>
            </w:r>
          </w:p>
        </w:tc>
        <w:tc>
          <w:tcPr>
            <w:tcW w:w="1080" w:type="dxa"/>
            <w:vAlign w:val="bottom"/>
          </w:tcPr>
          <w:p>
            <w:pPr>
              <w:jc w:val="right"/>
              <w:ind w:right="172"/>
              <w:spacing w:after="0" w:line="202" w:lineRule="exact"/>
              <w:rPr>
                <w:sz w:val="20"/>
                <w:szCs w:val="20"/>
                <w:color w:val="auto"/>
              </w:rPr>
            </w:pPr>
            <w:r>
              <w:rPr>
                <w:rFonts w:ascii="Arial" w:cs="Arial" w:eastAsia="Arial" w:hAnsi="Arial"/>
                <w:sz w:val="18"/>
                <w:szCs w:val="18"/>
                <w:color w:val="auto"/>
              </w:rPr>
              <w:t>20,982</w:t>
            </w:r>
          </w:p>
        </w:tc>
        <w:tc>
          <w:tcPr>
            <w:tcW w:w="200" w:type="dxa"/>
            <w:vAlign w:val="bottom"/>
          </w:tcPr>
          <w:p>
            <w:pPr>
              <w:jc w:val="right"/>
              <w:spacing w:after="0" w:line="202" w:lineRule="exact"/>
              <w:rPr>
                <w:sz w:val="20"/>
                <w:szCs w:val="20"/>
                <w:color w:val="auto"/>
              </w:rPr>
            </w:pPr>
            <w:r>
              <w:rPr>
                <w:rFonts w:ascii="Arial" w:cs="Arial" w:eastAsia="Arial" w:hAnsi="Arial"/>
                <w:sz w:val="18"/>
                <w:szCs w:val="18"/>
                <w:color w:val="auto"/>
              </w:rPr>
              <w:t>$</w:t>
            </w:r>
          </w:p>
        </w:tc>
        <w:tc>
          <w:tcPr>
            <w:tcW w:w="820" w:type="dxa"/>
            <w:vAlign w:val="bottom"/>
          </w:tcPr>
          <w:p>
            <w:pPr>
              <w:jc w:val="right"/>
              <w:ind w:right="172"/>
              <w:spacing w:after="0" w:line="202" w:lineRule="exact"/>
              <w:rPr>
                <w:sz w:val="20"/>
                <w:szCs w:val="20"/>
                <w:color w:val="auto"/>
              </w:rPr>
            </w:pPr>
            <w:r>
              <w:rPr>
                <w:rFonts w:ascii="Arial" w:cs="Arial" w:eastAsia="Arial" w:hAnsi="Arial"/>
                <w:sz w:val="18"/>
                <w:szCs w:val="18"/>
                <w:color w:val="auto"/>
                <w:w w:val="98"/>
              </w:rPr>
              <w:t>27,204</w:t>
            </w:r>
          </w:p>
        </w:tc>
        <w:tc>
          <w:tcPr>
            <w:tcW w:w="200" w:type="dxa"/>
            <w:vAlign w:val="bottom"/>
          </w:tcPr>
          <w:p>
            <w:pPr>
              <w:jc w:val="right"/>
              <w:spacing w:after="0" w:line="202" w:lineRule="exact"/>
              <w:rPr>
                <w:sz w:val="20"/>
                <w:szCs w:val="20"/>
                <w:color w:val="auto"/>
              </w:rPr>
            </w:pPr>
            <w:r>
              <w:rPr>
                <w:rFonts w:ascii="Arial" w:cs="Arial" w:eastAsia="Arial" w:hAnsi="Arial"/>
                <w:sz w:val="18"/>
                <w:szCs w:val="18"/>
                <w:color w:val="auto"/>
              </w:rPr>
              <w:t>$</w:t>
            </w:r>
          </w:p>
        </w:tc>
        <w:tc>
          <w:tcPr>
            <w:tcW w:w="760" w:type="dxa"/>
            <w:vAlign w:val="bottom"/>
          </w:tcPr>
          <w:p>
            <w:pPr>
              <w:jc w:val="right"/>
              <w:spacing w:after="0" w:line="202" w:lineRule="exact"/>
              <w:rPr>
                <w:sz w:val="20"/>
                <w:szCs w:val="20"/>
                <w:color w:val="auto"/>
              </w:rPr>
            </w:pPr>
            <w:r>
              <w:rPr>
                <w:rFonts w:ascii="Arial" w:cs="Arial" w:eastAsia="Arial" w:hAnsi="Arial"/>
                <w:sz w:val="18"/>
                <w:szCs w:val="18"/>
                <w:color w:val="auto"/>
              </w:rPr>
              <w:t>28,923</w:t>
            </w:r>
          </w:p>
        </w:tc>
      </w:tr>
      <w:tr>
        <w:trPr>
          <w:trHeight w:val="203"/>
        </w:trPr>
        <w:tc>
          <w:tcPr>
            <w:tcW w:w="2920" w:type="dxa"/>
            <w:vAlign w:val="bottom"/>
          </w:tcPr>
          <w:p>
            <w:pPr>
              <w:ind w:left="220"/>
              <w:spacing w:after="0" w:line="202" w:lineRule="exact"/>
              <w:rPr>
                <w:sz w:val="20"/>
                <w:szCs w:val="20"/>
                <w:color w:val="auto"/>
              </w:rPr>
            </w:pPr>
            <w:r>
              <w:rPr>
                <w:rFonts w:ascii="Arial" w:cs="Arial" w:eastAsia="Arial" w:hAnsi="Arial"/>
                <w:sz w:val="18"/>
                <w:szCs w:val="18"/>
                <w:color w:val="auto"/>
              </w:rPr>
              <w:t>Average Interest Rate</w:t>
            </w:r>
          </w:p>
        </w:tc>
        <w:tc>
          <w:tcPr>
            <w:tcW w:w="900" w:type="dxa"/>
            <w:vAlign w:val="bottom"/>
          </w:tcPr>
          <w:p>
            <w:pPr>
              <w:spacing w:after="0"/>
              <w:rPr>
                <w:sz w:val="17"/>
                <w:szCs w:val="17"/>
                <w:color w:val="auto"/>
              </w:rPr>
            </w:pPr>
          </w:p>
        </w:tc>
        <w:tc>
          <w:tcPr>
            <w:tcW w:w="660" w:type="dxa"/>
            <w:vAlign w:val="bottom"/>
          </w:tcPr>
          <w:p>
            <w:pPr>
              <w:jc w:val="right"/>
              <w:ind w:right="12"/>
              <w:spacing w:after="0" w:line="202" w:lineRule="exact"/>
              <w:rPr>
                <w:sz w:val="20"/>
                <w:szCs w:val="20"/>
                <w:color w:val="auto"/>
              </w:rPr>
            </w:pPr>
            <w:r>
              <w:rPr>
                <w:rFonts w:ascii="Arial" w:cs="Arial" w:eastAsia="Arial" w:hAnsi="Arial"/>
                <w:sz w:val="18"/>
                <w:szCs w:val="18"/>
                <w:color w:val="auto"/>
              </w:rPr>
              <w:t>8.3%</w:t>
            </w:r>
          </w:p>
        </w:tc>
        <w:tc>
          <w:tcPr>
            <w:tcW w:w="220" w:type="dxa"/>
            <w:vAlign w:val="bottom"/>
          </w:tcPr>
          <w:p>
            <w:pPr>
              <w:spacing w:after="0"/>
              <w:rPr>
                <w:sz w:val="17"/>
                <w:szCs w:val="17"/>
                <w:color w:val="auto"/>
              </w:rPr>
            </w:pPr>
          </w:p>
        </w:tc>
        <w:tc>
          <w:tcPr>
            <w:tcW w:w="700" w:type="dxa"/>
            <w:vAlign w:val="bottom"/>
          </w:tcPr>
          <w:p>
            <w:pPr>
              <w:jc w:val="right"/>
              <w:ind w:right="12"/>
              <w:spacing w:after="0" w:line="202" w:lineRule="exact"/>
              <w:rPr>
                <w:sz w:val="20"/>
                <w:szCs w:val="20"/>
                <w:color w:val="auto"/>
              </w:rPr>
            </w:pPr>
            <w:r>
              <w:rPr>
                <w:rFonts w:ascii="Arial" w:cs="Arial" w:eastAsia="Arial" w:hAnsi="Arial"/>
                <w:sz w:val="18"/>
                <w:szCs w:val="18"/>
                <w:color w:val="auto"/>
              </w:rPr>
              <w:t>7.3%</w:t>
            </w:r>
          </w:p>
        </w:tc>
        <w:tc>
          <w:tcPr>
            <w:tcW w:w="220" w:type="dxa"/>
            <w:vAlign w:val="bottom"/>
          </w:tcPr>
          <w:p>
            <w:pPr>
              <w:spacing w:after="0"/>
              <w:rPr>
                <w:sz w:val="17"/>
                <w:szCs w:val="17"/>
                <w:color w:val="auto"/>
              </w:rPr>
            </w:pPr>
          </w:p>
        </w:tc>
        <w:tc>
          <w:tcPr>
            <w:tcW w:w="700" w:type="dxa"/>
            <w:vAlign w:val="bottom"/>
          </w:tcPr>
          <w:p>
            <w:pPr>
              <w:jc w:val="right"/>
              <w:ind w:right="12"/>
              <w:spacing w:after="0" w:line="202" w:lineRule="exact"/>
              <w:rPr>
                <w:sz w:val="20"/>
                <w:szCs w:val="20"/>
                <w:color w:val="auto"/>
              </w:rPr>
            </w:pPr>
            <w:r>
              <w:rPr>
                <w:rFonts w:ascii="Arial" w:cs="Arial" w:eastAsia="Arial" w:hAnsi="Arial"/>
                <w:sz w:val="18"/>
                <w:szCs w:val="18"/>
                <w:color w:val="auto"/>
              </w:rPr>
              <w:t>7.5%</w:t>
            </w:r>
          </w:p>
        </w:tc>
        <w:tc>
          <w:tcPr>
            <w:tcW w:w="200" w:type="dxa"/>
            <w:vAlign w:val="bottom"/>
          </w:tcPr>
          <w:p>
            <w:pPr>
              <w:spacing w:after="0"/>
              <w:rPr>
                <w:sz w:val="17"/>
                <w:szCs w:val="17"/>
                <w:color w:val="auto"/>
              </w:rPr>
            </w:pPr>
          </w:p>
        </w:tc>
        <w:tc>
          <w:tcPr>
            <w:tcW w:w="720" w:type="dxa"/>
            <w:vAlign w:val="bottom"/>
          </w:tcPr>
          <w:p>
            <w:pPr>
              <w:jc w:val="right"/>
              <w:ind w:right="12"/>
              <w:spacing w:after="0" w:line="202" w:lineRule="exact"/>
              <w:rPr>
                <w:sz w:val="20"/>
                <w:szCs w:val="20"/>
                <w:color w:val="auto"/>
              </w:rPr>
            </w:pPr>
            <w:r>
              <w:rPr>
                <w:rFonts w:ascii="Arial" w:cs="Arial" w:eastAsia="Arial" w:hAnsi="Arial"/>
                <w:sz w:val="18"/>
                <w:szCs w:val="18"/>
                <w:color w:val="auto"/>
              </w:rPr>
              <w:t>5.7%</w:t>
            </w:r>
          </w:p>
        </w:tc>
        <w:tc>
          <w:tcPr>
            <w:tcW w:w="200" w:type="dxa"/>
            <w:vAlign w:val="bottom"/>
          </w:tcPr>
          <w:p>
            <w:pPr>
              <w:spacing w:after="0"/>
              <w:rPr>
                <w:sz w:val="17"/>
                <w:szCs w:val="17"/>
                <w:color w:val="auto"/>
              </w:rPr>
            </w:pPr>
          </w:p>
        </w:tc>
        <w:tc>
          <w:tcPr>
            <w:tcW w:w="720" w:type="dxa"/>
            <w:vAlign w:val="bottom"/>
          </w:tcPr>
          <w:p>
            <w:pPr>
              <w:jc w:val="right"/>
              <w:ind w:right="12"/>
              <w:spacing w:after="0" w:line="202" w:lineRule="exact"/>
              <w:rPr>
                <w:sz w:val="20"/>
                <w:szCs w:val="20"/>
                <w:color w:val="auto"/>
              </w:rPr>
            </w:pPr>
            <w:r>
              <w:rPr>
                <w:rFonts w:ascii="Arial" w:cs="Arial" w:eastAsia="Arial" w:hAnsi="Arial"/>
                <w:sz w:val="18"/>
                <w:szCs w:val="18"/>
                <w:color w:val="auto"/>
              </w:rPr>
              <w:t>6.4%</w:t>
            </w:r>
          </w:p>
        </w:tc>
        <w:tc>
          <w:tcPr>
            <w:tcW w:w="200" w:type="dxa"/>
            <w:vAlign w:val="bottom"/>
          </w:tcPr>
          <w:p>
            <w:pPr>
              <w:spacing w:after="0"/>
              <w:rPr>
                <w:sz w:val="17"/>
                <w:szCs w:val="17"/>
                <w:color w:val="auto"/>
              </w:rPr>
            </w:pPr>
          </w:p>
        </w:tc>
        <w:tc>
          <w:tcPr>
            <w:tcW w:w="1080" w:type="dxa"/>
            <w:vAlign w:val="bottom"/>
          </w:tcPr>
          <w:p>
            <w:pPr>
              <w:jc w:val="right"/>
              <w:ind w:right="12"/>
              <w:spacing w:after="0" w:line="202" w:lineRule="exact"/>
              <w:rPr>
                <w:sz w:val="20"/>
                <w:szCs w:val="20"/>
                <w:color w:val="auto"/>
              </w:rPr>
            </w:pPr>
            <w:r>
              <w:rPr>
                <w:rFonts w:ascii="Arial" w:cs="Arial" w:eastAsia="Arial" w:hAnsi="Arial"/>
                <w:sz w:val="18"/>
                <w:szCs w:val="18"/>
                <w:color w:val="auto"/>
              </w:rPr>
              <w:t>7.2%</w:t>
            </w:r>
          </w:p>
        </w:tc>
        <w:tc>
          <w:tcPr>
            <w:tcW w:w="200" w:type="dxa"/>
            <w:vAlign w:val="bottom"/>
          </w:tcPr>
          <w:p>
            <w:pPr>
              <w:spacing w:after="0"/>
              <w:rPr>
                <w:sz w:val="17"/>
                <w:szCs w:val="17"/>
                <w:color w:val="auto"/>
              </w:rPr>
            </w:pPr>
          </w:p>
        </w:tc>
        <w:tc>
          <w:tcPr>
            <w:tcW w:w="820" w:type="dxa"/>
            <w:vAlign w:val="bottom"/>
          </w:tcPr>
          <w:p>
            <w:pPr>
              <w:jc w:val="right"/>
              <w:ind w:right="32"/>
              <w:spacing w:after="0" w:line="202" w:lineRule="exact"/>
              <w:rPr>
                <w:sz w:val="20"/>
                <w:szCs w:val="20"/>
                <w:color w:val="auto"/>
              </w:rPr>
            </w:pPr>
            <w:r>
              <w:rPr>
                <w:rFonts w:ascii="Arial" w:cs="Arial" w:eastAsia="Arial" w:hAnsi="Arial"/>
                <w:sz w:val="18"/>
                <w:szCs w:val="18"/>
                <w:color w:val="auto"/>
              </w:rPr>
              <w:t>7.2%</w:t>
            </w:r>
          </w:p>
        </w:tc>
        <w:tc>
          <w:tcPr>
            <w:tcW w:w="200" w:type="dxa"/>
            <w:vAlign w:val="bottom"/>
          </w:tcPr>
          <w:p>
            <w:pPr>
              <w:spacing w:after="0"/>
              <w:rPr>
                <w:sz w:val="17"/>
                <w:szCs w:val="17"/>
                <w:color w:val="auto"/>
              </w:rPr>
            </w:pPr>
          </w:p>
        </w:tc>
        <w:tc>
          <w:tcPr>
            <w:tcW w:w="760" w:type="dxa"/>
            <w:vAlign w:val="bottom"/>
          </w:tcPr>
          <w:p>
            <w:pPr>
              <w:spacing w:after="0"/>
              <w:rPr>
                <w:sz w:val="17"/>
                <w:szCs w:val="17"/>
                <w:color w:val="auto"/>
              </w:rPr>
            </w:pPr>
          </w:p>
        </w:tc>
      </w:tr>
      <w:tr>
        <w:trPr>
          <w:trHeight w:val="203"/>
        </w:trPr>
        <w:tc>
          <w:tcPr>
            <w:tcW w:w="2920" w:type="dxa"/>
            <w:vAlign w:val="bottom"/>
          </w:tcPr>
          <w:p>
            <w:pPr>
              <w:spacing w:after="0" w:line="202" w:lineRule="exact"/>
              <w:rPr>
                <w:sz w:val="20"/>
                <w:szCs w:val="20"/>
                <w:color w:val="auto"/>
              </w:rPr>
            </w:pPr>
            <w:r>
              <w:rPr>
                <w:rFonts w:ascii="Arial" w:cs="Arial" w:eastAsia="Arial" w:hAnsi="Arial"/>
                <w:sz w:val="18"/>
                <w:szCs w:val="18"/>
                <w:color w:val="auto"/>
              </w:rPr>
              <w:t>Variable-Rate</w:t>
            </w:r>
          </w:p>
        </w:tc>
        <w:tc>
          <w:tcPr>
            <w:tcW w:w="900" w:type="dxa"/>
            <w:vAlign w:val="bottom"/>
          </w:tcPr>
          <w:p>
            <w:pPr>
              <w:jc w:val="right"/>
              <w:spacing w:after="0" w:line="202" w:lineRule="exact"/>
              <w:rPr>
                <w:sz w:val="20"/>
                <w:szCs w:val="20"/>
                <w:color w:val="auto"/>
              </w:rPr>
            </w:pPr>
            <w:r>
              <w:rPr>
                <w:rFonts w:ascii="Arial" w:cs="Arial" w:eastAsia="Arial" w:hAnsi="Arial"/>
                <w:sz w:val="18"/>
                <w:szCs w:val="18"/>
                <w:color w:val="auto"/>
              </w:rPr>
              <w:t>$</w:t>
            </w:r>
          </w:p>
        </w:tc>
        <w:tc>
          <w:tcPr>
            <w:tcW w:w="660" w:type="dxa"/>
            <w:vAlign w:val="bottom"/>
          </w:tcPr>
          <w:p>
            <w:pPr>
              <w:jc w:val="right"/>
              <w:ind w:right="172"/>
              <w:spacing w:after="0" w:line="202" w:lineRule="exact"/>
              <w:rPr>
                <w:sz w:val="20"/>
                <w:szCs w:val="20"/>
                <w:color w:val="auto"/>
              </w:rPr>
            </w:pPr>
            <w:r>
              <w:rPr>
                <w:rFonts w:ascii="Arial" w:cs="Arial" w:eastAsia="Arial" w:hAnsi="Arial"/>
                <w:sz w:val="18"/>
                <w:szCs w:val="18"/>
                <w:color w:val="auto"/>
              </w:rPr>
              <w:t>75</w:t>
            </w:r>
          </w:p>
        </w:tc>
        <w:tc>
          <w:tcPr>
            <w:tcW w:w="220" w:type="dxa"/>
            <w:vAlign w:val="bottom"/>
          </w:tcPr>
          <w:p>
            <w:pPr>
              <w:jc w:val="right"/>
              <w:spacing w:after="0" w:line="202" w:lineRule="exact"/>
              <w:rPr>
                <w:sz w:val="20"/>
                <w:szCs w:val="20"/>
                <w:color w:val="auto"/>
              </w:rPr>
            </w:pPr>
            <w:r>
              <w:rPr>
                <w:rFonts w:ascii="Arial" w:cs="Arial" w:eastAsia="Arial" w:hAnsi="Arial"/>
                <w:sz w:val="18"/>
                <w:szCs w:val="18"/>
                <w:color w:val="auto"/>
              </w:rPr>
              <w:t>$</w:t>
            </w:r>
          </w:p>
        </w:tc>
        <w:tc>
          <w:tcPr>
            <w:tcW w:w="700" w:type="dxa"/>
            <w:vAlign w:val="bottom"/>
          </w:tcPr>
          <w:p>
            <w:pPr>
              <w:jc w:val="right"/>
              <w:ind w:right="172"/>
              <w:spacing w:after="0" w:line="202" w:lineRule="exact"/>
              <w:rPr>
                <w:sz w:val="20"/>
                <w:szCs w:val="20"/>
                <w:color w:val="auto"/>
              </w:rPr>
            </w:pPr>
            <w:r>
              <w:rPr>
                <w:rFonts w:ascii="Arial" w:cs="Arial" w:eastAsia="Arial" w:hAnsi="Arial"/>
                <w:sz w:val="18"/>
                <w:szCs w:val="18"/>
                <w:color w:val="auto"/>
              </w:rPr>
              <w:t>194</w:t>
            </w:r>
          </w:p>
        </w:tc>
        <w:tc>
          <w:tcPr>
            <w:tcW w:w="220" w:type="dxa"/>
            <w:vAlign w:val="bottom"/>
          </w:tcPr>
          <w:p>
            <w:pPr>
              <w:jc w:val="right"/>
              <w:spacing w:after="0" w:line="202" w:lineRule="exact"/>
              <w:rPr>
                <w:sz w:val="20"/>
                <w:szCs w:val="20"/>
                <w:color w:val="auto"/>
              </w:rPr>
            </w:pPr>
            <w:r>
              <w:rPr>
                <w:rFonts w:ascii="Arial" w:cs="Arial" w:eastAsia="Arial" w:hAnsi="Arial"/>
                <w:sz w:val="18"/>
                <w:szCs w:val="18"/>
                <w:color w:val="auto"/>
              </w:rPr>
              <w:t>$</w:t>
            </w:r>
          </w:p>
        </w:tc>
        <w:tc>
          <w:tcPr>
            <w:tcW w:w="700" w:type="dxa"/>
            <w:vAlign w:val="bottom"/>
          </w:tcPr>
          <w:p>
            <w:pPr>
              <w:jc w:val="right"/>
              <w:ind w:right="172"/>
              <w:spacing w:after="0" w:line="202" w:lineRule="exact"/>
              <w:rPr>
                <w:sz w:val="20"/>
                <w:szCs w:val="20"/>
                <w:color w:val="auto"/>
              </w:rPr>
            </w:pPr>
            <w:r>
              <w:rPr>
                <w:rFonts w:ascii="Arial" w:cs="Arial" w:eastAsia="Arial" w:hAnsi="Arial"/>
                <w:sz w:val="18"/>
                <w:szCs w:val="18"/>
                <w:color w:val="auto"/>
                <w:w w:val="93"/>
              </w:rPr>
              <w:t>1,259</w:t>
            </w:r>
          </w:p>
        </w:tc>
        <w:tc>
          <w:tcPr>
            <w:tcW w:w="200" w:type="dxa"/>
            <w:vAlign w:val="bottom"/>
          </w:tcPr>
          <w:p>
            <w:pPr>
              <w:jc w:val="right"/>
              <w:spacing w:after="0" w:line="202" w:lineRule="exact"/>
              <w:rPr>
                <w:sz w:val="20"/>
                <w:szCs w:val="20"/>
                <w:color w:val="auto"/>
              </w:rPr>
            </w:pPr>
            <w:r>
              <w:rPr>
                <w:rFonts w:ascii="Arial" w:cs="Arial" w:eastAsia="Arial" w:hAnsi="Arial"/>
                <w:sz w:val="18"/>
                <w:szCs w:val="18"/>
                <w:color w:val="auto"/>
              </w:rPr>
              <w:t>$</w:t>
            </w:r>
          </w:p>
        </w:tc>
        <w:tc>
          <w:tcPr>
            <w:tcW w:w="720" w:type="dxa"/>
            <w:vAlign w:val="bottom"/>
          </w:tcPr>
          <w:p>
            <w:pPr>
              <w:jc w:val="right"/>
              <w:ind w:right="172"/>
              <w:spacing w:after="0" w:line="202" w:lineRule="exact"/>
              <w:rPr>
                <w:sz w:val="20"/>
                <w:szCs w:val="20"/>
                <w:color w:val="auto"/>
              </w:rPr>
            </w:pPr>
            <w:r>
              <w:rPr>
                <w:rFonts w:ascii="Arial" w:cs="Arial" w:eastAsia="Arial" w:hAnsi="Arial"/>
                <w:sz w:val="18"/>
                <w:szCs w:val="18"/>
                <w:color w:val="auto"/>
              </w:rPr>
              <w:t>211</w:t>
            </w:r>
          </w:p>
        </w:tc>
        <w:tc>
          <w:tcPr>
            <w:tcW w:w="200" w:type="dxa"/>
            <w:vAlign w:val="bottom"/>
          </w:tcPr>
          <w:p>
            <w:pPr>
              <w:jc w:val="right"/>
              <w:spacing w:after="0" w:line="202" w:lineRule="exact"/>
              <w:rPr>
                <w:sz w:val="20"/>
                <w:szCs w:val="20"/>
                <w:color w:val="auto"/>
              </w:rPr>
            </w:pPr>
            <w:r>
              <w:rPr>
                <w:rFonts w:ascii="Arial" w:cs="Arial" w:eastAsia="Arial" w:hAnsi="Arial"/>
                <w:sz w:val="18"/>
                <w:szCs w:val="18"/>
                <w:color w:val="auto"/>
              </w:rPr>
              <w:t>$</w:t>
            </w:r>
          </w:p>
        </w:tc>
        <w:tc>
          <w:tcPr>
            <w:tcW w:w="720" w:type="dxa"/>
            <w:vAlign w:val="bottom"/>
          </w:tcPr>
          <w:p>
            <w:pPr>
              <w:jc w:val="right"/>
              <w:ind w:right="172"/>
              <w:spacing w:after="0" w:line="202" w:lineRule="exact"/>
              <w:rPr>
                <w:sz w:val="20"/>
                <w:szCs w:val="20"/>
                <w:color w:val="auto"/>
              </w:rPr>
            </w:pPr>
            <w:r>
              <w:rPr>
                <w:rFonts w:ascii="Arial" w:cs="Arial" w:eastAsia="Arial" w:hAnsi="Arial"/>
                <w:sz w:val="18"/>
                <w:szCs w:val="18"/>
                <w:color w:val="auto"/>
              </w:rPr>
              <w:t>26</w:t>
            </w:r>
          </w:p>
        </w:tc>
        <w:tc>
          <w:tcPr>
            <w:tcW w:w="200" w:type="dxa"/>
            <w:vAlign w:val="bottom"/>
          </w:tcPr>
          <w:p>
            <w:pPr>
              <w:jc w:val="right"/>
              <w:spacing w:after="0" w:line="202" w:lineRule="exact"/>
              <w:rPr>
                <w:sz w:val="20"/>
                <w:szCs w:val="20"/>
                <w:color w:val="auto"/>
              </w:rPr>
            </w:pPr>
            <w:r>
              <w:rPr>
                <w:rFonts w:ascii="Arial" w:cs="Arial" w:eastAsia="Arial" w:hAnsi="Arial"/>
                <w:sz w:val="18"/>
                <w:szCs w:val="18"/>
                <w:color w:val="auto"/>
              </w:rPr>
              <w:t>$</w:t>
            </w:r>
          </w:p>
        </w:tc>
        <w:tc>
          <w:tcPr>
            <w:tcW w:w="1080" w:type="dxa"/>
            <w:vAlign w:val="bottom"/>
          </w:tcPr>
          <w:p>
            <w:pPr>
              <w:jc w:val="right"/>
              <w:ind w:right="172"/>
              <w:spacing w:after="0" w:line="202" w:lineRule="exact"/>
              <w:rPr>
                <w:sz w:val="20"/>
                <w:szCs w:val="20"/>
                <w:color w:val="auto"/>
              </w:rPr>
            </w:pPr>
            <w:r>
              <w:rPr>
                <w:rFonts w:ascii="Arial" w:cs="Arial" w:eastAsia="Arial" w:hAnsi="Arial"/>
                <w:sz w:val="18"/>
                <w:szCs w:val="18"/>
                <w:color w:val="auto"/>
              </w:rPr>
              <w:t>6</w:t>
            </w:r>
          </w:p>
        </w:tc>
        <w:tc>
          <w:tcPr>
            <w:tcW w:w="200" w:type="dxa"/>
            <w:vAlign w:val="bottom"/>
          </w:tcPr>
          <w:p>
            <w:pPr>
              <w:jc w:val="right"/>
              <w:spacing w:after="0" w:line="202" w:lineRule="exact"/>
              <w:rPr>
                <w:sz w:val="20"/>
                <w:szCs w:val="20"/>
                <w:color w:val="auto"/>
              </w:rPr>
            </w:pPr>
            <w:r>
              <w:rPr>
                <w:rFonts w:ascii="Arial" w:cs="Arial" w:eastAsia="Arial" w:hAnsi="Arial"/>
                <w:sz w:val="18"/>
                <w:szCs w:val="18"/>
                <w:color w:val="auto"/>
              </w:rPr>
              <w:t>$</w:t>
            </w:r>
          </w:p>
        </w:tc>
        <w:tc>
          <w:tcPr>
            <w:tcW w:w="820" w:type="dxa"/>
            <w:vAlign w:val="bottom"/>
          </w:tcPr>
          <w:p>
            <w:pPr>
              <w:jc w:val="right"/>
              <w:ind w:right="172"/>
              <w:spacing w:after="0" w:line="202" w:lineRule="exact"/>
              <w:rPr>
                <w:sz w:val="20"/>
                <w:szCs w:val="20"/>
                <w:color w:val="auto"/>
              </w:rPr>
            </w:pPr>
            <w:r>
              <w:rPr>
                <w:rFonts w:ascii="Arial" w:cs="Arial" w:eastAsia="Arial" w:hAnsi="Arial"/>
                <w:sz w:val="18"/>
                <w:szCs w:val="18"/>
                <w:color w:val="auto"/>
              </w:rPr>
              <w:t>1,771</w:t>
            </w:r>
          </w:p>
        </w:tc>
        <w:tc>
          <w:tcPr>
            <w:tcW w:w="200" w:type="dxa"/>
            <w:vAlign w:val="bottom"/>
          </w:tcPr>
          <w:p>
            <w:pPr>
              <w:jc w:val="right"/>
              <w:spacing w:after="0" w:line="202" w:lineRule="exact"/>
              <w:rPr>
                <w:sz w:val="20"/>
                <w:szCs w:val="20"/>
                <w:color w:val="auto"/>
              </w:rPr>
            </w:pPr>
            <w:r>
              <w:rPr>
                <w:rFonts w:ascii="Arial" w:cs="Arial" w:eastAsia="Arial" w:hAnsi="Arial"/>
                <w:sz w:val="18"/>
                <w:szCs w:val="18"/>
                <w:color w:val="auto"/>
              </w:rPr>
              <w:t>$</w:t>
            </w:r>
          </w:p>
        </w:tc>
        <w:tc>
          <w:tcPr>
            <w:tcW w:w="760" w:type="dxa"/>
            <w:vAlign w:val="bottom"/>
          </w:tcPr>
          <w:p>
            <w:pPr>
              <w:jc w:val="right"/>
              <w:spacing w:after="0" w:line="202" w:lineRule="exact"/>
              <w:rPr>
                <w:sz w:val="20"/>
                <w:szCs w:val="20"/>
                <w:color w:val="auto"/>
              </w:rPr>
            </w:pPr>
            <w:r>
              <w:rPr>
                <w:rFonts w:ascii="Arial" w:cs="Arial" w:eastAsia="Arial" w:hAnsi="Arial"/>
                <w:sz w:val="18"/>
                <w:szCs w:val="18"/>
                <w:color w:val="auto"/>
              </w:rPr>
              <w:t>1,771</w:t>
            </w:r>
          </w:p>
        </w:tc>
      </w:tr>
      <w:tr>
        <w:trPr>
          <w:trHeight w:val="203"/>
        </w:trPr>
        <w:tc>
          <w:tcPr>
            <w:tcW w:w="2920" w:type="dxa"/>
            <w:vAlign w:val="bottom"/>
          </w:tcPr>
          <w:p>
            <w:pPr>
              <w:ind w:left="220"/>
              <w:spacing w:after="0" w:line="202" w:lineRule="exact"/>
              <w:rPr>
                <w:sz w:val="20"/>
                <w:szCs w:val="20"/>
                <w:color w:val="auto"/>
              </w:rPr>
            </w:pPr>
            <w:r>
              <w:rPr>
                <w:rFonts w:ascii="Arial" w:cs="Arial" w:eastAsia="Arial" w:hAnsi="Arial"/>
                <w:sz w:val="18"/>
                <w:szCs w:val="18"/>
                <w:color w:val="auto"/>
              </w:rPr>
              <w:t>Average Interest Rate</w:t>
            </w:r>
          </w:p>
        </w:tc>
        <w:tc>
          <w:tcPr>
            <w:tcW w:w="900" w:type="dxa"/>
            <w:vAlign w:val="bottom"/>
          </w:tcPr>
          <w:p>
            <w:pPr>
              <w:spacing w:after="0"/>
              <w:rPr>
                <w:sz w:val="17"/>
                <w:szCs w:val="17"/>
                <w:color w:val="auto"/>
              </w:rPr>
            </w:pPr>
          </w:p>
        </w:tc>
        <w:tc>
          <w:tcPr>
            <w:tcW w:w="660" w:type="dxa"/>
            <w:vAlign w:val="bottom"/>
          </w:tcPr>
          <w:p>
            <w:pPr>
              <w:jc w:val="right"/>
              <w:ind w:right="12"/>
              <w:spacing w:after="0" w:line="202" w:lineRule="exact"/>
              <w:rPr>
                <w:sz w:val="20"/>
                <w:szCs w:val="20"/>
                <w:color w:val="auto"/>
              </w:rPr>
            </w:pPr>
            <w:r>
              <w:rPr>
                <w:rFonts w:ascii="Arial" w:cs="Arial" w:eastAsia="Arial" w:hAnsi="Arial"/>
                <w:sz w:val="18"/>
                <w:szCs w:val="18"/>
                <w:color w:val="auto"/>
              </w:rPr>
              <w:t>5.8%</w:t>
            </w:r>
          </w:p>
        </w:tc>
        <w:tc>
          <w:tcPr>
            <w:tcW w:w="220" w:type="dxa"/>
            <w:vAlign w:val="bottom"/>
          </w:tcPr>
          <w:p>
            <w:pPr>
              <w:spacing w:after="0"/>
              <w:rPr>
                <w:sz w:val="17"/>
                <w:szCs w:val="17"/>
                <w:color w:val="auto"/>
              </w:rPr>
            </w:pPr>
          </w:p>
        </w:tc>
        <w:tc>
          <w:tcPr>
            <w:tcW w:w="700" w:type="dxa"/>
            <w:vAlign w:val="bottom"/>
          </w:tcPr>
          <w:p>
            <w:pPr>
              <w:jc w:val="right"/>
              <w:ind w:right="12"/>
              <w:spacing w:after="0" w:line="202" w:lineRule="exact"/>
              <w:rPr>
                <w:sz w:val="20"/>
                <w:szCs w:val="20"/>
                <w:color w:val="auto"/>
              </w:rPr>
            </w:pPr>
            <w:r>
              <w:rPr>
                <w:rFonts w:ascii="Arial" w:cs="Arial" w:eastAsia="Arial" w:hAnsi="Arial"/>
                <w:sz w:val="18"/>
                <w:szCs w:val="18"/>
                <w:color w:val="auto"/>
              </w:rPr>
              <w:t>5.5%</w:t>
            </w:r>
          </w:p>
        </w:tc>
        <w:tc>
          <w:tcPr>
            <w:tcW w:w="220" w:type="dxa"/>
            <w:vAlign w:val="bottom"/>
          </w:tcPr>
          <w:p>
            <w:pPr>
              <w:spacing w:after="0"/>
              <w:rPr>
                <w:sz w:val="17"/>
                <w:szCs w:val="17"/>
                <w:color w:val="auto"/>
              </w:rPr>
            </w:pPr>
          </w:p>
        </w:tc>
        <w:tc>
          <w:tcPr>
            <w:tcW w:w="700" w:type="dxa"/>
            <w:vAlign w:val="bottom"/>
          </w:tcPr>
          <w:p>
            <w:pPr>
              <w:jc w:val="right"/>
              <w:ind w:right="12"/>
              <w:spacing w:after="0" w:line="202" w:lineRule="exact"/>
              <w:rPr>
                <w:sz w:val="20"/>
                <w:szCs w:val="20"/>
                <w:color w:val="auto"/>
              </w:rPr>
            </w:pPr>
            <w:r>
              <w:rPr>
                <w:rFonts w:ascii="Arial" w:cs="Arial" w:eastAsia="Arial" w:hAnsi="Arial"/>
                <w:sz w:val="18"/>
                <w:szCs w:val="18"/>
                <w:color w:val="auto"/>
              </w:rPr>
              <w:t>5.3%</w:t>
            </w:r>
          </w:p>
        </w:tc>
        <w:tc>
          <w:tcPr>
            <w:tcW w:w="200" w:type="dxa"/>
            <w:vAlign w:val="bottom"/>
          </w:tcPr>
          <w:p>
            <w:pPr>
              <w:spacing w:after="0"/>
              <w:rPr>
                <w:sz w:val="17"/>
                <w:szCs w:val="17"/>
                <w:color w:val="auto"/>
              </w:rPr>
            </w:pPr>
          </w:p>
        </w:tc>
        <w:tc>
          <w:tcPr>
            <w:tcW w:w="720" w:type="dxa"/>
            <w:vAlign w:val="bottom"/>
          </w:tcPr>
          <w:p>
            <w:pPr>
              <w:jc w:val="right"/>
              <w:ind w:right="12"/>
              <w:spacing w:after="0" w:line="202" w:lineRule="exact"/>
              <w:rPr>
                <w:sz w:val="20"/>
                <w:szCs w:val="20"/>
                <w:color w:val="auto"/>
              </w:rPr>
            </w:pPr>
            <w:r>
              <w:rPr>
                <w:rFonts w:ascii="Arial" w:cs="Arial" w:eastAsia="Arial" w:hAnsi="Arial"/>
                <w:sz w:val="18"/>
                <w:szCs w:val="18"/>
                <w:color w:val="auto"/>
              </w:rPr>
              <w:t>5.1%</w:t>
            </w:r>
          </w:p>
        </w:tc>
        <w:tc>
          <w:tcPr>
            <w:tcW w:w="200" w:type="dxa"/>
            <w:vAlign w:val="bottom"/>
          </w:tcPr>
          <w:p>
            <w:pPr>
              <w:spacing w:after="0"/>
              <w:rPr>
                <w:sz w:val="17"/>
                <w:szCs w:val="17"/>
                <w:color w:val="auto"/>
              </w:rPr>
            </w:pPr>
          </w:p>
        </w:tc>
        <w:tc>
          <w:tcPr>
            <w:tcW w:w="720" w:type="dxa"/>
            <w:vAlign w:val="bottom"/>
          </w:tcPr>
          <w:p>
            <w:pPr>
              <w:jc w:val="right"/>
              <w:ind w:right="12"/>
              <w:spacing w:after="0" w:line="202" w:lineRule="exact"/>
              <w:rPr>
                <w:sz w:val="20"/>
                <w:szCs w:val="20"/>
                <w:color w:val="auto"/>
              </w:rPr>
            </w:pPr>
            <w:r>
              <w:rPr>
                <w:rFonts w:ascii="Arial" w:cs="Arial" w:eastAsia="Arial" w:hAnsi="Arial"/>
                <w:sz w:val="18"/>
                <w:szCs w:val="18"/>
                <w:color w:val="auto"/>
              </w:rPr>
              <w:t>5.9%</w:t>
            </w:r>
          </w:p>
        </w:tc>
        <w:tc>
          <w:tcPr>
            <w:tcW w:w="200" w:type="dxa"/>
            <w:vAlign w:val="bottom"/>
          </w:tcPr>
          <w:p>
            <w:pPr>
              <w:spacing w:after="0"/>
              <w:rPr>
                <w:sz w:val="17"/>
                <w:szCs w:val="17"/>
                <w:color w:val="auto"/>
              </w:rPr>
            </w:pPr>
          </w:p>
        </w:tc>
        <w:tc>
          <w:tcPr>
            <w:tcW w:w="1080" w:type="dxa"/>
            <w:vAlign w:val="bottom"/>
          </w:tcPr>
          <w:p>
            <w:pPr>
              <w:jc w:val="right"/>
              <w:ind w:right="12"/>
              <w:spacing w:after="0" w:line="202" w:lineRule="exact"/>
              <w:rPr>
                <w:sz w:val="20"/>
                <w:szCs w:val="20"/>
                <w:color w:val="auto"/>
              </w:rPr>
            </w:pPr>
            <w:r>
              <w:rPr>
                <w:rFonts w:ascii="Arial" w:cs="Arial" w:eastAsia="Arial" w:hAnsi="Arial"/>
                <w:sz w:val="18"/>
                <w:szCs w:val="18"/>
                <w:color w:val="auto"/>
              </w:rPr>
              <w:t>6.8%</w:t>
            </w:r>
          </w:p>
        </w:tc>
        <w:tc>
          <w:tcPr>
            <w:tcW w:w="200" w:type="dxa"/>
            <w:vAlign w:val="bottom"/>
          </w:tcPr>
          <w:p>
            <w:pPr>
              <w:spacing w:after="0"/>
              <w:rPr>
                <w:sz w:val="17"/>
                <w:szCs w:val="17"/>
                <w:color w:val="auto"/>
              </w:rPr>
            </w:pPr>
          </w:p>
        </w:tc>
        <w:tc>
          <w:tcPr>
            <w:tcW w:w="820" w:type="dxa"/>
            <w:vAlign w:val="bottom"/>
          </w:tcPr>
          <w:p>
            <w:pPr>
              <w:jc w:val="right"/>
              <w:ind w:right="32"/>
              <w:spacing w:after="0" w:line="202" w:lineRule="exact"/>
              <w:rPr>
                <w:sz w:val="20"/>
                <w:szCs w:val="20"/>
                <w:color w:val="auto"/>
              </w:rPr>
            </w:pPr>
            <w:r>
              <w:rPr>
                <w:rFonts w:ascii="Arial" w:cs="Arial" w:eastAsia="Arial" w:hAnsi="Arial"/>
                <w:sz w:val="18"/>
                <w:szCs w:val="18"/>
                <w:color w:val="auto"/>
              </w:rPr>
              <w:t>5.3%</w:t>
            </w:r>
          </w:p>
        </w:tc>
        <w:tc>
          <w:tcPr>
            <w:tcW w:w="200" w:type="dxa"/>
            <w:vAlign w:val="bottom"/>
          </w:tcPr>
          <w:p>
            <w:pPr>
              <w:spacing w:after="0"/>
              <w:rPr>
                <w:sz w:val="17"/>
                <w:szCs w:val="17"/>
                <w:color w:val="auto"/>
              </w:rPr>
            </w:pPr>
          </w:p>
        </w:tc>
        <w:tc>
          <w:tcPr>
            <w:tcW w:w="760" w:type="dxa"/>
            <w:vAlign w:val="bottom"/>
          </w:tcPr>
          <w:p>
            <w:pPr>
              <w:spacing w:after="0"/>
              <w:rPr>
                <w:sz w:val="17"/>
                <w:szCs w:val="17"/>
                <w:color w:val="auto"/>
              </w:rPr>
            </w:pPr>
          </w:p>
        </w:tc>
      </w:tr>
      <w:tr>
        <w:trPr>
          <w:trHeight w:val="203"/>
        </w:trPr>
        <w:tc>
          <w:tcPr>
            <w:tcW w:w="2920" w:type="dxa"/>
            <w:vAlign w:val="bottom"/>
          </w:tcPr>
          <w:p>
            <w:pPr>
              <w:spacing w:after="0" w:line="203" w:lineRule="exact"/>
              <w:rPr>
                <w:sz w:val="20"/>
                <w:szCs w:val="20"/>
                <w:color w:val="auto"/>
              </w:rPr>
            </w:pPr>
            <w:r>
              <w:rPr>
                <w:rFonts w:ascii="Arial" w:cs="Arial" w:eastAsia="Arial" w:hAnsi="Arial"/>
                <w:sz w:val="18"/>
                <w:szCs w:val="18"/>
                <w:color w:val="auto"/>
              </w:rPr>
              <w:t>Interest Rate Instruments</w:t>
            </w:r>
            <w:r>
              <w:rPr>
                <w:rFonts w:ascii="Arial" w:cs="Arial" w:eastAsia="Arial" w:hAnsi="Arial"/>
                <w:sz w:val="22"/>
                <w:szCs w:val="22"/>
                <w:color w:val="auto"/>
                <w:vertAlign w:val="superscript"/>
              </w:rPr>
              <w:t>(a)</w:t>
            </w:r>
          </w:p>
        </w:tc>
        <w:tc>
          <w:tcPr>
            <w:tcW w:w="90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08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760" w:type="dxa"/>
            <w:vAlign w:val="bottom"/>
          </w:tcPr>
          <w:p>
            <w:pPr>
              <w:spacing w:after="0"/>
              <w:rPr>
                <w:sz w:val="17"/>
                <w:szCs w:val="17"/>
                <w:color w:val="auto"/>
              </w:rPr>
            </w:pPr>
          </w:p>
        </w:tc>
      </w:tr>
      <w:tr>
        <w:trPr>
          <w:trHeight w:val="203"/>
        </w:trPr>
        <w:tc>
          <w:tcPr>
            <w:tcW w:w="2920" w:type="dxa"/>
            <w:vAlign w:val="bottom"/>
          </w:tcPr>
          <w:p>
            <w:pPr>
              <w:spacing w:after="0" w:line="202" w:lineRule="exact"/>
              <w:rPr>
                <w:sz w:val="20"/>
                <w:szCs w:val="20"/>
                <w:color w:val="auto"/>
              </w:rPr>
            </w:pPr>
            <w:r>
              <w:rPr>
                <w:rFonts w:ascii="Arial" w:cs="Arial" w:eastAsia="Arial" w:hAnsi="Arial"/>
                <w:sz w:val="18"/>
                <w:szCs w:val="18"/>
                <w:color w:val="auto"/>
              </w:rPr>
              <w:t>Fixed to Variable Swaps</w:t>
            </w:r>
          </w:p>
        </w:tc>
        <w:tc>
          <w:tcPr>
            <w:tcW w:w="900" w:type="dxa"/>
            <w:vAlign w:val="bottom"/>
          </w:tcPr>
          <w:p>
            <w:pPr>
              <w:jc w:val="right"/>
              <w:spacing w:after="0" w:line="202" w:lineRule="exact"/>
              <w:rPr>
                <w:sz w:val="20"/>
                <w:szCs w:val="20"/>
                <w:color w:val="auto"/>
              </w:rPr>
            </w:pPr>
            <w:r>
              <w:rPr>
                <w:rFonts w:ascii="Arial" w:cs="Arial" w:eastAsia="Arial" w:hAnsi="Arial"/>
                <w:sz w:val="18"/>
                <w:szCs w:val="18"/>
                <w:color w:val="auto"/>
              </w:rPr>
              <w:t>$</w:t>
            </w:r>
          </w:p>
        </w:tc>
        <w:tc>
          <w:tcPr>
            <w:tcW w:w="660" w:type="dxa"/>
            <w:vAlign w:val="bottom"/>
          </w:tcPr>
          <w:p>
            <w:pPr>
              <w:jc w:val="right"/>
              <w:ind w:right="172"/>
              <w:spacing w:after="0" w:line="202" w:lineRule="exact"/>
              <w:rPr>
                <w:sz w:val="20"/>
                <w:szCs w:val="20"/>
                <w:color w:val="auto"/>
              </w:rPr>
            </w:pPr>
            <w:r>
              <w:rPr>
                <w:rFonts w:ascii="Arial" w:cs="Arial" w:eastAsia="Arial" w:hAnsi="Arial"/>
                <w:sz w:val="18"/>
                <w:szCs w:val="18"/>
                <w:color w:val="auto"/>
              </w:rPr>
              <w:t>—</w:t>
            </w:r>
          </w:p>
        </w:tc>
        <w:tc>
          <w:tcPr>
            <w:tcW w:w="220" w:type="dxa"/>
            <w:vAlign w:val="bottom"/>
          </w:tcPr>
          <w:p>
            <w:pPr>
              <w:jc w:val="right"/>
              <w:spacing w:after="0" w:line="202" w:lineRule="exact"/>
              <w:rPr>
                <w:sz w:val="20"/>
                <w:szCs w:val="20"/>
                <w:color w:val="auto"/>
              </w:rPr>
            </w:pPr>
            <w:r>
              <w:rPr>
                <w:rFonts w:ascii="Arial" w:cs="Arial" w:eastAsia="Arial" w:hAnsi="Arial"/>
                <w:sz w:val="18"/>
                <w:szCs w:val="18"/>
                <w:color w:val="auto"/>
              </w:rPr>
              <w:t>$</w:t>
            </w:r>
          </w:p>
        </w:tc>
        <w:tc>
          <w:tcPr>
            <w:tcW w:w="700" w:type="dxa"/>
            <w:vAlign w:val="bottom"/>
          </w:tcPr>
          <w:p>
            <w:pPr>
              <w:jc w:val="right"/>
              <w:ind w:right="172"/>
              <w:spacing w:after="0" w:line="202" w:lineRule="exact"/>
              <w:rPr>
                <w:sz w:val="20"/>
                <w:szCs w:val="20"/>
                <w:color w:val="auto"/>
              </w:rPr>
            </w:pPr>
            <w:r>
              <w:rPr>
                <w:rFonts w:ascii="Arial" w:cs="Arial" w:eastAsia="Arial" w:hAnsi="Arial"/>
                <w:sz w:val="18"/>
                <w:szCs w:val="18"/>
                <w:color w:val="auto"/>
              </w:rPr>
              <w:t>600</w:t>
            </w:r>
          </w:p>
        </w:tc>
        <w:tc>
          <w:tcPr>
            <w:tcW w:w="220" w:type="dxa"/>
            <w:vAlign w:val="bottom"/>
          </w:tcPr>
          <w:p>
            <w:pPr>
              <w:jc w:val="right"/>
              <w:spacing w:after="0" w:line="202" w:lineRule="exact"/>
              <w:rPr>
                <w:sz w:val="20"/>
                <w:szCs w:val="20"/>
                <w:color w:val="auto"/>
              </w:rPr>
            </w:pPr>
            <w:r>
              <w:rPr>
                <w:rFonts w:ascii="Arial" w:cs="Arial" w:eastAsia="Arial" w:hAnsi="Arial"/>
                <w:sz w:val="18"/>
                <w:szCs w:val="18"/>
                <w:color w:val="auto"/>
              </w:rPr>
              <w:t>$</w:t>
            </w:r>
          </w:p>
        </w:tc>
        <w:tc>
          <w:tcPr>
            <w:tcW w:w="700" w:type="dxa"/>
            <w:vAlign w:val="bottom"/>
          </w:tcPr>
          <w:p>
            <w:pPr>
              <w:jc w:val="right"/>
              <w:ind w:right="172"/>
              <w:spacing w:after="0" w:line="202" w:lineRule="exact"/>
              <w:rPr>
                <w:sz w:val="20"/>
                <w:szCs w:val="20"/>
                <w:color w:val="auto"/>
              </w:rPr>
            </w:pPr>
            <w:r>
              <w:rPr>
                <w:rFonts w:ascii="Arial" w:cs="Arial" w:eastAsia="Arial" w:hAnsi="Arial"/>
                <w:sz w:val="18"/>
                <w:szCs w:val="18"/>
                <w:color w:val="auto"/>
              </w:rPr>
              <w:t>750</w:t>
            </w:r>
          </w:p>
        </w:tc>
        <w:tc>
          <w:tcPr>
            <w:tcW w:w="200" w:type="dxa"/>
            <w:vAlign w:val="bottom"/>
          </w:tcPr>
          <w:p>
            <w:pPr>
              <w:jc w:val="right"/>
              <w:spacing w:after="0" w:line="202" w:lineRule="exact"/>
              <w:rPr>
                <w:sz w:val="20"/>
                <w:szCs w:val="20"/>
                <w:color w:val="auto"/>
              </w:rPr>
            </w:pPr>
            <w:r>
              <w:rPr>
                <w:rFonts w:ascii="Arial" w:cs="Arial" w:eastAsia="Arial" w:hAnsi="Arial"/>
                <w:sz w:val="18"/>
                <w:szCs w:val="18"/>
                <w:color w:val="auto"/>
              </w:rPr>
              <w:t>$</w:t>
            </w:r>
          </w:p>
        </w:tc>
        <w:tc>
          <w:tcPr>
            <w:tcW w:w="720" w:type="dxa"/>
            <w:vAlign w:val="bottom"/>
          </w:tcPr>
          <w:p>
            <w:pPr>
              <w:jc w:val="right"/>
              <w:ind w:right="172"/>
              <w:spacing w:after="0" w:line="202" w:lineRule="exact"/>
              <w:rPr>
                <w:sz w:val="20"/>
                <w:szCs w:val="20"/>
                <w:color w:val="auto"/>
              </w:rPr>
            </w:pPr>
            <w:r>
              <w:rPr>
                <w:rFonts w:ascii="Arial" w:cs="Arial" w:eastAsia="Arial" w:hAnsi="Arial"/>
                <w:sz w:val="18"/>
                <w:szCs w:val="18"/>
                <w:color w:val="auto"/>
              </w:rPr>
              <w:t>200</w:t>
            </w:r>
          </w:p>
        </w:tc>
        <w:tc>
          <w:tcPr>
            <w:tcW w:w="200" w:type="dxa"/>
            <w:vAlign w:val="bottom"/>
          </w:tcPr>
          <w:p>
            <w:pPr>
              <w:jc w:val="right"/>
              <w:spacing w:after="0" w:line="202" w:lineRule="exact"/>
              <w:rPr>
                <w:sz w:val="20"/>
                <w:szCs w:val="20"/>
                <w:color w:val="auto"/>
              </w:rPr>
            </w:pPr>
            <w:r>
              <w:rPr>
                <w:rFonts w:ascii="Arial" w:cs="Arial" w:eastAsia="Arial" w:hAnsi="Arial"/>
                <w:sz w:val="18"/>
                <w:szCs w:val="18"/>
                <w:color w:val="auto"/>
              </w:rPr>
              <w:t>$</w:t>
            </w:r>
          </w:p>
        </w:tc>
        <w:tc>
          <w:tcPr>
            <w:tcW w:w="720" w:type="dxa"/>
            <w:vAlign w:val="bottom"/>
          </w:tcPr>
          <w:p>
            <w:pPr>
              <w:jc w:val="right"/>
              <w:ind w:right="172"/>
              <w:spacing w:after="0" w:line="202" w:lineRule="exact"/>
              <w:rPr>
                <w:sz w:val="20"/>
                <w:szCs w:val="20"/>
                <w:color w:val="auto"/>
              </w:rPr>
            </w:pPr>
            <w:r>
              <w:rPr>
                <w:rFonts w:ascii="Arial" w:cs="Arial" w:eastAsia="Arial" w:hAnsi="Arial"/>
                <w:sz w:val="18"/>
                <w:szCs w:val="18"/>
                <w:color w:val="auto"/>
              </w:rPr>
              <w:t>750</w:t>
            </w:r>
          </w:p>
        </w:tc>
        <w:tc>
          <w:tcPr>
            <w:tcW w:w="200" w:type="dxa"/>
            <w:vAlign w:val="bottom"/>
          </w:tcPr>
          <w:p>
            <w:pPr>
              <w:jc w:val="right"/>
              <w:spacing w:after="0" w:line="202" w:lineRule="exact"/>
              <w:rPr>
                <w:sz w:val="20"/>
                <w:szCs w:val="20"/>
                <w:color w:val="auto"/>
              </w:rPr>
            </w:pPr>
            <w:r>
              <w:rPr>
                <w:rFonts w:ascii="Arial" w:cs="Arial" w:eastAsia="Arial" w:hAnsi="Arial"/>
                <w:sz w:val="18"/>
                <w:szCs w:val="18"/>
                <w:color w:val="auto"/>
              </w:rPr>
              <w:t>$</w:t>
            </w:r>
          </w:p>
        </w:tc>
        <w:tc>
          <w:tcPr>
            <w:tcW w:w="1080" w:type="dxa"/>
            <w:vAlign w:val="bottom"/>
          </w:tcPr>
          <w:p>
            <w:pPr>
              <w:jc w:val="right"/>
              <w:ind w:right="172"/>
              <w:spacing w:after="0" w:line="202" w:lineRule="exact"/>
              <w:rPr>
                <w:sz w:val="20"/>
                <w:szCs w:val="20"/>
                <w:color w:val="auto"/>
              </w:rPr>
            </w:pPr>
            <w:r>
              <w:rPr>
                <w:rFonts w:ascii="Arial" w:cs="Arial" w:eastAsia="Arial" w:hAnsi="Arial"/>
                <w:sz w:val="18"/>
                <w:szCs w:val="18"/>
                <w:color w:val="auto"/>
              </w:rPr>
              <w:t>900</w:t>
            </w:r>
          </w:p>
        </w:tc>
        <w:tc>
          <w:tcPr>
            <w:tcW w:w="200" w:type="dxa"/>
            <w:vAlign w:val="bottom"/>
          </w:tcPr>
          <w:p>
            <w:pPr>
              <w:jc w:val="right"/>
              <w:spacing w:after="0" w:line="202" w:lineRule="exact"/>
              <w:rPr>
                <w:sz w:val="20"/>
                <w:szCs w:val="20"/>
                <w:color w:val="auto"/>
              </w:rPr>
            </w:pPr>
            <w:r>
              <w:rPr>
                <w:rFonts w:ascii="Arial" w:cs="Arial" w:eastAsia="Arial" w:hAnsi="Arial"/>
                <w:sz w:val="18"/>
                <w:szCs w:val="18"/>
                <w:color w:val="auto"/>
              </w:rPr>
              <w:t>$</w:t>
            </w:r>
          </w:p>
        </w:tc>
        <w:tc>
          <w:tcPr>
            <w:tcW w:w="820" w:type="dxa"/>
            <w:vAlign w:val="bottom"/>
          </w:tcPr>
          <w:p>
            <w:pPr>
              <w:jc w:val="right"/>
              <w:ind w:right="172"/>
              <w:spacing w:after="0" w:line="202" w:lineRule="exact"/>
              <w:rPr>
                <w:sz w:val="20"/>
                <w:szCs w:val="20"/>
                <w:color w:val="auto"/>
              </w:rPr>
            </w:pPr>
            <w:r>
              <w:rPr>
                <w:rFonts w:ascii="Arial" w:cs="Arial" w:eastAsia="Arial" w:hAnsi="Arial"/>
                <w:sz w:val="18"/>
                <w:szCs w:val="18"/>
                <w:color w:val="auto"/>
              </w:rPr>
              <w:t>3,200</w:t>
            </w:r>
          </w:p>
        </w:tc>
        <w:tc>
          <w:tcPr>
            <w:tcW w:w="200" w:type="dxa"/>
            <w:vAlign w:val="bottom"/>
          </w:tcPr>
          <w:p>
            <w:pPr>
              <w:jc w:val="right"/>
              <w:spacing w:after="0" w:line="202" w:lineRule="exact"/>
              <w:rPr>
                <w:sz w:val="20"/>
                <w:szCs w:val="20"/>
                <w:color w:val="auto"/>
              </w:rPr>
            </w:pPr>
            <w:r>
              <w:rPr>
                <w:rFonts w:ascii="Arial" w:cs="Arial" w:eastAsia="Arial" w:hAnsi="Arial"/>
                <w:sz w:val="18"/>
                <w:szCs w:val="18"/>
                <w:color w:val="auto"/>
              </w:rPr>
              <w:t>$</w:t>
            </w:r>
          </w:p>
        </w:tc>
        <w:tc>
          <w:tcPr>
            <w:tcW w:w="760" w:type="dxa"/>
            <w:vAlign w:val="bottom"/>
          </w:tcPr>
          <w:p>
            <w:pPr>
              <w:jc w:val="right"/>
              <w:spacing w:after="0" w:line="202" w:lineRule="exact"/>
              <w:rPr>
                <w:sz w:val="20"/>
                <w:szCs w:val="20"/>
                <w:color w:val="auto"/>
              </w:rPr>
            </w:pPr>
            <w:r>
              <w:rPr>
                <w:rFonts w:ascii="Arial" w:cs="Arial" w:eastAsia="Arial" w:hAnsi="Arial"/>
                <w:sz w:val="18"/>
                <w:szCs w:val="18"/>
                <w:color w:val="auto"/>
              </w:rPr>
              <w:t>(103)</w:t>
            </w:r>
          </w:p>
        </w:tc>
      </w:tr>
      <w:tr>
        <w:trPr>
          <w:trHeight w:val="203"/>
        </w:trPr>
        <w:tc>
          <w:tcPr>
            <w:tcW w:w="2920" w:type="dxa"/>
            <w:vAlign w:val="bottom"/>
          </w:tcPr>
          <w:p>
            <w:pPr>
              <w:ind w:left="220"/>
              <w:spacing w:after="0" w:line="202" w:lineRule="exact"/>
              <w:rPr>
                <w:sz w:val="20"/>
                <w:szCs w:val="20"/>
                <w:color w:val="auto"/>
              </w:rPr>
            </w:pPr>
            <w:r>
              <w:rPr>
                <w:rFonts w:ascii="Arial" w:cs="Arial" w:eastAsia="Arial" w:hAnsi="Arial"/>
                <w:sz w:val="18"/>
                <w:szCs w:val="18"/>
                <w:color w:val="auto"/>
              </w:rPr>
              <w:t>Average Pay Rate</w:t>
            </w:r>
          </w:p>
        </w:tc>
        <w:tc>
          <w:tcPr>
            <w:tcW w:w="900" w:type="dxa"/>
            <w:vAlign w:val="bottom"/>
          </w:tcPr>
          <w:p>
            <w:pPr>
              <w:spacing w:after="0"/>
              <w:rPr>
                <w:sz w:val="17"/>
                <w:szCs w:val="17"/>
                <w:color w:val="auto"/>
              </w:rPr>
            </w:pPr>
          </w:p>
        </w:tc>
        <w:tc>
          <w:tcPr>
            <w:tcW w:w="660" w:type="dxa"/>
            <w:vAlign w:val="bottom"/>
          </w:tcPr>
          <w:p>
            <w:pPr>
              <w:jc w:val="right"/>
              <w:ind w:right="12"/>
              <w:spacing w:after="0" w:line="202" w:lineRule="exact"/>
              <w:rPr>
                <w:sz w:val="20"/>
                <w:szCs w:val="20"/>
                <w:color w:val="auto"/>
              </w:rPr>
            </w:pPr>
            <w:r>
              <w:rPr>
                <w:rFonts w:ascii="Arial" w:cs="Arial" w:eastAsia="Arial" w:hAnsi="Arial"/>
                <w:sz w:val="18"/>
                <w:szCs w:val="18"/>
                <w:color w:val="auto"/>
              </w:rPr>
              <w:t>—%</w:t>
            </w:r>
          </w:p>
        </w:tc>
        <w:tc>
          <w:tcPr>
            <w:tcW w:w="220" w:type="dxa"/>
            <w:vAlign w:val="bottom"/>
          </w:tcPr>
          <w:p>
            <w:pPr>
              <w:spacing w:after="0"/>
              <w:rPr>
                <w:sz w:val="17"/>
                <w:szCs w:val="17"/>
                <w:color w:val="auto"/>
              </w:rPr>
            </w:pPr>
          </w:p>
        </w:tc>
        <w:tc>
          <w:tcPr>
            <w:tcW w:w="700" w:type="dxa"/>
            <w:vAlign w:val="bottom"/>
          </w:tcPr>
          <w:p>
            <w:pPr>
              <w:jc w:val="right"/>
              <w:ind w:right="12"/>
              <w:spacing w:after="0" w:line="202" w:lineRule="exact"/>
              <w:rPr>
                <w:sz w:val="20"/>
                <w:szCs w:val="20"/>
                <w:color w:val="auto"/>
              </w:rPr>
            </w:pPr>
            <w:r>
              <w:rPr>
                <w:rFonts w:ascii="Arial" w:cs="Arial" w:eastAsia="Arial" w:hAnsi="Arial"/>
                <w:sz w:val="18"/>
                <w:szCs w:val="18"/>
                <w:color w:val="auto"/>
              </w:rPr>
              <w:t>7.2%</w:t>
            </w:r>
          </w:p>
        </w:tc>
        <w:tc>
          <w:tcPr>
            <w:tcW w:w="220" w:type="dxa"/>
            <w:vAlign w:val="bottom"/>
          </w:tcPr>
          <w:p>
            <w:pPr>
              <w:spacing w:after="0"/>
              <w:rPr>
                <w:sz w:val="17"/>
                <w:szCs w:val="17"/>
                <w:color w:val="auto"/>
              </w:rPr>
            </w:pPr>
          </w:p>
        </w:tc>
        <w:tc>
          <w:tcPr>
            <w:tcW w:w="700" w:type="dxa"/>
            <w:vAlign w:val="bottom"/>
          </w:tcPr>
          <w:p>
            <w:pPr>
              <w:jc w:val="right"/>
              <w:ind w:right="12"/>
              <w:spacing w:after="0" w:line="202" w:lineRule="exact"/>
              <w:rPr>
                <w:sz w:val="20"/>
                <w:szCs w:val="20"/>
                <w:color w:val="auto"/>
              </w:rPr>
            </w:pPr>
            <w:r>
              <w:rPr>
                <w:rFonts w:ascii="Arial" w:cs="Arial" w:eastAsia="Arial" w:hAnsi="Arial"/>
                <w:sz w:val="18"/>
                <w:szCs w:val="18"/>
                <w:color w:val="auto"/>
              </w:rPr>
              <w:t>7.0%</w:t>
            </w:r>
          </w:p>
        </w:tc>
        <w:tc>
          <w:tcPr>
            <w:tcW w:w="200" w:type="dxa"/>
            <w:vAlign w:val="bottom"/>
          </w:tcPr>
          <w:p>
            <w:pPr>
              <w:spacing w:after="0"/>
              <w:rPr>
                <w:sz w:val="17"/>
                <w:szCs w:val="17"/>
                <w:color w:val="auto"/>
              </w:rPr>
            </w:pPr>
          </w:p>
        </w:tc>
        <w:tc>
          <w:tcPr>
            <w:tcW w:w="720" w:type="dxa"/>
            <w:vAlign w:val="bottom"/>
          </w:tcPr>
          <w:p>
            <w:pPr>
              <w:jc w:val="right"/>
              <w:ind w:right="12"/>
              <w:spacing w:after="0" w:line="202" w:lineRule="exact"/>
              <w:rPr>
                <w:sz w:val="20"/>
                <w:szCs w:val="20"/>
                <w:color w:val="auto"/>
              </w:rPr>
            </w:pPr>
            <w:r>
              <w:rPr>
                <w:rFonts w:ascii="Arial" w:cs="Arial" w:eastAsia="Arial" w:hAnsi="Arial"/>
                <w:sz w:val="18"/>
                <w:szCs w:val="18"/>
                <w:color w:val="auto"/>
              </w:rPr>
              <w:t>6.1%</w:t>
            </w:r>
          </w:p>
        </w:tc>
        <w:tc>
          <w:tcPr>
            <w:tcW w:w="200" w:type="dxa"/>
            <w:vAlign w:val="bottom"/>
          </w:tcPr>
          <w:p>
            <w:pPr>
              <w:spacing w:after="0"/>
              <w:rPr>
                <w:sz w:val="17"/>
                <w:szCs w:val="17"/>
                <w:color w:val="auto"/>
              </w:rPr>
            </w:pPr>
          </w:p>
        </w:tc>
        <w:tc>
          <w:tcPr>
            <w:tcW w:w="720" w:type="dxa"/>
            <w:vAlign w:val="bottom"/>
          </w:tcPr>
          <w:p>
            <w:pPr>
              <w:jc w:val="right"/>
              <w:ind w:right="12"/>
              <w:spacing w:after="0" w:line="202" w:lineRule="exact"/>
              <w:rPr>
                <w:sz w:val="20"/>
                <w:szCs w:val="20"/>
                <w:color w:val="auto"/>
              </w:rPr>
            </w:pPr>
            <w:r>
              <w:rPr>
                <w:rFonts w:ascii="Arial" w:cs="Arial" w:eastAsia="Arial" w:hAnsi="Arial"/>
                <w:sz w:val="18"/>
                <w:szCs w:val="18"/>
                <w:color w:val="auto"/>
              </w:rPr>
              <w:t>6.1%</w:t>
            </w:r>
          </w:p>
        </w:tc>
        <w:tc>
          <w:tcPr>
            <w:tcW w:w="200" w:type="dxa"/>
            <w:vAlign w:val="bottom"/>
          </w:tcPr>
          <w:p>
            <w:pPr>
              <w:spacing w:after="0"/>
              <w:rPr>
                <w:sz w:val="17"/>
                <w:szCs w:val="17"/>
                <w:color w:val="auto"/>
              </w:rPr>
            </w:pPr>
          </w:p>
        </w:tc>
        <w:tc>
          <w:tcPr>
            <w:tcW w:w="1080" w:type="dxa"/>
            <w:vAlign w:val="bottom"/>
          </w:tcPr>
          <w:p>
            <w:pPr>
              <w:jc w:val="right"/>
              <w:ind w:right="12"/>
              <w:spacing w:after="0" w:line="202" w:lineRule="exact"/>
              <w:rPr>
                <w:sz w:val="20"/>
                <w:szCs w:val="20"/>
                <w:color w:val="auto"/>
              </w:rPr>
            </w:pPr>
            <w:r>
              <w:rPr>
                <w:rFonts w:ascii="Arial" w:cs="Arial" w:eastAsia="Arial" w:hAnsi="Arial"/>
                <w:sz w:val="18"/>
                <w:szCs w:val="18"/>
                <w:color w:val="auto"/>
              </w:rPr>
              <w:t>5.4%</w:t>
            </w:r>
          </w:p>
        </w:tc>
        <w:tc>
          <w:tcPr>
            <w:tcW w:w="200" w:type="dxa"/>
            <w:vAlign w:val="bottom"/>
          </w:tcPr>
          <w:p>
            <w:pPr>
              <w:spacing w:after="0"/>
              <w:rPr>
                <w:sz w:val="17"/>
                <w:szCs w:val="17"/>
                <w:color w:val="auto"/>
              </w:rPr>
            </w:pPr>
          </w:p>
        </w:tc>
        <w:tc>
          <w:tcPr>
            <w:tcW w:w="820" w:type="dxa"/>
            <w:vAlign w:val="bottom"/>
          </w:tcPr>
          <w:p>
            <w:pPr>
              <w:jc w:val="right"/>
              <w:ind w:right="32"/>
              <w:spacing w:after="0" w:line="202" w:lineRule="exact"/>
              <w:rPr>
                <w:sz w:val="20"/>
                <w:szCs w:val="20"/>
                <w:color w:val="auto"/>
              </w:rPr>
            </w:pPr>
            <w:r>
              <w:rPr>
                <w:rFonts w:ascii="Arial" w:cs="Arial" w:eastAsia="Arial" w:hAnsi="Arial"/>
                <w:sz w:val="18"/>
                <w:szCs w:val="18"/>
                <w:color w:val="auto"/>
              </w:rPr>
              <w:t>6.3%</w:t>
            </w:r>
          </w:p>
        </w:tc>
        <w:tc>
          <w:tcPr>
            <w:tcW w:w="200" w:type="dxa"/>
            <w:vAlign w:val="bottom"/>
          </w:tcPr>
          <w:p>
            <w:pPr>
              <w:spacing w:after="0"/>
              <w:rPr>
                <w:sz w:val="17"/>
                <w:szCs w:val="17"/>
                <w:color w:val="auto"/>
              </w:rPr>
            </w:pPr>
          </w:p>
        </w:tc>
        <w:tc>
          <w:tcPr>
            <w:tcW w:w="760" w:type="dxa"/>
            <w:vAlign w:val="bottom"/>
          </w:tcPr>
          <w:p>
            <w:pPr>
              <w:spacing w:after="0"/>
              <w:rPr>
                <w:sz w:val="17"/>
                <w:szCs w:val="17"/>
                <w:color w:val="auto"/>
              </w:rPr>
            </w:pPr>
          </w:p>
        </w:tc>
      </w:tr>
      <w:tr>
        <w:trPr>
          <w:trHeight w:val="199"/>
        </w:trPr>
        <w:tc>
          <w:tcPr>
            <w:tcW w:w="2920" w:type="dxa"/>
            <w:vAlign w:val="bottom"/>
            <w:tcBorders>
              <w:bottom w:val="single" w:sz="8" w:color="35BF85"/>
            </w:tcBorders>
          </w:tcPr>
          <w:p>
            <w:pPr>
              <w:ind w:left="200"/>
              <w:spacing w:after="0" w:line="200" w:lineRule="exact"/>
              <w:rPr>
                <w:sz w:val="20"/>
                <w:szCs w:val="20"/>
                <w:color w:val="auto"/>
              </w:rPr>
            </w:pPr>
            <w:r>
              <w:rPr>
                <w:rFonts w:ascii="Arial" w:cs="Arial" w:eastAsia="Arial" w:hAnsi="Arial"/>
                <w:sz w:val="18"/>
                <w:szCs w:val="18"/>
                <w:color w:val="auto"/>
              </w:rPr>
              <w:t>Average Receive Rate</w:t>
            </w:r>
          </w:p>
        </w:tc>
        <w:tc>
          <w:tcPr>
            <w:tcW w:w="900" w:type="dxa"/>
            <w:vAlign w:val="bottom"/>
            <w:tcBorders>
              <w:bottom w:val="single" w:sz="8" w:color="35BF85"/>
            </w:tcBorders>
          </w:tcPr>
          <w:p>
            <w:pPr>
              <w:spacing w:after="0"/>
              <w:rPr>
                <w:sz w:val="17"/>
                <w:szCs w:val="17"/>
                <w:color w:val="auto"/>
              </w:rPr>
            </w:pPr>
          </w:p>
        </w:tc>
        <w:tc>
          <w:tcPr>
            <w:tcW w:w="660" w:type="dxa"/>
            <w:vAlign w:val="bottom"/>
            <w:tcBorders>
              <w:bottom w:val="single" w:sz="8" w:color="35BF85"/>
            </w:tcBorders>
          </w:tcPr>
          <w:p>
            <w:pPr>
              <w:jc w:val="right"/>
              <w:ind w:right="12"/>
              <w:spacing w:after="0" w:line="200" w:lineRule="exact"/>
              <w:rPr>
                <w:sz w:val="20"/>
                <w:szCs w:val="20"/>
                <w:color w:val="auto"/>
              </w:rPr>
            </w:pPr>
            <w:r>
              <w:rPr>
                <w:rFonts w:ascii="Arial" w:cs="Arial" w:eastAsia="Arial" w:hAnsi="Arial"/>
                <w:sz w:val="18"/>
                <w:szCs w:val="18"/>
                <w:color w:val="auto"/>
              </w:rPr>
              <w:t>—%</w:t>
            </w:r>
          </w:p>
        </w:tc>
        <w:tc>
          <w:tcPr>
            <w:tcW w:w="220" w:type="dxa"/>
            <w:vAlign w:val="bottom"/>
            <w:tcBorders>
              <w:bottom w:val="single" w:sz="8" w:color="35BF85"/>
            </w:tcBorders>
          </w:tcPr>
          <w:p>
            <w:pPr>
              <w:spacing w:after="0"/>
              <w:rPr>
                <w:sz w:val="17"/>
                <w:szCs w:val="17"/>
                <w:color w:val="auto"/>
              </w:rPr>
            </w:pPr>
          </w:p>
        </w:tc>
        <w:tc>
          <w:tcPr>
            <w:tcW w:w="700" w:type="dxa"/>
            <w:vAlign w:val="bottom"/>
            <w:tcBorders>
              <w:bottom w:val="single" w:sz="8" w:color="35BF85"/>
            </w:tcBorders>
          </w:tcPr>
          <w:p>
            <w:pPr>
              <w:jc w:val="right"/>
              <w:ind w:right="12"/>
              <w:spacing w:after="0" w:line="200" w:lineRule="exact"/>
              <w:rPr>
                <w:sz w:val="20"/>
                <w:szCs w:val="20"/>
                <w:color w:val="auto"/>
              </w:rPr>
            </w:pPr>
            <w:r>
              <w:rPr>
                <w:rFonts w:ascii="Arial" w:cs="Arial" w:eastAsia="Arial" w:hAnsi="Arial"/>
                <w:sz w:val="18"/>
                <w:szCs w:val="18"/>
                <w:color w:val="auto"/>
              </w:rPr>
              <w:t>6.2%</w:t>
            </w:r>
          </w:p>
        </w:tc>
        <w:tc>
          <w:tcPr>
            <w:tcW w:w="220" w:type="dxa"/>
            <w:vAlign w:val="bottom"/>
            <w:tcBorders>
              <w:bottom w:val="single" w:sz="8" w:color="35BF85"/>
            </w:tcBorders>
          </w:tcPr>
          <w:p>
            <w:pPr>
              <w:spacing w:after="0"/>
              <w:rPr>
                <w:sz w:val="17"/>
                <w:szCs w:val="17"/>
                <w:color w:val="auto"/>
              </w:rPr>
            </w:pPr>
          </w:p>
        </w:tc>
        <w:tc>
          <w:tcPr>
            <w:tcW w:w="700" w:type="dxa"/>
            <w:vAlign w:val="bottom"/>
            <w:tcBorders>
              <w:bottom w:val="single" w:sz="8" w:color="35BF85"/>
            </w:tcBorders>
          </w:tcPr>
          <w:p>
            <w:pPr>
              <w:jc w:val="right"/>
              <w:ind w:right="12"/>
              <w:spacing w:after="0" w:line="200" w:lineRule="exact"/>
              <w:rPr>
                <w:sz w:val="20"/>
                <w:szCs w:val="20"/>
                <w:color w:val="auto"/>
              </w:rPr>
            </w:pPr>
            <w:r>
              <w:rPr>
                <w:rFonts w:ascii="Arial" w:cs="Arial" w:eastAsia="Arial" w:hAnsi="Arial"/>
                <w:sz w:val="18"/>
                <w:szCs w:val="18"/>
                <w:color w:val="auto"/>
              </w:rPr>
              <w:t>6.9%</w:t>
            </w:r>
          </w:p>
        </w:tc>
        <w:tc>
          <w:tcPr>
            <w:tcW w:w="200" w:type="dxa"/>
            <w:vAlign w:val="bottom"/>
            <w:tcBorders>
              <w:bottom w:val="single" w:sz="8" w:color="35BF85"/>
            </w:tcBorders>
          </w:tcPr>
          <w:p>
            <w:pPr>
              <w:spacing w:after="0"/>
              <w:rPr>
                <w:sz w:val="17"/>
                <w:szCs w:val="17"/>
                <w:color w:val="auto"/>
              </w:rPr>
            </w:pPr>
          </w:p>
        </w:tc>
        <w:tc>
          <w:tcPr>
            <w:tcW w:w="720" w:type="dxa"/>
            <w:vAlign w:val="bottom"/>
            <w:tcBorders>
              <w:bottom w:val="single" w:sz="8" w:color="35BF85"/>
            </w:tcBorders>
          </w:tcPr>
          <w:p>
            <w:pPr>
              <w:jc w:val="right"/>
              <w:ind w:right="12"/>
              <w:spacing w:after="0" w:line="200" w:lineRule="exact"/>
              <w:rPr>
                <w:sz w:val="20"/>
                <w:szCs w:val="20"/>
                <w:color w:val="auto"/>
              </w:rPr>
            </w:pPr>
            <w:r>
              <w:rPr>
                <w:rFonts w:ascii="Arial" w:cs="Arial" w:eastAsia="Arial" w:hAnsi="Arial"/>
                <w:sz w:val="18"/>
                <w:szCs w:val="18"/>
                <w:color w:val="auto"/>
              </w:rPr>
              <w:t>5.9%</w:t>
            </w:r>
          </w:p>
        </w:tc>
        <w:tc>
          <w:tcPr>
            <w:tcW w:w="200" w:type="dxa"/>
            <w:vAlign w:val="bottom"/>
            <w:tcBorders>
              <w:bottom w:val="single" w:sz="8" w:color="35BF85"/>
            </w:tcBorders>
          </w:tcPr>
          <w:p>
            <w:pPr>
              <w:spacing w:after="0"/>
              <w:rPr>
                <w:sz w:val="17"/>
                <w:szCs w:val="17"/>
                <w:color w:val="auto"/>
              </w:rPr>
            </w:pPr>
          </w:p>
        </w:tc>
        <w:tc>
          <w:tcPr>
            <w:tcW w:w="720" w:type="dxa"/>
            <w:vAlign w:val="bottom"/>
            <w:tcBorders>
              <w:bottom w:val="single" w:sz="8" w:color="35BF85"/>
            </w:tcBorders>
          </w:tcPr>
          <w:p>
            <w:pPr>
              <w:jc w:val="right"/>
              <w:ind w:right="12"/>
              <w:spacing w:after="0" w:line="200" w:lineRule="exact"/>
              <w:rPr>
                <w:sz w:val="20"/>
                <w:szCs w:val="20"/>
                <w:color w:val="auto"/>
              </w:rPr>
            </w:pPr>
            <w:r>
              <w:rPr>
                <w:rFonts w:ascii="Arial" w:cs="Arial" w:eastAsia="Arial" w:hAnsi="Arial"/>
                <w:sz w:val="18"/>
                <w:szCs w:val="18"/>
                <w:color w:val="auto"/>
              </w:rPr>
              <w:t>5.5%</w:t>
            </w:r>
          </w:p>
        </w:tc>
        <w:tc>
          <w:tcPr>
            <w:tcW w:w="200" w:type="dxa"/>
            <w:vAlign w:val="bottom"/>
            <w:tcBorders>
              <w:bottom w:val="single" w:sz="8" w:color="35BF85"/>
            </w:tcBorders>
          </w:tcPr>
          <w:p>
            <w:pPr>
              <w:spacing w:after="0"/>
              <w:rPr>
                <w:sz w:val="17"/>
                <w:szCs w:val="17"/>
                <w:color w:val="auto"/>
              </w:rPr>
            </w:pPr>
          </w:p>
        </w:tc>
        <w:tc>
          <w:tcPr>
            <w:tcW w:w="1080" w:type="dxa"/>
            <w:vAlign w:val="bottom"/>
            <w:tcBorders>
              <w:bottom w:val="single" w:sz="8" w:color="35BF85"/>
            </w:tcBorders>
          </w:tcPr>
          <w:p>
            <w:pPr>
              <w:jc w:val="right"/>
              <w:ind w:right="12"/>
              <w:spacing w:after="0" w:line="200" w:lineRule="exact"/>
              <w:rPr>
                <w:sz w:val="20"/>
                <w:szCs w:val="20"/>
                <w:color w:val="auto"/>
              </w:rPr>
            </w:pPr>
            <w:r>
              <w:rPr>
                <w:rFonts w:ascii="Arial" w:cs="Arial" w:eastAsia="Arial" w:hAnsi="Arial"/>
                <w:sz w:val="18"/>
                <w:szCs w:val="18"/>
                <w:color w:val="auto"/>
              </w:rPr>
              <w:t>5.3%</w:t>
            </w:r>
          </w:p>
        </w:tc>
        <w:tc>
          <w:tcPr>
            <w:tcW w:w="200" w:type="dxa"/>
            <w:vAlign w:val="bottom"/>
            <w:tcBorders>
              <w:bottom w:val="single" w:sz="8" w:color="35BF85"/>
            </w:tcBorders>
          </w:tcPr>
          <w:p>
            <w:pPr>
              <w:spacing w:after="0"/>
              <w:rPr>
                <w:sz w:val="17"/>
                <w:szCs w:val="17"/>
                <w:color w:val="auto"/>
              </w:rPr>
            </w:pPr>
          </w:p>
        </w:tc>
        <w:tc>
          <w:tcPr>
            <w:tcW w:w="820" w:type="dxa"/>
            <w:vAlign w:val="bottom"/>
            <w:tcBorders>
              <w:bottom w:val="single" w:sz="8" w:color="35BF85"/>
            </w:tcBorders>
          </w:tcPr>
          <w:p>
            <w:pPr>
              <w:jc w:val="right"/>
              <w:ind w:right="32"/>
              <w:spacing w:after="0" w:line="200" w:lineRule="exact"/>
              <w:rPr>
                <w:sz w:val="20"/>
                <w:szCs w:val="20"/>
                <w:color w:val="auto"/>
              </w:rPr>
            </w:pPr>
            <w:r>
              <w:rPr>
                <w:rFonts w:ascii="Arial" w:cs="Arial" w:eastAsia="Arial" w:hAnsi="Arial"/>
                <w:sz w:val="18"/>
                <w:szCs w:val="18"/>
                <w:color w:val="auto"/>
              </w:rPr>
              <w:t>5.9%</w:t>
            </w:r>
          </w:p>
        </w:tc>
        <w:tc>
          <w:tcPr>
            <w:tcW w:w="200" w:type="dxa"/>
            <w:vAlign w:val="bottom"/>
            <w:tcBorders>
              <w:bottom w:val="single" w:sz="8" w:color="35BF85"/>
            </w:tcBorders>
          </w:tcPr>
          <w:p>
            <w:pPr>
              <w:spacing w:after="0"/>
              <w:rPr>
                <w:sz w:val="17"/>
                <w:szCs w:val="17"/>
                <w:color w:val="auto"/>
              </w:rPr>
            </w:pPr>
          </w:p>
        </w:tc>
        <w:tc>
          <w:tcPr>
            <w:tcW w:w="760" w:type="dxa"/>
            <w:vAlign w:val="bottom"/>
            <w:tcBorders>
              <w:bottom w:val="single" w:sz="8" w:color="35BF85"/>
            </w:tcBorders>
          </w:tcPr>
          <w:p>
            <w:pPr>
              <w:spacing w:after="0"/>
              <w:rPr>
                <w:sz w:val="17"/>
                <w:szCs w:val="17"/>
                <w:color w:val="auto"/>
              </w:rPr>
            </w:pPr>
          </w:p>
        </w:tc>
      </w:tr>
    </w:tbl>
    <w:p>
      <w:pPr>
        <w:spacing w:after="0" w:line="202" w:lineRule="exact"/>
        <w:rPr>
          <w:sz w:val="20"/>
          <w:szCs w:val="20"/>
          <w:color w:val="auto"/>
        </w:rPr>
      </w:pPr>
    </w:p>
    <w:p>
      <w:pPr>
        <w:ind w:left="340" w:hanging="332"/>
        <w:spacing w:after="0"/>
        <w:tabs>
          <w:tab w:leader="none" w:pos="340" w:val="left"/>
        </w:tabs>
        <w:numPr>
          <w:ilvl w:val="0"/>
          <w:numId w:val="84"/>
        </w:numPr>
        <w:rPr>
          <w:rFonts w:ascii="Arial" w:cs="Arial" w:eastAsia="Arial" w:hAnsi="Arial"/>
          <w:sz w:val="14"/>
          <w:szCs w:val="14"/>
          <w:color w:val="auto"/>
        </w:rPr>
      </w:pPr>
      <w:r>
        <w:rPr>
          <w:rFonts w:ascii="Arial" w:cs="Arial" w:eastAsia="Arial" w:hAnsi="Arial"/>
          <w:sz w:val="14"/>
          <w:szCs w:val="14"/>
          <w:color w:val="auto"/>
        </w:rPr>
        <w:t>We did not have any variable to fixed swaps as of December 31, 2006.</w:t>
      </w:r>
    </w:p>
    <w:p>
      <w:pPr>
        <w:sectPr>
          <w:pgSz w:w="11900" w:h="16838" w:orient="portrait"/>
          <w:cols w:equalWidth="0" w:num="1">
            <w:col w:w="11420"/>
          </w:cols>
          <w:pgMar w:left="240" w:top="459" w:right="239" w:bottom="1440" w:gutter="0" w:footer="0" w:header="0"/>
          <w:type w:val="continuous"/>
        </w:sectPr>
      </w:pPr>
    </w:p>
    <w:p>
      <w:pPr>
        <w:spacing w:after="0" w:line="194" w:lineRule="exact"/>
        <w:rPr>
          <w:sz w:val="20"/>
          <w:szCs w:val="20"/>
          <w:color w:val="auto"/>
        </w:rPr>
      </w:pPr>
    </w:p>
    <w:p>
      <w:pPr>
        <w:jc w:val="both"/>
        <w:spacing w:after="0" w:line="235" w:lineRule="auto"/>
        <w:rPr>
          <w:sz w:val="20"/>
          <w:szCs w:val="20"/>
          <w:color w:val="auto"/>
        </w:rPr>
      </w:pPr>
      <w:r>
        <w:rPr>
          <w:rFonts w:ascii="Arial" w:cs="Arial" w:eastAsia="Arial" w:hAnsi="Arial"/>
          <w:sz w:val="18"/>
          <w:szCs w:val="18"/>
          <w:color w:val="auto"/>
        </w:rPr>
        <w:t>We use the notional amounts on the instruments to calculate the interest to be paid or received. The notional amounts do not represent the amount of our exposure to credit loss. The estimated fair value approximates the payments necessary to settle the outstanding contracts. We estimate interest rates on variable debt using the average implied forward London Interbank Offered Rate (“LIBOR”) rates for the year of maturity based on the yield curve in effect on December 31, 2006, plus the applicable margin in effect on December 31, 2006. We estimate the floating rates on our swaps using the average implied forward LIBOR for the year of maturity based on the yield curve in effect on December 31, 2006.</w:t>
      </w:r>
    </w:p>
    <w:p>
      <w:pPr>
        <w:spacing w:after="0" w:line="161" w:lineRule="exact"/>
        <w:rPr>
          <w:sz w:val="20"/>
          <w:szCs w:val="20"/>
          <w:color w:val="auto"/>
        </w:rPr>
      </w:pPr>
    </w:p>
    <w:p>
      <w:pPr>
        <w:jc w:val="both"/>
        <w:spacing w:after="0" w:line="237" w:lineRule="auto"/>
        <w:rPr>
          <w:sz w:val="20"/>
          <w:szCs w:val="20"/>
          <w:color w:val="auto"/>
        </w:rPr>
      </w:pPr>
      <w:r>
        <w:rPr>
          <w:rFonts w:ascii="Arial" w:cs="Arial" w:eastAsia="Arial" w:hAnsi="Arial"/>
          <w:sz w:val="18"/>
          <w:szCs w:val="18"/>
          <w:color w:val="auto"/>
        </w:rPr>
        <w:t>As a matter of practice, we typically do not structure our financial contracts to include credit-ratings-based triggers that could affect our liquidity. In the ordinary course of business, some of our swaps could be subject to termination provisions if we do not</w:t>
      </w:r>
    </w:p>
    <w:p>
      <w:pPr>
        <w:spacing w:after="0" w:line="20" w:lineRule="exact"/>
        <w:rPr>
          <w:sz w:val="20"/>
          <w:szCs w:val="20"/>
          <w:color w:val="auto"/>
        </w:rPr>
      </w:pPr>
      <w:r>
        <w:rPr>
          <w:sz w:val="20"/>
          <w:szCs w:val="20"/>
          <w:color w:val="auto"/>
        </w:rPr>
        <w:br w:type="column"/>
      </w:r>
    </w:p>
    <w:p>
      <w:pPr>
        <w:spacing w:after="0" w:line="174" w:lineRule="exact"/>
        <w:rPr>
          <w:sz w:val="20"/>
          <w:szCs w:val="20"/>
          <w:color w:val="auto"/>
        </w:rPr>
      </w:pPr>
    </w:p>
    <w:p>
      <w:pPr>
        <w:jc w:val="both"/>
        <w:ind w:right="120"/>
        <w:spacing w:after="0" w:line="236" w:lineRule="auto"/>
        <w:rPr>
          <w:sz w:val="20"/>
          <w:szCs w:val="20"/>
          <w:color w:val="auto"/>
        </w:rPr>
      </w:pPr>
      <w:r>
        <w:rPr>
          <w:rFonts w:ascii="Arial" w:cs="Arial" w:eastAsia="Arial" w:hAnsi="Arial"/>
          <w:sz w:val="18"/>
          <w:szCs w:val="18"/>
          <w:color w:val="auto"/>
        </w:rPr>
        <w:t>maintain investment grade credit ratings. As of December 31, 2006, and 2005, the estimated fair value of those swaps was a liability of $60 million and $69 million, respectively. The amount to be paid or received upon termination, if any, would be based upon the fair value of those outstanding contracts at that time.</w:t>
      </w:r>
    </w:p>
    <w:p>
      <w:pPr>
        <w:spacing w:after="0" w:line="157" w:lineRule="exact"/>
        <w:rPr>
          <w:sz w:val="20"/>
          <w:szCs w:val="20"/>
          <w:color w:val="auto"/>
        </w:rPr>
      </w:pPr>
    </w:p>
    <w:p>
      <w:pPr>
        <w:spacing w:after="0"/>
        <w:rPr>
          <w:sz w:val="20"/>
          <w:szCs w:val="20"/>
          <w:color w:val="auto"/>
        </w:rPr>
      </w:pPr>
      <w:r>
        <w:rPr>
          <w:rFonts w:ascii="Arial" w:cs="Arial" w:eastAsia="Arial" w:hAnsi="Arial"/>
          <w:sz w:val="18"/>
          <w:szCs w:val="18"/>
          <w:color w:val="35BF85"/>
        </w:rPr>
        <w:t>Equity Price Risk Management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63500</wp:posOffset>
            </wp:positionV>
            <wp:extent cx="3481705" cy="8890"/>
            <wp:wrapNone/>
            <wp:docPr id="163" name="Picture 1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3"/>
                    <pic:cNvPicPr>
                      <a:picLocks noChangeAspect="1" noChangeArrowheads="1"/>
                    </pic:cNvPicPr>
                  </pic:nvPicPr>
                  <pic:blipFill>
                    <a:blip r:embed="rId170">
                      <a:extLst>
                        <a:ext uri="{28A0092B-C50C-407E-A947-70E740481C1C}"/>
                      </a:extLst>
                    </a:blip>
                    <a:srcRect/>
                    <a:stretch>
                      <a:fillRect/>
                    </a:stretch>
                  </pic:blipFill>
                  <pic:spPr bwMode="auto">
                    <a:xfrm>
                      <a:off x="0" y="0"/>
                      <a:ext cx="3481705" cy="8890"/>
                    </a:xfrm>
                    <a:prstGeom prst="rect">
                      <a:avLst/>
                    </a:prstGeom>
                    <a:noFill/>
                  </pic:spPr>
                </pic:pic>
              </a:graphicData>
            </a:graphic>
          </wp:anchor>
        </w:drawing>
      </w:r>
    </w:p>
    <w:p>
      <w:pPr>
        <w:spacing w:after="0" w:line="259" w:lineRule="exact"/>
        <w:rPr>
          <w:sz w:val="20"/>
          <w:szCs w:val="20"/>
          <w:color w:val="auto"/>
        </w:rPr>
      </w:pPr>
    </w:p>
    <w:p>
      <w:pPr>
        <w:jc w:val="both"/>
        <w:ind w:right="120"/>
        <w:spacing w:after="0" w:line="237" w:lineRule="auto"/>
        <w:rPr>
          <w:sz w:val="20"/>
          <w:szCs w:val="20"/>
          <w:color w:val="auto"/>
        </w:rPr>
      </w:pPr>
      <w:r>
        <w:rPr>
          <w:rFonts w:ascii="Arial" w:cs="Arial" w:eastAsia="Arial" w:hAnsi="Arial"/>
          <w:sz w:val="18"/>
          <w:szCs w:val="18"/>
          <w:color w:val="auto"/>
        </w:rPr>
        <w:t>We are exposed to the market risk of changes in the equity prices of our investments in marketable securities. We enter into various derivative transactions pursuant to our policies to manage the volatility relating to these exposures.</w:t>
      </w:r>
    </w:p>
    <w:p>
      <w:pPr>
        <w:spacing w:after="0" w:line="155" w:lineRule="exact"/>
        <w:rPr>
          <w:sz w:val="20"/>
          <w:szCs w:val="20"/>
          <w:color w:val="auto"/>
        </w:rPr>
      </w:pPr>
    </w:p>
    <w:p>
      <w:pPr>
        <w:jc w:val="both"/>
        <w:ind w:right="120"/>
        <w:spacing w:after="0" w:line="236" w:lineRule="auto"/>
        <w:rPr>
          <w:sz w:val="20"/>
          <w:szCs w:val="20"/>
          <w:color w:val="auto"/>
        </w:rPr>
      </w:pPr>
      <w:r>
        <w:rPr>
          <w:rFonts w:ascii="Arial" w:cs="Arial" w:eastAsia="Arial" w:hAnsi="Arial"/>
          <w:sz w:val="18"/>
          <w:szCs w:val="18"/>
          <w:color w:val="auto"/>
        </w:rPr>
        <w:t>Through market value and sensitivity analyses, we monitor our equity price risk exposures to ensure that the instruments are matched with the underlying assets or liabilities, reduce our risks relating to equity prices and maintain a high correlation to the risk inherent in the hedged item.</w:t>
      </w:r>
    </w:p>
    <w:p>
      <w:pPr>
        <w:spacing w:after="0" w:line="157" w:lineRule="exact"/>
        <w:rPr>
          <w:sz w:val="20"/>
          <w:szCs w:val="20"/>
          <w:color w:val="auto"/>
        </w:rPr>
      </w:pPr>
    </w:p>
    <w:p>
      <w:pPr>
        <w:jc w:val="both"/>
        <w:ind w:right="120"/>
        <w:spacing w:after="0" w:line="236" w:lineRule="auto"/>
        <w:rPr>
          <w:sz w:val="20"/>
          <w:szCs w:val="20"/>
          <w:color w:val="auto"/>
        </w:rPr>
      </w:pPr>
      <w:r>
        <w:rPr>
          <w:rFonts w:ascii="Arial" w:cs="Arial" w:eastAsia="Arial" w:hAnsi="Arial"/>
          <w:sz w:val="18"/>
          <w:szCs w:val="18"/>
          <w:color w:val="auto"/>
        </w:rPr>
        <w:t>To limit our exposure to and benefits from price fluctuations in the common stock of some of our investments, we use equity derivative financial instruments. These derivative financial instruments include equity collar agreements, prepaid forward sales agreements and indexed or exchangeable debt instruments and are accounted for at fair value.</w:t>
      </w:r>
    </w:p>
    <w:p>
      <w:pPr>
        <w:spacing w:after="0" w:line="177" w:lineRule="exact"/>
        <w:rPr>
          <w:sz w:val="20"/>
          <w:szCs w:val="20"/>
          <w:color w:val="auto"/>
        </w:rPr>
      </w:pPr>
    </w:p>
    <w:p>
      <w:pPr>
        <w:sectPr>
          <w:pgSz w:w="11900" w:h="16838" w:orient="portrait"/>
          <w:cols w:equalWidth="0" w:num="2">
            <w:col w:w="5480" w:space="340"/>
            <w:col w:w="5600"/>
          </w:cols>
          <w:pgMar w:left="240" w:top="459" w:right="239" w:bottom="1440" w:gutter="0" w:footer="0" w:header="0"/>
          <w:type w:val="continuous"/>
        </w:sectPr>
      </w:pPr>
    </w:p>
    <w:p>
      <w:pPr>
        <w:spacing w:after="0"/>
        <w:tabs>
          <w:tab w:leader="none" w:pos="5680" w:val="left"/>
        </w:tabs>
        <w:rPr>
          <w:sz w:val="20"/>
          <w:szCs w:val="20"/>
          <w:color w:val="auto"/>
        </w:rPr>
      </w:pPr>
      <w:r>
        <w:rPr>
          <w:rFonts w:ascii="Arial" w:cs="Arial" w:eastAsia="Arial" w:hAnsi="Arial"/>
          <w:sz w:val="14"/>
          <w:szCs w:val="14"/>
          <w:b w:val="1"/>
          <w:bCs w:val="1"/>
          <w:color w:val="auto"/>
        </w:rPr>
        <w:t xml:space="preserve">MD&amp;A </w:t>
      </w:r>
      <w:r>
        <w:rPr>
          <w:rFonts w:ascii="Arial" w:cs="Arial" w:eastAsia="Arial" w:hAnsi="Arial"/>
          <w:sz w:val="14"/>
          <w:szCs w:val="14"/>
          <w:color w:val="auto"/>
        </w:rPr>
        <w:t>Comcast 2006 Annual Report</w:t>
      </w:r>
      <w:r>
        <w:rPr>
          <w:sz w:val="20"/>
          <w:szCs w:val="20"/>
          <w:color w:val="auto"/>
        </w:rPr>
        <w:tab/>
      </w:r>
      <w:r>
        <w:rPr>
          <w:rFonts w:ascii="Arial" w:cs="Arial" w:eastAsia="Arial" w:hAnsi="Arial"/>
          <w:sz w:val="12"/>
          <w:szCs w:val="12"/>
          <w:b w:val="1"/>
          <w:bCs w:val="1"/>
          <w:color w:val="auto"/>
        </w:rPr>
        <w:t>34</w:t>
      </w:r>
    </w:p>
    <w:p>
      <w:pPr>
        <w:sectPr>
          <w:pgSz w:w="11900" w:h="16838" w:orient="portrait"/>
          <w:cols w:equalWidth="0" w:num="1">
            <w:col w:w="11420"/>
          </w:cols>
          <w:pgMar w:left="240" w:top="459" w:right="239" w:bottom="1440" w:gutter="0" w:footer="0" w:header="0"/>
          <w:type w:val="continuous"/>
        </w:sectPr>
      </w:pPr>
    </w:p>
    <w:bookmarkStart w:id="111" w:name="page112"/>
    <w:bookmarkEnd w:id="111"/>
    <w:p>
      <w:pPr>
        <w:spacing w:after="0"/>
        <w:rPr>
          <w:rFonts w:ascii="Arial" w:cs="Arial" w:eastAsia="Arial" w:hAnsi="Arial"/>
          <w:sz w:val="18"/>
          <w:szCs w:val="18"/>
          <w:b w:val="1"/>
          <w:bCs w:val="1"/>
          <w:u w:val="single" w:color="auto"/>
          <w:color w:val="0000EE"/>
        </w:rPr>
      </w:pPr>
      <w:hyperlink w:anchor="page3">
        <w:r>
          <w:rPr>
            <w:rFonts w:ascii="Arial" w:cs="Arial" w:eastAsia="Arial" w:hAnsi="Arial"/>
            <w:sz w:val="18"/>
            <w:szCs w:val="18"/>
            <w:b w:val="1"/>
            <w:bCs w:val="1"/>
            <w:u w:val="single" w:color="auto"/>
            <w:color w:val="0000EE"/>
          </w:rPr>
          <w:t>Table of Contents</w:t>
        </w:r>
      </w:hyperlink>
    </w:p>
    <w:p>
      <w:pPr>
        <w:spacing w:after="0" w:line="200" w:lineRule="exact"/>
        <w:rPr>
          <w:sz w:val="20"/>
          <w:szCs w:val="20"/>
          <w:color w:val="auto"/>
        </w:rPr>
      </w:pPr>
    </w:p>
    <w:p>
      <w:pPr>
        <w:spacing w:after="0" w:line="276" w:lineRule="exact"/>
        <w:rPr>
          <w:sz w:val="20"/>
          <w:szCs w:val="20"/>
          <w:color w:val="auto"/>
        </w:rPr>
      </w:pPr>
    </w:p>
    <w:p>
      <w:pPr>
        <w:jc w:val="both"/>
        <w:spacing w:after="0" w:line="275" w:lineRule="auto"/>
        <w:rPr>
          <w:rFonts w:ascii="Arial" w:cs="Arial" w:eastAsia="Arial" w:hAnsi="Arial"/>
          <w:sz w:val="16"/>
          <w:szCs w:val="16"/>
          <w:color w:val="auto"/>
        </w:rPr>
      </w:pPr>
      <w:r>
        <w:rPr>
          <w:rFonts w:ascii="Arial" w:cs="Arial" w:eastAsia="Arial" w:hAnsi="Arial"/>
          <w:sz w:val="16"/>
          <w:szCs w:val="16"/>
          <w:color w:val="auto"/>
        </w:rPr>
        <w:t xml:space="preserve">Except as described in “ </w:t>
      </w:r>
      <w:hyperlink w:anchor="page109">
        <w:r>
          <w:rPr>
            <w:rFonts w:ascii="Arial" w:cs="Arial" w:eastAsia="Arial" w:hAnsi="Arial"/>
            <w:sz w:val="16"/>
            <w:szCs w:val="16"/>
            <w:u w:val="single" w:color="auto"/>
            <w:color w:val="0000EE"/>
          </w:rPr>
          <w:t>Investment Income (Loss), Net</w:t>
        </w:r>
      </w:hyperlink>
      <w:r>
        <w:rPr>
          <w:rFonts w:ascii="Arial" w:cs="Arial" w:eastAsia="Arial" w:hAnsi="Arial"/>
          <w:sz w:val="16"/>
          <w:szCs w:val="16"/>
          <w:color w:val="auto"/>
        </w:rPr>
        <w:t>” (see above), the changes in the fair value of our investments that we accounted for as trading securities were substantially offset by the changes in the fair values of the equity derivative financial instruments.</w:t>
      </w:r>
    </w:p>
    <w:p>
      <w:pPr>
        <w:spacing w:after="0" w:line="161" w:lineRule="exact"/>
        <w:rPr>
          <w:sz w:val="20"/>
          <w:szCs w:val="20"/>
          <w:color w:val="auto"/>
        </w:rPr>
      </w:pPr>
    </w:p>
    <w:p>
      <w:pPr>
        <w:spacing w:after="0"/>
        <w:rPr>
          <w:sz w:val="20"/>
          <w:szCs w:val="20"/>
          <w:color w:val="auto"/>
        </w:rPr>
      </w:pPr>
      <w:r>
        <w:rPr>
          <w:rFonts w:ascii="Arial" w:cs="Arial" w:eastAsia="Arial" w:hAnsi="Arial"/>
          <w:sz w:val="18"/>
          <w:szCs w:val="18"/>
          <w:b w:val="1"/>
          <w:bCs w:val="1"/>
          <w:color w:val="35BF85"/>
        </w:rPr>
        <w:t>Contractual Obligations</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63" w:lineRule="exact"/>
        <w:rPr>
          <w:sz w:val="20"/>
          <w:szCs w:val="20"/>
          <w:color w:val="auto"/>
        </w:rPr>
      </w:pPr>
    </w:p>
    <w:p>
      <w:pPr>
        <w:jc w:val="both"/>
        <w:ind w:right="120"/>
        <w:spacing w:after="0" w:line="237" w:lineRule="auto"/>
        <w:rPr>
          <w:rFonts w:ascii="Arial" w:cs="Arial" w:eastAsia="Arial" w:hAnsi="Arial"/>
          <w:sz w:val="18"/>
          <w:szCs w:val="18"/>
          <w:color w:val="auto"/>
        </w:rPr>
      </w:pPr>
      <w:r>
        <w:rPr>
          <w:rFonts w:ascii="Arial" w:cs="Arial" w:eastAsia="Arial" w:hAnsi="Arial"/>
          <w:sz w:val="18"/>
          <w:szCs w:val="18"/>
          <w:color w:val="auto"/>
        </w:rPr>
        <w:t xml:space="preserve">Refer to </w:t>
      </w:r>
      <w:hyperlink w:anchor="page120">
        <w:r>
          <w:rPr>
            <w:rFonts w:ascii="Arial" w:cs="Arial" w:eastAsia="Arial" w:hAnsi="Arial"/>
            <w:sz w:val="18"/>
            <w:szCs w:val="18"/>
            <w:u w:val="single" w:color="auto"/>
            <w:color w:val="0000EE"/>
          </w:rPr>
          <w:t>Note 2</w:t>
        </w:r>
        <w:r>
          <w:rPr>
            <w:rFonts w:ascii="Arial" w:cs="Arial" w:eastAsia="Arial" w:hAnsi="Arial"/>
            <w:sz w:val="18"/>
            <w:szCs w:val="18"/>
            <w:u w:val="single" w:color="auto"/>
            <w:color w:val="auto"/>
          </w:rPr>
          <w:t xml:space="preserve"> </w:t>
        </w:r>
      </w:hyperlink>
      <w:r>
        <w:rPr>
          <w:rFonts w:ascii="Arial" w:cs="Arial" w:eastAsia="Arial" w:hAnsi="Arial"/>
          <w:sz w:val="18"/>
          <w:szCs w:val="18"/>
          <w:color w:val="auto"/>
        </w:rPr>
        <w:t xml:space="preserve">to our consolidated financial statements for a discussion of our accounting policies for derivative financial instruments and to </w:t>
      </w:r>
      <w:hyperlink w:anchor="page128">
        <w:r>
          <w:rPr>
            <w:rFonts w:ascii="Arial" w:cs="Arial" w:eastAsia="Arial" w:hAnsi="Arial"/>
            <w:sz w:val="18"/>
            <w:szCs w:val="18"/>
            <w:u w:val="single" w:color="auto"/>
            <w:color w:val="0000EE"/>
          </w:rPr>
          <w:t>Note 6</w:t>
        </w:r>
        <w:r>
          <w:rPr>
            <w:rFonts w:ascii="Arial" w:cs="Arial" w:eastAsia="Arial" w:hAnsi="Arial"/>
            <w:sz w:val="18"/>
            <w:szCs w:val="18"/>
            <w:u w:val="single" w:color="auto"/>
            <w:color w:val="auto"/>
          </w:rPr>
          <w:t xml:space="preserve"> </w:t>
        </w:r>
      </w:hyperlink>
      <w:r>
        <w:rPr>
          <w:rFonts w:ascii="Arial" w:cs="Arial" w:eastAsia="Arial" w:hAnsi="Arial"/>
          <w:sz w:val="18"/>
          <w:szCs w:val="18"/>
          <w:color w:val="auto"/>
        </w:rPr>
        <w:t xml:space="preserve">and </w:t>
      </w:r>
      <w:hyperlink w:anchor="page132">
        <w:r>
          <w:rPr>
            <w:rFonts w:ascii="Arial" w:cs="Arial" w:eastAsia="Arial" w:hAnsi="Arial"/>
            <w:sz w:val="18"/>
            <w:szCs w:val="18"/>
            <w:u w:val="single" w:color="auto"/>
            <w:color w:val="0000EE"/>
          </w:rPr>
          <w:t>Note 8</w:t>
        </w:r>
        <w:r>
          <w:rPr>
            <w:rFonts w:ascii="Arial" w:cs="Arial" w:eastAsia="Arial" w:hAnsi="Arial"/>
            <w:sz w:val="18"/>
            <w:szCs w:val="18"/>
            <w:u w:val="single" w:color="auto"/>
            <w:color w:val="auto"/>
          </w:rPr>
          <w:t xml:space="preserve"> </w:t>
        </w:r>
      </w:hyperlink>
      <w:r>
        <w:rPr>
          <w:rFonts w:ascii="Arial" w:cs="Arial" w:eastAsia="Arial" w:hAnsi="Arial"/>
          <w:sz w:val="18"/>
          <w:szCs w:val="18"/>
          <w:color w:val="auto"/>
        </w:rPr>
        <w:t>to our consolidated financial statements for discussions of our derivative financial instruments.</w:t>
      </w:r>
    </w:p>
    <w:p>
      <w:pPr>
        <w:spacing w:after="0" w:line="20" w:lineRule="exact"/>
        <w:rPr>
          <w:rFonts w:ascii="Arial" w:cs="Arial" w:eastAsia="Arial" w:hAnsi="Arial"/>
          <w:sz w:val="18"/>
          <w:szCs w:val="18"/>
          <w:color w:val="auto"/>
        </w:rPr>
      </w:pPr>
      <w:r>
        <w:rPr>
          <w:rFonts w:ascii="Arial" w:cs="Arial" w:eastAsia="Arial" w:hAnsi="Arial"/>
          <w:sz w:val="18"/>
          <w:szCs w:val="18"/>
          <w:color w:val="auto"/>
        </w:rPr>
        <w:drawing>
          <wp:anchor simplePos="0" relativeHeight="251657728" behindDoc="1" locked="0" layoutInCell="0" allowOverlap="1">
            <wp:simplePos x="0" y="0"/>
            <wp:positionH relativeFrom="column">
              <wp:posOffset>-3691890</wp:posOffset>
            </wp:positionH>
            <wp:positionV relativeFrom="paragraph">
              <wp:posOffset>-1155065</wp:posOffset>
            </wp:positionV>
            <wp:extent cx="7267575" cy="27940"/>
            <wp:wrapNone/>
            <wp:docPr id="164" name="Picture 1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4"/>
                    <pic:cNvPicPr>
                      <a:picLocks noChangeAspect="1" noChangeArrowheads="1"/>
                    </pic:cNvPicPr>
                  </pic:nvPicPr>
                  <pic:blipFill>
                    <a:blip r:embed="rId171">
                      <a:extLst>
                        <a:ext uri="{28A0092B-C50C-407E-A947-70E740481C1C}"/>
                      </a:extLst>
                    </a:blip>
                    <a:srcRect/>
                    <a:stretch>
                      <a:fillRect/>
                    </a:stretch>
                  </pic:blipFill>
                  <pic:spPr bwMode="auto">
                    <a:xfrm>
                      <a:off x="0" y="0"/>
                      <a:ext cx="7267575" cy="27940"/>
                    </a:xfrm>
                    <a:prstGeom prst="rect">
                      <a:avLst/>
                    </a:prstGeom>
                    <a:noFill/>
                  </pic:spPr>
                </pic:pic>
              </a:graphicData>
            </a:graphic>
          </wp:anchor>
        </w:drawing>
        <w:drawing>
          <wp:anchor simplePos="0" relativeHeight="251657728" behindDoc="1" locked="0" layoutInCell="0" allowOverlap="1">
            <wp:simplePos x="0" y="0"/>
            <wp:positionH relativeFrom="column">
              <wp:posOffset>-3689985</wp:posOffset>
            </wp:positionH>
            <wp:positionV relativeFrom="paragraph">
              <wp:posOffset>327660</wp:posOffset>
            </wp:positionV>
            <wp:extent cx="7246620" cy="8890"/>
            <wp:wrapNone/>
            <wp:docPr id="165" name="Picture 1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5"/>
                    <pic:cNvPicPr>
                      <a:picLocks noChangeAspect="1" noChangeArrowheads="1"/>
                    </pic:cNvPicPr>
                  </pic:nvPicPr>
                  <pic:blipFill>
                    <a:blip r:embed="rId172">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593" w:lineRule="exact"/>
        <w:rPr>
          <w:rFonts w:ascii="Arial" w:cs="Arial" w:eastAsia="Arial" w:hAnsi="Arial"/>
          <w:sz w:val="18"/>
          <w:szCs w:val="18"/>
          <w:color w:val="auto"/>
        </w:rPr>
      </w:pPr>
    </w:p>
    <w:p>
      <w:pPr>
        <w:sectPr>
          <w:pgSz w:w="11900" w:h="16838" w:orient="portrait"/>
          <w:cols w:equalWidth="0" w:num="2">
            <w:col w:w="5480" w:space="340"/>
            <w:col w:w="5600"/>
          </w:cols>
          <w:pgMar w:left="240" w:top="459" w:right="239" w:bottom="1440" w:gutter="0" w:footer="0" w:header="0"/>
        </w:sectPr>
      </w:pPr>
    </w:p>
    <w:p>
      <w:pPr>
        <w:spacing w:after="0" w:line="47" w:lineRule="exact"/>
        <w:rPr>
          <w:rFonts w:ascii="Arial" w:cs="Arial" w:eastAsia="Arial" w:hAnsi="Arial"/>
          <w:sz w:val="18"/>
          <w:szCs w:val="18"/>
          <w:color w:val="auto"/>
        </w:rPr>
      </w:pPr>
    </w:p>
    <w:p>
      <w:pPr>
        <w:spacing w:after="0" w:line="239" w:lineRule="auto"/>
        <w:rPr>
          <w:sz w:val="20"/>
          <w:szCs w:val="20"/>
          <w:color w:val="auto"/>
        </w:rPr>
      </w:pPr>
      <w:r>
        <w:rPr>
          <w:rFonts w:ascii="Arial" w:cs="Arial" w:eastAsia="Arial" w:hAnsi="Arial"/>
          <w:sz w:val="18"/>
          <w:szCs w:val="18"/>
          <w:color w:val="auto"/>
        </w:rPr>
        <w:t>Our unconditional contractual obligations as of December 31, 2006, which consist primarily of our debt obligations and their amounts in future periods, are summarized in the following table:</w:t>
      </w:r>
    </w:p>
    <w:p>
      <w:pPr>
        <w:spacing w:after="0" w:line="180" w:lineRule="exact"/>
        <w:rPr>
          <w:rFonts w:ascii="Arial" w:cs="Arial" w:eastAsia="Arial" w:hAnsi="Arial"/>
          <w:sz w:val="18"/>
          <w:szCs w:val="18"/>
          <w:color w:val="auto"/>
        </w:rPr>
      </w:pPr>
    </w:p>
    <w:tbl>
      <w:tblPr>
        <w:tblLayout w:type="fixed"/>
        <w:tblInd w:w="0" w:type="dxa"/>
        <w:tblCellMar>
          <w:top w:w="0" w:type="dxa"/>
          <w:left w:w="0" w:type="dxa"/>
          <w:bottom w:w="0" w:type="dxa"/>
          <w:right w:w="0" w:type="dxa"/>
        </w:tblCellMar>
      </w:tblPr>
      <w:tr>
        <w:trPr>
          <w:trHeight w:val="161"/>
        </w:trPr>
        <w:tc>
          <w:tcPr>
            <w:tcW w:w="6760" w:type="dxa"/>
            <w:vAlign w:val="bottom"/>
          </w:tcPr>
          <w:p>
            <w:pPr>
              <w:spacing w:after="0"/>
              <w:rPr>
                <w:sz w:val="14"/>
                <w:szCs w:val="14"/>
                <w:color w:val="auto"/>
              </w:rPr>
            </w:pPr>
          </w:p>
        </w:tc>
        <w:tc>
          <w:tcPr>
            <w:tcW w:w="1140" w:type="dxa"/>
            <w:vAlign w:val="bottom"/>
            <w:tcBorders>
              <w:bottom w:val="single" w:sz="8" w:color="auto"/>
            </w:tcBorders>
          </w:tcPr>
          <w:p>
            <w:pPr>
              <w:spacing w:after="0"/>
              <w:rPr>
                <w:sz w:val="14"/>
                <w:szCs w:val="14"/>
                <w:color w:val="auto"/>
              </w:rPr>
            </w:pPr>
          </w:p>
        </w:tc>
        <w:tc>
          <w:tcPr>
            <w:tcW w:w="260" w:type="dxa"/>
            <w:vAlign w:val="bottom"/>
            <w:tcBorders>
              <w:bottom w:val="single" w:sz="8" w:color="auto"/>
            </w:tcBorders>
          </w:tcPr>
          <w:p>
            <w:pPr>
              <w:spacing w:after="0"/>
              <w:rPr>
                <w:sz w:val="14"/>
                <w:szCs w:val="14"/>
                <w:color w:val="auto"/>
              </w:rPr>
            </w:pPr>
          </w:p>
        </w:tc>
        <w:tc>
          <w:tcPr>
            <w:tcW w:w="2360" w:type="dxa"/>
            <w:vAlign w:val="bottom"/>
            <w:tcBorders>
              <w:bottom w:val="single" w:sz="8" w:color="auto"/>
            </w:tcBorders>
            <w:gridSpan w:val="3"/>
          </w:tcPr>
          <w:p>
            <w:pPr>
              <w:jc w:val="right"/>
              <w:ind w:right="437"/>
              <w:spacing w:after="0"/>
              <w:rPr>
                <w:sz w:val="20"/>
                <w:szCs w:val="20"/>
                <w:color w:val="auto"/>
              </w:rPr>
            </w:pPr>
            <w:r>
              <w:rPr>
                <w:rFonts w:ascii="Arial" w:cs="Arial" w:eastAsia="Arial" w:hAnsi="Arial"/>
                <w:sz w:val="14"/>
                <w:szCs w:val="14"/>
                <w:color w:val="auto"/>
              </w:rPr>
              <w:t>Payments Due by Period</w:t>
            </w:r>
          </w:p>
        </w:tc>
        <w:tc>
          <w:tcPr>
            <w:tcW w:w="320" w:type="dxa"/>
            <w:vAlign w:val="bottom"/>
            <w:tcBorders>
              <w:bottom w:val="single" w:sz="8" w:color="auto"/>
            </w:tcBorders>
          </w:tcPr>
          <w:p>
            <w:pPr>
              <w:spacing w:after="0"/>
              <w:rPr>
                <w:sz w:val="14"/>
                <w:szCs w:val="14"/>
                <w:color w:val="auto"/>
              </w:rPr>
            </w:pPr>
          </w:p>
        </w:tc>
        <w:tc>
          <w:tcPr>
            <w:tcW w:w="580" w:type="dxa"/>
            <w:vAlign w:val="bottom"/>
            <w:tcBorders>
              <w:bottom w:val="single" w:sz="8" w:color="auto"/>
            </w:tcBorders>
          </w:tcPr>
          <w:p>
            <w:pPr>
              <w:spacing w:after="0"/>
              <w:rPr>
                <w:sz w:val="14"/>
                <w:szCs w:val="14"/>
                <w:color w:val="auto"/>
              </w:rPr>
            </w:pPr>
          </w:p>
        </w:tc>
      </w:tr>
      <w:tr>
        <w:trPr>
          <w:trHeight w:val="141"/>
        </w:trPr>
        <w:tc>
          <w:tcPr>
            <w:tcW w:w="6760" w:type="dxa"/>
            <w:vAlign w:val="bottom"/>
          </w:tcPr>
          <w:p>
            <w:pPr>
              <w:spacing w:after="0"/>
              <w:rPr>
                <w:sz w:val="12"/>
                <w:szCs w:val="12"/>
                <w:color w:val="auto"/>
              </w:rPr>
            </w:pPr>
          </w:p>
        </w:tc>
        <w:tc>
          <w:tcPr>
            <w:tcW w:w="114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880" w:type="dxa"/>
            <w:vAlign w:val="bottom"/>
          </w:tcPr>
          <w:p>
            <w:pPr>
              <w:jc w:val="right"/>
              <w:ind w:right="97"/>
              <w:spacing w:after="0" w:line="141" w:lineRule="exact"/>
              <w:rPr>
                <w:sz w:val="20"/>
                <w:szCs w:val="20"/>
                <w:color w:val="auto"/>
              </w:rPr>
            </w:pPr>
            <w:r>
              <w:rPr>
                <w:rFonts w:ascii="Arial" w:cs="Arial" w:eastAsia="Arial" w:hAnsi="Arial"/>
                <w:sz w:val="14"/>
                <w:szCs w:val="14"/>
                <w:color w:val="auto"/>
              </w:rPr>
              <w:t>Years</w:t>
            </w:r>
          </w:p>
        </w:tc>
        <w:tc>
          <w:tcPr>
            <w:tcW w:w="860" w:type="dxa"/>
            <w:vAlign w:val="bottom"/>
          </w:tcPr>
          <w:p>
            <w:pPr>
              <w:jc w:val="right"/>
              <w:ind w:right="77"/>
              <w:spacing w:after="0" w:line="141" w:lineRule="exact"/>
              <w:rPr>
                <w:sz w:val="20"/>
                <w:szCs w:val="20"/>
                <w:color w:val="auto"/>
              </w:rPr>
            </w:pPr>
            <w:r>
              <w:rPr>
                <w:rFonts w:ascii="Arial" w:cs="Arial" w:eastAsia="Arial" w:hAnsi="Arial"/>
                <w:sz w:val="14"/>
                <w:szCs w:val="14"/>
                <w:color w:val="auto"/>
              </w:rPr>
              <w:t>Years</w:t>
            </w:r>
          </w:p>
        </w:tc>
        <w:tc>
          <w:tcPr>
            <w:tcW w:w="320" w:type="dxa"/>
            <w:vAlign w:val="bottom"/>
          </w:tcPr>
          <w:p>
            <w:pPr>
              <w:spacing w:after="0"/>
              <w:rPr>
                <w:sz w:val="12"/>
                <w:szCs w:val="12"/>
                <w:color w:val="auto"/>
              </w:rPr>
            </w:pPr>
          </w:p>
        </w:tc>
        <w:tc>
          <w:tcPr>
            <w:tcW w:w="580" w:type="dxa"/>
            <w:vAlign w:val="bottom"/>
          </w:tcPr>
          <w:p>
            <w:pPr>
              <w:spacing w:after="0"/>
              <w:rPr>
                <w:sz w:val="12"/>
                <w:szCs w:val="12"/>
                <w:color w:val="auto"/>
              </w:rPr>
            </w:pPr>
          </w:p>
        </w:tc>
      </w:tr>
      <w:tr>
        <w:trPr>
          <w:trHeight w:val="149"/>
        </w:trPr>
        <w:tc>
          <w:tcPr>
            <w:tcW w:w="6760" w:type="dxa"/>
            <w:vAlign w:val="bottom"/>
            <w:tcBorders>
              <w:bottom w:val="single" w:sz="8" w:color="auto"/>
            </w:tcBorders>
          </w:tcPr>
          <w:p>
            <w:pPr>
              <w:spacing w:after="0" w:line="149" w:lineRule="exact"/>
              <w:rPr>
                <w:sz w:val="20"/>
                <w:szCs w:val="20"/>
                <w:color w:val="auto"/>
              </w:rPr>
            </w:pPr>
            <w:r>
              <w:rPr>
                <w:rFonts w:ascii="Arial" w:cs="Arial" w:eastAsia="Arial" w:hAnsi="Arial"/>
                <w:sz w:val="14"/>
                <w:szCs w:val="14"/>
                <w:color w:val="auto"/>
              </w:rPr>
              <w:t>(in millions)</w:t>
            </w:r>
          </w:p>
        </w:tc>
        <w:tc>
          <w:tcPr>
            <w:tcW w:w="1140" w:type="dxa"/>
            <w:vAlign w:val="bottom"/>
            <w:tcBorders>
              <w:bottom w:val="single" w:sz="8" w:color="auto"/>
            </w:tcBorders>
          </w:tcPr>
          <w:p>
            <w:pPr>
              <w:jc w:val="right"/>
              <w:ind w:right="75"/>
              <w:spacing w:after="0" w:line="149" w:lineRule="exact"/>
              <w:rPr>
                <w:sz w:val="20"/>
                <w:szCs w:val="20"/>
                <w:color w:val="auto"/>
              </w:rPr>
            </w:pPr>
            <w:r>
              <w:rPr>
                <w:rFonts w:ascii="Arial" w:cs="Arial" w:eastAsia="Arial" w:hAnsi="Arial"/>
                <w:sz w:val="14"/>
                <w:szCs w:val="14"/>
                <w:color w:val="auto"/>
              </w:rPr>
              <w:t>Total</w:t>
            </w:r>
          </w:p>
        </w:tc>
        <w:tc>
          <w:tcPr>
            <w:tcW w:w="260" w:type="dxa"/>
            <w:vAlign w:val="bottom"/>
            <w:tcBorders>
              <w:bottom w:val="single" w:sz="8" w:color="auto"/>
            </w:tcBorders>
          </w:tcPr>
          <w:p>
            <w:pPr>
              <w:spacing w:after="0"/>
              <w:rPr>
                <w:sz w:val="12"/>
                <w:szCs w:val="12"/>
                <w:color w:val="auto"/>
              </w:rPr>
            </w:pPr>
          </w:p>
        </w:tc>
        <w:tc>
          <w:tcPr>
            <w:tcW w:w="620" w:type="dxa"/>
            <w:vAlign w:val="bottom"/>
            <w:tcBorders>
              <w:bottom w:val="single" w:sz="8" w:color="auto"/>
            </w:tcBorders>
          </w:tcPr>
          <w:p>
            <w:pPr>
              <w:jc w:val="right"/>
              <w:ind w:right="77"/>
              <w:spacing w:after="0" w:line="149" w:lineRule="exact"/>
              <w:rPr>
                <w:sz w:val="20"/>
                <w:szCs w:val="20"/>
                <w:color w:val="auto"/>
              </w:rPr>
            </w:pPr>
            <w:r>
              <w:rPr>
                <w:rFonts w:ascii="Arial" w:cs="Arial" w:eastAsia="Arial" w:hAnsi="Arial"/>
                <w:sz w:val="14"/>
                <w:szCs w:val="14"/>
                <w:color w:val="auto"/>
              </w:rPr>
              <w:t>Year 1</w:t>
            </w:r>
          </w:p>
        </w:tc>
        <w:tc>
          <w:tcPr>
            <w:tcW w:w="880" w:type="dxa"/>
            <w:vAlign w:val="bottom"/>
            <w:tcBorders>
              <w:bottom w:val="single" w:sz="8" w:color="auto"/>
            </w:tcBorders>
          </w:tcPr>
          <w:p>
            <w:pPr>
              <w:jc w:val="right"/>
              <w:ind w:right="97"/>
              <w:spacing w:after="0" w:line="149" w:lineRule="exact"/>
              <w:rPr>
                <w:sz w:val="20"/>
                <w:szCs w:val="20"/>
                <w:color w:val="auto"/>
              </w:rPr>
            </w:pPr>
            <w:r>
              <w:rPr>
                <w:rFonts w:ascii="Arial" w:cs="Arial" w:eastAsia="Arial" w:hAnsi="Arial"/>
                <w:sz w:val="14"/>
                <w:szCs w:val="14"/>
                <w:color w:val="auto"/>
              </w:rPr>
              <w:t>2 – 3</w:t>
            </w:r>
          </w:p>
        </w:tc>
        <w:tc>
          <w:tcPr>
            <w:tcW w:w="860" w:type="dxa"/>
            <w:vAlign w:val="bottom"/>
            <w:tcBorders>
              <w:bottom w:val="single" w:sz="8" w:color="auto"/>
            </w:tcBorders>
          </w:tcPr>
          <w:p>
            <w:pPr>
              <w:jc w:val="right"/>
              <w:ind w:right="77"/>
              <w:spacing w:after="0" w:line="149" w:lineRule="exact"/>
              <w:rPr>
                <w:sz w:val="20"/>
                <w:szCs w:val="20"/>
                <w:color w:val="auto"/>
              </w:rPr>
            </w:pPr>
            <w:r>
              <w:rPr>
                <w:rFonts w:ascii="Arial" w:cs="Arial" w:eastAsia="Arial" w:hAnsi="Arial"/>
                <w:sz w:val="14"/>
                <w:szCs w:val="14"/>
                <w:color w:val="auto"/>
              </w:rPr>
              <w:t>4 – 5</w:t>
            </w:r>
          </w:p>
        </w:tc>
        <w:tc>
          <w:tcPr>
            <w:tcW w:w="900" w:type="dxa"/>
            <w:vAlign w:val="bottom"/>
            <w:tcBorders>
              <w:bottom w:val="single" w:sz="8" w:color="auto"/>
            </w:tcBorders>
            <w:gridSpan w:val="2"/>
          </w:tcPr>
          <w:p>
            <w:pPr>
              <w:ind w:left="180"/>
              <w:spacing w:after="0" w:line="149" w:lineRule="exact"/>
              <w:rPr>
                <w:sz w:val="20"/>
                <w:szCs w:val="20"/>
                <w:color w:val="auto"/>
              </w:rPr>
            </w:pPr>
            <w:r>
              <w:rPr>
                <w:rFonts w:ascii="Arial" w:cs="Arial" w:eastAsia="Arial" w:hAnsi="Arial"/>
                <w:sz w:val="14"/>
                <w:szCs w:val="14"/>
                <w:color w:val="auto"/>
                <w:w w:val="93"/>
              </w:rPr>
              <w:t>More than 5</w:t>
            </w:r>
          </w:p>
        </w:tc>
      </w:tr>
      <w:tr>
        <w:trPr>
          <w:trHeight w:val="199"/>
        </w:trPr>
        <w:tc>
          <w:tcPr>
            <w:tcW w:w="6760" w:type="dxa"/>
            <w:vAlign w:val="bottom"/>
          </w:tcPr>
          <w:p>
            <w:pPr>
              <w:spacing w:after="0" w:line="200" w:lineRule="exact"/>
              <w:rPr>
                <w:sz w:val="20"/>
                <w:szCs w:val="20"/>
                <w:color w:val="auto"/>
              </w:rPr>
            </w:pPr>
            <w:r>
              <w:rPr>
                <w:rFonts w:ascii="Arial" w:cs="Arial" w:eastAsia="Arial" w:hAnsi="Arial"/>
                <w:sz w:val="18"/>
                <w:szCs w:val="18"/>
                <w:color w:val="auto"/>
              </w:rPr>
              <w:t>Debt obligations</w:t>
            </w:r>
            <w:r>
              <w:rPr>
                <w:rFonts w:ascii="Arial" w:cs="Arial" w:eastAsia="Arial" w:hAnsi="Arial"/>
                <w:sz w:val="22"/>
                <w:szCs w:val="22"/>
                <w:color w:val="auto"/>
                <w:vertAlign w:val="superscript"/>
              </w:rPr>
              <w:t>(a)</w:t>
            </w:r>
          </w:p>
        </w:tc>
        <w:tc>
          <w:tcPr>
            <w:tcW w:w="1140" w:type="dxa"/>
            <w:vAlign w:val="bottom"/>
          </w:tcPr>
          <w:p>
            <w:pPr>
              <w:jc w:val="right"/>
              <w:ind w:right="75"/>
              <w:spacing w:after="0" w:line="200" w:lineRule="exact"/>
              <w:rPr>
                <w:sz w:val="20"/>
                <w:szCs w:val="20"/>
                <w:color w:val="auto"/>
              </w:rPr>
            </w:pPr>
            <w:r>
              <w:rPr>
                <w:rFonts w:ascii="Arial" w:cs="Arial" w:eastAsia="Arial" w:hAnsi="Arial"/>
                <w:sz w:val="18"/>
                <w:szCs w:val="18"/>
                <w:color w:val="auto"/>
              </w:rPr>
              <w:t>$28,909</w:t>
            </w:r>
          </w:p>
        </w:tc>
        <w:tc>
          <w:tcPr>
            <w:tcW w:w="260" w:type="dxa"/>
            <w:vAlign w:val="bottom"/>
          </w:tcPr>
          <w:p>
            <w:pPr>
              <w:jc w:val="right"/>
              <w:spacing w:after="0" w:line="200" w:lineRule="exact"/>
              <w:rPr>
                <w:sz w:val="20"/>
                <w:szCs w:val="20"/>
                <w:color w:val="auto"/>
              </w:rPr>
            </w:pPr>
            <w:r>
              <w:rPr>
                <w:rFonts w:ascii="Arial" w:cs="Arial" w:eastAsia="Arial" w:hAnsi="Arial"/>
                <w:sz w:val="18"/>
                <w:szCs w:val="18"/>
                <w:color w:val="auto"/>
              </w:rPr>
              <w:t>$</w:t>
            </w:r>
          </w:p>
        </w:tc>
        <w:tc>
          <w:tcPr>
            <w:tcW w:w="620" w:type="dxa"/>
            <w:vAlign w:val="bottom"/>
          </w:tcPr>
          <w:p>
            <w:pPr>
              <w:jc w:val="right"/>
              <w:ind w:right="77"/>
              <w:spacing w:after="0" w:line="200" w:lineRule="exact"/>
              <w:rPr>
                <w:sz w:val="20"/>
                <w:szCs w:val="20"/>
                <w:color w:val="auto"/>
              </w:rPr>
            </w:pPr>
            <w:r>
              <w:rPr>
                <w:rFonts w:ascii="Arial" w:cs="Arial" w:eastAsia="Arial" w:hAnsi="Arial"/>
                <w:sz w:val="18"/>
                <w:szCs w:val="18"/>
                <w:color w:val="auto"/>
              </w:rPr>
              <w:t>962</w:t>
            </w:r>
          </w:p>
        </w:tc>
        <w:tc>
          <w:tcPr>
            <w:tcW w:w="880" w:type="dxa"/>
            <w:vAlign w:val="bottom"/>
          </w:tcPr>
          <w:p>
            <w:pPr>
              <w:jc w:val="right"/>
              <w:ind w:right="97"/>
              <w:spacing w:after="0" w:line="200" w:lineRule="exact"/>
              <w:rPr>
                <w:sz w:val="20"/>
                <w:szCs w:val="20"/>
                <w:color w:val="auto"/>
              </w:rPr>
            </w:pPr>
            <w:r>
              <w:rPr>
                <w:rFonts w:ascii="Arial" w:cs="Arial" w:eastAsia="Arial" w:hAnsi="Arial"/>
                <w:sz w:val="18"/>
                <w:szCs w:val="18"/>
                <w:color w:val="auto"/>
              </w:rPr>
              <w:t>$3,900</w:t>
            </w:r>
          </w:p>
        </w:tc>
        <w:tc>
          <w:tcPr>
            <w:tcW w:w="860" w:type="dxa"/>
            <w:vAlign w:val="bottom"/>
          </w:tcPr>
          <w:p>
            <w:pPr>
              <w:jc w:val="right"/>
              <w:ind w:right="77"/>
              <w:spacing w:after="0" w:line="200" w:lineRule="exact"/>
              <w:rPr>
                <w:sz w:val="20"/>
                <w:szCs w:val="20"/>
                <w:color w:val="auto"/>
              </w:rPr>
            </w:pPr>
            <w:r>
              <w:rPr>
                <w:rFonts w:ascii="Arial" w:cs="Arial" w:eastAsia="Arial" w:hAnsi="Arial"/>
                <w:sz w:val="18"/>
                <w:szCs w:val="18"/>
                <w:color w:val="auto"/>
              </w:rPr>
              <w:t>$3,079</w:t>
            </w:r>
          </w:p>
        </w:tc>
        <w:tc>
          <w:tcPr>
            <w:tcW w:w="320" w:type="dxa"/>
            <w:vAlign w:val="bottom"/>
          </w:tcPr>
          <w:p>
            <w:pPr>
              <w:ind w:left="180"/>
              <w:spacing w:after="0" w:line="200" w:lineRule="exact"/>
              <w:rPr>
                <w:sz w:val="20"/>
                <w:szCs w:val="20"/>
                <w:color w:val="auto"/>
              </w:rPr>
            </w:pPr>
            <w:r>
              <w:rPr>
                <w:rFonts w:ascii="Arial" w:cs="Arial" w:eastAsia="Arial" w:hAnsi="Arial"/>
                <w:sz w:val="18"/>
                <w:szCs w:val="18"/>
                <w:color w:val="auto"/>
              </w:rPr>
              <w:t>$</w:t>
            </w:r>
          </w:p>
        </w:tc>
        <w:tc>
          <w:tcPr>
            <w:tcW w:w="580" w:type="dxa"/>
            <w:vAlign w:val="bottom"/>
          </w:tcPr>
          <w:p>
            <w:pPr>
              <w:jc w:val="right"/>
              <w:spacing w:after="0" w:line="200" w:lineRule="exact"/>
              <w:rPr>
                <w:sz w:val="20"/>
                <w:szCs w:val="20"/>
                <w:color w:val="auto"/>
              </w:rPr>
            </w:pPr>
            <w:r>
              <w:rPr>
                <w:rFonts w:ascii="Arial" w:cs="Arial" w:eastAsia="Arial" w:hAnsi="Arial"/>
                <w:sz w:val="18"/>
                <w:szCs w:val="18"/>
                <w:color w:val="auto"/>
              </w:rPr>
              <w:t>20,968</w:t>
            </w:r>
          </w:p>
        </w:tc>
      </w:tr>
      <w:tr>
        <w:trPr>
          <w:trHeight w:val="203"/>
        </w:trPr>
        <w:tc>
          <w:tcPr>
            <w:tcW w:w="6760" w:type="dxa"/>
            <w:vAlign w:val="bottom"/>
          </w:tcPr>
          <w:p>
            <w:pPr>
              <w:spacing w:after="0" w:line="202" w:lineRule="exact"/>
              <w:rPr>
                <w:sz w:val="20"/>
                <w:szCs w:val="20"/>
                <w:color w:val="auto"/>
              </w:rPr>
            </w:pPr>
            <w:r>
              <w:rPr>
                <w:rFonts w:ascii="Arial" w:cs="Arial" w:eastAsia="Arial" w:hAnsi="Arial"/>
                <w:sz w:val="18"/>
                <w:szCs w:val="18"/>
                <w:color w:val="auto"/>
              </w:rPr>
              <w:t>Capital lease obligations</w:t>
            </w:r>
          </w:p>
        </w:tc>
        <w:tc>
          <w:tcPr>
            <w:tcW w:w="1140" w:type="dxa"/>
            <w:vAlign w:val="bottom"/>
          </w:tcPr>
          <w:p>
            <w:pPr>
              <w:jc w:val="right"/>
              <w:ind w:right="75"/>
              <w:spacing w:after="0" w:line="202" w:lineRule="exact"/>
              <w:rPr>
                <w:sz w:val="20"/>
                <w:szCs w:val="20"/>
                <w:color w:val="auto"/>
              </w:rPr>
            </w:pPr>
            <w:r>
              <w:rPr>
                <w:rFonts w:ascii="Arial" w:cs="Arial" w:eastAsia="Arial" w:hAnsi="Arial"/>
                <w:sz w:val="18"/>
                <w:szCs w:val="18"/>
                <w:color w:val="auto"/>
              </w:rPr>
              <w:t>66</w:t>
            </w:r>
          </w:p>
        </w:tc>
        <w:tc>
          <w:tcPr>
            <w:tcW w:w="260" w:type="dxa"/>
            <w:vAlign w:val="bottom"/>
          </w:tcPr>
          <w:p>
            <w:pPr>
              <w:spacing w:after="0"/>
              <w:rPr>
                <w:sz w:val="17"/>
                <w:szCs w:val="17"/>
                <w:color w:val="auto"/>
              </w:rPr>
            </w:pPr>
          </w:p>
        </w:tc>
        <w:tc>
          <w:tcPr>
            <w:tcW w:w="620" w:type="dxa"/>
            <w:vAlign w:val="bottom"/>
          </w:tcPr>
          <w:p>
            <w:pPr>
              <w:jc w:val="right"/>
              <w:ind w:right="77"/>
              <w:spacing w:after="0" w:line="202" w:lineRule="exact"/>
              <w:rPr>
                <w:sz w:val="20"/>
                <w:szCs w:val="20"/>
                <w:color w:val="auto"/>
              </w:rPr>
            </w:pPr>
            <w:r>
              <w:rPr>
                <w:rFonts w:ascii="Arial" w:cs="Arial" w:eastAsia="Arial" w:hAnsi="Arial"/>
                <w:sz w:val="18"/>
                <w:szCs w:val="18"/>
                <w:color w:val="auto"/>
              </w:rPr>
              <w:t>21</w:t>
            </w:r>
          </w:p>
        </w:tc>
        <w:tc>
          <w:tcPr>
            <w:tcW w:w="880" w:type="dxa"/>
            <w:vAlign w:val="bottom"/>
          </w:tcPr>
          <w:p>
            <w:pPr>
              <w:jc w:val="right"/>
              <w:ind w:right="97"/>
              <w:spacing w:after="0" w:line="202" w:lineRule="exact"/>
              <w:rPr>
                <w:sz w:val="20"/>
                <w:szCs w:val="20"/>
                <w:color w:val="auto"/>
              </w:rPr>
            </w:pPr>
            <w:r>
              <w:rPr>
                <w:rFonts w:ascii="Arial" w:cs="Arial" w:eastAsia="Arial" w:hAnsi="Arial"/>
                <w:sz w:val="18"/>
                <w:szCs w:val="18"/>
                <w:color w:val="auto"/>
              </w:rPr>
              <w:t>17</w:t>
            </w:r>
          </w:p>
        </w:tc>
        <w:tc>
          <w:tcPr>
            <w:tcW w:w="860" w:type="dxa"/>
            <w:vAlign w:val="bottom"/>
          </w:tcPr>
          <w:p>
            <w:pPr>
              <w:jc w:val="right"/>
              <w:ind w:right="77"/>
              <w:spacing w:after="0" w:line="202" w:lineRule="exact"/>
              <w:rPr>
                <w:sz w:val="20"/>
                <w:szCs w:val="20"/>
                <w:color w:val="auto"/>
              </w:rPr>
            </w:pPr>
            <w:r>
              <w:rPr>
                <w:rFonts w:ascii="Arial" w:cs="Arial" w:eastAsia="Arial" w:hAnsi="Arial"/>
                <w:sz w:val="18"/>
                <w:szCs w:val="18"/>
                <w:color w:val="auto"/>
              </w:rPr>
              <w:t>8</w:t>
            </w:r>
          </w:p>
        </w:tc>
        <w:tc>
          <w:tcPr>
            <w:tcW w:w="320" w:type="dxa"/>
            <w:vAlign w:val="bottom"/>
          </w:tcPr>
          <w:p>
            <w:pPr>
              <w:spacing w:after="0"/>
              <w:rPr>
                <w:sz w:val="17"/>
                <w:szCs w:val="17"/>
                <w:color w:val="auto"/>
              </w:rPr>
            </w:pPr>
          </w:p>
        </w:tc>
        <w:tc>
          <w:tcPr>
            <w:tcW w:w="580" w:type="dxa"/>
            <w:vAlign w:val="bottom"/>
          </w:tcPr>
          <w:p>
            <w:pPr>
              <w:jc w:val="right"/>
              <w:spacing w:after="0" w:line="202" w:lineRule="exact"/>
              <w:rPr>
                <w:sz w:val="20"/>
                <w:szCs w:val="20"/>
                <w:color w:val="auto"/>
              </w:rPr>
            </w:pPr>
            <w:r>
              <w:rPr>
                <w:rFonts w:ascii="Arial" w:cs="Arial" w:eastAsia="Arial" w:hAnsi="Arial"/>
                <w:sz w:val="18"/>
                <w:szCs w:val="18"/>
                <w:color w:val="auto"/>
              </w:rPr>
              <w:t>20</w:t>
            </w:r>
          </w:p>
        </w:tc>
      </w:tr>
      <w:tr>
        <w:trPr>
          <w:trHeight w:val="203"/>
        </w:trPr>
        <w:tc>
          <w:tcPr>
            <w:tcW w:w="6760" w:type="dxa"/>
            <w:vAlign w:val="bottom"/>
          </w:tcPr>
          <w:p>
            <w:pPr>
              <w:spacing w:after="0" w:line="202" w:lineRule="exact"/>
              <w:rPr>
                <w:sz w:val="20"/>
                <w:szCs w:val="20"/>
                <w:color w:val="auto"/>
              </w:rPr>
            </w:pPr>
            <w:r>
              <w:rPr>
                <w:rFonts w:ascii="Arial" w:cs="Arial" w:eastAsia="Arial" w:hAnsi="Arial"/>
                <w:sz w:val="18"/>
                <w:szCs w:val="18"/>
                <w:color w:val="auto"/>
              </w:rPr>
              <w:t>Operating lease obligations</w:t>
            </w:r>
          </w:p>
        </w:tc>
        <w:tc>
          <w:tcPr>
            <w:tcW w:w="1140" w:type="dxa"/>
            <w:vAlign w:val="bottom"/>
          </w:tcPr>
          <w:p>
            <w:pPr>
              <w:jc w:val="right"/>
              <w:ind w:right="75"/>
              <w:spacing w:after="0" w:line="202" w:lineRule="exact"/>
              <w:rPr>
                <w:sz w:val="20"/>
                <w:szCs w:val="20"/>
                <w:color w:val="auto"/>
              </w:rPr>
            </w:pPr>
            <w:r>
              <w:rPr>
                <w:rFonts w:ascii="Arial" w:cs="Arial" w:eastAsia="Arial" w:hAnsi="Arial"/>
                <w:sz w:val="18"/>
                <w:szCs w:val="18"/>
                <w:color w:val="auto"/>
              </w:rPr>
              <w:t>1,614</w:t>
            </w:r>
          </w:p>
        </w:tc>
        <w:tc>
          <w:tcPr>
            <w:tcW w:w="260" w:type="dxa"/>
            <w:vAlign w:val="bottom"/>
          </w:tcPr>
          <w:p>
            <w:pPr>
              <w:spacing w:after="0"/>
              <w:rPr>
                <w:sz w:val="17"/>
                <w:szCs w:val="17"/>
                <w:color w:val="auto"/>
              </w:rPr>
            </w:pPr>
          </w:p>
        </w:tc>
        <w:tc>
          <w:tcPr>
            <w:tcW w:w="620" w:type="dxa"/>
            <w:vAlign w:val="bottom"/>
          </w:tcPr>
          <w:p>
            <w:pPr>
              <w:jc w:val="right"/>
              <w:ind w:right="77"/>
              <w:spacing w:after="0" w:line="202" w:lineRule="exact"/>
              <w:rPr>
                <w:sz w:val="20"/>
                <w:szCs w:val="20"/>
                <w:color w:val="auto"/>
              </w:rPr>
            </w:pPr>
            <w:r>
              <w:rPr>
                <w:rFonts w:ascii="Arial" w:cs="Arial" w:eastAsia="Arial" w:hAnsi="Arial"/>
                <w:sz w:val="18"/>
                <w:szCs w:val="18"/>
                <w:color w:val="auto"/>
              </w:rPr>
              <w:t>292</w:t>
            </w:r>
          </w:p>
        </w:tc>
        <w:tc>
          <w:tcPr>
            <w:tcW w:w="880" w:type="dxa"/>
            <w:vAlign w:val="bottom"/>
          </w:tcPr>
          <w:p>
            <w:pPr>
              <w:jc w:val="right"/>
              <w:ind w:right="97"/>
              <w:spacing w:after="0" w:line="202" w:lineRule="exact"/>
              <w:rPr>
                <w:sz w:val="20"/>
                <w:szCs w:val="20"/>
                <w:color w:val="auto"/>
              </w:rPr>
            </w:pPr>
            <w:r>
              <w:rPr>
                <w:rFonts w:ascii="Arial" w:cs="Arial" w:eastAsia="Arial" w:hAnsi="Arial"/>
                <w:sz w:val="18"/>
                <w:szCs w:val="18"/>
                <w:color w:val="auto"/>
              </w:rPr>
              <w:t>491</w:t>
            </w:r>
          </w:p>
        </w:tc>
        <w:tc>
          <w:tcPr>
            <w:tcW w:w="860" w:type="dxa"/>
            <w:vAlign w:val="bottom"/>
          </w:tcPr>
          <w:p>
            <w:pPr>
              <w:jc w:val="right"/>
              <w:ind w:right="77"/>
              <w:spacing w:after="0" w:line="202" w:lineRule="exact"/>
              <w:rPr>
                <w:sz w:val="20"/>
                <w:szCs w:val="20"/>
                <w:color w:val="auto"/>
              </w:rPr>
            </w:pPr>
            <w:r>
              <w:rPr>
                <w:rFonts w:ascii="Arial" w:cs="Arial" w:eastAsia="Arial" w:hAnsi="Arial"/>
                <w:sz w:val="18"/>
                <w:szCs w:val="18"/>
                <w:color w:val="auto"/>
              </w:rPr>
              <w:t>253</w:t>
            </w:r>
          </w:p>
        </w:tc>
        <w:tc>
          <w:tcPr>
            <w:tcW w:w="320" w:type="dxa"/>
            <w:vAlign w:val="bottom"/>
          </w:tcPr>
          <w:p>
            <w:pPr>
              <w:spacing w:after="0"/>
              <w:rPr>
                <w:sz w:val="17"/>
                <w:szCs w:val="17"/>
                <w:color w:val="auto"/>
              </w:rPr>
            </w:pPr>
          </w:p>
        </w:tc>
        <w:tc>
          <w:tcPr>
            <w:tcW w:w="580" w:type="dxa"/>
            <w:vAlign w:val="bottom"/>
          </w:tcPr>
          <w:p>
            <w:pPr>
              <w:jc w:val="right"/>
              <w:spacing w:after="0" w:line="202" w:lineRule="exact"/>
              <w:rPr>
                <w:sz w:val="20"/>
                <w:szCs w:val="20"/>
                <w:color w:val="auto"/>
              </w:rPr>
            </w:pPr>
            <w:r>
              <w:rPr>
                <w:rFonts w:ascii="Arial" w:cs="Arial" w:eastAsia="Arial" w:hAnsi="Arial"/>
                <w:sz w:val="18"/>
                <w:szCs w:val="18"/>
                <w:color w:val="auto"/>
              </w:rPr>
              <w:t>578</w:t>
            </w:r>
          </w:p>
        </w:tc>
      </w:tr>
      <w:tr>
        <w:trPr>
          <w:trHeight w:val="203"/>
        </w:trPr>
        <w:tc>
          <w:tcPr>
            <w:tcW w:w="6760" w:type="dxa"/>
            <w:vAlign w:val="bottom"/>
          </w:tcPr>
          <w:p>
            <w:pPr>
              <w:spacing w:after="0" w:line="203" w:lineRule="exact"/>
              <w:rPr>
                <w:sz w:val="20"/>
                <w:szCs w:val="20"/>
                <w:color w:val="auto"/>
              </w:rPr>
            </w:pPr>
            <w:r>
              <w:rPr>
                <w:rFonts w:ascii="Arial" w:cs="Arial" w:eastAsia="Arial" w:hAnsi="Arial"/>
                <w:sz w:val="18"/>
                <w:szCs w:val="18"/>
                <w:color w:val="auto"/>
              </w:rPr>
              <w:t>Purchase obligations</w:t>
            </w:r>
            <w:r>
              <w:rPr>
                <w:rFonts w:ascii="Arial" w:cs="Arial" w:eastAsia="Arial" w:hAnsi="Arial"/>
                <w:sz w:val="22"/>
                <w:szCs w:val="22"/>
                <w:color w:val="auto"/>
                <w:vertAlign w:val="superscript"/>
              </w:rPr>
              <w:t>(b)</w:t>
            </w:r>
          </w:p>
        </w:tc>
        <w:tc>
          <w:tcPr>
            <w:tcW w:w="1140" w:type="dxa"/>
            <w:vAlign w:val="bottom"/>
          </w:tcPr>
          <w:p>
            <w:pPr>
              <w:jc w:val="right"/>
              <w:ind w:right="75"/>
              <w:spacing w:after="0" w:line="202" w:lineRule="exact"/>
              <w:rPr>
                <w:sz w:val="20"/>
                <w:szCs w:val="20"/>
                <w:color w:val="auto"/>
              </w:rPr>
            </w:pPr>
            <w:r>
              <w:rPr>
                <w:rFonts w:ascii="Arial" w:cs="Arial" w:eastAsia="Arial" w:hAnsi="Arial"/>
                <w:sz w:val="18"/>
                <w:szCs w:val="18"/>
                <w:color w:val="auto"/>
              </w:rPr>
              <w:t>12,068</w:t>
            </w:r>
          </w:p>
        </w:tc>
        <w:tc>
          <w:tcPr>
            <w:tcW w:w="260" w:type="dxa"/>
            <w:vAlign w:val="bottom"/>
          </w:tcPr>
          <w:p>
            <w:pPr>
              <w:spacing w:after="0"/>
              <w:rPr>
                <w:sz w:val="17"/>
                <w:szCs w:val="17"/>
                <w:color w:val="auto"/>
              </w:rPr>
            </w:pPr>
          </w:p>
        </w:tc>
        <w:tc>
          <w:tcPr>
            <w:tcW w:w="620" w:type="dxa"/>
            <w:vAlign w:val="bottom"/>
          </w:tcPr>
          <w:p>
            <w:pPr>
              <w:jc w:val="right"/>
              <w:ind w:right="77"/>
              <w:spacing w:after="0" w:line="202" w:lineRule="exact"/>
              <w:rPr>
                <w:sz w:val="20"/>
                <w:szCs w:val="20"/>
                <w:color w:val="auto"/>
              </w:rPr>
            </w:pPr>
            <w:r>
              <w:rPr>
                <w:rFonts w:ascii="Arial" w:cs="Arial" w:eastAsia="Arial" w:hAnsi="Arial"/>
                <w:sz w:val="18"/>
                <w:szCs w:val="18"/>
                <w:color w:val="auto"/>
                <w:w w:val="97"/>
              </w:rPr>
              <w:t>3,809</w:t>
            </w:r>
          </w:p>
        </w:tc>
        <w:tc>
          <w:tcPr>
            <w:tcW w:w="880" w:type="dxa"/>
            <w:vAlign w:val="bottom"/>
          </w:tcPr>
          <w:p>
            <w:pPr>
              <w:jc w:val="right"/>
              <w:ind w:right="97"/>
              <w:spacing w:after="0" w:line="202" w:lineRule="exact"/>
              <w:rPr>
                <w:sz w:val="20"/>
                <w:szCs w:val="20"/>
                <w:color w:val="auto"/>
              </w:rPr>
            </w:pPr>
            <w:r>
              <w:rPr>
                <w:rFonts w:ascii="Arial" w:cs="Arial" w:eastAsia="Arial" w:hAnsi="Arial"/>
                <w:sz w:val="18"/>
                <w:szCs w:val="18"/>
                <w:color w:val="auto"/>
              </w:rPr>
              <w:t>3,056</w:t>
            </w:r>
          </w:p>
        </w:tc>
        <w:tc>
          <w:tcPr>
            <w:tcW w:w="860" w:type="dxa"/>
            <w:vAlign w:val="bottom"/>
          </w:tcPr>
          <w:p>
            <w:pPr>
              <w:jc w:val="right"/>
              <w:ind w:right="77"/>
              <w:spacing w:after="0" w:line="202" w:lineRule="exact"/>
              <w:rPr>
                <w:sz w:val="20"/>
                <w:szCs w:val="20"/>
                <w:color w:val="auto"/>
              </w:rPr>
            </w:pPr>
            <w:r>
              <w:rPr>
                <w:rFonts w:ascii="Arial" w:cs="Arial" w:eastAsia="Arial" w:hAnsi="Arial"/>
                <w:sz w:val="18"/>
                <w:szCs w:val="18"/>
                <w:color w:val="auto"/>
              </w:rPr>
              <w:t>2,150</w:t>
            </w:r>
          </w:p>
        </w:tc>
        <w:tc>
          <w:tcPr>
            <w:tcW w:w="320" w:type="dxa"/>
            <w:vAlign w:val="bottom"/>
          </w:tcPr>
          <w:p>
            <w:pPr>
              <w:spacing w:after="0"/>
              <w:rPr>
                <w:sz w:val="17"/>
                <w:szCs w:val="17"/>
                <w:color w:val="auto"/>
              </w:rPr>
            </w:pPr>
          </w:p>
        </w:tc>
        <w:tc>
          <w:tcPr>
            <w:tcW w:w="580" w:type="dxa"/>
            <w:vAlign w:val="bottom"/>
          </w:tcPr>
          <w:p>
            <w:pPr>
              <w:jc w:val="right"/>
              <w:spacing w:after="0" w:line="202" w:lineRule="exact"/>
              <w:rPr>
                <w:sz w:val="20"/>
                <w:szCs w:val="20"/>
                <w:color w:val="auto"/>
              </w:rPr>
            </w:pPr>
            <w:r>
              <w:rPr>
                <w:rFonts w:ascii="Arial" w:cs="Arial" w:eastAsia="Arial" w:hAnsi="Arial"/>
                <w:sz w:val="18"/>
                <w:szCs w:val="18"/>
                <w:color w:val="auto"/>
              </w:rPr>
              <w:t>3,053</w:t>
            </w:r>
          </w:p>
        </w:tc>
      </w:tr>
      <w:tr>
        <w:trPr>
          <w:trHeight w:val="203"/>
        </w:trPr>
        <w:tc>
          <w:tcPr>
            <w:tcW w:w="6760" w:type="dxa"/>
            <w:vAlign w:val="bottom"/>
          </w:tcPr>
          <w:p>
            <w:pPr>
              <w:spacing w:after="0" w:line="202" w:lineRule="exact"/>
              <w:rPr>
                <w:sz w:val="20"/>
                <w:szCs w:val="20"/>
                <w:color w:val="auto"/>
              </w:rPr>
            </w:pPr>
            <w:r>
              <w:rPr>
                <w:rFonts w:ascii="Arial" w:cs="Arial" w:eastAsia="Arial" w:hAnsi="Arial"/>
                <w:sz w:val="18"/>
                <w:szCs w:val="18"/>
                <w:color w:val="auto"/>
              </w:rPr>
              <w:t>Other long-term liabilities reflected on the balance sheet:</w:t>
            </w:r>
          </w:p>
        </w:tc>
        <w:tc>
          <w:tcPr>
            <w:tcW w:w="114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62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580" w:type="dxa"/>
            <w:vAlign w:val="bottom"/>
          </w:tcPr>
          <w:p>
            <w:pPr>
              <w:spacing w:after="0"/>
              <w:rPr>
                <w:sz w:val="17"/>
                <w:szCs w:val="17"/>
                <w:color w:val="auto"/>
              </w:rPr>
            </w:pPr>
          </w:p>
        </w:tc>
      </w:tr>
      <w:tr>
        <w:trPr>
          <w:trHeight w:val="203"/>
        </w:trPr>
        <w:tc>
          <w:tcPr>
            <w:tcW w:w="6760" w:type="dxa"/>
            <w:vAlign w:val="bottom"/>
          </w:tcPr>
          <w:p>
            <w:pPr>
              <w:spacing w:after="0" w:line="203" w:lineRule="exact"/>
              <w:rPr>
                <w:sz w:val="20"/>
                <w:szCs w:val="20"/>
                <w:color w:val="auto"/>
              </w:rPr>
            </w:pPr>
            <w:r>
              <w:rPr>
                <w:rFonts w:ascii="Arial" w:cs="Arial" w:eastAsia="Arial" w:hAnsi="Arial"/>
                <w:sz w:val="18"/>
                <w:szCs w:val="18"/>
                <w:color w:val="auto"/>
              </w:rPr>
              <w:t>Acquisition-related obligations</w:t>
            </w:r>
            <w:r>
              <w:rPr>
                <w:rFonts w:ascii="Arial" w:cs="Arial" w:eastAsia="Arial" w:hAnsi="Arial"/>
                <w:sz w:val="22"/>
                <w:szCs w:val="22"/>
                <w:color w:val="auto"/>
                <w:vertAlign w:val="superscript"/>
              </w:rPr>
              <w:t>(c)</w:t>
            </w:r>
          </w:p>
        </w:tc>
        <w:tc>
          <w:tcPr>
            <w:tcW w:w="1140" w:type="dxa"/>
            <w:vAlign w:val="bottom"/>
          </w:tcPr>
          <w:p>
            <w:pPr>
              <w:jc w:val="right"/>
              <w:ind w:right="75"/>
              <w:spacing w:after="0" w:line="202" w:lineRule="exact"/>
              <w:rPr>
                <w:sz w:val="20"/>
                <w:szCs w:val="20"/>
                <w:color w:val="auto"/>
              </w:rPr>
            </w:pPr>
            <w:r>
              <w:rPr>
                <w:rFonts w:ascii="Arial" w:cs="Arial" w:eastAsia="Arial" w:hAnsi="Arial"/>
                <w:sz w:val="18"/>
                <w:szCs w:val="18"/>
                <w:color w:val="auto"/>
              </w:rPr>
              <w:t>364</w:t>
            </w:r>
          </w:p>
        </w:tc>
        <w:tc>
          <w:tcPr>
            <w:tcW w:w="260" w:type="dxa"/>
            <w:vAlign w:val="bottom"/>
          </w:tcPr>
          <w:p>
            <w:pPr>
              <w:spacing w:after="0"/>
              <w:rPr>
                <w:sz w:val="17"/>
                <w:szCs w:val="17"/>
                <w:color w:val="auto"/>
              </w:rPr>
            </w:pPr>
          </w:p>
        </w:tc>
        <w:tc>
          <w:tcPr>
            <w:tcW w:w="620" w:type="dxa"/>
            <w:vAlign w:val="bottom"/>
          </w:tcPr>
          <w:p>
            <w:pPr>
              <w:jc w:val="right"/>
              <w:ind w:right="77"/>
              <w:spacing w:after="0" w:line="202" w:lineRule="exact"/>
              <w:rPr>
                <w:sz w:val="20"/>
                <w:szCs w:val="20"/>
                <w:color w:val="auto"/>
              </w:rPr>
            </w:pPr>
            <w:r>
              <w:rPr>
                <w:rFonts w:ascii="Arial" w:cs="Arial" w:eastAsia="Arial" w:hAnsi="Arial"/>
                <w:sz w:val="18"/>
                <w:szCs w:val="18"/>
                <w:color w:val="auto"/>
              </w:rPr>
              <w:t>271</w:t>
            </w:r>
          </w:p>
        </w:tc>
        <w:tc>
          <w:tcPr>
            <w:tcW w:w="880" w:type="dxa"/>
            <w:vAlign w:val="bottom"/>
          </w:tcPr>
          <w:p>
            <w:pPr>
              <w:jc w:val="right"/>
              <w:ind w:right="97"/>
              <w:spacing w:after="0" w:line="202" w:lineRule="exact"/>
              <w:rPr>
                <w:sz w:val="20"/>
                <w:szCs w:val="20"/>
                <w:color w:val="auto"/>
              </w:rPr>
            </w:pPr>
            <w:r>
              <w:rPr>
                <w:rFonts w:ascii="Arial" w:cs="Arial" w:eastAsia="Arial" w:hAnsi="Arial"/>
                <w:sz w:val="18"/>
                <w:szCs w:val="18"/>
                <w:color w:val="auto"/>
              </w:rPr>
              <w:t>75</w:t>
            </w:r>
          </w:p>
        </w:tc>
        <w:tc>
          <w:tcPr>
            <w:tcW w:w="860" w:type="dxa"/>
            <w:vAlign w:val="bottom"/>
          </w:tcPr>
          <w:p>
            <w:pPr>
              <w:jc w:val="right"/>
              <w:ind w:right="77"/>
              <w:spacing w:after="0" w:line="202" w:lineRule="exact"/>
              <w:rPr>
                <w:sz w:val="20"/>
                <w:szCs w:val="20"/>
                <w:color w:val="auto"/>
              </w:rPr>
            </w:pPr>
            <w:r>
              <w:rPr>
                <w:rFonts w:ascii="Arial" w:cs="Arial" w:eastAsia="Arial" w:hAnsi="Arial"/>
                <w:sz w:val="18"/>
                <w:szCs w:val="18"/>
                <w:color w:val="auto"/>
              </w:rPr>
              <w:t>11</w:t>
            </w:r>
          </w:p>
        </w:tc>
        <w:tc>
          <w:tcPr>
            <w:tcW w:w="320" w:type="dxa"/>
            <w:vAlign w:val="bottom"/>
          </w:tcPr>
          <w:p>
            <w:pPr>
              <w:spacing w:after="0"/>
              <w:rPr>
                <w:sz w:val="17"/>
                <w:szCs w:val="17"/>
                <w:color w:val="auto"/>
              </w:rPr>
            </w:pPr>
          </w:p>
        </w:tc>
        <w:tc>
          <w:tcPr>
            <w:tcW w:w="580" w:type="dxa"/>
            <w:vAlign w:val="bottom"/>
          </w:tcPr>
          <w:p>
            <w:pPr>
              <w:jc w:val="right"/>
              <w:spacing w:after="0" w:line="202" w:lineRule="exact"/>
              <w:rPr>
                <w:sz w:val="20"/>
                <w:szCs w:val="20"/>
                <w:color w:val="auto"/>
              </w:rPr>
            </w:pPr>
            <w:r>
              <w:rPr>
                <w:rFonts w:ascii="Arial" w:cs="Arial" w:eastAsia="Arial" w:hAnsi="Arial"/>
                <w:sz w:val="18"/>
                <w:szCs w:val="18"/>
                <w:color w:val="auto"/>
              </w:rPr>
              <w:t>7</w:t>
            </w:r>
          </w:p>
        </w:tc>
      </w:tr>
      <w:tr>
        <w:trPr>
          <w:trHeight w:val="199"/>
        </w:trPr>
        <w:tc>
          <w:tcPr>
            <w:tcW w:w="6760" w:type="dxa"/>
            <w:vAlign w:val="bottom"/>
            <w:tcBorders>
              <w:bottom w:val="single" w:sz="8" w:color="auto"/>
            </w:tcBorders>
          </w:tcPr>
          <w:p>
            <w:pPr>
              <w:spacing w:after="0" w:line="200" w:lineRule="exact"/>
              <w:rPr>
                <w:sz w:val="20"/>
                <w:szCs w:val="20"/>
                <w:color w:val="auto"/>
              </w:rPr>
            </w:pPr>
            <w:r>
              <w:rPr>
                <w:rFonts w:ascii="Arial" w:cs="Arial" w:eastAsia="Arial" w:hAnsi="Arial"/>
                <w:sz w:val="18"/>
                <w:szCs w:val="18"/>
                <w:color w:val="auto"/>
              </w:rPr>
              <w:t>Other long-term obligations</w:t>
            </w:r>
            <w:r>
              <w:rPr>
                <w:rFonts w:ascii="Arial" w:cs="Arial" w:eastAsia="Arial" w:hAnsi="Arial"/>
                <w:sz w:val="22"/>
                <w:szCs w:val="22"/>
                <w:color w:val="auto"/>
                <w:vertAlign w:val="superscript"/>
              </w:rPr>
              <w:t>(d)</w:t>
            </w:r>
          </w:p>
        </w:tc>
        <w:tc>
          <w:tcPr>
            <w:tcW w:w="1140" w:type="dxa"/>
            <w:vAlign w:val="bottom"/>
            <w:tcBorders>
              <w:bottom w:val="single" w:sz="8" w:color="auto"/>
            </w:tcBorders>
          </w:tcPr>
          <w:p>
            <w:pPr>
              <w:jc w:val="right"/>
              <w:ind w:right="75"/>
              <w:spacing w:after="0" w:line="200" w:lineRule="exact"/>
              <w:rPr>
                <w:sz w:val="20"/>
                <w:szCs w:val="20"/>
                <w:color w:val="auto"/>
              </w:rPr>
            </w:pPr>
            <w:r>
              <w:rPr>
                <w:rFonts w:ascii="Arial" w:cs="Arial" w:eastAsia="Arial" w:hAnsi="Arial"/>
                <w:sz w:val="18"/>
                <w:szCs w:val="18"/>
                <w:color w:val="auto"/>
              </w:rPr>
              <w:t>4,361</w:t>
            </w:r>
          </w:p>
        </w:tc>
        <w:tc>
          <w:tcPr>
            <w:tcW w:w="260" w:type="dxa"/>
            <w:vAlign w:val="bottom"/>
            <w:tcBorders>
              <w:bottom w:val="single" w:sz="8" w:color="auto"/>
            </w:tcBorders>
          </w:tcPr>
          <w:p>
            <w:pPr>
              <w:spacing w:after="0"/>
              <w:rPr>
                <w:sz w:val="17"/>
                <w:szCs w:val="17"/>
                <w:color w:val="auto"/>
              </w:rPr>
            </w:pPr>
          </w:p>
        </w:tc>
        <w:tc>
          <w:tcPr>
            <w:tcW w:w="620" w:type="dxa"/>
            <w:vAlign w:val="bottom"/>
            <w:tcBorders>
              <w:bottom w:val="single" w:sz="8" w:color="auto"/>
            </w:tcBorders>
          </w:tcPr>
          <w:p>
            <w:pPr>
              <w:jc w:val="right"/>
              <w:ind w:right="77"/>
              <w:spacing w:after="0" w:line="200" w:lineRule="exact"/>
              <w:rPr>
                <w:sz w:val="20"/>
                <w:szCs w:val="20"/>
                <w:color w:val="auto"/>
              </w:rPr>
            </w:pPr>
            <w:r>
              <w:rPr>
                <w:rFonts w:ascii="Arial" w:cs="Arial" w:eastAsia="Arial" w:hAnsi="Arial"/>
                <w:sz w:val="18"/>
                <w:szCs w:val="18"/>
                <w:color w:val="auto"/>
              </w:rPr>
              <w:t>283</w:t>
            </w:r>
          </w:p>
        </w:tc>
        <w:tc>
          <w:tcPr>
            <w:tcW w:w="880" w:type="dxa"/>
            <w:vAlign w:val="bottom"/>
            <w:tcBorders>
              <w:bottom w:val="single" w:sz="8" w:color="auto"/>
            </w:tcBorders>
          </w:tcPr>
          <w:p>
            <w:pPr>
              <w:jc w:val="right"/>
              <w:ind w:right="97"/>
              <w:spacing w:after="0" w:line="200" w:lineRule="exact"/>
              <w:rPr>
                <w:sz w:val="20"/>
                <w:szCs w:val="20"/>
                <w:color w:val="auto"/>
              </w:rPr>
            </w:pPr>
            <w:r>
              <w:rPr>
                <w:rFonts w:ascii="Arial" w:cs="Arial" w:eastAsia="Arial" w:hAnsi="Arial"/>
                <w:sz w:val="18"/>
                <w:szCs w:val="18"/>
                <w:color w:val="auto"/>
              </w:rPr>
              <w:t>449</w:t>
            </w:r>
          </w:p>
        </w:tc>
        <w:tc>
          <w:tcPr>
            <w:tcW w:w="860" w:type="dxa"/>
            <w:vAlign w:val="bottom"/>
            <w:tcBorders>
              <w:bottom w:val="single" w:sz="8" w:color="auto"/>
            </w:tcBorders>
          </w:tcPr>
          <w:p>
            <w:pPr>
              <w:jc w:val="right"/>
              <w:ind w:right="77"/>
              <w:spacing w:after="0" w:line="200" w:lineRule="exact"/>
              <w:rPr>
                <w:sz w:val="20"/>
                <w:szCs w:val="20"/>
                <w:color w:val="auto"/>
              </w:rPr>
            </w:pPr>
            <w:r>
              <w:rPr>
                <w:rFonts w:ascii="Arial" w:cs="Arial" w:eastAsia="Arial" w:hAnsi="Arial"/>
                <w:sz w:val="18"/>
                <w:szCs w:val="18"/>
                <w:color w:val="auto"/>
              </w:rPr>
              <w:t>207</w:t>
            </w:r>
          </w:p>
        </w:tc>
        <w:tc>
          <w:tcPr>
            <w:tcW w:w="320" w:type="dxa"/>
            <w:vAlign w:val="bottom"/>
            <w:tcBorders>
              <w:bottom w:val="single" w:sz="8" w:color="auto"/>
            </w:tcBorders>
          </w:tcPr>
          <w:p>
            <w:pPr>
              <w:spacing w:after="0"/>
              <w:rPr>
                <w:sz w:val="17"/>
                <w:szCs w:val="17"/>
                <w:color w:val="auto"/>
              </w:rPr>
            </w:pPr>
          </w:p>
        </w:tc>
        <w:tc>
          <w:tcPr>
            <w:tcW w:w="580" w:type="dxa"/>
            <w:vAlign w:val="bottom"/>
            <w:tcBorders>
              <w:bottom w:val="single" w:sz="8" w:color="auto"/>
            </w:tcBorders>
          </w:tcPr>
          <w:p>
            <w:pPr>
              <w:jc w:val="right"/>
              <w:spacing w:after="0" w:line="200" w:lineRule="exact"/>
              <w:rPr>
                <w:sz w:val="20"/>
                <w:szCs w:val="20"/>
                <w:color w:val="auto"/>
              </w:rPr>
            </w:pPr>
            <w:r>
              <w:rPr>
                <w:rFonts w:ascii="Arial" w:cs="Arial" w:eastAsia="Arial" w:hAnsi="Arial"/>
                <w:sz w:val="18"/>
                <w:szCs w:val="18"/>
                <w:color w:val="auto"/>
              </w:rPr>
              <w:t>3,422</w:t>
            </w:r>
          </w:p>
        </w:tc>
      </w:tr>
      <w:tr>
        <w:trPr>
          <w:trHeight w:val="196"/>
        </w:trPr>
        <w:tc>
          <w:tcPr>
            <w:tcW w:w="6760" w:type="dxa"/>
            <w:vAlign w:val="bottom"/>
            <w:tcBorders>
              <w:bottom w:val="single" w:sz="8" w:color="35BF85"/>
            </w:tcBorders>
          </w:tcPr>
          <w:p>
            <w:pPr>
              <w:spacing w:after="0" w:line="196" w:lineRule="exact"/>
              <w:rPr>
                <w:sz w:val="20"/>
                <w:szCs w:val="20"/>
                <w:color w:val="auto"/>
              </w:rPr>
            </w:pPr>
            <w:r>
              <w:rPr>
                <w:rFonts w:ascii="Arial" w:cs="Arial" w:eastAsia="Arial" w:hAnsi="Arial"/>
                <w:sz w:val="18"/>
                <w:szCs w:val="18"/>
                <w:color w:val="auto"/>
              </w:rPr>
              <w:t>Total</w:t>
            </w:r>
          </w:p>
        </w:tc>
        <w:tc>
          <w:tcPr>
            <w:tcW w:w="1140" w:type="dxa"/>
            <w:vAlign w:val="bottom"/>
            <w:tcBorders>
              <w:bottom w:val="single" w:sz="8" w:color="35BF85"/>
            </w:tcBorders>
          </w:tcPr>
          <w:p>
            <w:pPr>
              <w:jc w:val="right"/>
              <w:ind w:right="75"/>
              <w:spacing w:after="0" w:line="196" w:lineRule="exact"/>
              <w:rPr>
                <w:sz w:val="20"/>
                <w:szCs w:val="20"/>
                <w:color w:val="auto"/>
              </w:rPr>
            </w:pPr>
            <w:r>
              <w:rPr>
                <w:rFonts w:ascii="Arial" w:cs="Arial" w:eastAsia="Arial" w:hAnsi="Arial"/>
                <w:sz w:val="18"/>
                <w:szCs w:val="18"/>
                <w:color w:val="auto"/>
              </w:rPr>
              <w:t>$47,382</w:t>
            </w:r>
          </w:p>
        </w:tc>
        <w:tc>
          <w:tcPr>
            <w:tcW w:w="260" w:type="dxa"/>
            <w:vAlign w:val="bottom"/>
            <w:tcBorders>
              <w:bottom w:val="single" w:sz="8" w:color="35BF85"/>
            </w:tcBorders>
          </w:tcPr>
          <w:p>
            <w:pPr>
              <w:jc w:val="right"/>
              <w:spacing w:after="0" w:line="196" w:lineRule="exact"/>
              <w:rPr>
                <w:sz w:val="20"/>
                <w:szCs w:val="20"/>
                <w:color w:val="auto"/>
              </w:rPr>
            </w:pPr>
            <w:r>
              <w:rPr>
                <w:rFonts w:ascii="Arial" w:cs="Arial" w:eastAsia="Arial" w:hAnsi="Arial"/>
                <w:sz w:val="18"/>
                <w:szCs w:val="18"/>
                <w:color w:val="auto"/>
              </w:rPr>
              <w:t>$</w:t>
            </w:r>
          </w:p>
        </w:tc>
        <w:tc>
          <w:tcPr>
            <w:tcW w:w="620" w:type="dxa"/>
            <w:vAlign w:val="bottom"/>
            <w:tcBorders>
              <w:bottom w:val="single" w:sz="8" w:color="35BF85"/>
            </w:tcBorders>
          </w:tcPr>
          <w:p>
            <w:pPr>
              <w:jc w:val="right"/>
              <w:ind w:right="77"/>
              <w:spacing w:after="0" w:line="196" w:lineRule="exact"/>
              <w:rPr>
                <w:sz w:val="20"/>
                <w:szCs w:val="20"/>
                <w:color w:val="auto"/>
              </w:rPr>
            </w:pPr>
            <w:r>
              <w:rPr>
                <w:rFonts w:ascii="Arial" w:cs="Arial" w:eastAsia="Arial" w:hAnsi="Arial"/>
                <w:sz w:val="18"/>
                <w:szCs w:val="18"/>
                <w:color w:val="auto"/>
                <w:w w:val="97"/>
              </w:rPr>
              <w:t>5,638</w:t>
            </w:r>
          </w:p>
        </w:tc>
        <w:tc>
          <w:tcPr>
            <w:tcW w:w="880" w:type="dxa"/>
            <w:vAlign w:val="bottom"/>
            <w:tcBorders>
              <w:bottom w:val="single" w:sz="8" w:color="35BF85"/>
            </w:tcBorders>
          </w:tcPr>
          <w:p>
            <w:pPr>
              <w:jc w:val="right"/>
              <w:ind w:right="97"/>
              <w:spacing w:after="0" w:line="196" w:lineRule="exact"/>
              <w:rPr>
                <w:sz w:val="20"/>
                <w:szCs w:val="20"/>
                <w:color w:val="auto"/>
              </w:rPr>
            </w:pPr>
            <w:r>
              <w:rPr>
                <w:rFonts w:ascii="Arial" w:cs="Arial" w:eastAsia="Arial" w:hAnsi="Arial"/>
                <w:sz w:val="18"/>
                <w:szCs w:val="18"/>
                <w:color w:val="auto"/>
              </w:rPr>
              <w:t>$7,989</w:t>
            </w:r>
          </w:p>
        </w:tc>
        <w:tc>
          <w:tcPr>
            <w:tcW w:w="860" w:type="dxa"/>
            <w:vAlign w:val="bottom"/>
            <w:tcBorders>
              <w:bottom w:val="single" w:sz="8" w:color="35BF85"/>
            </w:tcBorders>
          </w:tcPr>
          <w:p>
            <w:pPr>
              <w:jc w:val="right"/>
              <w:ind w:right="77"/>
              <w:spacing w:after="0" w:line="196" w:lineRule="exact"/>
              <w:rPr>
                <w:sz w:val="20"/>
                <w:szCs w:val="20"/>
                <w:color w:val="auto"/>
              </w:rPr>
            </w:pPr>
            <w:r>
              <w:rPr>
                <w:rFonts w:ascii="Arial" w:cs="Arial" w:eastAsia="Arial" w:hAnsi="Arial"/>
                <w:sz w:val="18"/>
                <w:szCs w:val="18"/>
                <w:color w:val="auto"/>
              </w:rPr>
              <w:t>$5,707</w:t>
            </w:r>
          </w:p>
        </w:tc>
        <w:tc>
          <w:tcPr>
            <w:tcW w:w="320" w:type="dxa"/>
            <w:vAlign w:val="bottom"/>
            <w:tcBorders>
              <w:bottom w:val="single" w:sz="8" w:color="35BF85"/>
            </w:tcBorders>
          </w:tcPr>
          <w:p>
            <w:pPr>
              <w:ind w:left="180"/>
              <w:spacing w:after="0" w:line="196" w:lineRule="exact"/>
              <w:rPr>
                <w:sz w:val="20"/>
                <w:szCs w:val="20"/>
                <w:color w:val="auto"/>
              </w:rPr>
            </w:pPr>
            <w:r>
              <w:rPr>
                <w:rFonts w:ascii="Arial" w:cs="Arial" w:eastAsia="Arial" w:hAnsi="Arial"/>
                <w:sz w:val="18"/>
                <w:szCs w:val="18"/>
                <w:color w:val="auto"/>
              </w:rPr>
              <w:t>$</w:t>
            </w:r>
          </w:p>
        </w:tc>
        <w:tc>
          <w:tcPr>
            <w:tcW w:w="580" w:type="dxa"/>
            <w:vAlign w:val="bottom"/>
            <w:tcBorders>
              <w:bottom w:val="single" w:sz="8" w:color="35BF85"/>
            </w:tcBorders>
          </w:tcPr>
          <w:p>
            <w:pPr>
              <w:jc w:val="right"/>
              <w:spacing w:after="0" w:line="196" w:lineRule="exact"/>
              <w:rPr>
                <w:sz w:val="20"/>
                <w:szCs w:val="20"/>
                <w:color w:val="auto"/>
              </w:rPr>
            </w:pPr>
            <w:r>
              <w:rPr>
                <w:rFonts w:ascii="Arial" w:cs="Arial" w:eastAsia="Arial" w:hAnsi="Arial"/>
                <w:sz w:val="18"/>
                <w:szCs w:val="18"/>
                <w:color w:val="auto"/>
              </w:rPr>
              <w:t>28,048</w:t>
            </w:r>
          </w:p>
        </w:tc>
      </w:tr>
    </w:tbl>
    <w:p>
      <w:pPr>
        <w:spacing w:after="0" w:line="165" w:lineRule="exact"/>
        <w:rPr>
          <w:rFonts w:ascii="Arial" w:cs="Arial" w:eastAsia="Arial" w:hAnsi="Arial"/>
          <w:sz w:val="18"/>
          <w:szCs w:val="18"/>
          <w:color w:val="auto"/>
        </w:rPr>
      </w:pPr>
    </w:p>
    <w:p>
      <w:pPr>
        <w:spacing w:after="0"/>
        <w:rPr>
          <w:rFonts w:ascii="Arial" w:cs="Arial" w:eastAsia="Arial" w:hAnsi="Arial"/>
          <w:sz w:val="18"/>
          <w:szCs w:val="18"/>
          <w:color w:val="auto"/>
        </w:rPr>
      </w:pPr>
      <w:r>
        <w:rPr>
          <w:rFonts w:ascii="Arial" w:cs="Arial" w:eastAsia="Arial" w:hAnsi="Arial"/>
          <w:sz w:val="18"/>
          <w:szCs w:val="18"/>
          <w:color w:val="auto"/>
        </w:rPr>
        <w:t xml:space="preserve">Refer to </w:t>
      </w:r>
      <w:hyperlink w:anchor="page132">
        <w:r>
          <w:rPr>
            <w:rFonts w:ascii="Arial" w:cs="Arial" w:eastAsia="Arial" w:hAnsi="Arial"/>
            <w:sz w:val="18"/>
            <w:szCs w:val="18"/>
            <w:u w:val="single" w:color="auto"/>
            <w:color w:val="0000EE"/>
          </w:rPr>
          <w:t>Note 8</w:t>
        </w:r>
        <w:r>
          <w:rPr>
            <w:rFonts w:ascii="Arial" w:cs="Arial" w:eastAsia="Arial" w:hAnsi="Arial"/>
            <w:sz w:val="18"/>
            <w:szCs w:val="18"/>
            <w:u w:val="single" w:color="auto"/>
            <w:color w:val="auto"/>
          </w:rPr>
          <w:t xml:space="preserve"> </w:t>
        </w:r>
      </w:hyperlink>
      <w:r>
        <w:rPr>
          <w:rFonts w:ascii="Arial" w:cs="Arial" w:eastAsia="Arial" w:hAnsi="Arial"/>
          <w:sz w:val="18"/>
          <w:szCs w:val="18"/>
          <w:color w:val="auto"/>
        </w:rPr>
        <w:t xml:space="preserve">(long-term debt) and </w:t>
      </w:r>
      <w:hyperlink w:anchor="page141">
        <w:r>
          <w:rPr>
            <w:rFonts w:ascii="Arial" w:cs="Arial" w:eastAsia="Arial" w:hAnsi="Arial"/>
            <w:sz w:val="18"/>
            <w:szCs w:val="18"/>
            <w:u w:val="single" w:color="auto"/>
            <w:color w:val="0000EE"/>
          </w:rPr>
          <w:t>Note 13</w:t>
        </w:r>
        <w:r>
          <w:rPr>
            <w:rFonts w:ascii="Arial" w:cs="Arial" w:eastAsia="Arial" w:hAnsi="Arial"/>
            <w:sz w:val="18"/>
            <w:szCs w:val="18"/>
            <w:u w:val="single" w:color="auto"/>
            <w:color w:val="auto"/>
          </w:rPr>
          <w:t xml:space="preserve"> </w:t>
        </w:r>
      </w:hyperlink>
      <w:r>
        <w:rPr>
          <w:rFonts w:ascii="Arial" w:cs="Arial" w:eastAsia="Arial" w:hAnsi="Arial"/>
          <w:sz w:val="18"/>
          <w:szCs w:val="18"/>
          <w:color w:val="auto"/>
        </w:rPr>
        <w:t>(commitments) to our consolidated financial statements.</w:t>
      </w:r>
    </w:p>
    <w:p>
      <w:pPr>
        <w:spacing w:after="0" w:line="73" w:lineRule="exact"/>
        <w:rPr>
          <w:sz w:val="20"/>
          <w:szCs w:val="20"/>
          <w:color w:val="auto"/>
        </w:rPr>
      </w:pPr>
    </w:p>
    <w:p>
      <w:pPr>
        <w:ind w:left="220" w:hanging="212"/>
        <w:spacing w:after="0"/>
        <w:tabs>
          <w:tab w:leader="none" w:pos="220" w:val="left"/>
        </w:tabs>
        <w:numPr>
          <w:ilvl w:val="0"/>
          <w:numId w:val="85"/>
        </w:numPr>
        <w:rPr>
          <w:rFonts w:ascii="Arial" w:cs="Arial" w:eastAsia="Arial" w:hAnsi="Arial"/>
          <w:sz w:val="14"/>
          <w:szCs w:val="14"/>
          <w:color w:val="auto"/>
        </w:rPr>
      </w:pPr>
      <w:r>
        <w:rPr>
          <w:rFonts w:ascii="Arial" w:cs="Arial" w:eastAsia="Arial" w:hAnsi="Arial"/>
          <w:sz w:val="14"/>
          <w:szCs w:val="14"/>
          <w:color w:val="auto"/>
        </w:rPr>
        <w:t>Excludes interest payments.</w:t>
      </w:r>
    </w:p>
    <w:p>
      <w:pPr>
        <w:spacing w:after="0" w:line="68" w:lineRule="exact"/>
        <w:rPr>
          <w:rFonts w:ascii="Arial" w:cs="Arial" w:eastAsia="Arial" w:hAnsi="Arial"/>
          <w:sz w:val="14"/>
          <w:szCs w:val="14"/>
          <w:color w:val="auto"/>
        </w:rPr>
      </w:pPr>
    </w:p>
    <w:p>
      <w:pPr>
        <w:jc w:val="both"/>
        <w:ind w:firstLine="8"/>
        <w:spacing w:after="0" w:line="272" w:lineRule="auto"/>
        <w:tabs>
          <w:tab w:leader="none" w:pos="215" w:val="left"/>
        </w:tabs>
        <w:numPr>
          <w:ilvl w:val="0"/>
          <w:numId w:val="85"/>
        </w:numPr>
        <w:rPr>
          <w:rFonts w:ascii="Arial" w:cs="Arial" w:eastAsia="Arial" w:hAnsi="Arial"/>
          <w:sz w:val="12"/>
          <w:szCs w:val="12"/>
          <w:color w:val="auto"/>
        </w:rPr>
      </w:pPr>
      <w:r>
        <w:rPr>
          <w:rFonts w:ascii="Arial" w:cs="Arial" w:eastAsia="Arial" w:hAnsi="Arial"/>
          <w:sz w:val="12"/>
          <w:szCs w:val="12"/>
          <w:color w:val="auto"/>
        </w:rPr>
        <w:t>Purchase obligations consist of agreements to purchase goods and services that are legally binding on us and specify all significant terms, including fixed or minimum quantities to be purchased and price provisions. Our purchase obligations primarily relate to our Cable segment, including contracts with programming networks, customer premise equipment manufacturers, communication vendors, other cable operators for which we provide advertising sales representation, and other contracts entered into in the normal course of business. We also have purchase obligations through Comcast Spectacor for the players and coaches of our professional sports teams. We did not include contracts with immaterial future commitments.</w:t>
      </w:r>
    </w:p>
    <w:p>
      <w:pPr>
        <w:spacing w:after="0" w:line="49" w:lineRule="exact"/>
        <w:rPr>
          <w:rFonts w:ascii="Arial" w:cs="Arial" w:eastAsia="Arial" w:hAnsi="Arial"/>
          <w:sz w:val="12"/>
          <w:szCs w:val="12"/>
          <w:color w:val="auto"/>
        </w:rPr>
      </w:pPr>
    </w:p>
    <w:p>
      <w:pPr>
        <w:ind w:firstLine="8"/>
        <w:spacing w:after="0" w:line="231" w:lineRule="auto"/>
        <w:tabs>
          <w:tab w:leader="none" w:pos="200" w:val="left"/>
        </w:tabs>
        <w:numPr>
          <w:ilvl w:val="0"/>
          <w:numId w:val="85"/>
        </w:numPr>
        <w:rPr>
          <w:rFonts w:ascii="Arial" w:cs="Arial" w:eastAsia="Arial" w:hAnsi="Arial"/>
          <w:sz w:val="14"/>
          <w:szCs w:val="14"/>
          <w:color w:val="auto"/>
        </w:rPr>
      </w:pPr>
      <w:r>
        <w:rPr>
          <w:rFonts w:ascii="Arial" w:cs="Arial" w:eastAsia="Arial" w:hAnsi="Arial"/>
          <w:sz w:val="14"/>
          <w:szCs w:val="14"/>
          <w:color w:val="auto"/>
        </w:rPr>
        <w:t>Acquisition-related obligations consist primarily of costs related to terminated employees, costs relating to exiting contractual obligations, and other assumed contractual obligations of the acquired entity.</w:t>
      </w:r>
    </w:p>
    <w:p>
      <w:pPr>
        <w:spacing w:after="0" w:line="68" w:lineRule="exact"/>
        <w:rPr>
          <w:rFonts w:ascii="Arial" w:cs="Arial" w:eastAsia="Arial" w:hAnsi="Arial"/>
          <w:sz w:val="14"/>
          <w:szCs w:val="14"/>
          <w:color w:val="auto"/>
        </w:rPr>
      </w:pPr>
    </w:p>
    <w:p>
      <w:pPr>
        <w:ind w:firstLine="8"/>
        <w:spacing w:after="0" w:line="231" w:lineRule="auto"/>
        <w:tabs>
          <w:tab w:leader="none" w:pos="203" w:val="left"/>
        </w:tabs>
        <w:numPr>
          <w:ilvl w:val="0"/>
          <w:numId w:val="85"/>
        </w:numPr>
        <w:rPr>
          <w:rFonts w:ascii="Arial" w:cs="Arial" w:eastAsia="Arial" w:hAnsi="Arial"/>
          <w:sz w:val="14"/>
          <w:szCs w:val="14"/>
          <w:color w:val="auto"/>
        </w:rPr>
      </w:pPr>
      <w:r>
        <w:rPr>
          <w:rFonts w:ascii="Arial" w:cs="Arial" w:eastAsia="Arial" w:hAnsi="Arial"/>
          <w:sz w:val="14"/>
          <w:szCs w:val="14"/>
          <w:color w:val="auto"/>
        </w:rPr>
        <w:t>Other long-term obligations consist primarily of our prepaid forward sales transactions of equity securities we hold, subsidiary preferred shares, deferred compensation obligations, pension, postretirement and postemployment benefit obligations, and programming rights payable under license agreements.</w:t>
      </w:r>
    </w:p>
    <w:p>
      <w:pPr>
        <w:sectPr>
          <w:pgSz w:w="11900" w:h="16838" w:orient="portrait"/>
          <w:cols w:equalWidth="0" w:num="1">
            <w:col w:w="11420"/>
          </w:cols>
          <w:pgMar w:left="240" w:top="459" w:right="239" w:bottom="1440" w:gutter="0" w:footer="0" w:header="0"/>
          <w:type w:val="continuous"/>
        </w:sectPr>
      </w:pPr>
    </w:p>
    <w:p>
      <w:pPr>
        <w:spacing w:after="0" w:line="194" w:lineRule="exact"/>
        <w:rPr>
          <w:sz w:val="20"/>
          <w:szCs w:val="20"/>
          <w:color w:val="auto"/>
        </w:rPr>
      </w:pPr>
    </w:p>
    <w:p>
      <w:pPr>
        <w:spacing w:after="0"/>
        <w:rPr>
          <w:sz w:val="20"/>
          <w:szCs w:val="20"/>
          <w:color w:val="auto"/>
        </w:rPr>
      </w:pPr>
      <w:r>
        <w:rPr>
          <w:rFonts w:ascii="Arial" w:cs="Arial" w:eastAsia="Arial" w:hAnsi="Arial"/>
          <w:sz w:val="18"/>
          <w:szCs w:val="18"/>
          <w:color w:val="35BF85"/>
        </w:rPr>
        <w:t>Off-Balance Sheet Arrangements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63500</wp:posOffset>
            </wp:positionV>
            <wp:extent cx="3481705" cy="8890"/>
            <wp:wrapNone/>
            <wp:docPr id="166" name="Picture 1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6"/>
                    <pic:cNvPicPr>
                      <a:picLocks noChangeAspect="1" noChangeArrowheads="1"/>
                    </pic:cNvPicPr>
                  </pic:nvPicPr>
                  <pic:blipFill>
                    <a:blip r:embed="rId173">
                      <a:extLst>
                        <a:ext uri="{28A0092B-C50C-407E-A947-70E740481C1C}"/>
                      </a:extLst>
                    </a:blip>
                    <a:srcRect/>
                    <a:stretch>
                      <a:fillRect/>
                    </a:stretch>
                  </pic:blipFill>
                  <pic:spPr bwMode="auto">
                    <a:xfrm>
                      <a:off x="0" y="0"/>
                      <a:ext cx="3481705" cy="8890"/>
                    </a:xfrm>
                    <a:prstGeom prst="rect">
                      <a:avLst/>
                    </a:prstGeom>
                    <a:noFill/>
                  </pic:spPr>
                </pic:pic>
              </a:graphicData>
            </a:graphic>
          </wp:anchor>
        </w:drawing>
      </w:r>
    </w:p>
    <w:p>
      <w:pPr>
        <w:spacing w:after="0" w:line="259" w:lineRule="exact"/>
        <w:rPr>
          <w:sz w:val="20"/>
          <w:szCs w:val="20"/>
          <w:color w:val="auto"/>
        </w:rPr>
      </w:pPr>
    </w:p>
    <w:p>
      <w:pPr>
        <w:jc w:val="both"/>
        <w:spacing w:after="0" w:line="237" w:lineRule="auto"/>
        <w:rPr>
          <w:sz w:val="20"/>
          <w:szCs w:val="20"/>
          <w:color w:val="auto"/>
        </w:rPr>
      </w:pPr>
      <w:r>
        <w:rPr>
          <w:rFonts w:ascii="Arial" w:cs="Arial" w:eastAsia="Arial" w:hAnsi="Arial"/>
          <w:sz w:val="18"/>
          <w:szCs w:val="18"/>
          <w:color w:val="auto"/>
        </w:rPr>
        <w:t>We do not have any significant off-balance sheet arrangements that are reasonably likely to have a current or future effect on our financial condition, results of operations, liquidity, capital expenditures or capital resources.</w:t>
      </w:r>
    </w:p>
    <w:p>
      <w:pPr>
        <w:spacing w:after="0" w:line="155" w:lineRule="exact"/>
        <w:rPr>
          <w:sz w:val="20"/>
          <w:szCs w:val="20"/>
          <w:color w:val="auto"/>
        </w:rPr>
      </w:pPr>
    </w:p>
    <w:p>
      <w:pPr>
        <w:spacing w:after="0"/>
        <w:rPr>
          <w:sz w:val="20"/>
          <w:szCs w:val="20"/>
          <w:color w:val="auto"/>
        </w:rPr>
      </w:pPr>
      <w:r>
        <w:rPr>
          <w:rFonts w:ascii="Arial" w:cs="Arial" w:eastAsia="Arial" w:hAnsi="Arial"/>
          <w:sz w:val="18"/>
          <w:szCs w:val="18"/>
          <w:color w:val="35BF85"/>
        </w:rPr>
        <w:t>Critical Accounting Judgments and Estimates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63500</wp:posOffset>
            </wp:positionV>
            <wp:extent cx="3481705" cy="8890"/>
            <wp:wrapNone/>
            <wp:docPr id="167" name="Picture 1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7"/>
                    <pic:cNvPicPr>
                      <a:picLocks noChangeAspect="1" noChangeArrowheads="1"/>
                    </pic:cNvPicPr>
                  </pic:nvPicPr>
                  <pic:blipFill>
                    <a:blip r:embed="rId174">
                      <a:extLst>
                        <a:ext uri="{28A0092B-C50C-407E-A947-70E740481C1C}"/>
                      </a:extLst>
                    </a:blip>
                    <a:srcRect/>
                    <a:stretch>
                      <a:fillRect/>
                    </a:stretch>
                  </pic:blipFill>
                  <pic:spPr bwMode="auto">
                    <a:xfrm>
                      <a:off x="0" y="0"/>
                      <a:ext cx="3481705" cy="8890"/>
                    </a:xfrm>
                    <a:prstGeom prst="rect">
                      <a:avLst/>
                    </a:prstGeom>
                    <a:noFill/>
                  </pic:spPr>
                </pic:pic>
              </a:graphicData>
            </a:graphic>
          </wp:anchor>
        </w:drawing>
      </w:r>
    </w:p>
    <w:p>
      <w:pPr>
        <w:spacing w:after="0" w:line="259" w:lineRule="exact"/>
        <w:rPr>
          <w:sz w:val="20"/>
          <w:szCs w:val="20"/>
          <w:color w:val="auto"/>
        </w:rPr>
      </w:pPr>
    </w:p>
    <w:p>
      <w:pPr>
        <w:jc w:val="both"/>
        <w:spacing w:after="0" w:line="235" w:lineRule="auto"/>
        <w:rPr>
          <w:sz w:val="20"/>
          <w:szCs w:val="20"/>
          <w:color w:val="auto"/>
        </w:rPr>
      </w:pPr>
      <w:r>
        <w:rPr>
          <w:rFonts w:ascii="Arial" w:cs="Arial" w:eastAsia="Arial" w:hAnsi="Arial"/>
          <w:sz w:val="18"/>
          <w:szCs w:val="18"/>
          <w:color w:val="auto"/>
        </w:rPr>
        <w:t>The preparation of our financial statements requires us to make estimates that affect the reported amounts of assets, liabilities, revenues and expenses, and related disclosure of contingent assets and contingent liabilities. We base our judgments on historical experience and on various other assumptions that we believe are reasonable under the circumstances, the results of which form the basis for making estimates about the carrying values of assets and liabilities that are not readily apparent from other sources. Actual results may differ from these estimates under different assumptions or conditions.</w:t>
      </w:r>
    </w:p>
    <w:p>
      <w:pPr>
        <w:spacing w:after="0" w:line="20" w:lineRule="exact"/>
        <w:rPr>
          <w:sz w:val="20"/>
          <w:szCs w:val="20"/>
          <w:color w:val="auto"/>
        </w:rPr>
      </w:pPr>
      <w:r>
        <w:rPr>
          <w:sz w:val="20"/>
          <w:szCs w:val="20"/>
          <w:color w:val="auto"/>
        </w:rPr>
        <w:br w:type="column"/>
      </w:r>
    </w:p>
    <w:p>
      <w:pPr>
        <w:spacing w:after="0" w:line="174" w:lineRule="exact"/>
        <w:rPr>
          <w:sz w:val="20"/>
          <w:szCs w:val="20"/>
          <w:color w:val="auto"/>
        </w:rPr>
      </w:pPr>
    </w:p>
    <w:p>
      <w:pPr>
        <w:jc w:val="both"/>
        <w:ind w:right="120"/>
        <w:spacing w:after="0" w:line="236" w:lineRule="auto"/>
        <w:rPr>
          <w:sz w:val="20"/>
          <w:szCs w:val="20"/>
          <w:color w:val="auto"/>
        </w:rPr>
      </w:pPr>
      <w:r>
        <w:rPr>
          <w:rFonts w:ascii="Arial" w:cs="Arial" w:eastAsia="Arial" w:hAnsi="Arial"/>
          <w:sz w:val="18"/>
          <w:szCs w:val="18"/>
          <w:color w:val="auto"/>
        </w:rPr>
        <w:t>We believe our judgments and related estimates associated with the valuation and impairment testing of our cable franchise rights and the accounting for income taxes and legal contingencies are critical in the preparation of our financial statements. Management has discussed the development and selection of these critical accounting judgments and estimates with the Audit Committee of our Board of Directors, and the Audit Committee has reviewed our disclosures relating to them presented below.</w:t>
      </w:r>
    </w:p>
    <w:p>
      <w:pPr>
        <w:spacing w:after="0" w:line="154" w:lineRule="exact"/>
        <w:rPr>
          <w:sz w:val="20"/>
          <w:szCs w:val="20"/>
          <w:color w:val="auto"/>
        </w:rPr>
      </w:pPr>
    </w:p>
    <w:p>
      <w:pPr>
        <w:jc w:val="both"/>
        <w:ind w:right="120"/>
        <w:spacing w:after="0" w:line="238" w:lineRule="auto"/>
        <w:rPr>
          <w:rFonts w:ascii="Arial" w:cs="Arial" w:eastAsia="Arial" w:hAnsi="Arial"/>
          <w:sz w:val="18"/>
          <w:szCs w:val="18"/>
          <w:color w:val="auto"/>
        </w:rPr>
      </w:pPr>
      <w:r>
        <w:rPr>
          <w:rFonts w:ascii="Arial" w:cs="Arial" w:eastAsia="Arial" w:hAnsi="Arial"/>
          <w:sz w:val="18"/>
          <w:szCs w:val="18"/>
          <w:color w:val="auto"/>
        </w:rPr>
        <w:t xml:space="preserve">Refer to </w:t>
      </w:r>
      <w:hyperlink w:anchor="page120">
        <w:r>
          <w:rPr>
            <w:rFonts w:ascii="Arial" w:cs="Arial" w:eastAsia="Arial" w:hAnsi="Arial"/>
            <w:sz w:val="18"/>
            <w:szCs w:val="18"/>
            <w:u w:val="single" w:color="auto"/>
            <w:color w:val="0000EE"/>
          </w:rPr>
          <w:t>Note 2</w:t>
        </w:r>
        <w:r>
          <w:rPr>
            <w:rFonts w:ascii="Arial" w:cs="Arial" w:eastAsia="Arial" w:hAnsi="Arial"/>
            <w:sz w:val="18"/>
            <w:szCs w:val="18"/>
            <w:u w:val="single" w:color="auto"/>
            <w:color w:val="auto"/>
          </w:rPr>
          <w:t xml:space="preserve"> </w:t>
        </w:r>
      </w:hyperlink>
      <w:r>
        <w:rPr>
          <w:rFonts w:ascii="Arial" w:cs="Arial" w:eastAsia="Arial" w:hAnsi="Arial"/>
          <w:sz w:val="18"/>
          <w:szCs w:val="18"/>
          <w:color w:val="auto"/>
        </w:rPr>
        <w:t>to our consolidated financial statements for a discussion of our accounting policies with respect to these and other items.</w:t>
      </w:r>
    </w:p>
    <w:p>
      <w:pPr>
        <w:spacing w:after="0" w:line="13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Valuation and Impairment Testing of Cable Franchise Rights</w:t>
      </w:r>
    </w:p>
    <w:p>
      <w:pPr>
        <w:spacing w:after="0" w:line="18" w:lineRule="exact"/>
        <w:rPr>
          <w:sz w:val="20"/>
          <w:szCs w:val="20"/>
          <w:color w:val="auto"/>
        </w:rPr>
      </w:pPr>
    </w:p>
    <w:p>
      <w:pPr>
        <w:jc w:val="both"/>
        <w:ind w:right="120"/>
        <w:spacing w:after="0" w:line="275" w:lineRule="auto"/>
        <w:rPr>
          <w:sz w:val="20"/>
          <w:szCs w:val="20"/>
          <w:color w:val="auto"/>
        </w:rPr>
      </w:pPr>
      <w:r>
        <w:rPr>
          <w:rFonts w:ascii="Arial" w:cs="Arial" w:eastAsia="Arial" w:hAnsi="Arial"/>
          <w:sz w:val="16"/>
          <w:szCs w:val="16"/>
          <w:color w:val="auto"/>
        </w:rPr>
        <w:t>Our largest asset, our cable franchise rights, results from agreements we have with state and local governments that allow us to construct and operate a cable business within a specified geographic area. The value of a franchise is derived from the economic</w:t>
      </w:r>
    </w:p>
    <w:p>
      <w:pPr>
        <w:spacing w:after="0" w:line="573" w:lineRule="exact"/>
        <w:rPr>
          <w:sz w:val="20"/>
          <w:szCs w:val="20"/>
          <w:color w:val="auto"/>
        </w:rPr>
      </w:pPr>
    </w:p>
    <w:p>
      <w:pPr>
        <w:sectPr>
          <w:pgSz w:w="11900" w:h="16838" w:orient="portrait"/>
          <w:cols w:equalWidth="0" w:num="2">
            <w:col w:w="5480" w:space="340"/>
            <w:col w:w="5600"/>
          </w:cols>
          <w:pgMar w:left="240" w:top="459" w:right="239" w:bottom="1440" w:gutter="0" w:footer="0" w:header="0"/>
          <w:type w:val="continuous"/>
        </w:sectPr>
      </w:pPr>
    </w:p>
    <w:p>
      <w:pPr>
        <w:spacing w:after="0" w:line="130" w:lineRule="exact"/>
        <w:rPr>
          <w:sz w:val="20"/>
          <w:szCs w:val="20"/>
          <w:color w:val="auto"/>
        </w:rPr>
      </w:pPr>
    </w:p>
    <w:p>
      <w:pPr>
        <w:ind w:left="5680"/>
        <w:spacing w:after="0"/>
        <w:tabs>
          <w:tab w:leader="none" w:pos="9180" w:val="left"/>
        </w:tabs>
        <w:rPr>
          <w:sz w:val="20"/>
          <w:szCs w:val="20"/>
          <w:color w:val="auto"/>
        </w:rPr>
      </w:pPr>
      <w:r>
        <w:rPr>
          <w:rFonts w:ascii="Arial" w:cs="Arial" w:eastAsia="Arial" w:hAnsi="Arial"/>
          <w:sz w:val="12"/>
          <w:szCs w:val="12"/>
          <w:b w:val="1"/>
          <w:bCs w:val="1"/>
          <w:color w:val="auto"/>
        </w:rPr>
        <w:t>35</w:t>
      </w:r>
      <w:r>
        <w:rPr>
          <w:sz w:val="20"/>
          <w:szCs w:val="20"/>
          <w:color w:val="auto"/>
        </w:rPr>
        <w:tab/>
      </w:r>
      <w:r>
        <w:rPr>
          <w:rFonts w:ascii="Arial" w:cs="Arial" w:eastAsia="Arial" w:hAnsi="Arial"/>
          <w:sz w:val="12"/>
          <w:szCs w:val="12"/>
          <w:color w:val="auto"/>
        </w:rPr>
        <w:t xml:space="preserve">Comcast 2006 Annual Report </w:t>
      </w:r>
      <w:r>
        <w:rPr>
          <w:rFonts w:ascii="Arial" w:cs="Arial" w:eastAsia="Arial" w:hAnsi="Arial"/>
          <w:sz w:val="12"/>
          <w:szCs w:val="12"/>
          <w:b w:val="1"/>
          <w:bCs w:val="1"/>
          <w:color w:val="auto"/>
        </w:rPr>
        <w:t>MD&amp;A</w:t>
      </w:r>
    </w:p>
    <w:p>
      <w:pPr>
        <w:sectPr>
          <w:pgSz w:w="11900" w:h="16838" w:orient="portrait"/>
          <w:cols w:equalWidth="0" w:num="1">
            <w:col w:w="11420"/>
          </w:cols>
          <w:pgMar w:left="240" w:top="459" w:right="239" w:bottom="1440" w:gutter="0" w:footer="0" w:header="0"/>
          <w:type w:val="continuous"/>
        </w:sectPr>
      </w:pPr>
    </w:p>
    <w:bookmarkStart w:id="112" w:name="page113"/>
    <w:bookmarkEnd w:id="112"/>
    <w:p>
      <w:pPr>
        <w:spacing w:after="0"/>
        <w:rPr>
          <w:rFonts w:ascii="Arial" w:cs="Arial" w:eastAsia="Arial" w:hAnsi="Arial"/>
          <w:sz w:val="18"/>
          <w:szCs w:val="18"/>
          <w:b w:val="1"/>
          <w:bCs w:val="1"/>
          <w:u w:val="single" w:color="auto"/>
          <w:color w:val="0000EE"/>
        </w:rPr>
      </w:pPr>
      <w:hyperlink w:anchor="page3">
        <w:r>
          <w:rPr>
            <w:rFonts w:ascii="Arial" w:cs="Arial" w:eastAsia="Arial" w:hAnsi="Arial"/>
            <w:sz w:val="18"/>
            <w:szCs w:val="18"/>
            <w:b w:val="1"/>
            <w:bCs w:val="1"/>
            <w:u w:val="single" w:color="auto"/>
            <w:color w:val="0000EE"/>
          </w:rPr>
          <w:t>Table of Contents</w:t>
        </w:r>
      </w:hyperlink>
    </w:p>
    <w:p>
      <w:pPr>
        <w:spacing w:after="0" w:line="200" w:lineRule="exact"/>
        <w:rPr>
          <w:sz w:val="20"/>
          <w:szCs w:val="20"/>
          <w:color w:val="auto"/>
        </w:rPr>
      </w:pPr>
    </w:p>
    <w:p>
      <w:pPr>
        <w:spacing w:after="0" w:line="276" w:lineRule="exact"/>
        <w:rPr>
          <w:sz w:val="20"/>
          <w:szCs w:val="20"/>
          <w:color w:val="auto"/>
        </w:rPr>
      </w:pPr>
    </w:p>
    <w:p>
      <w:pPr>
        <w:jc w:val="both"/>
        <w:spacing w:after="0" w:line="235" w:lineRule="auto"/>
        <w:rPr>
          <w:sz w:val="20"/>
          <w:szCs w:val="20"/>
          <w:color w:val="auto"/>
        </w:rPr>
      </w:pPr>
      <w:r>
        <w:rPr>
          <w:rFonts w:ascii="Arial" w:cs="Arial" w:eastAsia="Arial" w:hAnsi="Arial"/>
          <w:sz w:val="18"/>
          <w:szCs w:val="18"/>
          <w:color w:val="auto"/>
        </w:rPr>
        <w:t>benefits we receive from the right to solicit new subscribers and to market new services such as additional digital cable services, high speed Internet and phone services in a particular service area. The amounts we record for cable franchise rights are primarily the result of cable system acquisitions. Typically when we acquire a cable system, the most significant asset we record is the value of the franchise intangible. Often these cable system acquisitions include multiple franchise areas. We currently serve approximately 6,000 franchise areas in the United States.</w:t>
      </w:r>
    </w:p>
    <w:p>
      <w:pPr>
        <w:spacing w:after="0" w:line="161" w:lineRule="exact"/>
        <w:rPr>
          <w:sz w:val="20"/>
          <w:szCs w:val="20"/>
          <w:color w:val="auto"/>
        </w:rPr>
      </w:pPr>
    </w:p>
    <w:p>
      <w:pPr>
        <w:jc w:val="both"/>
        <w:spacing w:after="0" w:line="269" w:lineRule="auto"/>
        <w:rPr>
          <w:sz w:val="20"/>
          <w:szCs w:val="20"/>
          <w:color w:val="auto"/>
        </w:rPr>
      </w:pPr>
      <w:r>
        <w:rPr>
          <w:rFonts w:ascii="Arial" w:cs="Arial" w:eastAsia="Arial" w:hAnsi="Arial"/>
          <w:sz w:val="16"/>
          <w:szCs w:val="16"/>
          <w:color w:val="auto"/>
        </w:rPr>
        <w:t>We have concluded that our cable franchise rights have an indefinite useful life since there are no legal, regulatory, contractual, competitive, economic or other factors which limit the period over which these rights will contribute to our cash flows. Accordingly, we do not amortize our cable franchise rights but assess the carrying value of our cable franchise rights annually, or more frequently whenever events or changes in circumstances indicate that the carrying amount may exceed its fair value (the “impairment test”) in accordance with SFAS No. 142, “Goodwill and Other Intangible Assets.”</w:t>
      </w:r>
    </w:p>
    <w:p>
      <w:pPr>
        <w:spacing w:after="0" w:line="336" w:lineRule="exact"/>
        <w:rPr>
          <w:sz w:val="20"/>
          <w:szCs w:val="20"/>
          <w:color w:val="auto"/>
        </w:rPr>
      </w:pPr>
    </w:p>
    <w:p>
      <w:pPr>
        <w:jc w:val="both"/>
        <w:spacing w:after="0" w:line="235" w:lineRule="auto"/>
        <w:rPr>
          <w:sz w:val="20"/>
          <w:szCs w:val="20"/>
          <w:color w:val="auto"/>
        </w:rPr>
      </w:pPr>
      <w:r>
        <w:rPr>
          <w:rFonts w:ascii="Arial" w:cs="Arial" w:eastAsia="Arial" w:hAnsi="Arial"/>
          <w:sz w:val="18"/>
          <w:szCs w:val="18"/>
          <w:color w:val="auto"/>
        </w:rPr>
        <w:t>If we determine the value of our cable franchise rights is less than the carrying amount, we recognize an impairment charge for the difference between the estimated fair value and the carrying value of the assets. For the purpose of our impairment testing, we have grouped the recorded values of our various cable franchise rights into geographic regions. We evaluate these groups periodically to ensure impairment testing is performed at an appropriate level. We estimate the fair value of our cable franchise rights primarily based on a discounted cash flow analysis that involves significant judgment in developing individual assumptions for each of the geographic regions, including long-term growth rate and discount rate assumptions. We have not recorded any significant impairment charges as a result of our impairment testing.</w:t>
      </w:r>
    </w:p>
    <w:p>
      <w:pPr>
        <w:spacing w:after="0" w:line="161" w:lineRule="exact"/>
        <w:rPr>
          <w:sz w:val="20"/>
          <w:szCs w:val="20"/>
          <w:color w:val="auto"/>
        </w:rPr>
      </w:pPr>
    </w:p>
    <w:p>
      <w:pPr>
        <w:jc w:val="both"/>
        <w:spacing w:after="0" w:line="235" w:lineRule="auto"/>
        <w:rPr>
          <w:sz w:val="20"/>
          <w:szCs w:val="20"/>
          <w:color w:val="auto"/>
        </w:rPr>
      </w:pPr>
      <w:r>
        <w:rPr>
          <w:rFonts w:ascii="Arial" w:cs="Arial" w:eastAsia="Arial" w:hAnsi="Arial"/>
          <w:sz w:val="18"/>
          <w:szCs w:val="18"/>
          <w:color w:val="auto"/>
        </w:rPr>
        <w:t>We could record impairment charges in the future if there are changes in market conditions, operating results, federal or state regulations, or groupings of the geographic regions in which we test for impairment, in any such case that prevent us from recovering the carrying value of these cable franchise rights. At our last impairment test date, the amounts by which the estimated fair value of our cable franchise rights exceeded the carrying value for our geographic regions ranged from zero to in excess of $2.0 billion. A 10% decline in the estimated fair value of the cable franchise rights for each of these regions would result in an impairment in three of these regions and an impairment charge of approximately $540 million.</w:t>
      </w:r>
    </w:p>
    <w:p>
      <w:pPr>
        <w:spacing w:after="0" w:line="13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Income Taxes</w:t>
      </w:r>
    </w:p>
    <w:p>
      <w:pPr>
        <w:spacing w:after="0" w:line="18" w:lineRule="exact"/>
        <w:rPr>
          <w:sz w:val="20"/>
          <w:szCs w:val="20"/>
          <w:color w:val="auto"/>
        </w:rPr>
      </w:pPr>
    </w:p>
    <w:p>
      <w:pPr>
        <w:jc w:val="both"/>
        <w:spacing w:after="0" w:line="237" w:lineRule="auto"/>
        <w:rPr>
          <w:sz w:val="20"/>
          <w:szCs w:val="20"/>
          <w:color w:val="auto"/>
        </w:rPr>
      </w:pPr>
      <w:r>
        <w:rPr>
          <w:rFonts w:ascii="Arial" w:cs="Arial" w:eastAsia="Arial" w:hAnsi="Arial"/>
          <w:sz w:val="18"/>
          <w:szCs w:val="18"/>
          <w:color w:val="auto"/>
        </w:rPr>
        <w:t>Our provision for income taxes is based on our current period income, changes in deferred income tax assets and liabilities, income tax rates and tax planning opportunities available in the jurisdictions in which we operate. From time to time, we engage</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63" w:lineRule="exact"/>
        <w:rPr>
          <w:sz w:val="20"/>
          <w:szCs w:val="20"/>
          <w:color w:val="auto"/>
        </w:rPr>
      </w:pPr>
    </w:p>
    <w:p>
      <w:pPr>
        <w:jc w:val="both"/>
        <w:spacing w:after="0" w:line="235" w:lineRule="auto"/>
        <w:rPr>
          <w:sz w:val="20"/>
          <w:szCs w:val="20"/>
          <w:color w:val="auto"/>
        </w:rPr>
      </w:pPr>
      <w:r>
        <w:rPr>
          <w:rFonts w:ascii="Arial" w:cs="Arial" w:eastAsia="Arial" w:hAnsi="Arial"/>
          <w:sz w:val="18"/>
          <w:szCs w:val="18"/>
          <w:color w:val="auto"/>
        </w:rPr>
        <w:t>in transactions in which the tax consequences may be subject to uncertainty. Examples of such transactions include business acquisitions and disposals, including like-kind exchanges of cable systems, issues related to consideration paid or received in connection with acquisitions, and certain financing transactions. Significant judgment is required in assessing and estimating the tax consequences of these transactions. We prepare and file tax returns based on our interpretation of tax laws and regulations, and we record estimates based on these judgments and interpretations.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-3691890</wp:posOffset>
            </wp:positionH>
            <wp:positionV relativeFrom="paragraph">
              <wp:posOffset>-1794510</wp:posOffset>
            </wp:positionV>
            <wp:extent cx="7267575" cy="27940"/>
            <wp:wrapNone/>
            <wp:docPr id="168" name="Picture 1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8"/>
                    <pic:cNvPicPr>
                      <a:picLocks noChangeAspect="1" noChangeArrowheads="1"/>
                    </pic:cNvPicPr>
                  </pic:nvPicPr>
                  <pic:blipFill>
                    <a:blip r:embed="rId175">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p>
    <w:p>
      <w:pPr>
        <w:spacing w:after="0" w:line="141" w:lineRule="exact"/>
        <w:rPr>
          <w:sz w:val="20"/>
          <w:szCs w:val="20"/>
          <w:color w:val="auto"/>
        </w:rPr>
      </w:pPr>
    </w:p>
    <w:p>
      <w:pPr>
        <w:jc w:val="both"/>
        <w:spacing w:after="0" w:line="266" w:lineRule="auto"/>
        <w:rPr>
          <w:rFonts w:ascii="Arial" w:cs="Arial" w:eastAsia="Arial" w:hAnsi="Arial"/>
          <w:sz w:val="16"/>
          <w:szCs w:val="16"/>
          <w:color w:val="auto"/>
        </w:rPr>
      </w:pPr>
      <w:r>
        <w:rPr>
          <w:rFonts w:ascii="Arial" w:cs="Arial" w:eastAsia="Arial" w:hAnsi="Arial"/>
          <w:sz w:val="16"/>
          <w:szCs w:val="16"/>
          <w:color w:val="auto"/>
        </w:rPr>
        <w:t xml:space="preserve">In the normal course of business, our tax returns are subject to examination by various taxing authorities. Such examinations may result in future tax and interest assessments by these taxing authorities. We adjust our estimates periodically because of ongoing examinations by and settlements with the various taxing authorities, as well as changes in tax laws, regulations and precedent. The effects on our financial statements of income tax uncertainties that arise in connection with business combinations and those associated with entities acquired in business combinations are discussed in </w:t>
      </w:r>
      <w:hyperlink w:anchor="page120">
        <w:r>
          <w:rPr>
            <w:rFonts w:ascii="Arial" w:cs="Arial" w:eastAsia="Arial" w:hAnsi="Arial"/>
            <w:sz w:val="16"/>
            <w:szCs w:val="16"/>
            <w:u w:val="single" w:color="auto"/>
            <w:color w:val="0000EE"/>
          </w:rPr>
          <w:t>Note 2</w:t>
        </w:r>
        <w:r>
          <w:rPr>
            <w:rFonts w:ascii="Arial" w:cs="Arial" w:eastAsia="Arial" w:hAnsi="Arial"/>
            <w:sz w:val="16"/>
            <w:szCs w:val="16"/>
            <w:u w:val="single" w:color="auto"/>
            <w:color w:val="auto"/>
          </w:rPr>
          <w:t xml:space="preserve"> </w:t>
        </w:r>
      </w:hyperlink>
      <w:r>
        <w:rPr>
          <w:rFonts w:ascii="Arial" w:cs="Arial" w:eastAsia="Arial" w:hAnsi="Arial"/>
          <w:sz w:val="16"/>
          <w:szCs w:val="16"/>
          <w:color w:val="auto"/>
        </w:rPr>
        <w:t>to our consolidated financial statements. The consolidated tax provision of any given year includes adjustments to prior year income tax accruals that are considered appropriate and any related estimated interest. We believe that adequate accruals have been made for income taxes. Differences between the estimated and actual amounts determined upon ultimate resolution, individually or in the aggregate, are not expected to have a material adverse effect on our consolidated financial position, but could possibly be material to our consolidated results of operations or cash flow of any one period.</w:t>
      </w:r>
    </w:p>
    <w:p>
      <w:pPr>
        <w:spacing w:after="0" w:line="32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Legal Contingencies</w:t>
      </w:r>
    </w:p>
    <w:p>
      <w:pPr>
        <w:spacing w:after="0" w:line="18" w:lineRule="exact"/>
        <w:rPr>
          <w:sz w:val="20"/>
          <w:szCs w:val="20"/>
          <w:color w:val="auto"/>
        </w:rPr>
      </w:pPr>
    </w:p>
    <w:p>
      <w:pPr>
        <w:jc w:val="both"/>
        <w:spacing w:after="0" w:line="266" w:lineRule="auto"/>
        <w:rPr>
          <w:sz w:val="20"/>
          <w:szCs w:val="20"/>
          <w:color w:val="auto"/>
        </w:rPr>
      </w:pPr>
      <w:r>
        <w:rPr>
          <w:rFonts w:ascii="Arial" w:cs="Arial" w:eastAsia="Arial" w:hAnsi="Arial"/>
          <w:sz w:val="16"/>
          <w:szCs w:val="16"/>
          <w:color w:val="auto"/>
        </w:rPr>
        <w:t>We are subject to legal, regulatory and other proceedings and claims that arise in the ordinary course of our business and, in certain cases, those that we assume from an acquired entity in a business combination. We record an estimated liability for those proceedings and claims arising in the ordinary course of business based upon the probable and reasonably estimable criteria contained in SFAS No. 5, “Accounting for Contingencies.” For those litigation contingencies assumed in a business combination, we record a liability based on estimated fair value when we can determine such fair value. We review outstanding claims with internal as well as external counsel to assess the probability and the estimates of loss. We reassess the risk of loss as new information becomes available, and we adjust liabilities as appropriate. The actual cost of resolving a claim may be substantially different from the amount of the liability recorded. Differences between the estimated and actual amounts determined upon ultimate resolution, individually or in the aggregate, are not expected to have a material adverse effect on our consolidated financial position, but could possibly be material to our consolidated results of operations or cash flow of any one period.</w:t>
      </w:r>
    </w:p>
    <w:p>
      <w:pPr>
        <w:spacing w:after="0" w:line="888" w:lineRule="exact"/>
        <w:rPr>
          <w:sz w:val="20"/>
          <w:szCs w:val="20"/>
          <w:color w:val="auto"/>
        </w:rPr>
      </w:pPr>
    </w:p>
    <w:p>
      <w:pPr>
        <w:sectPr>
          <w:pgSz w:w="11900" w:h="16838" w:orient="portrait"/>
          <w:cols w:equalWidth="0" w:num="2">
            <w:col w:w="5480" w:space="340"/>
            <w:col w:w="5480"/>
          </w:cols>
          <w:pgMar w:left="240" w:top="459" w:right="359" w:bottom="1440" w:gutter="0" w:footer="0" w:header="0"/>
        </w:sectPr>
      </w:pPr>
    </w:p>
    <w:tbl>
      <w:tblPr>
        <w:tblLayout w:type="fixed"/>
        <w:tblInd w:w="0" w:type="dxa"/>
        <w:tblCellMar>
          <w:top w:w="0" w:type="dxa"/>
          <w:left w:w="0" w:type="dxa"/>
          <w:bottom w:w="0" w:type="dxa"/>
          <w:right w:w="0" w:type="dxa"/>
        </w:tblCellMar>
      </w:tblPr>
      <w:tr>
        <w:trPr>
          <w:trHeight w:val="178"/>
        </w:trPr>
        <w:tc>
          <w:tcPr>
            <w:tcW w:w="3960" w:type="dxa"/>
            <w:vAlign w:val="bottom"/>
          </w:tcPr>
          <w:p>
            <w:pPr>
              <w:spacing w:after="0"/>
              <w:rPr>
                <w:sz w:val="20"/>
                <w:szCs w:val="20"/>
                <w:color w:val="auto"/>
              </w:rPr>
            </w:pPr>
            <w:r>
              <w:rPr>
                <w:rFonts w:ascii="Arial" w:cs="Arial" w:eastAsia="Arial" w:hAnsi="Arial"/>
                <w:sz w:val="14"/>
                <w:szCs w:val="14"/>
                <w:b w:val="1"/>
                <w:bCs w:val="1"/>
                <w:color w:val="auto"/>
              </w:rPr>
              <w:t xml:space="preserve">MD&amp;A </w:t>
            </w:r>
            <w:r>
              <w:rPr>
                <w:rFonts w:ascii="Arial" w:cs="Arial" w:eastAsia="Arial" w:hAnsi="Arial"/>
                <w:sz w:val="14"/>
                <w:szCs w:val="14"/>
                <w:color w:val="auto"/>
              </w:rPr>
              <w:t>Comcast 2006 Annual Report</w:t>
            </w:r>
          </w:p>
        </w:tc>
        <w:tc>
          <w:tcPr>
            <w:tcW w:w="1880" w:type="dxa"/>
            <w:vAlign w:val="bottom"/>
          </w:tcPr>
          <w:p>
            <w:pPr>
              <w:jc w:val="right"/>
              <w:spacing w:after="0"/>
              <w:rPr>
                <w:sz w:val="20"/>
                <w:szCs w:val="20"/>
                <w:color w:val="auto"/>
              </w:rPr>
            </w:pPr>
            <w:r>
              <w:rPr>
                <w:rFonts w:ascii="Arial" w:cs="Arial" w:eastAsia="Arial" w:hAnsi="Arial"/>
                <w:sz w:val="14"/>
                <w:szCs w:val="14"/>
                <w:b w:val="1"/>
                <w:bCs w:val="1"/>
                <w:color w:val="auto"/>
              </w:rPr>
              <w:t>36</w:t>
            </w:r>
          </w:p>
        </w:tc>
      </w:tr>
    </w:tbl>
    <w:p>
      <w:pPr>
        <w:sectPr>
          <w:pgSz w:w="11900" w:h="16838" w:orient="portrait"/>
          <w:cols w:equalWidth="0" w:num="1">
            <w:col w:w="11300"/>
          </w:cols>
          <w:pgMar w:left="240" w:top="459" w:right="359" w:bottom="1440" w:gutter="0" w:footer="0" w:header="0"/>
          <w:type w:val="continuous"/>
        </w:sectPr>
      </w:pPr>
    </w:p>
    <w:bookmarkStart w:id="113" w:name="page114"/>
    <w:bookmarkEnd w:id="11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169" name="Picture 1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9"/>
                    <pic:cNvPicPr>
                      <a:picLocks noChangeAspect="1" noChangeArrowheads="1"/>
                    </pic:cNvPicPr>
                  </pic:nvPicPr>
                  <pic:blipFill>
                    <a:blip r:embed="rId176">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20" w:lineRule="exact"/>
        <w:rPr>
          <w:sz w:val="20"/>
          <w:szCs w:val="20"/>
          <w:color w:val="auto"/>
        </w:rPr>
      </w:pPr>
    </w:p>
    <w:p>
      <w:pPr>
        <w:spacing w:after="0"/>
        <w:rPr>
          <w:sz w:val="20"/>
          <w:szCs w:val="20"/>
          <w:color w:val="auto"/>
        </w:rPr>
      </w:pPr>
      <w:r>
        <w:rPr>
          <w:rFonts w:ascii="Arial" w:cs="Arial" w:eastAsia="Arial" w:hAnsi="Arial"/>
          <w:sz w:val="24"/>
          <w:szCs w:val="24"/>
          <w:color w:val="auto"/>
        </w:rPr>
        <w:t>Report of Management</w:t>
      </w:r>
    </w:p>
    <w:p>
      <w:pPr>
        <w:spacing w:after="0" w:line="14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Management’s Report on Financial Statements</w:t>
      </w:r>
    </w:p>
    <w:p>
      <w:pPr>
        <w:spacing w:after="0" w:line="18" w:lineRule="exact"/>
        <w:rPr>
          <w:sz w:val="20"/>
          <w:szCs w:val="20"/>
          <w:color w:val="auto"/>
        </w:rPr>
      </w:pPr>
    </w:p>
    <w:p>
      <w:pPr>
        <w:jc w:val="both"/>
        <w:spacing w:after="0" w:line="236" w:lineRule="auto"/>
        <w:rPr>
          <w:sz w:val="20"/>
          <w:szCs w:val="20"/>
          <w:color w:val="auto"/>
        </w:rPr>
      </w:pPr>
      <w:r>
        <w:rPr>
          <w:rFonts w:ascii="Arial" w:cs="Arial" w:eastAsia="Arial" w:hAnsi="Arial"/>
          <w:sz w:val="18"/>
          <w:szCs w:val="18"/>
          <w:color w:val="auto"/>
        </w:rPr>
        <w:t>Our management is responsible for the preparation, integrity and fair presentation of information in our consolidated financial statements, including estimates and judgments. The consolidated financial statements presented in this report have been prepared in accordance with accounting principles generally accepted in the United States. Our management believes the consolidated financial statements and other financial information included in this report fairly present, in all material respects, our financial condition, results of operations and cash flows as of and for the periods presented in this report. The consolidated financial statements have been audited by Deloitte &amp; Touche LLP, an independent registered public accounting firm, as stated in their report, which is included herein.</w:t>
      </w:r>
    </w:p>
    <w:p>
      <w:pPr>
        <w:spacing w:after="0" w:line="13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Management’s Report on Internal Control Over Financial Reporting</w:t>
      </w:r>
    </w:p>
    <w:p>
      <w:pPr>
        <w:spacing w:after="0" w:line="18" w:lineRule="exact"/>
        <w:rPr>
          <w:sz w:val="20"/>
          <w:szCs w:val="20"/>
          <w:color w:val="auto"/>
        </w:rPr>
      </w:pPr>
    </w:p>
    <w:p>
      <w:pPr>
        <w:jc w:val="both"/>
        <w:spacing w:after="0" w:line="238" w:lineRule="auto"/>
        <w:rPr>
          <w:sz w:val="20"/>
          <w:szCs w:val="20"/>
          <w:color w:val="auto"/>
        </w:rPr>
      </w:pPr>
      <w:r>
        <w:rPr>
          <w:rFonts w:ascii="Arial" w:cs="Arial" w:eastAsia="Arial" w:hAnsi="Arial"/>
          <w:sz w:val="18"/>
          <w:szCs w:val="18"/>
          <w:color w:val="auto"/>
        </w:rPr>
        <w:t>Our management is responsible for establishing and maintaining an adequate system of internal control over financial reporting. Our system of internal control over financial reporting is designed to provide reasonable assurance regarding the reliability of financial reporting and the preparation of financial statements for external purposes in accordance with accounting principles generally accepted in the United States.</w:t>
      </w:r>
    </w:p>
    <w:p>
      <w:pPr>
        <w:spacing w:after="0" w:line="154" w:lineRule="exact"/>
        <w:rPr>
          <w:sz w:val="20"/>
          <w:szCs w:val="20"/>
          <w:color w:val="auto"/>
        </w:rPr>
      </w:pPr>
    </w:p>
    <w:p>
      <w:pPr>
        <w:spacing w:after="0"/>
        <w:rPr>
          <w:sz w:val="20"/>
          <w:szCs w:val="20"/>
          <w:color w:val="auto"/>
        </w:rPr>
      </w:pPr>
      <w:r>
        <w:rPr>
          <w:rFonts w:ascii="Arial" w:cs="Arial" w:eastAsia="Arial" w:hAnsi="Arial"/>
          <w:sz w:val="18"/>
          <w:szCs w:val="18"/>
          <w:color w:val="auto"/>
        </w:rPr>
        <w:t>Our internal control over financial reporting includes those policies and procedures that:</w:t>
      </w:r>
    </w:p>
    <w:p>
      <w:pPr>
        <w:spacing w:after="0" w:line="198" w:lineRule="exact"/>
        <w:rPr>
          <w:sz w:val="20"/>
          <w:szCs w:val="20"/>
          <w:color w:val="auto"/>
        </w:rPr>
      </w:pPr>
    </w:p>
    <w:p>
      <w:pPr>
        <w:ind w:left="220" w:hanging="212"/>
        <w:spacing w:after="0"/>
        <w:tabs>
          <w:tab w:leader="none" w:pos="220" w:val="left"/>
        </w:tabs>
        <w:numPr>
          <w:ilvl w:val="0"/>
          <w:numId w:val="86"/>
        </w:numPr>
        <w:rPr>
          <w:rFonts w:ascii="Arial" w:cs="Arial" w:eastAsia="Arial" w:hAnsi="Arial"/>
          <w:sz w:val="18"/>
          <w:szCs w:val="18"/>
          <w:color w:val="auto"/>
        </w:rPr>
      </w:pPr>
      <w:r>
        <w:rPr>
          <w:rFonts w:ascii="Arial" w:cs="Arial" w:eastAsia="Arial" w:hAnsi="Arial"/>
          <w:sz w:val="18"/>
          <w:szCs w:val="18"/>
          <w:color w:val="auto"/>
        </w:rPr>
        <w:t>Pertain to the maintenance of records that, in reasonable detail, accurately and fairly reflect our transactions and dispositions of our assets.</w:t>
      </w:r>
    </w:p>
    <w:p>
      <w:pPr>
        <w:spacing w:after="0" w:line="198" w:lineRule="exact"/>
        <w:rPr>
          <w:rFonts w:ascii="Arial" w:cs="Arial" w:eastAsia="Arial" w:hAnsi="Arial"/>
          <w:sz w:val="18"/>
          <w:szCs w:val="18"/>
          <w:color w:val="auto"/>
        </w:rPr>
      </w:pPr>
    </w:p>
    <w:p>
      <w:pPr>
        <w:jc w:val="both"/>
        <w:ind w:left="220" w:hanging="212"/>
        <w:spacing w:after="0" w:line="238" w:lineRule="auto"/>
        <w:tabs>
          <w:tab w:leader="none" w:pos="220" w:val="left"/>
        </w:tabs>
        <w:numPr>
          <w:ilvl w:val="0"/>
          <w:numId w:val="86"/>
        </w:numPr>
        <w:rPr>
          <w:rFonts w:ascii="Arial" w:cs="Arial" w:eastAsia="Arial" w:hAnsi="Arial"/>
          <w:sz w:val="18"/>
          <w:szCs w:val="18"/>
          <w:color w:val="auto"/>
        </w:rPr>
      </w:pPr>
      <w:r>
        <w:rPr>
          <w:rFonts w:ascii="Arial" w:cs="Arial" w:eastAsia="Arial" w:hAnsi="Arial"/>
          <w:sz w:val="18"/>
          <w:szCs w:val="18"/>
          <w:color w:val="auto"/>
        </w:rPr>
        <w:t>Provide reasonable assurance that our transactions are recorded as necessary to permit preparation of our financial statements in accordance with accounting principles generally accepted in the United States, and that our receipts and expenditures are being made only in accordance with authorizations of our management and our directors.</w:t>
      </w:r>
    </w:p>
    <w:p>
      <w:pPr>
        <w:spacing w:after="0" w:line="194" w:lineRule="exact"/>
        <w:rPr>
          <w:rFonts w:ascii="Arial" w:cs="Arial" w:eastAsia="Arial" w:hAnsi="Arial"/>
          <w:sz w:val="18"/>
          <w:szCs w:val="18"/>
          <w:color w:val="auto"/>
        </w:rPr>
      </w:pPr>
    </w:p>
    <w:p>
      <w:pPr>
        <w:ind w:left="220" w:right="20" w:hanging="212"/>
        <w:spacing w:after="0" w:line="239" w:lineRule="auto"/>
        <w:tabs>
          <w:tab w:leader="none" w:pos="220" w:val="left"/>
        </w:tabs>
        <w:numPr>
          <w:ilvl w:val="0"/>
          <w:numId w:val="86"/>
        </w:numPr>
        <w:rPr>
          <w:rFonts w:ascii="Arial" w:cs="Arial" w:eastAsia="Arial" w:hAnsi="Arial"/>
          <w:sz w:val="18"/>
          <w:szCs w:val="18"/>
          <w:color w:val="auto"/>
        </w:rPr>
      </w:pPr>
      <w:r>
        <w:rPr>
          <w:rFonts w:ascii="Arial" w:cs="Arial" w:eastAsia="Arial" w:hAnsi="Arial"/>
          <w:sz w:val="18"/>
          <w:szCs w:val="18"/>
          <w:color w:val="auto"/>
        </w:rPr>
        <w:t>Provide reasonable assurance regarding prevention or timely detection of unauthorized acquisition, use or disposition of our assets that could have a material effect on the financial statements.</w:t>
      </w:r>
    </w:p>
    <w:p>
      <w:pPr>
        <w:spacing w:after="0" w:line="155" w:lineRule="exact"/>
        <w:rPr>
          <w:sz w:val="20"/>
          <w:szCs w:val="20"/>
          <w:color w:val="auto"/>
        </w:rPr>
      </w:pPr>
    </w:p>
    <w:p>
      <w:pPr>
        <w:jc w:val="both"/>
        <w:spacing w:after="0" w:line="238" w:lineRule="auto"/>
        <w:rPr>
          <w:sz w:val="20"/>
          <w:szCs w:val="20"/>
          <w:color w:val="auto"/>
        </w:rPr>
      </w:pPr>
      <w:r>
        <w:rPr>
          <w:rFonts w:ascii="Arial" w:cs="Arial" w:eastAsia="Arial" w:hAnsi="Arial"/>
          <w:sz w:val="18"/>
          <w:szCs w:val="18"/>
          <w:color w:val="auto"/>
        </w:rPr>
        <w:t>Because of its inherent limitations, a system of internal control over financial reporting can provide only reasonable assurance and may not prevent or detect misstatements. Further, because of changes in conditions, effectiveness of internal controls over financial reporting may vary over time. Our system contains self-monitoring mechanisms, and actions are taken to correct deficiencies as they are identified.</w:t>
      </w:r>
    </w:p>
    <w:p>
      <w:pPr>
        <w:spacing w:after="0" w:line="154" w:lineRule="exact"/>
        <w:rPr>
          <w:sz w:val="20"/>
          <w:szCs w:val="20"/>
          <w:color w:val="auto"/>
        </w:rPr>
      </w:pPr>
    </w:p>
    <w:p>
      <w:pPr>
        <w:jc w:val="both"/>
        <w:spacing w:after="0" w:line="236" w:lineRule="auto"/>
        <w:rPr>
          <w:sz w:val="20"/>
          <w:szCs w:val="20"/>
          <w:color w:val="auto"/>
        </w:rPr>
      </w:pPr>
      <w:r>
        <w:rPr>
          <w:rFonts w:ascii="Arial" w:cs="Arial" w:eastAsia="Arial" w:hAnsi="Arial"/>
          <w:sz w:val="18"/>
          <w:szCs w:val="18"/>
          <w:color w:val="auto"/>
        </w:rPr>
        <w:t xml:space="preserve">Our management conducted an evaluation of the effectiveness of the system of internal control over financial reporting based on the framework in </w:t>
      </w:r>
      <w:r>
        <w:rPr>
          <w:rFonts w:ascii="Arial" w:cs="Arial" w:eastAsia="Arial" w:hAnsi="Arial"/>
          <w:sz w:val="18"/>
          <w:szCs w:val="18"/>
          <w:i w:val="1"/>
          <w:iCs w:val="1"/>
          <w:color w:val="auto"/>
        </w:rPr>
        <w:t xml:space="preserve">Internal Control — Integrated Framework </w:t>
      </w:r>
      <w:r>
        <w:rPr>
          <w:rFonts w:ascii="Arial" w:cs="Arial" w:eastAsia="Arial" w:hAnsi="Arial"/>
          <w:sz w:val="18"/>
          <w:szCs w:val="18"/>
          <w:color w:val="auto"/>
        </w:rPr>
        <w:t>issued by the Committee of Sponsoring Organizations of the Treadway Commission. Based on this</w:t>
      </w:r>
      <w:r>
        <w:rPr>
          <w:rFonts w:ascii="Arial" w:cs="Arial" w:eastAsia="Arial" w:hAnsi="Arial"/>
          <w:sz w:val="18"/>
          <w:szCs w:val="18"/>
          <w:i w:val="1"/>
          <w:iCs w:val="1"/>
          <w:color w:val="auto"/>
        </w:rPr>
        <w:t xml:space="preserve"> </w:t>
      </w:r>
      <w:r>
        <w:rPr>
          <w:rFonts w:ascii="Arial" w:cs="Arial" w:eastAsia="Arial" w:hAnsi="Arial"/>
          <w:sz w:val="18"/>
          <w:szCs w:val="18"/>
          <w:color w:val="auto"/>
        </w:rPr>
        <w:t>evaluation, our management concluded that our system of internal control over financial reporting was effective as of December 31, 2006. Our management’s assessment of the effectiveness of our internal control over financial reporting has been audited by Deloitte &amp; Touche LLP, an independent registered public accounting firm, as stated in their report, which is included herein.</w:t>
      </w:r>
    </w:p>
    <w:p>
      <w:pPr>
        <w:spacing w:after="0" w:line="13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Audit Committee Oversight</w:t>
      </w:r>
    </w:p>
    <w:p>
      <w:pPr>
        <w:spacing w:after="0" w:line="18" w:lineRule="exact"/>
        <w:rPr>
          <w:sz w:val="20"/>
          <w:szCs w:val="20"/>
          <w:color w:val="auto"/>
        </w:rPr>
      </w:pPr>
    </w:p>
    <w:p>
      <w:pPr>
        <w:jc w:val="both"/>
        <w:spacing w:after="0" w:line="236" w:lineRule="auto"/>
        <w:rPr>
          <w:sz w:val="20"/>
          <w:szCs w:val="20"/>
          <w:color w:val="auto"/>
        </w:rPr>
      </w:pPr>
      <w:r>
        <w:rPr>
          <w:rFonts w:ascii="Arial" w:cs="Arial" w:eastAsia="Arial" w:hAnsi="Arial"/>
          <w:sz w:val="18"/>
          <w:szCs w:val="18"/>
          <w:color w:val="auto"/>
        </w:rPr>
        <w:t>The Audit Committee of the Board of Directors, which is comprised solely of independent directors, has oversight responsibility for our financial reporting process and the audits of our consolidated financial statements and internal control over financial reporting. The Audit Committee meets regularly with management and with our internal auditors and independent registered public accounting firm (collectively, the “auditors”) to review matters related to the quality and integrity of our financial reporting, internal control over financial reporting (including compliance matters related to our Code of Ethics and Business Conduct), and the nature, extent, and results of internal and external audits. Our auditors have full and free access and report directly to the Audit Committee. The Audit Committee recommended, and the Board of Directors approved, that the audited consolidated financial statements be included in this Annual Report.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122555</wp:posOffset>
            </wp:positionV>
            <wp:extent cx="6543040" cy="420370"/>
            <wp:wrapNone/>
            <wp:docPr id="170" name="Picture 1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0"/>
                    <pic:cNvPicPr>
                      <a:picLocks noChangeAspect="1" noChangeArrowheads="1"/>
                    </pic:cNvPicPr>
                  </pic:nvPicPr>
                  <pic:blipFill>
                    <a:blip r:embed="rId177">
                      <a:extLst>
                        <a:ext uri="{28A0092B-C50C-407E-A947-70E740481C1C}"/>
                      </a:extLst>
                    </a:blip>
                    <a:srcRect/>
                    <a:stretch>
                      <a:fillRect/>
                    </a:stretch>
                  </pic:blipFill>
                  <pic:spPr bwMode="auto">
                    <a:xfrm>
                      <a:off x="0" y="0"/>
                      <a:ext cx="6543040" cy="42037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7" w:lineRule="exact"/>
        <w:rPr>
          <w:sz w:val="20"/>
          <w:szCs w:val="20"/>
          <w:color w:val="auto"/>
        </w:rPr>
      </w:pPr>
    </w:p>
    <w:tbl>
      <w:tblPr>
        <w:tblLayout w:type="fixed"/>
        <w:tblInd w:w="0" w:type="dxa"/>
        <w:tblCellMar>
          <w:top w:w="0" w:type="dxa"/>
          <w:left w:w="0" w:type="dxa"/>
          <w:bottom w:w="0" w:type="dxa"/>
          <w:right w:w="0" w:type="dxa"/>
        </w:tblCellMar>
      </w:tblPr>
      <w:tr>
        <w:trPr>
          <w:trHeight w:val="225"/>
        </w:trPr>
        <w:tc>
          <w:tcPr>
            <w:tcW w:w="2200" w:type="dxa"/>
            <w:vAlign w:val="bottom"/>
          </w:tcPr>
          <w:p>
            <w:pPr>
              <w:spacing w:after="0"/>
              <w:rPr>
                <w:sz w:val="20"/>
                <w:szCs w:val="20"/>
                <w:color w:val="auto"/>
              </w:rPr>
            </w:pPr>
            <w:r>
              <w:rPr>
                <w:rFonts w:ascii="Arial" w:cs="Arial" w:eastAsia="Arial" w:hAnsi="Arial"/>
                <w:sz w:val="18"/>
                <w:szCs w:val="18"/>
                <w:b w:val="1"/>
                <w:bCs w:val="1"/>
                <w:color w:val="auto"/>
              </w:rPr>
              <w:t>Brian L. Roberts</w:t>
            </w:r>
          </w:p>
        </w:tc>
        <w:tc>
          <w:tcPr>
            <w:tcW w:w="3080" w:type="dxa"/>
            <w:vAlign w:val="bottom"/>
          </w:tcPr>
          <w:p>
            <w:pPr>
              <w:ind w:left="680"/>
              <w:spacing w:after="0"/>
              <w:rPr>
                <w:sz w:val="20"/>
                <w:szCs w:val="20"/>
                <w:color w:val="auto"/>
              </w:rPr>
            </w:pPr>
            <w:r>
              <w:rPr>
                <w:rFonts w:ascii="Arial" w:cs="Arial" w:eastAsia="Arial" w:hAnsi="Arial"/>
                <w:sz w:val="18"/>
                <w:szCs w:val="18"/>
                <w:b w:val="1"/>
                <w:bCs w:val="1"/>
                <w:color w:val="auto"/>
              </w:rPr>
              <w:t>John R. Alchin</w:t>
            </w:r>
          </w:p>
        </w:tc>
        <w:tc>
          <w:tcPr>
            <w:tcW w:w="3080" w:type="dxa"/>
            <w:vAlign w:val="bottom"/>
          </w:tcPr>
          <w:p>
            <w:pPr>
              <w:ind w:left="460"/>
              <w:spacing w:after="0"/>
              <w:rPr>
                <w:sz w:val="20"/>
                <w:szCs w:val="20"/>
                <w:color w:val="auto"/>
              </w:rPr>
            </w:pPr>
            <w:r>
              <w:rPr>
                <w:rFonts w:ascii="Arial" w:cs="Arial" w:eastAsia="Arial" w:hAnsi="Arial"/>
                <w:sz w:val="18"/>
                <w:szCs w:val="18"/>
                <w:b w:val="1"/>
                <w:bCs w:val="1"/>
                <w:color w:val="auto"/>
              </w:rPr>
              <w:t>Lawrence S. Smith</w:t>
            </w:r>
          </w:p>
        </w:tc>
        <w:tc>
          <w:tcPr>
            <w:tcW w:w="3060" w:type="dxa"/>
            <w:vAlign w:val="bottom"/>
          </w:tcPr>
          <w:p>
            <w:pPr>
              <w:ind w:left="340"/>
              <w:spacing w:after="0"/>
              <w:rPr>
                <w:sz w:val="20"/>
                <w:szCs w:val="20"/>
                <w:color w:val="auto"/>
              </w:rPr>
            </w:pPr>
            <w:r>
              <w:rPr>
                <w:rFonts w:ascii="Arial" w:cs="Arial" w:eastAsia="Arial" w:hAnsi="Arial"/>
                <w:sz w:val="18"/>
                <w:szCs w:val="18"/>
                <w:b w:val="1"/>
                <w:bCs w:val="1"/>
                <w:color w:val="auto"/>
              </w:rPr>
              <w:t>Lawrence J. Salva</w:t>
            </w:r>
          </w:p>
        </w:tc>
      </w:tr>
      <w:tr>
        <w:trPr>
          <w:trHeight w:val="203"/>
        </w:trPr>
        <w:tc>
          <w:tcPr>
            <w:tcW w:w="2200" w:type="dxa"/>
            <w:vAlign w:val="bottom"/>
          </w:tcPr>
          <w:p>
            <w:pPr>
              <w:spacing w:after="0" w:line="202" w:lineRule="exact"/>
              <w:rPr>
                <w:sz w:val="20"/>
                <w:szCs w:val="20"/>
                <w:color w:val="auto"/>
              </w:rPr>
            </w:pPr>
            <w:r>
              <w:rPr>
                <w:rFonts w:ascii="Arial" w:cs="Arial" w:eastAsia="Arial" w:hAnsi="Arial"/>
                <w:sz w:val="18"/>
                <w:szCs w:val="18"/>
                <w:color w:val="auto"/>
              </w:rPr>
              <w:t>Chairman and CEO</w:t>
            </w:r>
          </w:p>
        </w:tc>
        <w:tc>
          <w:tcPr>
            <w:tcW w:w="3080" w:type="dxa"/>
            <w:vAlign w:val="bottom"/>
          </w:tcPr>
          <w:p>
            <w:pPr>
              <w:ind w:left="680"/>
              <w:spacing w:after="0" w:line="202" w:lineRule="exact"/>
              <w:rPr>
                <w:sz w:val="20"/>
                <w:szCs w:val="20"/>
                <w:color w:val="auto"/>
              </w:rPr>
            </w:pPr>
            <w:r>
              <w:rPr>
                <w:rFonts w:ascii="Arial" w:cs="Arial" w:eastAsia="Arial" w:hAnsi="Arial"/>
                <w:sz w:val="18"/>
                <w:szCs w:val="18"/>
                <w:color w:val="auto"/>
              </w:rPr>
              <w:t>Executive Vice President,</w:t>
            </w:r>
          </w:p>
        </w:tc>
        <w:tc>
          <w:tcPr>
            <w:tcW w:w="3080" w:type="dxa"/>
            <w:vAlign w:val="bottom"/>
          </w:tcPr>
          <w:p>
            <w:pPr>
              <w:ind w:left="460"/>
              <w:spacing w:after="0" w:line="202" w:lineRule="exact"/>
              <w:rPr>
                <w:sz w:val="20"/>
                <w:szCs w:val="20"/>
                <w:color w:val="auto"/>
              </w:rPr>
            </w:pPr>
            <w:r>
              <w:rPr>
                <w:rFonts w:ascii="Arial" w:cs="Arial" w:eastAsia="Arial" w:hAnsi="Arial"/>
                <w:sz w:val="18"/>
                <w:szCs w:val="18"/>
                <w:color w:val="auto"/>
              </w:rPr>
              <w:t>Executive Vice President and</w:t>
            </w:r>
          </w:p>
        </w:tc>
        <w:tc>
          <w:tcPr>
            <w:tcW w:w="3060" w:type="dxa"/>
            <w:vAlign w:val="bottom"/>
          </w:tcPr>
          <w:p>
            <w:pPr>
              <w:ind w:left="340"/>
              <w:spacing w:after="0" w:line="202" w:lineRule="exact"/>
              <w:rPr>
                <w:sz w:val="20"/>
                <w:szCs w:val="20"/>
                <w:color w:val="auto"/>
              </w:rPr>
            </w:pPr>
            <w:r>
              <w:rPr>
                <w:rFonts w:ascii="Arial" w:cs="Arial" w:eastAsia="Arial" w:hAnsi="Arial"/>
                <w:sz w:val="18"/>
                <w:szCs w:val="18"/>
                <w:color w:val="auto"/>
              </w:rPr>
              <w:t>Senior Vice President,</w:t>
            </w:r>
          </w:p>
        </w:tc>
      </w:tr>
      <w:tr>
        <w:trPr>
          <w:trHeight w:val="203"/>
        </w:trPr>
        <w:tc>
          <w:tcPr>
            <w:tcW w:w="2200" w:type="dxa"/>
            <w:vAlign w:val="bottom"/>
          </w:tcPr>
          <w:p>
            <w:pPr>
              <w:spacing w:after="0"/>
              <w:rPr>
                <w:sz w:val="17"/>
                <w:szCs w:val="17"/>
                <w:color w:val="auto"/>
              </w:rPr>
            </w:pPr>
          </w:p>
        </w:tc>
        <w:tc>
          <w:tcPr>
            <w:tcW w:w="3080" w:type="dxa"/>
            <w:vAlign w:val="bottom"/>
          </w:tcPr>
          <w:p>
            <w:pPr>
              <w:ind w:left="680"/>
              <w:spacing w:after="0" w:line="202" w:lineRule="exact"/>
              <w:rPr>
                <w:sz w:val="20"/>
                <w:szCs w:val="20"/>
                <w:color w:val="auto"/>
              </w:rPr>
            </w:pPr>
            <w:r>
              <w:rPr>
                <w:rFonts w:ascii="Arial" w:cs="Arial" w:eastAsia="Arial" w:hAnsi="Arial"/>
                <w:sz w:val="18"/>
                <w:szCs w:val="18"/>
                <w:color w:val="auto"/>
              </w:rPr>
              <w:t>Co-Chief Financial Officer</w:t>
            </w:r>
          </w:p>
        </w:tc>
        <w:tc>
          <w:tcPr>
            <w:tcW w:w="3080" w:type="dxa"/>
            <w:vAlign w:val="bottom"/>
          </w:tcPr>
          <w:p>
            <w:pPr>
              <w:ind w:left="460"/>
              <w:spacing w:after="0" w:line="202" w:lineRule="exact"/>
              <w:rPr>
                <w:sz w:val="20"/>
                <w:szCs w:val="20"/>
                <w:color w:val="auto"/>
              </w:rPr>
            </w:pPr>
            <w:r>
              <w:rPr>
                <w:rFonts w:ascii="Arial" w:cs="Arial" w:eastAsia="Arial" w:hAnsi="Arial"/>
                <w:sz w:val="18"/>
                <w:szCs w:val="18"/>
                <w:color w:val="auto"/>
              </w:rPr>
              <w:t>Co-Chief Financial Officer</w:t>
            </w:r>
          </w:p>
        </w:tc>
        <w:tc>
          <w:tcPr>
            <w:tcW w:w="3060" w:type="dxa"/>
            <w:vAlign w:val="bottom"/>
          </w:tcPr>
          <w:p>
            <w:pPr>
              <w:ind w:left="340"/>
              <w:spacing w:after="0" w:line="202" w:lineRule="exact"/>
              <w:rPr>
                <w:sz w:val="20"/>
                <w:szCs w:val="20"/>
                <w:color w:val="auto"/>
              </w:rPr>
            </w:pPr>
            <w:r>
              <w:rPr>
                <w:rFonts w:ascii="Arial" w:cs="Arial" w:eastAsia="Arial" w:hAnsi="Arial"/>
                <w:sz w:val="18"/>
                <w:szCs w:val="18"/>
                <w:color w:val="auto"/>
              </w:rPr>
              <w:t>Chief Accounting Officer</w:t>
            </w:r>
          </w:p>
        </w:tc>
      </w:tr>
      <w:tr>
        <w:trPr>
          <w:trHeight w:val="211"/>
        </w:trPr>
        <w:tc>
          <w:tcPr>
            <w:tcW w:w="2200" w:type="dxa"/>
            <w:vAlign w:val="bottom"/>
          </w:tcPr>
          <w:p>
            <w:pPr>
              <w:spacing w:after="0"/>
              <w:rPr>
                <w:sz w:val="18"/>
                <w:szCs w:val="18"/>
                <w:color w:val="auto"/>
              </w:rPr>
            </w:pPr>
          </w:p>
        </w:tc>
        <w:tc>
          <w:tcPr>
            <w:tcW w:w="3080" w:type="dxa"/>
            <w:vAlign w:val="bottom"/>
          </w:tcPr>
          <w:p>
            <w:pPr>
              <w:ind w:left="680"/>
              <w:spacing w:after="0"/>
              <w:rPr>
                <w:sz w:val="20"/>
                <w:szCs w:val="20"/>
                <w:color w:val="auto"/>
              </w:rPr>
            </w:pPr>
            <w:r>
              <w:rPr>
                <w:rFonts w:ascii="Arial" w:cs="Arial" w:eastAsia="Arial" w:hAnsi="Arial"/>
                <w:sz w:val="18"/>
                <w:szCs w:val="18"/>
                <w:color w:val="auto"/>
              </w:rPr>
              <w:t>and Treasurer</w:t>
            </w:r>
          </w:p>
        </w:tc>
        <w:tc>
          <w:tcPr>
            <w:tcW w:w="3080" w:type="dxa"/>
            <w:vAlign w:val="bottom"/>
          </w:tcPr>
          <w:p>
            <w:pPr>
              <w:spacing w:after="0"/>
              <w:rPr>
                <w:sz w:val="18"/>
                <w:szCs w:val="18"/>
                <w:color w:val="auto"/>
              </w:rPr>
            </w:pPr>
          </w:p>
        </w:tc>
        <w:tc>
          <w:tcPr>
            <w:tcW w:w="3060" w:type="dxa"/>
            <w:vAlign w:val="bottom"/>
          </w:tcPr>
          <w:p>
            <w:pPr>
              <w:ind w:left="340"/>
              <w:spacing w:after="0"/>
              <w:rPr>
                <w:sz w:val="20"/>
                <w:szCs w:val="20"/>
                <w:color w:val="auto"/>
              </w:rPr>
            </w:pPr>
            <w:r>
              <w:rPr>
                <w:rFonts w:ascii="Arial" w:cs="Arial" w:eastAsia="Arial" w:hAnsi="Arial"/>
                <w:sz w:val="18"/>
                <w:szCs w:val="18"/>
                <w:color w:val="auto"/>
              </w:rPr>
              <w:t>and Controller</w:t>
            </w:r>
          </w:p>
        </w:tc>
      </w:tr>
      <w:tr>
        <w:trPr>
          <w:trHeight w:val="299"/>
        </w:trPr>
        <w:tc>
          <w:tcPr>
            <w:tcW w:w="2200" w:type="dxa"/>
            <w:vAlign w:val="bottom"/>
          </w:tcPr>
          <w:p>
            <w:pPr>
              <w:spacing w:after="0"/>
              <w:rPr>
                <w:sz w:val="24"/>
                <w:szCs w:val="24"/>
                <w:color w:val="auto"/>
              </w:rPr>
            </w:pPr>
          </w:p>
        </w:tc>
        <w:tc>
          <w:tcPr>
            <w:tcW w:w="3080" w:type="dxa"/>
            <w:vAlign w:val="bottom"/>
          </w:tcPr>
          <w:p>
            <w:pPr>
              <w:spacing w:after="0"/>
              <w:rPr>
                <w:sz w:val="24"/>
                <w:szCs w:val="24"/>
                <w:color w:val="auto"/>
              </w:rPr>
            </w:pPr>
          </w:p>
        </w:tc>
        <w:tc>
          <w:tcPr>
            <w:tcW w:w="3080" w:type="dxa"/>
            <w:vAlign w:val="bottom"/>
          </w:tcPr>
          <w:p>
            <w:pPr>
              <w:jc w:val="right"/>
              <w:ind w:right="2437"/>
              <w:spacing w:after="0"/>
              <w:rPr>
                <w:sz w:val="20"/>
                <w:szCs w:val="20"/>
                <w:color w:val="auto"/>
              </w:rPr>
            </w:pPr>
            <w:r>
              <w:rPr>
                <w:rFonts w:ascii="Arial" w:cs="Arial" w:eastAsia="Arial" w:hAnsi="Arial"/>
                <w:sz w:val="14"/>
                <w:szCs w:val="14"/>
                <w:b w:val="1"/>
                <w:bCs w:val="1"/>
                <w:color w:val="auto"/>
              </w:rPr>
              <w:t>37</w:t>
            </w:r>
          </w:p>
        </w:tc>
        <w:tc>
          <w:tcPr>
            <w:tcW w:w="3060" w:type="dxa"/>
            <w:vAlign w:val="bottom"/>
          </w:tcPr>
          <w:p>
            <w:pPr>
              <w:ind w:left="1280"/>
              <w:spacing w:after="0"/>
              <w:rPr>
                <w:sz w:val="20"/>
                <w:szCs w:val="20"/>
                <w:color w:val="auto"/>
              </w:rPr>
            </w:pPr>
            <w:r>
              <w:rPr>
                <w:rFonts w:ascii="Arial" w:cs="Arial" w:eastAsia="Arial" w:hAnsi="Arial"/>
                <w:sz w:val="14"/>
                <w:szCs w:val="14"/>
                <w:color w:val="auto"/>
                <w:w w:val="95"/>
              </w:rPr>
              <w:t>Comcast 2006 Annual Report</w:t>
            </w:r>
          </w:p>
        </w:tc>
      </w:tr>
    </w:tbl>
    <w:p>
      <w:pPr>
        <w:sectPr>
          <w:pgSz w:w="11900" w:h="16838" w:orient="portrait"/>
          <w:cols w:equalWidth="0" w:num="1">
            <w:col w:w="11420"/>
          </w:cols>
          <w:pgMar w:left="240" w:top="459" w:right="239" w:bottom="1440" w:gutter="0" w:footer="0" w:header="0"/>
        </w:sectPr>
      </w:pPr>
    </w:p>
    <w:bookmarkStart w:id="114" w:name="page115"/>
    <w:bookmarkEnd w:id="11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171" name="Picture 1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1"/>
                    <pic:cNvPicPr>
                      <a:picLocks noChangeAspect="1" noChangeArrowheads="1"/>
                    </pic:cNvPicPr>
                  </pic:nvPicPr>
                  <pic:blipFill>
                    <a:blip r:embed="rId178">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20" w:lineRule="exact"/>
        <w:rPr>
          <w:sz w:val="20"/>
          <w:szCs w:val="20"/>
          <w:color w:val="auto"/>
        </w:rPr>
      </w:pPr>
    </w:p>
    <w:p>
      <w:pPr>
        <w:spacing w:after="0"/>
        <w:rPr>
          <w:sz w:val="20"/>
          <w:szCs w:val="20"/>
          <w:color w:val="auto"/>
        </w:rPr>
      </w:pPr>
      <w:r>
        <w:rPr>
          <w:rFonts w:ascii="Arial" w:cs="Arial" w:eastAsia="Arial" w:hAnsi="Arial"/>
          <w:sz w:val="24"/>
          <w:szCs w:val="24"/>
          <w:color w:val="auto"/>
        </w:rPr>
        <w:t>Report of Independent Registered Public Accounting Firm</w:t>
      </w:r>
    </w:p>
    <w:p>
      <w:pPr>
        <w:spacing w:after="0" w:line="22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Board of Directors and Stockholders</w:t>
      </w:r>
    </w:p>
    <w:p>
      <w:pPr>
        <w:spacing w:after="0" w:line="1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Comcast Corporation</w:t>
      </w:r>
    </w:p>
    <w:p>
      <w:pPr>
        <w:spacing w:after="0"/>
        <w:rPr>
          <w:sz w:val="20"/>
          <w:szCs w:val="20"/>
          <w:color w:val="auto"/>
        </w:rPr>
      </w:pPr>
      <w:r>
        <w:rPr>
          <w:rFonts w:ascii="Arial" w:cs="Arial" w:eastAsia="Arial" w:hAnsi="Arial"/>
          <w:sz w:val="18"/>
          <w:szCs w:val="18"/>
          <w:b w:val="1"/>
          <w:bCs w:val="1"/>
          <w:color w:val="auto"/>
        </w:rPr>
        <w:t>Philadelphia, Pennsylvania</w:t>
      </w:r>
    </w:p>
    <w:p>
      <w:pPr>
        <w:spacing w:after="0" w:line="77" w:lineRule="exact"/>
        <w:rPr>
          <w:sz w:val="20"/>
          <w:szCs w:val="20"/>
          <w:color w:val="auto"/>
        </w:rPr>
      </w:pPr>
    </w:p>
    <w:p>
      <w:pPr>
        <w:jc w:val="both"/>
        <w:spacing w:after="0" w:line="235" w:lineRule="auto"/>
        <w:rPr>
          <w:sz w:val="20"/>
          <w:szCs w:val="20"/>
          <w:color w:val="auto"/>
        </w:rPr>
      </w:pPr>
      <w:r>
        <w:rPr>
          <w:rFonts w:ascii="Arial" w:cs="Arial" w:eastAsia="Arial" w:hAnsi="Arial"/>
          <w:sz w:val="18"/>
          <w:szCs w:val="18"/>
          <w:color w:val="auto"/>
        </w:rPr>
        <w:t xml:space="preserve">We have audited the accompanying consolidated balance sheet of Comcast Corporation and subsidiaries (the “Company”) as of December 31, 2006 and 2005, and the related consolidated statements of operations, cash flows and stockholders’ equity for each of the three years in the period ended December 31, 2006. We also have audited management’s assessment, included under the caption </w:t>
      </w:r>
      <w:r>
        <w:rPr>
          <w:rFonts w:ascii="Arial" w:cs="Arial" w:eastAsia="Arial" w:hAnsi="Arial"/>
          <w:sz w:val="18"/>
          <w:szCs w:val="18"/>
          <w:i w:val="1"/>
          <w:iCs w:val="1"/>
          <w:color w:val="auto"/>
        </w:rPr>
        <w:t>Management’s Report on Internal</w:t>
      </w:r>
      <w:r>
        <w:rPr>
          <w:rFonts w:ascii="Arial" w:cs="Arial" w:eastAsia="Arial" w:hAnsi="Arial"/>
          <w:sz w:val="18"/>
          <w:szCs w:val="18"/>
          <w:color w:val="auto"/>
        </w:rPr>
        <w:t xml:space="preserve"> </w:t>
      </w:r>
      <w:r>
        <w:rPr>
          <w:rFonts w:ascii="Arial" w:cs="Arial" w:eastAsia="Arial" w:hAnsi="Arial"/>
          <w:sz w:val="18"/>
          <w:szCs w:val="18"/>
          <w:i w:val="1"/>
          <w:iCs w:val="1"/>
          <w:color w:val="auto"/>
        </w:rPr>
        <w:t>Control Over Financial Reporting</w:t>
      </w:r>
      <w:r>
        <w:rPr>
          <w:rFonts w:ascii="Arial" w:cs="Arial" w:eastAsia="Arial" w:hAnsi="Arial"/>
          <w:sz w:val="18"/>
          <w:szCs w:val="18"/>
          <w:color w:val="auto"/>
        </w:rPr>
        <w:t>, that the Company maintained effective internal control over financial reporting as of December 31, 2006, based</w:t>
      </w:r>
      <w:r>
        <w:rPr>
          <w:rFonts w:ascii="Arial" w:cs="Arial" w:eastAsia="Arial" w:hAnsi="Arial"/>
          <w:sz w:val="18"/>
          <w:szCs w:val="18"/>
          <w:i w:val="1"/>
          <w:iCs w:val="1"/>
          <w:color w:val="auto"/>
        </w:rPr>
        <w:t xml:space="preserve"> </w:t>
      </w:r>
      <w:r>
        <w:rPr>
          <w:rFonts w:ascii="Arial" w:cs="Arial" w:eastAsia="Arial" w:hAnsi="Arial"/>
          <w:sz w:val="18"/>
          <w:szCs w:val="18"/>
          <w:color w:val="auto"/>
        </w:rPr>
        <w:t xml:space="preserve">on criteria established in </w:t>
      </w:r>
      <w:r>
        <w:rPr>
          <w:rFonts w:ascii="Arial" w:cs="Arial" w:eastAsia="Arial" w:hAnsi="Arial"/>
          <w:sz w:val="18"/>
          <w:szCs w:val="18"/>
          <w:i w:val="1"/>
          <w:iCs w:val="1"/>
          <w:color w:val="auto"/>
        </w:rPr>
        <w:t>Internal Control — Integrated Framework</w:t>
      </w:r>
      <w:r>
        <w:rPr>
          <w:rFonts w:ascii="Arial" w:cs="Arial" w:eastAsia="Arial" w:hAnsi="Arial"/>
          <w:sz w:val="18"/>
          <w:szCs w:val="18"/>
          <w:color w:val="auto"/>
        </w:rPr>
        <w:t xml:space="preserve"> issued by the Committee of Sponsoring Organizations of the Treadway Commission. The Company’s management is responsible for these financial statements, for maintaining effective internal control over financial reporting, and for its assessment of the effectiveness of internal control over financial reporting. Our responsibility is to express an opinion on these financial statements, an opinion on management’s assessment, and an opinion on the effectiveness of the Company’s internal control over financial reporting based on our audits.</w:t>
      </w:r>
    </w:p>
    <w:p>
      <w:pPr>
        <w:spacing w:after="0" w:line="80" w:lineRule="exact"/>
        <w:rPr>
          <w:sz w:val="20"/>
          <w:szCs w:val="20"/>
          <w:color w:val="auto"/>
        </w:rPr>
      </w:pPr>
    </w:p>
    <w:p>
      <w:pPr>
        <w:jc w:val="both"/>
        <w:spacing w:after="0" w:line="269" w:lineRule="auto"/>
        <w:rPr>
          <w:sz w:val="20"/>
          <w:szCs w:val="20"/>
          <w:color w:val="auto"/>
        </w:rPr>
      </w:pPr>
      <w:r>
        <w:rPr>
          <w:rFonts w:ascii="Arial" w:cs="Arial" w:eastAsia="Arial" w:hAnsi="Arial"/>
          <w:sz w:val="16"/>
          <w:szCs w:val="16"/>
          <w:color w:val="auto"/>
        </w:rPr>
        <w:t>We conducted our audits in accordance with the standards of the Public Company Accounting Oversight Board (United States). Those standards require that we plan and perform the audits to obtain reasonable assurance about whether the financial statements are free of material misstatement and whether effective internal control over financial reporting was maintained in all material respects. Our audits of the financial statements included examining, on a test basis, evidence supporting the amounts and disclosures in the financial statements, assessing the accounting principles used and significant estimates made by management, and evaluating the overall financial statement presentation. Our audit of internal control over financial reporting included obtaining an understanding of internal control over financial reporting, evaluating management’s assessment, testing and evaluating the design and operating effectiveness of internal control, and performing such other procedures as we considered necessary in the circumstances. We believe that our audits provide a reasonable basis for our opinions.</w:t>
      </w:r>
    </w:p>
    <w:p>
      <w:pPr>
        <w:spacing w:after="0" w:line="52" w:lineRule="exact"/>
        <w:rPr>
          <w:sz w:val="20"/>
          <w:szCs w:val="20"/>
          <w:color w:val="auto"/>
        </w:rPr>
      </w:pPr>
    </w:p>
    <w:p>
      <w:pPr>
        <w:jc w:val="both"/>
        <w:spacing w:after="0" w:line="235" w:lineRule="auto"/>
        <w:rPr>
          <w:sz w:val="20"/>
          <w:szCs w:val="20"/>
          <w:color w:val="auto"/>
        </w:rPr>
      </w:pPr>
      <w:r>
        <w:rPr>
          <w:rFonts w:ascii="Arial" w:cs="Arial" w:eastAsia="Arial" w:hAnsi="Arial"/>
          <w:sz w:val="18"/>
          <w:szCs w:val="18"/>
          <w:color w:val="auto"/>
        </w:rPr>
        <w:t>A company’s internal control over financial reporting is a process designed by, or under the supervision of, the company’s principal executive and principal financial officers, or persons performing similar functions, and effected by the company’s board of directors, management, and other personnel to provide reasonable assurance regarding the reliability of financial reporting and the preparation of financial statements for external purposes in accordance with generally accepted accounting principles. A company’s internal control over financial reporting includes those policies and procedures that (1) pertain to the maintenance of records that, in reasonable detail, accurately and fairly reflect the transactions and dispositions of the assets of the company; (2) provide reasonable assurance that transactions are recorded as necessary to permit preparation of financial statements in accordance with generally accepted accounting principles and that receipts and expenditures of the company are being made only in accordance with authorizations of management and directors of the company; and (3) provide reasonable assurance regarding prevention or timely detection of unauthorized acquisition, use, or disposition of the company’s assets that could have a material effect on the financial statements.</w:t>
      </w:r>
    </w:p>
    <w:p>
      <w:pPr>
        <w:spacing w:after="0" w:line="80" w:lineRule="exact"/>
        <w:rPr>
          <w:sz w:val="20"/>
          <w:szCs w:val="20"/>
          <w:color w:val="auto"/>
        </w:rPr>
      </w:pPr>
    </w:p>
    <w:p>
      <w:pPr>
        <w:jc w:val="both"/>
        <w:spacing w:after="0" w:line="237" w:lineRule="auto"/>
        <w:rPr>
          <w:sz w:val="20"/>
          <w:szCs w:val="20"/>
          <w:color w:val="auto"/>
        </w:rPr>
      </w:pPr>
      <w:r>
        <w:rPr>
          <w:rFonts w:ascii="Arial" w:cs="Arial" w:eastAsia="Arial" w:hAnsi="Arial"/>
          <w:sz w:val="18"/>
          <w:szCs w:val="18"/>
          <w:color w:val="auto"/>
        </w:rPr>
        <w:t>Because of the inherent limitations of internal control over financial reporting, including the possibility of collusion or improper management override of controls, material misstatements due to error or fraud may not be prevented or detected on a timely basis. Also, projections of any evaluation of the effectiveness of the internal control over financial reporting to future periods are subject to the risk that the controls may become inadequate because of changes in conditions, or that the degree of compliance with the policies or procedures may deteriorate.</w:t>
      </w:r>
    </w:p>
    <w:p>
      <w:pPr>
        <w:spacing w:after="0" w:line="74" w:lineRule="exact"/>
        <w:rPr>
          <w:sz w:val="20"/>
          <w:szCs w:val="20"/>
          <w:color w:val="auto"/>
        </w:rPr>
      </w:pPr>
    </w:p>
    <w:p>
      <w:pPr>
        <w:jc w:val="both"/>
        <w:spacing w:after="0" w:line="236" w:lineRule="auto"/>
        <w:rPr>
          <w:sz w:val="20"/>
          <w:szCs w:val="20"/>
          <w:color w:val="auto"/>
        </w:rPr>
      </w:pPr>
      <w:r>
        <w:rPr>
          <w:rFonts w:ascii="Arial" w:cs="Arial" w:eastAsia="Arial" w:hAnsi="Arial"/>
          <w:sz w:val="18"/>
          <w:szCs w:val="18"/>
          <w:color w:val="auto"/>
        </w:rPr>
        <w:t xml:space="preserve">In our opinion, the consolidated financial statements referred to above present fairly, in all material respects, the financial position of Comcast Corporation and subsidiaries as of December 31, 2006 and 2005, and the results of their operations and their cash flows for each of the three years in the period ended December 31, 2006, in conformity with accounting principles generally accepted in the United States of America. Also, in our opinion, management’s assessment that the Company maintained effective internal control over financial reporting as of December 31, 2006, is fairly stated, in all material respects, based on the criteria established in </w:t>
      </w:r>
      <w:r>
        <w:rPr>
          <w:rFonts w:ascii="Arial" w:cs="Arial" w:eastAsia="Arial" w:hAnsi="Arial"/>
          <w:sz w:val="18"/>
          <w:szCs w:val="18"/>
          <w:i w:val="1"/>
          <w:iCs w:val="1"/>
          <w:color w:val="auto"/>
        </w:rPr>
        <w:t>Internal Control — Integrated Framework</w:t>
      </w:r>
      <w:r>
        <w:rPr>
          <w:rFonts w:ascii="Arial" w:cs="Arial" w:eastAsia="Arial" w:hAnsi="Arial"/>
          <w:sz w:val="18"/>
          <w:szCs w:val="18"/>
          <w:color w:val="auto"/>
        </w:rPr>
        <w:t xml:space="preserve"> issued by the Committee of Sponsoring Organizations of the Treadway Commission. Furthermore, in our opinion, the Company maintained, in all material respects, effective internal control over financial reporting as of December 31, 2006, based on the criteria established in </w:t>
      </w:r>
      <w:r>
        <w:rPr>
          <w:rFonts w:ascii="Arial" w:cs="Arial" w:eastAsia="Arial" w:hAnsi="Arial"/>
          <w:sz w:val="18"/>
          <w:szCs w:val="18"/>
          <w:i w:val="1"/>
          <w:iCs w:val="1"/>
          <w:color w:val="auto"/>
        </w:rPr>
        <w:t>Internal Control — Integrated Framework</w:t>
      </w:r>
      <w:r>
        <w:rPr>
          <w:rFonts w:ascii="Arial" w:cs="Arial" w:eastAsia="Arial" w:hAnsi="Arial"/>
          <w:sz w:val="18"/>
          <w:szCs w:val="18"/>
          <w:color w:val="auto"/>
        </w:rPr>
        <w:t xml:space="preserve"> issued by the Committee of Sponsoring Organizations of the Treadway Commission.</w:t>
      </w:r>
    </w:p>
    <w:p>
      <w:pPr>
        <w:spacing w:after="0" w:line="73" w:lineRule="exact"/>
        <w:rPr>
          <w:sz w:val="20"/>
          <w:szCs w:val="20"/>
          <w:color w:val="auto"/>
        </w:rPr>
      </w:pPr>
    </w:p>
    <w:p>
      <w:pPr>
        <w:jc w:val="both"/>
        <w:spacing w:after="0" w:line="239" w:lineRule="auto"/>
        <w:rPr>
          <w:sz w:val="20"/>
          <w:szCs w:val="20"/>
          <w:color w:val="auto"/>
        </w:rPr>
      </w:pPr>
      <w:r>
        <w:rPr>
          <w:rFonts w:ascii="Arial" w:cs="Arial" w:eastAsia="Arial" w:hAnsi="Arial"/>
          <w:sz w:val="18"/>
          <w:szCs w:val="18"/>
          <w:color w:val="auto"/>
        </w:rPr>
        <w:t>As discussed in Note 10 to the consolidated financial statements, the Company adopted Statement of Financial Accounting Standards No. 123R, “Share Based Payments,” effective January 1, 2006.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121920</wp:posOffset>
            </wp:positionV>
            <wp:extent cx="1672590" cy="283210"/>
            <wp:wrapNone/>
            <wp:docPr id="172" name="Picture 1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2"/>
                    <pic:cNvPicPr>
                      <a:picLocks noChangeAspect="1" noChangeArrowheads="1"/>
                    </pic:cNvPicPr>
                  </pic:nvPicPr>
                  <pic:blipFill>
                    <a:blip r:embed="rId179">
                      <a:extLst>
                        <a:ext uri="{28A0092B-C50C-407E-A947-70E740481C1C}"/>
                      </a:extLst>
                    </a:blip>
                    <a:srcRect/>
                    <a:stretch>
                      <a:fillRect/>
                    </a:stretch>
                  </pic:blipFill>
                  <pic:spPr bwMode="auto">
                    <a:xfrm>
                      <a:off x="0" y="0"/>
                      <a:ext cx="1672590" cy="28321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Deloitte &amp; Touche LLP</w:t>
      </w:r>
    </w:p>
    <w:p>
      <w:pPr>
        <w:spacing w:after="0" w:line="13" w:lineRule="exact"/>
        <w:rPr>
          <w:sz w:val="20"/>
          <w:szCs w:val="20"/>
          <w:color w:val="auto"/>
        </w:rPr>
      </w:pPr>
    </w:p>
    <w:p>
      <w:pPr>
        <w:spacing w:after="0"/>
        <w:rPr>
          <w:sz w:val="20"/>
          <w:szCs w:val="20"/>
          <w:color w:val="auto"/>
        </w:rPr>
      </w:pPr>
      <w:r>
        <w:rPr>
          <w:rFonts w:ascii="Arial" w:cs="Arial" w:eastAsia="Arial" w:hAnsi="Arial"/>
          <w:sz w:val="18"/>
          <w:szCs w:val="18"/>
          <w:color w:val="auto"/>
        </w:rPr>
        <w:t>Philadelphia, Pennsylvania</w:t>
      </w:r>
    </w:p>
    <w:p>
      <w:pPr>
        <w:spacing w:after="0"/>
        <w:rPr>
          <w:sz w:val="20"/>
          <w:szCs w:val="20"/>
          <w:color w:val="auto"/>
        </w:rPr>
      </w:pPr>
      <w:r>
        <w:rPr>
          <w:rFonts w:ascii="Arial" w:cs="Arial" w:eastAsia="Arial" w:hAnsi="Arial"/>
          <w:sz w:val="18"/>
          <w:szCs w:val="18"/>
          <w:color w:val="auto"/>
        </w:rPr>
        <w:t>February 23, 2007</w:t>
      </w:r>
    </w:p>
    <w:p>
      <w:pPr>
        <w:spacing w:after="0" w:line="124" w:lineRule="exact"/>
        <w:rPr>
          <w:sz w:val="20"/>
          <w:szCs w:val="20"/>
          <w:color w:val="auto"/>
        </w:rPr>
      </w:pPr>
    </w:p>
    <w:tbl>
      <w:tblPr>
        <w:tblLayout w:type="fixed"/>
        <w:tblInd w:w="0" w:type="dxa"/>
        <w:tblCellMar>
          <w:top w:w="0" w:type="dxa"/>
          <w:left w:w="0" w:type="dxa"/>
          <w:bottom w:w="0" w:type="dxa"/>
          <w:right w:w="0" w:type="dxa"/>
        </w:tblCellMar>
      </w:tblPr>
      <w:tr>
        <w:trPr>
          <w:trHeight w:val="178"/>
        </w:trPr>
        <w:tc>
          <w:tcPr>
            <w:tcW w:w="3740" w:type="dxa"/>
            <w:vAlign w:val="bottom"/>
          </w:tcPr>
          <w:p>
            <w:pPr>
              <w:spacing w:after="0"/>
              <w:rPr>
                <w:sz w:val="20"/>
                <w:szCs w:val="20"/>
                <w:color w:val="auto"/>
              </w:rPr>
            </w:pPr>
            <w:r>
              <w:rPr>
                <w:rFonts w:ascii="Arial" w:cs="Arial" w:eastAsia="Arial" w:hAnsi="Arial"/>
                <w:sz w:val="14"/>
                <w:szCs w:val="14"/>
                <w:color w:val="auto"/>
              </w:rPr>
              <w:t>Comcast 2006 Annual Report</w:t>
            </w:r>
          </w:p>
        </w:tc>
        <w:tc>
          <w:tcPr>
            <w:tcW w:w="2100" w:type="dxa"/>
            <w:vAlign w:val="bottom"/>
          </w:tcPr>
          <w:p>
            <w:pPr>
              <w:jc w:val="right"/>
              <w:spacing w:after="0"/>
              <w:rPr>
                <w:sz w:val="20"/>
                <w:szCs w:val="20"/>
                <w:color w:val="auto"/>
              </w:rPr>
            </w:pPr>
            <w:r>
              <w:rPr>
                <w:rFonts w:ascii="Arial" w:cs="Arial" w:eastAsia="Arial" w:hAnsi="Arial"/>
                <w:sz w:val="14"/>
                <w:szCs w:val="14"/>
                <w:b w:val="1"/>
                <w:bCs w:val="1"/>
                <w:color w:val="auto"/>
              </w:rPr>
              <w:t>38</w:t>
            </w:r>
          </w:p>
        </w:tc>
      </w:tr>
    </w:tbl>
    <w:p>
      <w:pPr>
        <w:sectPr>
          <w:pgSz w:w="11900" w:h="16838" w:orient="portrait"/>
          <w:cols w:equalWidth="0" w:num="1">
            <w:col w:w="11420"/>
          </w:cols>
          <w:pgMar w:left="240" w:top="459" w:right="239" w:bottom="1440" w:gutter="0" w:footer="0" w:header="0"/>
        </w:sectPr>
      </w:pPr>
    </w:p>
    <w:bookmarkStart w:id="115" w:name="page116"/>
    <w:bookmarkEnd w:id="11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173" name="Picture 1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3"/>
                    <pic:cNvPicPr>
                      <a:picLocks noChangeAspect="1" noChangeArrowheads="1"/>
                    </pic:cNvPicPr>
                  </pic:nvPicPr>
                  <pic:blipFill>
                    <a:blip r:embed="rId180">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20" w:lineRule="exact"/>
        <w:rPr>
          <w:sz w:val="20"/>
          <w:szCs w:val="20"/>
          <w:color w:val="auto"/>
        </w:rPr>
      </w:pPr>
    </w:p>
    <w:p>
      <w:pPr>
        <w:spacing w:after="0"/>
        <w:rPr>
          <w:sz w:val="20"/>
          <w:szCs w:val="20"/>
          <w:color w:val="auto"/>
        </w:rPr>
      </w:pPr>
      <w:r>
        <w:rPr>
          <w:rFonts w:ascii="Arial" w:cs="Arial" w:eastAsia="Arial" w:hAnsi="Arial"/>
          <w:sz w:val="24"/>
          <w:szCs w:val="24"/>
          <w:color w:val="auto"/>
        </w:rPr>
        <w:t>Consolidated Balance Sheet</w:t>
      </w:r>
    </w:p>
    <w:p>
      <w:pPr>
        <w:spacing w:after="0" w:line="143" w:lineRule="exact"/>
        <w:rPr>
          <w:sz w:val="20"/>
          <w:szCs w:val="20"/>
          <w:color w:val="auto"/>
        </w:rPr>
      </w:pPr>
    </w:p>
    <w:tbl>
      <w:tblPr>
        <w:tblLayout w:type="fixed"/>
        <w:tblInd w:w="0" w:type="dxa"/>
        <w:tblCellMar>
          <w:top w:w="0" w:type="dxa"/>
          <w:left w:w="0" w:type="dxa"/>
          <w:bottom w:w="0" w:type="dxa"/>
          <w:right w:w="0" w:type="dxa"/>
        </w:tblCellMar>
      </w:tblPr>
      <w:tr>
        <w:trPr>
          <w:trHeight w:val="165"/>
        </w:trPr>
        <w:tc>
          <w:tcPr>
            <w:tcW w:w="9200" w:type="dxa"/>
            <w:vAlign w:val="bottom"/>
            <w:tcBorders>
              <w:bottom w:val="single" w:sz="8" w:color="auto"/>
            </w:tcBorders>
            <w:gridSpan w:val="3"/>
          </w:tcPr>
          <w:p>
            <w:pPr>
              <w:spacing w:after="0"/>
              <w:rPr>
                <w:sz w:val="20"/>
                <w:szCs w:val="20"/>
                <w:color w:val="auto"/>
              </w:rPr>
            </w:pPr>
            <w:r>
              <w:rPr>
                <w:rFonts w:ascii="Arial" w:cs="Arial" w:eastAsia="Arial" w:hAnsi="Arial"/>
                <w:sz w:val="14"/>
                <w:szCs w:val="14"/>
                <w:color w:val="auto"/>
              </w:rPr>
              <w:t>December 31 (in millions, except share data)</w:t>
            </w:r>
          </w:p>
        </w:tc>
        <w:tc>
          <w:tcPr>
            <w:tcW w:w="360" w:type="dxa"/>
            <w:vAlign w:val="bottom"/>
            <w:tcBorders>
              <w:bottom w:val="single" w:sz="8" w:color="auto"/>
            </w:tcBorders>
          </w:tcPr>
          <w:p>
            <w:pPr>
              <w:spacing w:after="0"/>
              <w:rPr>
                <w:sz w:val="14"/>
                <w:szCs w:val="14"/>
                <w:color w:val="auto"/>
              </w:rPr>
            </w:pPr>
          </w:p>
        </w:tc>
        <w:tc>
          <w:tcPr>
            <w:tcW w:w="880" w:type="dxa"/>
            <w:vAlign w:val="bottom"/>
            <w:tcBorders>
              <w:bottom w:val="single" w:sz="8" w:color="auto"/>
            </w:tcBorders>
          </w:tcPr>
          <w:p>
            <w:pPr>
              <w:jc w:val="right"/>
              <w:ind w:right="153"/>
              <w:spacing w:after="0"/>
              <w:rPr>
                <w:sz w:val="20"/>
                <w:szCs w:val="20"/>
                <w:color w:val="auto"/>
              </w:rPr>
            </w:pPr>
            <w:r>
              <w:rPr>
                <w:rFonts w:ascii="Arial" w:cs="Arial" w:eastAsia="Arial" w:hAnsi="Arial"/>
                <w:sz w:val="14"/>
                <w:szCs w:val="14"/>
                <w:b w:val="1"/>
                <w:bCs w:val="1"/>
                <w:color w:val="auto"/>
              </w:rPr>
              <w:t>2006</w:t>
            </w:r>
          </w:p>
        </w:tc>
        <w:tc>
          <w:tcPr>
            <w:tcW w:w="280" w:type="dxa"/>
            <w:vAlign w:val="bottom"/>
            <w:tcBorders>
              <w:bottom w:val="single" w:sz="8" w:color="auto"/>
            </w:tcBorders>
          </w:tcPr>
          <w:p>
            <w:pPr>
              <w:spacing w:after="0"/>
              <w:rPr>
                <w:sz w:val="14"/>
                <w:szCs w:val="14"/>
                <w:color w:val="auto"/>
              </w:rPr>
            </w:pPr>
          </w:p>
        </w:tc>
        <w:tc>
          <w:tcPr>
            <w:tcW w:w="70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2005</w:t>
            </w:r>
          </w:p>
        </w:tc>
        <w:tc>
          <w:tcPr>
            <w:tcW w:w="0" w:type="dxa"/>
            <w:vAlign w:val="bottom"/>
          </w:tcPr>
          <w:p>
            <w:pPr>
              <w:spacing w:after="0"/>
              <w:rPr>
                <w:sz w:val="1"/>
                <w:szCs w:val="1"/>
                <w:color w:val="auto"/>
              </w:rPr>
            </w:pPr>
          </w:p>
        </w:tc>
      </w:tr>
      <w:tr>
        <w:trPr>
          <w:trHeight w:val="199"/>
        </w:trPr>
        <w:tc>
          <w:tcPr>
            <w:tcW w:w="9200" w:type="dxa"/>
            <w:vAlign w:val="bottom"/>
            <w:gridSpan w:val="3"/>
          </w:tcPr>
          <w:p>
            <w:pPr>
              <w:spacing w:after="0" w:line="200" w:lineRule="exact"/>
              <w:rPr>
                <w:sz w:val="20"/>
                <w:szCs w:val="20"/>
                <w:color w:val="auto"/>
              </w:rPr>
            </w:pPr>
            <w:r>
              <w:rPr>
                <w:rFonts w:ascii="Arial" w:cs="Arial" w:eastAsia="Arial" w:hAnsi="Arial"/>
                <w:sz w:val="18"/>
                <w:szCs w:val="18"/>
                <w:b w:val="1"/>
                <w:bCs w:val="1"/>
                <w:color w:val="auto"/>
              </w:rPr>
              <w:t>Assets</w:t>
            </w:r>
          </w:p>
        </w:tc>
        <w:tc>
          <w:tcPr>
            <w:tcW w:w="36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9200" w:type="dxa"/>
            <w:vAlign w:val="bottom"/>
            <w:gridSpan w:val="3"/>
          </w:tcPr>
          <w:p>
            <w:pPr>
              <w:spacing w:after="0" w:line="202" w:lineRule="exact"/>
              <w:rPr>
                <w:sz w:val="20"/>
                <w:szCs w:val="20"/>
                <w:color w:val="auto"/>
              </w:rPr>
            </w:pPr>
            <w:r>
              <w:rPr>
                <w:rFonts w:ascii="Arial" w:cs="Arial" w:eastAsia="Arial" w:hAnsi="Arial"/>
                <w:sz w:val="18"/>
                <w:szCs w:val="18"/>
                <w:color w:val="auto"/>
              </w:rPr>
              <w:t>Current Assets</w:t>
            </w:r>
          </w:p>
        </w:tc>
        <w:tc>
          <w:tcPr>
            <w:tcW w:w="360" w:type="dxa"/>
            <w:vAlign w:val="bottom"/>
            <w:vMerge w:val="restart"/>
          </w:tcPr>
          <w:p>
            <w:pPr>
              <w:jc w:val="right"/>
              <w:spacing w:after="0"/>
              <w:rPr>
                <w:sz w:val="20"/>
                <w:szCs w:val="20"/>
                <w:color w:val="auto"/>
              </w:rPr>
            </w:pPr>
            <w:r>
              <w:rPr>
                <w:rFonts w:ascii="Arial" w:cs="Arial" w:eastAsia="Arial" w:hAnsi="Arial"/>
                <w:sz w:val="18"/>
                <w:szCs w:val="18"/>
                <w:b w:val="1"/>
                <w:bCs w:val="1"/>
                <w:color w:val="auto"/>
              </w:rPr>
              <w:t>$</w:t>
            </w:r>
          </w:p>
        </w:tc>
        <w:tc>
          <w:tcPr>
            <w:tcW w:w="880" w:type="dxa"/>
            <w:vAlign w:val="bottom"/>
            <w:vMerge w:val="restart"/>
          </w:tcPr>
          <w:p>
            <w:pPr>
              <w:jc w:val="right"/>
              <w:ind w:right="153"/>
              <w:spacing w:after="0"/>
              <w:rPr>
                <w:sz w:val="20"/>
                <w:szCs w:val="20"/>
                <w:color w:val="auto"/>
              </w:rPr>
            </w:pPr>
            <w:r>
              <w:rPr>
                <w:rFonts w:ascii="Arial" w:cs="Arial" w:eastAsia="Arial" w:hAnsi="Arial"/>
                <w:sz w:val="18"/>
                <w:szCs w:val="18"/>
                <w:b w:val="1"/>
                <w:bCs w:val="1"/>
                <w:color w:val="auto"/>
              </w:rPr>
              <w:t>1,239</w:t>
            </w:r>
          </w:p>
        </w:tc>
        <w:tc>
          <w:tcPr>
            <w:tcW w:w="28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81"/>
        </w:trPr>
        <w:tc>
          <w:tcPr>
            <w:tcW w:w="9200" w:type="dxa"/>
            <w:vAlign w:val="bottom"/>
            <w:gridSpan w:val="3"/>
          </w:tcPr>
          <w:p>
            <w:pPr>
              <w:ind w:left="220"/>
              <w:spacing w:after="0" w:line="181" w:lineRule="exact"/>
              <w:rPr>
                <w:sz w:val="20"/>
                <w:szCs w:val="20"/>
                <w:color w:val="auto"/>
              </w:rPr>
            </w:pPr>
            <w:r>
              <w:rPr>
                <w:rFonts w:ascii="Arial" w:cs="Arial" w:eastAsia="Arial" w:hAnsi="Arial"/>
                <w:sz w:val="18"/>
                <w:szCs w:val="18"/>
                <w:color w:val="auto"/>
              </w:rPr>
              <w:t>Cash and cash equivalents</w:t>
            </w:r>
          </w:p>
        </w:tc>
        <w:tc>
          <w:tcPr>
            <w:tcW w:w="360" w:type="dxa"/>
            <w:vAlign w:val="bottom"/>
            <w:vMerge w:val="continue"/>
          </w:tcPr>
          <w:p>
            <w:pPr>
              <w:spacing w:after="0"/>
              <w:rPr>
                <w:sz w:val="15"/>
                <w:szCs w:val="15"/>
                <w:color w:val="auto"/>
              </w:rPr>
            </w:pPr>
          </w:p>
        </w:tc>
        <w:tc>
          <w:tcPr>
            <w:tcW w:w="880" w:type="dxa"/>
            <w:vAlign w:val="bottom"/>
            <w:vMerge w:val="continue"/>
          </w:tcPr>
          <w:p>
            <w:pPr>
              <w:spacing w:after="0"/>
              <w:rPr>
                <w:sz w:val="15"/>
                <w:szCs w:val="15"/>
                <w:color w:val="auto"/>
              </w:rPr>
            </w:pPr>
          </w:p>
        </w:tc>
        <w:tc>
          <w:tcPr>
            <w:tcW w:w="280" w:type="dxa"/>
            <w:vAlign w:val="bottom"/>
          </w:tcPr>
          <w:p>
            <w:pPr>
              <w:jc w:val="right"/>
              <w:spacing w:after="0" w:line="181" w:lineRule="exact"/>
              <w:rPr>
                <w:sz w:val="20"/>
                <w:szCs w:val="20"/>
                <w:color w:val="auto"/>
              </w:rPr>
            </w:pPr>
            <w:r>
              <w:rPr>
                <w:rFonts w:ascii="Arial" w:cs="Arial" w:eastAsia="Arial" w:hAnsi="Arial"/>
                <w:sz w:val="18"/>
                <w:szCs w:val="18"/>
                <w:color w:val="auto"/>
              </w:rPr>
              <w:t>$</w:t>
            </w:r>
          </w:p>
        </w:tc>
        <w:tc>
          <w:tcPr>
            <w:tcW w:w="700" w:type="dxa"/>
            <w:vAlign w:val="bottom"/>
          </w:tcPr>
          <w:p>
            <w:pPr>
              <w:jc w:val="right"/>
              <w:spacing w:after="0" w:line="181" w:lineRule="exact"/>
              <w:rPr>
                <w:sz w:val="20"/>
                <w:szCs w:val="20"/>
                <w:color w:val="auto"/>
              </w:rPr>
            </w:pPr>
            <w:r>
              <w:rPr>
                <w:rFonts w:ascii="Arial" w:cs="Arial" w:eastAsia="Arial" w:hAnsi="Arial"/>
                <w:sz w:val="18"/>
                <w:szCs w:val="18"/>
                <w:color w:val="auto"/>
              </w:rPr>
              <w:t>947</w:t>
            </w:r>
          </w:p>
        </w:tc>
        <w:tc>
          <w:tcPr>
            <w:tcW w:w="0" w:type="dxa"/>
            <w:vAlign w:val="bottom"/>
          </w:tcPr>
          <w:p>
            <w:pPr>
              <w:spacing w:after="0"/>
              <w:rPr>
                <w:sz w:val="1"/>
                <w:szCs w:val="1"/>
                <w:color w:val="auto"/>
              </w:rPr>
            </w:pPr>
          </w:p>
        </w:tc>
      </w:tr>
      <w:tr>
        <w:trPr>
          <w:trHeight w:val="203"/>
        </w:trPr>
        <w:tc>
          <w:tcPr>
            <w:tcW w:w="9200" w:type="dxa"/>
            <w:vAlign w:val="bottom"/>
            <w:gridSpan w:val="3"/>
          </w:tcPr>
          <w:p>
            <w:pPr>
              <w:ind w:left="220"/>
              <w:spacing w:after="0" w:line="202" w:lineRule="exact"/>
              <w:rPr>
                <w:sz w:val="20"/>
                <w:szCs w:val="20"/>
                <w:color w:val="auto"/>
              </w:rPr>
            </w:pPr>
            <w:r>
              <w:rPr>
                <w:rFonts w:ascii="Arial" w:cs="Arial" w:eastAsia="Arial" w:hAnsi="Arial"/>
                <w:sz w:val="18"/>
                <w:szCs w:val="18"/>
                <w:color w:val="auto"/>
              </w:rPr>
              <w:t>Investments</w:t>
            </w:r>
          </w:p>
        </w:tc>
        <w:tc>
          <w:tcPr>
            <w:tcW w:w="360" w:type="dxa"/>
            <w:vAlign w:val="bottom"/>
          </w:tcPr>
          <w:p>
            <w:pPr>
              <w:spacing w:after="0"/>
              <w:rPr>
                <w:sz w:val="17"/>
                <w:szCs w:val="17"/>
                <w:color w:val="auto"/>
              </w:rPr>
            </w:pPr>
          </w:p>
        </w:tc>
        <w:tc>
          <w:tcPr>
            <w:tcW w:w="880" w:type="dxa"/>
            <w:vAlign w:val="bottom"/>
          </w:tcPr>
          <w:p>
            <w:pPr>
              <w:jc w:val="right"/>
              <w:ind w:right="153"/>
              <w:spacing w:after="0" w:line="202" w:lineRule="exact"/>
              <w:rPr>
                <w:sz w:val="20"/>
                <w:szCs w:val="20"/>
                <w:color w:val="auto"/>
              </w:rPr>
            </w:pPr>
            <w:r>
              <w:rPr>
                <w:rFonts w:ascii="Arial" w:cs="Arial" w:eastAsia="Arial" w:hAnsi="Arial"/>
                <w:sz w:val="18"/>
                <w:szCs w:val="18"/>
                <w:b w:val="1"/>
                <w:bCs w:val="1"/>
                <w:color w:val="auto"/>
              </w:rPr>
              <w:t>1,735</w:t>
            </w:r>
          </w:p>
        </w:tc>
        <w:tc>
          <w:tcPr>
            <w:tcW w:w="280" w:type="dxa"/>
            <w:vAlign w:val="bottom"/>
          </w:tcPr>
          <w:p>
            <w:pPr>
              <w:spacing w:after="0"/>
              <w:rPr>
                <w:sz w:val="17"/>
                <w:szCs w:val="17"/>
                <w:color w:val="auto"/>
              </w:rPr>
            </w:pPr>
          </w:p>
        </w:tc>
        <w:tc>
          <w:tcPr>
            <w:tcW w:w="700" w:type="dxa"/>
            <w:vAlign w:val="bottom"/>
          </w:tcPr>
          <w:p>
            <w:pPr>
              <w:jc w:val="right"/>
              <w:spacing w:after="0" w:line="202" w:lineRule="exact"/>
              <w:rPr>
                <w:sz w:val="20"/>
                <w:szCs w:val="20"/>
                <w:color w:val="auto"/>
              </w:rPr>
            </w:pPr>
            <w:r>
              <w:rPr>
                <w:rFonts w:ascii="Arial" w:cs="Arial" w:eastAsia="Arial" w:hAnsi="Arial"/>
                <w:sz w:val="18"/>
                <w:szCs w:val="18"/>
                <w:color w:val="auto"/>
              </w:rPr>
              <w:t>148</w:t>
            </w:r>
          </w:p>
        </w:tc>
        <w:tc>
          <w:tcPr>
            <w:tcW w:w="0" w:type="dxa"/>
            <w:vAlign w:val="bottom"/>
          </w:tcPr>
          <w:p>
            <w:pPr>
              <w:spacing w:after="0"/>
              <w:rPr>
                <w:sz w:val="1"/>
                <w:szCs w:val="1"/>
                <w:color w:val="auto"/>
              </w:rPr>
            </w:pPr>
          </w:p>
        </w:tc>
      </w:tr>
      <w:tr>
        <w:trPr>
          <w:trHeight w:val="203"/>
        </w:trPr>
        <w:tc>
          <w:tcPr>
            <w:tcW w:w="9200" w:type="dxa"/>
            <w:vAlign w:val="bottom"/>
            <w:gridSpan w:val="3"/>
          </w:tcPr>
          <w:p>
            <w:pPr>
              <w:ind w:left="220"/>
              <w:spacing w:after="0" w:line="202" w:lineRule="exact"/>
              <w:rPr>
                <w:sz w:val="20"/>
                <w:szCs w:val="20"/>
                <w:color w:val="auto"/>
              </w:rPr>
            </w:pPr>
            <w:r>
              <w:rPr>
                <w:rFonts w:ascii="Arial" w:cs="Arial" w:eastAsia="Arial" w:hAnsi="Arial"/>
                <w:sz w:val="18"/>
                <w:szCs w:val="18"/>
                <w:color w:val="auto"/>
              </w:rPr>
              <w:t>Accounts receivable, less allowance for doubtful accounts of $157 and $ 132</w:t>
            </w:r>
          </w:p>
        </w:tc>
        <w:tc>
          <w:tcPr>
            <w:tcW w:w="360" w:type="dxa"/>
            <w:vAlign w:val="bottom"/>
          </w:tcPr>
          <w:p>
            <w:pPr>
              <w:spacing w:after="0"/>
              <w:rPr>
                <w:sz w:val="17"/>
                <w:szCs w:val="17"/>
                <w:color w:val="auto"/>
              </w:rPr>
            </w:pPr>
          </w:p>
        </w:tc>
        <w:tc>
          <w:tcPr>
            <w:tcW w:w="880" w:type="dxa"/>
            <w:vAlign w:val="bottom"/>
          </w:tcPr>
          <w:p>
            <w:pPr>
              <w:jc w:val="right"/>
              <w:ind w:right="153"/>
              <w:spacing w:after="0" w:line="202" w:lineRule="exact"/>
              <w:rPr>
                <w:sz w:val="20"/>
                <w:szCs w:val="20"/>
                <w:color w:val="auto"/>
              </w:rPr>
            </w:pPr>
            <w:r>
              <w:rPr>
                <w:rFonts w:ascii="Arial" w:cs="Arial" w:eastAsia="Arial" w:hAnsi="Arial"/>
                <w:sz w:val="18"/>
                <w:szCs w:val="18"/>
                <w:b w:val="1"/>
                <w:bCs w:val="1"/>
                <w:color w:val="auto"/>
              </w:rPr>
              <w:t>1,450</w:t>
            </w:r>
          </w:p>
        </w:tc>
        <w:tc>
          <w:tcPr>
            <w:tcW w:w="280" w:type="dxa"/>
            <w:vAlign w:val="bottom"/>
          </w:tcPr>
          <w:p>
            <w:pPr>
              <w:spacing w:after="0"/>
              <w:rPr>
                <w:sz w:val="17"/>
                <w:szCs w:val="17"/>
                <w:color w:val="auto"/>
              </w:rPr>
            </w:pPr>
          </w:p>
        </w:tc>
        <w:tc>
          <w:tcPr>
            <w:tcW w:w="700" w:type="dxa"/>
            <w:vAlign w:val="bottom"/>
          </w:tcPr>
          <w:p>
            <w:pPr>
              <w:jc w:val="right"/>
              <w:spacing w:after="0" w:line="202" w:lineRule="exact"/>
              <w:rPr>
                <w:sz w:val="20"/>
                <w:szCs w:val="20"/>
                <w:color w:val="auto"/>
              </w:rPr>
            </w:pPr>
            <w:r>
              <w:rPr>
                <w:rFonts w:ascii="Arial" w:cs="Arial" w:eastAsia="Arial" w:hAnsi="Arial"/>
                <w:sz w:val="18"/>
                <w:szCs w:val="18"/>
                <w:color w:val="auto"/>
              </w:rPr>
              <w:t>1,008</w:t>
            </w:r>
          </w:p>
        </w:tc>
        <w:tc>
          <w:tcPr>
            <w:tcW w:w="0" w:type="dxa"/>
            <w:vAlign w:val="bottom"/>
          </w:tcPr>
          <w:p>
            <w:pPr>
              <w:spacing w:after="0"/>
              <w:rPr>
                <w:sz w:val="1"/>
                <w:szCs w:val="1"/>
                <w:color w:val="auto"/>
              </w:rPr>
            </w:pPr>
          </w:p>
        </w:tc>
      </w:tr>
      <w:tr>
        <w:trPr>
          <w:trHeight w:val="203"/>
        </w:trPr>
        <w:tc>
          <w:tcPr>
            <w:tcW w:w="9200" w:type="dxa"/>
            <w:vAlign w:val="bottom"/>
            <w:gridSpan w:val="3"/>
          </w:tcPr>
          <w:p>
            <w:pPr>
              <w:ind w:left="220"/>
              <w:spacing w:after="0" w:line="202" w:lineRule="exact"/>
              <w:rPr>
                <w:sz w:val="20"/>
                <w:szCs w:val="20"/>
                <w:color w:val="auto"/>
              </w:rPr>
            </w:pPr>
            <w:r>
              <w:rPr>
                <w:rFonts w:ascii="Arial" w:cs="Arial" w:eastAsia="Arial" w:hAnsi="Arial"/>
                <w:sz w:val="18"/>
                <w:szCs w:val="18"/>
                <w:color w:val="auto"/>
              </w:rPr>
              <w:t>Other current assets</w:t>
            </w:r>
          </w:p>
        </w:tc>
        <w:tc>
          <w:tcPr>
            <w:tcW w:w="360" w:type="dxa"/>
            <w:vAlign w:val="bottom"/>
          </w:tcPr>
          <w:p>
            <w:pPr>
              <w:spacing w:after="0"/>
              <w:rPr>
                <w:sz w:val="17"/>
                <w:szCs w:val="17"/>
                <w:color w:val="auto"/>
              </w:rPr>
            </w:pPr>
          </w:p>
        </w:tc>
        <w:tc>
          <w:tcPr>
            <w:tcW w:w="880" w:type="dxa"/>
            <w:vAlign w:val="bottom"/>
          </w:tcPr>
          <w:p>
            <w:pPr>
              <w:jc w:val="right"/>
              <w:ind w:right="153"/>
              <w:spacing w:after="0" w:line="202" w:lineRule="exact"/>
              <w:rPr>
                <w:sz w:val="20"/>
                <w:szCs w:val="20"/>
                <w:color w:val="auto"/>
              </w:rPr>
            </w:pPr>
            <w:r>
              <w:rPr>
                <w:rFonts w:ascii="Arial" w:cs="Arial" w:eastAsia="Arial" w:hAnsi="Arial"/>
                <w:sz w:val="18"/>
                <w:szCs w:val="18"/>
                <w:b w:val="1"/>
                <w:bCs w:val="1"/>
                <w:color w:val="auto"/>
              </w:rPr>
              <w:t>778</w:t>
            </w:r>
          </w:p>
        </w:tc>
        <w:tc>
          <w:tcPr>
            <w:tcW w:w="280" w:type="dxa"/>
            <w:vAlign w:val="bottom"/>
          </w:tcPr>
          <w:p>
            <w:pPr>
              <w:spacing w:after="0"/>
              <w:rPr>
                <w:sz w:val="17"/>
                <w:szCs w:val="17"/>
                <w:color w:val="auto"/>
              </w:rPr>
            </w:pPr>
          </w:p>
        </w:tc>
        <w:tc>
          <w:tcPr>
            <w:tcW w:w="700" w:type="dxa"/>
            <w:vAlign w:val="bottom"/>
          </w:tcPr>
          <w:p>
            <w:pPr>
              <w:jc w:val="right"/>
              <w:spacing w:after="0" w:line="202" w:lineRule="exact"/>
              <w:rPr>
                <w:sz w:val="20"/>
                <w:szCs w:val="20"/>
                <w:color w:val="auto"/>
              </w:rPr>
            </w:pPr>
            <w:r>
              <w:rPr>
                <w:rFonts w:ascii="Arial" w:cs="Arial" w:eastAsia="Arial" w:hAnsi="Arial"/>
                <w:sz w:val="18"/>
                <w:szCs w:val="18"/>
                <w:color w:val="auto"/>
              </w:rPr>
              <w:t>685</w:t>
            </w:r>
          </w:p>
        </w:tc>
        <w:tc>
          <w:tcPr>
            <w:tcW w:w="0" w:type="dxa"/>
            <w:vAlign w:val="bottom"/>
          </w:tcPr>
          <w:p>
            <w:pPr>
              <w:spacing w:after="0"/>
              <w:rPr>
                <w:sz w:val="1"/>
                <w:szCs w:val="1"/>
                <w:color w:val="auto"/>
              </w:rPr>
            </w:pPr>
          </w:p>
        </w:tc>
      </w:tr>
      <w:tr>
        <w:trPr>
          <w:trHeight w:val="221"/>
        </w:trPr>
        <w:tc>
          <w:tcPr>
            <w:tcW w:w="9200" w:type="dxa"/>
            <w:vAlign w:val="bottom"/>
            <w:tcBorders>
              <w:bottom w:val="single" w:sz="8" w:color="auto"/>
            </w:tcBorders>
            <w:gridSpan w:val="3"/>
          </w:tcPr>
          <w:p>
            <w:pPr>
              <w:ind w:left="220"/>
              <w:spacing w:after="0"/>
              <w:rPr>
                <w:sz w:val="20"/>
                <w:szCs w:val="20"/>
                <w:color w:val="auto"/>
              </w:rPr>
            </w:pPr>
            <w:r>
              <w:rPr>
                <w:rFonts w:ascii="Arial" w:cs="Arial" w:eastAsia="Arial" w:hAnsi="Arial"/>
                <w:sz w:val="18"/>
                <w:szCs w:val="18"/>
                <w:color w:val="auto"/>
              </w:rPr>
              <w:t>Current assets of discontinued operations</w:t>
            </w:r>
          </w:p>
        </w:tc>
        <w:tc>
          <w:tcPr>
            <w:tcW w:w="360" w:type="dxa"/>
            <w:vAlign w:val="bottom"/>
            <w:tcBorders>
              <w:bottom w:val="single" w:sz="8" w:color="auto"/>
            </w:tcBorders>
          </w:tcPr>
          <w:p>
            <w:pPr>
              <w:spacing w:after="0"/>
              <w:rPr>
                <w:sz w:val="19"/>
                <w:szCs w:val="19"/>
                <w:color w:val="auto"/>
              </w:rPr>
            </w:pPr>
          </w:p>
        </w:tc>
        <w:tc>
          <w:tcPr>
            <w:tcW w:w="880" w:type="dxa"/>
            <w:vAlign w:val="bottom"/>
            <w:tcBorders>
              <w:bottom w:val="single" w:sz="8" w:color="auto"/>
            </w:tcBorders>
          </w:tcPr>
          <w:p>
            <w:pPr>
              <w:jc w:val="right"/>
              <w:ind w:right="153"/>
              <w:spacing w:after="0"/>
              <w:rPr>
                <w:sz w:val="20"/>
                <w:szCs w:val="20"/>
                <w:color w:val="auto"/>
              </w:rPr>
            </w:pPr>
            <w:r>
              <w:rPr>
                <w:rFonts w:ascii="Arial" w:cs="Arial" w:eastAsia="Arial" w:hAnsi="Arial"/>
                <w:sz w:val="18"/>
                <w:szCs w:val="18"/>
                <w:b w:val="1"/>
                <w:bCs w:val="1"/>
                <w:color w:val="auto"/>
              </w:rPr>
              <w:t>—</w:t>
            </w:r>
          </w:p>
        </w:tc>
        <w:tc>
          <w:tcPr>
            <w:tcW w:w="280" w:type="dxa"/>
            <w:vAlign w:val="bottom"/>
            <w:tcBorders>
              <w:bottom w:val="single" w:sz="8" w:color="auto"/>
            </w:tcBorders>
          </w:tcPr>
          <w:p>
            <w:pPr>
              <w:spacing w:after="0"/>
              <w:rPr>
                <w:sz w:val="19"/>
                <w:szCs w:val="19"/>
                <w:color w:val="auto"/>
              </w:rPr>
            </w:pPr>
          </w:p>
        </w:tc>
        <w:tc>
          <w:tcPr>
            <w:tcW w:w="7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60</w:t>
            </w:r>
          </w:p>
        </w:tc>
        <w:tc>
          <w:tcPr>
            <w:tcW w:w="0" w:type="dxa"/>
            <w:vAlign w:val="bottom"/>
          </w:tcPr>
          <w:p>
            <w:pPr>
              <w:spacing w:after="0"/>
              <w:rPr>
                <w:sz w:val="1"/>
                <w:szCs w:val="1"/>
                <w:color w:val="auto"/>
              </w:rPr>
            </w:pPr>
          </w:p>
        </w:tc>
      </w:tr>
      <w:tr>
        <w:trPr>
          <w:trHeight w:val="196"/>
        </w:trPr>
        <w:tc>
          <w:tcPr>
            <w:tcW w:w="9200" w:type="dxa"/>
            <w:vAlign w:val="bottom"/>
            <w:tcBorders>
              <w:bottom w:val="single" w:sz="8" w:color="auto"/>
            </w:tcBorders>
            <w:gridSpan w:val="3"/>
          </w:tcPr>
          <w:p>
            <w:pPr>
              <w:ind w:left="440"/>
              <w:spacing w:after="0" w:line="196" w:lineRule="exact"/>
              <w:rPr>
                <w:sz w:val="20"/>
                <w:szCs w:val="20"/>
                <w:color w:val="auto"/>
              </w:rPr>
            </w:pPr>
            <w:r>
              <w:rPr>
                <w:rFonts w:ascii="Arial" w:cs="Arial" w:eastAsia="Arial" w:hAnsi="Arial"/>
                <w:sz w:val="18"/>
                <w:szCs w:val="18"/>
                <w:color w:val="auto"/>
              </w:rPr>
              <w:t>Total current assets</w:t>
            </w:r>
          </w:p>
        </w:tc>
        <w:tc>
          <w:tcPr>
            <w:tcW w:w="360" w:type="dxa"/>
            <w:vAlign w:val="bottom"/>
            <w:tcBorders>
              <w:bottom w:val="single" w:sz="8" w:color="auto"/>
            </w:tcBorders>
          </w:tcPr>
          <w:p>
            <w:pPr>
              <w:spacing w:after="0"/>
              <w:rPr>
                <w:sz w:val="17"/>
                <w:szCs w:val="17"/>
                <w:color w:val="auto"/>
              </w:rPr>
            </w:pPr>
          </w:p>
        </w:tc>
        <w:tc>
          <w:tcPr>
            <w:tcW w:w="880" w:type="dxa"/>
            <w:vAlign w:val="bottom"/>
            <w:tcBorders>
              <w:bottom w:val="single" w:sz="8" w:color="auto"/>
            </w:tcBorders>
          </w:tcPr>
          <w:p>
            <w:pPr>
              <w:jc w:val="right"/>
              <w:ind w:right="153"/>
              <w:spacing w:after="0" w:line="196" w:lineRule="exact"/>
              <w:rPr>
                <w:sz w:val="20"/>
                <w:szCs w:val="20"/>
                <w:color w:val="auto"/>
              </w:rPr>
            </w:pPr>
            <w:r>
              <w:rPr>
                <w:rFonts w:ascii="Arial" w:cs="Arial" w:eastAsia="Arial" w:hAnsi="Arial"/>
                <w:sz w:val="18"/>
                <w:szCs w:val="18"/>
                <w:b w:val="1"/>
                <w:bCs w:val="1"/>
                <w:color w:val="auto"/>
              </w:rPr>
              <w:t>5,202</w:t>
            </w:r>
          </w:p>
        </w:tc>
        <w:tc>
          <w:tcPr>
            <w:tcW w:w="280" w:type="dxa"/>
            <w:vAlign w:val="bottom"/>
            <w:tcBorders>
              <w:bottom w:val="single" w:sz="8" w:color="auto"/>
            </w:tcBorders>
          </w:tcPr>
          <w:p>
            <w:pPr>
              <w:spacing w:after="0"/>
              <w:rPr>
                <w:sz w:val="17"/>
                <w:szCs w:val="17"/>
                <w:color w:val="auto"/>
              </w:rPr>
            </w:pPr>
          </w:p>
        </w:tc>
        <w:tc>
          <w:tcPr>
            <w:tcW w:w="700" w:type="dxa"/>
            <w:vAlign w:val="bottom"/>
            <w:tcBorders>
              <w:bottom w:val="single" w:sz="8" w:color="auto"/>
            </w:tcBorders>
          </w:tcPr>
          <w:p>
            <w:pPr>
              <w:jc w:val="right"/>
              <w:spacing w:after="0" w:line="196" w:lineRule="exact"/>
              <w:rPr>
                <w:sz w:val="20"/>
                <w:szCs w:val="20"/>
                <w:color w:val="auto"/>
              </w:rPr>
            </w:pPr>
            <w:r>
              <w:rPr>
                <w:rFonts w:ascii="Arial" w:cs="Arial" w:eastAsia="Arial" w:hAnsi="Arial"/>
                <w:sz w:val="18"/>
                <w:szCs w:val="18"/>
                <w:color w:val="auto"/>
              </w:rPr>
              <w:t>2,848</w:t>
            </w:r>
          </w:p>
        </w:tc>
        <w:tc>
          <w:tcPr>
            <w:tcW w:w="0" w:type="dxa"/>
            <w:vAlign w:val="bottom"/>
          </w:tcPr>
          <w:p>
            <w:pPr>
              <w:spacing w:after="0"/>
              <w:rPr>
                <w:sz w:val="1"/>
                <w:szCs w:val="1"/>
                <w:color w:val="auto"/>
              </w:rPr>
            </w:pPr>
          </w:p>
        </w:tc>
      </w:tr>
      <w:tr>
        <w:trPr>
          <w:trHeight w:val="177"/>
        </w:trPr>
        <w:tc>
          <w:tcPr>
            <w:tcW w:w="9200" w:type="dxa"/>
            <w:vAlign w:val="bottom"/>
            <w:gridSpan w:val="3"/>
          </w:tcPr>
          <w:p>
            <w:pPr>
              <w:spacing w:after="0" w:line="177" w:lineRule="exact"/>
              <w:rPr>
                <w:sz w:val="20"/>
                <w:szCs w:val="20"/>
                <w:color w:val="auto"/>
              </w:rPr>
            </w:pPr>
            <w:r>
              <w:rPr>
                <w:rFonts w:ascii="Arial" w:cs="Arial" w:eastAsia="Arial" w:hAnsi="Arial"/>
                <w:sz w:val="18"/>
                <w:szCs w:val="18"/>
                <w:color w:val="auto"/>
              </w:rPr>
              <w:t>Investments</w:t>
            </w:r>
          </w:p>
        </w:tc>
        <w:tc>
          <w:tcPr>
            <w:tcW w:w="360" w:type="dxa"/>
            <w:vAlign w:val="bottom"/>
          </w:tcPr>
          <w:p>
            <w:pPr>
              <w:spacing w:after="0"/>
              <w:rPr>
                <w:sz w:val="15"/>
                <w:szCs w:val="15"/>
                <w:color w:val="auto"/>
              </w:rPr>
            </w:pPr>
          </w:p>
        </w:tc>
        <w:tc>
          <w:tcPr>
            <w:tcW w:w="880" w:type="dxa"/>
            <w:vAlign w:val="bottom"/>
          </w:tcPr>
          <w:p>
            <w:pPr>
              <w:jc w:val="right"/>
              <w:ind w:right="153"/>
              <w:spacing w:after="0" w:line="177" w:lineRule="exact"/>
              <w:rPr>
                <w:sz w:val="20"/>
                <w:szCs w:val="20"/>
                <w:color w:val="auto"/>
              </w:rPr>
            </w:pPr>
            <w:r>
              <w:rPr>
                <w:rFonts w:ascii="Arial" w:cs="Arial" w:eastAsia="Arial" w:hAnsi="Arial"/>
                <w:sz w:val="18"/>
                <w:szCs w:val="18"/>
                <w:b w:val="1"/>
                <w:bCs w:val="1"/>
                <w:color w:val="auto"/>
              </w:rPr>
              <w:t>8,847</w:t>
            </w:r>
          </w:p>
        </w:tc>
        <w:tc>
          <w:tcPr>
            <w:tcW w:w="280" w:type="dxa"/>
            <w:vAlign w:val="bottom"/>
          </w:tcPr>
          <w:p>
            <w:pPr>
              <w:spacing w:after="0"/>
              <w:rPr>
                <w:sz w:val="15"/>
                <w:szCs w:val="15"/>
                <w:color w:val="auto"/>
              </w:rPr>
            </w:pPr>
          </w:p>
        </w:tc>
        <w:tc>
          <w:tcPr>
            <w:tcW w:w="700" w:type="dxa"/>
            <w:vAlign w:val="bottom"/>
          </w:tcPr>
          <w:p>
            <w:pPr>
              <w:jc w:val="right"/>
              <w:spacing w:after="0" w:line="177" w:lineRule="exact"/>
              <w:rPr>
                <w:sz w:val="20"/>
                <w:szCs w:val="20"/>
                <w:color w:val="auto"/>
              </w:rPr>
            </w:pPr>
            <w:r>
              <w:rPr>
                <w:rFonts w:ascii="Arial" w:cs="Arial" w:eastAsia="Arial" w:hAnsi="Arial"/>
                <w:sz w:val="18"/>
                <w:szCs w:val="18"/>
                <w:color w:val="auto"/>
              </w:rPr>
              <w:t>12,675</w:t>
            </w:r>
          </w:p>
        </w:tc>
        <w:tc>
          <w:tcPr>
            <w:tcW w:w="0" w:type="dxa"/>
            <w:vAlign w:val="bottom"/>
          </w:tcPr>
          <w:p>
            <w:pPr>
              <w:spacing w:after="0"/>
              <w:rPr>
                <w:sz w:val="1"/>
                <w:szCs w:val="1"/>
                <w:color w:val="auto"/>
              </w:rPr>
            </w:pPr>
          </w:p>
        </w:tc>
      </w:tr>
      <w:tr>
        <w:trPr>
          <w:trHeight w:val="203"/>
        </w:trPr>
        <w:tc>
          <w:tcPr>
            <w:tcW w:w="9200" w:type="dxa"/>
            <w:vAlign w:val="bottom"/>
            <w:gridSpan w:val="3"/>
          </w:tcPr>
          <w:p>
            <w:pPr>
              <w:spacing w:after="0" w:line="202" w:lineRule="exact"/>
              <w:rPr>
                <w:sz w:val="20"/>
                <w:szCs w:val="20"/>
                <w:color w:val="auto"/>
              </w:rPr>
            </w:pPr>
            <w:r>
              <w:rPr>
                <w:rFonts w:ascii="Arial" w:cs="Arial" w:eastAsia="Arial" w:hAnsi="Arial"/>
                <w:sz w:val="18"/>
                <w:szCs w:val="18"/>
                <w:color w:val="auto"/>
              </w:rPr>
              <w:t>Property and equipment, net of accumulated depreciation of $15,506 and $ 12,079</w:t>
            </w:r>
          </w:p>
        </w:tc>
        <w:tc>
          <w:tcPr>
            <w:tcW w:w="360" w:type="dxa"/>
            <w:vAlign w:val="bottom"/>
          </w:tcPr>
          <w:p>
            <w:pPr>
              <w:spacing w:after="0"/>
              <w:rPr>
                <w:sz w:val="17"/>
                <w:szCs w:val="17"/>
                <w:color w:val="auto"/>
              </w:rPr>
            </w:pPr>
          </w:p>
        </w:tc>
        <w:tc>
          <w:tcPr>
            <w:tcW w:w="880" w:type="dxa"/>
            <w:vAlign w:val="bottom"/>
          </w:tcPr>
          <w:p>
            <w:pPr>
              <w:jc w:val="right"/>
              <w:ind w:right="153"/>
              <w:spacing w:after="0" w:line="202" w:lineRule="exact"/>
              <w:rPr>
                <w:sz w:val="20"/>
                <w:szCs w:val="20"/>
                <w:color w:val="auto"/>
              </w:rPr>
            </w:pPr>
            <w:r>
              <w:rPr>
                <w:rFonts w:ascii="Arial" w:cs="Arial" w:eastAsia="Arial" w:hAnsi="Arial"/>
                <w:sz w:val="18"/>
                <w:szCs w:val="18"/>
                <w:b w:val="1"/>
                <w:bCs w:val="1"/>
                <w:color w:val="auto"/>
              </w:rPr>
              <w:t>21,248</w:t>
            </w:r>
          </w:p>
        </w:tc>
        <w:tc>
          <w:tcPr>
            <w:tcW w:w="280" w:type="dxa"/>
            <w:vAlign w:val="bottom"/>
          </w:tcPr>
          <w:p>
            <w:pPr>
              <w:spacing w:after="0"/>
              <w:rPr>
                <w:sz w:val="17"/>
                <w:szCs w:val="17"/>
                <w:color w:val="auto"/>
              </w:rPr>
            </w:pPr>
          </w:p>
        </w:tc>
        <w:tc>
          <w:tcPr>
            <w:tcW w:w="700" w:type="dxa"/>
            <w:vAlign w:val="bottom"/>
          </w:tcPr>
          <w:p>
            <w:pPr>
              <w:jc w:val="right"/>
              <w:spacing w:after="0" w:line="202" w:lineRule="exact"/>
              <w:rPr>
                <w:sz w:val="20"/>
                <w:szCs w:val="20"/>
                <w:color w:val="auto"/>
              </w:rPr>
            </w:pPr>
            <w:r>
              <w:rPr>
                <w:rFonts w:ascii="Arial" w:cs="Arial" w:eastAsia="Arial" w:hAnsi="Arial"/>
                <w:sz w:val="18"/>
                <w:szCs w:val="18"/>
                <w:color w:val="auto"/>
              </w:rPr>
              <w:t>17,704</w:t>
            </w:r>
          </w:p>
        </w:tc>
        <w:tc>
          <w:tcPr>
            <w:tcW w:w="0" w:type="dxa"/>
            <w:vAlign w:val="bottom"/>
          </w:tcPr>
          <w:p>
            <w:pPr>
              <w:spacing w:after="0"/>
              <w:rPr>
                <w:sz w:val="1"/>
                <w:szCs w:val="1"/>
                <w:color w:val="auto"/>
              </w:rPr>
            </w:pPr>
          </w:p>
        </w:tc>
      </w:tr>
      <w:tr>
        <w:trPr>
          <w:trHeight w:val="203"/>
        </w:trPr>
        <w:tc>
          <w:tcPr>
            <w:tcW w:w="9200" w:type="dxa"/>
            <w:vAlign w:val="bottom"/>
            <w:gridSpan w:val="3"/>
          </w:tcPr>
          <w:p>
            <w:pPr>
              <w:spacing w:after="0" w:line="202" w:lineRule="exact"/>
              <w:rPr>
                <w:sz w:val="20"/>
                <w:szCs w:val="20"/>
                <w:color w:val="auto"/>
              </w:rPr>
            </w:pPr>
            <w:r>
              <w:rPr>
                <w:rFonts w:ascii="Arial" w:cs="Arial" w:eastAsia="Arial" w:hAnsi="Arial"/>
                <w:sz w:val="18"/>
                <w:szCs w:val="18"/>
                <w:color w:val="auto"/>
              </w:rPr>
              <w:t>Franchise rights</w:t>
            </w:r>
          </w:p>
        </w:tc>
        <w:tc>
          <w:tcPr>
            <w:tcW w:w="360" w:type="dxa"/>
            <w:vAlign w:val="bottom"/>
          </w:tcPr>
          <w:p>
            <w:pPr>
              <w:spacing w:after="0"/>
              <w:rPr>
                <w:sz w:val="17"/>
                <w:szCs w:val="17"/>
                <w:color w:val="auto"/>
              </w:rPr>
            </w:pPr>
          </w:p>
        </w:tc>
        <w:tc>
          <w:tcPr>
            <w:tcW w:w="880" w:type="dxa"/>
            <w:vAlign w:val="bottom"/>
          </w:tcPr>
          <w:p>
            <w:pPr>
              <w:jc w:val="right"/>
              <w:ind w:right="153"/>
              <w:spacing w:after="0" w:line="202" w:lineRule="exact"/>
              <w:rPr>
                <w:sz w:val="20"/>
                <w:szCs w:val="20"/>
                <w:color w:val="auto"/>
              </w:rPr>
            </w:pPr>
            <w:r>
              <w:rPr>
                <w:rFonts w:ascii="Arial" w:cs="Arial" w:eastAsia="Arial" w:hAnsi="Arial"/>
                <w:sz w:val="18"/>
                <w:szCs w:val="18"/>
                <w:b w:val="1"/>
                <w:bCs w:val="1"/>
                <w:color w:val="auto"/>
              </w:rPr>
              <w:t>55,927</w:t>
            </w:r>
          </w:p>
        </w:tc>
        <w:tc>
          <w:tcPr>
            <w:tcW w:w="280" w:type="dxa"/>
            <w:vAlign w:val="bottom"/>
          </w:tcPr>
          <w:p>
            <w:pPr>
              <w:spacing w:after="0"/>
              <w:rPr>
                <w:sz w:val="17"/>
                <w:szCs w:val="17"/>
                <w:color w:val="auto"/>
              </w:rPr>
            </w:pPr>
          </w:p>
        </w:tc>
        <w:tc>
          <w:tcPr>
            <w:tcW w:w="700" w:type="dxa"/>
            <w:vAlign w:val="bottom"/>
          </w:tcPr>
          <w:p>
            <w:pPr>
              <w:jc w:val="right"/>
              <w:spacing w:after="0" w:line="202" w:lineRule="exact"/>
              <w:rPr>
                <w:sz w:val="20"/>
                <w:szCs w:val="20"/>
                <w:color w:val="auto"/>
              </w:rPr>
            </w:pPr>
            <w:r>
              <w:rPr>
                <w:rFonts w:ascii="Arial" w:cs="Arial" w:eastAsia="Arial" w:hAnsi="Arial"/>
                <w:sz w:val="18"/>
                <w:szCs w:val="18"/>
                <w:color w:val="auto"/>
              </w:rPr>
              <w:t>48,804</w:t>
            </w:r>
          </w:p>
        </w:tc>
        <w:tc>
          <w:tcPr>
            <w:tcW w:w="0" w:type="dxa"/>
            <w:vAlign w:val="bottom"/>
          </w:tcPr>
          <w:p>
            <w:pPr>
              <w:spacing w:after="0"/>
              <w:rPr>
                <w:sz w:val="1"/>
                <w:szCs w:val="1"/>
                <w:color w:val="auto"/>
              </w:rPr>
            </w:pPr>
          </w:p>
        </w:tc>
      </w:tr>
      <w:tr>
        <w:trPr>
          <w:trHeight w:val="203"/>
        </w:trPr>
        <w:tc>
          <w:tcPr>
            <w:tcW w:w="9200" w:type="dxa"/>
            <w:vAlign w:val="bottom"/>
            <w:gridSpan w:val="3"/>
          </w:tcPr>
          <w:p>
            <w:pPr>
              <w:spacing w:after="0" w:line="202" w:lineRule="exact"/>
              <w:rPr>
                <w:sz w:val="20"/>
                <w:szCs w:val="20"/>
                <w:color w:val="auto"/>
              </w:rPr>
            </w:pPr>
            <w:r>
              <w:rPr>
                <w:rFonts w:ascii="Arial" w:cs="Arial" w:eastAsia="Arial" w:hAnsi="Arial"/>
                <w:sz w:val="18"/>
                <w:szCs w:val="18"/>
                <w:color w:val="auto"/>
              </w:rPr>
              <w:t>Goodwill</w:t>
            </w:r>
          </w:p>
        </w:tc>
        <w:tc>
          <w:tcPr>
            <w:tcW w:w="360" w:type="dxa"/>
            <w:vAlign w:val="bottom"/>
          </w:tcPr>
          <w:p>
            <w:pPr>
              <w:spacing w:after="0"/>
              <w:rPr>
                <w:sz w:val="17"/>
                <w:szCs w:val="17"/>
                <w:color w:val="auto"/>
              </w:rPr>
            </w:pPr>
          </w:p>
        </w:tc>
        <w:tc>
          <w:tcPr>
            <w:tcW w:w="880" w:type="dxa"/>
            <w:vAlign w:val="bottom"/>
          </w:tcPr>
          <w:p>
            <w:pPr>
              <w:jc w:val="right"/>
              <w:ind w:right="153"/>
              <w:spacing w:after="0" w:line="202" w:lineRule="exact"/>
              <w:rPr>
                <w:sz w:val="20"/>
                <w:szCs w:val="20"/>
                <w:color w:val="auto"/>
              </w:rPr>
            </w:pPr>
            <w:r>
              <w:rPr>
                <w:rFonts w:ascii="Arial" w:cs="Arial" w:eastAsia="Arial" w:hAnsi="Arial"/>
                <w:sz w:val="18"/>
                <w:szCs w:val="18"/>
                <w:b w:val="1"/>
                <w:bCs w:val="1"/>
                <w:color w:val="auto"/>
              </w:rPr>
              <w:t>13,768</w:t>
            </w:r>
          </w:p>
        </w:tc>
        <w:tc>
          <w:tcPr>
            <w:tcW w:w="280" w:type="dxa"/>
            <w:vAlign w:val="bottom"/>
          </w:tcPr>
          <w:p>
            <w:pPr>
              <w:spacing w:after="0"/>
              <w:rPr>
                <w:sz w:val="17"/>
                <w:szCs w:val="17"/>
                <w:color w:val="auto"/>
              </w:rPr>
            </w:pPr>
          </w:p>
        </w:tc>
        <w:tc>
          <w:tcPr>
            <w:tcW w:w="700" w:type="dxa"/>
            <w:vAlign w:val="bottom"/>
          </w:tcPr>
          <w:p>
            <w:pPr>
              <w:jc w:val="right"/>
              <w:spacing w:after="0" w:line="202" w:lineRule="exact"/>
              <w:rPr>
                <w:sz w:val="20"/>
                <w:szCs w:val="20"/>
                <w:color w:val="auto"/>
              </w:rPr>
            </w:pPr>
            <w:r>
              <w:rPr>
                <w:rFonts w:ascii="Arial" w:cs="Arial" w:eastAsia="Arial" w:hAnsi="Arial"/>
                <w:sz w:val="18"/>
                <w:szCs w:val="18"/>
                <w:color w:val="auto"/>
              </w:rPr>
              <w:t>13,498</w:t>
            </w:r>
          </w:p>
        </w:tc>
        <w:tc>
          <w:tcPr>
            <w:tcW w:w="0" w:type="dxa"/>
            <w:vAlign w:val="bottom"/>
          </w:tcPr>
          <w:p>
            <w:pPr>
              <w:spacing w:after="0"/>
              <w:rPr>
                <w:sz w:val="1"/>
                <w:szCs w:val="1"/>
                <w:color w:val="auto"/>
              </w:rPr>
            </w:pPr>
          </w:p>
        </w:tc>
      </w:tr>
      <w:tr>
        <w:trPr>
          <w:trHeight w:val="203"/>
        </w:trPr>
        <w:tc>
          <w:tcPr>
            <w:tcW w:w="9200" w:type="dxa"/>
            <w:vAlign w:val="bottom"/>
            <w:gridSpan w:val="3"/>
          </w:tcPr>
          <w:p>
            <w:pPr>
              <w:spacing w:after="0" w:line="202" w:lineRule="exact"/>
              <w:rPr>
                <w:sz w:val="20"/>
                <w:szCs w:val="20"/>
                <w:color w:val="auto"/>
              </w:rPr>
            </w:pPr>
            <w:r>
              <w:rPr>
                <w:rFonts w:ascii="Arial" w:cs="Arial" w:eastAsia="Arial" w:hAnsi="Arial"/>
                <w:sz w:val="18"/>
                <w:szCs w:val="18"/>
                <w:color w:val="auto"/>
              </w:rPr>
              <w:t>Other intangible assets, net of accumulated amortization of $5,543 and $ 4,635</w:t>
            </w:r>
          </w:p>
        </w:tc>
        <w:tc>
          <w:tcPr>
            <w:tcW w:w="360" w:type="dxa"/>
            <w:vAlign w:val="bottom"/>
          </w:tcPr>
          <w:p>
            <w:pPr>
              <w:spacing w:after="0"/>
              <w:rPr>
                <w:sz w:val="17"/>
                <w:szCs w:val="17"/>
                <w:color w:val="auto"/>
              </w:rPr>
            </w:pPr>
          </w:p>
        </w:tc>
        <w:tc>
          <w:tcPr>
            <w:tcW w:w="880" w:type="dxa"/>
            <w:vAlign w:val="bottom"/>
          </w:tcPr>
          <w:p>
            <w:pPr>
              <w:jc w:val="right"/>
              <w:ind w:right="153"/>
              <w:spacing w:after="0" w:line="202" w:lineRule="exact"/>
              <w:rPr>
                <w:sz w:val="20"/>
                <w:szCs w:val="20"/>
                <w:color w:val="auto"/>
              </w:rPr>
            </w:pPr>
            <w:r>
              <w:rPr>
                <w:rFonts w:ascii="Arial" w:cs="Arial" w:eastAsia="Arial" w:hAnsi="Arial"/>
                <w:sz w:val="18"/>
                <w:szCs w:val="18"/>
                <w:b w:val="1"/>
                <w:bCs w:val="1"/>
                <w:color w:val="auto"/>
              </w:rPr>
              <w:t>4,881</w:t>
            </w:r>
          </w:p>
        </w:tc>
        <w:tc>
          <w:tcPr>
            <w:tcW w:w="280" w:type="dxa"/>
            <w:vAlign w:val="bottom"/>
          </w:tcPr>
          <w:p>
            <w:pPr>
              <w:spacing w:after="0"/>
              <w:rPr>
                <w:sz w:val="17"/>
                <w:szCs w:val="17"/>
                <w:color w:val="auto"/>
              </w:rPr>
            </w:pPr>
          </w:p>
        </w:tc>
        <w:tc>
          <w:tcPr>
            <w:tcW w:w="700" w:type="dxa"/>
            <w:vAlign w:val="bottom"/>
          </w:tcPr>
          <w:p>
            <w:pPr>
              <w:jc w:val="right"/>
              <w:spacing w:after="0" w:line="202" w:lineRule="exact"/>
              <w:rPr>
                <w:sz w:val="20"/>
                <w:szCs w:val="20"/>
                <w:color w:val="auto"/>
              </w:rPr>
            </w:pPr>
            <w:r>
              <w:rPr>
                <w:rFonts w:ascii="Arial" w:cs="Arial" w:eastAsia="Arial" w:hAnsi="Arial"/>
                <w:sz w:val="18"/>
                <w:szCs w:val="18"/>
                <w:color w:val="auto"/>
              </w:rPr>
              <w:t>3,118</w:t>
            </w:r>
          </w:p>
        </w:tc>
        <w:tc>
          <w:tcPr>
            <w:tcW w:w="0" w:type="dxa"/>
            <w:vAlign w:val="bottom"/>
          </w:tcPr>
          <w:p>
            <w:pPr>
              <w:spacing w:after="0"/>
              <w:rPr>
                <w:sz w:val="1"/>
                <w:szCs w:val="1"/>
                <w:color w:val="auto"/>
              </w:rPr>
            </w:pPr>
          </w:p>
        </w:tc>
      </w:tr>
      <w:tr>
        <w:trPr>
          <w:trHeight w:val="203"/>
        </w:trPr>
        <w:tc>
          <w:tcPr>
            <w:tcW w:w="9200" w:type="dxa"/>
            <w:vAlign w:val="bottom"/>
            <w:gridSpan w:val="3"/>
          </w:tcPr>
          <w:p>
            <w:pPr>
              <w:spacing w:after="0" w:line="202" w:lineRule="exact"/>
              <w:rPr>
                <w:sz w:val="20"/>
                <w:szCs w:val="20"/>
                <w:color w:val="auto"/>
              </w:rPr>
            </w:pPr>
            <w:r>
              <w:rPr>
                <w:rFonts w:ascii="Arial" w:cs="Arial" w:eastAsia="Arial" w:hAnsi="Arial"/>
                <w:sz w:val="18"/>
                <w:szCs w:val="18"/>
                <w:color w:val="auto"/>
              </w:rPr>
              <w:t>Other noncurrent assets, net</w:t>
            </w:r>
          </w:p>
        </w:tc>
        <w:tc>
          <w:tcPr>
            <w:tcW w:w="360" w:type="dxa"/>
            <w:vAlign w:val="bottom"/>
          </w:tcPr>
          <w:p>
            <w:pPr>
              <w:spacing w:after="0"/>
              <w:rPr>
                <w:sz w:val="17"/>
                <w:szCs w:val="17"/>
                <w:color w:val="auto"/>
              </w:rPr>
            </w:pPr>
          </w:p>
        </w:tc>
        <w:tc>
          <w:tcPr>
            <w:tcW w:w="880" w:type="dxa"/>
            <w:vAlign w:val="bottom"/>
          </w:tcPr>
          <w:p>
            <w:pPr>
              <w:jc w:val="right"/>
              <w:ind w:right="153"/>
              <w:spacing w:after="0" w:line="202" w:lineRule="exact"/>
              <w:rPr>
                <w:sz w:val="20"/>
                <w:szCs w:val="20"/>
                <w:color w:val="auto"/>
              </w:rPr>
            </w:pPr>
            <w:r>
              <w:rPr>
                <w:rFonts w:ascii="Arial" w:cs="Arial" w:eastAsia="Arial" w:hAnsi="Arial"/>
                <w:sz w:val="18"/>
                <w:szCs w:val="18"/>
                <w:b w:val="1"/>
                <w:bCs w:val="1"/>
                <w:color w:val="auto"/>
              </w:rPr>
              <w:t>532</w:t>
            </w:r>
          </w:p>
        </w:tc>
        <w:tc>
          <w:tcPr>
            <w:tcW w:w="280" w:type="dxa"/>
            <w:vAlign w:val="bottom"/>
          </w:tcPr>
          <w:p>
            <w:pPr>
              <w:spacing w:after="0"/>
              <w:rPr>
                <w:sz w:val="17"/>
                <w:szCs w:val="17"/>
                <w:color w:val="auto"/>
              </w:rPr>
            </w:pPr>
          </w:p>
        </w:tc>
        <w:tc>
          <w:tcPr>
            <w:tcW w:w="700" w:type="dxa"/>
            <w:vAlign w:val="bottom"/>
          </w:tcPr>
          <w:p>
            <w:pPr>
              <w:jc w:val="right"/>
              <w:spacing w:after="0" w:line="202" w:lineRule="exact"/>
              <w:rPr>
                <w:sz w:val="20"/>
                <w:szCs w:val="20"/>
                <w:color w:val="auto"/>
              </w:rPr>
            </w:pPr>
            <w:r>
              <w:rPr>
                <w:rFonts w:ascii="Arial" w:cs="Arial" w:eastAsia="Arial" w:hAnsi="Arial"/>
                <w:sz w:val="18"/>
                <w:szCs w:val="18"/>
                <w:color w:val="auto"/>
              </w:rPr>
              <w:t>635</w:t>
            </w:r>
          </w:p>
        </w:tc>
        <w:tc>
          <w:tcPr>
            <w:tcW w:w="0" w:type="dxa"/>
            <w:vAlign w:val="bottom"/>
          </w:tcPr>
          <w:p>
            <w:pPr>
              <w:spacing w:after="0"/>
              <w:rPr>
                <w:sz w:val="1"/>
                <w:szCs w:val="1"/>
                <w:color w:val="auto"/>
              </w:rPr>
            </w:pPr>
          </w:p>
        </w:tc>
      </w:tr>
      <w:tr>
        <w:trPr>
          <w:trHeight w:val="221"/>
        </w:trPr>
        <w:tc>
          <w:tcPr>
            <w:tcW w:w="9200" w:type="dxa"/>
            <w:vAlign w:val="bottom"/>
            <w:tcBorders>
              <w:bottom w:val="single" w:sz="8" w:color="auto"/>
            </w:tcBorders>
            <w:gridSpan w:val="3"/>
          </w:tcPr>
          <w:p>
            <w:pPr>
              <w:spacing w:after="0"/>
              <w:rPr>
                <w:sz w:val="20"/>
                <w:szCs w:val="20"/>
                <w:color w:val="auto"/>
              </w:rPr>
            </w:pPr>
            <w:r>
              <w:rPr>
                <w:rFonts w:ascii="Arial" w:cs="Arial" w:eastAsia="Arial" w:hAnsi="Arial"/>
                <w:sz w:val="18"/>
                <w:szCs w:val="18"/>
                <w:color w:val="auto"/>
              </w:rPr>
              <w:t>Noncurrent assets of discontinued operations, net</w:t>
            </w:r>
          </w:p>
        </w:tc>
        <w:tc>
          <w:tcPr>
            <w:tcW w:w="360" w:type="dxa"/>
            <w:vAlign w:val="bottom"/>
            <w:tcBorders>
              <w:bottom w:val="single" w:sz="8" w:color="auto"/>
            </w:tcBorders>
          </w:tcPr>
          <w:p>
            <w:pPr>
              <w:spacing w:after="0"/>
              <w:rPr>
                <w:sz w:val="19"/>
                <w:szCs w:val="19"/>
                <w:color w:val="auto"/>
              </w:rPr>
            </w:pPr>
          </w:p>
        </w:tc>
        <w:tc>
          <w:tcPr>
            <w:tcW w:w="880" w:type="dxa"/>
            <w:vAlign w:val="bottom"/>
            <w:tcBorders>
              <w:bottom w:val="single" w:sz="8" w:color="auto"/>
            </w:tcBorders>
          </w:tcPr>
          <w:p>
            <w:pPr>
              <w:jc w:val="right"/>
              <w:ind w:right="153"/>
              <w:spacing w:after="0"/>
              <w:rPr>
                <w:sz w:val="20"/>
                <w:szCs w:val="20"/>
                <w:color w:val="auto"/>
              </w:rPr>
            </w:pPr>
            <w:r>
              <w:rPr>
                <w:rFonts w:ascii="Arial" w:cs="Arial" w:eastAsia="Arial" w:hAnsi="Arial"/>
                <w:sz w:val="18"/>
                <w:szCs w:val="18"/>
                <w:b w:val="1"/>
                <w:bCs w:val="1"/>
                <w:color w:val="auto"/>
              </w:rPr>
              <w:t>—</w:t>
            </w:r>
          </w:p>
        </w:tc>
        <w:tc>
          <w:tcPr>
            <w:tcW w:w="280" w:type="dxa"/>
            <w:vAlign w:val="bottom"/>
            <w:tcBorders>
              <w:bottom w:val="single" w:sz="8" w:color="auto"/>
            </w:tcBorders>
          </w:tcPr>
          <w:p>
            <w:pPr>
              <w:spacing w:after="0"/>
              <w:rPr>
                <w:sz w:val="19"/>
                <w:szCs w:val="19"/>
                <w:color w:val="auto"/>
              </w:rPr>
            </w:pPr>
          </w:p>
        </w:tc>
        <w:tc>
          <w:tcPr>
            <w:tcW w:w="7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4,118</w:t>
            </w:r>
          </w:p>
        </w:tc>
        <w:tc>
          <w:tcPr>
            <w:tcW w:w="0" w:type="dxa"/>
            <w:vAlign w:val="bottom"/>
          </w:tcPr>
          <w:p>
            <w:pPr>
              <w:spacing w:after="0"/>
              <w:rPr>
                <w:sz w:val="1"/>
                <w:szCs w:val="1"/>
                <w:color w:val="auto"/>
              </w:rPr>
            </w:pPr>
          </w:p>
        </w:tc>
      </w:tr>
      <w:tr>
        <w:trPr>
          <w:trHeight w:val="196"/>
        </w:trPr>
        <w:tc>
          <w:tcPr>
            <w:tcW w:w="2720" w:type="dxa"/>
            <w:vAlign w:val="bottom"/>
            <w:tcBorders>
              <w:bottom w:val="single" w:sz="8" w:color="35BF85"/>
            </w:tcBorders>
          </w:tcPr>
          <w:p>
            <w:pPr>
              <w:spacing w:after="0"/>
              <w:rPr>
                <w:sz w:val="17"/>
                <w:szCs w:val="17"/>
                <w:color w:val="auto"/>
              </w:rPr>
            </w:pPr>
          </w:p>
        </w:tc>
        <w:tc>
          <w:tcPr>
            <w:tcW w:w="600" w:type="dxa"/>
            <w:vAlign w:val="bottom"/>
            <w:tcBorders>
              <w:bottom w:val="single" w:sz="8" w:color="35BF85"/>
            </w:tcBorders>
          </w:tcPr>
          <w:p>
            <w:pPr>
              <w:spacing w:after="0"/>
              <w:rPr>
                <w:sz w:val="17"/>
                <w:szCs w:val="17"/>
                <w:color w:val="auto"/>
              </w:rPr>
            </w:pPr>
          </w:p>
        </w:tc>
        <w:tc>
          <w:tcPr>
            <w:tcW w:w="5880" w:type="dxa"/>
            <w:vAlign w:val="bottom"/>
            <w:tcBorders>
              <w:bottom w:val="single" w:sz="8" w:color="35BF85"/>
            </w:tcBorders>
          </w:tcPr>
          <w:p>
            <w:pPr>
              <w:spacing w:after="0"/>
              <w:rPr>
                <w:sz w:val="17"/>
                <w:szCs w:val="17"/>
                <w:color w:val="auto"/>
              </w:rPr>
            </w:pPr>
          </w:p>
        </w:tc>
        <w:tc>
          <w:tcPr>
            <w:tcW w:w="360" w:type="dxa"/>
            <w:vAlign w:val="bottom"/>
            <w:tcBorders>
              <w:bottom w:val="single" w:sz="8" w:color="35BF85"/>
            </w:tcBorders>
          </w:tcPr>
          <w:p>
            <w:pPr>
              <w:jc w:val="right"/>
              <w:spacing w:after="0" w:line="196" w:lineRule="exact"/>
              <w:rPr>
                <w:sz w:val="20"/>
                <w:szCs w:val="20"/>
                <w:color w:val="auto"/>
              </w:rPr>
            </w:pPr>
            <w:r>
              <w:rPr>
                <w:rFonts w:ascii="Arial" w:cs="Arial" w:eastAsia="Arial" w:hAnsi="Arial"/>
                <w:sz w:val="18"/>
                <w:szCs w:val="18"/>
                <w:b w:val="1"/>
                <w:bCs w:val="1"/>
                <w:color w:val="auto"/>
              </w:rPr>
              <w:t>$</w:t>
            </w:r>
          </w:p>
        </w:tc>
        <w:tc>
          <w:tcPr>
            <w:tcW w:w="880" w:type="dxa"/>
            <w:vAlign w:val="bottom"/>
            <w:tcBorders>
              <w:bottom w:val="single" w:sz="8" w:color="35BF85"/>
            </w:tcBorders>
          </w:tcPr>
          <w:p>
            <w:pPr>
              <w:jc w:val="right"/>
              <w:ind w:right="153"/>
              <w:spacing w:after="0" w:line="196" w:lineRule="exact"/>
              <w:rPr>
                <w:sz w:val="20"/>
                <w:szCs w:val="20"/>
                <w:color w:val="auto"/>
              </w:rPr>
            </w:pPr>
            <w:r>
              <w:rPr>
                <w:rFonts w:ascii="Arial" w:cs="Arial" w:eastAsia="Arial" w:hAnsi="Arial"/>
                <w:sz w:val="18"/>
                <w:szCs w:val="18"/>
                <w:b w:val="1"/>
                <w:bCs w:val="1"/>
                <w:color w:val="auto"/>
                <w:w w:val="95"/>
              </w:rPr>
              <w:t>110,405</w:t>
            </w:r>
          </w:p>
        </w:tc>
        <w:tc>
          <w:tcPr>
            <w:tcW w:w="280" w:type="dxa"/>
            <w:vAlign w:val="bottom"/>
            <w:tcBorders>
              <w:bottom w:val="single" w:sz="8" w:color="35BF85"/>
            </w:tcBorders>
          </w:tcPr>
          <w:p>
            <w:pPr>
              <w:jc w:val="right"/>
              <w:spacing w:after="0" w:line="196" w:lineRule="exact"/>
              <w:rPr>
                <w:sz w:val="20"/>
                <w:szCs w:val="20"/>
                <w:color w:val="auto"/>
              </w:rPr>
            </w:pPr>
            <w:r>
              <w:rPr>
                <w:rFonts w:ascii="Arial" w:cs="Arial" w:eastAsia="Arial" w:hAnsi="Arial"/>
                <w:sz w:val="18"/>
                <w:szCs w:val="18"/>
                <w:color w:val="auto"/>
              </w:rPr>
              <w:t>$</w:t>
            </w:r>
          </w:p>
        </w:tc>
        <w:tc>
          <w:tcPr>
            <w:tcW w:w="700" w:type="dxa"/>
            <w:vAlign w:val="bottom"/>
            <w:tcBorders>
              <w:bottom w:val="single" w:sz="8" w:color="35BF85"/>
            </w:tcBorders>
          </w:tcPr>
          <w:p>
            <w:pPr>
              <w:jc w:val="right"/>
              <w:spacing w:after="0" w:line="196" w:lineRule="exact"/>
              <w:rPr>
                <w:sz w:val="20"/>
                <w:szCs w:val="20"/>
                <w:color w:val="auto"/>
              </w:rPr>
            </w:pPr>
            <w:r>
              <w:rPr>
                <w:rFonts w:ascii="Arial" w:cs="Arial" w:eastAsia="Arial" w:hAnsi="Arial"/>
                <w:sz w:val="18"/>
                <w:szCs w:val="18"/>
                <w:color w:val="auto"/>
                <w:w w:val="95"/>
              </w:rPr>
              <w:t>103,400</w:t>
            </w:r>
          </w:p>
        </w:tc>
        <w:tc>
          <w:tcPr>
            <w:tcW w:w="0" w:type="dxa"/>
            <w:vAlign w:val="bottom"/>
          </w:tcPr>
          <w:p>
            <w:pPr>
              <w:spacing w:after="0"/>
              <w:rPr>
                <w:sz w:val="1"/>
                <w:szCs w:val="1"/>
                <w:color w:val="auto"/>
              </w:rPr>
            </w:pPr>
          </w:p>
        </w:tc>
      </w:tr>
      <w:tr>
        <w:trPr>
          <w:trHeight w:val="415"/>
        </w:trPr>
        <w:tc>
          <w:tcPr>
            <w:tcW w:w="9200" w:type="dxa"/>
            <w:vAlign w:val="bottom"/>
            <w:gridSpan w:val="3"/>
          </w:tcPr>
          <w:p>
            <w:pPr>
              <w:spacing w:after="0"/>
              <w:rPr>
                <w:sz w:val="20"/>
                <w:szCs w:val="20"/>
                <w:color w:val="auto"/>
              </w:rPr>
            </w:pPr>
            <w:r>
              <w:rPr>
                <w:rFonts w:ascii="Arial" w:cs="Arial" w:eastAsia="Arial" w:hAnsi="Arial"/>
                <w:sz w:val="18"/>
                <w:szCs w:val="18"/>
                <w:b w:val="1"/>
                <w:bCs w:val="1"/>
                <w:color w:val="auto"/>
              </w:rPr>
              <w:t>Liabilities and Stockholders’ Equity</w:t>
            </w:r>
          </w:p>
        </w:tc>
        <w:tc>
          <w:tcPr>
            <w:tcW w:w="36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03"/>
        </w:trPr>
        <w:tc>
          <w:tcPr>
            <w:tcW w:w="9200" w:type="dxa"/>
            <w:vAlign w:val="bottom"/>
            <w:gridSpan w:val="3"/>
          </w:tcPr>
          <w:p>
            <w:pPr>
              <w:spacing w:after="0" w:line="202" w:lineRule="exact"/>
              <w:rPr>
                <w:sz w:val="20"/>
                <w:szCs w:val="20"/>
                <w:color w:val="auto"/>
              </w:rPr>
            </w:pPr>
            <w:r>
              <w:rPr>
                <w:rFonts w:ascii="Arial" w:cs="Arial" w:eastAsia="Arial" w:hAnsi="Arial"/>
                <w:sz w:val="18"/>
                <w:szCs w:val="18"/>
                <w:color w:val="auto"/>
              </w:rPr>
              <w:t>Current Liabilities</w:t>
            </w:r>
          </w:p>
        </w:tc>
        <w:tc>
          <w:tcPr>
            <w:tcW w:w="360" w:type="dxa"/>
            <w:vAlign w:val="bottom"/>
            <w:vMerge w:val="restart"/>
          </w:tcPr>
          <w:p>
            <w:pPr>
              <w:jc w:val="right"/>
              <w:spacing w:after="0"/>
              <w:rPr>
                <w:sz w:val="20"/>
                <w:szCs w:val="20"/>
                <w:color w:val="auto"/>
              </w:rPr>
            </w:pPr>
            <w:r>
              <w:rPr>
                <w:rFonts w:ascii="Arial" w:cs="Arial" w:eastAsia="Arial" w:hAnsi="Arial"/>
                <w:sz w:val="18"/>
                <w:szCs w:val="18"/>
                <w:b w:val="1"/>
                <w:bCs w:val="1"/>
                <w:color w:val="auto"/>
              </w:rPr>
              <w:t>$</w:t>
            </w:r>
          </w:p>
        </w:tc>
        <w:tc>
          <w:tcPr>
            <w:tcW w:w="880" w:type="dxa"/>
            <w:vAlign w:val="bottom"/>
            <w:vMerge w:val="restart"/>
          </w:tcPr>
          <w:p>
            <w:pPr>
              <w:jc w:val="right"/>
              <w:ind w:right="153"/>
              <w:spacing w:after="0"/>
              <w:rPr>
                <w:sz w:val="20"/>
                <w:szCs w:val="20"/>
                <w:color w:val="auto"/>
              </w:rPr>
            </w:pPr>
            <w:r>
              <w:rPr>
                <w:rFonts w:ascii="Arial" w:cs="Arial" w:eastAsia="Arial" w:hAnsi="Arial"/>
                <w:sz w:val="18"/>
                <w:szCs w:val="18"/>
                <w:b w:val="1"/>
                <w:bCs w:val="1"/>
                <w:color w:val="auto"/>
              </w:rPr>
              <w:t>2,862</w:t>
            </w:r>
          </w:p>
        </w:tc>
        <w:tc>
          <w:tcPr>
            <w:tcW w:w="28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81"/>
        </w:trPr>
        <w:tc>
          <w:tcPr>
            <w:tcW w:w="9200" w:type="dxa"/>
            <w:vAlign w:val="bottom"/>
            <w:gridSpan w:val="3"/>
          </w:tcPr>
          <w:p>
            <w:pPr>
              <w:ind w:left="220"/>
              <w:spacing w:after="0" w:line="181" w:lineRule="exact"/>
              <w:rPr>
                <w:sz w:val="20"/>
                <w:szCs w:val="20"/>
                <w:color w:val="auto"/>
              </w:rPr>
            </w:pPr>
            <w:r>
              <w:rPr>
                <w:rFonts w:ascii="Arial" w:cs="Arial" w:eastAsia="Arial" w:hAnsi="Arial"/>
                <w:sz w:val="18"/>
                <w:szCs w:val="18"/>
                <w:color w:val="auto"/>
              </w:rPr>
              <w:t>Accounts payable and accrued expenses related to trade creditors</w:t>
            </w:r>
          </w:p>
        </w:tc>
        <w:tc>
          <w:tcPr>
            <w:tcW w:w="360" w:type="dxa"/>
            <w:vAlign w:val="bottom"/>
            <w:vMerge w:val="continue"/>
          </w:tcPr>
          <w:p>
            <w:pPr>
              <w:spacing w:after="0"/>
              <w:rPr>
                <w:sz w:val="15"/>
                <w:szCs w:val="15"/>
                <w:color w:val="auto"/>
              </w:rPr>
            </w:pPr>
          </w:p>
        </w:tc>
        <w:tc>
          <w:tcPr>
            <w:tcW w:w="880" w:type="dxa"/>
            <w:vAlign w:val="bottom"/>
            <w:vMerge w:val="continue"/>
          </w:tcPr>
          <w:p>
            <w:pPr>
              <w:spacing w:after="0"/>
              <w:rPr>
                <w:sz w:val="15"/>
                <w:szCs w:val="15"/>
                <w:color w:val="auto"/>
              </w:rPr>
            </w:pPr>
          </w:p>
        </w:tc>
        <w:tc>
          <w:tcPr>
            <w:tcW w:w="280" w:type="dxa"/>
            <w:vAlign w:val="bottom"/>
          </w:tcPr>
          <w:p>
            <w:pPr>
              <w:jc w:val="right"/>
              <w:spacing w:after="0" w:line="181" w:lineRule="exact"/>
              <w:rPr>
                <w:sz w:val="20"/>
                <w:szCs w:val="20"/>
                <w:color w:val="auto"/>
              </w:rPr>
            </w:pPr>
            <w:r>
              <w:rPr>
                <w:rFonts w:ascii="Arial" w:cs="Arial" w:eastAsia="Arial" w:hAnsi="Arial"/>
                <w:sz w:val="18"/>
                <w:szCs w:val="18"/>
                <w:color w:val="auto"/>
              </w:rPr>
              <w:t>$</w:t>
            </w:r>
          </w:p>
        </w:tc>
        <w:tc>
          <w:tcPr>
            <w:tcW w:w="700" w:type="dxa"/>
            <w:vAlign w:val="bottom"/>
          </w:tcPr>
          <w:p>
            <w:pPr>
              <w:jc w:val="right"/>
              <w:spacing w:after="0" w:line="181" w:lineRule="exact"/>
              <w:rPr>
                <w:sz w:val="20"/>
                <w:szCs w:val="20"/>
                <w:color w:val="auto"/>
              </w:rPr>
            </w:pPr>
            <w:r>
              <w:rPr>
                <w:rFonts w:ascii="Arial" w:cs="Arial" w:eastAsia="Arial" w:hAnsi="Arial"/>
                <w:sz w:val="18"/>
                <w:szCs w:val="18"/>
                <w:color w:val="auto"/>
              </w:rPr>
              <w:t>2,239</w:t>
            </w:r>
          </w:p>
        </w:tc>
        <w:tc>
          <w:tcPr>
            <w:tcW w:w="0" w:type="dxa"/>
            <w:vAlign w:val="bottom"/>
          </w:tcPr>
          <w:p>
            <w:pPr>
              <w:spacing w:after="0"/>
              <w:rPr>
                <w:sz w:val="1"/>
                <w:szCs w:val="1"/>
                <w:color w:val="auto"/>
              </w:rPr>
            </w:pPr>
          </w:p>
        </w:tc>
      </w:tr>
      <w:tr>
        <w:trPr>
          <w:trHeight w:val="203"/>
        </w:trPr>
        <w:tc>
          <w:tcPr>
            <w:tcW w:w="9200" w:type="dxa"/>
            <w:vAlign w:val="bottom"/>
            <w:gridSpan w:val="3"/>
          </w:tcPr>
          <w:p>
            <w:pPr>
              <w:ind w:left="220"/>
              <w:spacing w:after="0" w:line="202" w:lineRule="exact"/>
              <w:rPr>
                <w:sz w:val="20"/>
                <w:szCs w:val="20"/>
                <w:color w:val="auto"/>
              </w:rPr>
            </w:pPr>
            <w:r>
              <w:rPr>
                <w:rFonts w:ascii="Arial" w:cs="Arial" w:eastAsia="Arial" w:hAnsi="Arial"/>
                <w:sz w:val="18"/>
                <w:szCs w:val="18"/>
                <w:color w:val="auto"/>
              </w:rPr>
              <w:t>Accrued salaries and wages</w:t>
            </w:r>
          </w:p>
        </w:tc>
        <w:tc>
          <w:tcPr>
            <w:tcW w:w="360" w:type="dxa"/>
            <w:vAlign w:val="bottom"/>
          </w:tcPr>
          <w:p>
            <w:pPr>
              <w:spacing w:after="0"/>
              <w:rPr>
                <w:sz w:val="17"/>
                <w:szCs w:val="17"/>
                <w:color w:val="auto"/>
              </w:rPr>
            </w:pPr>
          </w:p>
        </w:tc>
        <w:tc>
          <w:tcPr>
            <w:tcW w:w="880" w:type="dxa"/>
            <w:vAlign w:val="bottom"/>
          </w:tcPr>
          <w:p>
            <w:pPr>
              <w:jc w:val="right"/>
              <w:ind w:right="153"/>
              <w:spacing w:after="0" w:line="202" w:lineRule="exact"/>
              <w:rPr>
                <w:sz w:val="20"/>
                <w:szCs w:val="20"/>
                <w:color w:val="auto"/>
              </w:rPr>
            </w:pPr>
            <w:r>
              <w:rPr>
                <w:rFonts w:ascii="Arial" w:cs="Arial" w:eastAsia="Arial" w:hAnsi="Arial"/>
                <w:sz w:val="18"/>
                <w:szCs w:val="18"/>
                <w:b w:val="1"/>
                <w:bCs w:val="1"/>
                <w:color w:val="auto"/>
              </w:rPr>
              <w:t>453</w:t>
            </w:r>
          </w:p>
        </w:tc>
        <w:tc>
          <w:tcPr>
            <w:tcW w:w="280" w:type="dxa"/>
            <w:vAlign w:val="bottom"/>
          </w:tcPr>
          <w:p>
            <w:pPr>
              <w:spacing w:after="0"/>
              <w:rPr>
                <w:sz w:val="17"/>
                <w:szCs w:val="17"/>
                <w:color w:val="auto"/>
              </w:rPr>
            </w:pPr>
          </w:p>
        </w:tc>
        <w:tc>
          <w:tcPr>
            <w:tcW w:w="700" w:type="dxa"/>
            <w:vAlign w:val="bottom"/>
          </w:tcPr>
          <w:p>
            <w:pPr>
              <w:jc w:val="right"/>
              <w:spacing w:after="0" w:line="202" w:lineRule="exact"/>
              <w:rPr>
                <w:sz w:val="20"/>
                <w:szCs w:val="20"/>
                <w:color w:val="auto"/>
              </w:rPr>
            </w:pPr>
            <w:r>
              <w:rPr>
                <w:rFonts w:ascii="Arial" w:cs="Arial" w:eastAsia="Arial" w:hAnsi="Arial"/>
                <w:sz w:val="18"/>
                <w:szCs w:val="18"/>
                <w:color w:val="auto"/>
              </w:rPr>
              <w:t>360</w:t>
            </w:r>
          </w:p>
        </w:tc>
        <w:tc>
          <w:tcPr>
            <w:tcW w:w="0" w:type="dxa"/>
            <w:vAlign w:val="bottom"/>
          </w:tcPr>
          <w:p>
            <w:pPr>
              <w:spacing w:after="0"/>
              <w:rPr>
                <w:sz w:val="1"/>
                <w:szCs w:val="1"/>
                <w:color w:val="auto"/>
              </w:rPr>
            </w:pPr>
          </w:p>
        </w:tc>
      </w:tr>
      <w:tr>
        <w:trPr>
          <w:trHeight w:val="203"/>
        </w:trPr>
        <w:tc>
          <w:tcPr>
            <w:tcW w:w="9200" w:type="dxa"/>
            <w:vAlign w:val="bottom"/>
            <w:gridSpan w:val="3"/>
          </w:tcPr>
          <w:p>
            <w:pPr>
              <w:ind w:left="220"/>
              <w:spacing w:after="0" w:line="202" w:lineRule="exact"/>
              <w:rPr>
                <w:sz w:val="20"/>
                <w:szCs w:val="20"/>
                <w:color w:val="auto"/>
              </w:rPr>
            </w:pPr>
            <w:r>
              <w:rPr>
                <w:rFonts w:ascii="Arial" w:cs="Arial" w:eastAsia="Arial" w:hAnsi="Arial"/>
                <w:sz w:val="18"/>
                <w:szCs w:val="18"/>
                <w:color w:val="auto"/>
              </w:rPr>
              <w:t>Other current liabilities</w:t>
            </w:r>
          </w:p>
        </w:tc>
        <w:tc>
          <w:tcPr>
            <w:tcW w:w="360" w:type="dxa"/>
            <w:vAlign w:val="bottom"/>
          </w:tcPr>
          <w:p>
            <w:pPr>
              <w:spacing w:after="0"/>
              <w:rPr>
                <w:sz w:val="17"/>
                <w:szCs w:val="17"/>
                <w:color w:val="auto"/>
              </w:rPr>
            </w:pPr>
          </w:p>
        </w:tc>
        <w:tc>
          <w:tcPr>
            <w:tcW w:w="880" w:type="dxa"/>
            <w:vAlign w:val="bottom"/>
          </w:tcPr>
          <w:p>
            <w:pPr>
              <w:jc w:val="right"/>
              <w:ind w:right="153"/>
              <w:spacing w:after="0" w:line="202" w:lineRule="exact"/>
              <w:rPr>
                <w:sz w:val="20"/>
                <w:szCs w:val="20"/>
                <w:color w:val="auto"/>
              </w:rPr>
            </w:pPr>
            <w:r>
              <w:rPr>
                <w:rFonts w:ascii="Arial" w:cs="Arial" w:eastAsia="Arial" w:hAnsi="Arial"/>
                <w:sz w:val="18"/>
                <w:szCs w:val="18"/>
                <w:b w:val="1"/>
                <w:bCs w:val="1"/>
                <w:color w:val="auto"/>
              </w:rPr>
              <w:t>2,579</w:t>
            </w:r>
          </w:p>
        </w:tc>
        <w:tc>
          <w:tcPr>
            <w:tcW w:w="280" w:type="dxa"/>
            <w:vAlign w:val="bottom"/>
          </w:tcPr>
          <w:p>
            <w:pPr>
              <w:spacing w:after="0"/>
              <w:rPr>
                <w:sz w:val="17"/>
                <w:szCs w:val="17"/>
                <w:color w:val="auto"/>
              </w:rPr>
            </w:pPr>
          </w:p>
        </w:tc>
        <w:tc>
          <w:tcPr>
            <w:tcW w:w="700" w:type="dxa"/>
            <w:vAlign w:val="bottom"/>
          </w:tcPr>
          <w:p>
            <w:pPr>
              <w:jc w:val="right"/>
              <w:spacing w:after="0" w:line="202" w:lineRule="exact"/>
              <w:rPr>
                <w:sz w:val="20"/>
                <w:szCs w:val="20"/>
                <w:color w:val="auto"/>
              </w:rPr>
            </w:pPr>
            <w:r>
              <w:rPr>
                <w:rFonts w:ascii="Arial" w:cs="Arial" w:eastAsia="Arial" w:hAnsi="Arial"/>
                <w:sz w:val="18"/>
                <w:szCs w:val="18"/>
                <w:color w:val="auto"/>
              </w:rPr>
              <w:t>2,122</w:t>
            </w:r>
          </w:p>
        </w:tc>
        <w:tc>
          <w:tcPr>
            <w:tcW w:w="0" w:type="dxa"/>
            <w:vAlign w:val="bottom"/>
          </w:tcPr>
          <w:p>
            <w:pPr>
              <w:spacing w:after="0"/>
              <w:rPr>
                <w:sz w:val="1"/>
                <w:szCs w:val="1"/>
                <w:color w:val="auto"/>
              </w:rPr>
            </w:pPr>
          </w:p>
        </w:tc>
      </w:tr>
      <w:tr>
        <w:trPr>
          <w:trHeight w:val="203"/>
        </w:trPr>
        <w:tc>
          <w:tcPr>
            <w:tcW w:w="9200" w:type="dxa"/>
            <w:vAlign w:val="bottom"/>
            <w:gridSpan w:val="3"/>
          </w:tcPr>
          <w:p>
            <w:pPr>
              <w:ind w:left="220"/>
              <w:spacing w:after="0" w:line="202" w:lineRule="exact"/>
              <w:rPr>
                <w:sz w:val="20"/>
                <w:szCs w:val="20"/>
                <w:color w:val="auto"/>
              </w:rPr>
            </w:pPr>
            <w:r>
              <w:rPr>
                <w:rFonts w:ascii="Arial" w:cs="Arial" w:eastAsia="Arial" w:hAnsi="Arial"/>
                <w:sz w:val="18"/>
                <w:szCs w:val="18"/>
                <w:color w:val="auto"/>
              </w:rPr>
              <w:t>Deferred income taxes</w:t>
            </w:r>
          </w:p>
        </w:tc>
        <w:tc>
          <w:tcPr>
            <w:tcW w:w="360" w:type="dxa"/>
            <w:vAlign w:val="bottom"/>
          </w:tcPr>
          <w:p>
            <w:pPr>
              <w:spacing w:after="0"/>
              <w:rPr>
                <w:sz w:val="17"/>
                <w:szCs w:val="17"/>
                <w:color w:val="auto"/>
              </w:rPr>
            </w:pPr>
          </w:p>
        </w:tc>
        <w:tc>
          <w:tcPr>
            <w:tcW w:w="880" w:type="dxa"/>
            <w:vAlign w:val="bottom"/>
          </w:tcPr>
          <w:p>
            <w:pPr>
              <w:jc w:val="right"/>
              <w:ind w:right="153"/>
              <w:spacing w:after="0" w:line="202" w:lineRule="exact"/>
              <w:rPr>
                <w:sz w:val="20"/>
                <w:szCs w:val="20"/>
                <w:color w:val="auto"/>
              </w:rPr>
            </w:pPr>
            <w:r>
              <w:rPr>
                <w:rFonts w:ascii="Arial" w:cs="Arial" w:eastAsia="Arial" w:hAnsi="Arial"/>
                <w:sz w:val="18"/>
                <w:szCs w:val="18"/>
                <w:b w:val="1"/>
                <w:bCs w:val="1"/>
                <w:color w:val="auto"/>
              </w:rPr>
              <w:t>563</w:t>
            </w:r>
          </w:p>
        </w:tc>
        <w:tc>
          <w:tcPr>
            <w:tcW w:w="280" w:type="dxa"/>
            <w:vAlign w:val="bottom"/>
          </w:tcPr>
          <w:p>
            <w:pPr>
              <w:spacing w:after="0"/>
              <w:rPr>
                <w:sz w:val="17"/>
                <w:szCs w:val="17"/>
                <w:color w:val="auto"/>
              </w:rPr>
            </w:pPr>
          </w:p>
        </w:tc>
        <w:tc>
          <w:tcPr>
            <w:tcW w:w="700" w:type="dxa"/>
            <w:vAlign w:val="bottom"/>
          </w:tcPr>
          <w:p>
            <w:pPr>
              <w:jc w:val="right"/>
              <w:spacing w:after="0" w:line="202" w:lineRule="exact"/>
              <w:rPr>
                <w:sz w:val="20"/>
                <w:szCs w:val="20"/>
                <w:color w:val="auto"/>
              </w:rPr>
            </w:pPr>
            <w:r>
              <w:rPr>
                <w:rFonts w:ascii="Arial" w:cs="Arial" w:eastAsia="Arial" w:hAnsi="Arial"/>
                <w:sz w:val="18"/>
                <w:szCs w:val="18"/>
                <w:color w:val="auto"/>
              </w:rPr>
              <w:t>2</w:t>
            </w:r>
          </w:p>
        </w:tc>
        <w:tc>
          <w:tcPr>
            <w:tcW w:w="0" w:type="dxa"/>
            <w:vAlign w:val="bottom"/>
          </w:tcPr>
          <w:p>
            <w:pPr>
              <w:spacing w:after="0"/>
              <w:rPr>
                <w:sz w:val="1"/>
                <w:szCs w:val="1"/>
                <w:color w:val="auto"/>
              </w:rPr>
            </w:pPr>
          </w:p>
        </w:tc>
      </w:tr>
      <w:tr>
        <w:trPr>
          <w:trHeight w:val="203"/>
        </w:trPr>
        <w:tc>
          <w:tcPr>
            <w:tcW w:w="9200" w:type="dxa"/>
            <w:vAlign w:val="bottom"/>
            <w:gridSpan w:val="3"/>
          </w:tcPr>
          <w:p>
            <w:pPr>
              <w:ind w:left="220"/>
              <w:spacing w:after="0" w:line="202" w:lineRule="exact"/>
              <w:rPr>
                <w:sz w:val="20"/>
                <w:szCs w:val="20"/>
                <w:color w:val="auto"/>
              </w:rPr>
            </w:pPr>
            <w:r>
              <w:rPr>
                <w:rFonts w:ascii="Arial" w:cs="Arial" w:eastAsia="Arial" w:hAnsi="Arial"/>
                <w:sz w:val="18"/>
                <w:szCs w:val="18"/>
                <w:color w:val="auto"/>
              </w:rPr>
              <w:t>Current portion of long-term debt</w:t>
            </w:r>
          </w:p>
        </w:tc>
        <w:tc>
          <w:tcPr>
            <w:tcW w:w="360" w:type="dxa"/>
            <w:vAlign w:val="bottom"/>
          </w:tcPr>
          <w:p>
            <w:pPr>
              <w:spacing w:after="0"/>
              <w:rPr>
                <w:sz w:val="17"/>
                <w:szCs w:val="17"/>
                <w:color w:val="auto"/>
              </w:rPr>
            </w:pPr>
          </w:p>
        </w:tc>
        <w:tc>
          <w:tcPr>
            <w:tcW w:w="880" w:type="dxa"/>
            <w:vAlign w:val="bottom"/>
          </w:tcPr>
          <w:p>
            <w:pPr>
              <w:jc w:val="right"/>
              <w:ind w:right="153"/>
              <w:spacing w:after="0" w:line="202" w:lineRule="exact"/>
              <w:rPr>
                <w:sz w:val="20"/>
                <w:szCs w:val="20"/>
                <w:color w:val="auto"/>
              </w:rPr>
            </w:pPr>
            <w:r>
              <w:rPr>
                <w:rFonts w:ascii="Arial" w:cs="Arial" w:eastAsia="Arial" w:hAnsi="Arial"/>
                <w:sz w:val="18"/>
                <w:szCs w:val="18"/>
                <w:b w:val="1"/>
                <w:bCs w:val="1"/>
                <w:color w:val="auto"/>
              </w:rPr>
              <w:t>983</w:t>
            </w:r>
          </w:p>
        </w:tc>
        <w:tc>
          <w:tcPr>
            <w:tcW w:w="280" w:type="dxa"/>
            <w:vAlign w:val="bottom"/>
          </w:tcPr>
          <w:p>
            <w:pPr>
              <w:spacing w:after="0"/>
              <w:rPr>
                <w:sz w:val="17"/>
                <w:szCs w:val="17"/>
                <w:color w:val="auto"/>
              </w:rPr>
            </w:pPr>
          </w:p>
        </w:tc>
        <w:tc>
          <w:tcPr>
            <w:tcW w:w="700" w:type="dxa"/>
            <w:vAlign w:val="bottom"/>
          </w:tcPr>
          <w:p>
            <w:pPr>
              <w:jc w:val="right"/>
              <w:spacing w:after="0" w:line="202" w:lineRule="exact"/>
              <w:rPr>
                <w:sz w:val="20"/>
                <w:szCs w:val="20"/>
                <w:color w:val="auto"/>
              </w:rPr>
            </w:pPr>
            <w:r>
              <w:rPr>
                <w:rFonts w:ascii="Arial" w:cs="Arial" w:eastAsia="Arial" w:hAnsi="Arial"/>
                <w:sz w:val="18"/>
                <w:szCs w:val="18"/>
                <w:color w:val="auto"/>
              </w:rPr>
              <w:t>1,689</w:t>
            </w:r>
          </w:p>
        </w:tc>
        <w:tc>
          <w:tcPr>
            <w:tcW w:w="0" w:type="dxa"/>
            <w:vAlign w:val="bottom"/>
          </w:tcPr>
          <w:p>
            <w:pPr>
              <w:spacing w:after="0"/>
              <w:rPr>
                <w:sz w:val="1"/>
                <w:szCs w:val="1"/>
                <w:color w:val="auto"/>
              </w:rPr>
            </w:pPr>
          </w:p>
        </w:tc>
      </w:tr>
      <w:tr>
        <w:trPr>
          <w:trHeight w:val="221"/>
        </w:trPr>
        <w:tc>
          <w:tcPr>
            <w:tcW w:w="9200" w:type="dxa"/>
            <w:vAlign w:val="bottom"/>
            <w:tcBorders>
              <w:bottom w:val="single" w:sz="8" w:color="auto"/>
            </w:tcBorders>
            <w:gridSpan w:val="3"/>
          </w:tcPr>
          <w:p>
            <w:pPr>
              <w:spacing w:after="0"/>
              <w:rPr>
                <w:sz w:val="20"/>
                <w:szCs w:val="20"/>
                <w:color w:val="auto"/>
              </w:rPr>
            </w:pPr>
            <w:r>
              <w:rPr>
                <w:rFonts w:ascii="Arial" w:cs="Arial" w:eastAsia="Arial" w:hAnsi="Arial"/>
                <w:sz w:val="18"/>
                <w:szCs w:val="18"/>
                <w:color w:val="auto"/>
              </w:rPr>
              <w:t>Current liabilities of discontinued operations</w:t>
            </w:r>
          </w:p>
        </w:tc>
        <w:tc>
          <w:tcPr>
            <w:tcW w:w="360" w:type="dxa"/>
            <w:vAlign w:val="bottom"/>
            <w:tcBorders>
              <w:bottom w:val="single" w:sz="8" w:color="auto"/>
            </w:tcBorders>
          </w:tcPr>
          <w:p>
            <w:pPr>
              <w:spacing w:after="0"/>
              <w:rPr>
                <w:sz w:val="19"/>
                <w:szCs w:val="19"/>
                <w:color w:val="auto"/>
              </w:rPr>
            </w:pPr>
          </w:p>
        </w:tc>
        <w:tc>
          <w:tcPr>
            <w:tcW w:w="880" w:type="dxa"/>
            <w:vAlign w:val="bottom"/>
            <w:tcBorders>
              <w:bottom w:val="single" w:sz="8" w:color="auto"/>
            </w:tcBorders>
          </w:tcPr>
          <w:p>
            <w:pPr>
              <w:jc w:val="right"/>
              <w:ind w:right="153"/>
              <w:spacing w:after="0"/>
              <w:rPr>
                <w:sz w:val="20"/>
                <w:szCs w:val="20"/>
                <w:color w:val="auto"/>
              </w:rPr>
            </w:pPr>
            <w:r>
              <w:rPr>
                <w:rFonts w:ascii="Arial" w:cs="Arial" w:eastAsia="Arial" w:hAnsi="Arial"/>
                <w:sz w:val="18"/>
                <w:szCs w:val="18"/>
                <w:b w:val="1"/>
                <w:bCs w:val="1"/>
                <w:color w:val="auto"/>
              </w:rPr>
              <w:t>—</w:t>
            </w:r>
          </w:p>
        </w:tc>
        <w:tc>
          <w:tcPr>
            <w:tcW w:w="280" w:type="dxa"/>
            <w:vAlign w:val="bottom"/>
            <w:tcBorders>
              <w:bottom w:val="single" w:sz="8" w:color="auto"/>
            </w:tcBorders>
          </w:tcPr>
          <w:p>
            <w:pPr>
              <w:spacing w:after="0"/>
              <w:rPr>
                <w:sz w:val="19"/>
                <w:szCs w:val="19"/>
                <w:color w:val="auto"/>
              </w:rPr>
            </w:pPr>
          </w:p>
        </w:tc>
        <w:tc>
          <w:tcPr>
            <w:tcW w:w="7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112</w:t>
            </w:r>
          </w:p>
        </w:tc>
        <w:tc>
          <w:tcPr>
            <w:tcW w:w="0" w:type="dxa"/>
            <w:vAlign w:val="bottom"/>
          </w:tcPr>
          <w:p>
            <w:pPr>
              <w:spacing w:after="0"/>
              <w:rPr>
                <w:sz w:val="1"/>
                <w:szCs w:val="1"/>
                <w:color w:val="auto"/>
              </w:rPr>
            </w:pPr>
          </w:p>
        </w:tc>
      </w:tr>
      <w:tr>
        <w:trPr>
          <w:trHeight w:val="196"/>
        </w:trPr>
        <w:tc>
          <w:tcPr>
            <w:tcW w:w="9200" w:type="dxa"/>
            <w:vAlign w:val="bottom"/>
            <w:tcBorders>
              <w:bottom w:val="single" w:sz="8" w:color="auto"/>
            </w:tcBorders>
            <w:gridSpan w:val="3"/>
          </w:tcPr>
          <w:p>
            <w:pPr>
              <w:ind w:left="440"/>
              <w:spacing w:after="0" w:line="196" w:lineRule="exact"/>
              <w:rPr>
                <w:sz w:val="20"/>
                <w:szCs w:val="20"/>
                <w:color w:val="auto"/>
              </w:rPr>
            </w:pPr>
            <w:r>
              <w:rPr>
                <w:rFonts w:ascii="Arial" w:cs="Arial" w:eastAsia="Arial" w:hAnsi="Arial"/>
                <w:sz w:val="18"/>
                <w:szCs w:val="18"/>
                <w:color w:val="auto"/>
              </w:rPr>
              <w:t>Total current liabilities</w:t>
            </w:r>
          </w:p>
        </w:tc>
        <w:tc>
          <w:tcPr>
            <w:tcW w:w="360" w:type="dxa"/>
            <w:vAlign w:val="bottom"/>
            <w:tcBorders>
              <w:bottom w:val="single" w:sz="8" w:color="auto"/>
            </w:tcBorders>
          </w:tcPr>
          <w:p>
            <w:pPr>
              <w:spacing w:after="0"/>
              <w:rPr>
                <w:sz w:val="17"/>
                <w:szCs w:val="17"/>
                <w:color w:val="auto"/>
              </w:rPr>
            </w:pPr>
          </w:p>
        </w:tc>
        <w:tc>
          <w:tcPr>
            <w:tcW w:w="880" w:type="dxa"/>
            <w:vAlign w:val="bottom"/>
            <w:tcBorders>
              <w:bottom w:val="single" w:sz="8" w:color="auto"/>
            </w:tcBorders>
          </w:tcPr>
          <w:p>
            <w:pPr>
              <w:jc w:val="right"/>
              <w:ind w:right="153"/>
              <w:spacing w:after="0" w:line="196" w:lineRule="exact"/>
              <w:rPr>
                <w:sz w:val="20"/>
                <w:szCs w:val="20"/>
                <w:color w:val="auto"/>
              </w:rPr>
            </w:pPr>
            <w:r>
              <w:rPr>
                <w:rFonts w:ascii="Arial" w:cs="Arial" w:eastAsia="Arial" w:hAnsi="Arial"/>
                <w:sz w:val="18"/>
                <w:szCs w:val="18"/>
                <w:b w:val="1"/>
                <w:bCs w:val="1"/>
                <w:color w:val="auto"/>
              </w:rPr>
              <w:t>7,440</w:t>
            </w:r>
          </w:p>
        </w:tc>
        <w:tc>
          <w:tcPr>
            <w:tcW w:w="280" w:type="dxa"/>
            <w:vAlign w:val="bottom"/>
            <w:tcBorders>
              <w:bottom w:val="single" w:sz="8" w:color="auto"/>
            </w:tcBorders>
          </w:tcPr>
          <w:p>
            <w:pPr>
              <w:spacing w:after="0"/>
              <w:rPr>
                <w:sz w:val="17"/>
                <w:szCs w:val="17"/>
                <w:color w:val="auto"/>
              </w:rPr>
            </w:pPr>
          </w:p>
        </w:tc>
        <w:tc>
          <w:tcPr>
            <w:tcW w:w="700" w:type="dxa"/>
            <w:vAlign w:val="bottom"/>
            <w:tcBorders>
              <w:bottom w:val="single" w:sz="8" w:color="auto"/>
            </w:tcBorders>
          </w:tcPr>
          <w:p>
            <w:pPr>
              <w:jc w:val="right"/>
              <w:spacing w:after="0" w:line="196" w:lineRule="exact"/>
              <w:rPr>
                <w:sz w:val="20"/>
                <w:szCs w:val="20"/>
                <w:color w:val="auto"/>
              </w:rPr>
            </w:pPr>
            <w:r>
              <w:rPr>
                <w:rFonts w:ascii="Arial" w:cs="Arial" w:eastAsia="Arial" w:hAnsi="Arial"/>
                <w:sz w:val="18"/>
                <w:szCs w:val="18"/>
                <w:color w:val="auto"/>
              </w:rPr>
              <w:t>6,524</w:t>
            </w:r>
          </w:p>
        </w:tc>
        <w:tc>
          <w:tcPr>
            <w:tcW w:w="0" w:type="dxa"/>
            <w:vAlign w:val="bottom"/>
          </w:tcPr>
          <w:p>
            <w:pPr>
              <w:spacing w:after="0"/>
              <w:rPr>
                <w:sz w:val="1"/>
                <w:szCs w:val="1"/>
                <w:color w:val="auto"/>
              </w:rPr>
            </w:pPr>
          </w:p>
        </w:tc>
      </w:tr>
      <w:tr>
        <w:trPr>
          <w:trHeight w:val="177"/>
        </w:trPr>
        <w:tc>
          <w:tcPr>
            <w:tcW w:w="9200" w:type="dxa"/>
            <w:vAlign w:val="bottom"/>
            <w:gridSpan w:val="3"/>
          </w:tcPr>
          <w:p>
            <w:pPr>
              <w:spacing w:after="0" w:line="177" w:lineRule="exact"/>
              <w:rPr>
                <w:sz w:val="20"/>
                <w:szCs w:val="20"/>
                <w:color w:val="auto"/>
              </w:rPr>
            </w:pPr>
            <w:r>
              <w:rPr>
                <w:rFonts w:ascii="Arial" w:cs="Arial" w:eastAsia="Arial" w:hAnsi="Arial"/>
                <w:sz w:val="18"/>
                <w:szCs w:val="18"/>
                <w:color w:val="auto"/>
              </w:rPr>
              <w:t>Long-term debt, less current portion</w:t>
            </w:r>
          </w:p>
        </w:tc>
        <w:tc>
          <w:tcPr>
            <w:tcW w:w="360" w:type="dxa"/>
            <w:vAlign w:val="bottom"/>
          </w:tcPr>
          <w:p>
            <w:pPr>
              <w:spacing w:after="0"/>
              <w:rPr>
                <w:sz w:val="15"/>
                <w:szCs w:val="15"/>
                <w:color w:val="auto"/>
              </w:rPr>
            </w:pPr>
          </w:p>
        </w:tc>
        <w:tc>
          <w:tcPr>
            <w:tcW w:w="880" w:type="dxa"/>
            <w:vAlign w:val="bottom"/>
          </w:tcPr>
          <w:p>
            <w:pPr>
              <w:jc w:val="right"/>
              <w:ind w:right="153"/>
              <w:spacing w:after="0" w:line="177" w:lineRule="exact"/>
              <w:rPr>
                <w:sz w:val="20"/>
                <w:szCs w:val="20"/>
                <w:color w:val="auto"/>
              </w:rPr>
            </w:pPr>
            <w:r>
              <w:rPr>
                <w:rFonts w:ascii="Arial" w:cs="Arial" w:eastAsia="Arial" w:hAnsi="Arial"/>
                <w:sz w:val="18"/>
                <w:szCs w:val="18"/>
                <w:b w:val="1"/>
                <w:bCs w:val="1"/>
                <w:color w:val="auto"/>
              </w:rPr>
              <w:t>27,992</w:t>
            </w:r>
          </w:p>
        </w:tc>
        <w:tc>
          <w:tcPr>
            <w:tcW w:w="280" w:type="dxa"/>
            <w:vAlign w:val="bottom"/>
          </w:tcPr>
          <w:p>
            <w:pPr>
              <w:spacing w:after="0"/>
              <w:rPr>
                <w:sz w:val="15"/>
                <w:szCs w:val="15"/>
                <w:color w:val="auto"/>
              </w:rPr>
            </w:pPr>
          </w:p>
        </w:tc>
        <w:tc>
          <w:tcPr>
            <w:tcW w:w="700" w:type="dxa"/>
            <w:vAlign w:val="bottom"/>
          </w:tcPr>
          <w:p>
            <w:pPr>
              <w:jc w:val="right"/>
              <w:spacing w:after="0" w:line="177" w:lineRule="exact"/>
              <w:rPr>
                <w:sz w:val="20"/>
                <w:szCs w:val="20"/>
                <w:color w:val="auto"/>
              </w:rPr>
            </w:pPr>
            <w:r>
              <w:rPr>
                <w:rFonts w:ascii="Arial" w:cs="Arial" w:eastAsia="Arial" w:hAnsi="Arial"/>
                <w:sz w:val="18"/>
                <w:szCs w:val="18"/>
                <w:color w:val="auto"/>
              </w:rPr>
              <w:t>21,682</w:t>
            </w:r>
          </w:p>
        </w:tc>
        <w:tc>
          <w:tcPr>
            <w:tcW w:w="0" w:type="dxa"/>
            <w:vAlign w:val="bottom"/>
          </w:tcPr>
          <w:p>
            <w:pPr>
              <w:spacing w:after="0"/>
              <w:rPr>
                <w:sz w:val="1"/>
                <w:szCs w:val="1"/>
                <w:color w:val="auto"/>
              </w:rPr>
            </w:pPr>
          </w:p>
        </w:tc>
      </w:tr>
      <w:tr>
        <w:trPr>
          <w:trHeight w:val="203"/>
        </w:trPr>
        <w:tc>
          <w:tcPr>
            <w:tcW w:w="9200" w:type="dxa"/>
            <w:vAlign w:val="bottom"/>
            <w:gridSpan w:val="3"/>
          </w:tcPr>
          <w:p>
            <w:pPr>
              <w:spacing w:after="0" w:line="202" w:lineRule="exact"/>
              <w:rPr>
                <w:sz w:val="20"/>
                <w:szCs w:val="20"/>
                <w:color w:val="auto"/>
              </w:rPr>
            </w:pPr>
            <w:r>
              <w:rPr>
                <w:rFonts w:ascii="Arial" w:cs="Arial" w:eastAsia="Arial" w:hAnsi="Arial"/>
                <w:sz w:val="18"/>
                <w:szCs w:val="18"/>
                <w:color w:val="auto"/>
              </w:rPr>
              <w:t>Deferred income taxes</w:t>
            </w:r>
          </w:p>
        </w:tc>
        <w:tc>
          <w:tcPr>
            <w:tcW w:w="360" w:type="dxa"/>
            <w:vAlign w:val="bottom"/>
          </w:tcPr>
          <w:p>
            <w:pPr>
              <w:spacing w:after="0"/>
              <w:rPr>
                <w:sz w:val="17"/>
                <w:szCs w:val="17"/>
                <w:color w:val="auto"/>
              </w:rPr>
            </w:pPr>
          </w:p>
        </w:tc>
        <w:tc>
          <w:tcPr>
            <w:tcW w:w="880" w:type="dxa"/>
            <w:vAlign w:val="bottom"/>
          </w:tcPr>
          <w:p>
            <w:pPr>
              <w:jc w:val="right"/>
              <w:ind w:right="153"/>
              <w:spacing w:after="0" w:line="202" w:lineRule="exact"/>
              <w:rPr>
                <w:sz w:val="20"/>
                <w:szCs w:val="20"/>
                <w:color w:val="auto"/>
              </w:rPr>
            </w:pPr>
            <w:r>
              <w:rPr>
                <w:rFonts w:ascii="Arial" w:cs="Arial" w:eastAsia="Arial" w:hAnsi="Arial"/>
                <w:sz w:val="18"/>
                <w:szCs w:val="18"/>
                <w:b w:val="1"/>
                <w:bCs w:val="1"/>
                <w:color w:val="auto"/>
              </w:rPr>
              <w:t>27,089</w:t>
            </w:r>
          </w:p>
        </w:tc>
        <w:tc>
          <w:tcPr>
            <w:tcW w:w="280" w:type="dxa"/>
            <w:vAlign w:val="bottom"/>
          </w:tcPr>
          <w:p>
            <w:pPr>
              <w:spacing w:after="0"/>
              <w:rPr>
                <w:sz w:val="17"/>
                <w:szCs w:val="17"/>
                <w:color w:val="auto"/>
              </w:rPr>
            </w:pPr>
          </w:p>
        </w:tc>
        <w:tc>
          <w:tcPr>
            <w:tcW w:w="700" w:type="dxa"/>
            <w:vAlign w:val="bottom"/>
          </w:tcPr>
          <w:p>
            <w:pPr>
              <w:jc w:val="right"/>
              <w:spacing w:after="0" w:line="202" w:lineRule="exact"/>
              <w:rPr>
                <w:sz w:val="20"/>
                <w:szCs w:val="20"/>
                <w:color w:val="auto"/>
              </w:rPr>
            </w:pPr>
            <w:r>
              <w:rPr>
                <w:rFonts w:ascii="Arial" w:cs="Arial" w:eastAsia="Arial" w:hAnsi="Arial"/>
                <w:sz w:val="18"/>
                <w:szCs w:val="18"/>
                <w:color w:val="auto"/>
              </w:rPr>
              <w:t>27,370</w:t>
            </w:r>
          </w:p>
        </w:tc>
        <w:tc>
          <w:tcPr>
            <w:tcW w:w="0" w:type="dxa"/>
            <w:vAlign w:val="bottom"/>
          </w:tcPr>
          <w:p>
            <w:pPr>
              <w:spacing w:after="0"/>
              <w:rPr>
                <w:sz w:val="1"/>
                <w:szCs w:val="1"/>
                <w:color w:val="auto"/>
              </w:rPr>
            </w:pPr>
          </w:p>
        </w:tc>
      </w:tr>
      <w:tr>
        <w:trPr>
          <w:trHeight w:val="203"/>
        </w:trPr>
        <w:tc>
          <w:tcPr>
            <w:tcW w:w="9200" w:type="dxa"/>
            <w:vAlign w:val="bottom"/>
            <w:gridSpan w:val="3"/>
          </w:tcPr>
          <w:p>
            <w:pPr>
              <w:spacing w:after="0" w:line="202" w:lineRule="exact"/>
              <w:rPr>
                <w:sz w:val="20"/>
                <w:szCs w:val="20"/>
                <w:color w:val="auto"/>
              </w:rPr>
            </w:pPr>
            <w:r>
              <w:rPr>
                <w:rFonts w:ascii="Arial" w:cs="Arial" w:eastAsia="Arial" w:hAnsi="Arial"/>
                <w:sz w:val="18"/>
                <w:szCs w:val="18"/>
                <w:color w:val="auto"/>
              </w:rPr>
              <w:t>Other noncurrent liabilities</w:t>
            </w:r>
          </w:p>
        </w:tc>
        <w:tc>
          <w:tcPr>
            <w:tcW w:w="360" w:type="dxa"/>
            <w:vAlign w:val="bottom"/>
          </w:tcPr>
          <w:p>
            <w:pPr>
              <w:spacing w:after="0"/>
              <w:rPr>
                <w:sz w:val="17"/>
                <w:szCs w:val="17"/>
                <w:color w:val="auto"/>
              </w:rPr>
            </w:pPr>
          </w:p>
        </w:tc>
        <w:tc>
          <w:tcPr>
            <w:tcW w:w="880" w:type="dxa"/>
            <w:vAlign w:val="bottom"/>
          </w:tcPr>
          <w:p>
            <w:pPr>
              <w:jc w:val="right"/>
              <w:ind w:right="153"/>
              <w:spacing w:after="0" w:line="202" w:lineRule="exact"/>
              <w:rPr>
                <w:sz w:val="20"/>
                <w:szCs w:val="20"/>
                <w:color w:val="auto"/>
              </w:rPr>
            </w:pPr>
            <w:r>
              <w:rPr>
                <w:rFonts w:ascii="Arial" w:cs="Arial" w:eastAsia="Arial" w:hAnsi="Arial"/>
                <w:sz w:val="18"/>
                <w:szCs w:val="18"/>
                <w:b w:val="1"/>
                <w:bCs w:val="1"/>
                <w:color w:val="auto"/>
              </w:rPr>
              <w:t>6,476</w:t>
            </w:r>
          </w:p>
        </w:tc>
        <w:tc>
          <w:tcPr>
            <w:tcW w:w="280" w:type="dxa"/>
            <w:vAlign w:val="bottom"/>
          </w:tcPr>
          <w:p>
            <w:pPr>
              <w:spacing w:after="0"/>
              <w:rPr>
                <w:sz w:val="17"/>
                <w:szCs w:val="17"/>
                <w:color w:val="auto"/>
              </w:rPr>
            </w:pPr>
          </w:p>
        </w:tc>
        <w:tc>
          <w:tcPr>
            <w:tcW w:w="700" w:type="dxa"/>
            <w:vAlign w:val="bottom"/>
          </w:tcPr>
          <w:p>
            <w:pPr>
              <w:jc w:val="right"/>
              <w:spacing w:after="0" w:line="202" w:lineRule="exact"/>
              <w:rPr>
                <w:sz w:val="20"/>
                <w:szCs w:val="20"/>
                <w:color w:val="auto"/>
              </w:rPr>
            </w:pPr>
            <w:r>
              <w:rPr>
                <w:rFonts w:ascii="Arial" w:cs="Arial" w:eastAsia="Arial" w:hAnsi="Arial"/>
                <w:sz w:val="18"/>
                <w:szCs w:val="18"/>
                <w:color w:val="auto"/>
              </w:rPr>
              <w:t>6,920</w:t>
            </w:r>
          </w:p>
        </w:tc>
        <w:tc>
          <w:tcPr>
            <w:tcW w:w="0" w:type="dxa"/>
            <w:vAlign w:val="bottom"/>
          </w:tcPr>
          <w:p>
            <w:pPr>
              <w:spacing w:after="0"/>
              <w:rPr>
                <w:sz w:val="1"/>
                <w:szCs w:val="1"/>
                <w:color w:val="auto"/>
              </w:rPr>
            </w:pPr>
          </w:p>
        </w:tc>
      </w:tr>
      <w:tr>
        <w:trPr>
          <w:trHeight w:val="203"/>
        </w:trPr>
        <w:tc>
          <w:tcPr>
            <w:tcW w:w="9200" w:type="dxa"/>
            <w:vAlign w:val="bottom"/>
            <w:gridSpan w:val="3"/>
          </w:tcPr>
          <w:p>
            <w:pPr>
              <w:spacing w:after="0" w:line="202" w:lineRule="exact"/>
              <w:rPr>
                <w:sz w:val="20"/>
                <w:szCs w:val="20"/>
                <w:color w:val="auto"/>
              </w:rPr>
            </w:pPr>
            <w:r>
              <w:rPr>
                <w:rFonts w:ascii="Arial" w:cs="Arial" w:eastAsia="Arial" w:hAnsi="Arial"/>
                <w:sz w:val="18"/>
                <w:szCs w:val="18"/>
                <w:color w:val="auto"/>
              </w:rPr>
              <w:t>Noncurrent liabilities of discontinued operations</w:t>
            </w:r>
          </w:p>
        </w:tc>
        <w:tc>
          <w:tcPr>
            <w:tcW w:w="360" w:type="dxa"/>
            <w:vAlign w:val="bottom"/>
          </w:tcPr>
          <w:p>
            <w:pPr>
              <w:spacing w:after="0"/>
              <w:rPr>
                <w:sz w:val="17"/>
                <w:szCs w:val="17"/>
                <w:color w:val="auto"/>
              </w:rPr>
            </w:pPr>
          </w:p>
        </w:tc>
        <w:tc>
          <w:tcPr>
            <w:tcW w:w="880" w:type="dxa"/>
            <w:vAlign w:val="bottom"/>
          </w:tcPr>
          <w:p>
            <w:pPr>
              <w:jc w:val="right"/>
              <w:ind w:right="153"/>
              <w:spacing w:after="0" w:line="202" w:lineRule="exact"/>
              <w:rPr>
                <w:sz w:val="20"/>
                <w:szCs w:val="20"/>
                <w:color w:val="auto"/>
              </w:rPr>
            </w:pPr>
            <w:r>
              <w:rPr>
                <w:rFonts w:ascii="Arial" w:cs="Arial" w:eastAsia="Arial" w:hAnsi="Arial"/>
                <w:sz w:val="18"/>
                <w:szCs w:val="18"/>
                <w:b w:val="1"/>
                <w:bCs w:val="1"/>
                <w:color w:val="auto"/>
              </w:rPr>
              <w:t>—</w:t>
            </w:r>
          </w:p>
        </w:tc>
        <w:tc>
          <w:tcPr>
            <w:tcW w:w="280" w:type="dxa"/>
            <w:vAlign w:val="bottom"/>
          </w:tcPr>
          <w:p>
            <w:pPr>
              <w:spacing w:after="0"/>
              <w:rPr>
                <w:sz w:val="17"/>
                <w:szCs w:val="17"/>
                <w:color w:val="auto"/>
              </w:rPr>
            </w:pPr>
          </w:p>
        </w:tc>
        <w:tc>
          <w:tcPr>
            <w:tcW w:w="700" w:type="dxa"/>
            <w:vAlign w:val="bottom"/>
          </w:tcPr>
          <w:p>
            <w:pPr>
              <w:jc w:val="right"/>
              <w:spacing w:after="0" w:line="202" w:lineRule="exact"/>
              <w:rPr>
                <w:sz w:val="20"/>
                <w:szCs w:val="20"/>
                <w:color w:val="auto"/>
              </w:rPr>
            </w:pPr>
            <w:r>
              <w:rPr>
                <w:rFonts w:ascii="Arial" w:cs="Arial" w:eastAsia="Arial" w:hAnsi="Arial"/>
                <w:sz w:val="18"/>
                <w:szCs w:val="18"/>
                <w:color w:val="auto"/>
              </w:rPr>
              <w:t>28</w:t>
            </w:r>
          </w:p>
        </w:tc>
        <w:tc>
          <w:tcPr>
            <w:tcW w:w="0" w:type="dxa"/>
            <w:vAlign w:val="bottom"/>
          </w:tcPr>
          <w:p>
            <w:pPr>
              <w:spacing w:after="0"/>
              <w:rPr>
                <w:sz w:val="1"/>
                <w:szCs w:val="1"/>
                <w:color w:val="auto"/>
              </w:rPr>
            </w:pPr>
          </w:p>
        </w:tc>
      </w:tr>
      <w:tr>
        <w:trPr>
          <w:trHeight w:val="225"/>
        </w:trPr>
        <w:tc>
          <w:tcPr>
            <w:tcW w:w="9200" w:type="dxa"/>
            <w:vAlign w:val="bottom"/>
            <w:gridSpan w:val="3"/>
          </w:tcPr>
          <w:p>
            <w:pPr>
              <w:spacing w:after="0"/>
              <w:rPr>
                <w:sz w:val="20"/>
                <w:szCs w:val="20"/>
                <w:color w:val="auto"/>
              </w:rPr>
            </w:pPr>
            <w:r>
              <w:rPr>
                <w:rFonts w:ascii="Arial" w:cs="Arial" w:eastAsia="Arial" w:hAnsi="Arial"/>
                <w:sz w:val="18"/>
                <w:szCs w:val="18"/>
                <w:color w:val="auto"/>
              </w:rPr>
              <w:t>Minority interest</w:t>
            </w:r>
          </w:p>
        </w:tc>
        <w:tc>
          <w:tcPr>
            <w:tcW w:w="360" w:type="dxa"/>
            <w:vAlign w:val="bottom"/>
          </w:tcPr>
          <w:p>
            <w:pPr>
              <w:spacing w:after="0"/>
              <w:rPr>
                <w:sz w:val="19"/>
                <w:szCs w:val="19"/>
                <w:color w:val="auto"/>
              </w:rPr>
            </w:pPr>
          </w:p>
        </w:tc>
        <w:tc>
          <w:tcPr>
            <w:tcW w:w="880" w:type="dxa"/>
            <w:vAlign w:val="bottom"/>
          </w:tcPr>
          <w:p>
            <w:pPr>
              <w:jc w:val="right"/>
              <w:ind w:right="153"/>
              <w:spacing w:after="0"/>
              <w:rPr>
                <w:sz w:val="20"/>
                <w:szCs w:val="20"/>
                <w:color w:val="auto"/>
              </w:rPr>
            </w:pPr>
            <w:r>
              <w:rPr>
                <w:rFonts w:ascii="Arial" w:cs="Arial" w:eastAsia="Arial" w:hAnsi="Arial"/>
                <w:sz w:val="18"/>
                <w:szCs w:val="18"/>
                <w:b w:val="1"/>
                <w:bCs w:val="1"/>
                <w:color w:val="auto"/>
              </w:rPr>
              <w:t>241</w:t>
            </w:r>
          </w:p>
        </w:tc>
        <w:tc>
          <w:tcPr>
            <w:tcW w:w="280" w:type="dxa"/>
            <w:vAlign w:val="bottom"/>
          </w:tcPr>
          <w:p>
            <w:pPr>
              <w:spacing w:after="0"/>
              <w:rPr>
                <w:sz w:val="19"/>
                <w:szCs w:val="19"/>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rPr>
              <w:t>657</w:t>
            </w:r>
          </w:p>
        </w:tc>
        <w:tc>
          <w:tcPr>
            <w:tcW w:w="0" w:type="dxa"/>
            <w:vAlign w:val="bottom"/>
          </w:tcPr>
          <w:p>
            <w:pPr>
              <w:spacing w:after="0"/>
              <w:rPr>
                <w:sz w:val="1"/>
                <w:szCs w:val="1"/>
                <w:color w:val="auto"/>
              </w:rPr>
            </w:pPr>
          </w:p>
        </w:tc>
      </w:tr>
      <w:tr>
        <w:trPr>
          <w:trHeight w:val="172"/>
        </w:trPr>
        <w:tc>
          <w:tcPr>
            <w:tcW w:w="9200" w:type="dxa"/>
            <w:vAlign w:val="bottom"/>
            <w:gridSpan w:val="3"/>
          </w:tcPr>
          <w:p>
            <w:pPr>
              <w:spacing w:after="0" w:line="172" w:lineRule="exact"/>
              <w:rPr>
                <w:rFonts w:ascii="Arial" w:cs="Arial" w:eastAsia="Arial" w:hAnsi="Arial"/>
                <w:sz w:val="18"/>
                <w:szCs w:val="18"/>
                <w:color w:val="auto"/>
              </w:rPr>
            </w:pPr>
            <w:r>
              <w:rPr>
                <w:rFonts w:ascii="Arial" w:cs="Arial" w:eastAsia="Arial" w:hAnsi="Arial"/>
                <w:sz w:val="18"/>
                <w:szCs w:val="18"/>
                <w:color w:val="auto"/>
              </w:rPr>
              <w:t xml:space="preserve">Commitments and contingencies ( </w:t>
            </w:r>
            <w:hyperlink w:anchor="page141">
              <w:r>
                <w:rPr>
                  <w:rFonts w:ascii="Arial" w:cs="Arial" w:eastAsia="Arial" w:hAnsi="Arial"/>
                  <w:sz w:val="18"/>
                  <w:szCs w:val="18"/>
                  <w:color w:val="0000EE"/>
                </w:rPr>
                <w:t>Note 13</w:t>
              </w:r>
            </w:hyperlink>
            <w:r>
              <w:rPr>
                <w:rFonts w:ascii="Arial" w:cs="Arial" w:eastAsia="Arial" w:hAnsi="Arial"/>
                <w:sz w:val="18"/>
                <w:szCs w:val="18"/>
                <w:color w:val="auto"/>
              </w:rPr>
              <w:t>)</w:t>
            </w:r>
          </w:p>
        </w:tc>
        <w:tc>
          <w:tcPr>
            <w:tcW w:w="36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13"/>
        </w:trPr>
        <w:tc>
          <w:tcPr>
            <w:tcW w:w="2720" w:type="dxa"/>
            <w:vAlign w:val="bottom"/>
          </w:tcPr>
          <w:p>
            <w:pPr>
              <w:spacing w:after="0"/>
              <w:rPr>
                <w:sz w:val="20"/>
                <w:szCs w:val="20"/>
                <w:color w:val="auto"/>
              </w:rPr>
            </w:pPr>
            <w:r>
              <w:rPr>
                <w:rFonts w:ascii="Arial" w:cs="Arial" w:eastAsia="Arial" w:hAnsi="Arial"/>
                <w:sz w:val="18"/>
                <w:szCs w:val="18"/>
                <w:color w:val="auto"/>
              </w:rPr>
              <w:t>Stockholders’ equity</w:t>
            </w:r>
          </w:p>
        </w:tc>
        <w:tc>
          <w:tcPr>
            <w:tcW w:w="600" w:type="dxa"/>
            <w:vAlign w:val="bottom"/>
            <w:tcBorders>
              <w:top w:val="single" w:sz="8" w:color="0000EE"/>
            </w:tcBorders>
          </w:tcPr>
          <w:p>
            <w:pPr>
              <w:spacing w:after="0"/>
              <w:rPr>
                <w:sz w:val="18"/>
                <w:szCs w:val="18"/>
                <w:color w:val="auto"/>
              </w:rPr>
            </w:pPr>
          </w:p>
        </w:tc>
        <w:tc>
          <w:tcPr>
            <w:tcW w:w="588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880" w:type="dxa"/>
            <w:vAlign w:val="bottom"/>
            <w:vMerge w:val="restart"/>
          </w:tcPr>
          <w:p>
            <w:pPr>
              <w:jc w:val="right"/>
              <w:ind w:right="153"/>
              <w:spacing w:after="0"/>
              <w:rPr>
                <w:sz w:val="20"/>
                <w:szCs w:val="20"/>
                <w:color w:val="auto"/>
              </w:rPr>
            </w:pPr>
            <w:r>
              <w:rPr>
                <w:rFonts w:ascii="Arial" w:cs="Arial" w:eastAsia="Arial" w:hAnsi="Arial"/>
                <w:sz w:val="18"/>
                <w:szCs w:val="18"/>
                <w:b w:val="1"/>
                <w:bCs w:val="1"/>
                <w:color w:val="auto"/>
              </w:rPr>
              <w:t>—</w:t>
            </w:r>
          </w:p>
        </w:tc>
        <w:tc>
          <w:tcPr>
            <w:tcW w:w="28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3"/>
        </w:trPr>
        <w:tc>
          <w:tcPr>
            <w:tcW w:w="9200" w:type="dxa"/>
            <w:vAlign w:val="bottom"/>
            <w:gridSpan w:val="3"/>
          </w:tcPr>
          <w:p>
            <w:pPr>
              <w:ind w:left="220"/>
              <w:spacing w:after="0" w:line="202" w:lineRule="exact"/>
              <w:rPr>
                <w:sz w:val="20"/>
                <w:szCs w:val="20"/>
                <w:color w:val="auto"/>
              </w:rPr>
            </w:pPr>
            <w:r>
              <w:rPr>
                <w:rFonts w:ascii="Arial" w:cs="Arial" w:eastAsia="Arial" w:hAnsi="Arial"/>
                <w:sz w:val="18"/>
                <w:szCs w:val="18"/>
                <w:color w:val="auto"/>
              </w:rPr>
              <w:t>Preferred stock — authorized 20,000,000 shares; issued, zero</w:t>
            </w:r>
          </w:p>
        </w:tc>
        <w:tc>
          <w:tcPr>
            <w:tcW w:w="360" w:type="dxa"/>
            <w:vAlign w:val="bottom"/>
          </w:tcPr>
          <w:p>
            <w:pPr>
              <w:spacing w:after="0"/>
              <w:rPr>
                <w:sz w:val="17"/>
                <w:szCs w:val="17"/>
                <w:color w:val="auto"/>
              </w:rPr>
            </w:pPr>
          </w:p>
        </w:tc>
        <w:tc>
          <w:tcPr>
            <w:tcW w:w="880" w:type="dxa"/>
            <w:vAlign w:val="bottom"/>
            <w:vMerge w:val="continue"/>
          </w:tcPr>
          <w:p>
            <w:pPr>
              <w:spacing w:after="0"/>
              <w:rPr>
                <w:sz w:val="17"/>
                <w:szCs w:val="17"/>
                <w:color w:val="auto"/>
              </w:rPr>
            </w:pPr>
          </w:p>
        </w:tc>
        <w:tc>
          <w:tcPr>
            <w:tcW w:w="280" w:type="dxa"/>
            <w:vAlign w:val="bottom"/>
          </w:tcPr>
          <w:p>
            <w:pPr>
              <w:spacing w:after="0"/>
              <w:rPr>
                <w:sz w:val="17"/>
                <w:szCs w:val="17"/>
                <w:color w:val="auto"/>
              </w:rPr>
            </w:pPr>
          </w:p>
        </w:tc>
        <w:tc>
          <w:tcPr>
            <w:tcW w:w="700" w:type="dxa"/>
            <w:vAlign w:val="bottom"/>
          </w:tcPr>
          <w:p>
            <w:pPr>
              <w:jc w:val="right"/>
              <w:spacing w:after="0" w:line="202" w:lineRule="exact"/>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03"/>
        </w:trPr>
        <w:tc>
          <w:tcPr>
            <w:tcW w:w="9200" w:type="dxa"/>
            <w:vAlign w:val="bottom"/>
            <w:gridSpan w:val="3"/>
          </w:tcPr>
          <w:p>
            <w:pPr>
              <w:ind w:left="220"/>
              <w:spacing w:after="0" w:line="202" w:lineRule="exact"/>
              <w:rPr>
                <w:sz w:val="20"/>
                <w:szCs w:val="20"/>
                <w:color w:val="auto"/>
              </w:rPr>
            </w:pPr>
            <w:r>
              <w:rPr>
                <w:rFonts w:ascii="Arial" w:cs="Arial" w:eastAsia="Arial" w:hAnsi="Arial"/>
                <w:sz w:val="18"/>
                <w:szCs w:val="18"/>
                <w:color w:val="auto"/>
              </w:rPr>
              <w:t>Class A common stock, $0.01 par value — authorized, 7,500,000,000 shares; issued, 2,425,818,710 and</w:t>
            </w:r>
          </w:p>
        </w:tc>
        <w:tc>
          <w:tcPr>
            <w:tcW w:w="360" w:type="dxa"/>
            <w:vAlign w:val="bottom"/>
          </w:tcPr>
          <w:p>
            <w:pPr>
              <w:spacing w:after="0"/>
              <w:rPr>
                <w:sz w:val="17"/>
                <w:szCs w:val="17"/>
                <w:color w:val="auto"/>
              </w:rPr>
            </w:pPr>
          </w:p>
        </w:tc>
        <w:tc>
          <w:tcPr>
            <w:tcW w:w="880" w:type="dxa"/>
            <w:vAlign w:val="bottom"/>
            <w:vMerge w:val="restart"/>
          </w:tcPr>
          <w:p>
            <w:pPr>
              <w:jc w:val="right"/>
              <w:ind w:right="153"/>
              <w:spacing w:after="0"/>
              <w:rPr>
                <w:sz w:val="20"/>
                <w:szCs w:val="20"/>
                <w:color w:val="auto"/>
              </w:rPr>
            </w:pPr>
            <w:r>
              <w:rPr>
                <w:rFonts w:ascii="Arial" w:cs="Arial" w:eastAsia="Arial" w:hAnsi="Arial"/>
                <w:sz w:val="18"/>
                <w:szCs w:val="18"/>
                <w:b w:val="1"/>
                <w:bCs w:val="1"/>
                <w:color w:val="auto"/>
              </w:rPr>
              <w:t>24</w:t>
            </w:r>
          </w:p>
        </w:tc>
        <w:tc>
          <w:tcPr>
            <w:tcW w:w="28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9200" w:type="dxa"/>
            <w:vAlign w:val="bottom"/>
            <w:gridSpan w:val="3"/>
          </w:tcPr>
          <w:p>
            <w:pPr>
              <w:ind w:left="440"/>
              <w:spacing w:after="0" w:line="202" w:lineRule="exact"/>
              <w:rPr>
                <w:sz w:val="20"/>
                <w:szCs w:val="20"/>
                <w:color w:val="auto"/>
              </w:rPr>
            </w:pPr>
            <w:r>
              <w:rPr>
                <w:rFonts w:ascii="Arial" w:cs="Arial" w:eastAsia="Arial" w:hAnsi="Arial"/>
                <w:sz w:val="18"/>
                <w:szCs w:val="18"/>
                <w:color w:val="auto"/>
              </w:rPr>
              <w:t>2,410,511,727; outstanding, 2,060,357,960, and 2,045,050,977</w:t>
            </w:r>
          </w:p>
        </w:tc>
        <w:tc>
          <w:tcPr>
            <w:tcW w:w="360" w:type="dxa"/>
            <w:vAlign w:val="bottom"/>
          </w:tcPr>
          <w:p>
            <w:pPr>
              <w:spacing w:after="0"/>
              <w:rPr>
                <w:sz w:val="17"/>
                <w:szCs w:val="17"/>
                <w:color w:val="auto"/>
              </w:rPr>
            </w:pPr>
          </w:p>
        </w:tc>
        <w:tc>
          <w:tcPr>
            <w:tcW w:w="880" w:type="dxa"/>
            <w:vAlign w:val="bottom"/>
            <w:vMerge w:val="continue"/>
          </w:tcPr>
          <w:p>
            <w:pPr>
              <w:spacing w:after="0"/>
              <w:rPr>
                <w:sz w:val="17"/>
                <w:szCs w:val="17"/>
                <w:color w:val="auto"/>
              </w:rPr>
            </w:pPr>
          </w:p>
        </w:tc>
        <w:tc>
          <w:tcPr>
            <w:tcW w:w="280" w:type="dxa"/>
            <w:vAlign w:val="bottom"/>
          </w:tcPr>
          <w:p>
            <w:pPr>
              <w:spacing w:after="0"/>
              <w:rPr>
                <w:sz w:val="17"/>
                <w:szCs w:val="17"/>
                <w:color w:val="auto"/>
              </w:rPr>
            </w:pPr>
          </w:p>
        </w:tc>
        <w:tc>
          <w:tcPr>
            <w:tcW w:w="700" w:type="dxa"/>
            <w:vAlign w:val="bottom"/>
          </w:tcPr>
          <w:p>
            <w:pPr>
              <w:jc w:val="right"/>
              <w:spacing w:after="0" w:line="202" w:lineRule="exact"/>
              <w:rPr>
                <w:sz w:val="20"/>
                <w:szCs w:val="20"/>
                <w:color w:val="auto"/>
              </w:rPr>
            </w:pPr>
            <w:r>
              <w:rPr>
                <w:rFonts w:ascii="Arial" w:cs="Arial" w:eastAsia="Arial" w:hAnsi="Arial"/>
                <w:sz w:val="18"/>
                <w:szCs w:val="18"/>
                <w:color w:val="auto"/>
              </w:rPr>
              <w:t>24</w:t>
            </w:r>
          </w:p>
        </w:tc>
        <w:tc>
          <w:tcPr>
            <w:tcW w:w="0" w:type="dxa"/>
            <w:vAlign w:val="bottom"/>
          </w:tcPr>
          <w:p>
            <w:pPr>
              <w:spacing w:after="0"/>
              <w:rPr>
                <w:sz w:val="1"/>
                <w:szCs w:val="1"/>
                <w:color w:val="auto"/>
              </w:rPr>
            </w:pPr>
          </w:p>
        </w:tc>
      </w:tr>
      <w:tr>
        <w:trPr>
          <w:trHeight w:val="203"/>
        </w:trPr>
        <w:tc>
          <w:tcPr>
            <w:tcW w:w="9200" w:type="dxa"/>
            <w:vAlign w:val="bottom"/>
            <w:gridSpan w:val="3"/>
          </w:tcPr>
          <w:p>
            <w:pPr>
              <w:ind w:left="220"/>
              <w:spacing w:after="0" w:line="202" w:lineRule="exact"/>
              <w:rPr>
                <w:sz w:val="20"/>
                <w:szCs w:val="20"/>
                <w:color w:val="auto"/>
              </w:rPr>
            </w:pPr>
            <w:r>
              <w:rPr>
                <w:rFonts w:ascii="Arial" w:cs="Arial" w:eastAsia="Arial" w:hAnsi="Arial"/>
                <w:sz w:val="18"/>
                <w:szCs w:val="18"/>
                <w:color w:val="auto"/>
              </w:rPr>
              <w:t>Class A Special common stock, $0.01 par value — authorized, 7,500,000,000 shares; issued 1,120,659,771 and</w:t>
            </w:r>
          </w:p>
        </w:tc>
        <w:tc>
          <w:tcPr>
            <w:tcW w:w="360" w:type="dxa"/>
            <w:vAlign w:val="bottom"/>
          </w:tcPr>
          <w:p>
            <w:pPr>
              <w:spacing w:after="0"/>
              <w:rPr>
                <w:sz w:val="17"/>
                <w:szCs w:val="17"/>
                <w:color w:val="auto"/>
              </w:rPr>
            </w:pPr>
          </w:p>
        </w:tc>
        <w:tc>
          <w:tcPr>
            <w:tcW w:w="880" w:type="dxa"/>
            <w:vAlign w:val="bottom"/>
            <w:vMerge w:val="restart"/>
          </w:tcPr>
          <w:p>
            <w:pPr>
              <w:jc w:val="right"/>
              <w:ind w:right="153"/>
              <w:spacing w:after="0"/>
              <w:rPr>
                <w:sz w:val="20"/>
                <w:szCs w:val="20"/>
                <w:color w:val="auto"/>
              </w:rPr>
            </w:pPr>
            <w:r>
              <w:rPr>
                <w:rFonts w:ascii="Arial" w:cs="Arial" w:eastAsia="Arial" w:hAnsi="Arial"/>
                <w:sz w:val="18"/>
                <w:szCs w:val="18"/>
                <w:b w:val="1"/>
                <w:bCs w:val="1"/>
                <w:color w:val="auto"/>
              </w:rPr>
              <w:t>11</w:t>
            </w:r>
          </w:p>
        </w:tc>
        <w:tc>
          <w:tcPr>
            <w:tcW w:w="28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81"/>
        </w:trPr>
        <w:tc>
          <w:tcPr>
            <w:tcW w:w="9200" w:type="dxa"/>
            <w:vAlign w:val="bottom"/>
            <w:gridSpan w:val="3"/>
          </w:tcPr>
          <w:p>
            <w:pPr>
              <w:ind w:left="440"/>
              <w:spacing w:after="0" w:line="181" w:lineRule="exact"/>
              <w:rPr>
                <w:sz w:val="20"/>
                <w:szCs w:val="20"/>
                <w:color w:val="auto"/>
              </w:rPr>
            </w:pPr>
            <w:r>
              <w:rPr>
                <w:rFonts w:ascii="Arial" w:cs="Arial" w:eastAsia="Arial" w:hAnsi="Arial"/>
                <w:sz w:val="18"/>
                <w:szCs w:val="18"/>
                <w:color w:val="auto"/>
              </w:rPr>
              <w:t>1,224,368,823; outstanding, 1,049,725,007 and 1,153,434,059</w:t>
            </w:r>
          </w:p>
        </w:tc>
        <w:tc>
          <w:tcPr>
            <w:tcW w:w="360" w:type="dxa"/>
            <w:vAlign w:val="bottom"/>
          </w:tcPr>
          <w:p>
            <w:pPr>
              <w:spacing w:after="0"/>
              <w:rPr>
                <w:sz w:val="15"/>
                <w:szCs w:val="15"/>
                <w:color w:val="auto"/>
              </w:rPr>
            </w:pPr>
          </w:p>
        </w:tc>
        <w:tc>
          <w:tcPr>
            <w:tcW w:w="880" w:type="dxa"/>
            <w:vAlign w:val="bottom"/>
            <w:vMerge w:val="continue"/>
          </w:tcPr>
          <w:p>
            <w:pPr>
              <w:spacing w:after="0"/>
              <w:rPr>
                <w:sz w:val="15"/>
                <w:szCs w:val="15"/>
                <w:color w:val="auto"/>
              </w:rPr>
            </w:pPr>
          </w:p>
        </w:tc>
        <w:tc>
          <w:tcPr>
            <w:tcW w:w="280" w:type="dxa"/>
            <w:vAlign w:val="bottom"/>
          </w:tcPr>
          <w:p>
            <w:pPr>
              <w:spacing w:after="0"/>
              <w:rPr>
                <w:sz w:val="15"/>
                <w:szCs w:val="15"/>
                <w:color w:val="auto"/>
              </w:rPr>
            </w:pPr>
          </w:p>
        </w:tc>
        <w:tc>
          <w:tcPr>
            <w:tcW w:w="700" w:type="dxa"/>
            <w:vAlign w:val="bottom"/>
          </w:tcPr>
          <w:p>
            <w:pPr>
              <w:jc w:val="right"/>
              <w:spacing w:after="0" w:line="181" w:lineRule="exact"/>
              <w:rPr>
                <w:sz w:val="20"/>
                <w:szCs w:val="20"/>
                <w:color w:val="auto"/>
              </w:rPr>
            </w:pPr>
            <w:r>
              <w:rPr>
                <w:rFonts w:ascii="Arial" w:cs="Arial" w:eastAsia="Arial" w:hAnsi="Arial"/>
                <w:sz w:val="18"/>
                <w:szCs w:val="18"/>
                <w:color w:val="auto"/>
              </w:rPr>
              <w:t>12</w:t>
            </w:r>
          </w:p>
        </w:tc>
        <w:tc>
          <w:tcPr>
            <w:tcW w:w="0" w:type="dxa"/>
            <w:vAlign w:val="bottom"/>
          </w:tcPr>
          <w:p>
            <w:pPr>
              <w:spacing w:after="0"/>
              <w:rPr>
                <w:sz w:val="1"/>
                <w:szCs w:val="1"/>
                <w:color w:val="auto"/>
              </w:rPr>
            </w:pPr>
          </w:p>
        </w:tc>
      </w:tr>
      <w:tr>
        <w:trPr>
          <w:trHeight w:val="203"/>
        </w:trPr>
        <w:tc>
          <w:tcPr>
            <w:tcW w:w="9200" w:type="dxa"/>
            <w:vAlign w:val="bottom"/>
            <w:gridSpan w:val="3"/>
          </w:tcPr>
          <w:p>
            <w:pPr>
              <w:ind w:left="220"/>
              <w:spacing w:after="0" w:line="202" w:lineRule="exact"/>
              <w:rPr>
                <w:sz w:val="20"/>
                <w:szCs w:val="20"/>
                <w:color w:val="auto"/>
              </w:rPr>
            </w:pPr>
            <w:r>
              <w:rPr>
                <w:rFonts w:ascii="Arial" w:cs="Arial" w:eastAsia="Arial" w:hAnsi="Arial"/>
                <w:sz w:val="18"/>
                <w:szCs w:val="18"/>
                <w:color w:val="auto"/>
              </w:rPr>
              <w:t>Class B common stock, $0.01 par value — authorized, 75,000,000 shares; issued and outstanding, 9,444,375</w:t>
            </w:r>
          </w:p>
        </w:tc>
        <w:tc>
          <w:tcPr>
            <w:tcW w:w="360" w:type="dxa"/>
            <w:vAlign w:val="bottom"/>
          </w:tcPr>
          <w:p>
            <w:pPr>
              <w:spacing w:after="0"/>
              <w:rPr>
                <w:sz w:val="17"/>
                <w:szCs w:val="17"/>
                <w:color w:val="auto"/>
              </w:rPr>
            </w:pPr>
          </w:p>
        </w:tc>
        <w:tc>
          <w:tcPr>
            <w:tcW w:w="880" w:type="dxa"/>
            <w:vAlign w:val="bottom"/>
          </w:tcPr>
          <w:p>
            <w:pPr>
              <w:jc w:val="right"/>
              <w:ind w:right="153"/>
              <w:spacing w:after="0" w:line="202" w:lineRule="exact"/>
              <w:rPr>
                <w:sz w:val="20"/>
                <w:szCs w:val="20"/>
                <w:color w:val="auto"/>
              </w:rPr>
            </w:pPr>
            <w:r>
              <w:rPr>
                <w:rFonts w:ascii="Arial" w:cs="Arial" w:eastAsia="Arial" w:hAnsi="Arial"/>
                <w:sz w:val="18"/>
                <w:szCs w:val="18"/>
                <w:b w:val="1"/>
                <w:bCs w:val="1"/>
                <w:color w:val="auto"/>
              </w:rPr>
              <w:t>—</w:t>
            </w:r>
          </w:p>
        </w:tc>
        <w:tc>
          <w:tcPr>
            <w:tcW w:w="280" w:type="dxa"/>
            <w:vAlign w:val="bottom"/>
          </w:tcPr>
          <w:p>
            <w:pPr>
              <w:spacing w:after="0"/>
              <w:rPr>
                <w:sz w:val="17"/>
                <w:szCs w:val="17"/>
                <w:color w:val="auto"/>
              </w:rPr>
            </w:pPr>
          </w:p>
        </w:tc>
        <w:tc>
          <w:tcPr>
            <w:tcW w:w="700" w:type="dxa"/>
            <w:vAlign w:val="bottom"/>
          </w:tcPr>
          <w:p>
            <w:pPr>
              <w:jc w:val="right"/>
              <w:spacing w:after="0" w:line="202" w:lineRule="exact"/>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03"/>
        </w:trPr>
        <w:tc>
          <w:tcPr>
            <w:tcW w:w="9200" w:type="dxa"/>
            <w:vAlign w:val="bottom"/>
            <w:gridSpan w:val="3"/>
          </w:tcPr>
          <w:p>
            <w:pPr>
              <w:ind w:left="220"/>
              <w:spacing w:after="0" w:line="202" w:lineRule="exact"/>
              <w:rPr>
                <w:sz w:val="20"/>
                <w:szCs w:val="20"/>
                <w:color w:val="auto"/>
              </w:rPr>
            </w:pPr>
            <w:r>
              <w:rPr>
                <w:rFonts w:ascii="Arial" w:cs="Arial" w:eastAsia="Arial" w:hAnsi="Arial"/>
                <w:sz w:val="18"/>
                <w:szCs w:val="18"/>
                <w:color w:val="auto"/>
              </w:rPr>
              <w:t>Additional capital</w:t>
            </w:r>
          </w:p>
        </w:tc>
        <w:tc>
          <w:tcPr>
            <w:tcW w:w="360" w:type="dxa"/>
            <w:vAlign w:val="bottom"/>
          </w:tcPr>
          <w:p>
            <w:pPr>
              <w:spacing w:after="0"/>
              <w:rPr>
                <w:sz w:val="17"/>
                <w:szCs w:val="17"/>
                <w:color w:val="auto"/>
              </w:rPr>
            </w:pPr>
          </w:p>
        </w:tc>
        <w:tc>
          <w:tcPr>
            <w:tcW w:w="880" w:type="dxa"/>
            <w:vAlign w:val="bottom"/>
          </w:tcPr>
          <w:p>
            <w:pPr>
              <w:jc w:val="right"/>
              <w:ind w:right="153"/>
              <w:spacing w:after="0" w:line="202" w:lineRule="exact"/>
              <w:rPr>
                <w:sz w:val="20"/>
                <w:szCs w:val="20"/>
                <w:color w:val="auto"/>
              </w:rPr>
            </w:pPr>
            <w:r>
              <w:rPr>
                <w:rFonts w:ascii="Arial" w:cs="Arial" w:eastAsia="Arial" w:hAnsi="Arial"/>
                <w:sz w:val="18"/>
                <w:szCs w:val="18"/>
                <w:b w:val="1"/>
                <w:bCs w:val="1"/>
                <w:color w:val="auto"/>
              </w:rPr>
              <w:t>42,401</w:t>
            </w:r>
          </w:p>
        </w:tc>
        <w:tc>
          <w:tcPr>
            <w:tcW w:w="280" w:type="dxa"/>
            <w:vAlign w:val="bottom"/>
          </w:tcPr>
          <w:p>
            <w:pPr>
              <w:spacing w:after="0"/>
              <w:rPr>
                <w:sz w:val="17"/>
                <w:szCs w:val="17"/>
                <w:color w:val="auto"/>
              </w:rPr>
            </w:pPr>
          </w:p>
        </w:tc>
        <w:tc>
          <w:tcPr>
            <w:tcW w:w="700" w:type="dxa"/>
            <w:vAlign w:val="bottom"/>
          </w:tcPr>
          <w:p>
            <w:pPr>
              <w:jc w:val="right"/>
              <w:spacing w:after="0" w:line="202" w:lineRule="exact"/>
              <w:rPr>
                <w:sz w:val="20"/>
                <w:szCs w:val="20"/>
                <w:color w:val="auto"/>
              </w:rPr>
            </w:pPr>
            <w:r>
              <w:rPr>
                <w:rFonts w:ascii="Arial" w:cs="Arial" w:eastAsia="Arial" w:hAnsi="Arial"/>
                <w:sz w:val="18"/>
                <w:szCs w:val="18"/>
                <w:color w:val="auto"/>
              </w:rPr>
              <w:t>42,989</w:t>
            </w:r>
          </w:p>
        </w:tc>
        <w:tc>
          <w:tcPr>
            <w:tcW w:w="0" w:type="dxa"/>
            <w:vAlign w:val="bottom"/>
          </w:tcPr>
          <w:p>
            <w:pPr>
              <w:spacing w:after="0"/>
              <w:rPr>
                <w:sz w:val="1"/>
                <w:szCs w:val="1"/>
                <w:color w:val="auto"/>
              </w:rPr>
            </w:pPr>
          </w:p>
        </w:tc>
      </w:tr>
      <w:tr>
        <w:trPr>
          <w:trHeight w:val="203"/>
        </w:trPr>
        <w:tc>
          <w:tcPr>
            <w:tcW w:w="9200" w:type="dxa"/>
            <w:vAlign w:val="bottom"/>
            <w:gridSpan w:val="3"/>
          </w:tcPr>
          <w:p>
            <w:pPr>
              <w:ind w:left="220"/>
              <w:spacing w:after="0" w:line="202" w:lineRule="exact"/>
              <w:rPr>
                <w:sz w:val="20"/>
                <w:szCs w:val="20"/>
                <w:color w:val="auto"/>
              </w:rPr>
            </w:pPr>
            <w:r>
              <w:rPr>
                <w:rFonts w:ascii="Arial" w:cs="Arial" w:eastAsia="Arial" w:hAnsi="Arial"/>
                <w:sz w:val="18"/>
                <w:szCs w:val="18"/>
                <w:color w:val="auto"/>
              </w:rPr>
              <w:t>Retained earnings</w:t>
            </w:r>
          </w:p>
        </w:tc>
        <w:tc>
          <w:tcPr>
            <w:tcW w:w="360" w:type="dxa"/>
            <w:vAlign w:val="bottom"/>
          </w:tcPr>
          <w:p>
            <w:pPr>
              <w:spacing w:after="0"/>
              <w:rPr>
                <w:sz w:val="17"/>
                <w:szCs w:val="17"/>
                <w:color w:val="auto"/>
              </w:rPr>
            </w:pPr>
          </w:p>
        </w:tc>
        <w:tc>
          <w:tcPr>
            <w:tcW w:w="880" w:type="dxa"/>
            <w:vAlign w:val="bottom"/>
          </w:tcPr>
          <w:p>
            <w:pPr>
              <w:jc w:val="right"/>
              <w:ind w:right="153"/>
              <w:spacing w:after="0" w:line="202" w:lineRule="exact"/>
              <w:rPr>
                <w:sz w:val="20"/>
                <w:szCs w:val="20"/>
                <w:color w:val="auto"/>
              </w:rPr>
            </w:pPr>
            <w:r>
              <w:rPr>
                <w:rFonts w:ascii="Arial" w:cs="Arial" w:eastAsia="Arial" w:hAnsi="Arial"/>
                <w:sz w:val="18"/>
                <w:szCs w:val="18"/>
                <w:b w:val="1"/>
                <w:bCs w:val="1"/>
                <w:color w:val="auto"/>
              </w:rPr>
              <w:t>6,214</w:t>
            </w:r>
          </w:p>
        </w:tc>
        <w:tc>
          <w:tcPr>
            <w:tcW w:w="280" w:type="dxa"/>
            <w:vAlign w:val="bottom"/>
          </w:tcPr>
          <w:p>
            <w:pPr>
              <w:spacing w:after="0"/>
              <w:rPr>
                <w:sz w:val="17"/>
                <w:szCs w:val="17"/>
                <w:color w:val="auto"/>
              </w:rPr>
            </w:pPr>
          </w:p>
        </w:tc>
        <w:tc>
          <w:tcPr>
            <w:tcW w:w="700" w:type="dxa"/>
            <w:vAlign w:val="bottom"/>
          </w:tcPr>
          <w:p>
            <w:pPr>
              <w:jc w:val="right"/>
              <w:spacing w:after="0" w:line="202" w:lineRule="exact"/>
              <w:rPr>
                <w:sz w:val="20"/>
                <w:szCs w:val="20"/>
                <w:color w:val="auto"/>
              </w:rPr>
            </w:pPr>
            <w:r>
              <w:rPr>
                <w:rFonts w:ascii="Arial" w:cs="Arial" w:eastAsia="Arial" w:hAnsi="Arial"/>
                <w:sz w:val="18"/>
                <w:szCs w:val="18"/>
                <w:color w:val="auto"/>
              </w:rPr>
              <w:t>4,825</w:t>
            </w:r>
          </w:p>
        </w:tc>
        <w:tc>
          <w:tcPr>
            <w:tcW w:w="0" w:type="dxa"/>
            <w:vAlign w:val="bottom"/>
          </w:tcPr>
          <w:p>
            <w:pPr>
              <w:spacing w:after="0"/>
              <w:rPr>
                <w:sz w:val="1"/>
                <w:szCs w:val="1"/>
                <w:color w:val="auto"/>
              </w:rPr>
            </w:pPr>
          </w:p>
        </w:tc>
      </w:tr>
      <w:tr>
        <w:trPr>
          <w:trHeight w:val="203"/>
        </w:trPr>
        <w:tc>
          <w:tcPr>
            <w:tcW w:w="9200" w:type="dxa"/>
            <w:vAlign w:val="bottom"/>
            <w:gridSpan w:val="3"/>
          </w:tcPr>
          <w:p>
            <w:pPr>
              <w:ind w:left="220"/>
              <w:spacing w:after="0" w:line="202" w:lineRule="exact"/>
              <w:rPr>
                <w:sz w:val="20"/>
                <w:szCs w:val="20"/>
                <w:color w:val="auto"/>
              </w:rPr>
            </w:pPr>
            <w:r>
              <w:rPr>
                <w:rFonts w:ascii="Arial" w:cs="Arial" w:eastAsia="Arial" w:hAnsi="Arial"/>
                <w:sz w:val="18"/>
                <w:szCs w:val="18"/>
                <w:color w:val="auto"/>
              </w:rPr>
              <w:t>Treasury stock, 365,460,750 Class A common shares and 70,934,764 Class A Special common shares</w:t>
            </w:r>
          </w:p>
        </w:tc>
        <w:tc>
          <w:tcPr>
            <w:tcW w:w="360" w:type="dxa"/>
            <w:vAlign w:val="bottom"/>
          </w:tcPr>
          <w:p>
            <w:pPr>
              <w:spacing w:after="0"/>
              <w:rPr>
                <w:sz w:val="17"/>
                <w:szCs w:val="17"/>
                <w:color w:val="auto"/>
              </w:rPr>
            </w:pPr>
          </w:p>
        </w:tc>
        <w:tc>
          <w:tcPr>
            <w:tcW w:w="880" w:type="dxa"/>
            <w:vAlign w:val="bottom"/>
          </w:tcPr>
          <w:p>
            <w:pPr>
              <w:jc w:val="right"/>
              <w:ind w:right="93"/>
              <w:spacing w:after="0" w:line="202" w:lineRule="exact"/>
              <w:rPr>
                <w:sz w:val="20"/>
                <w:szCs w:val="20"/>
                <w:color w:val="auto"/>
              </w:rPr>
            </w:pPr>
            <w:r>
              <w:rPr>
                <w:rFonts w:ascii="Arial" w:cs="Arial" w:eastAsia="Arial" w:hAnsi="Arial"/>
                <w:sz w:val="18"/>
                <w:szCs w:val="18"/>
                <w:b w:val="1"/>
                <w:bCs w:val="1"/>
                <w:color w:val="auto"/>
              </w:rPr>
              <w:t>(7,517)</w:t>
            </w:r>
          </w:p>
        </w:tc>
        <w:tc>
          <w:tcPr>
            <w:tcW w:w="280" w:type="dxa"/>
            <w:vAlign w:val="bottom"/>
          </w:tcPr>
          <w:p>
            <w:pPr>
              <w:spacing w:after="0"/>
              <w:rPr>
                <w:sz w:val="17"/>
                <w:szCs w:val="17"/>
                <w:color w:val="auto"/>
              </w:rPr>
            </w:pPr>
          </w:p>
        </w:tc>
        <w:tc>
          <w:tcPr>
            <w:tcW w:w="700" w:type="dxa"/>
            <w:vAlign w:val="bottom"/>
          </w:tcPr>
          <w:p>
            <w:pPr>
              <w:jc w:val="right"/>
              <w:spacing w:after="0" w:line="202" w:lineRule="exact"/>
              <w:rPr>
                <w:sz w:val="20"/>
                <w:szCs w:val="20"/>
                <w:color w:val="auto"/>
              </w:rPr>
            </w:pPr>
            <w:r>
              <w:rPr>
                <w:rFonts w:ascii="Arial" w:cs="Arial" w:eastAsia="Arial" w:hAnsi="Arial"/>
                <w:sz w:val="18"/>
                <w:szCs w:val="18"/>
                <w:color w:val="auto"/>
              </w:rPr>
              <w:t>(7,517)</w:t>
            </w:r>
          </w:p>
        </w:tc>
        <w:tc>
          <w:tcPr>
            <w:tcW w:w="0" w:type="dxa"/>
            <w:vAlign w:val="bottom"/>
          </w:tcPr>
          <w:p>
            <w:pPr>
              <w:spacing w:after="0"/>
              <w:rPr>
                <w:sz w:val="1"/>
                <w:szCs w:val="1"/>
                <w:color w:val="auto"/>
              </w:rPr>
            </w:pPr>
          </w:p>
        </w:tc>
      </w:tr>
      <w:tr>
        <w:trPr>
          <w:trHeight w:val="221"/>
        </w:trPr>
        <w:tc>
          <w:tcPr>
            <w:tcW w:w="9200" w:type="dxa"/>
            <w:vAlign w:val="bottom"/>
            <w:tcBorders>
              <w:bottom w:val="single" w:sz="8" w:color="auto"/>
            </w:tcBorders>
            <w:gridSpan w:val="3"/>
          </w:tcPr>
          <w:p>
            <w:pPr>
              <w:ind w:left="220"/>
              <w:spacing w:after="0"/>
              <w:rPr>
                <w:sz w:val="20"/>
                <w:szCs w:val="20"/>
                <w:color w:val="auto"/>
              </w:rPr>
            </w:pPr>
            <w:r>
              <w:rPr>
                <w:rFonts w:ascii="Arial" w:cs="Arial" w:eastAsia="Arial" w:hAnsi="Arial"/>
                <w:sz w:val="18"/>
                <w:szCs w:val="18"/>
                <w:color w:val="auto"/>
              </w:rPr>
              <w:t>Accumulated other comprehensive income (loss)</w:t>
            </w:r>
          </w:p>
        </w:tc>
        <w:tc>
          <w:tcPr>
            <w:tcW w:w="360" w:type="dxa"/>
            <w:vAlign w:val="bottom"/>
            <w:tcBorders>
              <w:bottom w:val="single" w:sz="8" w:color="auto"/>
            </w:tcBorders>
          </w:tcPr>
          <w:p>
            <w:pPr>
              <w:spacing w:after="0"/>
              <w:rPr>
                <w:sz w:val="19"/>
                <w:szCs w:val="19"/>
                <w:color w:val="auto"/>
              </w:rPr>
            </w:pPr>
          </w:p>
        </w:tc>
        <w:tc>
          <w:tcPr>
            <w:tcW w:w="880" w:type="dxa"/>
            <w:vAlign w:val="bottom"/>
            <w:tcBorders>
              <w:bottom w:val="single" w:sz="8" w:color="auto"/>
            </w:tcBorders>
          </w:tcPr>
          <w:p>
            <w:pPr>
              <w:jc w:val="right"/>
              <w:ind w:right="153"/>
              <w:spacing w:after="0"/>
              <w:rPr>
                <w:sz w:val="20"/>
                <w:szCs w:val="20"/>
                <w:color w:val="auto"/>
              </w:rPr>
            </w:pPr>
            <w:r>
              <w:rPr>
                <w:rFonts w:ascii="Arial" w:cs="Arial" w:eastAsia="Arial" w:hAnsi="Arial"/>
                <w:sz w:val="18"/>
                <w:szCs w:val="18"/>
                <w:b w:val="1"/>
                <w:bCs w:val="1"/>
                <w:color w:val="auto"/>
              </w:rPr>
              <w:t>34</w:t>
            </w:r>
          </w:p>
        </w:tc>
        <w:tc>
          <w:tcPr>
            <w:tcW w:w="280" w:type="dxa"/>
            <w:vAlign w:val="bottom"/>
            <w:tcBorders>
              <w:bottom w:val="single" w:sz="8" w:color="auto"/>
            </w:tcBorders>
          </w:tcPr>
          <w:p>
            <w:pPr>
              <w:spacing w:after="0"/>
              <w:rPr>
                <w:sz w:val="19"/>
                <w:szCs w:val="19"/>
                <w:color w:val="auto"/>
              </w:rPr>
            </w:pPr>
          </w:p>
        </w:tc>
        <w:tc>
          <w:tcPr>
            <w:tcW w:w="7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(114)</w:t>
            </w:r>
          </w:p>
        </w:tc>
        <w:tc>
          <w:tcPr>
            <w:tcW w:w="0" w:type="dxa"/>
            <w:vAlign w:val="bottom"/>
          </w:tcPr>
          <w:p>
            <w:pPr>
              <w:spacing w:after="0"/>
              <w:rPr>
                <w:sz w:val="1"/>
                <w:szCs w:val="1"/>
                <w:color w:val="auto"/>
              </w:rPr>
            </w:pPr>
          </w:p>
        </w:tc>
      </w:tr>
      <w:tr>
        <w:trPr>
          <w:trHeight w:val="196"/>
        </w:trPr>
        <w:tc>
          <w:tcPr>
            <w:tcW w:w="9200" w:type="dxa"/>
            <w:vAlign w:val="bottom"/>
            <w:tcBorders>
              <w:bottom w:val="single" w:sz="8" w:color="auto"/>
            </w:tcBorders>
            <w:gridSpan w:val="3"/>
          </w:tcPr>
          <w:p>
            <w:pPr>
              <w:ind w:left="440"/>
              <w:spacing w:after="0" w:line="196" w:lineRule="exact"/>
              <w:rPr>
                <w:sz w:val="20"/>
                <w:szCs w:val="20"/>
                <w:color w:val="auto"/>
              </w:rPr>
            </w:pPr>
            <w:r>
              <w:rPr>
                <w:rFonts w:ascii="Arial" w:cs="Arial" w:eastAsia="Arial" w:hAnsi="Arial"/>
                <w:sz w:val="18"/>
                <w:szCs w:val="18"/>
                <w:color w:val="auto"/>
              </w:rPr>
              <w:t>Total stockholders’ equity</w:t>
            </w:r>
          </w:p>
        </w:tc>
        <w:tc>
          <w:tcPr>
            <w:tcW w:w="360" w:type="dxa"/>
            <w:vAlign w:val="bottom"/>
            <w:tcBorders>
              <w:bottom w:val="single" w:sz="8" w:color="auto"/>
            </w:tcBorders>
          </w:tcPr>
          <w:p>
            <w:pPr>
              <w:spacing w:after="0"/>
              <w:rPr>
                <w:sz w:val="17"/>
                <w:szCs w:val="17"/>
                <w:color w:val="auto"/>
              </w:rPr>
            </w:pPr>
          </w:p>
        </w:tc>
        <w:tc>
          <w:tcPr>
            <w:tcW w:w="880" w:type="dxa"/>
            <w:vAlign w:val="bottom"/>
            <w:tcBorders>
              <w:bottom w:val="single" w:sz="8" w:color="auto"/>
            </w:tcBorders>
          </w:tcPr>
          <w:p>
            <w:pPr>
              <w:jc w:val="right"/>
              <w:ind w:right="153"/>
              <w:spacing w:after="0" w:line="196" w:lineRule="exact"/>
              <w:rPr>
                <w:sz w:val="20"/>
                <w:szCs w:val="20"/>
                <w:color w:val="auto"/>
              </w:rPr>
            </w:pPr>
            <w:r>
              <w:rPr>
                <w:rFonts w:ascii="Arial" w:cs="Arial" w:eastAsia="Arial" w:hAnsi="Arial"/>
                <w:sz w:val="18"/>
                <w:szCs w:val="18"/>
                <w:b w:val="1"/>
                <w:bCs w:val="1"/>
                <w:color w:val="auto"/>
              </w:rPr>
              <w:t>41,167</w:t>
            </w:r>
          </w:p>
        </w:tc>
        <w:tc>
          <w:tcPr>
            <w:tcW w:w="280" w:type="dxa"/>
            <w:vAlign w:val="bottom"/>
            <w:tcBorders>
              <w:bottom w:val="single" w:sz="8" w:color="auto"/>
            </w:tcBorders>
          </w:tcPr>
          <w:p>
            <w:pPr>
              <w:spacing w:after="0"/>
              <w:rPr>
                <w:sz w:val="17"/>
                <w:szCs w:val="17"/>
                <w:color w:val="auto"/>
              </w:rPr>
            </w:pPr>
          </w:p>
        </w:tc>
        <w:tc>
          <w:tcPr>
            <w:tcW w:w="700" w:type="dxa"/>
            <w:vAlign w:val="bottom"/>
            <w:tcBorders>
              <w:bottom w:val="single" w:sz="8" w:color="auto"/>
            </w:tcBorders>
          </w:tcPr>
          <w:p>
            <w:pPr>
              <w:jc w:val="right"/>
              <w:spacing w:after="0" w:line="196" w:lineRule="exact"/>
              <w:rPr>
                <w:sz w:val="20"/>
                <w:szCs w:val="20"/>
                <w:color w:val="auto"/>
              </w:rPr>
            </w:pPr>
            <w:r>
              <w:rPr>
                <w:rFonts w:ascii="Arial" w:cs="Arial" w:eastAsia="Arial" w:hAnsi="Arial"/>
                <w:sz w:val="18"/>
                <w:szCs w:val="18"/>
                <w:color w:val="auto"/>
              </w:rPr>
              <w:t>40,219</w:t>
            </w:r>
          </w:p>
        </w:tc>
        <w:tc>
          <w:tcPr>
            <w:tcW w:w="0" w:type="dxa"/>
            <w:vAlign w:val="bottom"/>
          </w:tcPr>
          <w:p>
            <w:pPr>
              <w:spacing w:after="0"/>
              <w:rPr>
                <w:sz w:val="1"/>
                <w:szCs w:val="1"/>
                <w:color w:val="auto"/>
              </w:rPr>
            </w:pPr>
          </w:p>
        </w:tc>
      </w:tr>
      <w:tr>
        <w:trPr>
          <w:trHeight w:val="196"/>
        </w:trPr>
        <w:tc>
          <w:tcPr>
            <w:tcW w:w="2720" w:type="dxa"/>
            <w:vAlign w:val="bottom"/>
            <w:tcBorders>
              <w:bottom w:val="single" w:sz="8" w:color="35BF85"/>
            </w:tcBorders>
          </w:tcPr>
          <w:p>
            <w:pPr>
              <w:spacing w:after="0"/>
              <w:rPr>
                <w:sz w:val="17"/>
                <w:szCs w:val="17"/>
                <w:color w:val="auto"/>
              </w:rPr>
            </w:pPr>
          </w:p>
        </w:tc>
        <w:tc>
          <w:tcPr>
            <w:tcW w:w="600" w:type="dxa"/>
            <w:vAlign w:val="bottom"/>
            <w:tcBorders>
              <w:bottom w:val="single" w:sz="8" w:color="35BF85"/>
            </w:tcBorders>
          </w:tcPr>
          <w:p>
            <w:pPr>
              <w:spacing w:after="0"/>
              <w:rPr>
                <w:sz w:val="17"/>
                <w:szCs w:val="17"/>
                <w:color w:val="auto"/>
              </w:rPr>
            </w:pPr>
          </w:p>
        </w:tc>
        <w:tc>
          <w:tcPr>
            <w:tcW w:w="5880" w:type="dxa"/>
            <w:vAlign w:val="bottom"/>
            <w:tcBorders>
              <w:bottom w:val="single" w:sz="8" w:color="35BF85"/>
            </w:tcBorders>
          </w:tcPr>
          <w:p>
            <w:pPr>
              <w:spacing w:after="0"/>
              <w:rPr>
                <w:sz w:val="17"/>
                <w:szCs w:val="17"/>
                <w:color w:val="auto"/>
              </w:rPr>
            </w:pPr>
          </w:p>
        </w:tc>
        <w:tc>
          <w:tcPr>
            <w:tcW w:w="360" w:type="dxa"/>
            <w:vAlign w:val="bottom"/>
            <w:tcBorders>
              <w:bottom w:val="single" w:sz="8" w:color="35BF85"/>
            </w:tcBorders>
          </w:tcPr>
          <w:p>
            <w:pPr>
              <w:jc w:val="right"/>
              <w:spacing w:after="0" w:line="196" w:lineRule="exact"/>
              <w:rPr>
                <w:sz w:val="20"/>
                <w:szCs w:val="20"/>
                <w:color w:val="auto"/>
              </w:rPr>
            </w:pPr>
            <w:r>
              <w:rPr>
                <w:rFonts w:ascii="Arial" w:cs="Arial" w:eastAsia="Arial" w:hAnsi="Arial"/>
                <w:sz w:val="18"/>
                <w:szCs w:val="18"/>
                <w:b w:val="1"/>
                <w:bCs w:val="1"/>
                <w:color w:val="auto"/>
              </w:rPr>
              <w:t>$</w:t>
            </w:r>
          </w:p>
        </w:tc>
        <w:tc>
          <w:tcPr>
            <w:tcW w:w="880" w:type="dxa"/>
            <w:vAlign w:val="bottom"/>
            <w:tcBorders>
              <w:bottom w:val="single" w:sz="8" w:color="35BF85"/>
            </w:tcBorders>
          </w:tcPr>
          <w:p>
            <w:pPr>
              <w:jc w:val="right"/>
              <w:ind w:right="153"/>
              <w:spacing w:after="0" w:line="196" w:lineRule="exact"/>
              <w:rPr>
                <w:sz w:val="20"/>
                <w:szCs w:val="20"/>
                <w:color w:val="auto"/>
              </w:rPr>
            </w:pPr>
            <w:r>
              <w:rPr>
                <w:rFonts w:ascii="Arial" w:cs="Arial" w:eastAsia="Arial" w:hAnsi="Arial"/>
                <w:sz w:val="18"/>
                <w:szCs w:val="18"/>
                <w:b w:val="1"/>
                <w:bCs w:val="1"/>
                <w:color w:val="auto"/>
                <w:w w:val="95"/>
              </w:rPr>
              <w:t>110,405</w:t>
            </w:r>
          </w:p>
        </w:tc>
        <w:tc>
          <w:tcPr>
            <w:tcW w:w="280" w:type="dxa"/>
            <w:vAlign w:val="bottom"/>
            <w:tcBorders>
              <w:bottom w:val="single" w:sz="8" w:color="35BF85"/>
            </w:tcBorders>
          </w:tcPr>
          <w:p>
            <w:pPr>
              <w:jc w:val="right"/>
              <w:spacing w:after="0" w:line="196" w:lineRule="exact"/>
              <w:rPr>
                <w:sz w:val="20"/>
                <w:szCs w:val="20"/>
                <w:color w:val="auto"/>
              </w:rPr>
            </w:pPr>
            <w:r>
              <w:rPr>
                <w:rFonts w:ascii="Arial" w:cs="Arial" w:eastAsia="Arial" w:hAnsi="Arial"/>
                <w:sz w:val="18"/>
                <w:szCs w:val="18"/>
                <w:color w:val="auto"/>
              </w:rPr>
              <w:t>$</w:t>
            </w:r>
          </w:p>
        </w:tc>
        <w:tc>
          <w:tcPr>
            <w:tcW w:w="700" w:type="dxa"/>
            <w:vAlign w:val="bottom"/>
            <w:tcBorders>
              <w:bottom w:val="single" w:sz="8" w:color="35BF85"/>
            </w:tcBorders>
          </w:tcPr>
          <w:p>
            <w:pPr>
              <w:jc w:val="right"/>
              <w:spacing w:after="0" w:line="196" w:lineRule="exact"/>
              <w:rPr>
                <w:sz w:val="20"/>
                <w:szCs w:val="20"/>
                <w:color w:val="auto"/>
              </w:rPr>
            </w:pPr>
            <w:r>
              <w:rPr>
                <w:rFonts w:ascii="Arial" w:cs="Arial" w:eastAsia="Arial" w:hAnsi="Arial"/>
                <w:sz w:val="18"/>
                <w:szCs w:val="18"/>
                <w:color w:val="auto"/>
                <w:w w:val="95"/>
              </w:rPr>
              <w:t>103,400</w:t>
            </w:r>
          </w:p>
        </w:tc>
        <w:tc>
          <w:tcPr>
            <w:tcW w:w="0" w:type="dxa"/>
            <w:vAlign w:val="bottom"/>
          </w:tcPr>
          <w:p>
            <w:pPr>
              <w:spacing w:after="0"/>
              <w:rPr>
                <w:sz w:val="1"/>
                <w:szCs w:val="1"/>
                <w:color w:val="auto"/>
              </w:rPr>
            </w:pPr>
          </w:p>
        </w:tc>
      </w:tr>
      <w:tr>
        <w:trPr>
          <w:trHeight w:val="209"/>
        </w:trPr>
        <w:tc>
          <w:tcPr>
            <w:tcW w:w="9200" w:type="dxa"/>
            <w:vAlign w:val="bottom"/>
            <w:gridSpan w:val="3"/>
          </w:tcPr>
          <w:p>
            <w:pPr>
              <w:spacing w:after="0"/>
              <w:rPr>
                <w:sz w:val="20"/>
                <w:szCs w:val="20"/>
                <w:color w:val="auto"/>
              </w:rPr>
            </w:pPr>
            <w:r>
              <w:rPr>
                <w:rFonts w:ascii="Arial" w:cs="Arial" w:eastAsia="Arial" w:hAnsi="Arial"/>
                <w:sz w:val="14"/>
                <w:szCs w:val="14"/>
                <w:color w:val="auto"/>
              </w:rPr>
              <w:t>See notes to consolidated financial statements.</w:t>
            </w:r>
          </w:p>
        </w:tc>
        <w:tc>
          <w:tcPr>
            <w:tcW w:w="36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97"/>
        </w:trPr>
        <w:tc>
          <w:tcPr>
            <w:tcW w:w="9200" w:type="dxa"/>
            <w:vAlign w:val="bottom"/>
            <w:gridSpan w:val="3"/>
          </w:tcPr>
          <w:p>
            <w:pPr>
              <w:ind w:left="5680"/>
              <w:spacing w:after="0"/>
              <w:rPr>
                <w:sz w:val="20"/>
                <w:szCs w:val="20"/>
                <w:color w:val="auto"/>
              </w:rPr>
            </w:pPr>
            <w:r>
              <w:rPr>
                <w:rFonts w:ascii="Arial" w:cs="Arial" w:eastAsia="Arial" w:hAnsi="Arial"/>
                <w:sz w:val="14"/>
                <w:szCs w:val="14"/>
                <w:b w:val="1"/>
                <w:bCs w:val="1"/>
                <w:color w:val="auto"/>
              </w:rPr>
              <w:t>39</w:t>
            </w:r>
          </w:p>
        </w:tc>
        <w:tc>
          <w:tcPr>
            <w:tcW w:w="360" w:type="dxa"/>
            <w:vAlign w:val="bottom"/>
          </w:tcPr>
          <w:p>
            <w:pPr>
              <w:spacing w:after="0"/>
              <w:rPr>
                <w:sz w:val="24"/>
                <w:szCs w:val="24"/>
                <w:color w:val="auto"/>
              </w:rPr>
            </w:pPr>
          </w:p>
        </w:tc>
        <w:tc>
          <w:tcPr>
            <w:tcW w:w="1860" w:type="dxa"/>
            <w:vAlign w:val="bottom"/>
            <w:gridSpan w:val="3"/>
          </w:tcPr>
          <w:p>
            <w:pPr>
              <w:jc w:val="right"/>
              <w:spacing w:after="0"/>
              <w:rPr>
                <w:sz w:val="20"/>
                <w:szCs w:val="20"/>
                <w:color w:val="auto"/>
              </w:rPr>
            </w:pPr>
            <w:r>
              <w:rPr>
                <w:rFonts w:ascii="Arial" w:cs="Arial" w:eastAsia="Arial" w:hAnsi="Arial"/>
                <w:sz w:val="14"/>
                <w:szCs w:val="14"/>
                <w:color w:val="auto"/>
              </w:rPr>
              <w:t>Comcast 2006 Annual Report</w:t>
            </w:r>
          </w:p>
        </w:tc>
        <w:tc>
          <w:tcPr>
            <w:tcW w:w="0" w:type="dxa"/>
            <w:vAlign w:val="bottom"/>
          </w:tcPr>
          <w:p>
            <w:pPr>
              <w:spacing w:after="0"/>
              <w:rPr>
                <w:sz w:val="1"/>
                <w:szCs w:val="1"/>
                <w:color w:val="auto"/>
              </w:rPr>
            </w:pPr>
          </w:p>
        </w:tc>
      </w:tr>
    </w:tbl>
    <w:p>
      <w:pPr>
        <w:sectPr>
          <w:pgSz w:w="11900" w:h="16838" w:orient="portrait"/>
          <w:cols w:equalWidth="0" w:num="1">
            <w:col w:w="11420"/>
          </w:cols>
          <w:pgMar w:left="240" w:top="459" w:right="239" w:bottom="1440" w:gutter="0" w:footer="0" w:header="0"/>
        </w:sectPr>
      </w:pPr>
    </w:p>
    <w:bookmarkStart w:id="116" w:name="page117"/>
    <w:bookmarkEnd w:id="11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174" name="Picture 1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4"/>
                    <pic:cNvPicPr>
                      <a:picLocks noChangeAspect="1" noChangeArrowheads="1"/>
                    </pic:cNvPicPr>
                  </pic:nvPicPr>
                  <pic:blipFill>
                    <a:blip r:embed="rId181">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20" w:lineRule="exact"/>
        <w:rPr>
          <w:sz w:val="20"/>
          <w:szCs w:val="20"/>
          <w:color w:val="auto"/>
        </w:rPr>
      </w:pPr>
    </w:p>
    <w:p>
      <w:pPr>
        <w:spacing w:after="0"/>
        <w:rPr>
          <w:sz w:val="20"/>
          <w:szCs w:val="20"/>
          <w:color w:val="auto"/>
        </w:rPr>
      </w:pPr>
      <w:r>
        <w:rPr>
          <w:rFonts w:ascii="Arial" w:cs="Arial" w:eastAsia="Arial" w:hAnsi="Arial"/>
          <w:sz w:val="24"/>
          <w:szCs w:val="24"/>
          <w:color w:val="auto"/>
        </w:rPr>
        <w:t>Consolidated Statement of Operations</w:t>
      </w:r>
    </w:p>
    <w:p>
      <w:pPr>
        <w:spacing w:after="0" w:line="143" w:lineRule="exact"/>
        <w:rPr>
          <w:sz w:val="20"/>
          <w:szCs w:val="20"/>
          <w:color w:val="auto"/>
        </w:rPr>
      </w:pPr>
    </w:p>
    <w:tbl>
      <w:tblPr>
        <w:tblLayout w:type="fixed"/>
        <w:tblInd w:w="0" w:type="dxa"/>
        <w:tblCellMar>
          <w:top w:w="0" w:type="dxa"/>
          <w:left w:w="0" w:type="dxa"/>
          <w:bottom w:w="0" w:type="dxa"/>
          <w:right w:w="0" w:type="dxa"/>
        </w:tblCellMar>
      </w:tblPr>
      <w:tr>
        <w:trPr>
          <w:trHeight w:val="165"/>
        </w:trPr>
        <w:tc>
          <w:tcPr>
            <w:tcW w:w="5460" w:type="dxa"/>
            <w:vAlign w:val="bottom"/>
            <w:tcBorders>
              <w:bottom w:val="single" w:sz="8" w:color="auto"/>
            </w:tcBorders>
            <w:gridSpan w:val="2"/>
          </w:tcPr>
          <w:p>
            <w:pPr>
              <w:spacing w:after="0"/>
              <w:rPr>
                <w:sz w:val="20"/>
                <w:szCs w:val="20"/>
                <w:color w:val="auto"/>
              </w:rPr>
            </w:pPr>
            <w:r>
              <w:rPr>
                <w:rFonts w:ascii="Arial" w:cs="Arial" w:eastAsia="Arial" w:hAnsi="Arial"/>
                <w:sz w:val="14"/>
                <w:szCs w:val="14"/>
                <w:color w:val="auto"/>
              </w:rPr>
              <w:t>Year Ended December 31 (in millions, except per share data)</w:t>
            </w:r>
          </w:p>
        </w:tc>
        <w:tc>
          <w:tcPr>
            <w:tcW w:w="1840" w:type="dxa"/>
            <w:vAlign w:val="bottom"/>
            <w:tcBorders>
              <w:bottom w:val="single" w:sz="8" w:color="auto"/>
            </w:tcBorders>
          </w:tcPr>
          <w:p>
            <w:pPr>
              <w:spacing w:after="0"/>
              <w:rPr>
                <w:sz w:val="14"/>
                <w:szCs w:val="14"/>
                <w:color w:val="auto"/>
              </w:rPr>
            </w:pPr>
          </w:p>
        </w:tc>
        <w:tc>
          <w:tcPr>
            <w:tcW w:w="1420" w:type="dxa"/>
            <w:vAlign w:val="bottom"/>
            <w:tcBorders>
              <w:bottom w:val="single" w:sz="8" w:color="auto"/>
            </w:tcBorders>
          </w:tcPr>
          <w:p>
            <w:pPr>
              <w:spacing w:after="0"/>
              <w:rPr>
                <w:sz w:val="14"/>
                <w:szCs w:val="14"/>
                <w:color w:val="auto"/>
              </w:rPr>
            </w:pPr>
          </w:p>
        </w:tc>
        <w:tc>
          <w:tcPr>
            <w:tcW w:w="780" w:type="dxa"/>
            <w:vAlign w:val="bottom"/>
            <w:tcBorders>
              <w:bottom w:val="single" w:sz="8" w:color="auto"/>
            </w:tcBorders>
          </w:tcPr>
          <w:p>
            <w:pPr>
              <w:jc w:val="right"/>
              <w:ind w:right="133"/>
              <w:spacing w:after="0"/>
              <w:rPr>
                <w:sz w:val="20"/>
                <w:szCs w:val="20"/>
                <w:color w:val="auto"/>
              </w:rPr>
            </w:pPr>
            <w:r>
              <w:rPr>
                <w:rFonts w:ascii="Arial" w:cs="Arial" w:eastAsia="Arial" w:hAnsi="Arial"/>
                <w:sz w:val="14"/>
                <w:szCs w:val="14"/>
                <w:b w:val="1"/>
                <w:bCs w:val="1"/>
                <w:color w:val="auto"/>
              </w:rPr>
              <w:t>2006</w:t>
            </w:r>
          </w:p>
        </w:tc>
        <w:tc>
          <w:tcPr>
            <w:tcW w:w="260" w:type="dxa"/>
            <w:vAlign w:val="bottom"/>
            <w:tcBorders>
              <w:bottom w:val="single" w:sz="8" w:color="auto"/>
            </w:tcBorders>
          </w:tcPr>
          <w:p>
            <w:pPr>
              <w:spacing w:after="0"/>
              <w:rPr>
                <w:sz w:val="14"/>
                <w:szCs w:val="14"/>
                <w:color w:val="auto"/>
              </w:rPr>
            </w:pPr>
          </w:p>
        </w:tc>
        <w:tc>
          <w:tcPr>
            <w:tcW w:w="780" w:type="dxa"/>
            <w:vAlign w:val="bottom"/>
            <w:tcBorders>
              <w:bottom w:val="single" w:sz="8" w:color="auto"/>
            </w:tcBorders>
          </w:tcPr>
          <w:p>
            <w:pPr>
              <w:jc w:val="right"/>
              <w:ind w:right="133"/>
              <w:spacing w:after="0"/>
              <w:rPr>
                <w:sz w:val="20"/>
                <w:szCs w:val="20"/>
                <w:color w:val="auto"/>
              </w:rPr>
            </w:pPr>
            <w:r>
              <w:rPr>
                <w:rFonts w:ascii="Arial" w:cs="Arial" w:eastAsia="Arial" w:hAnsi="Arial"/>
                <w:sz w:val="14"/>
                <w:szCs w:val="14"/>
                <w:color w:val="auto"/>
              </w:rPr>
              <w:t>2005</w:t>
            </w:r>
          </w:p>
        </w:tc>
        <w:tc>
          <w:tcPr>
            <w:tcW w:w="260" w:type="dxa"/>
            <w:vAlign w:val="bottom"/>
            <w:tcBorders>
              <w:bottom w:val="single" w:sz="8" w:color="auto"/>
            </w:tcBorders>
          </w:tcPr>
          <w:p>
            <w:pPr>
              <w:spacing w:after="0"/>
              <w:rPr>
                <w:sz w:val="14"/>
                <w:szCs w:val="14"/>
                <w:color w:val="auto"/>
              </w:rPr>
            </w:pPr>
          </w:p>
        </w:tc>
        <w:tc>
          <w:tcPr>
            <w:tcW w:w="62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2004</w:t>
            </w:r>
          </w:p>
        </w:tc>
        <w:tc>
          <w:tcPr>
            <w:tcW w:w="0" w:type="dxa"/>
            <w:vAlign w:val="bottom"/>
          </w:tcPr>
          <w:p>
            <w:pPr>
              <w:spacing w:after="0"/>
              <w:rPr>
                <w:sz w:val="1"/>
                <w:szCs w:val="1"/>
                <w:color w:val="auto"/>
              </w:rPr>
            </w:pPr>
          </w:p>
        </w:tc>
      </w:tr>
      <w:tr>
        <w:trPr>
          <w:trHeight w:val="199"/>
        </w:trPr>
        <w:tc>
          <w:tcPr>
            <w:tcW w:w="5460" w:type="dxa"/>
            <w:vAlign w:val="bottom"/>
            <w:gridSpan w:val="2"/>
          </w:tcPr>
          <w:p>
            <w:pPr>
              <w:spacing w:after="0" w:line="200" w:lineRule="exact"/>
              <w:rPr>
                <w:sz w:val="20"/>
                <w:szCs w:val="20"/>
                <w:color w:val="auto"/>
              </w:rPr>
            </w:pPr>
            <w:r>
              <w:rPr>
                <w:rFonts w:ascii="Arial" w:cs="Arial" w:eastAsia="Arial" w:hAnsi="Arial"/>
                <w:sz w:val="18"/>
                <w:szCs w:val="18"/>
                <w:b w:val="1"/>
                <w:bCs w:val="1"/>
                <w:color w:val="auto"/>
              </w:rPr>
              <w:t>Revenues</w:t>
            </w:r>
          </w:p>
        </w:tc>
        <w:tc>
          <w:tcPr>
            <w:tcW w:w="1840" w:type="dxa"/>
            <w:vAlign w:val="bottom"/>
          </w:tcPr>
          <w:p>
            <w:pPr>
              <w:spacing w:after="0"/>
              <w:rPr>
                <w:sz w:val="17"/>
                <w:szCs w:val="17"/>
                <w:color w:val="auto"/>
              </w:rPr>
            </w:pPr>
          </w:p>
        </w:tc>
        <w:tc>
          <w:tcPr>
            <w:tcW w:w="1420" w:type="dxa"/>
            <w:vAlign w:val="bottom"/>
          </w:tcPr>
          <w:p>
            <w:pPr>
              <w:jc w:val="right"/>
              <w:spacing w:after="0" w:line="200" w:lineRule="exact"/>
              <w:rPr>
                <w:sz w:val="20"/>
                <w:szCs w:val="20"/>
                <w:color w:val="auto"/>
              </w:rPr>
            </w:pPr>
            <w:r>
              <w:rPr>
                <w:rFonts w:ascii="Arial" w:cs="Arial" w:eastAsia="Arial" w:hAnsi="Arial"/>
                <w:sz w:val="18"/>
                <w:szCs w:val="18"/>
                <w:b w:val="1"/>
                <w:bCs w:val="1"/>
                <w:color w:val="auto"/>
              </w:rPr>
              <w:t>$</w:t>
            </w:r>
          </w:p>
        </w:tc>
        <w:tc>
          <w:tcPr>
            <w:tcW w:w="780" w:type="dxa"/>
            <w:vAlign w:val="bottom"/>
          </w:tcPr>
          <w:p>
            <w:pPr>
              <w:jc w:val="right"/>
              <w:ind w:right="133"/>
              <w:spacing w:after="0" w:line="200" w:lineRule="exact"/>
              <w:rPr>
                <w:sz w:val="20"/>
                <w:szCs w:val="20"/>
                <w:color w:val="auto"/>
              </w:rPr>
            </w:pPr>
            <w:r>
              <w:rPr>
                <w:rFonts w:ascii="Arial" w:cs="Arial" w:eastAsia="Arial" w:hAnsi="Arial"/>
                <w:sz w:val="18"/>
                <w:szCs w:val="18"/>
                <w:b w:val="1"/>
                <w:bCs w:val="1"/>
                <w:color w:val="auto"/>
                <w:w w:val="98"/>
              </w:rPr>
              <w:t>24,966</w:t>
            </w:r>
          </w:p>
        </w:tc>
        <w:tc>
          <w:tcPr>
            <w:tcW w:w="260" w:type="dxa"/>
            <w:vAlign w:val="bottom"/>
          </w:tcPr>
          <w:p>
            <w:pPr>
              <w:jc w:val="right"/>
              <w:spacing w:after="0" w:line="200" w:lineRule="exact"/>
              <w:rPr>
                <w:sz w:val="20"/>
                <w:szCs w:val="20"/>
                <w:color w:val="auto"/>
              </w:rPr>
            </w:pPr>
            <w:r>
              <w:rPr>
                <w:rFonts w:ascii="Arial" w:cs="Arial" w:eastAsia="Arial" w:hAnsi="Arial"/>
                <w:sz w:val="18"/>
                <w:szCs w:val="18"/>
                <w:color w:val="auto"/>
              </w:rPr>
              <w:t>$</w:t>
            </w:r>
          </w:p>
        </w:tc>
        <w:tc>
          <w:tcPr>
            <w:tcW w:w="780" w:type="dxa"/>
            <w:vAlign w:val="bottom"/>
          </w:tcPr>
          <w:p>
            <w:pPr>
              <w:jc w:val="right"/>
              <w:ind w:right="133"/>
              <w:spacing w:after="0" w:line="200" w:lineRule="exact"/>
              <w:rPr>
                <w:sz w:val="20"/>
                <w:szCs w:val="20"/>
                <w:color w:val="auto"/>
              </w:rPr>
            </w:pPr>
            <w:r>
              <w:rPr>
                <w:rFonts w:ascii="Arial" w:cs="Arial" w:eastAsia="Arial" w:hAnsi="Arial"/>
                <w:sz w:val="18"/>
                <w:szCs w:val="18"/>
                <w:color w:val="auto"/>
                <w:w w:val="98"/>
              </w:rPr>
              <w:t>21,075</w:t>
            </w:r>
          </w:p>
        </w:tc>
        <w:tc>
          <w:tcPr>
            <w:tcW w:w="260" w:type="dxa"/>
            <w:vAlign w:val="bottom"/>
          </w:tcPr>
          <w:p>
            <w:pPr>
              <w:jc w:val="right"/>
              <w:spacing w:after="0" w:line="200" w:lineRule="exact"/>
              <w:rPr>
                <w:sz w:val="20"/>
                <w:szCs w:val="20"/>
                <w:color w:val="auto"/>
              </w:rPr>
            </w:pPr>
            <w:r>
              <w:rPr>
                <w:rFonts w:ascii="Arial" w:cs="Arial" w:eastAsia="Arial" w:hAnsi="Arial"/>
                <w:sz w:val="18"/>
                <w:szCs w:val="18"/>
                <w:color w:val="auto"/>
              </w:rPr>
              <w:t>$</w:t>
            </w:r>
          </w:p>
        </w:tc>
        <w:tc>
          <w:tcPr>
            <w:tcW w:w="620" w:type="dxa"/>
            <w:vAlign w:val="bottom"/>
          </w:tcPr>
          <w:p>
            <w:pPr>
              <w:jc w:val="right"/>
              <w:spacing w:after="0" w:line="200" w:lineRule="exact"/>
              <w:rPr>
                <w:sz w:val="20"/>
                <w:szCs w:val="20"/>
                <w:color w:val="auto"/>
              </w:rPr>
            </w:pPr>
            <w:r>
              <w:rPr>
                <w:rFonts w:ascii="Arial" w:cs="Arial" w:eastAsia="Arial" w:hAnsi="Arial"/>
                <w:sz w:val="18"/>
                <w:szCs w:val="18"/>
                <w:color w:val="auto"/>
                <w:w w:val="98"/>
              </w:rPr>
              <w:t>19,221</w:t>
            </w:r>
          </w:p>
        </w:tc>
        <w:tc>
          <w:tcPr>
            <w:tcW w:w="0" w:type="dxa"/>
            <w:vAlign w:val="bottom"/>
          </w:tcPr>
          <w:p>
            <w:pPr>
              <w:spacing w:after="0"/>
              <w:rPr>
                <w:sz w:val="1"/>
                <w:szCs w:val="1"/>
                <w:color w:val="auto"/>
              </w:rPr>
            </w:pPr>
          </w:p>
        </w:tc>
      </w:tr>
      <w:tr>
        <w:trPr>
          <w:trHeight w:val="203"/>
        </w:trPr>
        <w:tc>
          <w:tcPr>
            <w:tcW w:w="5460" w:type="dxa"/>
            <w:vAlign w:val="bottom"/>
            <w:gridSpan w:val="2"/>
          </w:tcPr>
          <w:p>
            <w:pPr>
              <w:spacing w:after="0" w:line="202" w:lineRule="exact"/>
              <w:rPr>
                <w:sz w:val="20"/>
                <w:szCs w:val="20"/>
                <w:color w:val="auto"/>
              </w:rPr>
            </w:pPr>
            <w:r>
              <w:rPr>
                <w:rFonts w:ascii="Arial" w:cs="Arial" w:eastAsia="Arial" w:hAnsi="Arial"/>
                <w:sz w:val="18"/>
                <w:szCs w:val="18"/>
                <w:color w:val="auto"/>
              </w:rPr>
              <w:t>Costs and Expenses</w:t>
            </w:r>
          </w:p>
        </w:tc>
        <w:tc>
          <w:tcPr>
            <w:tcW w:w="1840" w:type="dxa"/>
            <w:vAlign w:val="bottom"/>
          </w:tcPr>
          <w:p>
            <w:pPr>
              <w:spacing w:after="0"/>
              <w:rPr>
                <w:sz w:val="17"/>
                <w:szCs w:val="17"/>
                <w:color w:val="auto"/>
              </w:rPr>
            </w:pPr>
          </w:p>
        </w:tc>
        <w:tc>
          <w:tcPr>
            <w:tcW w:w="1420" w:type="dxa"/>
            <w:vAlign w:val="bottom"/>
          </w:tcPr>
          <w:p>
            <w:pPr>
              <w:spacing w:after="0"/>
              <w:rPr>
                <w:sz w:val="17"/>
                <w:szCs w:val="17"/>
                <w:color w:val="auto"/>
              </w:rPr>
            </w:pPr>
          </w:p>
        </w:tc>
        <w:tc>
          <w:tcPr>
            <w:tcW w:w="780" w:type="dxa"/>
            <w:vAlign w:val="bottom"/>
            <w:vMerge w:val="restart"/>
          </w:tcPr>
          <w:p>
            <w:pPr>
              <w:jc w:val="right"/>
              <w:ind w:right="133"/>
              <w:spacing w:after="0"/>
              <w:rPr>
                <w:sz w:val="20"/>
                <w:szCs w:val="20"/>
                <w:color w:val="auto"/>
              </w:rPr>
            </w:pPr>
            <w:r>
              <w:rPr>
                <w:rFonts w:ascii="Arial" w:cs="Arial" w:eastAsia="Arial" w:hAnsi="Arial"/>
                <w:sz w:val="18"/>
                <w:szCs w:val="18"/>
                <w:b w:val="1"/>
                <w:bCs w:val="1"/>
                <w:color w:val="auto"/>
              </w:rPr>
              <w:t>9,010</w:t>
            </w:r>
          </w:p>
        </w:tc>
        <w:tc>
          <w:tcPr>
            <w:tcW w:w="26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6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81"/>
        </w:trPr>
        <w:tc>
          <w:tcPr>
            <w:tcW w:w="20" w:type="dxa"/>
            <w:vAlign w:val="bottom"/>
          </w:tcPr>
          <w:p>
            <w:pPr>
              <w:spacing w:after="0"/>
              <w:rPr>
                <w:sz w:val="15"/>
                <w:szCs w:val="15"/>
                <w:color w:val="auto"/>
              </w:rPr>
            </w:pPr>
          </w:p>
        </w:tc>
        <w:tc>
          <w:tcPr>
            <w:tcW w:w="5440" w:type="dxa"/>
            <w:vAlign w:val="bottom"/>
          </w:tcPr>
          <w:p>
            <w:pPr>
              <w:ind w:left="200"/>
              <w:spacing w:after="0" w:line="181" w:lineRule="exact"/>
              <w:rPr>
                <w:sz w:val="20"/>
                <w:szCs w:val="20"/>
                <w:color w:val="auto"/>
              </w:rPr>
            </w:pPr>
            <w:r>
              <w:rPr>
                <w:rFonts w:ascii="Arial" w:cs="Arial" w:eastAsia="Arial" w:hAnsi="Arial"/>
                <w:sz w:val="18"/>
                <w:szCs w:val="18"/>
                <w:color w:val="auto"/>
              </w:rPr>
              <w:t>Operating (excluding depreciation)</w:t>
            </w:r>
          </w:p>
        </w:tc>
        <w:tc>
          <w:tcPr>
            <w:tcW w:w="1840" w:type="dxa"/>
            <w:vAlign w:val="bottom"/>
          </w:tcPr>
          <w:p>
            <w:pPr>
              <w:spacing w:after="0"/>
              <w:rPr>
                <w:sz w:val="15"/>
                <w:szCs w:val="15"/>
                <w:color w:val="auto"/>
              </w:rPr>
            </w:pPr>
          </w:p>
        </w:tc>
        <w:tc>
          <w:tcPr>
            <w:tcW w:w="1420" w:type="dxa"/>
            <w:vAlign w:val="bottom"/>
          </w:tcPr>
          <w:p>
            <w:pPr>
              <w:spacing w:after="0"/>
              <w:rPr>
                <w:sz w:val="15"/>
                <w:szCs w:val="15"/>
                <w:color w:val="auto"/>
              </w:rPr>
            </w:pPr>
          </w:p>
        </w:tc>
        <w:tc>
          <w:tcPr>
            <w:tcW w:w="780" w:type="dxa"/>
            <w:vAlign w:val="bottom"/>
            <w:vMerge w:val="continue"/>
          </w:tcPr>
          <w:p>
            <w:pPr>
              <w:spacing w:after="0"/>
              <w:rPr>
                <w:sz w:val="15"/>
                <w:szCs w:val="15"/>
                <w:color w:val="auto"/>
              </w:rPr>
            </w:pPr>
          </w:p>
        </w:tc>
        <w:tc>
          <w:tcPr>
            <w:tcW w:w="260" w:type="dxa"/>
            <w:vAlign w:val="bottom"/>
          </w:tcPr>
          <w:p>
            <w:pPr>
              <w:spacing w:after="0"/>
              <w:rPr>
                <w:sz w:val="15"/>
                <w:szCs w:val="15"/>
                <w:color w:val="auto"/>
              </w:rPr>
            </w:pPr>
          </w:p>
        </w:tc>
        <w:tc>
          <w:tcPr>
            <w:tcW w:w="780" w:type="dxa"/>
            <w:vAlign w:val="bottom"/>
          </w:tcPr>
          <w:p>
            <w:pPr>
              <w:jc w:val="right"/>
              <w:ind w:right="133"/>
              <w:spacing w:after="0" w:line="181" w:lineRule="exact"/>
              <w:rPr>
                <w:sz w:val="20"/>
                <w:szCs w:val="20"/>
                <w:color w:val="auto"/>
              </w:rPr>
            </w:pPr>
            <w:r>
              <w:rPr>
                <w:rFonts w:ascii="Arial" w:cs="Arial" w:eastAsia="Arial" w:hAnsi="Arial"/>
                <w:sz w:val="18"/>
                <w:szCs w:val="18"/>
                <w:color w:val="auto"/>
              </w:rPr>
              <w:t>7,513</w:t>
            </w:r>
          </w:p>
        </w:tc>
        <w:tc>
          <w:tcPr>
            <w:tcW w:w="260" w:type="dxa"/>
            <w:vAlign w:val="bottom"/>
          </w:tcPr>
          <w:p>
            <w:pPr>
              <w:spacing w:after="0"/>
              <w:rPr>
                <w:sz w:val="15"/>
                <w:szCs w:val="15"/>
                <w:color w:val="auto"/>
              </w:rPr>
            </w:pPr>
          </w:p>
        </w:tc>
        <w:tc>
          <w:tcPr>
            <w:tcW w:w="620" w:type="dxa"/>
            <w:vAlign w:val="bottom"/>
          </w:tcPr>
          <w:p>
            <w:pPr>
              <w:jc w:val="right"/>
              <w:spacing w:after="0" w:line="181" w:lineRule="exact"/>
              <w:rPr>
                <w:sz w:val="20"/>
                <w:szCs w:val="20"/>
                <w:color w:val="auto"/>
              </w:rPr>
            </w:pPr>
            <w:r>
              <w:rPr>
                <w:rFonts w:ascii="Arial" w:cs="Arial" w:eastAsia="Arial" w:hAnsi="Arial"/>
                <w:sz w:val="18"/>
                <w:szCs w:val="18"/>
                <w:color w:val="auto"/>
              </w:rPr>
              <w:t>7,036</w:t>
            </w: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5440" w:type="dxa"/>
            <w:vAlign w:val="bottom"/>
          </w:tcPr>
          <w:p>
            <w:pPr>
              <w:ind w:left="200"/>
              <w:spacing w:after="0" w:line="202" w:lineRule="exact"/>
              <w:rPr>
                <w:sz w:val="20"/>
                <w:szCs w:val="20"/>
                <w:color w:val="auto"/>
              </w:rPr>
            </w:pPr>
            <w:r>
              <w:rPr>
                <w:rFonts w:ascii="Arial" w:cs="Arial" w:eastAsia="Arial" w:hAnsi="Arial"/>
                <w:sz w:val="18"/>
                <w:szCs w:val="18"/>
                <w:color w:val="auto"/>
              </w:rPr>
              <w:t>Selling, general and administrative</w:t>
            </w:r>
          </w:p>
        </w:tc>
        <w:tc>
          <w:tcPr>
            <w:tcW w:w="1840" w:type="dxa"/>
            <w:vAlign w:val="bottom"/>
          </w:tcPr>
          <w:p>
            <w:pPr>
              <w:spacing w:after="0"/>
              <w:rPr>
                <w:sz w:val="17"/>
                <w:szCs w:val="17"/>
                <w:color w:val="auto"/>
              </w:rPr>
            </w:pPr>
          </w:p>
        </w:tc>
        <w:tc>
          <w:tcPr>
            <w:tcW w:w="1420" w:type="dxa"/>
            <w:vAlign w:val="bottom"/>
          </w:tcPr>
          <w:p>
            <w:pPr>
              <w:spacing w:after="0"/>
              <w:rPr>
                <w:sz w:val="17"/>
                <w:szCs w:val="17"/>
                <w:color w:val="auto"/>
              </w:rPr>
            </w:pPr>
          </w:p>
        </w:tc>
        <w:tc>
          <w:tcPr>
            <w:tcW w:w="780" w:type="dxa"/>
            <w:vAlign w:val="bottom"/>
          </w:tcPr>
          <w:p>
            <w:pPr>
              <w:jc w:val="right"/>
              <w:ind w:right="133"/>
              <w:spacing w:after="0" w:line="202" w:lineRule="exact"/>
              <w:rPr>
                <w:sz w:val="20"/>
                <w:szCs w:val="20"/>
                <w:color w:val="auto"/>
              </w:rPr>
            </w:pPr>
            <w:r>
              <w:rPr>
                <w:rFonts w:ascii="Arial" w:cs="Arial" w:eastAsia="Arial" w:hAnsi="Arial"/>
                <w:sz w:val="18"/>
                <w:szCs w:val="18"/>
                <w:b w:val="1"/>
                <w:bCs w:val="1"/>
                <w:color w:val="auto"/>
              </w:rPr>
              <w:t>6,514</w:t>
            </w:r>
          </w:p>
        </w:tc>
        <w:tc>
          <w:tcPr>
            <w:tcW w:w="260" w:type="dxa"/>
            <w:vAlign w:val="bottom"/>
          </w:tcPr>
          <w:p>
            <w:pPr>
              <w:spacing w:after="0"/>
              <w:rPr>
                <w:sz w:val="17"/>
                <w:szCs w:val="17"/>
                <w:color w:val="auto"/>
              </w:rPr>
            </w:pPr>
          </w:p>
        </w:tc>
        <w:tc>
          <w:tcPr>
            <w:tcW w:w="780" w:type="dxa"/>
            <w:vAlign w:val="bottom"/>
          </w:tcPr>
          <w:p>
            <w:pPr>
              <w:jc w:val="right"/>
              <w:ind w:right="133"/>
              <w:spacing w:after="0" w:line="202" w:lineRule="exact"/>
              <w:rPr>
                <w:sz w:val="20"/>
                <w:szCs w:val="20"/>
                <w:color w:val="auto"/>
              </w:rPr>
            </w:pPr>
            <w:r>
              <w:rPr>
                <w:rFonts w:ascii="Arial" w:cs="Arial" w:eastAsia="Arial" w:hAnsi="Arial"/>
                <w:sz w:val="18"/>
                <w:szCs w:val="18"/>
                <w:color w:val="auto"/>
              </w:rPr>
              <w:t>5,490</w:t>
            </w:r>
          </w:p>
        </w:tc>
        <w:tc>
          <w:tcPr>
            <w:tcW w:w="260" w:type="dxa"/>
            <w:vAlign w:val="bottom"/>
          </w:tcPr>
          <w:p>
            <w:pPr>
              <w:spacing w:after="0"/>
              <w:rPr>
                <w:sz w:val="17"/>
                <w:szCs w:val="17"/>
                <w:color w:val="auto"/>
              </w:rPr>
            </w:pPr>
          </w:p>
        </w:tc>
        <w:tc>
          <w:tcPr>
            <w:tcW w:w="620" w:type="dxa"/>
            <w:vAlign w:val="bottom"/>
          </w:tcPr>
          <w:p>
            <w:pPr>
              <w:jc w:val="right"/>
              <w:spacing w:after="0" w:line="202" w:lineRule="exact"/>
              <w:rPr>
                <w:sz w:val="20"/>
                <w:szCs w:val="20"/>
                <w:color w:val="auto"/>
              </w:rPr>
            </w:pPr>
            <w:r>
              <w:rPr>
                <w:rFonts w:ascii="Arial" w:cs="Arial" w:eastAsia="Arial" w:hAnsi="Arial"/>
                <w:sz w:val="18"/>
                <w:szCs w:val="18"/>
                <w:color w:val="auto"/>
              </w:rPr>
              <w:t>5,005</w:t>
            </w: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5440" w:type="dxa"/>
            <w:vAlign w:val="bottom"/>
          </w:tcPr>
          <w:p>
            <w:pPr>
              <w:ind w:left="200"/>
              <w:spacing w:after="0" w:line="202" w:lineRule="exact"/>
              <w:rPr>
                <w:sz w:val="20"/>
                <w:szCs w:val="20"/>
                <w:color w:val="auto"/>
              </w:rPr>
            </w:pPr>
            <w:r>
              <w:rPr>
                <w:rFonts w:ascii="Arial" w:cs="Arial" w:eastAsia="Arial" w:hAnsi="Arial"/>
                <w:sz w:val="18"/>
                <w:szCs w:val="18"/>
                <w:color w:val="auto"/>
              </w:rPr>
              <w:t>Depreciation</w:t>
            </w:r>
          </w:p>
        </w:tc>
        <w:tc>
          <w:tcPr>
            <w:tcW w:w="1840" w:type="dxa"/>
            <w:vAlign w:val="bottom"/>
          </w:tcPr>
          <w:p>
            <w:pPr>
              <w:spacing w:after="0"/>
              <w:rPr>
                <w:sz w:val="17"/>
                <w:szCs w:val="17"/>
                <w:color w:val="auto"/>
              </w:rPr>
            </w:pPr>
          </w:p>
        </w:tc>
        <w:tc>
          <w:tcPr>
            <w:tcW w:w="1420" w:type="dxa"/>
            <w:vAlign w:val="bottom"/>
          </w:tcPr>
          <w:p>
            <w:pPr>
              <w:spacing w:after="0"/>
              <w:rPr>
                <w:sz w:val="17"/>
                <w:szCs w:val="17"/>
                <w:color w:val="auto"/>
              </w:rPr>
            </w:pPr>
          </w:p>
        </w:tc>
        <w:tc>
          <w:tcPr>
            <w:tcW w:w="780" w:type="dxa"/>
            <w:vAlign w:val="bottom"/>
          </w:tcPr>
          <w:p>
            <w:pPr>
              <w:jc w:val="right"/>
              <w:ind w:right="133"/>
              <w:spacing w:after="0" w:line="202" w:lineRule="exact"/>
              <w:rPr>
                <w:sz w:val="20"/>
                <w:szCs w:val="20"/>
                <w:color w:val="auto"/>
              </w:rPr>
            </w:pPr>
            <w:r>
              <w:rPr>
                <w:rFonts w:ascii="Arial" w:cs="Arial" w:eastAsia="Arial" w:hAnsi="Arial"/>
                <w:sz w:val="18"/>
                <w:szCs w:val="18"/>
                <w:b w:val="1"/>
                <w:bCs w:val="1"/>
                <w:color w:val="auto"/>
              </w:rPr>
              <w:t>3,828</w:t>
            </w:r>
          </w:p>
        </w:tc>
        <w:tc>
          <w:tcPr>
            <w:tcW w:w="260" w:type="dxa"/>
            <w:vAlign w:val="bottom"/>
          </w:tcPr>
          <w:p>
            <w:pPr>
              <w:spacing w:after="0"/>
              <w:rPr>
                <w:sz w:val="17"/>
                <w:szCs w:val="17"/>
                <w:color w:val="auto"/>
              </w:rPr>
            </w:pPr>
          </w:p>
        </w:tc>
        <w:tc>
          <w:tcPr>
            <w:tcW w:w="780" w:type="dxa"/>
            <w:vAlign w:val="bottom"/>
          </w:tcPr>
          <w:p>
            <w:pPr>
              <w:jc w:val="right"/>
              <w:ind w:right="133"/>
              <w:spacing w:after="0" w:line="202" w:lineRule="exact"/>
              <w:rPr>
                <w:sz w:val="20"/>
                <w:szCs w:val="20"/>
                <w:color w:val="auto"/>
              </w:rPr>
            </w:pPr>
            <w:r>
              <w:rPr>
                <w:rFonts w:ascii="Arial" w:cs="Arial" w:eastAsia="Arial" w:hAnsi="Arial"/>
                <w:sz w:val="18"/>
                <w:szCs w:val="18"/>
                <w:color w:val="auto"/>
              </w:rPr>
              <w:t>3,413</w:t>
            </w:r>
          </w:p>
        </w:tc>
        <w:tc>
          <w:tcPr>
            <w:tcW w:w="260" w:type="dxa"/>
            <w:vAlign w:val="bottom"/>
          </w:tcPr>
          <w:p>
            <w:pPr>
              <w:spacing w:after="0"/>
              <w:rPr>
                <w:sz w:val="17"/>
                <w:szCs w:val="17"/>
                <w:color w:val="auto"/>
              </w:rPr>
            </w:pPr>
          </w:p>
        </w:tc>
        <w:tc>
          <w:tcPr>
            <w:tcW w:w="620" w:type="dxa"/>
            <w:vAlign w:val="bottom"/>
          </w:tcPr>
          <w:p>
            <w:pPr>
              <w:jc w:val="right"/>
              <w:spacing w:after="0" w:line="202" w:lineRule="exact"/>
              <w:rPr>
                <w:sz w:val="20"/>
                <w:szCs w:val="20"/>
                <w:color w:val="auto"/>
              </w:rPr>
            </w:pPr>
            <w:r>
              <w:rPr>
                <w:rFonts w:ascii="Arial" w:cs="Arial" w:eastAsia="Arial" w:hAnsi="Arial"/>
                <w:sz w:val="18"/>
                <w:szCs w:val="18"/>
                <w:color w:val="auto"/>
              </w:rPr>
              <w:t>3,197</w:t>
            </w:r>
          </w:p>
        </w:tc>
        <w:tc>
          <w:tcPr>
            <w:tcW w:w="0" w:type="dxa"/>
            <w:vAlign w:val="bottom"/>
          </w:tcPr>
          <w:p>
            <w:pPr>
              <w:spacing w:after="0"/>
              <w:rPr>
                <w:sz w:val="1"/>
                <w:szCs w:val="1"/>
                <w:color w:val="auto"/>
              </w:rPr>
            </w:pPr>
          </w:p>
        </w:tc>
      </w:tr>
      <w:tr>
        <w:trPr>
          <w:trHeight w:val="221"/>
        </w:trPr>
        <w:tc>
          <w:tcPr>
            <w:tcW w:w="20" w:type="dxa"/>
            <w:vAlign w:val="bottom"/>
          </w:tcPr>
          <w:p>
            <w:pPr>
              <w:spacing w:after="0"/>
              <w:rPr>
                <w:sz w:val="19"/>
                <w:szCs w:val="19"/>
                <w:color w:val="auto"/>
              </w:rPr>
            </w:pPr>
          </w:p>
        </w:tc>
        <w:tc>
          <w:tcPr>
            <w:tcW w:w="5440" w:type="dxa"/>
            <w:vAlign w:val="bottom"/>
            <w:tcBorders>
              <w:bottom w:val="single" w:sz="8" w:color="auto"/>
            </w:tcBorders>
          </w:tcPr>
          <w:p>
            <w:pPr>
              <w:ind w:left="200"/>
              <w:spacing w:after="0"/>
              <w:rPr>
                <w:sz w:val="20"/>
                <w:szCs w:val="20"/>
                <w:color w:val="auto"/>
              </w:rPr>
            </w:pPr>
            <w:r>
              <w:rPr>
                <w:rFonts w:ascii="Arial" w:cs="Arial" w:eastAsia="Arial" w:hAnsi="Arial"/>
                <w:sz w:val="18"/>
                <w:szCs w:val="18"/>
                <w:color w:val="auto"/>
              </w:rPr>
              <w:t>Amortization</w:t>
            </w:r>
          </w:p>
        </w:tc>
        <w:tc>
          <w:tcPr>
            <w:tcW w:w="1840" w:type="dxa"/>
            <w:vAlign w:val="bottom"/>
            <w:tcBorders>
              <w:bottom w:val="single" w:sz="8" w:color="auto"/>
            </w:tcBorders>
          </w:tcPr>
          <w:p>
            <w:pPr>
              <w:spacing w:after="0"/>
              <w:rPr>
                <w:sz w:val="19"/>
                <w:szCs w:val="19"/>
                <w:color w:val="auto"/>
              </w:rPr>
            </w:pPr>
          </w:p>
        </w:tc>
        <w:tc>
          <w:tcPr>
            <w:tcW w:w="1420" w:type="dxa"/>
            <w:vAlign w:val="bottom"/>
            <w:tcBorders>
              <w:bottom w:val="single" w:sz="8" w:color="auto"/>
            </w:tcBorders>
          </w:tcPr>
          <w:p>
            <w:pPr>
              <w:spacing w:after="0"/>
              <w:rPr>
                <w:sz w:val="19"/>
                <w:szCs w:val="19"/>
                <w:color w:val="auto"/>
              </w:rPr>
            </w:pPr>
          </w:p>
        </w:tc>
        <w:tc>
          <w:tcPr>
            <w:tcW w:w="780" w:type="dxa"/>
            <w:vAlign w:val="bottom"/>
            <w:tcBorders>
              <w:bottom w:val="single" w:sz="8" w:color="auto"/>
            </w:tcBorders>
          </w:tcPr>
          <w:p>
            <w:pPr>
              <w:jc w:val="right"/>
              <w:ind w:right="133"/>
              <w:spacing w:after="0"/>
              <w:rPr>
                <w:sz w:val="20"/>
                <w:szCs w:val="20"/>
                <w:color w:val="auto"/>
              </w:rPr>
            </w:pPr>
            <w:r>
              <w:rPr>
                <w:rFonts w:ascii="Arial" w:cs="Arial" w:eastAsia="Arial" w:hAnsi="Arial"/>
                <w:sz w:val="18"/>
                <w:szCs w:val="18"/>
                <w:b w:val="1"/>
                <w:bCs w:val="1"/>
                <w:color w:val="auto"/>
              </w:rPr>
              <w:t>995</w:t>
            </w:r>
          </w:p>
        </w:tc>
        <w:tc>
          <w:tcPr>
            <w:tcW w:w="260" w:type="dxa"/>
            <w:vAlign w:val="bottom"/>
            <w:tcBorders>
              <w:bottom w:val="single" w:sz="8" w:color="auto"/>
            </w:tcBorders>
          </w:tcPr>
          <w:p>
            <w:pPr>
              <w:spacing w:after="0"/>
              <w:rPr>
                <w:sz w:val="19"/>
                <w:szCs w:val="19"/>
                <w:color w:val="auto"/>
              </w:rPr>
            </w:pPr>
          </w:p>
        </w:tc>
        <w:tc>
          <w:tcPr>
            <w:tcW w:w="780" w:type="dxa"/>
            <w:vAlign w:val="bottom"/>
            <w:tcBorders>
              <w:bottom w:val="single" w:sz="8" w:color="auto"/>
            </w:tcBorders>
          </w:tcPr>
          <w:p>
            <w:pPr>
              <w:jc w:val="right"/>
              <w:ind w:right="133"/>
              <w:spacing w:after="0"/>
              <w:rPr>
                <w:sz w:val="20"/>
                <w:szCs w:val="20"/>
                <w:color w:val="auto"/>
              </w:rPr>
            </w:pPr>
            <w:r>
              <w:rPr>
                <w:rFonts w:ascii="Arial" w:cs="Arial" w:eastAsia="Arial" w:hAnsi="Arial"/>
                <w:sz w:val="18"/>
                <w:szCs w:val="18"/>
                <w:color w:val="auto"/>
              </w:rPr>
              <w:t>1,138</w:t>
            </w:r>
          </w:p>
        </w:tc>
        <w:tc>
          <w:tcPr>
            <w:tcW w:w="260" w:type="dxa"/>
            <w:vAlign w:val="bottom"/>
            <w:tcBorders>
              <w:bottom w:val="single" w:sz="8" w:color="auto"/>
            </w:tcBorders>
          </w:tcPr>
          <w:p>
            <w:pPr>
              <w:spacing w:after="0"/>
              <w:rPr>
                <w:sz w:val="19"/>
                <w:szCs w:val="19"/>
                <w:color w:val="auto"/>
              </w:rPr>
            </w:pPr>
          </w:p>
        </w:tc>
        <w:tc>
          <w:tcPr>
            <w:tcW w:w="6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1,154</w:t>
            </w:r>
          </w:p>
        </w:tc>
        <w:tc>
          <w:tcPr>
            <w:tcW w:w="0" w:type="dxa"/>
            <w:vAlign w:val="bottom"/>
          </w:tcPr>
          <w:p>
            <w:pPr>
              <w:spacing w:after="0"/>
              <w:rPr>
                <w:sz w:val="1"/>
                <w:szCs w:val="1"/>
                <w:color w:val="auto"/>
              </w:rPr>
            </w:pPr>
          </w:p>
        </w:tc>
      </w:tr>
      <w:tr>
        <w:trPr>
          <w:trHeight w:val="177"/>
        </w:trPr>
        <w:tc>
          <w:tcPr>
            <w:tcW w:w="20" w:type="dxa"/>
            <w:vAlign w:val="bottom"/>
          </w:tcPr>
          <w:p>
            <w:pPr>
              <w:spacing w:after="0"/>
              <w:rPr>
                <w:sz w:val="15"/>
                <w:szCs w:val="15"/>
                <w:color w:val="auto"/>
              </w:rPr>
            </w:pPr>
          </w:p>
        </w:tc>
        <w:tc>
          <w:tcPr>
            <w:tcW w:w="5440" w:type="dxa"/>
            <w:vAlign w:val="bottom"/>
          </w:tcPr>
          <w:p>
            <w:pPr>
              <w:spacing w:after="0"/>
              <w:rPr>
                <w:sz w:val="15"/>
                <w:szCs w:val="15"/>
                <w:color w:val="auto"/>
              </w:rPr>
            </w:pPr>
          </w:p>
        </w:tc>
        <w:tc>
          <w:tcPr>
            <w:tcW w:w="1840" w:type="dxa"/>
            <w:vAlign w:val="bottom"/>
          </w:tcPr>
          <w:p>
            <w:pPr>
              <w:spacing w:after="0"/>
              <w:rPr>
                <w:sz w:val="15"/>
                <w:szCs w:val="15"/>
                <w:color w:val="auto"/>
              </w:rPr>
            </w:pPr>
          </w:p>
        </w:tc>
        <w:tc>
          <w:tcPr>
            <w:tcW w:w="1420" w:type="dxa"/>
            <w:vAlign w:val="bottom"/>
          </w:tcPr>
          <w:p>
            <w:pPr>
              <w:spacing w:after="0"/>
              <w:rPr>
                <w:sz w:val="15"/>
                <w:szCs w:val="15"/>
                <w:color w:val="auto"/>
              </w:rPr>
            </w:pPr>
          </w:p>
        </w:tc>
        <w:tc>
          <w:tcPr>
            <w:tcW w:w="780" w:type="dxa"/>
            <w:vAlign w:val="bottom"/>
          </w:tcPr>
          <w:p>
            <w:pPr>
              <w:jc w:val="right"/>
              <w:ind w:right="133"/>
              <w:spacing w:after="0" w:line="177" w:lineRule="exact"/>
              <w:rPr>
                <w:sz w:val="20"/>
                <w:szCs w:val="20"/>
                <w:color w:val="auto"/>
              </w:rPr>
            </w:pPr>
            <w:r>
              <w:rPr>
                <w:rFonts w:ascii="Arial" w:cs="Arial" w:eastAsia="Arial" w:hAnsi="Arial"/>
                <w:sz w:val="18"/>
                <w:szCs w:val="18"/>
                <w:b w:val="1"/>
                <w:bCs w:val="1"/>
                <w:color w:val="auto"/>
                <w:w w:val="98"/>
              </w:rPr>
              <w:t>20,347</w:t>
            </w:r>
          </w:p>
        </w:tc>
        <w:tc>
          <w:tcPr>
            <w:tcW w:w="260" w:type="dxa"/>
            <w:vAlign w:val="bottom"/>
          </w:tcPr>
          <w:p>
            <w:pPr>
              <w:spacing w:after="0"/>
              <w:rPr>
                <w:sz w:val="15"/>
                <w:szCs w:val="15"/>
                <w:color w:val="auto"/>
              </w:rPr>
            </w:pPr>
          </w:p>
        </w:tc>
        <w:tc>
          <w:tcPr>
            <w:tcW w:w="780" w:type="dxa"/>
            <w:vAlign w:val="bottom"/>
          </w:tcPr>
          <w:p>
            <w:pPr>
              <w:jc w:val="right"/>
              <w:ind w:right="133"/>
              <w:spacing w:after="0" w:line="177" w:lineRule="exact"/>
              <w:rPr>
                <w:sz w:val="20"/>
                <w:szCs w:val="20"/>
                <w:color w:val="auto"/>
              </w:rPr>
            </w:pPr>
            <w:r>
              <w:rPr>
                <w:rFonts w:ascii="Arial" w:cs="Arial" w:eastAsia="Arial" w:hAnsi="Arial"/>
                <w:sz w:val="18"/>
                <w:szCs w:val="18"/>
                <w:color w:val="auto"/>
                <w:w w:val="98"/>
              </w:rPr>
              <w:t>17,554</w:t>
            </w:r>
          </w:p>
        </w:tc>
        <w:tc>
          <w:tcPr>
            <w:tcW w:w="260" w:type="dxa"/>
            <w:vAlign w:val="bottom"/>
          </w:tcPr>
          <w:p>
            <w:pPr>
              <w:spacing w:after="0"/>
              <w:rPr>
                <w:sz w:val="15"/>
                <w:szCs w:val="15"/>
                <w:color w:val="auto"/>
              </w:rPr>
            </w:pPr>
          </w:p>
        </w:tc>
        <w:tc>
          <w:tcPr>
            <w:tcW w:w="620" w:type="dxa"/>
            <w:vAlign w:val="bottom"/>
          </w:tcPr>
          <w:p>
            <w:pPr>
              <w:jc w:val="right"/>
              <w:spacing w:after="0" w:line="177" w:lineRule="exact"/>
              <w:rPr>
                <w:sz w:val="20"/>
                <w:szCs w:val="20"/>
                <w:color w:val="auto"/>
              </w:rPr>
            </w:pPr>
            <w:r>
              <w:rPr>
                <w:rFonts w:ascii="Arial" w:cs="Arial" w:eastAsia="Arial" w:hAnsi="Arial"/>
                <w:sz w:val="18"/>
                <w:szCs w:val="18"/>
                <w:color w:val="auto"/>
                <w:w w:val="98"/>
              </w:rPr>
              <w:t>16,392</w:t>
            </w:r>
          </w:p>
        </w:tc>
        <w:tc>
          <w:tcPr>
            <w:tcW w:w="0" w:type="dxa"/>
            <w:vAlign w:val="bottom"/>
          </w:tcPr>
          <w:p>
            <w:pPr>
              <w:spacing w:after="0"/>
              <w:rPr>
                <w:sz w:val="1"/>
                <w:szCs w:val="1"/>
                <w:color w:val="auto"/>
              </w:rPr>
            </w:pPr>
          </w:p>
        </w:tc>
      </w:tr>
      <w:tr>
        <w:trPr>
          <w:trHeight w:val="225"/>
        </w:trPr>
        <w:tc>
          <w:tcPr>
            <w:tcW w:w="5460" w:type="dxa"/>
            <w:vAlign w:val="bottom"/>
            <w:gridSpan w:val="2"/>
          </w:tcPr>
          <w:p>
            <w:pPr>
              <w:spacing w:after="0"/>
              <w:rPr>
                <w:sz w:val="20"/>
                <w:szCs w:val="20"/>
                <w:color w:val="auto"/>
              </w:rPr>
            </w:pPr>
            <w:r>
              <w:rPr>
                <w:rFonts w:ascii="Arial" w:cs="Arial" w:eastAsia="Arial" w:hAnsi="Arial"/>
                <w:sz w:val="18"/>
                <w:szCs w:val="18"/>
                <w:b w:val="1"/>
                <w:bCs w:val="1"/>
                <w:color w:val="auto"/>
              </w:rPr>
              <w:t>Operating income</w:t>
            </w:r>
          </w:p>
        </w:tc>
        <w:tc>
          <w:tcPr>
            <w:tcW w:w="1840" w:type="dxa"/>
            <w:vAlign w:val="bottom"/>
          </w:tcPr>
          <w:p>
            <w:pPr>
              <w:spacing w:after="0"/>
              <w:rPr>
                <w:sz w:val="19"/>
                <w:szCs w:val="19"/>
                <w:color w:val="auto"/>
              </w:rPr>
            </w:pPr>
          </w:p>
        </w:tc>
        <w:tc>
          <w:tcPr>
            <w:tcW w:w="1420" w:type="dxa"/>
            <w:vAlign w:val="bottom"/>
          </w:tcPr>
          <w:p>
            <w:pPr>
              <w:spacing w:after="0"/>
              <w:rPr>
                <w:sz w:val="19"/>
                <w:szCs w:val="19"/>
                <w:color w:val="auto"/>
              </w:rPr>
            </w:pPr>
          </w:p>
        </w:tc>
        <w:tc>
          <w:tcPr>
            <w:tcW w:w="780" w:type="dxa"/>
            <w:vAlign w:val="bottom"/>
          </w:tcPr>
          <w:p>
            <w:pPr>
              <w:jc w:val="right"/>
              <w:ind w:right="133"/>
              <w:spacing w:after="0"/>
              <w:rPr>
                <w:sz w:val="20"/>
                <w:szCs w:val="20"/>
                <w:color w:val="auto"/>
              </w:rPr>
            </w:pPr>
            <w:r>
              <w:rPr>
                <w:rFonts w:ascii="Arial" w:cs="Arial" w:eastAsia="Arial" w:hAnsi="Arial"/>
                <w:sz w:val="18"/>
                <w:szCs w:val="18"/>
                <w:b w:val="1"/>
                <w:bCs w:val="1"/>
                <w:color w:val="auto"/>
              </w:rPr>
              <w:t>4,619</w:t>
            </w:r>
          </w:p>
        </w:tc>
        <w:tc>
          <w:tcPr>
            <w:tcW w:w="260" w:type="dxa"/>
            <w:vAlign w:val="bottom"/>
          </w:tcPr>
          <w:p>
            <w:pPr>
              <w:spacing w:after="0"/>
              <w:rPr>
                <w:sz w:val="19"/>
                <w:szCs w:val="19"/>
                <w:color w:val="auto"/>
              </w:rPr>
            </w:pPr>
          </w:p>
        </w:tc>
        <w:tc>
          <w:tcPr>
            <w:tcW w:w="780" w:type="dxa"/>
            <w:vAlign w:val="bottom"/>
          </w:tcPr>
          <w:p>
            <w:pPr>
              <w:jc w:val="right"/>
              <w:ind w:right="133"/>
              <w:spacing w:after="0"/>
              <w:rPr>
                <w:sz w:val="20"/>
                <w:szCs w:val="20"/>
                <w:color w:val="auto"/>
              </w:rPr>
            </w:pPr>
            <w:r>
              <w:rPr>
                <w:rFonts w:ascii="Arial" w:cs="Arial" w:eastAsia="Arial" w:hAnsi="Arial"/>
                <w:sz w:val="18"/>
                <w:szCs w:val="18"/>
                <w:color w:val="auto"/>
              </w:rPr>
              <w:t>3,521</w:t>
            </w:r>
          </w:p>
        </w:tc>
        <w:tc>
          <w:tcPr>
            <w:tcW w:w="260" w:type="dxa"/>
            <w:vAlign w:val="bottom"/>
          </w:tcPr>
          <w:p>
            <w:pPr>
              <w:spacing w:after="0"/>
              <w:rPr>
                <w:sz w:val="19"/>
                <w:szCs w:val="19"/>
                <w:color w:val="auto"/>
              </w:rPr>
            </w:pPr>
          </w:p>
        </w:tc>
        <w:tc>
          <w:tcPr>
            <w:tcW w:w="620" w:type="dxa"/>
            <w:vAlign w:val="bottom"/>
          </w:tcPr>
          <w:p>
            <w:pPr>
              <w:jc w:val="right"/>
              <w:spacing w:after="0"/>
              <w:rPr>
                <w:sz w:val="20"/>
                <w:szCs w:val="20"/>
                <w:color w:val="auto"/>
              </w:rPr>
            </w:pPr>
            <w:r>
              <w:rPr>
                <w:rFonts w:ascii="Arial" w:cs="Arial" w:eastAsia="Arial" w:hAnsi="Arial"/>
                <w:sz w:val="18"/>
                <w:szCs w:val="18"/>
                <w:color w:val="auto"/>
              </w:rPr>
              <w:t>2,829</w:t>
            </w:r>
          </w:p>
        </w:tc>
        <w:tc>
          <w:tcPr>
            <w:tcW w:w="0" w:type="dxa"/>
            <w:vAlign w:val="bottom"/>
          </w:tcPr>
          <w:p>
            <w:pPr>
              <w:spacing w:after="0"/>
              <w:rPr>
                <w:sz w:val="1"/>
                <w:szCs w:val="1"/>
                <w:color w:val="auto"/>
              </w:rPr>
            </w:pPr>
          </w:p>
        </w:tc>
      </w:tr>
      <w:tr>
        <w:trPr>
          <w:trHeight w:val="203"/>
        </w:trPr>
        <w:tc>
          <w:tcPr>
            <w:tcW w:w="5460" w:type="dxa"/>
            <w:vAlign w:val="bottom"/>
            <w:gridSpan w:val="2"/>
          </w:tcPr>
          <w:p>
            <w:pPr>
              <w:spacing w:after="0" w:line="202" w:lineRule="exact"/>
              <w:rPr>
                <w:sz w:val="20"/>
                <w:szCs w:val="20"/>
                <w:color w:val="auto"/>
              </w:rPr>
            </w:pPr>
            <w:r>
              <w:rPr>
                <w:rFonts w:ascii="Arial" w:cs="Arial" w:eastAsia="Arial" w:hAnsi="Arial"/>
                <w:sz w:val="18"/>
                <w:szCs w:val="18"/>
                <w:color w:val="auto"/>
              </w:rPr>
              <w:t>Other Income (Expense)</w:t>
            </w:r>
          </w:p>
        </w:tc>
        <w:tc>
          <w:tcPr>
            <w:tcW w:w="1840" w:type="dxa"/>
            <w:vAlign w:val="bottom"/>
          </w:tcPr>
          <w:p>
            <w:pPr>
              <w:spacing w:after="0"/>
              <w:rPr>
                <w:sz w:val="17"/>
                <w:szCs w:val="17"/>
                <w:color w:val="auto"/>
              </w:rPr>
            </w:pPr>
          </w:p>
        </w:tc>
        <w:tc>
          <w:tcPr>
            <w:tcW w:w="1420" w:type="dxa"/>
            <w:vAlign w:val="bottom"/>
          </w:tcPr>
          <w:p>
            <w:pPr>
              <w:spacing w:after="0"/>
              <w:rPr>
                <w:sz w:val="17"/>
                <w:szCs w:val="17"/>
                <w:color w:val="auto"/>
              </w:rPr>
            </w:pPr>
          </w:p>
        </w:tc>
        <w:tc>
          <w:tcPr>
            <w:tcW w:w="780" w:type="dxa"/>
            <w:vAlign w:val="bottom"/>
            <w:vMerge w:val="restart"/>
          </w:tcPr>
          <w:p>
            <w:pPr>
              <w:jc w:val="right"/>
              <w:ind w:right="73"/>
              <w:spacing w:after="0"/>
              <w:rPr>
                <w:sz w:val="20"/>
                <w:szCs w:val="20"/>
                <w:color w:val="auto"/>
              </w:rPr>
            </w:pPr>
            <w:r>
              <w:rPr>
                <w:rFonts w:ascii="Arial" w:cs="Arial" w:eastAsia="Arial" w:hAnsi="Arial"/>
                <w:sz w:val="18"/>
                <w:szCs w:val="18"/>
                <w:b w:val="1"/>
                <w:bCs w:val="1"/>
                <w:color w:val="auto"/>
              </w:rPr>
              <w:t>(2,064)</w:t>
            </w:r>
          </w:p>
        </w:tc>
        <w:tc>
          <w:tcPr>
            <w:tcW w:w="26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6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81"/>
        </w:trPr>
        <w:tc>
          <w:tcPr>
            <w:tcW w:w="20" w:type="dxa"/>
            <w:vAlign w:val="bottom"/>
          </w:tcPr>
          <w:p>
            <w:pPr>
              <w:spacing w:after="0"/>
              <w:rPr>
                <w:sz w:val="15"/>
                <w:szCs w:val="15"/>
                <w:color w:val="auto"/>
              </w:rPr>
            </w:pPr>
          </w:p>
        </w:tc>
        <w:tc>
          <w:tcPr>
            <w:tcW w:w="5440" w:type="dxa"/>
            <w:vAlign w:val="bottom"/>
          </w:tcPr>
          <w:p>
            <w:pPr>
              <w:ind w:left="200"/>
              <w:spacing w:after="0" w:line="181" w:lineRule="exact"/>
              <w:rPr>
                <w:sz w:val="20"/>
                <w:szCs w:val="20"/>
                <w:color w:val="auto"/>
              </w:rPr>
            </w:pPr>
            <w:r>
              <w:rPr>
                <w:rFonts w:ascii="Arial" w:cs="Arial" w:eastAsia="Arial" w:hAnsi="Arial"/>
                <w:sz w:val="18"/>
                <w:szCs w:val="18"/>
                <w:color w:val="auto"/>
              </w:rPr>
              <w:t>Interest expense</w:t>
            </w:r>
          </w:p>
        </w:tc>
        <w:tc>
          <w:tcPr>
            <w:tcW w:w="1840" w:type="dxa"/>
            <w:vAlign w:val="bottom"/>
          </w:tcPr>
          <w:p>
            <w:pPr>
              <w:spacing w:after="0"/>
              <w:rPr>
                <w:sz w:val="15"/>
                <w:szCs w:val="15"/>
                <w:color w:val="auto"/>
              </w:rPr>
            </w:pPr>
          </w:p>
        </w:tc>
        <w:tc>
          <w:tcPr>
            <w:tcW w:w="1420" w:type="dxa"/>
            <w:vAlign w:val="bottom"/>
          </w:tcPr>
          <w:p>
            <w:pPr>
              <w:spacing w:after="0"/>
              <w:rPr>
                <w:sz w:val="15"/>
                <w:szCs w:val="15"/>
                <w:color w:val="auto"/>
              </w:rPr>
            </w:pPr>
          </w:p>
        </w:tc>
        <w:tc>
          <w:tcPr>
            <w:tcW w:w="780" w:type="dxa"/>
            <w:vAlign w:val="bottom"/>
            <w:vMerge w:val="continue"/>
          </w:tcPr>
          <w:p>
            <w:pPr>
              <w:spacing w:after="0"/>
              <w:rPr>
                <w:sz w:val="15"/>
                <w:szCs w:val="15"/>
                <w:color w:val="auto"/>
              </w:rPr>
            </w:pPr>
          </w:p>
        </w:tc>
        <w:tc>
          <w:tcPr>
            <w:tcW w:w="260" w:type="dxa"/>
            <w:vAlign w:val="bottom"/>
          </w:tcPr>
          <w:p>
            <w:pPr>
              <w:spacing w:after="0"/>
              <w:rPr>
                <w:sz w:val="15"/>
                <w:szCs w:val="15"/>
                <w:color w:val="auto"/>
              </w:rPr>
            </w:pPr>
          </w:p>
        </w:tc>
        <w:tc>
          <w:tcPr>
            <w:tcW w:w="780" w:type="dxa"/>
            <w:vAlign w:val="bottom"/>
          </w:tcPr>
          <w:p>
            <w:pPr>
              <w:jc w:val="right"/>
              <w:ind w:right="73"/>
              <w:spacing w:after="0" w:line="181" w:lineRule="exact"/>
              <w:rPr>
                <w:sz w:val="20"/>
                <w:szCs w:val="20"/>
                <w:color w:val="auto"/>
              </w:rPr>
            </w:pPr>
            <w:r>
              <w:rPr>
                <w:rFonts w:ascii="Arial" w:cs="Arial" w:eastAsia="Arial" w:hAnsi="Arial"/>
                <w:sz w:val="18"/>
                <w:szCs w:val="18"/>
                <w:color w:val="auto"/>
              </w:rPr>
              <w:t>(1,795)</w:t>
            </w:r>
          </w:p>
        </w:tc>
        <w:tc>
          <w:tcPr>
            <w:tcW w:w="260" w:type="dxa"/>
            <w:vAlign w:val="bottom"/>
          </w:tcPr>
          <w:p>
            <w:pPr>
              <w:spacing w:after="0"/>
              <w:rPr>
                <w:sz w:val="15"/>
                <w:szCs w:val="15"/>
                <w:color w:val="auto"/>
              </w:rPr>
            </w:pPr>
          </w:p>
        </w:tc>
        <w:tc>
          <w:tcPr>
            <w:tcW w:w="620" w:type="dxa"/>
            <w:vAlign w:val="bottom"/>
          </w:tcPr>
          <w:p>
            <w:pPr>
              <w:jc w:val="right"/>
              <w:spacing w:after="0" w:line="181" w:lineRule="exact"/>
              <w:rPr>
                <w:sz w:val="20"/>
                <w:szCs w:val="20"/>
                <w:color w:val="auto"/>
              </w:rPr>
            </w:pPr>
            <w:r>
              <w:rPr>
                <w:rFonts w:ascii="Arial" w:cs="Arial" w:eastAsia="Arial" w:hAnsi="Arial"/>
                <w:sz w:val="18"/>
                <w:szCs w:val="18"/>
                <w:color w:val="auto"/>
              </w:rPr>
              <w:t>(1,874)</w:t>
            </w: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5440" w:type="dxa"/>
            <w:vAlign w:val="bottom"/>
          </w:tcPr>
          <w:p>
            <w:pPr>
              <w:ind w:left="200"/>
              <w:spacing w:after="0" w:line="202" w:lineRule="exact"/>
              <w:rPr>
                <w:sz w:val="20"/>
                <w:szCs w:val="20"/>
                <w:color w:val="auto"/>
              </w:rPr>
            </w:pPr>
            <w:r>
              <w:rPr>
                <w:rFonts w:ascii="Arial" w:cs="Arial" w:eastAsia="Arial" w:hAnsi="Arial"/>
                <w:sz w:val="18"/>
                <w:szCs w:val="18"/>
                <w:color w:val="auto"/>
              </w:rPr>
              <w:t>Investment income (loss), net</w:t>
            </w:r>
          </w:p>
        </w:tc>
        <w:tc>
          <w:tcPr>
            <w:tcW w:w="1840" w:type="dxa"/>
            <w:vAlign w:val="bottom"/>
          </w:tcPr>
          <w:p>
            <w:pPr>
              <w:spacing w:after="0"/>
              <w:rPr>
                <w:sz w:val="17"/>
                <w:szCs w:val="17"/>
                <w:color w:val="auto"/>
              </w:rPr>
            </w:pPr>
          </w:p>
        </w:tc>
        <w:tc>
          <w:tcPr>
            <w:tcW w:w="1420" w:type="dxa"/>
            <w:vAlign w:val="bottom"/>
          </w:tcPr>
          <w:p>
            <w:pPr>
              <w:spacing w:after="0"/>
              <w:rPr>
                <w:sz w:val="17"/>
                <w:szCs w:val="17"/>
                <w:color w:val="auto"/>
              </w:rPr>
            </w:pPr>
          </w:p>
        </w:tc>
        <w:tc>
          <w:tcPr>
            <w:tcW w:w="780" w:type="dxa"/>
            <w:vAlign w:val="bottom"/>
          </w:tcPr>
          <w:p>
            <w:pPr>
              <w:jc w:val="right"/>
              <w:ind w:right="133"/>
              <w:spacing w:after="0" w:line="202" w:lineRule="exact"/>
              <w:rPr>
                <w:sz w:val="20"/>
                <w:szCs w:val="20"/>
                <w:color w:val="auto"/>
              </w:rPr>
            </w:pPr>
            <w:r>
              <w:rPr>
                <w:rFonts w:ascii="Arial" w:cs="Arial" w:eastAsia="Arial" w:hAnsi="Arial"/>
                <w:sz w:val="18"/>
                <w:szCs w:val="18"/>
                <w:b w:val="1"/>
                <w:bCs w:val="1"/>
                <w:color w:val="auto"/>
              </w:rPr>
              <w:t>990</w:t>
            </w:r>
          </w:p>
        </w:tc>
        <w:tc>
          <w:tcPr>
            <w:tcW w:w="260" w:type="dxa"/>
            <w:vAlign w:val="bottom"/>
          </w:tcPr>
          <w:p>
            <w:pPr>
              <w:spacing w:after="0"/>
              <w:rPr>
                <w:sz w:val="17"/>
                <w:szCs w:val="17"/>
                <w:color w:val="auto"/>
              </w:rPr>
            </w:pPr>
          </w:p>
        </w:tc>
        <w:tc>
          <w:tcPr>
            <w:tcW w:w="780" w:type="dxa"/>
            <w:vAlign w:val="bottom"/>
          </w:tcPr>
          <w:p>
            <w:pPr>
              <w:jc w:val="right"/>
              <w:ind w:right="133"/>
              <w:spacing w:after="0" w:line="202" w:lineRule="exact"/>
              <w:rPr>
                <w:sz w:val="20"/>
                <w:szCs w:val="20"/>
                <w:color w:val="auto"/>
              </w:rPr>
            </w:pPr>
            <w:r>
              <w:rPr>
                <w:rFonts w:ascii="Arial" w:cs="Arial" w:eastAsia="Arial" w:hAnsi="Arial"/>
                <w:sz w:val="18"/>
                <w:szCs w:val="18"/>
                <w:color w:val="auto"/>
              </w:rPr>
              <w:t>89</w:t>
            </w:r>
          </w:p>
        </w:tc>
        <w:tc>
          <w:tcPr>
            <w:tcW w:w="260" w:type="dxa"/>
            <w:vAlign w:val="bottom"/>
          </w:tcPr>
          <w:p>
            <w:pPr>
              <w:spacing w:after="0"/>
              <w:rPr>
                <w:sz w:val="17"/>
                <w:szCs w:val="17"/>
                <w:color w:val="auto"/>
              </w:rPr>
            </w:pPr>
          </w:p>
        </w:tc>
        <w:tc>
          <w:tcPr>
            <w:tcW w:w="620" w:type="dxa"/>
            <w:vAlign w:val="bottom"/>
          </w:tcPr>
          <w:p>
            <w:pPr>
              <w:jc w:val="right"/>
              <w:spacing w:after="0" w:line="202" w:lineRule="exact"/>
              <w:rPr>
                <w:sz w:val="20"/>
                <w:szCs w:val="20"/>
                <w:color w:val="auto"/>
              </w:rPr>
            </w:pPr>
            <w:r>
              <w:rPr>
                <w:rFonts w:ascii="Arial" w:cs="Arial" w:eastAsia="Arial" w:hAnsi="Arial"/>
                <w:sz w:val="18"/>
                <w:szCs w:val="18"/>
                <w:color w:val="auto"/>
              </w:rPr>
              <w:t>472</w:t>
            </w: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5440" w:type="dxa"/>
            <w:vAlign w:val="bottom"/>
          </w:tcPr>
          <w:p>
            <w:pPr>
              <w:ind w:left="200"/>
              <w:spacing w:after="0" w:line="202" w:lineRule="exact"/>
              <w:rPr>
                <w:sz w:val="20"/>
                <w:szCs w:val="20"/>
                <w:color w:val="auto"/>
              </w:rPr>
            </w:pPr>
            <w:r>
              <w:rPr>
                <w:rFonts w:ascii="Arial" w:cs="Arial" w:eastAsia="Arial" w:hAnsi="Arial"/>
                <w:sz w:val="18"/>
                <w:szCs w:val="18"/>
                <w:color w:val="auto"/>
              </w:rPr>
              <w:t>Equity in net (losses) income of affiliates, net</w:t>
            </w:r>
          </w:p>
        </w:tc>
        <w:tc>
          <w:tcPr>
            <w:tcW w:w="1840" w:type="dxa"/>
            <w:vAlign w:val="bottom"/>
          </w:tcPr>
          <w:p>
            <w:pPr>
              <w:spacing w:after="0"/>
              <w:rPr>
                <w:sz w:val="17"/>
                <w:szCs w:val="17"/>
                <w:color w:val="auto"/>
              </w:rPr>
            </w:pPr>
          </w:p>
        </w:tc>
        <w:tc>
          <w:tcPr>
            <w:tcW w:w="1420" w:type="dxa"/>
            <w:vAlign w:val="bottom"/>
          </w:tcPr>
          <w:p>
            <w:pPr>
              <w:spacing w:after="0"/>
              <w:rPr>
                <w:sz w:val="17"/>
                <w:szCs w:val="17"/>
                <w:color w:val="auto"/>
              </w:rPr>
            </w:pPr>
          </w:p>
        </w:tc>
        <w:tc>
          <w:tcPr>
            <w:tcW w:w="780" w:type="dxa"/>
            <w:vAlign w:val="bottom"/>
          </w:tcPr>
          <w:p>
            <w:pPr>
              <w:jc w:val="right"/>
              <w:ind w:right="73"/>
              <w:spacing w:after="0" w:line="202" w:lineRule="exact"/>
              <w:rPr>
                <w:sz w:val="20"/>
                <w:szCs w:val="20"/>
                <w:color w:val="auto"/>
              </w:rPr>
            </w:pPr>
            <w:r>
              <w:rPr>
                <w:rFonts w:ascii="Arial" w:cs="Arial" w:eastAsia="Arial" w:hAnsi="Arial"/>
                <w:sz w:val="18"/>
                <w:szCs w:val="18"/>
                <w:b w:val="1"/>
                <w:bCs w:val="1"/>
                <w:color w:val="auto"/>
              </w:rPr>
              <w:t>(124)</w:t>
            </w:r>
          </w:p>
        </w:tc>
        <w:tc>
          <w:tcPr>
            <w:tcW w:w="260" w:type="dxa"/>
            <w:vAlign w:val="bottom"/>
          </w:tcPr>
          <w:p>
            <w:pPr>
              <w:spacing w:after="0"/>
              <w:rPr>
                <w:sz w:val="17"/>
                <w:szCs w:val="17"/>
                <w:color w:val="auto"/>
              </w:rPr>
            </w:pPr>
          </w:p>
        </w:tc>
        <w:tc>
          <w:tcPr>
            <w:tcW w:w="780" w:type="dxa"/>
            <w:vAlign w:val="bottom"/>
          </w:tcPr>
          <w:p>
            <w:pPr>
              <w:jc w:val="right"/>
              <w:ind w:right="73"/>
              <w:spacing w:after="0" w:line="202" w:lineRule="exact"/>
              <w:rPr>
                <w:sz w:val="20"/>
                <w:szCs w:val="20"/>
                <w:color w:val="auto"/>
              </w:rPr>
            </w:pPr>
            <w:r>
              <w:rPr>
                <w:rFonts w:ascii="Arial" w:cs="Arial" w:eastAsia="Arial" w:hAnsi="Arial"/>
                <w:sz w:val="18"/>
                <w:szCs w:val="18"/>
                <w:color w:val="auto"/>
              </w:rPr>
              <w:t>(42)</w:t>
            </w:r>
          </w:p>
        </w:tc>
        <w:tc>
          <w:tcPr>
            <w:tcW w:w="260" w:type="dxa"/>
            <w:vAlign w:val="bottom"/>
          </w:tcPr>
          <w:p>
            <w:pPr>
              <w:spacing w:after="0"/>
              <w:rPr>
                <w:sz w:val="17"/>
                <w:szCs w:val="17"/>
                <w:color w:val="auto"/>
              </w:rPr>
            </w:pPr>
          </w:p>
        </w:tc>
        <w:tc>
          <w:tcPr>
            <w:tcW w:w="620" w:type="dxa"/>
            <w:vAlign w:val="bottom"/>
          </w:tcPr>
          <w:p>
            <w:pPr>
              <w:jc w:val="right"/>
              <w:spacing w:after="0" w:line="202" w:lineRule="exact"/>
              <w:rPr>
                <w:sz w:val="20"/>
                <w:szCs w:val="20"/>
                <w:color w:val="auto"/>
              </w:rPr>
            </w:pPr>
            <w:r>
              <w:rPr>
                <w:rFonts w:ascii="Arial" w:cs="Arial" w:eastAsia="Arial" w:hAnsi="Arial"/>
                <w:sz w:val="18"/>
                <w:szCs w:val="18"/>
                <w:color w:val="auto"/>
              </w:rPr>
              <w:t>(81)</w:t>
            </w:r>
          </w:p>
        </w:tc>
        <w:tc>
          <w:tcPr>
            <w:tcW w:w="0" w:type="dxa"/>
            <w:vAlign w:val="bottom"/>
          </w:tcPr>
          <w:p>
            <w:pPr>
              <w:spacing w:after="0"/>
              <w:rPr>
                <w:sz w:val="1"/>
                <w:szCs w:val="1"/>
                <w:color w:val="auto"/>
              </w:rPr>
            </w:pPr>
          </w:p>
        </w:tc>
      </w:tr>
      <w:tr>
        <w:trPr>
          <w:trHeight w:val="221"/>
        </w:trPr>
        <w:tc>
          <w:tcPr>
            <w:tcW w:w="20" w:type="dxa"/>
            <w:vAlign w:val="bottom"/>
          </w:tcPr>
          <w:p>
            <w:pPr>
              <w:spacing w:after="0"/>
              <w:rPr>
                <w:sz w:val="19"/>
                <w:szCs w:val="19"/>
                <w:color w:val="auto"/>
              </w:rPr>
            </w:pPr>
          </w:p>
        </w:tc>
        <w:tc>
          <w:tcPr>
            <w:tcW w:w="5440" w:type="dxa"/>
            <w:vAlign w:val="bottom"/>
            <w:tcBorders>
              <w:bottom w:val="single" w:sz="8" w:color="auto"/>
            </w:tcBorders>
          </w:tcPr>
          <w:p>
            <w:pPr>
              <w:ind w:left="200"/>
              <w:spacing w:after="0"/>
              <w:rPr>
                <w:sz w:val="20"/>
                <w:szCs w:val="20"/>
                <w:color w:val="auto"/>
              </w:rPr>
            </w:pPr>
            <w:r>
              <w:rPr>
                <w:rFonts w:ascii="Arial" w:cs="Arial" w:eastAsia="Arial" w:hAnsi="Arial"/>
                <w:sz w:val="18"/>
                <w:szCs w:val="18"/>
                <w:color w:val="auto"/>
              </w:rPr>
              <w:t>Other income (expense)</w:t>
            </w:r>
          </w:p>
        </w:tc>
        <w:tc>
          <w:tcPr>
            <w:tcW w:w="1840" w:type="dxa"/>
            <w:vAlign w:val="bottom"/>
            <w:tcBorders>
              <w:bottom w:val="single" w:sz="8" w:color="auto"/>
            </w:tcBorders>
          </w:tcPr>
          <w:p>
            <w:pPr>
              <w:spacing w:after="0"/>
              <w:rPr>
                <w:sz w:val="19"/>
                <w:szCs w:val="19"/>
                <w:color w:val="auto"/>
              </w:rPr>
            </w:pPr>
          </w:p>
        </w:tc>
        <w:tc>
          <w:tcPr>
            <w:tcW w:w="1420" w:type="dxa"/>
            <w:vAlign w:val="bottom"/>
            <w:tcBorders>
              <w:bottom w:val="single" w:sz="8" w:color="auto"/>
            </w:tcBorders>
          </w:tcPr>
          <w:p>
            <w:pPr>
              <w:spacing w:after="0"/>
              <w:rPr>
                <w:sz w:val="19"/>
                <w:szCs w:val="19"/>
                <w:color w:val="auto"/>
              </w:rPr>
            </w:pPr>
          </w:p>
        </w:tc>
        <w:tc>
          <w:tcPr>
            <w:tcW w:w="780" w:type="dxa"/>
            <w:vAlign w:val="bottom"/>
            <w:tcBorders>
              <w:bottom w:val="single" w:sz="8" w:color="auto"/>
            </w:tcBorders>
          </w:tcPr>
          <w:p>
            <w:pPr>
              <w:jc w:val="right"/>
              <w:ind w:right="133"/>
              <w:spacing w:after="0"/>
              <w:rPr>
                <w:sz w:val="20"/>
                <w:szCs w:val="20"/>
                <w:color w:val="auto"/>
              </w:rPr>
            </w:pPr>
            <w:r>
              <w:rPr>
                <w:rFonts w:ascii="Arial" w:cs="Arial" w:eastAsia="Arial" w:hAnsi="Arial"/>
                <w:sz w:val="18"/>
                <w:szCs w:val="18"/>
                <w:b w:val="1"/>
                <w:bCs w:val="1"/>
                <w:color w:val="auto"/>
              </w:rPr>
              <w:t>173</w:t>
            </w:r>
          </w:p>
        </w:tc>
        <w:tc>
          <w:tcPr>
            <w:tcW w:w="260" w:type="dxa"/>
            <w:vAlign w:val="bottom"/>
            <w:tcBorders>
              <w:bottom w:val="single" w:sz="8" w:color="auto"/>
            </w:tcBorders>
          </w:tcPr>
          <w:p>
            <w:pPr>
              <w:spacing w:after="0"/>
              <w:rPr>
                <w:sz w:val="19"/>
                <w:szCs w:val="19"/>
                <w:color w:val="auto"/>
              </w:rPr>
            </w:pPr>
          </w:p>
        </w:tc>
        <w:tc>
          <w:tcPr>
            <w:tcW w:w="780" w:type="dxa"/>
            <w:vAlign w:val="bottom"/>
            <w:tcBorders>
              <w:bottom w:val="single" w:sz="8" w:color="auto"/>
            </w:tcBorders>
          </w:tcPr>
          <w:p>
            <w:pPr>
              <w:jc w:val="right"/>
              <w:ind w:right="73"/>
              <w:spacing w:after="0"/>
              <w:rPr>
                <w:sz w:val="20"/>
                <w:szCs w:val="20"/>
                <w:color w:val="auto"/>
              </w:rPr>
            </w:pPr>
            <w:r>
              <w:rPr>
                <w:rFonts w:ascii="Arial" w:cs="Arial" w:eastAsia="Arial" w:hAnsi="Arial"/>
                <w:sz w:val="18"/>
                <w:szCs w:val="18"/>
                <w:color w:val="auto"/>
              </w:rPr>
              <w:t>(53)</w:t>
            </w:r>
          </w:p>
        </w:tc>
        <w:tc>
          <w:tcPr>
            <w:tcW w:w="260" w:type="dxa"/>
            <w:vAlign w:val="bottom"/>
            <w:tcBorders>
              <w:bottom w:val="single" w:sz="8" w:color="auto"/>
            </w:tcBorders>
          </w:tcPr>
          <w:p>
            <w:pPr>
              <w:spacing w:after="0"/>
              <w:rPr>
                <w:sz w:val="19"/>
                <w:szCs w:val="19"/>
                <w:color w:val="auto"/>
              </w:rPr>
            </w:pPr>
          </w:p>
        </w:tc>
        <w:tc>
          <w:tcPr>
            <w:tcW w:w="6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397</w:t>
            </w:r>
          </w:p>
        </w:tc>
        <w:tc>
          <w:tcPr>
            <w:tcW w:w="0" w:type="dxa"/>
            <w:vAlign w:val="bottom"/>
          </w:tcPr>
          <w:p>
            <w:pPr>
              <w:spacing w:after="0"/>
              <w:rPr>
                <w:sz w:val="1"/>
                <w:szCs w:val="1"/>
                <w:color w:val="auto"/>
              </w:rPr>
            </w:pPr>
          </w:p>
        </w:tc>
      </w:tr>
      <w:tr>
        <w:trPr>
          <w:trHeight w:val="177"/>
        </w:trPr>
        <w:tc>
          <w:tcPr>
            <w:tcW w:w="20" w:type="dxa"/>
            <w:vAlign w:val="bottom"/>
          </w:tcPr>
          <w:p>
            <w:pPr>
              <w:spacing w:after="0"/>
              <w:rPr>
                <w:sz w:val="15"/>
                <w:szCs w:val="15"/>
                <w:color w:val="auto"/>
              </w:rPr>
            </w:pPr>
          </w:p>
        </w:tc>
        <w:tc>
          <w:tcPr>
            <w:tcW w:w="5440" w:type="dxa"/>
            <w:vAlign w:val="bottom"/>
          </w:tcPr>
          <w:p>
            <w:pPr>
              <w:spacing w:after="0"/>
              <w:rPr>
                <w:sz w:val="15"/>
                <w:szCs w:val="15"/>
                <w:color w:val="auto"/>
              </w:rPr>
            </w:pPr>
          </w:p>
        </w:tc>
        <w:tc>
          <w:tcPr>
            <w:tcW w:w="1840" w:type="dxa"/>
            <w:vAlign w:val="bottom"/>
          </w:tcPr>
          <w:p>
            <w:pPr>
              <w:spacing w:after="0"/>
              <w:rPr>
                <w:sz w:val="15"/>
                <w:szCs w:val="15"/>
                <w:color w:val="auto"/>
              </w:rPr>
            </w:pPr>
          </w:p>
        </w:tc>
        <w:tc>
          <w:tcPr>
            <w:tcW w:w="1420" w:type="dxa"/>
            <w:vAlign w:val="bottom"/>
          </w:tcPr>
          <w:p>
            <w:pPr>
              <w:spacing w:after="0"/>
              <w:rPr>
                <w:sz w:val="15"/>
                <w:szCs w:val="15"/>
                <w:color w:val="auto"/>
              </w:rPr>
            </w:pPr>
          </w:p>
        </w:tc>
        <w:tc>
          <w:tcPr>
            <w:tcW w:w="780" w:type="dxa"/>
            <w:vAlign w:val="bottom"/>
          </w:tcPr>
          <w:p>
            <w:pPr>
              <w:jc w:val="right"/>
              <w:ind w:right="73"/>
              <w:spacing w:after="0" w:line="177" w:lineRule="exact"/>
              <w:rPr>
                <w:sz w:val="20"/>
                <w:szCs w:val="20"/>
                <w:color w:val="auto"/>
              </w:rPr>
            </w:pPr>
            <w:r>
              <w:rPr>
                <w:rFonts w:ascii="Arial" w:cs="Arial" w:eastAsia="Arial" w:hAnsi="Arial"/>
                <w:sz w:val="18"/>
                <w:szCs w:val="18"/>
                <w:b w:val="1"/>
                <w:bCs w:val="1"/>
                <w:color w:val="auto"/>
              </w:rPr>
              <w:t>(1,025)</w:t>
            </w:r>
          </w:p>
        </w:tc>
        <w:tc>
          <w:tcPr>
            <w:tcW w:w="260" w:type="dxa"/>
            <w:vAlign w:val="bottom"/>
          </w:tcPr>
          <w:p>
            <w:pPr>
              <w:spacing w:after="0"/>
              <w:rPr>
                <w:sz w:val="15"/>
                <w:szCs w:val="15"/>
                <w:color w:val="auto"/>
              </w:rPr>
            </w:pPr>
          </w:p>
        </w:tc>
        <w:tc>
          <w:tcPr>
            <w:tcW w:w="780" w:type="dxa"/>
            <w:vAlign w:val="bottom"/>
          </w:tcPr>
          <w:p>
            <w:pPr>
              <w:jc w:val="right"/>
              <w:ind w:right="73"/>
              <w:spacing w:after="0" w:line="177" w:lineRule="exact"/>
              <w:rPr>
                <w:sz w:val="20"/>
                <w:szCs w:val="20"/>
                <w:color w:val="auto"/>
              </w:rPr>
            </w:pPr>
            <w:r>
              <w:rPr>
                <w:rFonts w:ascii="Arial" w:cs="Arial" w:eastAsia="Arial" w:hAnsi="Arial"/>
                <w:sz w:val="18"/>
                <w:szCs w:val="18"/>
                <w:color w:val="auto"/>
              </w:rPr>
              <w:t>(1,801)</w:t>
            </w:r>
          </w:p>
        </w:tc>
        <w:tc>
          <w:tcPr>
            <w:tcW w:w="260" w:type="dxa"/>
            <w:vAlign w:val="bottom"/>
          </w:tcPr>
          <w:p>
            <w:pPr>
              <w:spacing w:after="0"/>
              <w:rPr>
                <w:sz w:val="15"/>
                <w:szCs w:val="15"/>
                <w:color w:val="auto"/>
              </w:rPr>
            </w:pPr>
          </w:p>
        </w:tc>
        <w:tc>
          <w:tcPr>
            <w:tcW w:w="620" w:type="dxa"/>
            <w:vAlign w:val="bottom"/>
          </w:tcPr>
          <w:p>
            <w:pPr>
              <w:jc w:val="right"/>
              <w:spacing w:after="0" w:line="177" w:lineRule="exact"/>
              <w:rPr>
                <w:sz w:val="20"/>
                <w:szCs w:val="20"/>
                <w:color w:val="auto"/>
              </w:rPr>
            </w:pPr>
            <w:r>
              <w:rPr>
                <w:rFonts w:ascii="Arial" w:cs="Arial" w:eastAsia="Arial" w:hAnsi="Arial"/>
                <w:sz w:val="18"/>
                <w:szCs w:val="18"/>
                <w:color w:val="auto"/>
              </w:rPr>
              <w:t>(1,086)</w:t>
            </w:r>
          </w:p>
        </w:tc>
        <w:tc>
          <w:tcPr>
            <w:tcW w:w="0" w:type="dxa"/>
            <w:vAlign w:val="bottom"/>
          </w:tcPr>
          <w:p>
            <w:pPr>
              <w:spacing w:after="0"/>
              <w:rPr>
                <w:sz w:val="1"/>
                <w:szCs w:val="1"/>
                <w:color w:val="auto"/>
              </w:rPr>
            </w:pPr>
          </w:p>
        </w:tc>
      </w:tr>
      <w:tr>
        <w:trPr>
          <w:trHeight w:val="203"/>
        </w:trPr>
        <w:tc>
          <w:tcPr>
            <w:tcW w:w="7300" w:type="dxa"/>
            <w:vAlign w:val="bottom"/>
            <w:gridSpan w:val="3"/>
          </w:tcPr>
          <w:p>
            <w:pPr>
              <w:spacing w:after="0" w:line="202" w:lineRule="exact"/>
              <w:rPr>
                <w:sz w:val="20"/>
                <w:szCs w:val="20"/>
                <w:color w:val="auto"/>
              </w:rPr>
            </w:pPr>
            <w:r>
              <w:rPr>
                <w:rFonts w:ascii="Arial" w:cs="Arial" w:eastAsia="Arial" w:hAnsi="Arial"/>
                <w:sz w:val="18"/>
                <w:szCs w:val="18"/>
                <w:color w:val="auto"/>
              </w:rPr>
              <w:t>Income from continuing operations before income taxes and minority interest</w:t>
            </w:r>
          </w:p>
        </w:tc>
        <w:tc>
          <w:tcPr>
            <w:tcW w:w="1420" w:type="dxa"/>
            <w:vAlign w:val="bottom"/>
          </w:tcPr>
          <w:p>
            <w:pPr>
              <w:spacing w:after="0"/>
              <w:rPr>
                <w:sz w:val="17"/>
                <w:szCs w:val="17"/>
                <w:color w:val="auto"/>
              </w:rPr>
            </w:pPr>
          </w:p>
        </w:tc>
        <w:tc>
          <w:tcPr>
            <w:tcW w:w="780" w:type="dxa"/>
            <w:vAlign w:val="bottom"/>
          </w:tcPr>
          <w:p>
            <w:pPr>
              <w:jc w:val="right"/>
              <w:ind w:right="133"/>
              <w:spacing w:after="0" w:line="202" w:lineRule="exact"/>
              <w:rPr>
                <w:sz w:val="20"/>
                <w:szCs w:val="20"/>
                <w:color w:val="auto"/>
              </w:rPr>
            </w:pPr>
            <w:r>
              <w:rPr>
                <w:rFonts w:ascii="Arial" w:cs="Arial" w:eastAsia="Arial" w:hAnsi="Arial"/>
                <w:sz w:val="18"/>
                <w:szCs w:val="18"/>
                <w:b w:val="1"/>
                <w:bCs w:val="1"/>
                <w:color w:val="auto"/>
              </w:rPr>
              <w:t>3,594</w:t>
            </w:r>
          </w:p>
        </w:tc>
        <w:tc>
          <w:tcPr>
            <w:tcW w:w="260" w:type="dxa"/>
            <w:vAlign w:val="bottom"/>
          </w:tcPr>
          <w:p>
            <w:pPr>
              <w:spacing w:after="0"/>
              <w:rPr>
                <w:sz w:val="17"/>
                <w:szCs w:val="17"/>
                <w:color w:val="auto"/>
              </w:rPr>
            </w:pPr>
          </w:p>
        </w:tc>
        <w:tc>
          <w:tcPr>
            <w:tcW w:w="780" w:type="dxa"/>
            <w:vAlign w:val="bottom"/>
          </w:tcPr>
          <w:p>
            <w:pPr>
              <w:jc w:val="right"/>
              <w:ind w:right="133"/>
              <w:spacing w:after="0" w:line="202" w:lineRule="exact"/>
              <w:rPr>
                <w:sz w:val="20"/>
                <w:szCs w:val="20"/>
                <w:color w:val="auto"/>
              </w:rPr>
            </w:pPr>
            <w:r>
              <w:rPr>
                <w:rFonts w:ascii="Arial" w:cs="Arial" w:eastAsia="Arial" w:hAnsi="Arial"/>
                <w:sz w:val="18"/>
                <w:szCs w:val="18"/>
                <w:color w:val="auto"/>
              </w:rPr>
              <w:t>1,720</w:t>
            </w:r>
          </w:p>
        </w:tc>
        <w:tc>
          <w:tcPr>
            <w:tcW w:w="260" w:type="dxa"/>
            <w:vAlign w:val="bottom"/>
          </w:tcPr>
          <w:p>
            <w:pPr>
              <w:spacing w:after="0"/>
              <w:rPr>
                <w:sz w:val="17"/>
                <w:szCs w:val="17"/>
                <w:color w:val="auto"/>
              </w:rPr>
            </w:pPr>
          </w:p>
        </w:tc>
        <w:tc>
          <w:tcPr>
            <w:tcW w:w="620" w:type="dxa"/>
            <w:vAlign w:val="bottom"/>
          </w:tcPr>
          <w:p>
            <w:pPr>
              <w:jc w:val="right"/>
              <w:spacing w:after="0" w:line="202" w:lineRule="exact"/>
              <w:rPr>
                <w:sz w:val="20"/>
                <w:szCs w:val="20"/>
                <w:color w:val="auto"/>
              </w:rPr>
            </w:pPr>
            <w:r>
              <w:rPr>
                <w:rFonts w:ascii="Arial" w:cs="Arial" w:eastAsia="Arial" w:hAnsi="Arial"/>
                <w:sz w:val="18"/>
                <w:szCs w:val="18"/>
                <w:color w:val="auto"/>
              </w:rPr>
              <w:t>1,743</w:t>
            </w:r>
          </w:p>
        </w:tc>
        <w:tc>
          <w:tcPr>
            <w:tcW w:w="0" w:type="dxa"/>
            <w:vAlign w:val="bottom"/>
          </w:tcPr>
          <w:p>
            <w:pPr>
              <w:spacing w:after="0"/>
              <w:rPr>
                <w:sz w:val="1"/>
                <w:szCs w:val="1"/>
                <w:color w:val="auto"/>
              </w:rPr>
            </w:pPr>
          </w:p>
        </w:tc>
      </w:tr>
      <w:tr>
        <w:trPr>
          <w:trHeight w:val="221"/>
        </w:trPr>
        <w:tc>
          <w:tcPr>
            <w:tcW w:w="5460" w:type="dxa"/>
            <w:vAlign w:val="bottom"/>
            <w:tcBorders>
              <w:bottom w:val="single" w:sz="8" w:color="auto"/>
            </w:tcBorders>
            <w:gridSpan w:val="2"/>
          </w:tcPr>
          <w:p>
            <w:pPr>
              <w:spacing w:after="0"/>
              <w:rPr>
                <w:sz w:val="20"/>
                <w:szCs w:val="20"/>
                <w:color w:val="auto"/>
              </w:rPr>
            </w:pPr>
            <w:r>
              <w:rPr>
                <w:rFonts w:ascii="Arial" w:cs="Arial" w:eastAsia="Arial" w:hAnsi="Arial"/>
                <w:sz w:val="18"/>
                <w:szCs w:val="18"/>
                <w:color w:val="auto"/>
              </w:rPr>
              <w:t>Income tax expense</w:t>
            </w:r>
          </w:p>
        </w:tc>
        <w:tc>
          <w:tcPr>
            <w:tcW w:w="1840" w:type="dxa"/>
            <w:vAlign w:val="bottom"/>
            <w:tcBorders>
              <w:bottom w:val="single" w:sz="8" w:color="auto"/>
            </w:tcBorders>
          </w:tcPr>
          <w:p>
            <w:pPr>
              <w:spacing w:after="0"/>
              <w:rPr>
                <w:sz w:val="19"/>
                <w:szCs w:val="19"/>
                <w:color w:val="auto"/>
              </w:rPr>
            </w:pPr>
          </w:p>
        </w:tc>
        <w:tc>
          <w:tcPr>
            <w:tcW w:w="1420" w:type="dxa"/>
            <w:vAlign w:val="bottom"/>
            <w:tcBorders>
              <w:bottom w:val="single" w:sz="8" w:color="auto"/>
            </w:tcBorders>
          </w:tcPr>
          <w:p>
            <w:pPr>
              <w:spacing w:after="0"/>
              <w:rPr>
                <w:sz w:val="19"/>
                <w:szCs w:val="19"/>
                <w:color w:val="auto"/>
              </w:rPr>
            </w:pPr>
          </w:p>
        </w:tc>
        <w:tc>
          <w:tcPr>
            <w:tcW w:w="780" w:type="dxa"/>
            <w:vAlign w:val="bottom"/>
            <w:tcBorders>
              <w:bottom w:val="single" w:sz="8" w:color="auto"/>
            </w:tcBorders>
          </w:tcPr>
          <w:p>
            <w:pPr>
              <w:jc w:val="right"/>
              <w:ind w:right="73"/>
              <w:spacing w:after="0"/>
              <w:rPr>
                <w:sz w:val="20"/>
                <w:szCs w:val="20"/>
                <w:color w:val="auto"/>
              </w:rPr>
            </w:pPr>
            <w:r>
              <w:rPr>
                <w:rFonts w:ascii="Arial" w:cs="Arial" w:eastAsia="Arial" w:hAnsi="Arial"/>
                <w:sz w:val="18"/>
                <w:szCs w:val="18"/>
                <w:b w:val="1"/>
                <w:bCs w:val="1"/>
                <w:color w:val="auto"/>
              </w:rPr>
              <w:t>(1,347)</w:t>
            </w:r>
          </w:p>
        </w:tc>
        <w:tc>
          <w:tcPr>
            <w:tcW w:w="260" w:type="dxa"/>
            <w:vAlign w:val="bottom"/>
            <w:tcBorders>
              <w:bottom w:val="single" w:sz="8" w:color="auto"/>
            </w:tcBorders>
          </w:tcPr>
          <w:p>
            <w:pPr>
              <w:spacing w:after="0"/>
              <w:rPr>
                <w:sz w:val="19"/>
                <w:szCs w:val="19"/>
                <w:color w:val="auto"/>
              </w:rPr>
            </w:pPr>
          </w:p>
        </w:tc>
        <w:tc>
          <w:tcPr>
            <w:tcW w:w="780" w:type="dxa"/>
            <w:vAlign w:val="bottom"/>
            <w:tcBorders>
              <w:bottom w:val="single" w:sz="8" w:color="auto"/>
            </w:tcBorders>
          </w:tcPr>
          <w:p>
            <w:pPr>
              <w:jc w:val="right"/>
              <w:ind w:right="73"/>
              <w:spacing w:after="0"/>
              <w:rPr>
                <w:sz w:val="20"/>
                <w:szCs w:val="20"/>
                <w:color w:val="auto"/>
              </w:rPr>
            </w:pPr>
            <w:r>
              <w:rPr>
                <w:rFonts w:ascii="Arial" w:cs="Arial" w:eastAsia="Arial" w:hAnsi="Arial"/>
                <w:sz w:val="18"/>
                <w:szCs w:val="18"/>
                <w:color w:val="auto"/>
              </w:rPr>
              <w:t>(873)</w:t>
            </w:r>
          </w:p>
        </w:tc>
        <w:tc>
          <w:tcPr>
            <w:tcW w:w="260" w:type="dxa"/>
            <w:vAlign w:val="bottom"/>
            <w:tcBorders>
              <w:bottom w:val="single" w:sz="8" w:color="auto"/>
            </w:tcBorders>
          </w:tcPr>
          <w:p>
            <w:pPr>
              <w:spacing w:after="0"/>
              <w:rPr>
                <w:sz w:val="19"/>
                <w:szCs w:val="19"/>
                <w:color w:val="auto"/>
              </w:rPr>
            </w:pPr>
          </w:p>
        </w:tc>
        <w:tc>
          <w:tcPr>
            <w:tcW w:w="6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(801)</w:t>
            </w:r>
          </w:p>
        </w:tc>
        <w:tc>
          <w:tcPr>
            <w:tcW w:w="0" w:type="dxa"/>
            <w:vAlign w:val="bottom"/>
          </w:tcPr>
          <w:p>
            <w:pPr>
              <w:spacing w:after="0"/>
              <w:rPr>
                <w:sz w:val="1"/>
                <w:szCs w:val="1"/>
                <w:color w:val="auto"/>
              </w:rPr>
            </w:pPr>
          </w:p>
        </w:tc>
      </w:tr>
      <w:tr>
        <w:trPr>
          <w:trHeight w:val="177"/>
        </w:trPr>
        <w:tc>
          <w:tcPr>
            <w:tcW w:w="5460" w:type="dxa"/>
            <w:vAlign w:val="bottom"/>
            <w:gridSpan w:val="2"/>
          </w:tcPr>
          <w:p>
            <w:pPr>
              <w:spacing w:after="0" w:line="177" w:lineRule="exact"/>
              <w:rPr>
                <w:sz w:val="20"/>
                <w:szCs w:val="20"/>
                <w:color w:val="auto"/>
              </w:rPr>
            </w:pPr>
            <w:r>
              <w:rPr>
                <w:rFonts w:ascii="Arial" w:cs="Arial" w:eastAsia="Arial" w:hAnsi="Arial"/>
                <w:sz w:val="18"/>
                <w:szCs w:val="18"/>
                <w:color w:val="auto"/>
              </w:rPr>
              <w:t>Income from continuing operations before minority interest</w:t>
            </w:r>
          </w:p>
        </w:tc>
        <w:tc>
          <w:tcPr>
            <w:tcW w:w="1840" w:type="dxa"/>
            <w:vAlign w:val="bottom"/>
          </w:tcPr>
          <w:p>
            <w:pPr>
              <w:spacing w:after="0"/>
              <w:rPr>
                <w:sz w:val="15"/>
                <w:szCs w:val="15"/>
                <w:color w:val="auto"/>
              </w:rPr>
            </w:pPr>
          </w:p>
        </w:tc>
        <w:tc>
          <w:tcPr>
            <w:tcW w:w="1420" w:type="dxa"/>
            <w:vAlign w:val="bottom"/>
          </w:tcPr>
          <w:p>
            <w:pPr>
              <w:spacing w:after="0"/>
              <w:rPr>
                <w:sz w:val="15"/>
                <w:szCs w:val="15"/>
                <w:color w:val="auto"/>
              </w:rPr>
            </w:pPr>
          </w:p>
        </w:tc>
        <w:tc>
          <w:tcPr>
            <w:tcW w:w="780" w:type="dxa"/>
            <w:vAlign w:val="bottom"/>
          </w:tcPr>
          <w:p>
            <w:pPr>
              <w:jc w:val="right"/>
              <w:ind w:right="133"/>
              <w:spacing w:after="0" w:line="177" w:lineRule="exact"/>
              <w:rPr>
                <w:sz w:val="20"/>
                <w:szCs w:val="20"/>
                <w:color w:val="auto"/>
              </w:rPr>
            </w:pPr>
            <w:r>
              <w:rPr>
                <w:rFonts w:ascii="Arial" w:cs="Arial" w:eastAsia="Arial" w:hAnsi="Arial"/>
                <w:sz w:val="18"/>
                <w:szCs w:val="18"/>
                <w:b w:val="1"/>
                <w:bCs w:val="1"/>
                <w:color w:val="auto"/>
              </w:rPr>
              <w:t>2,247</w:t>
            </w:r>
          </w:p>
        </w:tc>
        <w:tc>
          <w:tcPr>
            <w:tcW w:w="260" w:type="dxa"/>
            <w:vAlign w:val="bottom"/>
          </w:tcPr>
          <w:p>
            <w:pPr>
              <w:spacing w:after="0"/>
              <w:rPr>
                <w:sz w:val="15"/>
                <w:szCs w:val="15"/>
                <w:color w:val="auto"/>
              </w:rPr>
            </w:pPr>
          </w:p>
        </w:tc>
        <w:tc>
          <w:tcPr>
            <w:tcW w:w="780" w:type="dxa"/>
            <w:vAlign w:val="bottom"/>
          </w:tcPr>
          <w:p>
            <w:pPr>
              <w:jc w:val="right"/>
              <w:ind w:right="133"/>
              <w:spacing w:after="0" w:line="177" w:lineRule="exact"/>
              <w:rPr>
                <w:sz w:val="20"/>
                <w:szCs w:val="20"/>
                <w:color w:val="auto"/>
              </w:rPr>
            </w:pPr>
            <w:r>
              <w:rPr>
                <w:rFonts w:ascii="Arial" w:cs="Arial" w:eastAsia="Arial" w:hAnsi="Arial"/>
                <w:sz w:val="18"/>
                <w:szCs w:val="18"/>
                <w:color w:val="auto"/>
              </w:rPr>
              <w:t>847</w:t>
            </w:r>
          </w:p>
        </w:tc>
        <w:tc>
          <w:tcPr>
            <w:tcW w:w="260" w:type="dxa"/>
            <w:vAlign w:val="bottom"/>
          </w:tcPr>
          <w:p>
            <w:pPr>
              <w:spacing w:after="0"/>
              <w:rPr>
                <w:sz w:val="15"/>
                <w:szCs w:val="15"/>
                <w:color w:val="auto"/>
              </w:rPr>
            </w:pPr>
          </w:p>
        </w:tc>
        <w:tc>
          <w:tcPr>
            <w:tcW w:w="620" w:type="dxa"/>
            <w:vAlign w:val="bottom"/>
          </w:tcPr>
          <w:p>
            <w:pPr>
              <w:jc w:val="right"/>
              <w:spacing w:after="0" w:line="177" w:lineRule="exact"/>
              <w:rPr>
                <w:sz w:val="20"/>
                <w:szCs w:val="20"/>
                <w:color w:val="auto"/>
              </w:rPr>
            </w:pPr>
            <w:r>
              <w:rPr>
                <w:rFonts w:ascii="Arial" w:cs="Arial" w:eastAsia="Arial" w:hAnsi="Arial"/>
                <w:sz w:val="18"/>
                <w:szCs w:val="18"/>
                <w:color w:val="auto"/>
              </w:rPr>
              <w:t>942</w:t>
            </w:r>
          </w:p>
        </w:tc>
        <w:tc>
          <w:tcPr>
            <w:tcW w:w="0" w:type="dxa"/>
            <w:vAlign w:val="bottom"/>
          </w:tcPr>
          <w:p>
            <w:pPr>
              <w:spacing w:after="0"/>
              <w:rPr>
                <w:sz w:val="1"/>
                <w:szCs w:val="1"/>
                <w:color w:val="auto"/>
              </w:rPr>
            </w:pPr>
          </w:p>
        </w:tc>
      </w:tr>
      <w:tr>
        <w:trPr>
          <w:trHeight w:val="221"/>
        </w:trPr>
        <w:tc>
          <w:tcPr>
            <w:tcW w:w="5460" w:type="dxa"/>
            <w:vAlign w:val="bottom"/>
            <w:tcBorders>
              <w:bottom w:val="single" w:sz="8" w:color="auto"/>
            </w:tcBorders>
            <w:gridSpan w:val="2"/>
          </w:tcPr>
          <w:p>
            <w:pPr>
              <w:spacing w:after="0"/>
              <w:rPr>
                <w:sz w:val="20"/>
                <w:szCs w:val="20"/>
                <w:color w:val="auto"/>
              </w:rPr>
            </w:pPr>
            <w:r>
              <w:rPr>
                <w:rFonts w:ascii="Arial" w:cs="Arial" w:eastAsia="Arial" w:hAnsi="Arial"/>
                <w:sz w:val="18"/>
                <w:szCs w:val="18"/>
                <w:color w:val="auto"/>
              </w:rPr>
              <w:t>Minority interest</w:t>
            </w:r>
          </w:p>
        </w:tc>
        <w:tc>
          <w:tcPr>
            <w:tcW w:w="1840" w:type="dxa"/>
            <w:vAlign w:val="bottom"/>
            <w:tcBorders>
              <w:bottom w:val="single" w:sz="8" w:color="auto"/>
            </w:tcBorders>
          </w:tcPr>
          <w:p>
            <w:pPr>
              <w:spacing w:after="0"/>
              <w:rPr>
                <w:sz w:val="19"/>
                <w:szCs w:val="19"/>
                <w:color w:val="auto"/>
              </w:rPr>
            </w:pPr>
          </w:p>
        </w:tc>
        <w:tc>
          <w:tcPr>
            <w:tcW w:w="1420" w:type="dxa"/>
            <w:vAlign w:val="bottom"/>
            <w:tcBorders>
              <w:bottom w:val="single" w:sz="8" w:color="auto"/>
            </w:tcBorders>
          </w:tcPr>
          <w:p>
            <w:pPr>
              <w:spacing w:after="0"/>
              <w:rPr>
                <w:sz w:val="19"/>
                <w:szCs w:val="19"/>
                <w:color w:val="auto"/>
              </w:rPr>
            </w:pPr>
          </w:p>
        </w:tc>
        <w:tc>
          <w:tcPr>
            <w:tcW w:w="780" w:type="dxa"/>
            <w:vAlign w:val="bottom"/>
            <w:tcBorders>
              <w:bottom w:val="single" w:sz="8" w:color="auto"/>
            </w:tcBorders>
          </w:tcPr>
          <w:p>
            <w:pPr>
              <w:jc w:val="right"/>
              <w:ind w:right="73"/>
              <w:spacing w:after="0"/>
              <w:rPr>
                <w:sz w:val="20"/>
                <w:szCs w:val="20"/>
                <w:color w:val="auto"/>
              </w:rPr>
            </w:pPr>
            <w:r>
              <w:rPr>
                <w:rFonts w:ascii="Arial" w:cs="Arial" w:eastAsia="Arial" w:hAnsi="Arial"/>
                <w:sz w:val="18"/>
                <w:szCs w:val="18"/>
                <w:b w:val="1"/>
                <w:bCs w:val="1"/>
                <w:color w:val="auto"/>
              </w:rPr>
              <w:t>(12)</w:t>
            </w:r>
          </w:p>
        </w:tc>
        <w:tc>
          <w:tcPr>
            <w:tcW w:w="260" w:type="dxa"/>
            <w:vAlign w:val="bottom"/>
            <w:tcBorders>
              <w:bottom w:val="single" w:sz="8" w:color="auto"/>
            </w:tcBorders>
          </w:tcPr>
          <w:p>
            <w:pPr>
              <w:spacing w:after="0"/>
              <w:rPr>
                <w:sz w:val="19"/>
                <w:szCs w:val="19"/>
                <w:color w:val="auto"/>
              </w:rPr>
            </w:pPr>
          </w:p>
        </w:tc>
        <w:tc>
          <w:tcPr>
            <w:tcW w:w="780" w:type="dxa"/>
            <w:vAlign w:val="bottom"/>
            <w:tcBorders>
              <w:bottom w:val="single" w:sz="8" w:color="auto"/>
            </w:tcBorders>
          </w:tcPr>
          <w:p>
            <w:pPr>
              <w:jc w:val="right"/>
              <w:ind w:right="73"/>
              <w:spacing w:after="0"/>
              <w:rPr>
                <w:sz w:val="20"/>
                <w:szCs w:val="20"/>
                <w:color w:val="auto"/>
              </w:rPr>
            </w:pPr>
            <w:r>
              <w:rPr>
                <w:rFonts w:ascii="Arial" w:cs="Arial" w:eastAsia="Arial" w:hAnsi="Arial"/>
                <w:sz w:val="18"/>
                <w:szCs w:val="18"/>
                <w:color w:val="auto"/>
              </w:rPr>
              <w:t>(19)</w:t>
            </w:r>
          </w:p>
        </w:tc>
        <w:tc>
          <w:tcPr>
            <w:tcW w:w="260" w:type="dxa"/>
            <w:vAlign w:val="bottom"/>
            <w:tcBorders>
              <w:bottom w:val="single" w:sz="8" w:color="auto"/>
            </w:tcBorders>
          </w:tcPr>
          <w:p>
            <w:pPr>
              <w:spacing w:after="0"/>
              <w:rPr>
                <w:sz w:val="19"/>
                <w:szCs w:val="19"/>
                <w:color w:val="auto"/>
              </w:rPr>
            </w:pPr>
          </w:p>
        </w:tc>
        <w:tc>
          <w:tcPr>
            <w:tcW w:w="6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(14)</w:t>
            </w:r>
          </w:p>
        </w:tc>
        <w:tc>
          <w:tcPr>
            <w:tcW w:w="0" w:type="dxa"/>
            <w:vAlign w:val="bottom"/>
          </w:tcPr>
          <w:p>
            <w:pPr>
              <w:spacing w:after="0"/>
              <w:rPr>
                <w:sz w:val="1"/>
                <w:szCs w:val="1"/>
                <w:color w:val="auto"/>
              </w:rPr>
            </w:pPr>
          </w:p>
        </w:tc>
      </w:tr>
      <w:tr>
        <w:trPr>
          <w:trHeight w:val="177"/>
        </w:trPr>
        <w:tc>
          <w:tcPr>
            <w:tcW w:w="5460" w:type="dxa"/>
            <w:vAlign w:val="bottom"/>
            <w:gridSpan w:val="2"/>
          </w:tcPr>
          <w:p>
            <w:pPr>
              <w:spacing w:after="0" w:line="177" w:lineRule="exact"/>
              <w:rPr>
                <w:sz w:val="20"/>
                <w:szCs w:val="20"/>
                <w:color w:val="auto"/>
              </w:rPr>
            </w:pPr>
            <w:r>
              <w:rPr>
                <w:rFonts w:ascii="Arial" w:cs="Arial" w:eastAsia="Arial" w:hAnsi="Arial"/>
                <w:sz w:val="18"/>
                <w:szCs w:val="18"/>
                <w:b w:val="1"/>
                <w:bCs w:val="1"/>
                <w:color w:val="auto"/>
              </w:rPr>
              <w:t>Income from continuing operations</w:t>
            </w:r>
          </w:p>
        </w:tc>
        <w:tc>
          <w:tcPr>
            <w:tcW w:w="1840" w:type="dxa"/>
            <w:vAlign w:val="bottom"/>
          </w:tcPr>
          <w:p>
            <w:pPr>
              <w:spacing w:after="0"/>
              <w:rPr>
                <w:sz w:val="15"/>
                <w:szCs w:val="15"/>
                <w:color w:val="auto"/>
              </w:rPr>
            </w:pPr>
          </w:p>
        </w:tc>
        <w:tc>
          <w:tcPr>
            <w:tcW w:w="1420" w:type="dxa"/>
            <w:vAlign w:val="bottom"/>
          </w:tcPr>
          <w:p>
            <w:pPr>
              <w:spacing w:after="0"/>
              <w:rPr>
                <w:sz w:val="15"/>
                <w:szCs w:val="15"/>
                <w:color w:val="auto"/>
              </w:rPr>
            </w:pPr>
          </w:p>
        </w:tc>
        <w:tc>
          <w:tcPr>
            <w:tcW w:w="780" w:type="dxa"/>
            <w:vAlign w:val="bottom"/>
          </w:tcPr>
          <w:p>
            <w:pPr>
              <w:jc w:val="right"/>
              <w:ind w:right="133"/>
              <w:spacing w:after="0" w:line="177" w:lineRule="exact"/>
              <w:rPr>
                <w:sz w:val="20"/>
                <w:szCs w:val="20"/>
                <w:color w:val="auto"/>
              </w:rPr>
            </w:pPr>
            <w:r>
              <w:rPr>
                <w:rFonts w:ascii="Arial" w:cs="Arial" w:eastAsia="Arial" w:hAnsi="Arial"/>
                <w:sz w:val="18"/>
                <w:szCs w:val="18"/>
                <w:b w:val="1"/>
                <w:bCs w:val="1"/>
                <w:color w:val="auto"/>
              </w:rPr>
              <w:t>2,235</w:t>
            </w:r>
          </w:p>
        </w:tc>
        <w:tc>
          <w:tcPr>
            <w:tcW w:w="260" w:type="dxa"/>
            <w:vAlign w:val="bottom"/>
          </w:tcPr>
          <w:p>
            <w:pPr>
              <w:spacing w:after="0"/>
              <w:rPr>
                <w:sz w:val="15"/>
                <w:szCs w:val="15"/>
                <w:color w:val="auto"/>
              </w:rPr>
            </w:pPr>
          </w:p>
        </w:tc>
        <w:tc>
          <w:tcPr>
            <w:tcW w:w="780" w:type="dxa"/>
            <w:vAlign w:val="bottom"/>
          </w:tcPr>
          <w:p>
            <w:pPr>
              <w:jc w:val="right"/>
              <w:ind w:right="133"/>
              <w:spacing w:after="0" w:line="177" w:lineRule="exact"/>
              <w:rPr>
                <w:sz w:val="20"/>
                <w:szCs w:val="20"/>
                <w:color w:val="auto"/>
              </w:rPr>
            </w:pPr>
            <w:r>
              <w:rPr>
                <w:rFonts w:ascii="Arial" w:cs="Arial" w:eastAsia="Arial" w:hAnsi="Arial"/>
                <w:sz w:val="18"/>
                <w:szCs w:val="18"/>
                <w:color w:val="auto"/>
              </w:rPr>
              <w:t>828</w:t>
            </w:r>
          </w:p>
        </w:tc>
        <w:tc>
          <w:tcPr>
            <w:tcW w:w="260" w:type="dxa"/>
            <w:vAlign w:val="bottom"/>
          </w:tcPr>
          <w:p>
            <w:pPr>
              <w:spacing w:after="0"/>
              <w:rPr>
                <w:sz w:val="15"/>
                <w:szCs w:val="15"/>
                <w:color w:val="auto"/>
              </w:rPr>
            </w:pPr>
          </w:p>
        </w:tc>
        <w:tc>
          <w:tcPr>
            <w:tcW w:w="620" w:type="dxa"/>
            <w:vAlign w:val="bottom"/>
          </w:tcPr>
          <w:p>
            <w:pPr>
              <w:jc w:val="right"/>
              <w:spacing w:after="0" w:line="177" w:lineRule="exact"/>
              <w:rPr>
                <w:sz w:val="20"/>
                <w:szCs w:val="20"/>
                <w:color w:val="auto"/>
              </w:rPr>
            </w:pPr>
            <w:r>
              <w:rPr>
                <w:rFonts w:ascii="Arial" w:cs="Arial" w:eastAsia="Arial" w:hAnsi="Arial"/>
                <w:sz w:val="18"/>
                <w:szCs w:val="18"/>
                <w:color w:val="auto"/>
              </w:rPr>
              <w:t>928</w:t>
            </w:r>
          </w:p>
        </w:tc>
        <w:tc>
          <w:tcPr>
            <w:tcW w:w="0" w:type="dxa"/>
            <w:vAlign w:val="bottom"/>
          </w:tcPr>
          <w:p>
            <w:pPr>
              <w:spacing w:after="0"/>
              <w:rPr>
                <w:sz w:val="1"/>
                <w:szCs w:val="1"/>
                <w:color w:val="auto"/>
              </w:rPr>
            </w:pPr>
          </w:p>
        </w:tc>
      </w:tr>
      <w:tr>
        <w:trPr>
          <w:trHeight w:val="203"/>
        </w:trPr>
        <w:tc>
          <w:tcPr>
            <w:tcW w:w="5460" w:type="dxa"/>
            <w:vAlign w:val="bottom"/>
            <w:gridSpan w:val="2"/>
          </w:tcPr>
          <w:p>
            <w:pPr>
              <w:spacing w:after="0" w:line="202" w:lineRule="exact"/>
              <w:rPr>
                <w:sz w:val="20"/>
                <w:szCs w:val="20"/>
                <w:color w:val="auto"/>
              </w:rPr>
            </w:pPr>
            <w:r>
              <w:rPr>
                <w:rFonts w:ascii="Arial" w:cs="Arial" w:eastAsia="Arial" w:hAnsi="Arial"/>
                <w:sz w:val="18"/>
                <w:szCs w:val="18"/>
                <w:color w:val="auto"/>
              </w:rPr>
              <w:t>Income from discontinued operations, net of tax</w:t>
            </w:r>
          </w:p>
        </w:tc>
        <w:tc>
          <w:tcPr>
            <w:tcW w:w="1840" w:type="dxa"/>
            <w:vAlign w:val="bottom"/>
          </w:tcPr>
          <w:p>
            <w:pPr>
              <w:spacing w:after="0"/>
              <w:rPr>
                <w:sz w:val="17"/>
                <w:szCs w:val="17"/>
                <w:color w:val="auto"/>
              </w:rPr>
            </w:pPr>
          </w:p>
        </w:tc>
        <w:tc>
          <w:tcPr>
            <w:tcW w:w="1420" w:type="dxa"/>
            <w:vAlign w:val="bottom"/>
          </w:tcPr>
          <w:p>
            <w:pPr>
              <w:spacing w:after="0"/>
              <w:rPr>
                <w:sz w:val="17"/>
                <w:szCs w:val="17"/>
                <w:color w:val="auto"/>
              </w:rPr>
            </w:pPr>
          </w:p>
        </w:tc>
        <w:tc>
          <w:tcPr>
            <w:tcW w:w="780" w:type="dxa"/>
            <w:vAlign w:val="bottom"/>
          </w:tcPr>
          <w:p>
            <w:pPr>
              <w:jc w:val="right"/>
              <w:ind w:right="133"/>
              <w:spacing w:after="0" w:line="202" w:lineRule="exact"/>
              <w:rPr>
                <w:sz w:val="20"/>
                <w:szCs w:val="20"/>
                <w:color w:val="auto"/>
              </w:rPr>
            </w:pPr>
            <w:r>
              <w:rPr>
                <w:rFonts w:ascii="Arial" w:cs="Arial" w:eastAsia="Arial" w:hAnsi="Arial"/>
                <w:sz w:val="18"/>
                <w:szCs w:val="18"/>
                <w:b w:val="1"/>
                <w:bCs w:val="1"/>
                <w:color w:val="auto"/>
              </w:rPr>
              <w:t>103</w:t>
            </w:r>
          </w:p>
        </w:tc>
        <w:tc>
          <w:tcPr>
            <w:tcW w:w="260" w:type="dxa"/>
            <w:vAlign w:val="bottom"/>
          </w:tcPr>
          <w:p>
            <w:pPr>
              <w:spacing w:after="0"/>
              <w:rPr>
                <w:sz w:val="17"/>
                <w:szCs w:val="17"/>
                <w:color w:val="auto"/>
              </w:rPr>
            </w:pPr>
          </w:p>
        </w:tc>
        <w:tc>
          <w:tcPr>
            <w:tcW w:w="780" w:type="dxa"/>
            <w:vAlign w:val="bottom"/>
          </w:tcPr>
          <w:p>
            <w:pPr>
              <w:jc w:val="right"/>
              <w:ind w:right="133"/>
              <w:spacing w:after="0" w:line="202" w:lineRule="exact"/>
              <w:rPr>
                <w:sz w:val="20"/>
                <w:szCs w:val="20"/>
                <w:color w:val="auto"/>
              </w:rPr>
            </w:pPr>
            <w:r>
              <w:rPr>
                <w:rFonts w:ascii="Arial" w:cs="Arial" w:eastAsia="Arial" w:hAnsi="Arial"/>
                <w:sz w:val="18"/>
                <w:szCs w:val="18"/>
                <w:color w:val="auto"/>
              </w:rPr>
              <w:t>100</w:t>
            </w:r>
          </w:p>
        </w:tc>
        <w:tc>
          <w:tcPr>
            <w:tcW w:w="260" w:type="dxa"/>
            <w:vAlign w:val="bottom"/>
          </w:tcPr>
          <w:p>
            <w:pPr>
              <w:spacing w:after="0"/>
              <w:rPr>
                <w:sz w:val="17"/>
                <w:szCs w:val="17"/>
                <w:color w:val="auto"/>
              </w:rPr>
            </w:pPr>
          </w:p>
        </w:tc>
        <w:tc>
          <w:tcPr>
            <w:tcW w:w="620" w:type="dxa"/>
            <w:vAlign w:val="bottom"/>
          </w:tcPr>
          <w:p>
            <w:pPr>
              <w:jc w:val="right"/>
              <w:spacing w:after="0" w:line="202" w:lineRule="exact"/>
              <w:rPr>
                <w:sz w:val="20"/>
                <w:szCs w:val="20"/>
                <w:color w:val="auto"/>
              </w:rPr>
            </w:pPr>
            <w:r>
              <w:rPr>
                <w:rFonts w:ascii="Arial" w:cs="Arial" w:eastAsia="Arial" w:hAnsi="Arial"/>
                <w:sz w:val="18"/>
                <w:szCs w:val="18"/>
                <w:color w:val="auto"/>
              </w:rPr>
              <w:t>42</w:t>
            </w:r>
          </w:p>
        </w:tc>
        <w:tc>
          <w:tcPr>
            <w:tcW w:w="0" w:type="dxa"/>
            <w:vAlign w:val="bottom"/>
          </w:tcPr>
          <w:p>
            <w:pPr>
              <w:spacing w:after="0"/>
              <w:rPr>
                <w:sz w:val="1"/>
                <w:szCs w:val="1"/>
                <w:color w:val="auto"/>
              </w:rPr>
            </w:pPr>
          </w:p>
        </w:tc>
      </w:tr>
      <w:tr>
        <w:trPr>
          <w:trHeight w:val="221"/>
        </w:trPr>
        <w:tc>
          <w:tcPr>
            <w:tcW w:w="5460" w:type="dxa"/>
            <w:vAlign w:val="bottom"/>
            <w:tcBorders>
              <w:bottom w:val="single" w:sz="8" w:color="auto"/>
            </w:tcBorders>
            <w:gridSpan w:val="2"/>
          </w:tcPr>
          <w:p>
            <w:pPr>
              <w:spacing w:after="0"/>
              <w:rPr>
                <w:sz w:val="20"/>
                <w:szCs w:val="20"/>
                <w:color w:val="auto"/>
              </w:rPr>
            </w:pPr>
            <w:r>
              <w:rPr>
                <w:rFonts w:ascii="Arial" w:cs="Arial" w:eastAsia="Arial" w:hAnsi="Arial"/>
                <w:sz w:val="18"/>
                <w:szCs w:val="18"/>
                <w:color w:val="auto"/>
              </w:rPr>
              <w:t>Gain on discontinued operations, net of tax</w:t>
            </w:r>
          </w:p>
        </w:tc>
        <w:tc>
          <w:tcPr>
            <w:tcW w:w="1840" w:type="dxa"/>
            <w:vAlign w:val="bottom"/>
            <w:tcBorders>
              <w:bottom w:val="single" w:sz="8" w:color="auto"/>
            </w:tcBorders>
          </w:tcPr>
          <w:p>
            <w:pPr>
              <w:spacing w:after="0"/>
              <w:rPr>
                <w:sz w:val="19"/>
                <w:szCs w:val="19"/>
                <w:color w:val="auto"/>
              </w:rPr>
            </w:pPr>
          </w:p>
        </w:tc>
        <w:tc>
          <w:tcPr>
            <w:tcW w:w="1420" w:type="dxa"/>
            <w:vAlign w:val="bottom"/>
            <w:tcBorders>
              <w:bottom w:val="single" w:sz="8" w:color="auto"/>
            </w:tcBorders>
          </w:tcPr>
          <w:p>
            <w:pPr>
              <w:spacing w:after="0"/>
              <w:rPr>
                <w:sz w:val="19"/>
                <w:szCs w:val="19"/>
                <w:color w:val="auto"/>
              </w:rPr>
            </w:pPr>
          </w:p>
        </w:tc>
        <w:tc>
          <w:tcPr>
            <w:tcW w:w="780" w:type="dxa"/>
            <w:vAlign w:val="bottom"/>
            <w:tcBorders>
              <w:bottom w:val="single" w:sz="8" w:color="auto"/>
            </w:tcBorders>
          </w:tcPr>
          <w:p>
            <w:pPr>
              <w:jc w:val="right"/>
              <w:ind w:right="133"/>
              <w:spacing w:after="0"/>
              <w:rPr>
                <w:sz w:val="20"/>
                <w:szCs w:val="20"/>
                <w:color w:val="auto"/>
              </w:rPr>
            </w:pPr>
            <w:r>
              <w:rPr>
                <w:rFonts w:ascii="Arial" w:cs="Arial" w:eastAsia="Arial" w:hAnsi="Arial"/>
                <w:sz w:val="18"/>
                <w:szCs w:val="18"/>
                <w:b w:val="1"/>
                <w:bCs w:val="1"/>
                <w:color w:val="auto"/>
              </w:rPr>
              <w:t>195</w:t>
            </w:r>
          </w:p>
        </w:tc>
        <w:tc>
          <w:tcPr>
            <w:tcW w:w="260" w:type="dxa"/>
            <w:vAlign w:val="bottom"/>
            <w:tcBorders>
              <w:bottom w:val="single" w:sz="8" w:color="auto"/>
            </w:tcBorders>
          </w:tcPr>
          <w:p>
            <w:pPr>
              <w:spacing w:after="0"/>
              <w:rPr>
                <w:sz w:val="19"/>
                <w:szCs w:val="19"/>
                <w:color w:val="auto"/>
              </w:rPr>
            </w:pPr>
          </w:p>
        </w:tc>
        <w:tc>
          <w:tcPr>
            <w:tcW w:w="780" w:type="dxa"/>
            <w:vAlign w:val="bottom"/>
            <w:tcBorders>
              <w:bottom w:val="single" w:sz="8" w:color="auto"/>
            </w:tcBorders>
          </w:tcPr>
          <w:p>
            <w:pPr>
              <w:jc w:val="right"/>
              <w:ind w:right="233"/>
              <w:spacing w:after="0"/>
              <w:rPr>
                <w:sz w:val="20"/>
                <w:szCs w:val="20"/>
                <w:color w:val="auto"/>
              </w:rPr>
            </w:pPr>
            <w:r>
              <w:rPr>
                <w:rFonts w:ascii="Arial" w:cs="Arial" w:eastAsia="Arial" w:hAnsi="Arial"/>
                <w:sz w:val="18"/>
                <w:szCs w:val="18"/>
                <w:color w:val="auto"/>
              </w:rPr>
              <w:t>—</w:t>
            </w:r>
          </w:p>
        </w:tc>
        <w:tc>
          <w:tcPr>
            <w:tcW w:w="260" w:type="dxa"/>
            <w:vAlign w:val="bottom"/>
            <w:tcBorders>
              <w:bottom w:val="single" w:sz="8" w:color="auto"/>
            </w:tcBorders>
          </w:tcPr>
          <w:p>
            <w:pPr>
              <w:spacing w:after="0"/>
              <w:rPr>
                <w:sz w:val="19"/>
                <w:szCs w:val="19"/>
                <w:color w:val="auto"/>
              </w:rPr>
            </w:pPr>
          </w:p>
        </w:tc>
        <w:tc>
          <w:tcPr>
            <w:tcW w:w="620" w:type="dxa"/>
            <w:vAlign w:val="bottom"/>
            <w:tcBorders>
              <w:bottom w:val="single" w:sz="8" w:color="auto"/>
            </w:tcBorders>
          </w:tcPr>
          <w:p>
            <w:pPr>
              <w:jc w:val="right"/>
              <w:ind w:right="73"/>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196"/>
        </w:trPr>
        <w:tc>
          <w:tcPr>
            <w:tcW w:w="5460" w:type="dxa"/>
            <w:vAlign w:val="bottom"/>
            <w:tcBorders>
              <w:bottom w:val="single" w:sz="8" w:color="35BF85"/>
            </w:tcBorders>
            <w:gridSpan w:val="2"/>
          </w:tcPr>
          <w:p>
            <w:pPr>
              <w:spacing w:after="0" w:line="196" w:lineRule="exact"/>
              <w:rPr>
                <w:sz w:val="20"/>
                <w:szCs w:val="20"/>
                <w:color w:val="auto"/>
              </w:rPr>
            </w:pPr>
            <w:r>
              <w:rPr>
                <w:rFonts w:ascii="Arial" w:cs="Arial" w:eastAsia="Arial" w:hAnsi="Arial"/>
                <w:sz w:val="18"/>
                <w:szCs w:val="18"/>
                <w:b w:val="1"/>
                <w:bCs w:val="1"/>
                <w:color w:val="auto"/>
              </w:rPr>
              <w:t>Net Income</w:t>
            </w:r>
          </w:p>
        </w:tc>
        <w:tc>
          <w:tcPr>
            <w:tcW w:w="1840" w:type="dxa"/>
            <w:vAlign w:val="bottom"/>
            <w:tcBorders>
              <w:bottom w:val="single" w:sz="8" w:color="35BF85"/>
            </w:tcBorders>
          </w:tcPr>
          <w:p>
            <w:pPr>
              <w:spacing w:after="0"/>
              <w:rPr>
                <w:sz w:val="17"/>
                <w:szCs w:val="17"/>
                <w:color w:val="auto"/>
              </w:rPr>
            </w:pPr>
          </w:p>
        </w:tc>
        <w:tc>
          <w:tcPr>
            <w:tcW w:w="1420" w:type="dxa"/>
            <w:vAlign w:val="bottom"/>
            <w:tcBorders>
              <w:bottom w:val="single" w:sz="8" w:color="35BF85"/>
            </w:tcBorders>
          </w:tcPr>
          <w:p>
            <w:pPr>
              <w:jc w:val="right"/>
              <w:spacing w:after="0" w:line="196" w:lineRule="exact"/>
              <w:rPr>
                <w:sz w:val="20"/>
                <w:szCs w:val="20"/>
                <w:color w:val="auto"/>
              </w:rPr>
            </w:pPr>
            <w:r>
              <w:rPr>
                <w:rFonts w:ascii="Arial" w:cs="Arial" w:eastAsia="Arial" w:hAnsi="Arial"/>
                <w:sz w:val="18"/>
                <w:szCs w:val="18"/>
                <w:b w:val="1"/>
                <w:bCs w:val="1"/>
                <w:color w:val="auto"/>
              </w:rPr>
              <w:t>$</w:t>
            </w:r>
          </w:p>
        </w:tc>
        <w:tc>
          <w:tcPr>
            <w:tcW w:w="780" w:type="dxa"/>
            <w:vAlign w:val="bottom"/>
            <w:tcBorders>
              <w:bottom w:val="single" w:sz="8" w:color="35BF85"/>
            </w:tcBorders>
          </w:tcPr>
          <w:p>
            <w:pPr>
              <w:jc w:val="right"/>
              <w:ind w:right="133"/>
              <w:spacing w:after="0" w:line="196" w:lineRule="exact"/>
              <w:rPr>
                <w:sz w:val="20"/>
                <w:szCs w:val="20"/>
                <w:color w:val="auto"/>
              </w:rPr>
            </w:pPr>
            <w:r>
              <w:rPr>
                <w:rFonts w:ascii="Arial" w:cs="Arial" w:eastAsia="Arial" w:hAnsi="Arial"/>
                <w:sz w:val="18"/>
                <w:szCs w:val="18"/>
                <w:b w:val="1"/>
                <w:bCs w:val="1"/>
                <w:color w:val="auto"/>
              </w:rPr>
              <w:t>2,533</w:t>
            </w:r>
          </w:p>
        </w:tc>
        <w:tc>
          <w:tcPr>
            <w:tcW w:w="260" w:type="dxa"/>
            <w:vAlign w:val="bottom"/>
            <w:tcBorders>
              <w:bottom w:val="single" w:sz="8" w:color="35BF85"/>
            </w:tcBorders>
          </w:tcPr>
          <w:p>
            <w:pPr>
              <w:jc w:val="right"/>
              <w:spacing w:after="0" w:line="196" w:lineRule="exact"/>
              <w:rPr>
                <w:sz w:val="20"/>
                <w:szCs w:val="20"/>
                <w:color w:val="auto"/>
              </w:rPr>
            </w:pPr>
            <w:r>
              <w:rPr>
                <w:rFonts w:ascii="Arial" w:cs="Arial" w:eastAsia="Arial" w:hAnsi="Arial"/>
                <w:sz w:val="18"/>
                <w:szCs w:val="18"/>
                <w:color w:val="auto"/>
              </w:rPr>
              <w:t>$</w:t>
            </w:r>
          </w:p>
        </w:tc>
        <w:tc>
          <w:tcPr>
            <w:tcW w:w="780" w:type="dxa"/>
            <w:vAlign w:val="bottom"/>
            <w:tcBorders>
              <w:bottom w:val="single" w:sz="8" w:color="35BF85"/>
            </w:tcBorders>
          </w:tcPr>
          <w:p>
            <w:pPr>
              <w:jc w:val="right"/>
              <w:ind w:right="133"/>
              <w:spacing w:after="0" w:line="196" w:lineRule="exact"/>
              <w:rPr>
                <w:sz w:val="20"/>
                <w:szCs w:val="20"/>
                <w:color w:val="auto"/>
              </w:rPr>
            </w:pPr>
            <w:r>
              <w:rPr>
                <w:rFonts w:ascii="Arial" w:cs="Arial" w:eastAsia="Arial" w:hAnsi="Arial"/>
                <w:sz w:val="18"/>
                <w:szCs w:val="18"/>
                <w:color w:val="auto"/>
              </w:rPr>
              <w:t>928</w:t>
            </w:r>
          </w:p>
        </w:tc>
        <w:tc>
          <w:tcPr>
            <w:tcW w:w="260" w:type="dxa"/>
            <w:vAlign w:val="bottom"/>
            <w:tcBorders>
              <w:bottom w:val="single" w:sz="8" w:color="35BF85"/>
            </w:tcBorders>
          </w:tcPr>
          <w:p>
            <w:pPr>
              <w:jc w:val="right"/>
              <w:spacing w:after="0" w:line="196" w:lineRule="exact"/>
              <w:rPr>
                <w:sz w:val="20"/>
                <w:szCs w:val="20"/>
                <w:color w:val="auto"/>
              </w:rPr>
            </w:pPr>
            <w:r>
              <w:rPr>
                <w:rFonts w:ascii="Arial" w:cs="Arial" w:eastAsia="Arial" w:hAnsi="Arial"/>
                <w:sz w:val="18"/>
                <w:szCs w:val="18"/>
                <w:color w:val="auto"/>
              </w:rPr>
              <w:t>$</w:t>
            </w:r>
          </w:p>
        </w:tc>
        <w:tc>
          <w:tcPr>
            <w:tcW w:w="620" w:type="dxa"/>
            <w:vAlign w:val="bottom"/>
            <w:tcBorders>
              <w:bottom w:val="single" w:sz="8" w:color="35BF85"/>
            </w:tcBorders>
          </w:tcPr>
          <w:p>
            <w:pPr>
              <w:jc w:val="right"/>
              <w:spacing w:after="0" w:line="196" w:lineRule="exact"/>
              <w:rPr>
                <w:sz w:val="20"/>
                <w:szCs w:val="20"/>
                <w:color w:val="auto"/>
              </w:rPr>
            </w:pPr>
            <w:r>
              <w:rPr>
                <w:rFonts w:ascii="Arial" w:cs="Arial" w:eastAsia="Arial" w:hAnsi="Arial"/>
                <w:sz w:val="18"/>
                <w:szCs w:val="18"/>
                <w:color w:val="auto"/>
              </w:rPr>
              <w:t>970</w:t>
            </w:r>
          </w:p>
        </w:tc>
        <w:tc>
          <w:tcPr>
            <w:tcW w:w="0" w:type="dxa"/>
            <w:vAlign w:val="bottom"/>
          </w:tcPr>
          <w:p>
            <w:pPr>
              <w:spacing w:after="0"/>
              <w:rPr>
                <w:sz w:val="1"/>
                <w:szCs w:val="1"/>
                <w:color w:val="auto"/>
              </w:rPr>
            </w:pPr>
          </w:p>
        </w:tc>
      </w:tr>
      <w:tr>
        <w:trPr>
          <w:trHeight w:val="199"/>
        </w:trPr>
        <w:tc>
          <w:tcPr>
            <w:tcW w:w="5460" w:type="dxa"/>
            <w:vAlign w:val="bottom"/>
            <w:gridSpan w:val="2"/>
          </w:tcPr>
          <w:p>
            <w:pPr>
              <w:spacing w:after="0" w:line="200" w:lineRule="exact"/>
              <w:rPr>
                <w:sz w:val="20"/>
                <w:szCs w:val="20"/>
                <w:color w:val="auto"/>
              </w:rPr>
            </w:pPr>
            <w:r>
              <w:rPr>
                <w:rFonts w:ascii="Arial" w:cs="Arial" w:eastAsia="Arial" w:hAnsi="Arial"/>
                <w:sz w:val="18"/>
                <w:szCs w:val="18"/>
                <w:b w:val="1"/>
                <w:bCs w:val="1"/>
                <w:color w:val="auto"/>
              </w:rPr>
              <w:t>Basic earnings for common stockholders per common share</w:t>
            </w:r>
          </w:p>
        </w:tc>
        <w:tc>
          <w:tcPr>
            <w:tcW w:w="1840" w:type="dxa"/>
            <w:vAlign w:val="bottom"/>
          </w:tcPr>
          <w:p>
            <w:pPr>
              <w:spacing w:after="0"/>
              <w:rPr>
                <w:sz w:val="17"/>
                <w:szCs w:val="17"/>
                <w:color w:val="auto"/>
              </w:rPr>
            </w:pPr>
          </w:p>
        </w:tc>
        <w:tc>
          <w:tcPr>
            <w:tcW w:w="1420" w:type="dxa"/>
            <w:vAlign w:val="bottom"/>
            <w:vMerge w:val="restart"/>
          </w:tcPr>
          <w:p>
            <w:pPr>
              <w:jc w:val="right"/>
              <w:spacing w:after="0"/>
              <w:rPr>
                <w:sz w:val="20"/>
                <w:szCs w:val="20"/>
                <w:color w:val="auto"/>
              </w:rPr>
            </w:pPr>
            <w:r>
              <w:rPr>
                <w:rFonts w:ascii="Arial" w:cs="Arial" w:eastAsia="Arial" w:hAnsi="Arial"/>
                <w:sz w:val="18"/>
                <w:szCs w:val="18"/>
                <w:b w:val="1"/>
                <w:bCs w:val="1"/>
                <w:color w:val="auto"/>
              </w:rPr>
              <w:t>$</w:t>
            </w:r>
          </w:p>
        </w:tc>
        <w:tc>
          <w:tcPr>
            <w:tcW w:w="780" w:type="dxa"/>
            <w:vAlign w:val="bottom"/>
            <w:vMerge w:val="restart"/>
          </w:tcPr>
          <w:p>
            <w:pPr>
              <w:jc w:val="right"/>
              <w:ind w:right="133"/>
              <w:spacing w:after="0"/>
              <w:rPr>
                <w:sz w:val="20"/>
                <w:szCs w:val="20"/>
                <w:color w:val="auto"/>
              </w:rPr>
            </w:pPr>
            <w:r>
              <w:rPr>
                <w:rFonts w:ascii="Arial" w:cs="Arial" w:eastAsia="Arial" w:hAnsi="Arial"/>
                <w:sz w:val="18"/>
                <w:szCs w:val="18"/>
                <w:b w:val="1"/>
                <w:bCs w:val="1"/>
                <w:color w:val="auto"/>
              </w:rPr>
              <w:t>0.71</w:t>
            </w:r>
          </w:p>
        </w:tc>
        <w:tc>
          <w:tcPr>
            <w:tcW w:w="26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6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81"/>
        </w:trPr>
        <w:tc>
          <w:tcPr>
            <w:tcW w:w="20" w:type="dxa"/>
            <w:vAlign w:val="bottom"/>
          </w:tcPr>
          <w:p>
            <w:pPr>
              <w:spacing w:after="0"/>
              <w:rPr>
                <w:sz w:val="15"/>
                <w:szCs w:val="15"/>
                <w:color w:val="auto"/>
              </w:rPr>
            </w:pPr>
          </w:p>
        </w:tc>
        <w:tc>
          <w:tcPr>
            <w:tcW w:w="5440" w:type="dxa"/>
            <w:vAlign w:val="bottom"/>
          </w:tcPr>
          <w:p>
            <w:pPr>
              <w:ind w:left="200"/>
              <w:spacing w:after="0" w:line="181" w:lineRule="exact"/>
              <w:rPr>
                <w:sz w:val="20"/>
                <w:szCs w:val="20"/>
                <w:color w:val="auto"/>
              </w:rPr>
            </w:pPr>
            <w:r>
              <w:rPr>
                <w:rFonts w:ascii="Arial" w:cs="Arial" w:eastAsia="Arial" w:hAnsi="Arial"/>
                <w:sz w:val="18"/>
                <w:szCs w:val="18"/>
                <w:color w:val="auto"/>
              </w:rPr>
              <w:t>Income from continuing operations</w:t>
            </w:r>
          </w:p>
        </w:tc>
        <w:tc>
          <w:tcPr>
            <w:tcW w:w="1840" w:type="dxa"/>
            <w:vAlign w:val="bottom"/>
          </w:tcPr>
          <w:p>
            <w:pPr>
              <w:spacing w:after="0"/>
              <w:rPr>
                <w:sz w:val="15"/>
                <w:szCs w:val="15"/>
                <w:color w:val="auto"/>
              </w:rPr>
            </w:pPr>
          </w:p>
        </w:tc>
        <w:tc>
          <w:tcPr>
            <w:tcW w:w="1420" w:type="dxa"/>
            <w:vAlign w:val="bottom"/>
            <w:vMerge w:val="continue"/>
          </w:tcPr>
          <w:p>
            <w:pPr>
              <w:spacing w:after="0"/>
              <w:rPr>
                <w:sz w:val="15"/>
                <w:szCs w:val="15"/>
                <w:color w:val="auto"/>
              </w:rPr>
            </w:pPr>
          </w:p>
        </w:tc>
        <w:tc>
          <w:tcPr>
            <w:tcW w:w="780" w:type="dxa"/>
            <w:vAlign w:val="bottom"/>
            <w:vMerge w:val="continue"/>
          </w:tcPr>
          <w:p>
            <w:pPr>
              <w:spacing w:after="0"/>
              <w:rPr>
                <w:sz w:val="15"/>
                <w:szCs w:val="15"/>
                <w:color w:val="auto"/>
              </w:rPr>
            </w:pPr>
          </w:p>
        </w:tc>
        <w:tc>
          <w:tcPr>
            <w:tcW w:w="260" w:type="dxa"/>
            <w:vAlign w:val="bottom"/>
          </w:tcPr>
          <w:p>
            <w:pPr>
              <w:jc w:val="right"/>
              <w:spacing w:after="0" w:line="181" w:lineRule="exact"/>
              <w:rPr>
                <w:sz w:val="20"/>
                <w:szCs w:val="20"/>
                <w:color w:val="auto"/>
              </w:rPr>
            </w:pPr>
            <w:r>
              <w:rPr>
                <w:rFonts w:ascii="Arial" w:cs="Arial" w:eastAsia="Arial" w:hAnsi="Arial"/>
                <w:sz w:val="18"/>
                <w:szCs w:val="18"/>
                <w:color w:val="auto"/>
              </w:rPr>
              <w:t>$</w:t>
            </w:r>
          </w:p>
        </w:tc>
        <w:tc>
          <w:tcPr>
            <w:tcW w:w="780" w:type="dxa"/>
            <w:vAlign w:val="bottom"/>
          </w:tcPr>
          <w:p>
            <w:pPr>
              <w:jc w:val="right"/>
              <w:ind w:right="133"/>
              <w:spacing w:after="0" w:line="181" w:lineRule="exact"/>
              <w:rPr>
                <w:sz w:val="20"/>
                <w:szCs w:val="20"/>
                <w:color w:val="auto"/>
              </w:rPr>
            </w:pPr>
            <w:r>
              <w:rPr>
                <w:rFonts w:ascii="Arial" w:cs="Arial" w:eastAsia="Arial" w:hAnsi="Arial"/>
                <w:sz w:val="18"/>
                <w:szCs w:val="18"/>
                <w:color w:val="auto"/>
              </w:rPr>
              <w:t>0.25</w:t>
            </w:r>
          </w:p>
        </w:tc>
        <w:tc>
          <w:tcPr>
            <w:tcW w:w="260" w:type="dxa"/>
            <w:vAlign w:val="bottom"/>
          </w:tcPr>
          <w:p>
            <w:pPr>
              <w:jc w:val="right"/>
              <w:spacing w:after="0" w:line="181" w:lineRule="exact"/>
              <w:rPr>
                <w:sz w:val="20"/>
                <w:szCs w:val="20"/>
                <w:color w:val="auto"/>
              </w:rPr>
            </w:pPr>
            <w:r>
              <w:rPr>
                <w:rFonts w:ascii="Arial" w:cs="Arial" w:eastAsia="Arial" w:hAnsi="Arial"/>
                <w:sz w:val="18"/>
                <w:szCs w:val="18"/>
                <w:color w:val="auto"/>
              </w:rPr>
              <w:t>$</w:t>
            </w:r>
          </w:p>
        </w:tc>
        <w:tc>
          <w:tcPr>
            <w:tcW w:w="620" w:type="dxa"/>
            <w:vAlign w:val="bottom"/>
          </w:tcPr>
          <w:p>
            <w:pPr>
              <w:jc w:val="right"/>
              <w:spacing w:after="0" w:line="181" w:lineRule="exact"/>
              <w:rPr>
                <w:sz w:val="20"/>
                <w:szCs w:val="20"/>
                <w:color w:val="auto"/>
              </w:rPr>
            </w:pPr>
            <w:r>
              <w:rPr>
                <w:rFonts w:ascii="Arial" w:cs="Arial" w:eastAsia="Arial" w:hAnsi="Arial"/>
                <w:sz w:val="18"/>
                <w:szCs w:val="18"/>
                <w:color w:val="auto"/>
              </w:rPr>
              <w:t>0.28</w:t>
            </w: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5440" w:type="dxa"/>
            <w:vAlign w:val="bottom"/>
          </w:tcPr>
          <w:p>
            <w:pPr>
              <w:ind w:left="200"/>
              <w:spacing w:after="0" w:line="202" w:lineRule="exact"/>
              <w:rPr>
                <w:sz w:val="20"/>
                <w:szCs w:val="20"/>
                <w:color w:val="auto"/>
              </w:rPr>
            </w:pPr>
            <w:r>
              <w:rPr>
                <w:rFonts w:ascii="Arial" w:cs="Arial" w:eastAsia="Arial" w:hAnsi="Arial"/>
                <w:sz w:val="18"/>
                <w:szCs w:val="18"/>
                <w:color w:val="auto"/>
              </w:rPr>
              <w:t>Income from discontinued operations</w:t>
            </w:r>
          </w:p>
        </w:tc>
        <w:tc>
          <w:tcPr>
            <w:tcW w:w="1840" w:type="dxa"/>
            <w:vAlign w:val="bottom"/>
          </w:tcPr>
          <w:p>
            <w:pPr>
              <w:spacing w:after="0"/>
              <w:rPr>
                <w:sz w:val="17"/>
                <w:szCs w:val="17"/>
                <w:color w:val="auto"/>
              </w:rPr>
            </w:pPr>
          </w:p>
        </w:tc>
        <w:tc>
          <w:tcPr>
            <w:tcW w:w="1420" w:type="dxa"/>
            <w:vAlign w:val="bottom"/>
          </w:tcPr>
          <w:p>
            <w:pPr>
              <w:spacing w:after="0"/>
              <w:rPr>
                <w:sz w:val="17"/>
                <w:szCs w:val="17"/>
                <w:color w:val="auto"/>
              </w:rPr>
            </w:pPr>
          </w:p>
        </w:tc>
        <w:tc>
          <w:tcPr>
            <w:tcW w:w="780" w:type="dxa"/>
            <w:vAlign w:val="bottom"/>
          </w:tcPr>
          <w:p>
            <w:pPr>
              <w:jc w:val="right"/>
              <w:ind w:right="133"/>
              <w:spacing w:after="0" w:line="202" w:lineRule="exact"/>
              <w:rPr>
                <w:sz w:val="20"/>
                <w:szCs w:val="20"/>
                <w:color w:val="auto"/>
              </w:rPr>
            </w:pPr>
            <w:r>
              <w:rPr>
                <w:rFonts w:ascii="Arial" w:cs="Arial" w:eastAsia="Arial" w:hAnsi="Arial"/>
                <w:sz w:val="18"/>
                <w:szCs w:val="18"/>
                <w:b w:val="1"/>
                <w:bCs w:val="1"/>
                <w:color w:val="auto"/>
              </w:rPr>
              <w:t>0.03</w:t>
            </w:r>
          </w:p>
        </w:tc>
        <w:tc>
          <w:tcPr>
            <w:tcW w:w="260" w:type="dxa"/>
            <w:vAlign w:val="bottom"/>
          </w:tcPr>
          <w:p>
            <w:pPr>
              <w:spacing w:after="0"/>
              <w:rPr>
                <w:sz w:val="17"/>
                <w:szCs w:val="17"/>
                <w:color w:val="auto"/>
              </w:rPr>
            </w:pPr>
          </w:p>
        </w:tc>
        <w:tc>
          <w:tcPr>
            <w:tcW w:w="780" w:type="dxa"/>
            <w:vAlign w:val="bottom"/>
          </w:tcPr>
          <w:p>
            <w:pPr>
              <w:jc w:val="right"/>
              <w:ind w:right="133"/>
              <w:spacing w:after="0" w:line="202" w:lineRule="exact"/>
              <w:rPr>
                <w:sz w:val="20"/>
                <w:szCs w:val="20"/>
                <w:color w:val="auto"/>
              </w:rPr>
            </w:pPr>
            <w:r>
              <w:rPr>
                <w:rFonts w:ascii="Arial" w:cs="Arial" w:eastAsia="Arial" w:hAnsi="Arial"/>
                <w:sz w:val="18"/>
                <w:szCs w:val="18"/>
                <w:color w:val="auto"/>
              </w:rPr>
              <w:t>0.03</w:t>
            </w:r>
          </w:p>
        </w:tc>
        <w:tc>
          <w:tcPr>
            <w:tcW w:w="260" w:type="dxa"/>
            <w:vAlign w:val="bottom"/>
          </w:tcPr>
          <w:p>
            <w:pPr>
              <w:spacing w:after="0"/>
              <w:rPr>
                <w:sz w:val="17"/>
                <w:szCs w:val="17"/>
                <w:color w:val="auto"/>
              </w:rPr>
            </w:pPr>
          </w:p>
        </w:tc>
        <w:tc>
          <w:tcPr>
            <w:tcW w:w="620" w:type="dxa"/>
            <w:vAlign w:val="bottom"/>
          </w:tcPr>
          <w:p>
            <w:pPr>
              <w:jc w:val="right"/>
              <w:spacing w:after="0" w:line="202" w:lineRule="exact"/>
              <w:rPr>
                <w:sz w:val="20"/>
                <w:szCs w:val="20"/>
                <w:color w:val="auto"/>
              </w:rPr>
            </w:pPr>
            <w:r>
              <w:rPr>
                <w:rFonts w:ascii="Arial" w:cs="Arial" w:eastAsia="Arial" w:hAnsi="Arial"/>
                <w:sz w:val="18"/>
                <w:szCs w:val="18"/>
                <w:color w:val="auto"/>
              </w:rPr>
              <w:t>0.01</w:t>
            </w:r>
          </w:p>
        </w:tc>
        <w:tc>
          <w:tcPr>
            <w:tcW w:w="0" w:type="dxa"/>
            <w:vAlign w:val="bottom"/>
          </w:tcPr>
          <w:p>
            <w:pPr>
              <w:spacing w:after="0"/>
              <w:rPr>
                <w:sz w:val="1"/>
                <w:szCs w:val="1"/>
                <w:color w:val="auto"/>
              </w:rPr>
            </w:pPr>
          </w:p>
        </w:tc>
      </w:tr>
      <w:tr>
        <w:trPr>
          <w:trHeight w:val="221"/>
        </w:trPr>
        <w:tc>
          <w:tcPr>
            <w:tcW w:w="20" w:type="dxa"/>
            <w:vAlign w:val="bottom"/>
          </w:tcPr>
          <w:p>
            <w:pPr>
              <w:spacing w:after="0"/>
              <w:rPr>
                <w:sz w:val="19"/>
                <w:szCs w:val="19"/>
                <w:color w:val="auto"/>
              </w:rPr>
            </w:pPr>
          </w:p>
        </w:tc>
        <w:tc>
          <w:tcPr>
            <w:tcW w:w="5440" w:type="dxa"/>
            <w:vAlign w:val="bottom"/>
            <w:tcBorders>
              <w:bottom w:val="single" w:sz="8" w:color="auto"/>
            </w:tcBorders>
          </w:tcPr>
          <w:p>
            <w:pPr>
              <w:ind w:left="200"/>
              <w:spacing w:after="0"/>
              <w:rPr>
                <w:sz w:val="20"/>
                <w:szCs w:val="20"/>
                <w:color w:val="auto"/>
              </w:rPr>
            </w:pPr>
            <w:r>
              <w:rPr>
                <w:rFonts w:ascii="Arial" w:cs="Arial" w:eastAsia="Arial" w:hAnsi="Arial"/>
                <w:sz w:val="18"/>
                <w:szCs w:val="18"/>
                <w:color w:val="auto"/>
              </w:rPr>
              <w:t>Gain on discontinued operations</w:t>
            </w:r>
          </w:p>
        </w:tc>
        <w:tc>
          <w:tcPr>
            <w:tcW w:w="1840" w:type="dxa"/>
            <w:vAlign w:val="bottom"/>
            <w:tcBorders>
              <w:bottom w:val="single" w:sz="8" w:color="auto"/>
            </w:tcBorders>
          </w:tcPr>
          <w:p>
            <w:pPr>
              <w:spacing w:after="0"/>
              <w:rPr>
                <w:sz w:val="19"/>
                <w:szCs w:val="19"/>
                <w:color w:val="auto"/>
              </w:rPr>
            </w:pPr>
          </w:p>
        </w:tc>
        <w:tc>
          <w:tcPr>
            <w:tcW w:w="1420" w:type="dxa"/>
            <w:vAlign w:val="bottom"/>
            <w:tcBorders>
              <w:bottom w:val="single" w:sz="8" w:color="auto"/>
            </w:tcBorders>
          </w:tcPr>
          <w:p>
            <w:pPr>
              <w:spacing w:after="0"/>
              <w:rPr>
                <w:sz w:val="19"/>
                <w:szCs w:val="19"/>
                <w:color w:val="auto"/>
              </w:rPr>
            </w:pPr>
          </w:p>
        </w:tc>
        <w:tc>
          <w:tcPr>
            <w:tcW w:w="780" w:type="dxa"/>
            <w:vAlign w:val="bottom"/>
            <w:tcBorders>
              <w:bottom w:val="single" w:sz="8" w:color="auto"/>
            </w:tcBorders>
          </w:tcPr>
          <w:p>
            <w:pPr>
              <w:jc w:val="right"/>
              <w:ind w:right="133"/>
              <w:spacing w:after="0"/>
              <w:rPr>
                <w:sz w:val="20"/>
                <w:szCs w:val="20"/>
                <w:color w:val="auto"/>
              </w:rPr>
            </w:pPr>
            <w:r>
              <w:rPr>
                <w:rFonts w:ascii="Arial" w:cs="Arial" w:eastAsia="Arial" w:hAnsi="Arial"/>
                <w:sz w:val="18"/>
                <w:szCs w:val="18"/>
                <w:b w:val="1"/>
                <w:bCs w:val="1"/>
                <w:color w:val="auto"/>
              </w:rPr>
              <w:t>0.06</w:t>
            </w:r>
          </w:p>
        </w:tc>
        <w:tc>
          <w:tcPr>
            <w:tcW w:w="260" w:type="dxa"/>
            <w:vAlign w:val="bottom"/>
            <w:tcBorders>
              <w:bottom w:val="single" w:sz="8" w:color="auto"/>
            </w:tcBorders>
          </w:tcPr>
          <w:p>
            <w:pPr>
              <w:spacing w:after="0"/>
              <w:rPr>
                <w:sz w:val="19"/>
                <w:szCs w:val="19"/>
                <w:color w:val="auto"/>
              </w:rPr>
            </w:pPr>
          </w:p>
        </w:tc>
        <w:tc>
          <w:tcPr>
            <w:tcW w:w="780" w:type="dxa"/>
            <w:vAlign w:val="bottom"/>
            <w:tcBorders>
              <w:bottom w:val="single" w:sz="8" w:color="auto"/>
            </w:tcBorders>
          </w:tcPr>
          <w:p>
            <w:pPr>
              <w:jc w:val="right"/>
              <w:ind w:right="233"/>
              <w:spacing w:after="0"/>
              <w:rPr>
                <w:sz w:val="20"/>
                <w:szCs w:val="20"/>
                <w:color w:val="auto"/>
              </w:rPr>
            </w:pPr>
            <w:r>
              <w:rPr>
                <w:rFonts w:ascii="Arial" w:cs="Arial" w:eastAsia="Arial" w:hAnsi="Arial"/>
                <w:sz w:val="18"/>
                <w:szCs w:val="18"/>
                <w:color w:val="auto"/>
              </w:rPr>
              <w:t>—</w:t>
            </w:r>
          </w:p>
        </w:tc>
        <w:tc>
          <w:tcPr>
            <w:tcW w:w="260" w:type="dxa"/>
            <w:vAlign w:val="bottom"/>
            <w:tcBorders>
              <w:bottom w:val="single" w:sz="8" w:color="auto"/>
            </w:tcBorders>
          </w:tcPr>
          <w:p>
            <w:pPr>
              <w:spacing w:after="0"/>
              <w:rPr>
                <w:sz w:val="19"/>
                <w:szCs w:val="19"/>
                <w:color w:val="auto"/>
              </w:rPr>
            </w:pPr>
          </w:p>
        </w:tc>
        <w:tc>
          <w:tcPr>
            <w:tcW w:w="620" w:type="dxa"/>
            <w:vAlign w:val="bottom"/>
            <w:tcBorders>
              <w:bottom w:val="single" w:sz="8" w:color="auto"/>
            </w:tcBorders>
          </w:tcPr>
          <w:p>
            <w:pPr>
              <w:jc w:val="right"/>
              <w:ind w:right="73"/>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5440" w:type="dxa"/>
            <w:vAlign w:val="bottom"/>
            <w:tcBorders>
              <w:bottom w:val="single" w:sz="8" w:color="auto"/>
            </w:tcBorders>
          </w:tcPr>
          <w:p>
            <w:pPr>
              <w:ind w:left="200"/>
              <w:spacing w:after="0" w:line="196" w:lineRule="exact"/>
              <w:rPr>
                <w:sz w:val="20"/>
                <w:szCs w:val="20"/>
                <w:color w:val="auto"/>
              </w:rPr>
            </w:pPr>
            <w:r>
              <w:rPr>
                <w:rFonts w:ascii="Arial" w:cs="Arial" w:eastAsia="Arial" w:hAnsi="Arial"/>
                <w:sz w:val="18"/>
                <w:szCs w:val="18"/>
                <w:color w:val="auto"/>
              </w:rPr>
              <w:t>Net income</w:t>
            </w:r>
          </w:p>
        </w:tc>
        <w:tc>
          <w:tcPr>
            <w:tcW w:w="1840" w:type="dxa"/>
            <w:vAlign w:val="bottom"/>
            <w:tcBorders>
              <w:bottom w:val="single" w:sz="8" w:color="auto"/>
            </w:tcBorders>
          </w:tcPr>
          <w:p>
            <w:pPr>
              <w:spacing w:after="0"/>
              <w:rPr>
                <w:sz w:val="17"/>
                <w:szCs w:val="17"/>
                <w:color w:val="auto"/>
              </w:rPr>
            </w:pPr>
          </w:p>
        </w:tc>
        <w:tc>
          <w:tcPr>
            <w:tcW w:w="1420" w:type="dxa"/>
            <w:vAlign w:val="bottom"/>
            <w:tcBorders>
              <w:bottom w:val="single" w:sz="8" w:color="auto"/>
            </w:tcBorders>
          </w:tcPr>
          <w:p>
            <w:pPr>
              <w:jc w:val="right"/>
              <w:spacing w:after="0" w:line="196" w:lineRule="exact"/>
              <w:rPr>
                <w:sz w:val="20"/>
                <w:szCs w:val="20"/>
                <w:color w:val="auto"/>
              </w:rPr>
            </w:pPr>
            <w:r>
              <w:rPr>
                <w:rFonts w:ascii="Arial" w:cs="Arial" w:eastAsia="Arial" w:hAnsi="Arial"/>
                <w:sz w:val="18"/>
                <w:szCs w:val="18"/>
                <w:b w:val="1"/>
                <w:bCs w:val="1"/>
                <w:color w:val="auto"/>
              </w:rPr>
              <w:t>$</w:t>
            </w:r>
          </w:p>
        </w:tc>
        <w:tc>
          <w:tcPr>
            <w:tcW w:w="780" w:type="dxa"/>
            <w:vAlign w:val="bottom"/>
            <w:tcBorders>
              <w:bottom w:val="single" w:sz="8" w:color="auto"/>
            </w:tcBorders>
          </w:tcPr>
          <w:p>
            <w:pPr>
              <w:jc w:val="right"/>
              <w:ind w:right="133"/>
              <w:spacing w:after="0" w:line="196" w:lineRule="exact"/>
              <w:rPr>
                <w:sz w:val="20"/>
                <w:szCs w:val="20"/>
                <w:color w:val="auto"/>
              </w:rPr>
            </w:pPr>
            <w:r>
              <w:rPr>
                <w:rFonts w:ascii="Arial" w:cs="Arial" w:eastAsia="Arial" w:hAnsi="Arial"/>
                <w:sz w:val="18"/>
                <w:szCs w:val="18"/>
                <w:b w:val="1"/>
                <w:bCs w:val="1"/>
                <w:color w:val="auto"/>
              </w:rPr>
              <w:t>0.80</w:t>
            </w:r>
          </w:p>
        </w:tc>
        <w:tc>
          <w:tcPr>
            <w:tcW w:w="260" w:type="dxa"/>
            <w:vAlign w:val="bottom"/>
            <w:tcBorders>
              <w:bottom w:val="single" w:sz="8" w:color="auto"/>
            </w:tcBorders>
          </w:tcPr>
          <w:p>
            <w:pPr>
              <w:jc w:val="right"/>
              <w:spacing w:after="0" w:line="196" w:lineRule="exact"/>
              <w:rPr>
                <w:sz w:val="20"/>
                <w:szCs w:val="20"/>
                <w:color w:val="auto"/>
              </w:rPr>
            </w:pPr>
            <w:r>
              <w:rPr>
                <w:rFonts w:ascii="Arial" w:cs="Arial" w:eastAsia="Arial" w:hAnsi="Arial"/>
                <w:sz w:val="18"/>
                <w:szCs w:val="18"/>
                <w:color w:val="auto"/>
              </w:rPr>
              <w:t>$</w:t>
            </w:r>
          </w:p>
        </w:tc>
        <w:tc>
          <w:tcPr>
            <w:tcW w:w="780" w:type="dxa"/>
            <w:vAlign w:val="bottom"/>
            <w:tcBorders>
              <w:bottom w:val="single" w:sz="8" w:color="auto"/>
            </w:tcBorders>
          </w:tcPr>
          <w:p>
            <w:pPr>
              <w:jc w:val="right"/>
              <w:ind w:right="133"/>
              <w:spacing w:after="0" w:line="196" w:lineRule="exact"/>
              <w:rPr>
                <w:sz w:val="20"/>
                <w:szCs w:val="20"/>
                <w:color w:val="auto"/>
              </w:rPr>
            </w:pPr>
            <w:r>
              <w:rPr>
                <w:rFonts w:ascii="Arial" w:cs="Arial" w:eastAsia="Arial" w:hAnsi="Arial"/>
                <w:sz w:val="18"/>
                <w:szCs w:val="18"/>
                <w:color w:val="auto"/>
              </w:rPr>
              <w:t>0.28</w:t>
            </w:r>
          </w:p>
        </w:tc>
        <w:tc>
          <w:tcPr>
            <w:tcW w:w="260" w:type="dxa"/>
            <w:vAlign w:val="bottom"/>
            <w:tcBorders>
              <w:bottom w:val="single" w:sz="8" w:color="auto"/>
            </w:tcBorders>
          </w:tcPr>
          <w:p>
            <w:pPr>
              <w:jc w:val="right"/>
              <w:spacing w:after="0" w:line="196" w:lineRule="exact"/>
              <w:rPr>
                <w:sz w:val="20"/>
                <w:szCs w:val="20"/>
                <w:color w:val="auto"/>
              </w:rPr>
            </w:pPr>
            <w:r>
              <w:rPr>
                <w:rFonts w:ascii="Arial" w:cs="Arial" w:eastAsia="Arial" w:hAnsi="Arial"/>
                <w:sz w:val="18"/>
                <w:szCs w:val="18"/>
                <w:color w:val="auto"/>
              </w:rPr>
              <w:t>$</w:t>
            </w:r>
          </w:p>
        </w:tc>
        <w:tc>
          <w:tcPr>
            <w:tcW w:w="620" w:type="dxa"/>
            <w:vAlign w:val="bottom"/>
            <w:tcBorders>
              <w:bottom w:val="single" w:sz="8" w:color="auto"/>
            </w:tcBorders>
          </w:tcPr>
          <w:p>
            <w:pPr>
              <w:jc w:val="right"/>
              <w:spacing w:after="0" w:line="196" w:lineRule="exact"/>
              <w:rPr>
                <w:sz w:val="20"/>
                <w:szCs w:val="20"/>
                <w:color w:val="auto"/>
              </w:rPr>
            </w:pPr>
            <w:r>
              <w:rPr>
                <w:rFonts w:ascii="Arial" w:cs="Arial" w:eastAsia="Arial" w:hAnsi="Arial"/>
                <w:sz w:val="18"/>
                <w:szCs w:val="18"/>
                <w:color w:val="auto"/>
              </w:rPr>
              <w:t>0.29</w:t>
            </w:r>
          </w:p>
        </w:tc>
        <w:tc>
          <w:tcPr>
            <w:tcW w:w="0" w:type="dxa"/>
            <w:vAlign w:val="bottom"/>
          </w:tcPr>
          <w:p>
            <w:pPr>
              <w:spacing w:after="0"/>
              <w:rPr>
                <w:sz w:val="1"/>
                <w:szCs w:val="1"/>
                <w:color w:val="auto"/>
              </w:rPr>
            </w:pPr>
          </w:p>
        </w:tc>
      </w:tr>
      <w:tr>
        <w:trPr>
          <w:trHeight w:val="199"/>
        </w:trPr>
        <w:tc>
          <w:tcPr>
            <w:tcW w:w="20" w:type="dxa"/>
            <w:vAlign w:val="bottom"/>
          </w:tcPr>
          <w:p>
            <w:pPr>
              <w:spacing w:after="0"/>
              <w:rPr>
                <w:sz w:val="17"/>
                <w:szCs w:val="17"/>
                <w:color w:val="auto"/>
              </w:rPr>
            </w:pPr>
          </w:p>
        </w:tc>
        <w:tc>
          <w:tcPr>
            <w:tcW w:w="5440" w:type="dxa"/>
            <w:vAlign w:val="bottom"/>
          </w:tcPr>
          <w:p>
            <w:pPr>
              <w:spacing w:after="0" w:line="200" w:lineRule="exact"/>
              <w:rPr>
                <w:sz w:val="20"/>
                <w:szCs w:val="20"/>
                <w:color w:val="auto"/>
              </w:rPr>
            </w:pPr>
            <w:r>
              <w:rPr>
                <w:rFonts w:ascii="Arial" w:cs="Arial" w:eastAsia="Arial" w:hAnsi="Arial"/>
                <w:sz w:val="18"/>
                <w:szCs w:val="18"/>
                <w:b w:val="1"/>
                <w:bCs w:val="1"/>
                <w:color w:val="auto"/>
              </w:rPr>
              <w:t>Diluted earnings for common stockholders per common share</w:t>
            </w:r>
          </w:p>
        </w:tc>
        <w:tc>
          <w:tcPr>
            <w:tcW w:w="1840" w:type="dxa"/>
            <w:vAlign w:val="bottom"/>
          </w:tcPr>
          <w:p>
            <w:pPr>
              <w:spacing w:after="0"/>
              <w:rPr>
                <w:sz w:val="17"/>
                <w:szCs w:val="17"/>
                <w:color w:val="auto"/>
              </w:rPr>
            </w:pPr>
          </w:p>
        </w:tc>
        <w:tc>
          <w:tcPr>
            <w:tcW w:w="1420" w:type="dxa"/>
            <w:vAlign w:val="bottom"/>
            <w:vMerge w:val="restart"/>
          </w:tcPr>
          <w:p>
            <w:pPr>
              <w:jc w:val="right"/>
              <w:spacing w:after="0"/>
              <w:rPr>
                <w:sz w:val="20"/>
                <w:szCs w:val="20"/>
                <w:color w:val="auto"/>
              </w:rPr>
            </w:pPr>
            <w:r>
              <w:rPr>
                <w:rFonts w:ascii="Arial" w:cs="Arial" w:eastAsia="Arial" w:hAnsi="Arial"/>
                <w:sz w:val="18"/>
                <w:szCs w:val="18"/>
                <w:b w:val="1"/>
                <w:bCs w:val="1"/>
                <w:color w:val="auto"/>
              </w:rPr>
              <w:t>$</w:t>
            </w:r>
          </w:p>
        </w:tc>
        <w:tc>
          <w:tcPr>
            <w:tcW w:w="780" w:type="dxa"/>
            <w:vAlign w:val="bottom"/>
            <w:vMerge w:val="restart"/>
          </w:tcPr>
          <w:p>
            <w:pPr>
              <w:jc w:val="right"/>
              <w:ind w:right="133"/>
              <w:spacing w:after="0"/>
              <w:rPr>
                <w:sz w:val="20"/>
                <w:szCs w:val="20"/>
                <w:color w:val="auto"/>
              </w:rPr>
            </w:pPr>
            <w:r>
              <w:rPr>
                <w:rFonts w:ascii="Arial" w:cs="Arial" w:eastAsia="Arial" w:hAnsi="Arial"/>
                <w:sz w:val="18"/>
                <w:szCs w:val="18"/>
                <w:b w:val="1"/>
                <w:bCs w:val="1"/>
                <w:color w:val="auto"/>
              </w:rPr>
              <w:t>0.70</w:t>
            </w:r>
          </w:p>
        </w:tc>
        <w:tc>
          <w:tcPr>
            <w:tcW w:w="26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6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81"/>
        </w:trPr>
        <w:tc>
          <w:tcPr>
            <w:tcW w:w="20" w:type="dxa"/>
            <w:vAlign w:val="bottom"/>
          </w:tcPr>
          <w:p>
            <w:pPr>
              <w:spacing w:after="0"/>
              <w:rPr>
                <w:sz w:val="15"/>
                <w:szCs w:val="15"/>
                <w:color w:val="auto"/>
              </w:rPr>
            </w:pPr>
          </w:p>
        </w:tc>
        <w:tc>
          <w:tcPr>
            <w:tcW w:w="5440" w:type="dxa"/>
            <w:vAlign w:val="bottom"/>
          </w:tcPr>
          <w:p>
            <w:pPr>
              <w:ind w:left="200"/>
              <w:spacing w:after="0" w:line="181" w:lineRule="exact"/>
              <w:rPr>
                <w:sz w:val="20"/>
                <w:szCs w:val="20"/>
                <w:color w:val="auto"/>
              </w:rPr>
            </w:pPr>
            <w:r>
              <w:rPr>
                <w:rFonts w:ascii="Arial" w:cs="Arial" w:eastAsia="Arial" w:hAnsi="Arial"/>
                <w:sz w:val="18"/>
                <w:szCs w:val="18"/>
                <w:color w:val="auto"/>
              </w:rPr>
              <w:t>Income from continuing operations</w:t>
            </w:r>
          </w:p>
        </w:tc>
        <w:tc>
          <w:tcPr>
            <w:tcW w:w="1840" w:type="dxa"/>
            <w:vAlign w:val="bottom"/>
          </w:tcPr>
          <w:p>
            <w:pPr>
              <w:spacing w:after="0"/>
              <w:rPr>
                <w:sz w:val="15"/>
                <w:szCs w:val="15"/>
                <w:color w:val="auto"/>
              </w:rPr>
            </w:pPr>
          </w:p>
        </w:tc>
        <w:tc>
          <w:tcPr>
            <w:tcW w:w="1420" w:type="dxa"/>
            <w:vAlign w:val="bottom"/>
            <w:vMerge w:val="continue"/>
          </w:tcPr>
          <w:p>
            <w:pPr>
              <w:spacing w:after="0"/>
              <w:rPr>
                <w:sz w:val="15"/>
                <w:szCs w:val="15"/>
                <w:color w:val="auto"/>
              </w:rPr>
            </w:pPr>
          </w:p>
        </w:tc>
        <w:tc>
          <w:tcPr>
            <w:tcW w:w="780" w:type="dxa"/>
            <w:vAlign w:val="bottom"/>
            <w:vMerge w:val="continue"/>
          </w:tcPr>
          <w:p>
            <w:pPr>
              <w:spacing w:after="0"/>
              <w:rPr>
                <w:sz w:val="15"/>
                <w:szCs w:val="15"/>
                <w:color w:val="auto"/>
              </w:rPr>
            </w:pPr>
          </w:p>
        </w:tc>
        <w:tc>
          <w:tcPr>
            <w:tcW w:w="260" w:type="dxa"/>
            <w:vAlign w:val="bottom"/>
          </w:tcPr>
          <w:p>
            <w:pPr>
              <w:jc w:val="right"/>
              <w:spacing w:after="0" w:line="181" w:lineRule="exact"/>
              <w:rPr>
                <w:sz w:val="20"/>
                <w:szCs w:val="20"/>
                <w:color w:val="auto"/>
              </w:rPr>
            </w:pPr>
            <w:r>
              <w:rPr>
                <w:rFonts w:ascii="Arial" w:cs="Arial" w:eastAsia="Arial" w:hAnsi="Arial"/>
                <w:sz w:val="18"/>
                <w:szCs w:val="18"/>
                <w:color w:val="auto"/>
              </w:rPr>
              <w:t>$</w:t>
            </w:r>
          </w:p>
        </w:tc>
        <w:tc>
          <w:tcPr>
            <w:tcW w:w="780" w:type="dxa"/>
            <w:vAlign w:val="bottom"/>
          </w:tcPr>
          <w:p>
            <w:pPr>
              <w:jc w:val="right"/>
              <w:ind w:right="133"/>
              <w:spacing w:after="0" w:line="181" w:lineRule="exact"/>
              <w:rPr>
                <w:sz w:val="20"/>
                <w:szCs w:val="20"/>
                <w:color w:val="auto"/>
              </w:rPr>
            </w:pPr>
            <w:r>
              <w:rPr>
                <w:rFonts w:ascii="Arial" w:cs="Arial" w:eastAsia="Arial" w:hAnsi="Arial"/>
                <w:sz w:val="18"/>
                <w:szCs w:val="18"/>
                <w:color w:val="auto"/>
              </w:rPr>
              <w:t>0.25</w:t>
            </w:r>
          </w:p>
        </w:tc>
        <w:tc>
          <w:tcPr>
            <w:tcW w:w="260" w:type="dxa"/>
            <w:vAlign w:val="bottom"/>
          </w:tcPr>
          <w:p>
            <w:pPr>
              <w:jc w:val="right"/>
              <w:spacing w:after="0" w:line="181" w:lineRule="exact"/>
              <w:rPr>
                <w:sz w:val="20"/>
                <w:szCs w:val="20"/>
                <w:color w:val="auto"/>
              </w:rPr>
            </w:pPr>
            <w:r>
              <w:rPr>
                <w:rFonts w:ascii="Arial" w:cs="Arial" w:eastAsia="Arial" w:hAnsi="Arial"/>
                <w:sz w:val="18"/>
                <w:szCs w:val="18"/>
                <w:color w:val="auto"/>
              </w:rPr>
              <w:t>$</w:t>
            </w:r>
          </w:p>
        </w:tc>
        <w:tc>
          <w:tcPr>
            <w:tcW w:w="620" w:type="dxa"/>
            <w:vAlign w:val="bottom"/>
          </w:tcPr>
          <w:p>
            <w:pPr>
              <w:jc w:val="right"/>
              <w:spacing w:after="0" w:line="181" w:lineRule="exact"/>
              <w:rPr>
                <w:sz w:val="20"/>
                <w:szCs w:val="20"/>
                <w:color w:val="auto"/>
              </w:rPr>
            </w:pPr>
            <w:r>
              <w:rPr>
                <w:rFonts w:ascii="Arial" w:cs="Arial" w:eastAsia="Arial" w:hAnsi="Arial"/>
                <w:sz w:val="18"/>
                <w:szCs w:val="18"/>
                <w:color w:val="auto"/>
              </w:rPr>
              <w:t>0.28</w:t>
            </w: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5440" w:type="dxa"/>
            <w:vAlign w:val="bottom"/>
          </w:tcPr>
          <w:p>
            <w:pPr>
              <w:ind w:left="200"/>
              <w:spacing w:after="0" w:line="202" w:lineRule="exact"/>
              <w:rPr>
                <w:sz w:val="20"/>
                <w:szCs w:val="20"/>
                <w:color w:val="auto"/>
              </w:rPr>
            </w:pPr>
            <w:r>
              <w:rPr>
                <w:rFonts w:ascii="Arial" w:cs="Arial" w:eastAsia="Arial" w:hAnsi="Arial"/>
                <w:sz w:val="18"/>
                <w:szCs w:val="18"/>
                <w:color w:val="auto"/>
              </w:rPr>
              <w:t>Income from discontinued operations</w:t>
            </w:r>
          </w:p>
        </w:tc>
        <w:tc>
          <w:tcPr>
            <w:tcW w:w="1840" w:type="dxa"/>
            <w:vAlign w:val="bottom"/>
          </w:tcPr>
          <w:p>
            <w:pPr>
              <w:spacing w:after="0"/>
              <w:rPr>
                <w:sz w:val="17"/>
                <w:szCs w:val="17"/>
                <w:color w:val="auto"/>
              </w:rPr>
            </w:pPr>
          </w:p>
        </w:tc>
        <w:tc>
          <w:tcPr>
            <w:tcW w:w="1420" w:type="dxa"/>
            <w:vAlign w:val="bottom"/>
          </w:tcPr>
          <w:p>
            <w:pPr>
              <w:spacing w:after="0"/>
              <w:rPr>
                <w:sz w:val="17"/>
                <w:szCs w:val="17"/>
                <w:color w:val="auto"/>
              </w:rPr>
            </w:pPr>
          </w:p>
        </w:tc>
        <w:tc>
          <w:tcPr>
            <w:tcW w:w="780" w:type="dxa"/>
            <w:vAlign w:val="bottom"/>
          </w:tcPr>
          <w:p>
            <w:pPr>
              <w:jc w:val="right"/>
              <w:ind w:right="133"/>
              <w:spacing w:after="0" w:line="202" w:lineRule="exact"/>
              <w:rPr>
                <w:sz w:val="20"/>
                <w:szCs w:val="20"/>
                <w:color w:val="auto"/>
              </w:rPr>
            </w:pPr>
            <w:r>
              <w:rPr>
                <w:rFonts w:ascii="Arial" w:cs="Arial" w:eastAsia="Arial" w:hAnsi="Arial"/>
                <w:sz w:val="18"/>
                <w:szCs w:val="18"/>
                <w:b w:val="1"/>
                <w:bCs w:val="1"/>
                <w:color w:val="auto"/>
              </w:rPr>
              <w:t>0.03</w:t>
            </w:r>
          </w:p>
        </w:tc>
        <w:tc>
          <w:tcPr>
            <w:tcW w:w="260" w:type="dxa"/>
            <w:vAlign w:val="bottom"/>
          </w:tcPr>
          <w:p>
            <w:pPr>
              <w:spacing w:after="0"/>
              <w:rPr>
                <w:sz w:val="17"/>
                <w:szCs w:val="17"/>
                <w:color w:val="auto"/>
              </w:rPr>
            </w:pPr>
          </w:p>
        </w:tc>
        <w:tc>
          <w:tcPr>
            <w:tcW w:w="780" w:type="dxa"/>
            <w:vAlign w:val="bottom"/>
          </w:tcPr>
          <w:p>
            <w:pPr>
              <w:jc w:val="right"/>
              <w:ind w:right="133"/>
              <w:spacing w:after="0" w:line="202" w:lineRule="exact"/>
              <w:rPr>
                <w:sz w:val="20"/>
                <w:szCs w:val="20"/>
                <w:color w:val="auto"/>
              </w:rPr>
            </w:pPr>
            <w:r>
              <w:rPr>
                <w:rFonts w:ascii="Arial" w:cs="Arial" w:eastAsia="Arial" w:hAnsi="Arial"/>
                <w:sz w:val="18"/>
                <w:szCs w:val="18"/>
                <w:color w:val="auto"/>
              </w:rPr>
              <w:t>0.03</w:t>
            </w:r>
          </w:p>
        </w:tc>
        <w:tc>
          <w:tcPr>
            <w:tcW w:w="260" w:type="dxa"/>
            <w:vAlign w:val="bottom"/>
          </w:tcPr>
          <w:p>
            <w:pPr>
              <w:spacing w:after="0"/>
              <w:rPr>
                <w:sz w:val="17"/>
                <w:szCs w:val="17"/>
                <w:color w:val="auto"/>
              </w:rPr>
            </w:pPr>
          </w:p>
        </w:tc>
        <w:tc>
          <w:tcPr>
            <w:tcW w:w="620" w:type="dxa"/>
            <w:vAlign w:val="bottom"/>
          </w:tcPr>
          <w:p>
            <w:pPr>
              <w:jc w:val="right"/>
              <w:spacing w:after="0" w:line="202" w:lineRule="exact"/>
              <w:rPr>
                <w:sz w:val="20"/>
                <w:szCs w:val="20"/>
                <w:color w:val="auto"/>
              </w:rPr>
            </w:pPr>
            <w:r>
              <w:rPr>
                <w:rFonts w:ascii="Arial" w:cs="Arial" w:eastAsia="Arial" w:hAnsi="Arial"/>
                <w:sz w:val="18"/>
                <w:szCs w:val="18"/>
                <w:color w:val="auto"/>
              </w:rPr>
              <w:t>0.01</w:t>
            </w:r>
          </w:p>
        </w:tc>
        <w:tc>
          <w:tcPr>
            <w:tcW w:w="0" w:type="dxa"/>
            <w:vAlign w:val="bottom"/>
          </w:tcPr>
          <w:p>
            <w:pPr>
              <w:spacing w:after="0"/>
              <w:rPr>
                <w:sz w:val="1"/>
                <w:szCs w:val="1"/>
                <w:color w:val="auto"/>
              </w:rPr>
            </w:pPr>
          </w:p>
        </w:tc>
      </w:tr>
      <w:tr>
        <w:trPr>
          <w:trHeight w:val="221"/>
        </w:trPr>
        <w:tc>
          <w:tcPr>
            <w:tcW w:w="20" w:type="dxa"/>
            <w:vAlign w:val="bottom"/>
          </w:tcPr>
          <w:p>
            <w:pPr>
              <w:spacing w:after="0"/>
              <w:rPr>
                <w:sz w:val="19"/>
                <w:szCs w:val="19"/>
                <w:color w:val="auto"/>
              </w:rPr>
            </w:pPr>
          </w:p>
        </w:tc>
        <w:tc>
          <w:tcPr>
            <w:tcW w:w="5440" w:type="dxa"/>
            <w:vAlign w:val="bottom"/>
            <w:tcBorders>
              <w:bottom w:val="single" w:sz="8" w:color="auto"/>
            </w:tcBorders>
          </w:tcPr>
          <w:p>
            <w:pPr>
              <w:ind w:left="200"/>
              <w:spacing w:after="0"/>
              <w:rPr>
                <w:sz w:val="20"/>
                <w:szCs w:val="20"/>
                <w:color w:val="auto"/>
              </w:rPr>
            </w:pPr>
            <w:r>
              <w:rPr>
                <w:rFonts w:ascii="Arial" w:cs="Arial" w:eastAsia="Arial" w:hAnsi="Arial"/>
                <w:sz w:val="18"/>
                <w:szCs w:val="18"/>
                <w:color w:val="auto"/>
              </w:rPr>
              <w:t>Gain on discontinued operations</w:t>
            </w:r>
          </w:p>
        </w:tc>
        <w:tc>
          <w:tcPr>
            <w:tcW w:w="1840" w:type="dxa"/>
            <w:vAlign w:val="bottom"/>
            <w:tcBorders>
              <w:bottom w:val="single" w:sz="8" w:color="auto"/>
            </w:tcBorders>
          </w:tcPr>
          <w:p>
            <w:pPr>
              <w:spacing w:after="0"/>
              <w:rPr>
                <w:sz w:val="19"/>
                <w:szCs w:val="19"/>
                <w:color w:val="auto"/>
              </w:rPr>
            </w:pPr>
          </w:p>
        </w:tc>
        <w:tc>
          <w:tcPr>
            <w:tcW w:w="1420" w:type="dxa"/>
            <w:vAlign w:val="bottom"/>
            <w:tcBorders>
              <w:bottom w:val="single" w:sz="8" w:color="auto"/>
            </w:tcBorders>
          </w:tcPr>
          <w:p>
            <w:pPr>
              <w:spacing w:after="0"/>
              <w:rPr>
                <w:sz w:val="19"/>
                <w:szCs w:val="19"/>
                <w:color w:val="auto"/>
              </w:rPr>
            </w:pPr>
          </w:p>
        </w:tc>
        <w:tc>
          <w:tcPr>
            <w:tcW w:w="780" w:type="dxa"/>
            <w:vAlign w:val="bottom"/>
            <w:tcBorders>
              <w:bottom w:val="single" w:sz="8" w:color="auto"/>
            </w:tcBorders>
          </w:tcPr>
          <w:p>
            <w:pPr>
              <w:jc w:val="right"/>
              <w:ind w:right="133"/>
              <w:spacing w:after="0"/>
              <w:rPr>
                <w:sz w:val="20"/>
                <w:szCs w:val="20"/>
                <w:color w:val="auto"/>
              </w:rPr>
            </w:pPr>
            <w:r>
              <w:rPr>
                <w:rFonts w:ascii="Arial" w:cs="Arial" w:eastAsia="Arial" w:hAnsi="Arial"/>
                <w:sz w:val="18"/>
                <w:szCs w:val="18"/>
                <w:b w:val="1"/>
                <w:bCs w:val="1"/>
                <w:color w:val="auto"/>
              </w:rPr>
              <w:t>0.06</w:t>
            </w:r>
          </w:p>
        </w:tc>
        <w:tc>
          <w:tcPr>
            <w:tcW w:w="260" w:type="dxa"/>
            <w:vAlign w:val="bottom"/>
            <w:tcBorders>
              <w:bottom w:val="single" w:sz="8" w:color="auto"/>
            </w:tcBorders>
          </w:tcPr>
          <w:p>
            <w:pPr>
              <w:spacing w:after="0"/>
              <w:rPr>
                <w:sz w:val="19"/>
                <w:szCs w:val="19"/>
                <w:color w:val="auto"/>
              </w:rPr>
            </w:pPr>
          </w:p>
        </w:tc>
        <w:tc>
          <w:tcPr>
            <w:tcW w:w="780" w:type="dxa"/>
            <w:vAlign w:val="bottom"/>
            <w:tcBorders>
              <w:bottom w:val="single" w:sz="8" w:color="auto"/>
            </w:tcBorders>
          </w:tcPr>
          <w:p>
            <w:pPr>
              <w:jc w:val="right"/>
              <w:ind w:right="233"/>
              <w:spacing w:after="0"/>
              <w:rPr>
                <w:sz w:val="20"/>
                <w:szCs w:val="20"/>
                <w:color w:val="auto"/>
              </w:rPr>
            </w:pPr>
            <w:r>
              <w:rPr>
                <w:rFonts w:ascii="Arial" w:cs="Arial" w:eastAsia="Arial" w:hAnsi="Arial"/>
                <w:sz w:val="18"/>
                <w:szCs w:val="18"/>
                <w:color w:val="auto"/>
              </w:rPr>
              <w:t>—</w:t>
            </w:r>
          </w:p>
        </w:tc>
        <w:tc>
          <w:tcPr>
            <w:tcW w:w="260" w:type="dxa"/>
            <w:vAlign w:val="bottom"/>
            <w:tcBorders>
              <w:bottom w:val="single" w:sz="8" w:color="auto"/>
            </w:tcBorders>
          </w:tcPr>
          <w:p>
            <w:pPr>
              <w:spacing w:after="0"/>
              <w:rPr>
                <w:sz w:val="19"/>
                <w:szCs w:val="19"/>
                <w:color w:val="auto"/>
              </w:rPr>
            </w:pPr>
          </w:p>
        </w:tc>
        <w:tc>
          <w:tcPr>
            <w:tcW w:w="620" w:type="dxa"/>
            <w:vAlign w:val="bottom"/>
            <w:tcBorders>
              <w:bottom w:val="single" w:sz="8" w:color="auto"/>
            </w:tcBorders>
          </w:tcPr>
          <w:p>
            <w:pPr>
              <w:jc w:val="right"/>
              <w:ind w:right="73"/>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5440" w:type="dxa"/>
            <w:vAlign w:val="bottom"/>
            <w:tcBorders>
              <w:bottom w:val="single" w:sz="8" w:color="35BF85"/>
            </w:tcBorders>
          </w:tcPr>
          <w:p>
            <w:pPr>
              <w:ind w:left="200"/>
              <w:spacing w:after="0" w:line="196" w:lineRule="exact"/>
              <w:rPr>
                <w:sz w:val="20"/>
                <w:szCs w:val="20"/>
                <w:color w:val="auto"/>
              </w:rPr>
            </w:pPr>
            <w:r>
              <w:rPr>
                <w:rFonts w:ascii="Arial" w:cs="Arial" w:eastAsia="Arial" w:hAnsi="Arial"/>
                <w:sz w:val="18"/>
                <w:szCs w:val="18"/>
                <w:color w:val="auto"/>
              </w:rPr>
              <w:t>Net income</w:t>
            </w:r>
          </w:p>
        </w:tc>
        <w:tc>
          <w:tcPr>
            <w:tcW w:w="1840" w:type="dxa"/>
            <w:vAlign w:val="bottom"/>
            <w:tcBorders>
              <w:bottom w:val="single" w:sz="8" w:color="35BF85"/>
            </w:tcBorders>
          </w:tcPr>
          <w:p>
            <w:pPr>
              <w:spacing w:after="0"/>
              <w:rPr>
                <w:sz w:val="17"/>
                <w:szCs w:val="17"/>
                <w:color w:val="auto"/>
              </w:rPr>
            </w:pPr>
          </w:p>
        </w:tc>
        <w:tc>
          <w:tcPr>
            <w:tcW w:w="1420" w:type="dxa"/>
            <w:vAlign w:val="bottom"/>
            <w:tcBorders>
              <w:bottom w:val="single" w:sz="8" w:color="35BF85"/>
            </w:tcBorders>
          </w:tcPr>
          <w:p>
            <w:pPr>
              <w:jc w:val="right"/>
              <w:spacing w:after="0" w:line="196" w:lineRule="exact"/>
              <w:rPr>
                <w:sz w:val="20"/>
                <w:szCs w:val="20"/>
                <w:color w:val="auto"/>
              </w:rPr>
            </w:pPr>
            <w:r>
              <w:rPr>
                <w:rFonts w:ascii="Arial" w:cs="Arial" w:eastAsia="Arial" w:hAnsi="Arial"/>
                <w:sz w:val="18"/>
                <w:szCs w:val="18"/>
                <w:b w:val="1"/>
                <w:bCs w:val="1"/>
                <w:color w:val="auto"/>
              </w:rPr>
              <w:t>$</w:t>
            </w:r>
          </w:p>
        </w:tc>
        <w:tc>
          <w:tcPr>
            <w:tcW w:w="780" w:type="dxa"/>
            <w:vAlign w:val="bottom"/>
            <w:tcBorders>
              <w:bottom w:val="single" w:sz="8" w:color="35BF85"/>
            </w:tcBorders>
          </w:tcPr>
          <w:p>
            <w:pPr>
              <w:jc w:val="right"/>
              <w:ind w:right="133"/>
              <w:spacing w:after="0" w:line="196" w:lineRule="exact"/>
              <w:rPr>
                <w:sz w:val="20"/>
                <w:szCs w:val="20"/>
                <w:color w:val="auto"/>
              </w:rPr>
            </w:pPr>
            <w:r>
              <w:rPr>
                <w:rFonts w:ascii="Arial" w:cs="Arial" w:eastAsia="Arial" w:hAnsi="Arial"/>
                <w:sz w:val="18"/>
                <w:szCs w:val="18"/>
                <w:b w:val="1"/>
                <w:bCs w:val="1"/>
                <w:color w:val="auto"/>
              </w:rPr>
              <w:t>0.79</w:t>
            </w:r>
          </w:p>
        </w:tc>
        <w:tc>
          <w:tcPr>
            <w:tcW w:w="260" w:type="dxa"/>
            <w:vAlign w:val="bottom"/>
            <w:tcBorders>
              <w:bottom w:val="single" w:sz="8" w:color="35BF85"/>
            </w:tcBorders>
          </w:tcPr>
          <w:p>
            <w:pPr>
              <w:jc w:val="right"/>
              <w:spacing w:after="0" w:line="196" w:lineRule="exact"/>
              <w:rPr>
                <w:sz w:val="20"/>
                <w:szCs w:val="20"/>
                <w:color w:val="auto"/>
              </w:rPr>
            </w:pPr>
            <w:r>
              <w:rPr>
                <w:rFonts w:ascii="Arial" w:cs="Arial" w:eastAsia="Arial" w:hAnsi="Arial"/>
                <w:sz w:val="18"/>
                <w:szCs w:val="18"/>
                <w:color w:val="auto"/>
              </w:rPr>
              <w:t>$</w:t>
            </w:r>
          </w:p>
        </w:tc>
        <w:tc>
          <w:tcPr>
            <w:tcW w:w="780" w:type="dxa"/>
            <w:vAlign w:val="bottom"/>
            <w:tcBorders>
              <w:bottom w:val="single" w:sz="8" w:color="35BF85"/>
            </w:tcBorders>
          </w:tcPr>
          <w:p>
            <w:pPr>
              <w:jc w:val="right"/>
              <w:ind w:right="133"/>
              <w:spacing w:after="0" w:line="196" w:lineRule="exact"/>
              <w:rPr>
                <w:sz w:val="20"/>
                <w:szCs w:val="20"/>
                <w:color w:val="auto"/>
              </w:rPr>
            </w:pPr>
            <w:r>
              <w:rPr>
                <w:rFonts w:ascii="Arial" w:cs="Arial" w:eastAsia="Arial" w:hAnsi="Arial"/>
                <w:sz w:val="18"/>
                <w:szCs w:val="18"/>
                <w:color w:val="auto"/>
              </w:rPr>
              <w:t>0.28</w:t>
            </w:r>
          </w:p>
        </w:tc>
        <w:tc>
          <w:tcPr>
            <w:tcW w:w="260" w:type="dxa"/>
            <w:vAlign w:val="bottom"/>
            <w:tcBorders>
              <w:bottom w:val="single" w:sz="8" w:color="35BF85"/>
            </w:tcBorders>
          </w:tcPr>
          <w:p>
            <w:pPr>
              <w:jc w:val="right"/>
              <w:spacing w:after="0" w:line="196" w:lineRule="exact"/>
              <w:rPr>
                <w:sz w:val="20"/>
                <w:szCs w:val="20"/>
                <w:color w:val="auto"/>
              </w:rPr>
            </w:pPr>
            <w:r>
              <w:rPr>
                <w:rFonts w:ascii="Arial" w:cs="Arial" w:eastAsia="Arial" w:hAnsi="Arial"/>
                <w:sz w:val="18"/>
                <w:szCs w:val="18"/>
                <w:color w:val="auto"/>
              </w:rPr>
              <w:t>$</w:t>
            </w:r>
          </w:p>
        </w:tc>
        <w:tc>
          <w:tcPr>
            <w:tcW w:w="620" w:type="dxa"/>
            <w:vAlign w:val="bottom"/>
            <w:tcBorders>
              <w:bottom w:val="single" w:sz="8" w:color="35BF85"/>
            </w:tcBorders>
          </w:tcPr>
          <w:p>
            <w:pPr>
              <w:jc w:val="right"/>
              <w:spacing w:after="0" w:line="196" w:lineRule="exact"/>
              <w:rPr>
                <w:sz w:val="20"/>
                <w:szCs w:val="20"/>
                <w:color w:val="auto"/>
              </w:rPr>
            </w:pPr>
            <w:r>
              <w:rPr>
                <w:rFonts w:ascii="Arial" w:cs="Arial" w:eastAsia="Arial" w:hAnsi="Arial"/>
                <w:sz w:val="18"/>
                <w:szCs w:val="18"/>
                <w:color w:val="auto"/>
              </w:rPr>
              <w:t>0.29</w:t>
            </w:r>
          </w:p>
        </w:tc>
        <w:tc>
          <w:tcPr>
            <w:tcW w:w="0" w:type="dxa"/>
            <w:vAlign w:val="bottom"/>
          </w:tcPr>
          <w:p>
            <w:pPr>
              <w:spacing w:after="0"/>
              <w:rPr>
                <w:sz w:val="1"/>
                <w:szCs w:val="1"/>
                <w:color w:val="auto"/>
              </w:rPr>
            </w:pPr>
          </w:p>
        </w:tc>
      </w:tr>
      <w:tr>
        <w:trPr>
          <w:trHeight w:val="209"/>
        </w:trPr>
        <w:tc>
          <w:tcPr>
            <w:tcW w:w="5460" w:type="dxa"/>
            <w:vAlign w:val="bottom"/>
            <w:gridSpan w:val="2"/>
          </w:tcPr>
          <w:p>
            <w:pPr>
              <w:spacing w:after="0"/>
              <w:rPr>
                <w:sz w:val="20"/>
                <w:szCs w:val="20"/>
                <w:color w:val="auto"/>
              </w:rPr>
            </w:pPr>
            <w:r>
              <w:rPr>
                <w:rFonts w:ascii="Arial" w:cs="Arial" w:eastAsia="Arial" w:hAnsi="Arial"/>
                <w:sz w:val="14"/>
                <w:szCs w:val="14"/>
                <w:color w:val="auto"/>
              </w:rPr>
              <w:t>See notes to consolidated financial statements.</w:t>
            </w:r>
          </w:p>
        </w:tc>
        <w:tc>
          <w:tcPr>
            <w:tcW w:w="1840" w:type="dxa"/>
            <w:vAlign w:val="bottom"/>
          </w:tcPr>
          <w:p>
            <w:pPr>
              <w:spacing w:after="0"/>
              <w:rPr>
                <w:sz w:val="18"/>
                <w:szCs w:val="18"/>
                <w:color w:val="auto"/>
              </w:rPr>
            </w:pPr>
          </w:p>
        </w:tc>
        <w:tc>
          <w:tcPr>
            <w:tcW w:w="142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97"/>
        </w:trPr>
        <w:tc>
          <w:tcPr>
            <w:tcW w:w="5460" w:type="dxa"/>
            <w:vAlign w:val="bottom"/>
            <w:gridSpan w:val="2"/>
          </w:tcPr>
          <w:p>
            <w:pPr>
              <w:spacing w:after="0"/>
              <w:rPr>
                <w:sz w:val="20"/>
                <w:szCs w:val="20"/>
                <w:color w:val="auto"/>
              </w:rPr>
            </w:pPr>
            <w:r>
              <w:rPr>
                <w:rFonts w:ascii="Arial" w:cs="Arial" w:eastAsia="Arial" w:hAnsi="Arial"/>
                <w:sz w:val="14"/>
                <w:szCs w:val="14"/>
                <w:color w:val="auto"/>
              </w:rPr>
              <w:t>Comcast 2006 Annual Report</w:t>
            </w:r>
          </w:p>
        </w:tc>
        <w:tc>
          <w:tcPr>
            <w:tcW w:w="1840" w:type="dxa"/>
            <w:vAlign w:val="bottom"/>
          </w:tcPr>
          <w:p>
            <w:pPr>
              <w:jc w:val="right"/>
              <w:ind w:right="1392"/>
              <w:spacing w:after="0"/>
              <w:rPr>
                <w:sz w:val="20"/>
                <w:szCs w:val="20"/>
                <w:color w:val="auto"/>
              </w:rPr>
            </w:pPr>
            <w:r>
              <w:rPr>
                <w:rFonts w:ascii="Arial" w:cs="Arial" w:eastAsia="Arial" w:hAnsi="Arial"/>
                <w:sz w:val="14"/>
                <w:szCs w:val="14"/>
                <w:b w:val="1"/>
                <w:bCs w:val="1"/>
                <w:color w:val="auto"/>
              </w:rPr>
              <w:t>40</w:t>
            </w:r>
          </w:p>
        </w:tc>
        <w:tc>
          <w:tcPr>
            <w:tcW w:w="142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420"/>
          </w:cols>
          <w:pgMar w:left="240" w:top="459" w:right="239" w:bottom="1440" w:gutter="0" w:footer="0" w:header="0"/>
        </w:sectPr>
      </w:pPr>
    </w:p>
    <w:bookmarkStart w:id="117" w:name="page118"/>
    <w:bookmarkEnd w:id="11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175" name="Picture 1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5"/>
                    <pic:cNvPicPr>
                      <a:picLocks noChangeAspect="1" noChangeArrowheads="1"/>
                    </pic:cNvPicPr>
                  </pic:nvPicPr>
                  <pic:blipFill>
                    <a:blip r:embed="rId182">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20" w:lineRule="exact"/>
        <w:rPr>
          <w:sz w:val="20"/>
          <w:szCs w:val="20"/>
          <w:color w:val="auto"/>
        </w:rPr>
      </w:pPr>
    </w:p>
    <w:p>
      <w:pPr>
        <w:spacing w:after="0"/>
        <w:rPr>
          <w:sz w:val="20"/>
          <w:szCs w:val="20"/>
          <w:color w:val="auto"/>
        </w:rPr>
      </w:pPr>
      <w:r>
        <w:rPr>
          <w:rFonts w:ascii="Arial" w:cs="Arial" w:eastAsia="Arial" w:hAnsi="Arial"/>
          <w:sz w:val="24"/>
          <w:szCs w:val="24"/>
          <w:color w:val="auto"/>
        </w:rPr>
        <w:t>Consolidated Statement of Cash Flows</w:t>
      </w:r>
    </w:p>
    <w:p>
      <w:pPr>
        <w:spacing w:after="0" w:line="143" w:lineRule="exact"/>
        <w:rPr>
          <w:sz w:val="20"/>
          <w:szCs w:val="20"/>
          <w:color w:val="auto"/>
        </w:rPr>
      </w:pPr>
    </w:p>
    <w:tbl>
      <w:tblPr>
        <w:tblLayout w:type="fixed"/>
        <w:tblInd w:w="0" w:type="dxa"/>
        <w:tblCellMar>
          <w:top w:w="0" w:type="dxa"/>
          <w:left w:w="0" w:type="dxa"/>
          <w:bottom w:w="0" w:type="dxa"/>
          <w:right w:w="0" w:type="dxa"/>
        </w:tblCellMar>
      </w:tblPr>
      <w:tr>
        <w:trPr>
          <w:trHeight w:val="165"/>
        </w:trPr>
        <w:tc>
          <w:tcPr>
            <w:tcW w:w="7940" w:type="dxa"/>
            <w:vAlign w:val="bottom"/>
            <w:tcBorders>
              <w:bottom w:val="single" w:sz="8" w:color="auto"/>
            </w:tcBorders>
            <w:gridSpan w:val="2"/>
          </w:tcPr>
          <w:p>
            <w:pPr>
              <w:spacing w:after="0"/>
              <w:rPr>
                <w:sz w:val="20"/>
                <w:szCs w:val="20"/>
                <w:color w:val="auto"/>
              </w:rPr>
            </w:pPr>
            <w:r>
              <w:rPr>
                <w:rFonts w:ascii="Arial" w:cs="Arial" w:eastAsia="Arial" w:hAnsi="Arial"/>
                <w:sz w:val="14"/>
                <w:szCs w:val="14"/>
                <w:color w:val="auto"/>
              </w:rPr>
              <w:t>Year Ended December 31 (in millions)</w:t>
            </w:r>
          </w:p>
        </w:tc>
        <w:tc>
          <w:tcPr>
            <w:tcW w:w="1500" w:type="dxa"/>
            <w:vAlign w:val="bottom"/>
            <w:tcBorders>
              <w:bottom w:val="single" w:sz="8" w:color="auto"/>
            </w:tcBorders>
          </w:tcPr>
          <w:p>
            <w:pPr>
              <w:jc w:val="right"/>
              <w:ind w:right="193"/>
              <w:spacing w:after="0"/>
              <w:rPr>
                <w:sz w:val="20"/>
                <w:szCs w:val="20"/>
                <w:color w:val="auto"/>
              </w:rPr>
            </w:pPr>
            <w:r>
              <w:rPr>
                <w:rFonts w:ascii="Arial" w:cs="Arial" w:eastAsia="Arial" w:hAnsi="Arial"/>
                <w:sz w:val="14"/>
                <w:szCs w:val="14"/>
                <w:b w:val="1"/>
                <w:bCs w:val="1"/>
                <w:color w:val="auto"/>
              </w:rPr>
              <w:t>2006</w:t>
            </w:r>
          </w:p>
        </w:tc>
        <w:tc>
          <w:tcPr>
            <w:tcW w:w="320" w:type="dxa"/>
            <w:vAlign w:val="bottom"/>
            <w:tcBorders>
              <w:bottom w:val="single" w:sz="8" w:color="auto"/>
            </w:tcBorders>
          </w:tcPr>
          <w:p>
            <w:pPr>
              <w:spacing w:after="0"/>
              <w:rPr>
                <w:sz w:val="14"/>
                <w:szCs w:val="14"/>
                <w:color w:val="auto"/>
              </w:rPr>
            </w:pPr>
          </w:p>
        </w:tc>
        <w:tc>
          <w:tcPr>
            <w:tcW w:w="780" w:type="dxa"/>
            <w:vAlign w:val="bottom"/>
            <w:tcBorders>
              <w:bottom w:val="single" w:sz="8" w:color="auto"/>
            </w:tcBorders>
          </w:tcPr>
          <w:p>
            <w:pPr>
              <w:jc w:val="right"/>
              <w:ind w:right="193"/>
              <w:spacing w:after="0"/>
              <w:rPr>
                <w:sz w:val="20"/>
                <w:szCs w:val="20"/>
                <w:color w:val="auto"/>
              </w:rPr>
            </w:pPr>
            <w:r>
              <w:rPr>
                <w:rFonts w:ascii="Arial" w:cs="Arial" w:eastAsia="Arial" w:hAnsi="Arial"/>
                <w:sz w:val="14"/>
                <w:szCs w:val="14"/>
                <w:color w:val="auto"/>
              </w:rPr>
              <w:t>2005</w:t>
            </w:r>
          </w:p>
        </w:tc>
        <w:tc>
          <w:tcPr>
            <w:tcW w:w="300" w:type="dxa"/>
            <w:vAlign w:val="bottom"/>
            <w:tcBorders>
              <w:bottom w:val="single" w:sz="8" w:color="auto"/>
            </w:tcBorders>
          </w:tcPr>
          <w:p>
            <w:pPr>
              <w:spacing w:after="0"/>
              <w:rPr>
                <w:sz w:val="14"/>
                <w:szCs w:val="14"/>
                <w:color w:val="auto"/>
              </w:rPr>
            </w:pPr>
          </w:p>
        </w:tc>
        <w:tc>
          <w:tcPr>
            <w:tcW w:w="58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2004</w:t>
            </w:r>
          </w:p>
        </w:tc>
        <w:tc>
          <w:tcPr>
            <w:tcW w:w="0" w:type="dxa"/>
            <w:vAlign w:val="bottom"/>
          </w:tcPr>
          <w:p>
            <w:pPr>
              <w:spacing w:after="0"/>
              <w:rPr>
                <w:sz w:val="1"/>
                <w:szCs w:val="1"/>
                <w:color w:val="auto"/>
              </w:rPr>
            </w:pPr>
          </w:p>
        </w:tc>
      </w:tr>
      <w:tr>
        <w:trPr>
          <w:trHeight w:val="199"/>
        </w:trPr>
        <w:tc>
          <w:tcPr>
            <w:tcW w:w="7940" w:type="dxa"/>
            <w:vAlign w:val="bottom"/>
            <w:gridSpan w:val="2"/>
          </w:tcPr>
          <w:p>
            <w:pPr>
              <w:spacing w:after="0" w:line="200" w:lineRule="exact"/>
              <w:rPr>
                <w:sz w:val="20"/>
                <w:szCs w:val="20"/>
                <w:color w:val="auto"/>
              </w:rPr>
            </w:pPr>
            <w:r>
              <w:rPr>
                <w:rFonts w:ascii="Arial" w:cs="Arial" w:eastAsia="Arial" w:hAnsi="Arial"/>
                <w:sz w:val="18"/>
                <w:szCs w:val="18"/>
                <w:b w:val="1"/>
                <w:bCs w:val="1"/>
                <w:color w:val="auto"/>
              </w:rPr>
              <w:t>Operating Activities</w:t>
            </w:r>
          </w:p>
        </w:tc>
        <w:tc>
          <w:tcPr>
            <w:tcW w:w="1500" w:type="dxa"/>
            <w:vAlign w:val="bottom"/>
            <w:vMerge w:val="restart"/>
          </w:tcPr>
          <w:p>
            <w:pPr>
              <w:jc w:val="right"/>
              <w:ind w:right="193"/>
              <w:spacing w:after="0"/>
              <w:rPr>
                <w:sz w:val="20"/>
                <w:szCs w:val="20"/>
                <w:color w:val="auto"/>
              </w:rPr>
            </w:pPr>
            <w:r>
              <w:rPr>
                <w:rFonts w:ascii="Arial" w:cs="Arial" w:eastAsia="Arial" w:hAnsi="Arial"/>
                <w:sz w:val="18"/>
                <w:szCs w:val="18"/>
                <w:b w:val="1"/>
                <w:bCs w:val="1"/>
                <w:color w:val="auto"/>
              </w:rPr>
              <w:t>$ 2,533</w:t>
            </w:r>
          </w:p>
        </w:tc>
        <w:tc>
          <w:tcPr>
            <w:tcW w:w="32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5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7920" w:type="dxa"/>
            <w:vAlign w:val="bottom"/>
          </w:tcPr>
          <w:p>
            <w:pPr>
              <w:ind w:left="200"/>
              <w:spacing w:after="0" w:line="202" w:lineRule="exact"/>
              <w:rPr>
                <w:sz w:val="20"/>
                <w:szCs w:val="20"/>
                <w:color w:val="auto"/>
              </w:rPr>
            </w:pPr>
            <w:r>
              <w:rPr>
                <w:rFonts w:ascii="Arial" w:cs="Arial" w:eastAsia="Arial" w:hAnsi="Arial"/>
                <w:sz w:val="18"/>
                <w:szCs w:val="18"/>
                <w:color w:val="auto"/>
              </w:rPr>
              <w:t>Net income</w:t>
            </w:r>
          </w:p>
        </w:tc>
        <w:tc>
          <w:tcPr>
            <w:tcW w:w="1500" w:type="dxa"/>
            <w:vAlign w:val="bottom"/>
            <w:vMerge w:val="continue"/>
          </w:tcPr>
          <w:p>
            <w:pPr>
              <w:spacing w:after="0"/>
              <w:rPr>
                <w:sz w:val="17"/>
                <w:szCs w:val="17"/>
                <w:color w:val="auto"/>
              </w:rPr>
            </w:pPr>
          </w:p>
        </w:tc>
        <w:tc>
          <w:tcPr>
            <w:tcW w:w="320" w:type="dxa"/>
            <w:vAlign w:val="bottom"/>
          </w:tcPr>
          <w:p>
            <w:pPr>
              <w:ind w:left="220"/>
              <w:spacing w:after="0" w:line="202" w:lineRule="exact"/>
              <w:rPr>
                <w:sz w:val="20"/>
                <w:szCs w:val="20"/>
                <w:color w:val="auto"/>
              </w:rPr>
            </w:pPr>
            <w:r>
              <w:rPr>
                <w:rFonts w:ascii="Arial" w:cs="Arial" w:eastAsia="Arial" w:hAnsi="Arial"/>
                <w:sz w:val="18"/>
                <w:szCs w:val="18"/>
                <w:color w:val="auto"/>
                <w:w w:val="79"/>
              </w:rPr>
              <w:t>$</w:t>
            </w:r>
          </w:p>
        </w:tc>
        <w:tc>
          <w:tcPr>
            <w:tcW w:w="780" w:type="dxa"/>
            <w:vAlign w:val="bottom"/>
          </w:tcPr>
          <w:p>
            <w:pPr>
              <w:jc w:val="right"/>
              <w:ind w:right="193"/>
              <w:spacing w:after="0" w:line="202" w:lineRule="exact"/>
              <w:rPr>
                <w:sz w:val="20"/>
                <w:szCs w:val="20"/>
                <w:color w:val="auto"/>
              </w:rPr>
            </w:pPr>
            <w:r>
              <w:rPr>
                <w:rFonts w:ascii="Arial" w:cs="Arial" w:eastAsia="Arial" w:hAnsi="Arial"/>
                <w:sz w:val="18"/>
                <w:szCs w:val="18"/>
                <w:color w:val="auto"/>
              </w:rPr>
              <w:t>928</w:t>
            </w:r>
          </w:p>
        </w:tc>
        <w:tc>
          <w:tcPr>
            <w:tcW w:w="300" w:type="dxa"/>
            <w:vAlign w:val="bottom"/>
          </w:tcPr>
          <w:p>
            <w:pPr>
              <w:jc w:val="right"/>
              <w:spacing w:after="0" w:line="202" w:lineRule="exact"/>
              <w:rPr>
                <w:sz w:val="20"/>
                <w:szCs w:val="20"/>
                <w:color w:val="auto"/>
              </w:rPr>
            </w:pPr>
            <w:r>
              <w:rPr>
                <w:rFonts w:ascii="Arial" w:cs="Arial" w:eastAsia="Arial" w:hAnsi="Arial"/>
                <w:sz w:val="18"/>
                <w:szCs w:val="18"/>
                <w:color w:val="auto"/>
              </w:rPr>
              <w:t>$</w:t>
            </w:r>
          </w:p>
        </w:tc>
        <w:tc>
          <w:tcPr>
            <w:tcW w:w="580" w:type="dxa"/>
            <w:vAlign w:val="bottom"/>
          </w:tcPr>
          <w:p>
            <w:pPr>
              <w:jc w:val="right"/>
              <w:spacing w:after="0" w:line="202" w:lineRule="exact"/>
              <w:rPr>
                <w:sz w:val="20"/>
                <w:szCs w:val="20"/>
                <w:color w:val="auto"/>
              </w:rPr>
            </w:pPr>
            <w:r>
              <w:rPr>
                <w:rFonts w:ascii="Arial" w:cs="Arial" w:eastAsia="Arial" w:hAnsi="Arial"/>
                <w:sz w:val="18"/>
                <w:szCs w:val="18"/>
                <w:color w:val="auto"/>
              </w:rPr>
              <w:t>970</w:t>
            </w: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7920" w:type="dxa"/>
            <w:vAlign w:val="bottom"/>
          </w:tcPr>
          <w:p>
            <w:pPr>
              <w:ind w:left="200"/>
              <w:spacing w:after="0" w:line="202" w:lineRule="exact"/>
              <w:rPr>
                <w:sz w:val="20"/>
                <w:szCs w:val="20"/>
                <w:color w:val="auto"/>
              </w:rPr>
            </w:pPr>
            <w:r>
              <w:rPr>
                <w:rFonts w:ascii="Arial" w:cs="Arial" w:eastAsia="Arial" w:hAnsi="Arial"/>
                <w:sz w:val="18"/>
                <w:szCs w:val="18"/>
                <w:color w:val="auto"/>
              </w:rPr>
              <w:t>Adjustments to reconcile net income to net cash provided by operating activities:</w:t>
            </w:r>
          </w:p>
        </w:tc>
        <w:tc>
          <w:tcPr>
            <w:tcW w:w="1500" w:type="dxa"/>
            <w:vAlign w:val="bottom"/>
            <w:vMerge w:val="restart"/>
          </w:tcPr>
          <w:p>
            <w:pPr>
              <w:jc w:val="right"/>
              <w:ind w:right="193"/>
              <w:spacing w:after="0"/>
              <w:rPr>
                <w:sz w:val="20"/>
                <w:szCs w:val="20"/>
                <w:color w:val="auto"/>
              </w:rPr>
            </w:pPr>
            <w:r>
              <w:rPr>
                <w:rFonts w:ascii="Arial" w:cs="Arial" w:eastAsia="Arial" w:hAnsi="Arial"/>
                <w:sz w:val="18"/>
                <w:szCs w:val="18"/>
                <w:b w:val="1"/>
                <w:bCs w:val="1"/>
                <w:color w:val="auto"/>
              </w:rPr>
              <w:t>3,828</w:t>
            </w:r>
          </w:p>
        </w:tc>
        <w:tc>
          <w:tcPr>
            <w:tcW w:w="32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5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81"/>
        </w:trPr>
        <w:tc>
          <w:tcPr>
            <w:tcW w:w="20" w:type="dxa"/>
            <w:vAlign w:val="bottom"/>
          </w:tcPr>
          <w:p>
            <w:pPr>
              <w:spacing w:after="0"/>
              <w:rPr>
                <w:sz w:val="15"/>
                <w:szCs w:val="15"/>
                <w:color w:val="auto"/>
              </w:rPr>
            </w:pPr>
          </w:p>
        </w:tc>
        <w:tc>
          <w:tcPr>
            <w:tcW w:w="7920" w:type="dxa"/>
            <w:vAlign w:val="bottom"/>
          </w:tcPr>
          <w:p>
            <w:pPr>
              <w:ind w:left="420"/>
              <w:spacing w:after="0" w:line="181" w:lineRule="exact"/>
              <w:rPr>
                <w:sz w:val="20"/>
                <w:szCs w:val="20"/>
                <w:color w:val="auto"/>
              </w:rPr>
            </w:pPr>
            <w:r>
              <w:rPr>
                <w:rFonts w:ascii="Arial" w:cs="Arial" w:eastAsia="Arial" w:hAnsi="Arial"/>
                <w:sz w:val="18"/>
                <w:szCs w:val="18"/>
                <w:color w:val="auto"/>
              </w:rPr>
              <w:t>Depreciation</w:t>
            </w:r>
          </w:p>
        </w:tc>
        <w:tc>
          <w:tcPr>
            <w:tcW w:w="1500" w:type="dxa"/>
            <w:vAlign w:val="bottom"/>
            <w:vMerge w:val="continue"/>
          </w:tcPr>
          <w:p>
            <w:pPr>
              <w:spacing w:after="0"/>
              <w:rPr>
                <w:sz w:val="15"/>
                <w:szCs w:val="15"/>
                <w:color w:val="auto"/>
              </w:rPr>
            </w:pPr>
          </w:p>
        </w:tc>
        <w:tc>
          <w:tcPr>
            <w:tcW w:w="320" w:type="dxa"/>
            <w:vAlign w:val="bottom"/>
          </w:tcPr>
          <w:p>
            <w:pPr>
              <w:spacing w:after="0"/>
              <w:rPr>
                <w:sz w:val="15"/>
                <w:szCs w:val="15"/>
                <w:color w:val="auto"/>
              </w:rPr>
            </w:pPr>
          </w:p>
        </w:tc>
        <w:tc>
          <w:tcPr>
            <w:tcW w:w="780" w:type="dxa"/>
            <w:vAlign w:val="bottom"/>
          </w:tcPr>
          <w:p>
            <w:pPr>
              <w:jc w:val="right"/>
              <w:ind w:right="193"/>
              <w:spacing w:after="0" w:line="181" w:lineRule="exact"/>
              <w:rPr>
                <w:sz w:val="20"/>
                <w:szCs w:val="20"/>
                <w:color w:val="auto"/>
              </w:rPr>
            </w:pPr>
            <w:r>
              <w:rPr>
                <w:rFonts w:ascii="Arial" w:cs="Arial" w:eastAsia="Arial" w:hAnsi="Arial"/>
                <w:sz w:val="18"/>
                <w:szCs w:val="18"/>
                <w:color w:val="auto"/>
              </w:rPr>
              <w:t>3,413</w:t>
            </w:r>
          </w:p>
        </w:tc>
        <w:tc>
          <w:tcPr>
            <w:tcW w:w="300" w:type="dxa"/>
            <w:vAlign w:val="bottom"/>
          </w:tcPr>
          <w:p>
            <w:pPr>
              <w:spacing w:after="0"/>
              <w:rPr>
                <w:sz w:val="15"/>
                <w:szCs w:val="15"/>
                <w:color w:val="auto"/>
              </w:rPr>
            </w:pPr>
          </w:p>
        </w:tc>
        <w:tc>
          <w:tcPr>
            <w:tcW w:w="580" w:type="dxa"/>
            <w:vAlign w:val="bottom"/>
          </w:tcPr>
          <w:p>
            <w:pPr>
              <w:jc w:val="right"/>
              <w:spacing w:after="0" w:line="181" w:lineRule="exact"/>
              <w:rPr>
                <w:sz w:val="20"/>
                <w:szCs w:val="20"/>
                <w:color w:val="auto"/>
              </w:rPr>
            </w:pPr>
            <w:r>
              <w:rPr>
                <w:rFonts w:ascii="Arial" w:cs="Arial" w:eastAsia="Arial" w:hAnsi="Arial"/>
                <w:sz w:val="18"/>
                <w:szCs w:val="18"/>
                <w:color w:val="auto"/>
              </w:rPr>
              <w:t>3,197</w:t>
            </w: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7920" w:type="dxa"/>
            <w:vAlign w:val="bottom"/>
          </w:tcPr>
          <w:p>
            <w:pPr>
              <w:ind w:left="420"/>
              <w:spacing w:after="0" w:line="202" w:lineRule="exact"/>
              <w:rPr>
                <w:sz w:val="20"/>
                <w:szCs w:val="20"/>
                <w:color w:val="auto"/>
              </w:rPr>
            </w:pPr>
            <w:r>
              <w:rPr>
                <w:rFonts w:ascii="Arial" w:cs="Arial" w:eastAsia="Arial" w:hAnsi="Arial"/>
                <w:sz w:val="18"/>
                <w:szCs w:val="18"/>
                <w:color w:val="auto"/>
              </w:rPr>
              <w:t>Amortization</w:t>
            </w:r>
          </w:p>
        </w:tc>
        <w:tc>
          <w:tcPr>
            <w:tcW w:w="1500" w:type="dxa"/>
            <w:vAlign w:val="bottom"/>
          </w:tcPr>
          <w:p>
            <w:pPr>
              <w:jc w:val="right"/>
              <w:ind w:right="193"/>
              <w:spacing w:after="0" w:line="202" w:lineRule="exact"/>
              <w:rPr>
                <w:sz w:val="20"/>
                <w:szCs w:val="20"/>
                <w:color w:val="auto"/>
              </w:rPr>
            </w:pPr>
            <w:r>
              <w:rPr>
                <w:rFonts w:ascii="Arial" w:cs="Arial" w:eastAsia="Arial" w:hAnsi="Arial"/>
                <w:sz w:val="18"/>
                <w:szCs w:val="18"/>
                <w:b w:val="1"/>
                <w:bCs w:val="1"/>
                <w:color w:val="auto"/>
              </w:rPr>
              <w:t>995</w:t>
            </w:r>
          </w:p>
        </w:tc>
        <w:tc>
          <w:tcPr>
            <w:tcW w:w="320" w:type="dxa"/>
            <w:vAlign w:val="bottom"/>
          </w:tcPr>
          <w:p>
            <w:pPr>
              <w:spacing w:after="0"/>
              <w:rPr>
                <w:sz w:val="17"/>
                <w:szCs w:val="17"/>
                <w:color w:val="auto"/>
              </w:rPr>
            </w:pPr>
          </w:p>
        </w:tc>
        <w:tc>
          <w:tcPr>
            <w:tcW w:w="780" w:type="dxa"/>
            <w:vAlign w:val="bottom"/>
          </w:tcPr>
          <w:p>
            <w:pPr>
              <w:jc w:val="right"/>
              <w:ind w:right="193"/>
              <w:spacing w:after="0" w:line="202" w:lineRule="exact"/>
              <w:rPr>
                <w:sz w:val="20"/>
                <w:szCs w:val="20"/>
                <w:color w:val="auto"/>
              </w:rPr>
            </w:pPr>
            <w:r>
              <w:rPr>
                <w:rFonts w:ascii="Arial" w:cs="Arial" w:eastAsia="Arial" w:hAnsi="Arial"/>
                <w:sz w:val="18"/>
                <w:szCs w:val="18"/>
                <w:color w:val="auto"/>
              </w:rPr>
              <w:t>1,138</w:t>
            </w:r>
          </w:p>
        </w:tc>
        <w:tc>
          <w:tcPr>
            <w:tcW w:w="300" w:type="dxa"/>
            <w:vAlign w:val="bottom"/>
          </w:tcPr>
          <w:p>
            <w:pPr>
              <w:spacing w:after="0"/>
              <w:rPr>
                <w:sz w:val="17"/>
                <w:szCs w:val="17"/>
                <w:color w:val="auto"/>
              </w:rPr>
            </w:pPr>
          </w:p>
        </w:tc>
        <w:tc>
          <w:tcPr>
            <w:tcW w:w="580" w:type="dxa"/>
            <w:vAlign w:val="bottom"/>
          </w:tcPr>
          <w:p>
            <w:pPr>
              <w:jc w:val="right"/>
              <w:spacing w:after="0" w:line="202" w:lineRule="exact"/>
              <w:rPr>
                <w:sz w:val="20"/>
                <w:szCs w:val="20"/>
                <w:color w:val="auto"/>
              </w:rPr>
            </w:pPr>
            <w:r>
              <w:rPr>
                <w:rFonts w:ascii="Arial" w:cs="Arial" w:eastAsia="Arial" w:hAnsi="Arial"/>
                <w:sz w:val="18"/>
                <w:szCs w:val="18"/>
                <w:color w:val="auto"/>
              </w:rPr>
              <w:t>1,154</w:t>
            </w: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7920" w:type="dxa"/>
            <w:vAlign w:val="bottom"/>
          </w:tcPr>
          <w:p>
            <w:pPr>
              <w:ind w:left="420"/>
              <w:spacing w:after="0" w:line="202" w:lineRule="exact"/>
              <w:rPr>
                <w:sz w:val="20"/>
                <w:szCs w:val="20"/>
                <w:color w:val="auto"/>
              </w:rPr>
            </w:pPr>
            <w:r>
              <w:rPr>
                <w:rFonts w:ascii="Arial" w:cs="Arial" w:eastAsia="Arial" w:hAnsi="Arial"/>
                <w:sz w:val="18"/>
                <w:szCs w:val="18"/>
                <w:color w:val="auto"/>
              </w:rPr>
              <w:t>Depreciation and amortization of discontinued operations</w:t>
            </w:r>
          </w:p>
        </w:tc>
        <w:tc>
          <w:tcPr>
            <w:tcW w:w="1500" w:type="dxa"/>
            <w:vAlign w:val="bottom"/>
          </w:tcPr>
          <w:p>
            <w:pPr>
              <w:jc w:val="right"/>
              <w:ind w:right="193"/>
              <w:spacing w:after="0" w:line="202" w:lineRule="exact"/>
              <w:rPr>
                <w:sz w:val="20"/>
                <w:szCs w:val="20"/>
                <w:color w:val="auto"/>
              </w:rPr>
            </w:pPr>
            <w:r>
              <w:rPr>
                <w:rFonts w:ascii="Arial" w:cs="Arial" w:eastAsia="Arial" w:hAnsi="Arial"/>
                <w:sz w:val="18"/>
                <w:szCs w:val="18"/>
                <w:b w:val="1"/>
                <w:bCs w:val="1"/>
                <w:color w:val="auto"/>
              </w:rPr>
              <w:t>139</w:t>
            </w:r>
          </w:p>
        </w:tc>
        <w:tc>
          <w:tcPr>
            <w:tcW w:w="320" w:type="dxa"/>
            <w:vAlign w:val="bottom"/>
          </w:tcPr>
          <w:p>
            <w:pPr>
              <w:spacing w:after="0"/>
              <w:rPr>
                <w:sz w:val="17"/>
                <w:szCs w:val="17"/>
                <w:color w:val="auto"/>
              </w:rPr>
            </w:pPr>
          </w:p>
        </w:tc>
        <w:tc>
          <w:tcPr>
            <w:tcW w:w="780" w:type="dxa"/>
            <w:vAlign w:val="bottom"/>
          </w:tcPr>
          <w:p>
            <w:pPr>
              <w:jc w:val="right"/>
              <w:ind w:right="193"/>
              <w:spacing w:after="0" w:line="202" w:lineRule="exact"/>
              <w:rPr>
                <w:sz w:val="20"/>
                <w:szCs w:val="20"/>
                <w:color w:val="auto"/>
              </w:rPr>
            </w:pPr>
            <w:r>
              <w:rPr>
                <w:rFonts w:ascii="Arial" w:cs="Arial" w:eastAsia="Arial" w:hAnsi="Arial"/>
                <w:sz w:val="18"/>
                <w:szCs w:val="18"/>
                <w:color w:val="auto"/>
              </w:rPr>
              <w:t>253</w:t>
            </w:r>
          </w:p>
        </w:tc>
        <w:tc>
          <w:tcPr>
            <w:tcW w:w="300" w:type="dxa"/>
            <w:vAlign w:val="bottom"/>
          </w:tcPr>
          <w:p>
            <w:pPr>
              <w:spacing w:after="0"/>
              <w:rPr>
                <w:sz w:val="17"/>
                <w:szCs w:val="17"/>
                <w:color w:val="auto"/>
              </w:rPr>
            </w:pPr>
          </w:p>
        </w:tc>
        <w:tc>
          <w:tcPr>
            <w:tcW w:w="580" w:type="dxa"/>
            <w:vAlign w:val="bottom"/>
          </w:tcPr>
          <w:p>
            <w:pPr>
              <w:jc w:val="right"/>
              <w:spacing w:after="0" w:line="202" w:lineRule="exact"/>
              <w:rPr>
                <w:sz w:val="20"/>
                <w:szCs w:val="20"/>
                <w:color w:val="auto"/>
              </w:rPr>
            </w:pPr>
            <w:r>
              <w:rPr>
                <w:rFonts w:ascii="Arial" w:cs="Arial" w:eastAsia="Arial" w:hAnsi="Arial"/>
                <w:sz w:val="18"/>
                <w:szCs w:val="18"/>
                <w:color w:val="auto"/>
              </w:rPr>
              <w:t>272</w:t>
            </w: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7920" w:type="dxa"/>
            <w:vAlign w:val="bottom"/>
          </w:tcPr>
          <w:p>
            <w:pPr>
              <w:ind w:left="420"/>
              <w:spacing w:after="0" w:line="202" w:lineRule="exact"/>
              <w:rPr>
                <w:sz w:val="20"/>
                <w:szCs w:val="20"/>
                <w:color w:val="auto"/>
              </w:rPr>
            </w:pPr>
            <w:r>
              <w:rPr>
                <w:rFonts w:ascii="Arial" w:cs="Arial" w:eastAsia="Arial" w:hAnsi="Arial"/>
                <w:sz w:val="18"/>
                <w:szCs w:val="18"/>
                <w:color w:val="auto"/>
              </w:rPr>
              <w:t>Share-based compensation expenses</w:t>
            </w:r>
          </w:p>
        </w:tc>
        <w:tc>
          <w:tcPr>
            <w:tcW w:w="1500" w:type="dxa"/>
            <w:vAlign w:val="bottom"/>
          </w:tcPr>
          <w:p>
            <w:pPr>
              <w:jc w:val="right"/>
              <w:ind w:right="193"/>
              <w:spacing w:after="0" w:line="202" w:lineRule="exact"/>
              <w:rPr>
                <w:sz w:val="20"/>
                <w:szCs w:val="20"/>
                <w:color w:val="auto"/>
              </w:rPr>
            </w:pPr>
            <w:r>
              <w:rPr>
                <w:rFonts w:ascii="Arial" w:cs="Arial" w:eastAsia="Arial" w:hAnsi="Arial"/>
                <w:sz w:val="18"/>
                <w:szCs w:val="18"/>
                <w:b w:val="1"/>
                <w:bCs w:val="1"/>
                <w:color w:val="auto"/>
              </w:rPr>
              <w:t>190</w:t>
            </w:r>
          </w:p>
        </w:tc>
        <w:tc>
          <w:tcPr>
            <w:tcW w:w="320" w:type="dxa"/>
            <w:vAlign w:val="bottom"/>
          </w:tcPr>
          <w:p>
            <w:pPr>
              <w:spacing w:after="0"/>
              <w:rPr>
                <w:sz w:val="17"/>
                <w:szCs w:val="17"/>
                <w:color w:val="auto"/>
              </w:rPr>
            </w:pPr>
          </w:p>
        </w:tc>
        <w:tc>
          <w:tcPr>
            <w:tcW w:w="780" w:type="dxa"/>
            <w:vAlign w:val="bottom"/>
          </w:tcPr>
          <w:p>
            <w:pPr>
              <w:jc w:val="right"/>
              <w:ind w:right="193"/>
              <w:spacing w:after="0" w:line="202" w:lineRule="exact"/>
              <w:rPr>
                <w:sz w:val="20"/>
                <w:szCs w:val="20"/>
                <w:color w:val="auto"/>
              </w:rPr>
            </w:pPr>
            <w:r>
              <w:rPr>
                <w:rFonts w:ascii="Arial" w:cs="Arial" w:eastAsia="Arial" w:hAnsi="Arial"/>
                <w:sz w:val="18"/>
                <w:szCs w:val="18"/>
                <w:color w:val="auto"/>
              </w:rPr>
              <w:t>56</w:t>
            </w:r>
          </w:p>
        </w:tc>
        <w:tc>
          <w:tcPr>
            <w:tcW w:w="300" w:type="dxa"/>
            <w:vAlign w:val="bottom"/>
          </w:tcPr>
          <w:p>
            <w:pPr>
              <w:spacing w:after="0"/>
              <w:rPr>
                <w:sz w:val="17"/>
                <w:szCs w:val="17"/>
                <w:color w:val="auto"/>
              </w:rPr>
            </w:pPr>
          </w:p>
        </w:tc>
        <w:tc>
          <w:tcPr>
            <w:tcW w:w="580" w:type="dxa"/>
            <w:vAlign w:val="bottom"/>
          </w:tcPr>
          <w:p>
            <w:pPr>
              <w:jc w:val="right"/>
              <w:spacing w:after="0" w:line="202" w:lineRule="exact"/>
              <w:rPr>
                <w:sz w:val="20"/>
                <w:szCs w:val="20"/>
                <w:color w:val="auto"/>
              </w:rPr>
            </w:pPr>
            <w:r>
              <w:rPr>
                <w:rFonts w:ascii="Arial" w:cs="Arial" w:eastAsia="Arial" w:hAnsi="Arial"/>
                <w:sz w:val="18"/>
                <w:szCs w:val="18"/>
                <w:color w:val="auto"/>
              </w:rPr>
              <w:t>33</w:t>
            </w: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7920" w:type="dxa"/>
            <w:vAlign w:val="bottom"/>
          </w:tcPr>
          <w:p>
            <w:pPr>
              <w:ind w:left="420"/>
              <w:spacing w:after="0" w:line="202" w:lineRule="exact"/>
              <w:rPr>
                <w:sz w:val="20"/>
                <w:szCs w:val="20"/>
                <w:color w:val="auto"/>
              </w:rPr>
            </w:pPr>
            <w:r>
              <w:rPr>
                <w:rFonts w:ascii="Arial" w:cs="Arial" w:eastAsia="Arial" w:hAnsi="Arial"/>
                <w:sz w:val="18"/>
                <w:szCs w:val="18"/>
                <w:color w:val="auto"/>
              </w:rPr>
              <w:t>Noncash interest expense, net</w:t>
            </w:r>
          </w:p>
        </w:tc>
        <w:tc>
          <w:tcPr>
            <w:tcW w:w="1500" w:type="dxa"/>
            <w:vAlign w:val="bottom"/>
          </w:tcPr>
          <w:p>
            <w:pPr>
              <w:jc w:val="right"/>
              <w:ind w:right="193"/>
              <w:spacing w:after="0" w:line="202" w:lineRule="exact"/>
              <w:rPr>
                <w:sz w:val="20"/>
                <w:szCs w:val="20"/>
                <w:color w:val="auto"/>
              </w:rPr>
            </w:pPr>
            <w:r>
              <w:rPr>
                <w:rFonts w:ascii="Arial" w:cs="Arial" w:eastAsia="Arial" w:hAnsi="Arial"/>
                <w:sz w:val="18"/>
                <w:szCs w:val="18"/>
                <w:b w:val="1"/>
                <w:bCs w:val="1"/>
                <w:color w:val="auto"/>
              </w:rPr>
              <w:t>99</w:t>
            </w:r>
          </w:p>
        </w:tc>
        <w:tc>
          <w:tcPr>
            <w:tcW w:w="320" w:type="dxa"/>
            <w:vAlign w:val="bottom"/>
          </w:tcPr>
          <w:p>
            <w:pPr>
              <w:spacing w:after="0"/>
              <w:rPr>
                <w:sz w:val="17"/>
                <w:szCs w:val="17"/>
                <w:color w:val="auto"/>
              </w:rPr>
            </w:pPr>
          </w:p>
        </w:tc>
        <w:tc>
          <w:tcPr>
            <w:tcW w:w="780" w:type="dxa"/>
            <w:vAlign w:val="bottom"/>
          </w:tcPr>
          <w:p>
            <w:pPr>
              <w:jc w:val="right"/>
              <w:ind w:right="193"/>
              <w:spacing w:after="0" w:line="202" w:lineRule="exact"/>
              <w:rPr>
                <w:sz w:val="20"/>
                <w:szCs w:val="20"/>
                <w:color w:val="auto"/>
              </w:rPr>
            </w:pPr>
            <w:r>
              <w:rPr>
                <w:rFonts w:ascii="Arial" w:cs="Arial" w:eastAsia="Arial" w:hAnsi="Arial"/>
                <w:sz w:val="18"/>
                <w:szCs w:val="18"/>
                <w:color w:val="auto"/>
              </w:rPr>
              <w:t>8</w:t>
            </w:r>
          </w:p>
        </w:tc>
        <w:tc>
          <w:tcPr>
            <w:tcW w:w="300" w:type="dxa"/>
            <w:vAlign w:val="bottom"/>
          </w:tcPr>
          <w:p>
            <w:pPr>
              <w:spacing w:after="0"/>
              <w:rPr>
                <w:sz w:val="17"/>
                <w:szCs w:val="17"/>
                <w:color w:val="auto"/>
              </w:rPr>
            </w:pPr>
          </w:p>
        </w:tc>
        <w:tc>
          <w:tcPr>
            <w:tcW w:w="580" w:type="dxa"/>
            <w:vAlign w:val="bottom"/>
          </w:tcPr>
          <w:p>
            <w:pPr>
              <w:jc w:val="right"/>
              <w:spacing w:after="0" w:line="202" w:lineRule="exact"/>
              <w:rPr>
                <w:sz w:val="20"/>
                <w:szCs w:val="20"/>
                <w:color w:val="auto"/>
              </w:rPr>
            </w:pPr>
            <w:r>
              <w:rPr>
                <w:rFonts w:ascii="Arial" w:cs="Arial" w:eastAsia="Arial" w:hAnsi="Arial"/>
                <w:sz w:val="18"/>
                <w:szCs w:val="18"/>
                <w:color w:val="auto"/>
              </w:rPr>
              <w:t>33</w:t>
            </w: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7920" w:type="dxa"/>
            <w:vAlign w:val="bottom"/>
          </w:tcPr>
          <w:p>
            <w:pPr>
              <w:ind w:left="420"/>
              <w:spacing w:after="0" w:line="202" w:lineRule="exact"/>
              <w:rPr>
                <w:sz w:val="20"/>
                <w:szCs w:val="20"/>
                <w:color w:val="auto"/>
              </w:rPr>
            </w:pPr>
            <w:r>
              <w:rPr>
                <w:rFonts w:ascii="Arial" w:cs="Arial" w:eastAsia="Arial" w:hAnsi="Arial"/>
                <w:sz w:val="18"/>
                <w:szCs w:val="18"/>
                <w:color w:val="auto"/>
              </w:rPr>
              <w:t>Equity in net losses (income) of affiliates, net</w:t>
            </w:r>
          </w:p>
        </w:tc>
        <w:tc>
          <w:tcPr>
            <w:tcW w:w="1500" w:type="dxa"/>
            <w:vAlign w:val="bottom"/>
          </w:tcPr>
          <w:p>
            <w:pPr>
              <w:jc w:val="right"/>
              <w:ind w:right="193"/>
              <w:spacing w:after="0" w:line="202" w:lineRule="exact"/>
              <w:rPr>
                <w:sz w:val="20"/>
                <w:szCs w:val="20"/>
                <w:color w:val="auto"/>
              </w:rPr>
            </w:pPr>
            <w:r>
              <w:rPr>
                <w:rFonts w:ascii="Arial" w:cs="Arial" w:eastAsia="Arial" w:hAnsi="Arial"/>
                <w:sz w:val="18"/>
                <w:szCs w:val="18"/>
                <w:b w:val="1"/>
                <w:bCs w:val="1"/>
                <w:color w:val="auto"/>
              </w:rPr>
              <w:t>124</w:t>
            </w:r>
          </w:p>
        </w:tc>
        <w:tc>
          <w:tcPr>
            <w:tcW w:w="320" w:type="dxa"/>
            <w:vAlign w:val="bottom"/>
          </w:tcPr>
          <w:p>
            <w:pPr>
              <w:spacing w:after="0"/>
              <w:rPr>
                <w:sz w:val="17"/>
                <w:szCs w:val="17"/>
                <w:color w:val="auto"/>
              </w:rPr>
            </w:pPr>
          </w:p>
        </w:tc>
        <w:tc>
          <w:tcPr>
            <w:tcW w:w="780" w:type="dxa"/>
            <w:vAlign w:val="bottom"/>
          </w:tcPr>
          <w:p>
            <w:pPr>
              <w:jc w:val="right"/>
              <w:ind w:right="193"/>
              <w:spacing w:after="0" w:line="202" w:lineRule="exact"/>
              <w:rPr>
                <w:sz w:val="20"/>
                <w:szCs w:val="20"/>
                <w:color w:val="auto"/>
              </w:rPr>
            </w:pPr>
            <w:r>
              <w:rPr>
                <w:rFonts w:ascii="Arial" w:cs="Arial" w:eastAsia="Arial" w:hAnsi="Arial"/>
                <w:sz w:val="18"/>
                <w:szCs w:val="18"/>
                <w:color w:val="auto"/>
              </w:rPr>
              <w:t>42</w:t>
            </w:r>
          </w:p>
        </w:tc>
        <w:tc>
          <w:tcPr>
            <w:tcW w:w="300" w:type="dxa"/>
            <w:vAlign w:val="bottom"/>
          </w:tcPr>
          <w:p>
            <w:pPr>
              <w:spacing w:after="0"/>
              <w:rPr>
                <w:sz w:val="17"/>
                <w:szCs w:val="17"/>
                <w:color w:val="auto"/>
              </w:rPr>
            </w:pPr>
          </w:p>
        </w:tc>
        <w:tc>
          <w:tcPr>
            <w:tcW w:w="580" w:type="dxa"/>
            <w:vAlign w:val="bottom"/>
          </w:tcPr>
          <w:p>
            <w:pPr>
              <w:jc w:val="right"/>
              <w:spacing w:after="0" w:line="202" w:lineRule="exact"/>
              <w:rPr>
                <w:sz w:val="20"/>
                <w:szCs w:val="20"/>
                <w:color w:val="auto"/>
              </w:rPr>
            </w:pPr>
            <w:r>
              <w:rPr>
                <w:rFonts w:ascii="Arial" w:cs="Arial" w:eastAsia="Arial" w:hAnsi="Arial"/>
                <w:sz w:val="18"/>
                <w:szCs w:val="18"/>
                <w:color w:val="auto"/>
              </w:rPr>
              <w:t>81</w:t>
            </w: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7920" w:type="dxa"/>
            <w:vAlign w:val="bottom"/>
          </w:tcPr>
          <w:p>
            <w:pPr>
              <w:ind w:left="420"/>
              <w:spacing w:after="0" w:line="202" w:lineRule="exact"/>
              <w:rPr>
                <w:sz w:val="20"/>
                <w:szCs w:val="20"/>
                <w:color w:val="auto"/>
              </w:rPr>
            </w:pPr>
            <w:r>
              <w:rPr>
                <w:rFonts w:ascii="Arial" w:cs="Arial" w:eastAsia="Arial" w:hAnsi="Arial"/>
                <w:sz w:val="18"/>
                <w:szCs w:val="18"/>
                <w:color w:val="auto"/>
              </w:rPr>
              <w:t>(Gains) losses on investments and noncash other (income) expense, net</w:t>
            </w:r>
          </w:p>
        </w:tc>
        <w:tc>
          <w:tcPr>
            <w:tcW w:w="1500" w:type="dxa"/>
            <w:vAlign w:val="bottom"/>
          </w:tcPr>
          <w:p>
            <w:pPr>
              <w:jc w:val="right"/>
              <w:ind w:right="133"/>
              <w:spacing w:after="0" w:line="202" w:lineRule="exact"/>
              <w:rPr>
                <w:sz w:val="20"/>
                <w:szCs w:val="20"/>
                <w:color w:val="auto"/>
              </w:rPr>
            </w:pPr>
            <w:r>
              <w:rPr>
                <w:rFonts w:ascii="Arial" w:cs="Arial" w:eastAsia="Arial" w:hAnsi="Arial"/>
                <w:sz w:val="18"/>
                <w:szCs w:val="18"/>
                <w:b w:val="1"/>
                <w:bCs w:val="1"/>
                <w:color w:val="auto"/>
              </w:rPr>
              <w:t>(979)</w:t>
            </w:r>
          </w:p>
        </w:tc>
        <w:tc>
          <w:tcPr>
            <w:tcW w:w="320" w:type="dxa"/>
            <w:vAlign w:val="bottom"/>
          </w:tcPr>
          <w:p>
            <w:pPr>
              <w:spacing w:after="0"/>
              <w:rPr>
                <w:sz w:val="17"/>
                <w:szCs w:val="17"/>
                <w:color w:val="auto"/>
              </w:rPr>
            </w:pPr>
          </w:p>
        </w:tc>
        <w:tc>
          <w:tcPr>
            <w:tcW w:w="780" w:type="dxa"/>
            <w:vAlign w:val="bottom"/>
          </w:tcPr>
          <w:p>
            <w:pPr>
              <w:jc w:val="right"/>
              <w:ind w:right="133"/>
              <w:spacing w:after="0" w:line="202" w:lineRule="exact"/>
              <w:rPr>
                <w:sz w:val="20"/>
                <w:szCs w:val="20"/>
                <w:color w:val="auto"/>
              </w:rPr>
            </w:pPr>
            <w:r>
              <w:rPr>
                <w:rFonts w:ascii="Arial" w:cs="Arial" w:eastAsia="Arial" w:hAnsi="Arial"/>
                <w:sz w:val="18"/>
                <w:szCs w:val="18"/>
                <w:color w:val="auto"/>
              </w:rPr>
              <w:t>(54)</w:t>
            </w:r>
          </w:p>
        </w:tc>
        <w:tc>
          <w:tcPr>
            <w:tcW w:w="300" w:type="dxa"/>
            <w:vAlign w:val="bottom"/>
          </w:tcPr>
          <w:p>
            <w:pPr>
              <w:spacing w:after="0"/>
              <w:rPr>
                <w:sz w:val="17"/>
                <w:szCs w:val="17"/>
                <w:color w:val="auto"/>
              </w:rPr>
            </w:pPr>
          </w:p>
        </w:tc>
        <w:tc>
          <w:tcPr>
            <w:tcW w:w="580" w:type="dxa"/>
            <w:vAlign w:val="bottom"/>
          </w:tcPr>
          <w:p>
            <w:pPr>
              <w:jc w:val="right"/>
              <w:spacing w:after="0" w:line="202" w:lineRule="exact"/>
              <w:rPr>
                <w:sz w:val="20"/>
                <w:szCs w:val="20"/>
                <w:color w:val="auto"/>
              </w:rPr>
            </w:pPr>
            <w:r>
              <w:rPr>
                <w:rFonts w:ascii="Arial" w:cs="Arial" w:eastAsia="Arial" w:hAnsi="Arial"/>
                <w:sz w:val="18"/>
                <w:szCs w:val="18"/>
                <w:color w:val="auto"/>
              </w:rPr>
              <w:t>(703)</w:t>
            </w: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7920" w:type="dxa"/>
            <w:vAlign w:val="bottom"/>
          </w:tcPr>
          <w:p>
            <w:pPr>
              <w:ind w:left="420"/>
              <w:spacing w:after="0" w:line="202" w:lineRule="exact"/>
              <w:rPr>
                <w:sz w:val="20"/>
                <w:szCs w:val="20"/>
                <w:color w:val="auto"/>
              </w:rPr>
            </w:pPr>
            <w:r>
              <w:rPr>
                <w:rFonts w:ascii="Arial" w:cs="Arial" w:eastAsia="Arial" w:hAnsi="Arial"/>
                <w:sz w:val="18"/>
                <w:szCs w:val="18"/>
                <w:color w:val="auto"/>
              </w:rPr>
              <w:t>Gain on discontinued operations</w:t>
            </w:r>
          </w:p>
        </w:tc>
        <w:tc>
          <w:tcPr>
            <w:tcW w:w="1500" w:type="dxa"/>
            <w:vAlign w:val="bottom"/>
          </w:tcPr>
          <w:p>
            <w:pPr>
              <w:jc w:val="right"/>
              <w:ind w:right="133"/>
              <w:spacing w:after="0" w:line="202" w:lineRule="exact"/>
              <w:rPr>
                <w:sz w:val="20"/>
                <w:szCs w:val="20"/>
                <w:color w:val="auto"/>
              </w:rPr>
            </w:pPr>
            <w:r>
              <w:rPr>
                <w:rFonts w:ascii="Arial" w:cs="Arial" w:eastAsia="Arial" w:hAnsi="Arial"/>
                <w:sz w:val="18"/>
                <w:szCs w:val="18"/>
                <w:b w:val="1"/>
                <w:bCs w:val="1"/>
                <w:color w:val="auto"/>
              </w:rPr>
              <w:t>(736)</w:t>
            </w:r>
          </w:p>
        </w:tc>
        <w:tc>
          <w:tcPr>
            <w:tcW w:w="320" w:type="dxa"/>
            <w:vAlign w:val="bottom"/>
          </w:tcPr>
          <w:p>
            <w:pPr>
              <w:spacing w:after="0"/>
              <w:rPr>
                <w:sz w:val="17"/>
                <w:szCs w:val="17"/>
                <w:color w:val="auto"/>
              </w:rPr>
            </w:pPr>
          </w:p>
        </w:tc>
        <w:tc>
          <w:tcPr>
            <w:tcW w:w="780" w:type="dxa"/>
            <w:vAlign w:val="bottom"/>
          </w:tcPr>
          <w:p>
            <w:pPr>
              <w:jc w:val="right"/>
              <w:ind w:right="193"/>
              <w:spacing w:after="0" w:line="202" w:lineRule="exact"/>
              <w:rPr>
                <w:sz w:val="20"/>
                <w:szCs w:val="20"/>
                <w:color w:val="auto"/>
              </w:rPr>
            </w:pPr>
            <w:r>
              <w:rPr>
                <w:rFonts w:ascii="Arial" w:cs="Arial" w:eastAsia="Arial" w:hAnsi="Arial"/>
                <w:sz w:val="18"/>
                <w:szCs w:val="18"/>
                <w:color w:val="auto"/>
              </w:rPr>
              <w:t>—</w:t>
            </w:r>
          </w:p>
        </w:tc>
        <w:tc>
          <w:tcPr>
            <w:tcW w:w="300" w:type="dxa"/>
            <w:vAlign w:val="bottom"/>
          </w:tcPr>
          <w:p>
            <w:pPr>
              <w:spacing w:after="0"/>
              <w:rPr>
                <w:sz w:val="17"/>
                <w:szCs w:val="17"/>
                <w:color w:val="auto"/>
              </w:rPr>
            </w:pPr>
          </w:p>
        </w:tc>
        <w:tc>
          <w:tcPr>
            <w:tcW w:w="580" w:type="dxa"/>
            <w:vAlign w:val="bottom"/>
          </w:tcPr>
          <w:p>
            <w:pPr>
              <w:jc w:val="right"/>
              <w:spacing w:after="0" w:line="202" w:lineRule="exact"/>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7920" w:type="dxa"/>
            <w:vAlign w:val="bottom"/>
          </w:tcPr>
          <w:p>
            <w:pPr>
              <w:ind w:left="420"/>
              <w:spacing w:after="0" w:line="202" w:lineRule="exact"/>
              <w:rPr>
                <w:sz w:val="20"/>
                <w:szCs w:val="20"/>
                <w:color w:val="auto"/>
              </w:rPr>
            </w:pPr>
            <w:r>
              <w:rPr>
                <w:rFonts w:ascii="Arial" w:cs="Arial" w:eastAsia="Arial" w:hAnsi="Arial"/>
                <w:sz w:val="18"/>
                <w:szCs w:val="18"/>
                <w:color w:val="auto"/>
              </w:rPr>
              <w:t>Noncash contribution expense</w:t>
            </w:r>
          </w:p>
        </w:tc>
        <w:tc>
          <w:tcPr>
            <w:tcW w:w="1500" w:type="dxa"/>
            <w:vAlign w:val="bottom"/>
          </w:tcPr>
          <w:p>
            <w:pPr>
              <w:jc w:val="right"/>
              <w:ind w:right="193"/>
              <w:spacing w:after="0" w:line="202" w:lineRule="exact"/>
              <w:rPr>
                <w:sz w:val="20"/>
                <w:szCs w:val="20"/>
                <w:color w:val="auto"/>
              </w:rPr>
            </w:pPr>
            <w:r>
              <w:rPr>
                <w:rFonts w:ascii="Arial" w:cs="Arial" w:eastAsia="Arial" w:hAnsi="Arial"/>
                <w:sz w:val="18"/>
                <w:szCs w:val="18"/>
                <w:b w:val="1"/>
                <w:bCs w:val="1"/>
                <w:color w:val="auto"/>
              </w:rPr>
              <w:t>33</w:t>
            </w:r>
          </w:p>
        </w:tc>
        <w:tc>
          <w:tcPr>
            <w:tcW w:w="320" w:type="dxa"/>
            <w:vAlign w:val="bottom"/>
          </w:tcPr>
          <w:p>
            <w:pPr>
              <w:spacing w:after="0"/>
              <w:rPr>
                <w:sz w:val="17"/>
                <w:szCs w:val="17"/>
                <w:color w:val="auto"/>
              </w:rPr>
            </w:pPr>
          </w:p>
        </w:tc>
        <w:tc>
          <w:tcPr>
            <w:tcW w:w="780" w:type="dxa"/>
            <w:vAlign w:val="bottom"/>
          </w:tcPr>
          <w:p>
            <w:pPr>
              <w:jc w:val="right"/>
              <w:ind w:right="193"/>
              <w:spacing w:after="0" w:line="202" w:lineRule="exact"/>
              <w:rPr>
                <w:sz w:val="20"/>
                <w:szCs w:val="20"/>
                <w:color w:val="auto"/>
              </w:rPr>
            </w:pPr>
            <w:r>
              <w:rPr>
                <w:rFonts w:ascii="Arial" w:cs="Arial" w:eastAsia="Arial" w:hAnsi="Arial"/>
                <w:sz w:val="18"/>
                <w:szCs w:val="18"/>
                <w:color w:val="auto"/>
              </w:rPr>
              <w:t>10</w:t>
            </w:r>
          </w:p>
        </w:tc>
        <w:tc>
          <w:tcPr>
            <w:tcW w:w="300" w:type="dxa"/>
            <w:vAlign w:val="bottom"/>
          </w:tcPr>
          <w:p>
            <w:pPr>
              <w:spacing w:after="0"/>
              <w:rPr>
                <w:sz w:val="17"/>
                <w:szCs w:val="17"/>
                <w:color w:val="auto"/>
              </w:rPr>
            </w:pPr>
          </w:p>
        </w:tc>
        <w:tc>
          <w:tcPr>
            <w:tcW w:w="580" w:type="dxa"/>
            <w:vAlign w:val="bottom"/>
          </w:tcPr>
          <w:p>
            <w:pPr>
              <w:jc w:val="right"/>
              <w:spacing w:after="0" w:line="202" w:lineRule="exact"/>
              <w:rPr>
                <w:sz w:val="20"/>
                <w:szCs w:val="20"/>
                <w:color w:val="auto"/>
              </w:rPr>
            </w:pPr>
            <w:r>
              <w:rPr>
                <w:rFonts w:ascii="Arial" w:cs="Arial" w:eastAsia="Arial" w:hAnsi="Arial"/>
                <w:sz w:val="18"/>
                <w:szCs w:val="18"/>
                <w:color w:val="auto"/>
              </w:rPr>
              <w:t>25</w:t>
            </w: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7920" w:type="dxa"/>
            <w:vAlign w:val="bottom"/>
          </w:tcPr>
          <w:p>
            <w:pPr>
              <w:ind w:left="420"/>
              <w:spacing w:after="0" w:line="202" w:lineRule="exact"/>
              <w:rPr>
                <w:sz w:val="20"/>
                <w:szCs w:val="20"/>
                <w:color w:val="auto"/>
              </w:rPr>
            </w:pPr>
            <w:r>
              <w:rPr>
                <w:rFonts w:ascii="Arial" w:cs="Arial" w:eastAsia="Arial" w:hAnsi="Arial"/>
                <w:sz w:val="18"/>
                <w:szCs w:val="18"/>
                <w:color w:val="auto"/>
              </w:rPr>
              <w:t>Minority interest</w:t>
            </w:r>
          </w:p>
        </w:tc>
        <w:tc>
          <w:tcPr>
            <w:tcW w:w="1500" w:type="dxa"/>
            <w:vAlign w:val="bottom"/>
          </w:tcPr>
          <w:p>
            <w:pPr>
              <w:jc w:val="right"/>
              <w:ind w:right="193"/>
              <w:spacing w:after="0" w:line="202" w:lineRule="exact"/>
              <w:rPr>
                <w:sz w:val="20"/>
                <w:szCs w:val="20"/>
                <w:color w:val="auto"/>
              </w:rPr>
            </w:pPr>
            <w:r>
              <w:rPr>
                <w:rFonts w:ascii="Arial" w:cs="Arial" w:eastAsia="Arial" w:hAnsi="Arial"/>
                <w:sz w:val="18"/>
                <w:szCs w:val="18"/>
                <w:b w:val="1"/>
                <w:bCs w:val="1"/>
                <w:color w:val="auto"/>
              </w:rPr>
              <w:t>12</w:t>
            </w:r>
          </w:p>
        </w:tc>
        <w:tc>
          <w:tcPr>
            <w:tcW w:w="320" w:type="dxa"/>
            <w:vAlign w:val="bottom"/>
          </w:tcPr>
          <w:p>
            <w:pPr>
              <w:spacing w:after="0"/>
              <w:rPr>
                <w:sz w:val="17"/>
                <w:szCs w:val="17"/>
                <w:color w:val="auto"/>
              </w:rPr>
            </w:pPr>
          </w:p>
        </w:tc>
        <w:tc>
          <w:tcPr>
            <w:tcW w:w="780" w:type="dxa"/>
            <w:vAlign w:val="bottom"/>
          </w:tcPr>
          <w:p>
            <w:pPr>
              <w:jc w:val="right"/>
              <w:ind w:right="193"/>
              <w:spacing w:after="0" w:line="202" w:lineRule="exact"/>
              <w:rPr>
                <w:sz w:val="20"/>
                <w:szCs w:val="20"/>
                <w:color w:val="auto"/>
              </w:rPr>
            </w:pPr>
            <w:r>
              <w:rPr>
                <w:rFonts w:ascii="Arial" w:cs="Arial" w:eastAsia="Arial" w:hAnsi="Arial"/>
                <w:sz w:val="18"/>
                <w:szCs w:val="18"/>
                <w:color w:val="auto"/>
              </w:rPr>
              <w:t>19</w:t>
            </w:r>
          </w:p>
        </w:tc>
        <w:tc>
          <w:tcPr>
            <w:tcW w:w="300" w:type="dxa"/>
            <w:vAlign w:val="bottom"/>
          </w:tcPr>
          <w:p>
            <w:pPr>
              <w:spacing w:after="0"/>
              <w:rPr>
                <w:sz w:val="17"/>
                <w:szCs w:val="17"/>
                <w:color w:val="auto"/>
              </w:rPr>
            </w:pPr>
          </w:p>
        </w:tc>
        <w:tc>
          <w:tcPr>
            <w:tcW w:w="580" w:type="dxa"/>
            <w:vAlign w:val="bottom"/>
          </w:tcPr>
          <w:p>
            <w:pPr>
              <w:jc w:val="right"/>
              <w:spacing w:after="0" w:line="202" w:lineRule="exact"/>
              <w:rPr>
                <w:sz w:val="20"/>
                <w:szCs w:val="20"/>
                <w:color w:val="auto"/>
              </w:rPr>
            </w:pPr>
            <w:r>
              <w:rPr>
                <w:rFonts w:ascii="Arial" w:cs="Arial" w:eastAsia="Arial" w:hAnsi="Arial"/>
                <w:sz w:val="18"/>
                <w:szCs w:val="18"/>
                <w:color w:val="auto"/>
              </w:rPr>
              <w:t>14</w:t>
            </w: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7920" w:type="dxa"/>
            <w:vAlign w:val="bottom"/>
          </w:tcPr>
          <w:p>
            <w:pPr>
              <w:ind w:left="420"/>
              <w:spacing w:after="0" w:line="202" w:lineRule="exact"/>
              <w:rPr>
                <w:sz w:val="20"/>
                <w:szCs w:val="20"/>
                <w:color w:val="auto"/>
              </w:rPr>
            </w:pPr>
            <w:r>
              <w:rPr>
                <w:rFonts w:ascii="Arial" w:cs="Arial" w:eastAsia="Arial" w:hAnsi="Arial"/>
                <w:sz w:val="18"/>
                <w:szCs w:val="18"/>
                <w:color w:val="auto"/>
              </w:rPr>
              <w:t>Deferred income taxes</w:t>
            </w:r>
          </w:p>
        </w:tc>
        <w:tc>
          <w:tcPr>
            <w:tcW w:w="1500" w:type="dxa"/>
            <w:vAlign w:val="bottom"/>
          </w:tcPr>
          <w:p>
            <w:pPr>
              <w:jc w:val="right"/>
              <w:ind w:right="193"/>
              <w:spacing w:after="0" w:line="202" w:lineRule="exact"/>
              <w:rPr>
                <w:sz w:val="20"/>
                <w:szCs w:val="20"/>
                <w:color w:val="auto"/>
              </w:rPr>
            </w:pPr>
            <w:r>
              <w:rPr>
                <w:rFonts w:ascii="Arial" w:cs="Arial" w:eastAsia="Arial" w:hAnsi="Arial"/>
                <w:sz w:val="18"/>
                <w:szCs w:val="18"/>
                <w:b w:val="1"/>
                <w:bCs w:val="1"/>
                <w:color w:val="auto"/>
              </w:rPr>
              <w:t>674</w:t>
            </w:r>
          </w:p>
        </w:tc>
        <w:tc>
          <w:tcPr>
            <w:tcW w:w="320" w:type="dxa"/>
            <w:vAlign w:val="bottom"/>
          </w:tcPr>
          <w:p>
            <w:pPr>
              <w:spacing w:after="0"/>
              <w:rPr>
                <w:sz w:val="17"/>
                <w:szCs w:val="17"/>
                <w:color w:val="auto"/>
              </w:rPr>
            </w:pPr>
          </w:p>
        </w:tc>
        <w:tc>
          <w:tcPr>
            <w:tcW w:w="780" w:type="dxa"/>
            <w:vAlign w:val="bottom"/>
          </w:tcPr>
          <w:p>
            <w:pPr>
              <w:jc w:val="right"/>
              <w:ind w:right="193"/>
              <w:spacing w:after="0" w:line="202" w:lineRule="exact"/>
              <w:rPr>
                <w:sz w:val="20"/>
                <w:szCs w:val="20"/>
                <w:color w:val="auto"/>
              </w:rPr>
            </w:pPr>
            <w:r>
              <w:rPr>
                <w:rFonts w:ascii="Arial" w:cs="Arial" w:eastAsia="Arial" w:hAnsi="Arial"/>
                <w:sz w:val="18"/>
                <w:szCs w:val="18"/>
                <w:color w:val="auto"/>
              </w:rPr>
              <w:t>183</w:t>
            </w:r>
          </w:p>
        </w:tc>
        <w:tc>
          <w:tcPr>
            <w:tcW w:w="300" w:type="dxa"/>
            <w:vAlign w:val="bottom"/>
          </w:tcPr>
          <w:p>
            <w:pPr>
              <w:spacing w:after="0"/>
              <w:rPr>
                <w:sz w:val="17"/>
                <w:szCs w:val="17"/>
                <w:color w:val="auto"/>
              </w:rPr>
            </w:pPr>
          </w:p>
        </w:tc>
        <w:tc>
          <w:tcPr>
            <w:tcW w:w="580" w:type="dxa"/>
            <w:vAlign w:val="bottom"/>
          </w:tcPr>
          <w:p>
            <w:pPr>
              <w:jc w:val="right"/>
              <w:spacing w:after="0" w:line="202" w:lineRule="exact"/>
              <w:rPr>
                <w:sz w:val="20"/>
                <w:szCs w:val="20"/>
                <w:color w:val="auto"/>
              </w:rPr>
            </w:pPr>
            <w:r>
              <w:rPr>
                <w:rFonts w:ascii="Arial" w:cs="Arial" w:eastAsia="Arial" w:hAnsi="Arial"/>
                <w:sz w:val="18"/>
                <w:szCs w:val="18"/>
                <w:color w:val="auto"/>
              </w:rPr>
              <w:t>531</w:t>
            </w:r>
          </w:p>
        </w:tc>
        <w:tc>
          <w:tcPr>
            <w:tcW w:w="0" w:type="dxa"/>
            <w:vAlign w:val="bottom"/>
          </w:tcPr>
          <w:p>
            <w:pPr>
              <w:spacing w:after="0"/>
              <w:rPr>
                <w:sz w:val="1"/>
                <w:szCs w:val="1"/>
                <w:color w:val="auto"/>
              </w:rPr>
            </w:pPr>
          </w:p>
        </w:tc>
      </w:tr>
      <w:tr>
        <w:trPr>
          <w:trHeight w:val="225"/>
        </w:trPr>
        <w:tc>
          <w:tcPr>
            <w:tcW w:w="20" w:type="dxa"/>
            <w:vAlign w:val="bottom"/>
          </w:tcPr>
          <w:p>
            <w:pPr>
              <w:spacing w:after="0"/>
              <w:rPr>
                <w:sz w:val="19"/>
                <w:szCs w:val="19"/>
                <w:color w:val="auto"/>
              </w:rPr>
            </w:pPr>
          </w:p>
        </w:tc>
        <w:tc>
          <w:tcPr>
            <w:tcW w:w="7920" w:type="dxa"/>
            <w:vAlign w:val="bottom"/>
          </w:tcPr>
          <w:p>
            <w:pPr>
              <w:ind w:left="420"/>
              <w:spacing w:after="0"/>
              <w:rPr>
                <w:sz w:val="20"/>
                <w:szCs w:val="20"/>
                <w:color w:val="auto"/>
              </w:rPr>
            </w:pPr>
            <w:r>
              <w:rPr>
                <w:rFonts w:ascii="Arial" w:cs="Arial" w:eastAsia="Arial" w:hAnsi="Arial"/>
                <w:sz w:val="18"/>
                <w:szCs w:val="18"/>
                <w:color w:val="auto"/>
              </w:rPr>
              <w:t>Proceeds from sales of trading securities</w:t>
            </w:r>
          </w:p>
        </w:tc>
        <w:tc>
          <w:tcPr>
            <w:tcW w:w="1500" w:type="dxa"/>
            <w:vAlign w:val="bottom"/>
          </w:tcPr>
          <w:p>
            <w:pPr>
              <w:jc w:val="right"/>
              <w:ind w:right="193"/>
              <w:spacing w:after="0"/>
              <w:rPr>
                <w:sz w:val="20"/>
                <w:szCs w:val="20"/>
                <w:color w:val="auto"/>
              </w:rPr>
            </w:pPr>
            <w:r>
              <w:rPr>
                <w:rFonts w:ascii="Arial" w:cs="Arial" w:eastAsia="Arial" w:hAnsi="Arial"/>
                <w:sz w:val="18"/>
                <w:szCs w:val="18"/>
                <w:b w:val="1"/>
                <w:bCs w:val="1"/>
                <w:color w:val="auto"/>
              </w:rPr>
              <w:t>—</w:t>
            </w:r>
          </w:p>
        </w:tc>
        <w:tc>
          <w:tcPr>
            <w:tcW w:w="320" w:type="dxa"/>
            <w:vAlign w:val="bottom"/>
          </w:tcPr>
          <w:p>
            <w:pPr>
              <w:spacing w:after="0"/>
              <w:rPr>
                <w:sz w:val="19"/>
                <w:szCs w:val="19"/>
                <w:color w:val="auto"/>
              </w:rPr>
            </w:pPr>
          </w:p>
        </w:tc>
        <w:tc>
          <w:tcPr>
            <w:tcW w:w="780" w:type="dxa"/>
            <w:vAlign w:val="bottom"/>
          </w:tcPr>
          <w:p>
            <w:pPr>
              <w:jc w:val="right"/>
              <w:ind w:right="193"/>
              <w:spacing w:after="0"/>
              <w:rPr>
                <w:sz w:val="20"/>
                <w:szCs w:val="20"/>
                <w:color w:val="auto"/>
              </w:rPr>
            </w:pPr>
            <w:r>
              <w:rPr>
                <w:rFonts w:ascii="Arial" w:cs="Arial" w:eastAsia="Arial" w:hAnsi="Arial"/>
                <w:sz w:val="18"/>
                <w:szCs w:val="18"/>
                <w:color w:val="auto"/>
              </w:rPr>
              <w:t>—</w:t>
            </w:r>
          </w:p>
        </w:tc>
        <w:tc>
          <w:tcPr>
            <w:tcW w:w="300" w:type="dxa"/>
            <w:vAlign w:val="bottom"/>
          </w:tcPr>
          <w:p>
            <w:pPr>
              <w:spacing w:after="0"/>
              <w:rPr>
                <w:sz w:val="19"/>
                <w:szCs w:val="19"/>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rPr>
              <w:t>680</w:t>
            </w: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7920" w:type="dxa"/>
            <w:vAlign w:val="bottom"/>
          </w:tcPr>
          <w:p>
            <w:pPr>
              <w:ind w:left="420"/>
              <w:spacing w:after="0" w:line="202" w:lineRule="exact"/>
              <w:rPr>
                <w:sz w:val="20"/>
                <w:szCs w:val="20"/>
                <w:color w:val="auto"/>
              </w:rPr>
            </w:pPr>
            <w:r>
              <w:rPr>
                <w:rFonts w:ascii="Arial" w:cs="Arial" w:eastAsia="Arial" w:hAnsi="Arial"/>
                <w:sz w:val="18"/>
                <w:szCs w:val="18"/>
                <w:color w:val="auto"/>
              </w:rPr>
              <w:t>Changes in operating assets and liabilities, net of effects of acquisitions and divestitures:</w:t>
            </w:r>
          </w:p>
        </w:tc>
        <w:tc>
          <w:tcPr>
            <w:tcW w:w="1500" w:type="dxa"/>
            <w:vAlign w:val="bottom"/>
            <w:vMerge w:val="restart"/>
          </w:tcPr>
          <w:p>
            <w:pPr>
              <w:jc w:val="right"/>
              <w:ind w:right="133"/>
              <w:spacing w:after="0"/>
              <w:rPr>
                <w:sz w:val="20"/>
                <w:szCs w:val="20"/>
                <w:color w:val="auto"/>
              </w:rPr>
            </w:pPr>
            <w:r>
              <w:rPr>
                <w:rFonts w:ascii="Arial" w:cs="Arial" w:eastAsia="Arial" w:hAnsi="Arial"/>
                <w:sz w:val="18"/>
                <w:szCs w:val="18"/>
                <w:b w:val="1"/>
                <w:bCs w:val="1"/>
                <w:color w:val="auto"/>
              </w:rPr>
              <w:t>(357)</w:t>
            </w:r>
          </w:p>
        </w:tc>
        <w:tc>
          <w:tcPr>
            <w:tcW w:w="32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5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81"/>
        </w:trPr>
        <w:tc>
          <w:tcPr>
            <w:tcW w:w="20" w:type="dxa"/>
            <w:vAlign w:val="bottom"/>
          </w:tcPr>
          <w:p>
            <w:pPr>
              <w:spacing w:after="0"/>
              <w:rPr>
                <w:sz w:val="15"/>
                <w:szCs w:val="15"/>
                <w:color w:val="auto"/>
              </w:rPr>
            </w:pPr>
          </w:p>
        </w:tc>
        <w:tc>
          <w:tcPr>
            <w:tcW w:w="7920" w:type="dxa"/>
            <w:vAlign w:val="bottom"/>
          </w:tcPr>
          <w:p>
            <w:pPr>
              <w:ind w:left="640"/>
              <w:spacing w:after="0" w:line="181" w:lineRule="exact"/>
              <w:rPr>
                <w:sz w:val="20"/>
                <w:szCs w:val="20"/>
                <w:color w:val="auto"/>
              </w:rPr>
            </w:pPr>
            <w:r>
              <w:rPr>
                <w:rFonts w:ascii="Arial" w:cs="Arial" w:eastAsia="Arial" w:hAnsi="Arial"/>
                <w:sz w:val="18"/>
                <w:szCs w:val="18"/>
                <w:color w:val="auto"/>
              </w:rPr>
              <w:t>Change in accounts receivable, net</w:t>
            </w:r>
          </w:p>
        </w:tc>
        <w:tc>
          <w:tcPr>
            <w:tcW w:w="1500" w:type="dxa"/>
            <w:vAlign w:val="bottom"/>
            <w:vMerge w:val="continue"/>
          </w:tcPr>
          <w:p>
            <w:pPr>
              <w:spacing w:after="0"/>
              <w:rPr>
                <w:sz w:val="15"/>
                <w:szCs w:val="15"/>
                <w:color w:val="auto"/>
              </w:rPr>
            </w:pPr>
          </w:p>
        </w:tc>
        <w:tc>
          <w:tcPr>
            <w:tcW w:w="320" w:type="dxa"/>
            <w:vAlign w:val="bottom"/>
          </w:tcPr>
          <w:p>
            <w:pPr>
              <w:spacing w:after="0"/>
              <w:rPr>
                <w:sz w:val="15"/>
                <w:szCs w:val="15"/>
                <w:color w:val="auto"/>
              </w:rPr>
            </w:pPr>
          </w:p>
        </w:tc>
        <w:tc>
          <w:tcPr>
            <w:tcW w:w="780" w:type="dxa"/>
            <w:vAlign w:val="bottom"/>
          </w:tcPr>
          <w:p>
            <w:pPr>
              <w:jc w:val="right"/>
              <w:ind w:right="133"/>
              <w:spacing w:after="0" w:line="181" w:lineRule="exact"/>
              <w:rPr>
                <w:sz w:val="20"/>
                <w:szCs w:val="20"/>
                <w:color w:val="auto"/>
              </w:rPr>
            </w:pPr>
            <w:r>
              <w:rPr>
                <w:rFonts w:ascii="Arial" w:cs="Arial" w:eastAsia="Arial" w:hAnsi="Arial"/>
                <w:sz w:val="18"/>
                <w:szCs w:val="18"/>
                <w:color w:val="auto"/>
              </w:rPr>
              <w:t>(97)</w:t>
            </w:r>
          </w:p>
        </w:tc>
        <w:tc>
          <w:tcPr>
            <w:tcW w:w="300" w:type="dxa"/>
            <w:vAlign w:val="bottom"/>
          </w:tcPr>
          <w:p>
            <w:pPr>
              <w:spacing w:after="0"/>
              <w:rPr>
                <w:sz w:val="15"/>
                <w:szCs w:val="15"/>
                <w:color w:val="auto"/>
              </w:rPr>
            </w:pPr>
          </w:p>
        </w:tc>
        <w:tc>
          <w:tcPr>
            <w:tcW w:w="580" w:type="dxa"/>
            <w:vAlign w:val="bottom"/>
          </w:tcPr>
          <w:p>
            <w:pPr>
              <w:jc w:val="right"/>
              <w:spacing w:after="0" w:line="181" w:lineRule="exact"/>
              <w:rPr>
                <w:sz w:val="20"/>
                <w:szCs w:val="20"/>
                <w:color w:val="auto"/>
              </w:rPr>
            </w:pPr>
            <w:r>
              <w:rPr>
                <w:rFonts w:ascii="Arial" w:cs="Arial" w:eastAsia="Arial" w:hAnsi="Arial"/>
                <w:sz w:val="18"/>
                <w:szCs w:val="18"/>
                <w:color w:val="auto"/>
              </w:rPr>
              <w:t>(54)</w:t>
            </w: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7920" w:type="dxa"/>
            <w:vAlign w:val="bottom"/>
          </w:tcPr>
          <w:p>
            <w:pPr>
              <w:ind w:left="640"/>
              <w:spacing w:after="0" w:line="202" w:lineRule="exact"/>
              <w:rPr>
                <w:sz w:val="20"/>
                <w:szCs w:val="20"/>
                <w:color w:val="auto"/>
              </w:rPr>
            </w:pPr>
            <w:r>
              <w:rPr>
                <w:rFonts w:ascii="Arial" w:cs="Arial" w:eastAsia="Arial" w:hAnsi="Arial"/>
                <w:sz w:val="18"/>
                <w:szCs w:val="18"/>
                <w:color w:val="auto"/>
              </w:rPr>
              <w:t>Change in accounts payable and accrued expenses related to trade creditors</w:t>
            </w:r>
          </w:p>
        </w:tc>
        <w:tc>
          <w:tcPr>
            <w:tcW w:w="1500" w:type="dxa"/>
            <w:vAlign w:val="bottom"/>
          </w:tcPr>
          <w:p>
            <w:pPr>
              <w:jc w:val="right"/>
              <w:ind w:right="193"/>
              <w:spacing w:after="0" w:line="202" w:lineRule="exact"/>
              <w:rPr>
                <w:sz w:val="20"/>
                <w:szCs w:val="20"/>
                <w:color w:val="auto"/>
              </w:rPr>
            </w:pPr>
            <w:r>
              <w:rPr>
                <w:rFonts w:ascii="Arial" w:cs="Arial" w:eastAsia="Arial" w:hAnsi="Arial"/>
                <w:sz w:val="18"/>
                <w:szCs w:val="18"/>
                <w:b w:val="1"/>
                <w:bCs w:val="1"/>
                <w:color w:val="auto"/>
              </w:rPr>
              <w:t>560</w:t>
            </w:r>
          </w:p>
        </w:tc>
        <w:tc>
          <w:tcPr>
            <w:tcW w:w="320" w:type="dxa"/>
            <w:vAlign w:val="bottom"/>
          </w:tcPr>
          <w:p>
            <w:pPr>
              <w:spacing w:after="0"/>
              <w:rPr>
                <w:sz w:val="17"/>
                <w:szCs w:val="17"/>
                <w:color w:val="auto"/>
              </w:rPr>
            </w:pPr>
          </w:p>
        </w:tc>
        <w:tc>
          <w:tcPr>
            <w:tcW w:w="780" w:type="dxa"/>
            <w:vAlign w:val="bottom"/>
          </w:tcPr>
          <w:p>
            <w:pPr>
              <w:jc w:val="right"/>
              <w:ind w:right="133"/>
              <w:spacing w:after="0" w:line="202" w:lineRule="exact"/>
              <w:rPr>
                <w:sz w:val="20"/>
                <w:szCs w:val="20"/>
                <w:color w:val="auto"/>
              </w:rPr>
            </w:pPr>
            <w:r>
              <w:rPr>
                <w:rFonts w:ascii="Arial" w:cs="Arial" w:eastAsia="Arial" w:hAnsi="Arial"/>
                <w:sz w:val="18"/>
                <w:szCs w:val="18"/>
                <w:color w:val="auto"/>
              </w:rPr>
              <w:t>(152)</w:t>
            </w:r>
          </w:p>
        </w:tc>
        <w:tc>
          <w:tcPr>
            <w:tcW w:w="300" w:type="dxa"/>
            <w:vAlign w:val="bottom"/>
          </w:tcPr>
          <w:p>
            <w:pPr>
              <w:spacing w:after="0"/>
              <w:rPr>
                <w:sz w:val="17"/>
                <w:szCs w:val="17"/>
                <w:color w:val="auto"/>
              </w:rPr>
            </w:pPr>
          </w:p>
        </w:tc>
        <w:tc>
          <w:tcPr>
            <w:tcW w:w="580" w:type="dxa"/>
            <w:vAlign w:val="bottom"/>
          </w:tcPr>
          <w:p>
            <w:pPr>
              <w:jc w:val="right"/>
              <w:spacing w:after="0" w:line="202" w:lineRule="exact"/>
              <w:rPr>
                <w:sz w:val="20"/>
                <w:szCs w:val="20"/>
                <w:color w:val="auto"/>
              </w:rPr>
            </w:pPr>
            <w:r>
              <w:rPr>
                <w:rFonts w:ascii="Arial" w:cs="Arial" w:eastAsia="Arial" w:hAnsi="Arial"/>
                <w:sz w:val="18"/>
                <w:szCs w:val="18"/>
                <w:color w:val="auto"/>
              </w:rPr>
              <w:t>(163)</w:t>
            </w:r>
          </w:p>
        </w:tc>
        <w:tc>
          <w:tcPr>
            <w:tcW w:w="0" w:type="dxa"/>
            <w:vAlign w:val="bottom"/>
          </w:tcPr>
          <w:p>
            <w:pPr>
              <w:spacing w:after="0"/>
              <w:rPr>
                <w:sz w:val="1"/>
                <w:szCs w:val="1"/>
                <w:color w:val="auto"/>
              </w:rPr>
            </w:pPr>
          </w:p>
        </w:tc>
      </w:tr>
      <w:tr>
        <w:trPr>
          <w:trHeight w:val="221"/>
        </w:trPr>
        <w:tc>
          <w:tcPr>
            <w:tcW w:w="20" w:type="dxa"/>
            <w:vAlign w:val="bottom"/>
          </w:tcPr>
          <w:p>
            <w:pPr>
              <w:spacing w:after="0"/>
              <w:rPr>
                <w:sz w:val="19"/>
                <w:szCs w:val="19"/>
                <w:color w:val="auto"/>
              </w:rPr>
            </w:pPr>
          </w:p>
        </w:tc>
        <w:tc>
          <w:tcPr>
            <w:tcW w:w="7920" w:type="dxa"/>
            <w:vAlign w:val="bottom"/>
            <w:tcBorders>
              <w:bottom w:val="single" w:sz="8" w:color="auto"/>
            </w:tcBorders>
          </w:tcPr>
          <w:p>
            <w:pPr>
              <w:ind w:left="640"/>
              <w:spacing w:after="0"/>
              <w:rPr>
                <w:sz w:val="20"/>
                <w:szCs w:val="20"/>
                <w:color w:val="auto"/>
              </w:rPr>
            </w:pPr>
            <w:r>
              <w:rPr>
                <w:rFonts w:ascii="Arial" w:cs="Arial" w:eastAsia="Arial" w:hAnsi="Arial"/>
                <w:sz w:val="18"/>
                <w:szCs w:val="18"/>
                <w:color w:val="auto"/>
              </w:rPr>
              <w:t>Change in other operating assets and liabilities</w:t>
            </w:r>
          </w:p>
        </w:tc>
        <w:tc>
          <w:tcPr>
            <w:tcW w:w="1500" w:type="dxa"/>
            <w:vAlign w:val="bottom"/>
            <w:tcBorders>
              <w:bottom w:val="single" w:sz="8" w:color="auto"/>
            </w:tcBorders>
          </w:tcPr>
          <w:p>
            <w:pPr>
              <w:jc w:val="right"/>
              <w:ind w:right="133"/>
              <w:spacing w:after="0"/>
              <w:rPr>
                <w:sz w:val="20"/>
                <w:szCs w:val="20"/>
                <w:color w:val="auto"/>
              </w:rPr>
            </w:pPr>
            <w:r>
              <w:rPr>
                <w:rFonts w:ascii="Arial" w:cs="Arial" w:eastAsia="Arial" w:hAnsi="Arial"/>
                <w:sz w:val="18"/>
                <w:szCs w:val="18"/>
                <w:b w:val="1"/>
                <w:bCs w:val="1"/>
                <w:color w:val="auto"/>
              </w:rPr>
              <w:t>(497)</w:t>
            </w:r>
          </w:p>
        </w:tc>
        <w:tc>
          <w:tcPr>
            <w:tcW w:w="320" w:type="dxa"/>
            <w:vAlign w:val="bottom"/>
            <w:tcBorders>
              <w:bottom w:val="single" w:sz="8" w:color="auto"/>
            </w:tcBorders>
          </w:tcPr>
          <w:p>
            <w:pPr>
              <w:spacing w:after="0"/>
              <w:rPr>
                <w:sz w:val="19"/>
                <w:szCs w:val="19"/>
                <w:color w:val="auto"/>
              </w:rPr>
            </w:pPr>
          </w:p>
        </w:tc>
        <w:tc>
          <w:tcPr>
            <w:tcW w:w="780" w:type="dxa"/>
            <w:vAlign w:val="bottom"/>
            <w:tcBorders>
              <w:bottom w:val="single" w:sz="8" w:color="auto"/>
            </w:tcBorders>
          </w:tcPr>
          <w:p>
            <w:pPr>
              <w:jc w:val="right"/>
              <w:ind w:right="133"/>
              <w:spacing w:after="0"/>
              <w:rPr>
                <w:sz w:val="20"/>
                <w:szCs w:val="20"/>
                <w:color w:val="auto"/>
              </w:rPr>
            </w:pPr>
            <w:r>
              <w:rPr>
                <w:rFonts w:ascii="Arial" w:cs="Arial" w:eastAsia="Arial" w:hAnsi="Arial"/>
                <w:sz w:val="18"/>
                <w:szCs w:val="18"/>
                <w:color w:val="auto"/>
              </w:rPr>
              <w:t>(912)</w:t>
            </w:r>
          </w:p>
        </w:tc>
        <w:tc>
          <w:tcPr>
            <w:tcW w:w="300" w:type="dxa"/>
            <w:vAlign w:val="bottom"/>
            <w:tcBorders>
              <w:bottom w:val="single" w:sz="8" w:color="auto"/>
            </w:tcBorders>
          </w:tcPr>
          <w:p>
            <w:pPr>
              <w:spacing w:after="0"/>
              <w:rPr>
                <w:sz w:val="19"/>
                <w:szCs w:val="19"/>
                <w:color w:val="auto"/>
              </w:rPr>
            </w:pPr>
          </w:p>
        </w:tc>
        <w:tc>
          <w:tcPr>
            <w:tcW w:w="5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12</w:t>
            </w:r>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7920" w:type="dxa"/>
            <w:vAlign w:val="bottom"/>
            <w:tcBorders>
              <w:bottom w:val="single" w:sz="8" w:color="auto"/>
            </w:tcBorders>
          </w:tcPr>
          <w:p>
            <w:pPr>
              <w:ind w:left="860"/>
              <w:spacing w:after="0" w:line="196" w:lineRule="exact"/>
              <w:rPr>
                <w:sz w:val="20"/>
                <w:szCs w:val="20"/>
                <w:color w:val="auto"/>
              </w:rPr>
            </w:pPr>
            <w:r>
              <w:rPr>
                <w:rFonts w:ascii="Arial" w:cs="Arial" w:eastAsia="Arial" w:hAnsi="Arial"/>
                <w:sz w:val="18"/>
                <w:szCs w:val="18"/>
                <w:b w:val="1"/>
                <w:bCs w:val="1"/>
                <w:color w:val="auto"/>
              </w:rPr>
              <w:t>Net cash provided by (used in) operating activities</w:t>
            </w:r>
          </w:p>
        </w:tc>
        <w:tc>
          <w:tcPr>
            <w:tcW w:w="1500" w:type="dxa"/>
            <w:vAlign w:val="bottom"/>
            <w:tcBorders>
              <w:bottom w:val="single" w:sz="8" w:color="auto"/>
            </w:tcBorders>
          </w:tcPr>
          <w:p>
            <w:pPr>
              <w:jc w:val="right"/>
              <w:ind w:right="193"/>
              <w:spacing w:after="0" w:line="196" w:lineRule="exact"/>
              <w:rPr>
                <w:sz w:val="20"/>
                <w:szCs w:val="20"/>
                <w:color w:val="auto"/>
              </w:rPr>
            </w:pPr>
            <w:r>
              <w:rPr>
                <w:rFonts w:ascii="Arial" w:cs="Arial" w:eastAsia="Arial" w:hAnsi="Arial"/>
                <w:sz w:val="18"/>
                <w:szCs w:val="18"/>
                <w:b w:val="1"/>
                <w:bCs w:val="1"/>
                <w:color w:val="auto"/>
              </w:rPr>
              <w:t>6,618</w:t>
            </w:r>
          </w:p>
        </w:tc>
        <w:tc>
          <w:tcPr>
            <w:tcW w:w="320" w:type="dxa"/>
            <w:vAlign w:val="bottom"/>
            <w:tcBorders>
              <w:bottom w:val="single" w:sz="8" w:color="auto"/>
            </w:tcBorders>
          </w:tcPr>
          <w:p>
            <w:pPr>
              <w:spacing w:after="0"/>
              <w:rPr>
                <w:sz w:val="17"/>
                <w:szCs w:val="17"/>
                <w:color w:val="auto"/>
              </w:rPr>
            </w:pPr>
          </w:p>
        </w:tc>
        <w:tc>
          <w:tcPr>
            <w:tcW w:w="780" w:type="dxa"/>
            <w:vAlign w:val="bottom"/>
            <w:tcBorders>
              <w:bottom w:val="single" w:sz="8" w:color="auto"/>
            </w:tcBorders>
          </w:tcPr>
          <w:p>
            <w:pPr>
              <w:jc w:val="right"/>
              <w:ind w:right="193"/>
              <w:spacing w:after="0" w:line="196" w:lineRule="exact"/>
              <w:rPr>
                <w:sz w:val="20"/>
                <w:szCs w:val="20"/>
                <w:color w:val="auto"/>
              </w:rPr>
            </w:pPr>
            <w:r>
              <w:rPr>
                <w:rFonts w:ascii="Arial" w:cs="Arial" w:eastAsia="Arial" w:hAnsi="Arial"/>
                <w:sz w:val="18"/>
                <w:szCs w:val="18"/>
                <w:color w:val="auto"/>
              </w:rPr>
              <w:t>4,835</w:t>
            </w:r>
          </w:p>
        </w:tc>
        <w:tc>
          <w:tcPr>
            <w:tcW w:w="300" w:type="dxa"/>
            <w:vAlign w:val="bottom"/>
            <w:tcBorders>
              <w:bottom w:val="single" w:sz="8" w:color="auto"/>
            </w:tcBorders>
          </w:tcPr>
          <w:p>
            <w:pPr>
              <w:spacing w:after="0"/>
              <w:rPr>
                <w:sz w:val="17"/>
                <w:szCs w:val="17"/>
                <w:color w:val="auto"/>
              </w:rPr>
            </w:pPr>
          </w:p>
        </w:tc>
        <w:tc>
          <w:tcPr>
            <w:tcW w:w="580" w:type="dxa"/>
            <w:vAlign w:val="bottom"/>
            <w:tcBorders>
              <w:bottom w:val="single" w:sz="8" w:color="auto"/>
            </w:tcBorders>
          </w:tcPr>
          <w:p>
            <w:pPr>
              <w:jc w:val="right"/>
              <w:spacing w:after="0" w:line="196" w:lineRule="exact"/>
              <w:rPr>
                <w:sz w:val="20"/>
                <w:szCs w:val="20"/>
                <w:color w:val="auto"/>
              </w:rPr>
            </w:pPr>
            <w:r>
              <w:rPr>
                <w:rFonts w:ascii="Arial" w:cs="Arial" w:eastAsia="Arial" w:hAnsi="Arial"/>
                <w:sz w:val="18"/>
                <w:szCs w:val="18"/>
                <w:color w:val="auto"/>
              </w:rPr>
              <w:t>6,082</w:t>
            </w:r>
          </w:p>
        </w:tc>
        <w:tc>
          <w:tcPr>
            <w:tcW w:w="0" w:type="dxa"/>
            <w:vAlign w:val="bottom"/>
          </w:tcPr>
          <w:p>
            <w:pPr>
              <w:spacing w:after="0"/>
              <w:rPr>
                <w:sz w:val="1"/>
                <w:szCs w:val="1"/>
                <w:color w:val="auto"/>
              </w:rPr>
            </w:pPr>
          </w:p>
        </w:tc>
      </w:tr>
      <w:tr>
        <w:trPr>
          <w:trHeight w:val="199"/>
        </w:trPr>
        <w:tc>
          <w:tcPr>
            <w:tcW w:w="20" w:type="dxa"/>
            <w:vAlign w:val="bottom"/>
          </w:tcPr>
          <w:p>
            <w:pPr>
              <w:spacing w:after="0"/>
              <w:rPr>
                <w:sz w:val="17"/>
                <w:szCs w:val="17"/>
                <w:color w:val="auto"/>
              </w:rPr>
            </w:pPr>
          </w:p>
        </w:tc>
        <w:tc>
          <w:tcPr>
            <w:tcW w:w="7920" w:type="dxa"/>
            <w:vAlign w:val="bottom"/>
          </w:tcPr>
          <w:p>
            <w:pPr>
              <w:spacing w:after="0" w:line="200" w:lineRule="exact"/>
              <w:rPr>
                <w:sz w:val="20"/>
                <w:szCs w:val="20"/>
                <w:color w:val="auto"/>
              </w:rPr>
            </w:pPr>
            <w:r>
              <w:rPr>
                <w:rFonts w:ascii="Arial" w:cs="Arial" w:eastAsia="Arial" w:hAnsi="Arial"/>
                <w:sz w:val="18"/>
                <w:szCs w:val="18"/>
                <w:b w:val="1"/>
                <w:bCs w:val="1"/>
                <w:color w:val="auto"/>
              </w:rPr>
              <w:t>Financing Activities</w:t>
            </w:r>
          </w:p>
        </w:tc>
        <w:tc>
          <w:tcPr>
            <w:tcW w:w="1500" w:type="dxa"/>
            <w:vAlign w:val="bottom"/>
            <w:vMerge w:val="restart"/>
          </w:tcPr>
          <w:p>
            <w:pPr>
              <w:jc w:val="right"/>
              <w:ind w:right="193"/>
              <w:spacing w:after="0"/>
              <w:rPr>
                <w:sz w:val="20"/>
                <w:szCs w:val="20"/>
                <w:color w:val="auto"/>
              </w:rPr>
            </w:pPr>
            <w:r>
              <w:rPr>
                <w:rFonts w:ascii="Arial" w:cs="Arial" w:eastAsia="Arial" w:hAnsi="Arial"/>
                <w:sz w:val="18"/>
                <w:szCs w:val="18"/>
                <w:b w:val="1"/>
                <w:bCs w:val="1"/>
                <w:color w:val="auto"/>
              </w:rPr>
              <w:t>7,497</w:t>
            </w:r>
          </w:p>
        </w:tc>
        <w:tc>
          <w:tcPr>
            <w:tcW w:w="32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5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81"/>
        </w:trPr>
        <w:tc>
          <w:tcPr>
            <w:tcW w:w="20" w:type="dxa"/>
            <w:vAlign w:val="bottom"/>
          </w:tcPr>
          <w:p>
            <w:pPr>
              <w:spacing w:after="0"/>
              <w:rPr>
                <w:sz w:val="15"/>
                <w:szCs w:val="15"/>
                <w:color w:val="auto"/>
              </w:rPr>
            </w:pPr>
          </w:p>
        </w:tc>
        <w:tc>
          <w:tcPr>
            <w:tcW w:w="7920" w:type="dxa"/>
            <w:vAlign w:val="bottom"/>
          </w:tcPr>
          <w:p>
            <w:pPr>
              <w:ind w:left="200"/>
              <w:spacing w:after="0" w:line="181" w:lineRule="exact"/>
              <w:rPr>
                <w:sz w:val="20"/>
                <w:szCs w:val="20"/>
                <w:color w:val="auto"/>
              </w:rPr>
            </w:pPr>
            <w:r>
              <w:rPr>
                <w:rFonts w:ascii="Arial" w:cs="Arial" w:eastAsia="Arial" w:hAnsi="Arial"/>
                <w:sz w:val="18"/>
                <w:szCs w:val="18"/>
                <w:color w:val="auto"/>
              </w:rPr>
              <w:t>Proceeds from borrowings</w:t>
            </w:r>
          </w:p>
        </w:tc>
        <w:tc>
          <w:tcPr>
            <w:tcW w:w="1500" w:type="dxa"/>
            <w:vAlign w:val="bottom"/>
            <w:vMerge w:val="continue"/>
          </w:tcPr>
          <w:p>
            <w:pPr>
              <w:spacing w:after="0"/>
              <w:rPr>
                <w:sz w:val="15"/>
                <w:szCs w:val="15"/>
                <w:color w:val="auto"/>
              </w:rPr>
            </w:pPr>
          </w:p>
        </w:tc>
        <w:tc>
          <w:tcPr>
            <w:tcW w:w="320" w:type="dxa"/>
            <w:vAlign w:val="bottom"/>
          </w:tcPr>
          <w:p>
            <w:pPr>
              <w:spacing w:after="0"/>
              <w:rPr>
                <w:sz w:val="15"/>
                <w:szCs w:val="15"/>
                <w:color w:val="auto"/>
              </w:rPr>
            </w:pPr>
          </w:p>
        </w:tc>
        <w:tc>
          <w:tcPr>
            <w:tcW w:w="780" w:type="dxa"/>
            <w:vAlign w:val="bottom"/>
          </w:tcPr>
          <w:p>
            <w:pPr>
              <w:jc w:val="right"/>
              <w:ind w:right="193"/>
              <w:spacing w:after="0" w:line="181" w:lineRule="exact"/>
              <w:rPr>
                <w:sz w:val="20"/>
                <w:szCs w:val="20"/>
                <w:color w:val="auto"/>
              </w:rPr>
            </w:pPr>
            <w:r>
              <w:rPr>
                <w:rFonts w:ascii="Arial" w:cs="Arial" w:eastAsia="Arial" w:hAnsi="Arial"/>
                <w:sz w:val="18"/>
                <w:szCs w:val="18"/>
                <w:color w:val="auto"/>
              </w:rPr>
              <w:t>3,978</w:t>
            </w:r>
          </w:p>
        </w:tc>
        <w:tc>
          <w:tcPr>
            <w:tcW w:w="300" w:type="dxa"/>
            <w:vAlign w:val="bottom"/>
          </w:tcPr>
          <w:p>
            <w:pPr>
              <w:spacing w:after="0"/>
              <w:rPr>
                <w:sz w:val="15"/>
                <w:szCs w:val="15"/>
                <w:color w:val="auto"/>
              </w:rPr>
            </w:pPr>
          </w:p>
        </w:tc>
        <w:tc>
          <w:tcPr>
            <w:tcW w:w="580" w:type="dxa"/>
            <w:vAlign w:val="bottom"/>
          </w:tcPr>
          <w:p>
            <w:pPr>
              <w:jc w:val="right"/>
              <w:spacing w:after="0" w:line="181" w:lineRule="exact"/>
              <w:rPr>
                <w:sz w:val="20"/>
                <w:szCs w:val="20"/>
                <w:color w:val="auto"/>
              </w:rPr>
            </w:pPr>
            <w:r>
              <w:rPr>
                <w:rFonts w:ascii="Arial" w:cs="Arial" w:eastAsia="Arial" w:hAnsi="Arial"/>
                <w:sz w:val="18"/>
                <w:szCs w:val="18"/>
                <w:color w:val="auto"/>
              </w:rPr>
              <w:t>1,030</w:t>
            </w: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7920" w:type="dxa"/>
            <w:vAlign w:val="bottom"/>
          </w:tcPr>
          <w:p>
            <w:pPr>
              <w:ind w:left="200"/>
              <w:spacing w:after="0" w:line="202" w:lineRule="exact"/>
              <w:rPr>
                <w:sz w:val="20"/>
                <w:szCs w:val="20"/>
                <w:color w:val="auto"/>
              </w:rPr>
            </w:pPr>
            <w:r>
              <w:rPr>
                <w:rFonts w:ascii="Arial" w:cs="Arial" w:eastAsia="Arial" w:hAnsi="Arial"/>
                <w:sz w:val="18"/>
                <w:szCs w:val="18"/>
                <w:color w:val="auto"/>
              </w:rPr>
              <w:t>Retirements and repayments of debt</w:t>
            </w:r>
          </w:p>
        </w:tc>
        <w:tc>
          <w:tcPr>
            <w:tcW w:w="1500" w:type="dxa"/>
            <w:vAlign w:val="bottom"/>
          </w:tcPr>
          <w:p>
            <w:pPr>
              <w:jc w:val="right"/>
              <w:ind w:right="133"/>
              <w:spacing w:after="0" w:line="202" w:lineRule="exact"/>
              <w:rPr>
                <w:sz w:val="20"/>
                <w:szCs w:val="20"/>
                <w:color w:val="auto"/>
              </w:rPr>
            </w:pPr>
            <w:r>
              <w:rPr>
                <w:rFonts w:ascii="Arial" w:cs="Arial" w:eastAsia="Arial" w:hAnsi="Arial"/>
                <w:sz w:val="18"/>
                <w:szCs w:val="18"/>
                <w:b w:val="1"/>
                <w:bCs w:val="1"/>
                <w:color w:val="auto"/>
              </w:rPr>
              <w:t>(2,039)</w:t>
            </w:r>
          </w:p>
        </w:tc>
        <w:tc>
          <w:tcPr>
            <w:tcW w:w="320" w:type="dxa"/>
            <w:vAlign w:val="bottom"/>
          </w:tcPr>
          <w:p>
            <w:pPr>
              <w:spacing w:after="0"/>
              <w:rPr>
                <w:sz w:val="17"/>
                <w:szCs w:val="17"/>
                <w:color w:val="auto"/>
              </w:rPr>
            </w:pPr>
          </w:p>
        </w:tc>
        <w:tc>
          <w:tcPr>
            <w:tcW w:w="780" w:type="dxa"/>
            <w:vAlign w:val="bottom"/>
          </w:tcPr>
          <w:p>
            <w:pPr>
              <w:jc w:val="right"/>
              <w:ind w:right="133"/>
              <w:spacing w:after="0" w:line="202" w:lineRule="exact"/>
              <w:rPr>
                <w:sz w:val="20"/>
                <w:szCs w:val="20"/>
                <w:color w:val="auto"/>
              </w:rPr>
            </w:pPr>
            <w:r>
              <w:rPr>
                <w:rFonts w:ascii="Arial" w:cs="Arial" w:eastAsia="Arial" w:hAnsi="Arial"/>
                <w:sz w:val="18"/>
                <w:szCs w:val="18"/>
                <w:color w:val="auto"/>
                <w:w w:val="94"/>
              </w:rPr>
              <w:t>(2,706)</w:t>
            </w:r>
          </w:p>
        </w:tc>
        <w:tc>
          <w:tcPr>
            <w:tcW w:w="300" w:type="dxa"/>
            <w:vAlign w:val="bottom"/>
          </w:tcPr>
          <w:p>
            <w:pPr>
              <w:spacing w:after="0"/>
              <w:rPr>
                <w:sz w:val="17"/>
                <w:szCs w:val="17"/>
                <w:color w:val="auto"/>
              </w:rPr>
            </w:pPr>
          </w:p>
        </w:tc>
        <w:tc>
          <w:tcPr>
            <w:tcW w:w="580" w:type="dxa"/>
            <w:vAlign w:val="bottom"/>
          </w:tcPr>
          <w:p>
            <w:pPr>
              <w:jc w:val="right"/>
              <w:spacing w:after="0" w:line="202" w:lineRule="exact"/>
              <w:rPr>
                <w:sz w:val="20"/>
                <w:szCs w:val="20"/>
                <w:color w:val="auto"/>
              </w:rPr>
            </w:pPr>
            <w:r>
              <w:rPr>
                <w:rFonts w:ascii="Arial" w:cs="Arial" w:eastAsia="Arial" w:hAnsi="Arial"/>
                <w:sz w:val="18"/>
                <w:szCs w:val="18"/>
                <w:color w:val="auto"/>
                <w:w w:val="98"/>
              </w:rPr>
              <w:t>(2,323)</w:t>
            </w: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7920" w:type="dxa"/>
            <w:vAlign w:val="bottom"/>
          </w:tcPr>
          <w:p>
            <w:pPr>
              <w:ind w:left="200"/>
              <w:spacing w:after="0" w:line="202" w:lineRule="exact"/>
              <w:rPr>
                <w:sz w:val="20"/>
                <w:szCs w:val="20"/>
                <w:color w:val="auto"/>
              </w:rPr>
            </w:pPr>
            <w:r>
              <w:rPr>
                <w:rFonts w:ascii="Arial" w:cs="Arial" w:eastAsia="Arial" w:hAnsi="Arial"/>
                <w:sz w:val="18"/>
                <w:szCs w:val="18"/>
                <w:color w:val="auto"/>
              </w:rPr>
              <w:t>Repurchases of common stock</w:t>
            </w:r>
          </w:p>
        </w:tc>
        <w:tc>
          <w:tcPr>
            <w:tcW w:w="1500" w:type="dxa"/>
            <w:vAlign w:val="bottom"/>
          </w:tcPr>
          <w:p>
            <w:pPr>
              <w:jc w:val="right"/>
              <w:ind w:right="133"/>
              <w:spacing w:after="0" w:line="202" w:lineRule="exact"/>
              <w:rPr>
                <w:sz w:val="20"/>
                <w:szCs w:val="20"/>
                <w:color w:val="auto"/>
              </w:rPr>
            </w:pPr>
            <w:r>
              <w:rPr>
                <w:rFonts w:ascii="Arial" w:cs="Arial" w:eastAsia="Arial" w:hAnsi="Arial"/>
                <w:sz w:val="18"/>
                <w:szCs w:val="18"/>
                <w:b w:val="1"/>
                <w:bCs w:val="1"/>
                <w:color w:val="auto"/>
              </w:rPr>
              <w:t>(2,347)</w:t>
            </w:r>
          </w:p>
        </w:tc>
        <w:tc>
          <w:tcPr>
            <w:tcW w:w="320" w:type="dxa"/>
            <w:vAlign w:val="bottom"/>
          </w:tcPr>
          <w:p>
            <w:pPr>
              <w:spacing w:after="0"/>
              <w:rPr>
                <w:sz w:val="17"/>
                <w:szCs w:val="17"/>
                <w:color w:val="auto"/>
              </w:rPr>
            </w:pPr>
          </w:p>
        </w:tc>
        <w:tc>
          <w:tcPr>
            <w:tcW w:w="780" w:type="dxa"/>
            <w:vAlign w:val="bottom"/>
          </w:tcPr>
          <w:p>
            <w:pPr>
              <w:jc w:val="right"/>
              <w:ind w:right="133"/>
              <w:spacing w:after="0" w:line="202" w:lineRule="exact"/>
              <w:rPr>
                <w:sz w:val="20"/>
                <w:szCs w:val="20"/>
                <w:color w:val="auto"/>
              </w:rPr>
            </w:pPr>
            <w:r>
              <w:rPr>
                <w:rFonts w:ascii="Arial" w:cs="Arial" w:eastAsia="Arial" w:hAnsi="Arial"/>
                <w:sz w:val="18"/>
                <w:szCs w:val="18"/>
                <w:color w:val="auto"/>
                <w:w w:val="94"/>
              </w:rPr>
              <w:t>(2,313)</w:t>
            </w:r>
          </w:p>
        </w:tc>
        <w:tc>
          <w:tcPr>
            <w:tcW w:w="300" w:type="dxa"/>
            <w:vAlign w:val="bottom"/>
          </w:tcPr>
          <w:p>
            <w:pPr>
              <w:spacing w:after="0"/>
              <w:rPr>
                <w:sz w:val="17"/>
                <w:szCs w:val="17"/>
                <w:color w:val="auto"/>
              </w:rPr>
            </w:pPr>
          </w:p>
        </w:tc>
        <w:tc>
          <w:tcPr>
            <w:tcW w:w="580" w:type="dxa"/>
            <w:vAlign w:val="bottom"/>
          </w:tcPr>
          <w:p>
            <w:pPr>
              <w:jc w:val="right"/>
              <w:spacing w:after="0" w:line="202" w:lineRule="exact"/>
              <w:rPr>
                <w:sz w:val="20"/>
                <w:szCs w:val="20"/>
                <w:color w:val="auto"/>
              </w:rPr>
            </w:pPr>
            <w:r>
              <w:rPr>
                <w:rFonts w:ascii="Arial" w:cs="Arial" w:eastAsia="Arial" w:hAnsi="Arial"/>
                <w:sz w:val="18"/>
                <w:szCs w:val="18"/>
                <w:color w:val="auto"/>
                <w:w w:val="98"/>
              </w:rPr>
              <w:t>(1,361)</w:t>
            </w: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7920" w:type="dxa"/>
            <w:vAlign w:val="bottom"/>
          </w:tcPr>
          <w:p>
            <w:pPr>
              <w:ind w:left="200"/>
              <w:spacing w:after="0" w:line="202" w:lineRule="exact"/>
              <w:rPr>
                <w:sz w:val="20"/>
                <w:szCs w:val="20"/>
                <w:color w:val="auto"/>
              </w:rPr>
            </w:pPr>
            <w:r>
              <w:rPr>
                <w:rFonts w:ascii="Arial" w:cs="Arial" w:eastAsia="Arial" w:hAnsi="Arial"/>
                <w:sz w:val="18"/>
                <w:szCs w:val="18"/>
                <w:color w:val="auto"/>
              </w:rPr>
              <w:t>Issuances of common stock</w:t>
            </w:r>
          </w:p>
        </w:tc>
        <w:tc>
          <w:tcPr>
            <w:tcW w:w="1500" w:type="dxa"/>
            <w:vAlign w:val="bottom"/>
          </w:tcPr>
          <w:p>
            <w:pPr>
              <w:jc w:val="right"/>
              <w:ind w:right="193"/>
              <w:spacing w:after="0" w:line="202" w:lineRule="exact"/>
              <w:rPr>
                <w:sz w:val="20"/>
                <w:szCs w:val="20"/>
                <w:color w:val="auto"/>
              </w:rPr>
            </w:pPr>
            <w:r>
              <w:rPr>
                <w:rFonts w:ascii="Arial" w:cs="Arial" w:eastAsia="Arial" w:hAnsi="Arial"/>
                <w:sz w:val="18"/>
                <w:szCs w:val="18"/>
                <w:b w:val="1"/>
                <w:bCs w:val="1"/>
                <w:color w:val="auto"/>
              </w:rPr>
              <w:t>410</w:t>
            </w:r>
          </w:p>
        </w:tc>
        <w:tc>
          <w:tcPr>
            <w:tcW w:w="320" w:type="dxa"/>
            <w:vAlign w:val="bottom"/>
          </w:tcPr>
          <w:p>
            <w:pPr>
              <w:spacing w:after="0"/>
              <w:rPr>
                <w:sz w:val="17"/>
                <w:szCs w:val="17"/>
                <w:color w:val="auto"/>
              </w:rPr>
            </w:pPr>
          </w:p>
        </w:tc>
        <w:tc>
          <w:tcPr>
            <w:tcW w:w="780" w:type="dxa"/>
            <w:vAlign w:val="bottom"/>
          </w:tcPr>
          <w:p>
            <w:pPr>
              <w:jc w:val="right"/>
              <w:ind w:right="193"/>
              <w:spacing w:after="0" w:line="202" w:lineRule="exact"/>
              <w:rPr>
                <w:sz w:val="20"/>
                <w:szCs w:val="20"/>
                <w:color w:val="auto"/>
              </w:rPr>
            </w:pPr>
            <w:r>
              <w:rPr>
                <w:rFonts w:ascii="Arial" w:cs="Arial" w:eastAsia="Arial" w:hAnsi="Arial"/>
                <w:sz w:val="18"/>
                <w:szCs w:val="18"/>
                <w:color w:val="auto"/>
              </w:rPr>
              <w:t>93</w:t>
            </w:r>
          </w:p>
        </w:tc>
        <w:tc>
          <w:tcPr>
            <w:tcW w:w="300" w:type="dxa"/>
            <w:vAlign w:val="bottom"/>
          </w:tcPr>
          <w:p>
            <w:pPr>
              <w:spacing w:after="0"/>
              <w:rPr>
                <w:sz w:val="17"/>
                <w:szCs w:val="17"/>
                <w:color w:val="auto"/>
              </w:rPr>
            </w:pPr>
          </w:p>
        </w:tc>
        <w:tc>
          <w:tcPr>
            <w:tcW w:w="580" w:type="dxa"/>
            <w:vAlign w:val="bottom"/>
          </w:tcPr>
          <w:p>
            <w:pPr>
              <w:jc w:val="right"/>
              <w:spacing w:after="0" w:line="202" w:lineRule="exact"/>
              <w:rPr>
                <w:sz w:val="20"/>
                <w:szCs w:val="20"/>
                <w:color w:val="auto"/>
              </w:rPr>
            </w:pPr>
            <w:r>
              <w:rPr>
                <w:rFonts w:ascii="Arial" w:cs="Arial" w:eastAsia="Arial" w:hAnsi="Arial"/>
                <w:sz w:val="18"/>
                <w:szCs w:val="18"/>
                <w:color w:val="auto"/>
              </w:rPr>
              <w:t>113</w:t>
            </w:r>
          </w:p>
        </w:tc>
        <w:tc>
          <w:tcPr>
            <w:tcW w:w="0" w:type="dxa"/>
            <w:vAlign w:val="bottom"/>
          </w:tcPr>
          <w:p>
            <w:pPr>
              <w:spacing w:after="0"/>
              <w:rPr>
                <w:sz w:val="1"/>
                <w:szCs w:val="1"/>
                <w:color w:val="auto"/>
              </w:rPr>
            </w:pPr>
          </w:p>
        </w:tc>
      </w:tr>
      <w:tr>
        <w:trPr>
          <w:trHeight w:val="221"/>
        </w:trPr>
        <w:tc>
          <w:tcPr>
            <w:tcW w:w="20" w:type="dxa"/>
            <w:vAlign w:val="bottom"/>
          </w:tcPr>
          <w:p>
            <w:pPr>
              <w:spacing w:after="0"/>
              <w:rPr>
                <w:sz w:val="19"/>
                <w:szCs w:val="19"/>
                <w:color w:val="auto"/>
              </w:rPr>
            </w:pPr>
          </w:p>
        </w:tc>
        <w:tc>
          <w:tcPr>
            <w:tcW w:w="7920" w:type="dxa"/>
            <w:vAlign w:val="bottom"/>
            <w:tcBorders>
              <w:bottom w:val="single" w:sz="8" w:color="auto"/>
            </w:tcBorders>
          </w:tcPr>
          <w:p>
            <w:pPr>
              <w:ind w:left="200"/>
              <w:spacing w:after="0"/>
              <w:rPr>
                <w:sz w:val="20"/>
                <w:szCs w:val="20"/>
                <w:color w:val="auto"/>
              </w:rPr>
            </w:pPr>
            <w:r>
              <w:rPr>
                <w:rFonts w:ascii="Arial" w:cs="Arial" w:eastAsia="Arial" w:hAnsi="Arial"/>
                <w:sz w:val="18"/>
                <w:szCs w:val="18"/>
                <w:color w:val="auto"/>
              </w:rPr>
              <w:t>Other</w:t>
            </w:r>
          </w:p>
        </w:tc>
        <w:tc>
          <w:tcPr>
            <w:tcW w:w="1500" w:type="dxa"/>
            <w:vAlign w:val="bottom"/>
            <w:tcBorders>
              <w:bottom w:val="single" w:sz="8" w:color="auto"/>
            </w:tcBorders>
          </w:tcPr>
          <w:p>
            <w:pPr>
              <w:jc w:val="right"/>
              <w:ind w:right="193"/>
              <w:spacing w:after="0"/>
              <w:rPr>
                <w:sz w:val="20"/>
                <w:szCs w:val="20"/>
                <w:color w:val="auto"/>
              </w:rPr>
            </w:pPr>
            <w:r>
              <w:rPr>
                <w:rFonts w:ascii="Arial" w:cs="Arial" w:eastAsia="Arial" w:hAnsi="Arial"/>
                <w:sz w:val="18"/>
                <w:szCs w:val="18"/>
                <w:b w:val="1"/>
                <w:bCs w:val="1"/>
                <w:color w:val="auto"/>
              </w:rPr>
              <w:t>25</w:t>
            </w:r>
          </w:p>
        </w:tc>
        <w:tc>
          <w:tcPr>
            <w:tcW w:w="320" w:type="dxa"/>
            <w:vAlign w:val="bottom"/>
            <w:tcBorders>
              <w:bottom w:val="single" w:sz="8" w:color="auto"/>
            </w:tcBorders>
          </w:tcPr>
          <w:p>
            <w:pPr>
              <w:spacing w:after="0"/>
              <w:rPr>
                <w:sz w:val="19"/>
                <w:szCs w:val="19"/>
                <w:color w:val="auto"/>
              </w:rPr>
            </w:pPr>
          </w:p>
        </w:tc>
        <w:tc>
          <w:tcPr>
            <w:tcW w:w="780" w:type="dxa"/>
            <w:vAlign w:val="bottom"/>
            <w:tcBorders>
              <w:bottom w:val="single" w:sz="8" w:color="auto"/>
            </w:tcBorders>
          </w:tcPr>
          <w:p>
            <w:pPr>
              <w:jc w:val="right"/>
              <w:ind w:right="193"/>
              <w:spacing w:after="0"/>
              <w:rPr>
                <w:sz w:val="20"/>
                <w:szCs w:val="20"/>
                <w:color w:val="auto"/>
              </w:rPr>
            </w:pPr>
            <w:r>
              <w:rPr>
                <w:rFonts w:ascii="Arial" w:cs="Arial" w:eastAsia="Arial" w:hAnsi="Arial"/>
                <w:sz w:val="18"/>
                <w:szCs w:val="18"/>
                <w:color w:val="auto"/>
              </w:rPr>
              <w:t>15</w:t>
            </w:r>
          </w:p>
        </w:tc>
        <w:tc>
          <w:tcPr>
            <w:tcW w:w="300" w:type="dxa"/>
            <w:vAlign w:val="bottom"/>
            <w:tcBorders>
              <w:bottom w:val="single" w:sz="8" w:color="auto"/>
            </w:tcBorders>
          </w:tcPr>
          <w:p>
            <w:pPr>
              <w:spacing w:after="0"/>
              <w:rPr>
                <w:sz w:val="19"/>
                <w:szCs w:val="19"/>
                <w:color w:val="auto"/>
              </w:rPr>
            </w:pPr>
          </w:p>
        </w:tc>
        <w:tc>
          <w:tcPr>
            <w:tcW w:w="5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25</w:t>
            </w:r>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7920" w:type="dxa"/>
            <w:vAlign w:val="bottom"/>
            <w:tcBorders>
              <w:bottom w:val="single" w:sz="8" w:color="auto"/>
            </w:tcBorders>
          </w:tcPr>
          <w:p>
            <w:pPr>
              <w:ind w:left="860"/>
              <w:spacing w:after="0" w:line="196" w:lineRule="exact"/>
              <w:rPr>
                <w:sz w:val="20"/>
                <w:szCs w:val="20"/>
                <w:color w:val="auto"/>
              </w:rPr>
            </w:pPr>
            <w:r>
              <w:rPr>
                <w:rFonts w:ascii="Arial" w:cs="Arial" w:eastAsia="Arial" w:hAnsi="Arial"/>
                <w:sz w:val="18"/>
                <w:szCs w:val="18"/>
                <w:b w:val="1"/>
                <w:bCs w:val="1"/>
                <w:color w:val="auto"/>
              </w:rPr>
              <w:t>Net cash provided by (used in) financing activities</w:t>
            </w:r>
          </w:p>
        </w:tc>
        <w:tc>
          <w:tcPr>
            <w:tcW w:w="1500" w:type="dxa"/>
            <w:vAlign w:val="bottom"/>
            <w:tcBorders>
              <w:bottom w:val="single" w:sz="8" w:color="auto"/>
            </w:tcBorders>
          </w:tcPr>
          <w:p>
            <w:pPr>
              <w:jc w:val="right"/>
              <w:ind w:right="193"/>
              <w:spacing w:after="0" w:line="196" w:lineRule="exact"/>
              <w:rPr>
                <w:sz w:val="20"/>
                <w:szCs w:val="20"/>
                <w:color w:val="auto"/>
              </w:rPr>
            </w:pPr>
            <w:r>
              <w:rPr>
                <w:rFonts w:ascii="Arial" w:cs="Arial" w:eastAsia="Arial" w:hAnsi="Arial"/>
                <w:sz w:val="18"/>
                <w:szCs w:val="18"/>
                <w:b w:val="1"/>
                <w:bCs w:val="1"/>
                <w:color w:val="auto"/>
              </w:rPr>
              <w:t>3,546</w:t>
            </w:r>
          </w:p>
        </w:tc>
        <w:tc>
          <w:tcPr>
            <w:tcW w:w="320" w:type="dxa"/>
            <w:vAlign w:val="bottom"/>
            <w:tcBorders>
              <w:bottom w:val="single" w:sz="8" w:color="auto"/>
            </w:tcBorders>
          </w:tcPr>
          <w:p>
            <w:pPr>
              <w:spacing w:after="0"/>
              <w:rPr>
                <w:sz w:val="17"/>
                <w:szCs w:val="17"/>
                <w:color w:val="auto"/>
              </w:rPr>
            </w:pPr>
          </w:p>
        </w:tc>
        <w:tc>
          <w:tcPr>
            <w:tcW w:w="780" w:type="dxa"/>
            <w:vAlign w:val="bottom"/>
            <w:tcBorders>
              <w:bottom w:val="single" w:sz="8" w:color="auto"/>
            </w:tcBorders>
          </w:tcPr>
          <w:p>
            <w:pPr>
              <w:jc w:val="right"/>
              <w:ind w:right="133"/>
              <w:spacing w:after="0" w:line="196" w:lineRule="exact"/>
              <w:rPr>
                <w:sz w:val="20"/>
                <w:szCs w:val="20"/>
                <w:color w:val="auto"/>
              </w:rPr>
            </w:pPr>
            <w:r>
              <w:rPr>
                <w:rFonts w:ascii="Arial" w:cs="Arial" w:eastAsia="Arial" w:hAnsi="Arial"/>
                <w:sz w:val="18"/>
                <w:szCs w:val="18"/>
                <w:color w:val="auto"/>
              </w:rPr>
              <w:t>(933)</w:t>
            </w:r>
          </w:p>
        </w:tc>
        <w:tc>
          <w:tcPr>
            <w:tcW w:w="300" w:type="dxa"/>
            <w:vAlign w:val="bottom"/>
            <w:tcBorders>
              <w:bottom w:val="single" w:sz="8" w:color="auto"/>
            </w:tcBorders>
          </w:tcPr>
          <w:p>
            <w:pPr>
              <w:spacing w:after="0"/>
              <w:rPr>
                <w:sz w:val="17"/>
                <w:szCs w:val="17"/>
                <w:color w:val="auto"/>
              </w:rPr>
            </w:pPr>
          </w:p>
        </w:tc>
        <w:tc>
          <w:tcPr>
            <w:tcW w:w="580" w:type="dxa"/>
            <w:vAlign w:val="bottom"/>
            <w:tcBorders>
              <w:bottom w:val="single" w:sz="8" w:color="auto"/>
            </w:tcBorders>
          </w:tcPr>
          <w:p>
            <w:pPr>
              <w:jc w:val="right"/>
              <w:spacing w:after="0" w:line="196" w:lineRule="exact"/>
              <w:rPr>
                <w:sz w:val="20"/>
                <w:szCs w:val="20"/>
                <w:color w:val="auto"/>
              </w:rPr>
            </w:pPr>
            <w:r>
              <w:rPr>
                <w:rFonts w:ascii="Arial" w:cs="Arial" w:eastAsia="Arial" w:hAnsi="Arial"/>
                <w:sz w:val="18"/>
                <w:szCs w:val="18"/>
                <w:color w:val="auto"/>
                <w:w w:val="98"/>
              </w:rPr>
              <w:t>(2,516)</w:t>
            </w:r>
          </w:p>
        </w:tc>
        <w:tc>
          <w:tcPr>
            <w:tcW w:w="0" w:type="dxa"/>
            <w:vAlign w:val="bottom"/>
          </w:tcPr>
          <w:p>
            <w:pPr>
              <w:spacing w:after="0"/>
              <w:rPr>
                <w:sz w:val="1"/>
                <w:szCs w:val="1"/>
                <w:color w:val="auto"/>
              </w:rPr>
            </w:pPr>
          </w:p>
        </w:tc>
      </w:tr>
      <w:tr>
        <w:trPr>
          <w:trHeight w:val="199"/>
        </w:trPr>
        <w:tc>
          <w:tcPr>
            <w:tcW w:w="20" w:type="dxa"/>
            <w:vAlign w:val="bottom"/>
          </w:tcPr>
          <w:p>
            <w:pPr>
              <w:spacing w:after="0"/>
              <w:rPr>
                <w:sz w:val="17"/>
                <w:szCs w:val="17"/>
                <w:color w:val="auto"/>
              </w:rPr>
            </w:pPr>
          </w:p>
        </w:tc>
        <w:tc>
          <w:tcPr>
            <w:tcW w:w="7920" w:type="dxa"/>
            <w:vAlign w:val="bottom"/>
          </w:tcPr>
          <w:p>
            <w:pPr>
              <w:spacing w:after="0" w:line="200" w:lineRule="exact"/>
              <w:rPr>
                <w:sz w:val="20"/>
                <w:szCs w:val="20"/>
                <w:color w:val="auto"/>
              </w:rPr>
            </w:pPr>
            <w:r>
              <w:rPr>
                <w:rFonts w:ascii="Arial" w:cs="Arial" w:eastAsia="Arial" w:hAnsi="Arial"/>
                <w:sz w:val="18"/>
                <w:szCs w:val="18"/>
                <w:b w:val="1"/>
                <w:bCs w:val="1"/>
                <w:color w:val="auto"/>
              </w:rPr>
              <w:t>Investing Activities</w:t>
            </w:r>
          </w:p>
        </w:tc>
        <w:tc>
          <w:tcPr>
            <w:tcW w:w="1500" w:type="dxa"/>
            <w:vAlign w:val="bottom"/>
            <w:vMerge w:val="restart"/>
          </w:tcPr>
          <w:p>
            <w:pPr>
              <w:jc w:val="right"/>
              <w:ind w:right="133"/>
              <w:spacing w:after="0"/>
              <w:rPr>
                <w:sz w:val="20"/>
                <w:szCs w:val="20"/>
                <w:color w:val="auto"/>
              </w:rPr>
            </w:pPr>
            <w:r>
              <w:rPr>
                <w:rFonts w:ascii="Arial" w:cs="Arial" w:eastAsia="Arial" w:hAnsi="Arial"/>
                <w:sz w:val="18"/>
                <w:szCs w:val="18"/>
                <w:b w:val="1"/>
                <w:bCs w:val="1"/>
                <w:color w:val="auto"/>
              </w:rPr>
              <w:t>(4,395)</w:t>
            </w:r>
          </w:p>
        </w:tc>
        <w:tc>
          <w:tcPr>
            <w:tcW w:w="32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5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81"/>
        </w:trPr>
        <w:tc>
          <w:tcPr>
            <w:tcW w:w="20" w:type="dxa"/>
            <w:vAlign w:val="bottom"/>
          </w:tcPr>
          <w:p>
            <w:pPr>
              <w:spacing w:after="0"/>
              <w:rPr>
                <w:sz w:val="15"/>
                <w:szCs w:val="15"/>
                <w:color w:val="auto"/>
              </w:rPr>
            </w:pPr>
          </w:p>
        </w:tc>
        <w:tc>
          <w:tcPr>
            <w:tcW w:w="7920" w:type="dxa"/>
            <w:vAlign w:val="bottom"/>
          </w:tcPr>
          <w:p>
            <w:pPr>
              <w:ind w:left="200"/>
              <w:spacing w:after="0" w:line="181" w:lineRule="exact"/>
              <w:rPr>
                <w:sz w:val="20"/>
                <w:szCs w:val="20"/>
                <w:color w:val="auto"/>
              </w:rPr>
            </w:pPr>
            <w:r>
              <w:rPr>
                <w:rFonts w:ascii="Arial" w:cs="Arial" w:eastAsia="Arial" w:hAnsi="Arial"/>
                <w:sz w:val="18"/>
                <w:szCs w:val="18"/>
                <w:color w:val="auto"/>
              </w:rPr>
              <w:t>Capital expenditures</w:t>
            </w:r>
          </w:p>
        </w:tc>
        <w:tc>
          <w:tcPr>
            <w:tcW w:w="1500" w:type="dxa"/>
            <w:vAlign w:val="bottom"/>
            <w:vMerge w:val="continue"/>
          </w:tcPr>
          <w:p>
            <w:pPr>
              <w:spacing w:after="0"/>
              <w:rPr>
                <w:sz w:val="15"/>
                <w:szCs w:val="15"/>
                <w:color w:val="auto"/>
              </w:rPr>
            </w:pPr>
          </w:p>
        </w:tc>
        <w:tc>
          <w:tcPr>
            <w:tcW w:w="320" w:type="dxa"/>
            <w:vAlign w:val="bottom"/>
          </w:tcPr>
          <w:p>
            <w:pPr>
              <w:spacing w:after="0"/>
              <w:rPr>
                <w:sz w:val="15"/>
                <w:szCs w:val="15"/>
                <w:color w:val="auto"/>
              </w:rPr>
            </w:pPr>
          </w:p>
        </w:tc>
        <w:tc>
          <w:tcPr>
            <w:tcW w:w="780" w:type="dxa"/>
            <w:vAlign w:val="bottom"/>
          </w:tcPr>
          <w:p>
            <w:pPr>
              <w:jc w:val="right"/>
              <w:ind w:right="133"/>
              <w:spacing w:after="0" w:line="181" w:lineRule="exact"/>
              <w:rPr>
                <w:sz w:val="20"/>
                <w:szCs w:val="20"/>
                <w:color w:val="auto"/>
              </w:rPr>
            </w:pPr>
            <w:r>
              <w:rPr>
                <w:rFonts w:ascii="Arial" w:cs="Arial" w:eastAsia="Arial" w:hAnsi="Arial"/>
                <w:sz w:val="18"/>
                <w:szCs w:val="18"/>
                <w:color w:val="auto"/>
                <w:w w:val="94"/>
              </w:rPr>
              <w:t>(3,621)</w:t>
            </w:r>
          </w:p>
        </w:tc>
        <w:tc>
          <w:tcPr>
            <w:tcW w:w="300" w:type="dxa"/>
            <w:vAlign w:val="bottom"/>
          </w:tcPr>
          <w:p>
            <w:pPr>
              <w:spacing w:after="0"/>
              <w:rPr>
                <w:sz w:val="15"/>
                <w:szCs w:val="15"/>
                <w:color w:val="auto"/>
              </w:rPr>
            </w:pPr>
          </w:p>
        </w:tc>
        <w:tc>
          <w:tcPr>
            <w:tcW w:w="580" w:type="dxa"/>
            <w:vAlign w:val="bottom"/>
          </w:tcPr>
          <w:p>
            <w:pPr>
              <w:jc w:val="right"/>
              <w:spacing w:after="0" w:line="181" w:lineRule="exact"/>
              <w:rPr>
                <w:sz w:val="20"/>
                <w:szCs w:val="20"/>
                <w:color w:val="auto"/>
              </w:rPr>
            </w:pPr>
            <w:r>
              <w:rPr>
                <w:rFonts w:ascii="Arial" w:cs="Arial" w:eastAsia="Arial" w:hAnsi="Arial"/>
                <w:sz w:val="18"/>
                <w:szCs w:val="18"/>
                <w:color w:val="auto"/>
                <w:w w:val="98"/>
              </w:rPr>
              <w:t>(3,660)</w:t>
            </w: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7920" w:type="dxa"/>
            <w:vAlign w:val="bottom"/>
          </w:tcPr>
          <w:p>
            <w:pPr>
              <w:ind w:left="200"/>
              <w:spacing w:after="0" w:line="202" w:lineRule="exact"/>
              <w:rPr>
                <w:sz w:val="20"/>
                <w:szCs w:val="20"/>
                <w:color w:val="auto"/>
              </w:rPr>
            </w:pPr>
            <w:r>
              <w:rPr>
                <w:rFonts w:ascii="Arial" w:cs="Arial" w:eastAsia="Arial" w:hAnsi="Arial"/>
                <w:sz w:val="18"/>
                <w:szCs w:val="18"/>
                <w:color w:val="auto"/>
              </w:rPr>
              <w:t>Cash paid for intangible assets</w:t>
            </w:r>
          </w:p>
        </w:tc>
        <w:tc>
          <w:tcPr>
            <w:tcW w:w="1500" w:type="dxa"/>
            <w:vAlign w:val="bottom"/>
          </w:tcPr>
          <w:p>
            <w:pPr>
              <w:jc w:val="right"/>
              <w:ind w:right="133"/>
              <w:spacing w:after="0" w:line="202" w:lineRule="exact"/>
              <w:rPr>
                <w:sz w:val="20"/>
                <w:szCs w:val="20"/>
                <w:color w:val="auto"/>
              </w:rPr>
            </w:pPr>
            <w:r>
              <w:rPr>
                <w:rFonts w:ascii="Arial" w:cs="Arial" w:eastAsia="Arial" w:hAnsi="Arial"/>
                <w:sz w:val="18"/>
                <w:szCs w:val="18"/>
                <w:b w:val="1"/>
                <w:bCs w:val="1"/>
                <w:color w:val="auto"/>
              </w:rPr>
              <w:t>(306)</w:t>
            </w:r>
          </w:p>
        </w:tc>
        <w:tc>
          <w:tcPr>
            <w:tcW w:w="320" w:type="dxa"/>
            <w:vAlign w:val="bottom"/>
          </w:tcPr>
          <w:p>
            <w:pPr>
              <w:spacing w:after="0"/>
              <w:rPr>
                <w:sz w:val="17"/>
                <w:szCs w:val="17"/>
                <w:color w:val="auto"/>
              </w:rPr>
            </w:pPr>
          </w:p>
        </w:tc>
        <w:tc>
          <w:tcPr>
            <w:tcW w:w="780" w:type="dxa"/>
            <w:vAlign w:val="bottom"/>
          </w:tcPr>
          <w:p>
            <w:pPr>
              <w:jc w:val="right"/>
              <w:ind w:right="133"/>
              <w:spacing w:after="0" w:line="202" w:lineRule="exact"/>
              <w:rPr>
                <w:sz w:val="20"/>
                <w:szCs w:val="20"/>
                <w:color w:val="auto"/>
              </w:rPr>
            </w:pPr>
            <w:r>
              <w:rPr>
                <w:rFonts w:ascii="Arial" w:cs="Arial" w:eastAsia="Arial" w:hAnsi="Arial"/>
                <w:sz w:val="18"/>
                <w:szCs w:val="18"/>
                <w:color w:val="auto"/>
              </w:rPr>
              <w:t>(281)</w:t>
            </w:r>
          </w:p>
        </w:tc>
        <w:tc>
          <w:tcPr>
            <w:tcW w:w="300" w:type="dxa"/>
            <w:vAlign w:val="bottom"/>
          </w:tcPr>
          <w:p>
            <w:pPr>
              <w:spacing w:after="0"/>
              <w:rPr>
                <w:sz w:val="17"/>
                <w:szCs w:val="17"/>
                <w:color w:val="auto"/>
              </w:rPr>
            </w:pPr>
          </w:p>
        </w:tc>
        <w:tc>
          <w:tcPr>
            <w:tcW w:w="580" w:type="dxa"/>
            <w:vAlign w:val="bottom"/>
          </w:tcPr>
          <w:p>
            <w:pPr>
              <w:jc w:val="right"/>
              <w:spacing w:after="0" w:line="202" w:lineRule="exact"/>
              <w:rPr>
                <w:sz w:val="20"/>
                <w:szCs w:val="20"/>
                <w:color w:val="auto"/>
              </w:rPr>
            </w:pPr>
            <w:r>
              <w:rPr>
                <w:rFonts w:ascii="Arial" w:cs="Arial" w:eastAsia="Arial" w:hAnsi="Arial"/>
                <w:sz w:val="18"/>
                <w:szCs w:val="18"/>
                <w:color w:val="auto"/>
              </w:rPr>
              <w:t>(615)</w:t>
            </w: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7920" w:type="dxa"/>
            <w:vAlign w:val="bottom"/>
          </w:tcPr>
          <w:p>
            <w:pPr>
              <w:ind w:left="200"/>
              <w:spacing w:after="0" w:line="202" w:lineRule="exact"/>
              <w:rPr>
                <w:sz w:val="20"/>
                <w:szCs w:val="20"/>
                <w:color w:val="auto"/>
              </w:rPr>
            </w:pPr>
            <w:r>
              <w:rPr>
                <w:rFonts w:ascii="Arial" w:cs="Arial" w:eastAsia="Arial" w:hAnsi="Arial"/>
                <w:sz w:val="18"/>
                <w:szCs w:val="18"/>
                <w:color w:val="auto"/>
              </w:rPr>
              <w:t>Acquisitions, net of cash acquired</w:t>
            </w:r>
          </w:p>
        </w:tc>
        <w:tc>
          <w:tcPr>
            <w:tcW w:w="1500" w:type="dxa"/>
            <w:vAlign w:val="bottom"/>
          </w:tcPr>
          <w:p>
            <w:pPr>
              <w:jc w:val="right"/>
              <w:ind w:right="133"/>
              <w:spacing w:after="0" w:line="202" w:lineRule="exact"/>
              <w:rPr>
                <w:sz w:val="20"/>
                <w:szCs w:val="20"/>
                <w:color w:val="auto"/>
              </w:rPr>
            </w:pPr>
            <w:r>
              <w:rPr>
                <w:rFonts w:ascii="Arial" w:cs="Arial" w:eastAsia="Arial" w:hAnsi="Arial"/>
                <w:sz w:val="18"/>
                <w:szCs w:val="18"/>
                <w:b w:val="1"/>
                <w:bCs w:val="1"/>
                <w:color w:val="auto"/>
              </w:rPr>
              <w:t>(5,110)</w:t>
            </w:r>
          </w:p>
        </w:tc>
        <w:tc>
          <w:tcPr>
            <w:tcW w:w="320" w:type="dxa"/>
            <w:vAlign w:val="bottom"/>
          </w:tcPr>
          <w:p>
            <w:pPr>
              <w:spacing w:after="0"/>
              <w:rPr>
                <w:sz w:val="17"/>
                <w:szCs w:val="17"/>
                <w:color w:val="auto"/>
              </w:rPr>
            </w:pPr>
          </w:p>
        </w:tc>
        <w:tc>
          <w:tcPr>
            <w:tcW w:w="780" w:type="dxa"/>
            <w:vAlign w:val="bottom"/>
          </w:tcPr>
          <w:p>
            <w:pPr>
              <w:jc w:val="right"/>
              <w:ind w:right="133"/>
              <w:spacing w:after="0" w:line="202" w:lineRule="exact"/>
              <w:rPr>
                <w:sz w:val="20"/>
                <w:szCs w:val="20"/>
                <w:color w:val="auto"/>
              </w:rPr>
            </w:pPr>
            <w:r>
              <w:rPr>
                <w:rFonts w:ascii="Arial" w:cs="Arial" w:eastAsia="Arial" w:hAnsi="Arial"/>
                <w:sz w:val="18"/>
                <w:szCs w:val="18"/>
                <w:color w:val="auto"/>
              </w:rPr>
              <w:t>(199)</w:t>
            </w:r>
          </w:p>
        </w:tc>
        <w:tc>
          <w:tcPr>
            <w:tcW w:w="300" w:type="dxa"/>
            <w:vAlign w:val="bottom"/>
          </w:tcPr>
          <w:p>
            <w:pPr>
              <w:spacing w:after="0"/>
              <w:rPr>
                <w:sz w:val="17"/>
                <w:szCs w:val="17"/>
                <w:color w:val="auto"/>
              </w:rPr>
            </w:pPr>
          </w:p>
        </w:tc>
        <w:tc>
          <w:tcPr>
            <w:tcW w:w="580" w:type="dxa"/>
            <w:vAlign w:val="bottom"/>
          </w:tcPr>
          <w:p>
            <w:pPr>
              <w:jc w:val="right"/>
              <w:spacing w:after="0" w:line="202" w:lineRule="exact"/>
              <w:rPr>
                <w:sz w:val="20"/>
                <w:szCs w:val="20"/>
                <w:color w:val="auto"/>
              </w:rPr>
            </w:pPr>
            <w:r>
              <w:rPr>
                <w:rFonts w:ascii="Arial" w:cs="Arial" w:eastAsia="Arial" w:hAnsi="Arial"/>
                <w:sz w:val="18"/>
                <w:szCs w:val="18"/>
                <w:color w:val="auto"/>
              </w:rPr>
              <w:t>(296)</w:t>
            </w: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7920" w:type="dxa"/>
            <w:vAlign w:val="bottom"/>
          </w:tcPr>
          <w:p>
            <w:pPr>
              <w:ind w:left="200"/>
              <w:spacing w:after="0" w:line="202" w:lineRule="exact"/>
              <w:rPr>
                <w:sz w:val="20"/>
                <w:szCs w:val="20"/>
                <w:color w:val="auto"/>
              </w:rPr>
            </w:pPr>
            <w:r>
              <w:rPr>
                <w:rFonts w:ascii="Arial" w:cs="Arial" w:eastAsia="Arial" w:hAnsi="Arial"/>
                <w:sz w:val="18"/>
                <w:szCs w:val="18"/>
                <w:color w:val="auto"/>
              </w:rPr>
              <w:t>Proceeds from sales and restructuring of investments</w:t>
            </w:r>
          </w:p>
        </w:tc>
        <w:tc>
          <w:tcPr>
            <w:tcW w:w="1500" w:type="dxa"/>
            <w:vAlign w:val="bottom"/>
          </w:tcPr>
          <w:p>
            <w:pPr>
              <w:jc w:val="right"/>
              <w:ind w:right="193"/>
              <w:spacing w:after="0" w:line="202" w:lineRule="exact"/>
              <w:rPr>
                <w:sz w:val="20"/>
                <w:szCs w:val="20"/>
                <w:color w:val="auto"/>
              </w:rPr>
            </w:pPr>
            <w:r>
              <w:rPr>
                <w:rFonts w:ascii="Arial" w:cs="Arial" w:eastAsia="Arial" w:hAnsi="Arial"/>
                <w:sz w:val="18"/>
                <w:szCs w:val="18"/>
                <w:b w:val="1"/>
                <w:bCs w:val="1"/>
                <w:color w:val="auto"/>
              </w:rPr>
              <w:t>2,720</w:t>
            </w:r>
          </w:p>
        </w:tc>
        <w:tc>
          <w:tcPr>
            <w:tcW w:w="320" w:type="dxa"/>
            <w:vAlign w:val="bottom"/>
          </w:tcPr>
          <w:p>
            <w:pPr>
              <w:spacing w:after="0"/>
              <w:rPr>
                <w:sz w:val="17"/>
                <w:szCs w:val="17"/>
                <w:color w:val="auto"/>
              </w:rPr>
            </w:pPr>
          </w:p>
        </w:tc>
        <w:tc>
          <w:tcPr>
            <w:tcW w:w="780" w:type="dxa"/>
            <w:vAlign w:val="bottom"/>
          </w:tcPr>
          <w:p>
            <w:pPr>
              <w:jc w:val="right"/>
              <w:ind w:right="193"/>
              <w:spacing w:after="0" w:line="202" w:lineRule="exact"/>
              <w:rPr>
                <w:sz w:val="20"/>
                <w:szCs w:val="20"/>
                <w:color w:val="auto"/>
              </w:rPr>
            </w:pPr>
            <w:r>
              <w:rPr>
                <w:rFonts w:ascii="Arial" w:cs="Arial" w:eastAsia="Arial" w:hAnsi="Arial"/>
                <w:sz w:val="18"/>
                <w:szCs w:val="18"/>
                <w:color w:val="auto"/>
              </w:rPr>
              <w:t>861</w:t>
            </w:r>
          </w:p>
        </w:tc>
        <w:tc>
          <w:tcPr>
            <w:tcW w:w="300" w:type="dxa"/>
            <w:vAlign w:val="bottom"/>
          </w:tcPr>
          <w:p>
            <w:pPr>
              <w:spacing w:after="0"/>
              <w:rPr>
                <w:sz w:val="17"/>
                <w:szCs w:val="17"/>
                <w:color w:val="auto"/>
              </w:rPr>
            </w:pPr>
          </w:p>
        </w:tc>
        <w:tc>
          <w:tcPr>
            <w:tcW w:w="580" w:type="dxa"/>
            <w:vAlign w:val="bottom"/>
          </w:tcPr>
          <w:p>
            <w:pPr>
              <w:jc w:val="right"/>
              <w:spacing w:after="0" w:line="202" w:lineRule="exact"/>
              <w:rPr>
                <w:sz w:val="20"/>
                <w:szCs w:val="20"/>
                <w:color w:val="auto"/>
              </w:rPr>
            </w:pPr>
            <w:r>
              <w:rPr>
                <w:rFonts w:ascii="Arial" w:cs="Arial" w:eastAsia="Arial" w:hAnsi="Arial"/>
                <w:sz w:val="18"/>
                <w:szCs w:val="18"/>
                <w:color w:val="auto"/>
              </w:rPr>
              <w:t>228</w:t>
            </w: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7920" w:type="dxa"/>
            <w:vAlign w:val="bottom"/>
          </w:tcPr>
          <w:p>
            <w:pPr>
              <w:ind w:left="200"/>
              <w:spacing w:after="0" w:line="202" w:lineRule="exact"/>
              <w:rPr>
                <w:sz w:val="20"/>
                <w:szCs w:val="20"/>
                <w:color w:val="auto"/>
              </w:rPr>
            </w:pPr>
            <w:r>
              <w:rPr>
                <w:rFonts w:ascii="Arial" w:cs="Arial" w:eastAsia="Arial" w:hAnsi="Arial"/>
                <w:sz w:val="18"/>
                <w:szCs w:val="18"/>
                <w:color w:val="auto"/>
              </w:rPr>
              <w:t>Purchases of investments</w:t>
            </w:r>
          </w:p>
        </w:tc>
        <w:tc>
          <w:tcPr>
            <w:tcW w:w="1500" w:type="dxa"/>
            <w:vAlign w:val="bottom"/>
          </w:tcPr>
          <w:p>
            <w:pPr>
              <w:jc w:val="right"/>
              <w:ind w:right="133"/>
              <w:spacing w:after="0" w:line="202" w:lineRule="exact"/>
              <w:rPr>
                <w:sz w:val="20"/>
                <w:szCs w:val="20"/>
                <w:color w:val="auto"/>
              </w:rPr>
            </w:pPr>
            <w:r>
              <w:rPr>
                <w:rFonts w:ascii="Arial" w:cs="Arial" w:eastAsia="Arial" w:hAnsi="Arial"/>
                <w:sz w:val="18"/>
                <w:szCs w:val="18"/>
                <w:b w:val="1"/>
                <w:bCs w:val="1"/>
                <w:color w:val="auto"/>
              </w:rPr>
              <w:t>(2,812)</w:t>
            </w:r>
          </w:p>
        </w:tc>
        <w:tc>
          <w:tcPr>
            <w:tcW w:w="320" w:type="dxa"/>
            <w:vAlign w:val="bottom"/>
          </w:tcPr>
          <w:p>
            <w:pPr>
              <w:spacing w:after="0"/>
              <w:rPr>
                <w:sz w:val="17"/>
                <w:szCs w:val="17"/>
                <w:color w:val="auto"/>
              </w:rPr>
            </w:pPr>
          </w:p>
        </w:tc>
        <w:tc>
          <w:tcPr>
            <w:tcW w:w="780" w:type="dxa"/>
            <w:vAlign w:val="bottom"/>
          </w:tcPr>
          <w:p>
            <w:pPr>
              <w:jc w:val="right"/>
              <w:ind w:right="133"/>
              <w:spacing w:after="0" w:line="202" w:lineRule="exact"/>
              <w:rPr>
                <w:sz w:val="20"/>
                <w:szCs w:val="20"/>
                <w:color w:val="auto"/>
              </w:rPr>
            </w:pPr>
            <w:r>
              <w:rPr>
                <w:rFonts w:ascii="Arial" w:cs="Arial" w:eastAsia="Arial" w:hAnsi="Arial"/>
                <w:sz w:val="18"/>
                <w:szCs w:val="18"/>
                <w:color w:val="auto"/>
              </w:rPr>
              <w:t>(306)</w:t>
            </w:r>
          </w:p>
        </w:tc>
        <w:tc>
          <w:tcPr>
            <w:tcW w:w="300" w:type="dxa"/>
            <w:vAlign w:val="bottom"/>
          </w:tcPr>
          <w:p>
            <w:pPr>
              <w:spacing w:after="0"/>
              <w:rPr>
                <w:sz w:val="17"/>
                <w:szCs w:val="17"/>
                <w:color w:val="auto"/>
              </w:rPr>
            </w:pPr>
          </w:p>
        </w:tc>
        <w:tc>
          <w:tcPr>
            <w:tcW w:w="580" w:type="dxa"/>
            <w:vAlign w:val="bottom"/>
          </w:tcPr>
          <w:p>
            <w:pPr>
              <w:jc w:val="right"/>
              <w:spacing w:after="0" w:line="202" w:lineRule="exact"/>
              <w:rPr>
                <w:sz w:val="20"/>
                <w:szCs w:val="20"/>
                <w:color w:val="auto"/>
              </w:rPr>
            </w:pPr>
            <w:r>
              <w:rPr>
                <w:rFonts w:ascii="Arial" w:cs="Arial" w:eastAsia="Arial" w:hAnsi="Arial"/>
                <w:sz w:val="18"/>
                <w:szCs w:val="18"/>
                <w:color w:val="auto"/>
              </w:rPr>
              <w:t>(156)</w:t>
            </w: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7920" w:type="dxa"/>
            <w:vAlign w:val="bottom"/>
          </w:tcPr>
          <w:p>
            <w:pPr>
              <w:ind w:left="200"/>
              <w:spacing w:after="0" w:line="202" w:lineRule="exact"/>
              <w:rPr>
                <w:sz w:val="20"/>
                <w:szCs w:val="20"/>
                <w:color w:val="auto"/>
              </w:rPr>
            </w:pPr>
            <w:r>
              <w:rPr>
                <w:rFonts w:ascii="Arial" w:cs="Arial" w:eastAsia="Arial" w:hAnsi="Arial"/>
                <w:sz w:val="18"/>
                <w:szCs w:val="18"/>
                <w:color w:val="auto"/>
              </w:rPr>
              <w:t>Proceeds from sales (purchases) of short-term investments, net</w:t>
            </w:r>
          </w:p>
        </w:tc>
        <w:tc>
          <w:tcPr>
            <w:tcW w:w="1500" w:type="dxa"/>
            <w:vAlign w:val="bottom"/>
          </w:tcPr>
          <w:p>
            <w:pPr>
              <w:jc w:val="right"/>
              <w:ind w:right="193"/>
              <w:spacing w:after="0" w:line="202" w:lineRule="exact"/>
              <w:rPr>
                <w:sz w:val="20"/>
                <w:szCs w:val="20"/>
                <w:color w:val="auto"/>
              </w:rPr>
            </w:pPr>
            <w:r>
              <w:rPr>
                <w:rFonts w:ascii="Arial" w:cs="Arial" w:eastAsia="Arial" w:hAnsi="Arial"/>
                <w:sz w:val="18"/>
                <w:szCs w:val="18"/>
                <w:b w:val="1"/>
                <w:bCs w:val="1"/>
                <w:color w:val="auto"/>
              </w:rPr>
              <w:t>33</w:t>
            </w:r>
          </w:p>
        </w:tc>
        <w:tc>
          <w:tcPr>
            <w:tcW w:w="320" w:type="dxa"/>
            <w:vAlign w:val="bottom"/>
          </w:tcPr>
          <w:p>
            <w:pPr>
              <w:spacing w:after="0"/>
              <w:rPr>
                <w:sz w:val="17"/>
                <w:szCs w:val="17"/>
                <w:color w:val="auto"/>
              </w:rPr>
            </w:pPr>
          </w:p>
        </w:tc>
        <w:tc>
          <w:tcPr>
            <w:tcW w:w="780" w:type="dxa"/>
            <w:vAlign w:val="bottom"/>
          </w:tcPr>
          <w:p>
            <w:pPr>
              <w:jc w:val="right"/>
              <w:ind w:right="133"/>
              <w:spacing w:after="0" w:line="202" w:lineRule="exact"/>
              <w:rPr>
                <w:sz w:val="20"/>
                <w:szCs w:val="20"/>
                <w:color w:val="auto"/>
              </w:rPr>
            </w:pPr>
            <w:r>
              <w:rPr>
                <w:rFonts w:ascii="Arial" w:cs="Arial" w:eastAsia="Arial" w:hAnsi="Arial"/>
                <w:sz w:val="18"/>
                <w:szCs w:val="18"/>
                <w:color w:val="auto"/>
              </w:rPr>
              <w:t>(86)</w:t>
            </w:r>
          </w:p>
        </w:tc>
        <w:tc>
          <w:tcPr>
            <w:tcW w:w="300" w:type="dxa"/>
            <w:vAlign w:val="bottom"/>
          </w:tcPr>
          <w:p>
            <w:pPr>
              <w:spacing w:after="0"/>
              <w:rPr>
                <w:sz w:val="17"/>
                <w:szCs w:val="17"/>
                <w:color w:val="auto"/>
              </w:rPr>
            </w:pPr>
          </w:p>
        </w:tc>
        <w:tc>
          <w:tcPr>
            <w:tcW w:w="580" w:type="dxa"/>
            <w:vAlign w:val="bottom"/>
          </w:tcPr>
          <w:p>
            <w:pPr>
              <w:jc w:val="right"/>
              <w:spacing w:after="0" w:line="202" w:lineRule="exact"/>
              <w:rPr>
                <w:sz w:val="20"/>
                <w:szCs w:val="20"/>
                <w:color w:val="auto"/>
              </w:rPr>
            </w:pPr>
            <w:r>
              <w:rPr>
                <w:rFonts w:ascii="Arial" w:cs="Arial" w:eastAsia="Arial" w:hAnsi="Arial"/>
                <w:sz w:val="18"/>
                <w:szCs w:val="18"/>
                <w:color w:val="auto"/>
              </w:rPr>
              <w:t>(13)</w:t>
            </w: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7920" w:type="dxa"/>
            <w:vAlign w:val="bottom"/>
          </w:tcPr>
          <w:p>
            <w:pPr>
              <w:ind w:left="200"/>
              <w:spacing w:after="0" w:line="202" w:lineRule="exact"/>
              <w:rPr>
                <w:sz w:val="20"/>
                <w:szCs w:val="20"/>
                <w:color w:val="auto"/>
              </w:rPr>
            </w:pPr>
            <w:r>
              <w:rPr>
                <w:rFonts w:ascii="Arial" w:cs="Arial" w:eastAsia="Arial" w:hAnsi="Arial"/>
                <w:sz w:val="18"/>
                <w:szCs w:val="18"/>
                <w:color w:val="auto"/>
              </w:rPr>
              <w:t>Proceeds from settlement of contract of acquired company</w:t>
            </w:r>
          </w:p>
        </w:tc>
        <w:tc>
          <w:tcPr>
            <w:tcW w:w="1500" w:type="dxa"/>
            <w:vAlign w:val="bottom"/>
          </w:tcPr>
          <w:p>
            <w:pPr>
              <w:jc w:val="right"/>
              <w:ind w:right="193"/>
              <w:spacing w:after="0" w:line="202" w:lineRule="exact"/>
              <w:rPr>
                <w:sz w:val="20"/>
                <w:szCs w:val="20"/>
                <w:color w:val="auto"/>
              </w:rPr>
            </w:pPr>
            <w:r>
              <w:rPr>
                <w:rFonts w:ascii="Arial" w:cs="Arial" w:eastAsia="Arial" w:hAnsi="Arial"/>
                <w:sz w:val="18"/>
                <w:szCs w:val="18"/>
                <w:b w:val="1"/>
                <w:bCs w:val="1"/>
                <w:color w:val="auto"/>
              </w:rPr>
              <w:t>—</w:t>
            </w:r>
          </w:p>
        </w:tc>
        <w:tc>
          <w:tcPr>
            <w:tcW w:w="320" w:type="dxa"/>
            <w:vAlign w:val="bottom"/>
          </w:tcPr>
          <w:p>
            <w:pPr>
              <w:spacing w:after="0"/>
              <w:rPr>
                <w:sz w:val="17"/>
                <w:szCs w:val="17"/>
                <w:color w:val="auto"/>
              </w:rPr>
            </w:pPr>
          </w:p>
        </w:tc>
        <w:tc>
          <w:tcPr>
            <w:tcW w:w="780" w:type="dxa"/>
            <w:vAlign w:val="bottom"/>
          </w:tcPr>
          <w:p>
            <w:pPr>
              <w:jc w:val="right"/>
              <w:ind w:right="193"/>
              <w:spacing w:after="0" w:line="202" w:lineRule="exact"/>
              <w:rPr>
                <w:sz w:val="20"/>
                <w:szCs w:val="20"/>
                <w:color w:val="auto"/>
              </w:rPr>
            </w:pPr>
            <w:r>
              <w:rPr>
                <w:rFonts w:ascii="Arial" w:cs="Arial" w:eastAsia="Arial" w:hAnsi="Arial"/>
                <w:sz w:val="18"/>
                <w:szCs w:val="18"/>
                <w:color w:val="auto"/>
              </w:rPr>
              <w:t>—</w:t>
            </w:r>
          </w:p>
        </w:tc>
        <w:tc>
          <w:tcPr>
            <w:tcW w:w="300" w:type="dxa"/>
            <w:vAlign w:val="bottom"/>
          </w:tcPr>
          <w:p>
            <w:pPr>
              <w:spacing w:after="0"/>
              <w:rPr>
                <w:sz w:val="17"/>
                <w:szCs w:val="17"/>
                <w:color w:val="auto"/>
              </w:rPr>
            </w:pPr>
          </w:p>
        </w:tc>
        <w:tc>
          <w:tcPr>
            <w:tcW w:w="580" w:type="dxa"/>
            <w:vAlign w:val="bottom"/>
          </w:tcPr>
          <w:p>
            <w:pPr>
              <w:jc w:val="right"/>
              <w:spacing w:after="0" w:line="202" w:lineRule="exact"/>
              <w:rPr>
                <w:sz w:val="20"/>
                <w:szCs w:val="20"/>
                <w:color w:val="auto"/>
              </w:rPr>
            </w:pPr>
            <w:r>
              <w:rPr>
                <w:rFonts w:ascii="Arial" w:cs="Arial" w:eastAsia="Arial" w:hAnsi="Arial"/>
                <w:sz w:val="18"/>
                <w:szCs w:val="18"/>
                <w:color w:val="auto"/>
              </w:rPr>
              <w:t>26</w:t>
            </w:r>
          </w:p>
        </w:tc>
        <w:tc>
          <w:tcPr>
            <w:tcW w:w="0" w:type="dxa"/>
            <w:vAlign w:val="bottom"/>
          </w:tcPr>
          <w:p>
            <w:pPr>
              <w:spacing w:after="0"/>
              <w:rPr>
                <w:sz w:val="1"/>
                <w:szCs w:val="1"/>
                <w:color w:val="auto"/>
              </w:rPr>
            </w:pPr>
          </w:p>
        </w:tc>
      </w:tr>
      <w:tr>
        <w:trPr>
          <w:trHeight w:val="221"/>
        </w:trPr>
        <w:tc>
          <w:tcPr>
            <w:tcW w:w="20" w:type="dxa"/>
            <w:vAlign w:val="bottom"/>
          </w:tcPr>
          <w:p>
            <w:pPr>
              <w:spacing w:after="0"/>
              <w:rPr>
                <w:sz w:val="19"/>
                <w:szCs w:val="19"/>
                <w:color w:val="auto"/>
              </w:rPr>
            </w:pPr>
          </w:p>
        </w:tc>
        <w:tc>
          <w:tcPr>
            <w:tcW w:w="7920" w:type="dxa"/>
            <w:vAlign w:val="bottom"/>
            <w:tcBorders>
              <w:bottom w:val="single" w:sz="8" w:color="auto"/>
            </w:tcBorders>
          </w:tcPr>
          <w:p>
            <w:pPr>
              <w:ind w:left="200"/>
              <w:spacing w:after="0"/>
              <w:rPr>
                <w:sz w:val="20"/>
                <w:szCs w:val="20"/>
                <w:color w:val="auto"/>
              </w:rPr>
            </w:pPr>
            <w:r>
              <w:rPr>
                <w:rFonts w:ascii="Arial" w:cs="Arial" w:eastAsia="Arial" w:hAnsi="Arial"/>
                <w:sz w:val="18"/>
                <w:szCs w:val="18"/>
                <w:color w:val="auto"/>
              </w:rPr>
              <w:t>Other</w:t>
            </w:r>
          </w:p>
        </w:tc>
        <w:tc>
          <w:tcPr>
            <w:tcW w:w="1500" w:type="dxa"/>
            <w:vAlign w:val="bottom"/>
            <w:tcBorders>
              <w:bottom w:val="single" w:sz="8" w:color="auto"/>
            </w:tcBorders>
          </w:tcPr>
          <w:p>
            <w:pPr>
              <w:jc w:val="right"/>
              <w:ind w:right="133"/>
              <w:spacing w:after="0"/>
              <w:rPr>
                <w:sz w:val="20"/>
                <w:szCs w:val="20"/>
                <w:color w:val="auto"/>
              </w:rPr>
            </w:pPr>
            <w:r>
              <w:rPr>
                <w:rFonts w:ascii="Arial" w:cs="Arial" w:eastAsia="Arial" w:hAnsi="Arial"/>
                <w:sz w:val="18"/>
                <w:szCs w:val="18"/>
                <w:b w:val="1"/>
                <w:bCs w:val="1"/>
                <w:color w:val="auto"/>
              </w:rPr>
              <w:t>(2)</w:t>
            </w:r>
          </w:p>
        </w:tc>
        <w:tc>
          <w:tcPr>
            <w:tcW w:w="320" w:type="dxa"/>
            <w:vAlign w:val="bottom"/>
            <w:tcBorders>
              <w:bottom w:val="single" w:sz="8" w:color="auto"/>
            </w:tcBorders>
          </w:tcPr>
          <w:p>
            <w:pPr>
              <w:spacing w:after="0"/>
              <w:rPr>
                <w:sz w:val="19"/>
                <w:szCs w:val="19"/>
                <w:color w:val="auto"/>
              </w:rPr>
            </w:pPr>
          </w:p>
        </w:tc>
        <w:tc>
          <w:tcPr>
            <w:tcW w:w="780" w:type="dxa"/>
            <w:vAlign w:val="bottom"/>
            <w:tcBorders>
              <w:bottom w:val="single" w:sz="8" w:color="auto"/>
            </w:tcBorders>
          </w:tcPr>
          <w:p>
            <w:pPr>
              <w:jc w:val="right"/>
              <w:ind w:right="133"/>
              <w:spacing w:after="0"/>
              <w:rPr>
                <w:sz w:val="20"/>
                <w:szCs w:val="20"/>
                <w:color w:val="auto"/>
              </w:rPr>
            </w:pPr>
            <w:r>
              <w:rPr>
                <w:rFonts w:ascii="Arial" w:cs="Arial" w:eastAsia="Arial" w:hAnsi="Arial"/>
                <w:sz w:val="18"/>
                <w:szCs w:val="18"/>
                <w:color w:val="auto"/>
              </w:rPr>
              <w:t>(116)</w:t>
            </w:r>
          </w:p>
        </w:tc>
        <w:tc>
          <w:tcPr>
            <w:tcW w:w="300" w:type="dxa"/>
            <w:vAlign w:val="bottom"/>
            <w:tcBorders>
              <w:bottom w:val="single" w:sz="8" w:color="auto"/>
            </w:tcBorders>
          </w:tcPr>
          <w:p>
            <w:pPr>
              <w:spacing w:after="0"/>
              <w:rPr>
                <w:sz w:val="19"/>
                <w:szCs w:val="19"/>
                <w:color w:val="auto"/>
              </w:rPr>
            </w:pPr>
          </w:p>
        </w:tc>
        <w:tc>
          <w:tcPr>
            <w:tcW w:w="5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(26)</w:t>
            </w:r>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7920" w:type="dxa"/>
            <w:vAlign w:val="bottom"/>
            <w:tcBorders>
              <w:bottom w:val="single" w:sz="8" w:color="auto"/>
            </w:tcBorders>
          </w:tcPr>
          <w:p>
            <w:pPr>
              <w:ind w:left="860"/>
              <w:spacing w:after="0" w:line="196" w:lineRule="exact"/>
              <w:rPr>
                <w:sz w:val="20"/>
                <w:szCs w:val="20"/>
                <w:color w:val="auto"/>
              </w:rPr>
            </w:pPr>
            <w:r>
              <w:rPr>
                <w:rFonts w:ascii="Arial" w:cs="Arial" w:eastAsia="Arial" w:hAnsi="Arial"/>
                <w:sz w:val="18"/>
                <w:szCs w:val="18"/>
                <w:b w:val="1"/>
                <w:bCs w:val="1"/>
                <w:color w:val="auto"/>
              </w:rPr>
              <w:t>Net cash provided by (used in) investing activities</w:t>
            </w:r>
          </w:p>
        </w:tc>
        <w:tc>
          <w:tcPr>
            <w:tcW w:w="1500" w:type="dxa"/>
            <w:vAlign w:val="bottom"/>
            <w:tcBorders>
              <w:bottom w:val="single" w:sz="8" w:color="auto"/>
            </w:tcBorders>
          </w:tcPr>
          <w:p>
            <w:pPr>
              <w:jc w:val="right"/>
              <w:ind w:right="133"/>
              <w:spacing w:after="0" w:line="196" w:lineRule="exact"/>
              <w:rPr>
                <w:sz w:val="20"/>
                <w:szCs w:val="20"/>
                <w:color w:val="auto"/>
              </w:rPr>
            </w:pPr>
            <w:r>
              <w:rPr>
                <w:rFonts w:ascii="Arial" w:cs="Arial" w:eastAsia="Arial" w:hAnsi="Arial"/>
                <w:sz w:val="18"/>
                <w:szCs w:val="18"/>
                <w:b w:val="1"/>
                <w:bCs w:val="1"/>
                <w:color w:val="auto"/>
              </w:rPr>
              <w:t>(9,872)</w:t>
            </w:r>
          </w:p>
        </w:tc>
        <w:tc>
          <w:tcPr>
            <w:tcW w:w="320" w:type="dxa"/>
            <w:vAlign w:val="bottom"/>
            <w:tcBorders>
              <w:bottom w:val="single" w:sz="8" w:color="auto"/>
            </w:tcBorders>
          </w:tcPr>
          <w:p>
            <w:pPr>
              <w:spacing w:after="0"/>
              <w:rPr>
                <w:sz w:val="17"/>
                <w:szCs w:val="17"/>
                <w:color w:val="auto"/>
              </w:rPr>
            </w:pPr>
          </w:p>
        </w:tc>
        <w:tc>
          <w:tcPr>
            <w:tcW w:w="780" w:type="dxa"/>
            <w:vAlign w:val="bottom"/>
            <w:tcBorders>
              <w:bottom w:val="single" w:sz="8" w:color="auto"/>
            </w:tcBorders>
          </w:tcPr>
          <w:p>
            <w:pPr>
              <w:jc w:val="right"/>
              <w:ind w:right="133"/>
              <w:spacing w:after="0" w:line="196" w:lineRule="exact"/>
              <w:rPr>
                <w:sz w:val="20"/>
                <w:szCs w:val="20"/>
                <w:color w:val="auto"/>
              </w:rPr>
            </w:pPr>
            <w:r>
              <w:rPr>
                <w:rFonts w:ascii="Arial" w:cs="Arial" w:eastAsia="Arial" w:hAnsi="Arial"/>
                <w:sz w:val="18"/>
                <w:szCs w:val="18"/>
                <w:color w:val="auto"/>
                <w:w w:val="94"/>
              </w:rPr>
              <w:t>(3,748)</w:t>
            </w:r>
          </w:p>
        </w:tc>
        <w:tc>
          <w:tcPr>
            <w:tcW w:w="300" w:type="dxa"/>
            <w:vAlign w:val="bottom"/>
            <w:tcBorders>
              <w:bottom w:val="single" w:sz="8" w:color="auto"/>
            </w:tcBorders>
          </w:tcPr>
          <w:p>
            <w:pPr>
              <w:spacing w:after="0"/>
              <w:rPr>
                <w:sz w:val="17"/>
                <w:szCs w:val="17"/>
                <w:color w:val="auto"/>
              </w:rPr>
            </w:pPr>
          </w:p>
        </w:tc>
        <w:tc>
          <w:tcPr>
            <w:tcW w:w="580" w:type="dxa"/>
            <w:vAlign w:val="bottom"/>
            <w:tcBorders>
              <w:bottom w:val="single" w:sz="8" w:color="auto"/>
            </w:tcBorders>
          </w:tcPr>
          <w:p>
            <w:pPr>
              <w:jc w:val="right"/>
              <w:spacing w:after="0" w:line="196" w:lineRule="exact"/>
              <w:rPr>
                <w:sz w:val="20"/>
                <w:szCs w:val="20"/>
                <w:color w:val="auto"/>
              </w:rPr>
            </w:pPr>
            <w:r>
              <w:rPr>
                <w:rFonts w:ascii="Arial" w:cs="Arial" w:eastAsia="Arial" w:hAnsi="Arial"/>
                <w:sz w:val="18"/>
                <w:szCs w:val="18"/>
                <w:color w:val="auto"/>
                <w:w w:val="98"/>
              </w:rPr>
              <w:t>(4,512)</w:t>
            </w:r>
          </w:p>
        </w:tc>
        <w:tc>
          <w:tcPr>
            <w:tcW w:w="0" w:type="dxa"/>
            <w:vAlign w:val="bottom"/>
          </w:tcPr>
          <w:p>
            <w:pPr>
              <w:spacing w:after="0"/>
              <w:rPr>
                <w:sz w:val="1"/>
                <w:szCs w:val="1"/>
                <w:color w:val="auto"/>
              </w:rPr>
            </w:pPr>
          </w:p>
        </w:tc>
      </w:tr>
      <w:tr>
        <w:trPr>
          <w:trHeight w:val="177"/>
        </w:trPr>
        <w:tc>
          <w:tcPr>
            <w:tcW w:w="7940" w:type="dxa"/>
            <w:vAlign w:val="bottom"/>
            <w:gridSpan w:val="2"/>
          </w:tcPr>
          <w:p>
            <w:pPr>
              <w:spacing w:after="0" w:line="177" w:lineRule="exact"/>
              <w:rPr>
                <w:sz w:val="20"/>
                <w:szCs w:val="20"/>
                <w:color w:val="auto"/>
              </w:rPr>
            </w:pPr>
            <w:r>
              <w:rPr>
                <w:rFonts w:ascii="Arial" w:cs="Arial" w:eastAsia="Arial" w:hAnsi="Arial"/>
                <w:sz w:val="18"/>
                <w:szCs w:val="18"/>
                <w:color w:val="auto"/>
              </w:rPr>
              <w:t>Increase (decrease) in cash and cash equivalents</w:t>
            </w:r>
          </w:p>
        </w:tc>
        <w:tc>
          <w:tcPr>
            <w:tcW w:w="1500" w:type="dxa"/>
            <w:vAlign w:val="bottom"/>
          </w:tcPr>
          <w:p>
            <w:pPr>
              <w:jc w:val="right"/>
              <w:ind w:right="193"/>
              <w:spacing w:after="0" w:line="177" w:lineRule="exact"/>
              <w:rPr>
                <w:sz w:val="20"/>
                <w:szCs w:val="20"/>
                <w:color w:val="auto"/>
              </w:rPr>
            </w:pPr>
            <w:r>
              <w:rPr>
                <w:rFonts w:ascii="Arial" w:cs="Arial" w:eastAsia="Arial" w:hAnsi="Arial"/>
                <w:sz w:val="18"/>
                <w:szCs w:val="18"/>
                <w:b w:val="1"/>
                <w:bCs w:val="1"/>
                <w:color w:val="auto"/>
              </w:rPr>
              <w:t>292</w:t>
            </w:r>
          </w:p>
        </w:tc>
        <w:tc>
          <w:tcPr>
            <w:tcW w:w="320" w:type="dxa"/>
            <w:vAlign w:val="bottom"/>
          </w:tcPr>
          <w:p>
            <w:pPr>
              <w:spacing w:after="0"/>
              <w:rPr>
                <w:sz w:val="15"/>
                <w:szCs w:val="15"/>
                <w:color w:val="auto"/>
              </w:rPr>
            </w:pPr>
          </w:p>
        </w:tc>
        <w:tc>
          <w:tcPr>
            <w:tcW w:w="780" w:type="dxa"/>
            <w:vAlign w:val="bottom"/>
          </w:tcPr>
          <w:p>
            <w:pPr>
              <w:jc w:val="right"/>
              <w:ind w:right="193"/>
              <w:spacing w:after="0" w:line="177" w:lineRule="exact"/>
              <w:rPr>
                <w:sz w:val="20"/>
                <w:szCs w:val="20"/>
                <w:color w:val="auto"/>
              </w:rPr>
            </w:pPr>
            <w:r>
              <w:rPr>
                <w:rFonts w:ascii="Arial" w:cs="Arial" w:eastAsia="Arial" w:hAnsi="Arial"/>
                <w:sz w:val="18"/>
                <w:szCs w:val="18"/>
                <w:color w:val="auto"/>
              </w:rPr>
              <w:t>154</w:t>
            </w:r>
          </w:p>
        </w:tc>
        <w:tc>
          <w:tcPr>
            <w:tcW w:w="300" w:type="dxa"/>
            <w:vAlign w:val="bottom"/>
          </w:tcPr>
          <w:p>
            <w:pPr>
              <w:spacing w:after="0"/>
              <w:rPr>
                <w:sz w:val="15"/>
                <w:szCs w:val="15"/>
                <w:color w:val="auto"/>
              </w:rPr>
            </w:pPr>
          </w:p>
        </w:tc>
        <w:tc>
          <w:tcPr>
            <w:tcW w:w="580" w:type="dxa"/>
            <w:vAlign w:val="bottom"/>
          </w:tcPr>
          <w:p>
            <w:pPr>
              <w:jc w:val="right"/>
              <w:spacing w:after="0" w:line="177" w:lineRule="exact"/>
              <w:rPr>
                <w:sz w:val="20"/>
                <w:szCs w:val="20"/>
                <w:color w:val="auto"/>
              </w:rPr>
            </w:pPr>
            <w:r>
              <w:rPr>
                <w:rFonts w:ascii="Arial" w:cs="Arial" w:eastAsia="Arial" w:hAnsi="Arial"/>
                <w:sz w:val="18"/>
                <w:szCs w:val="18"/>
                <w:color w:val="auto"/>
              </w:rPr>
              <w:t>(946)</w:t>
            </w:r>
          </w:p>
        </w:tc>
        <w:tc>
          <w:tcPr>
            <w:tcW w:w="0" w:type="dxa"/>
            <w:vAlign w:val="bottom"/>
          </w:tcPr>
          <w:p>
            <w:pPr>
              <w:spacing w:after="0"/>
              <w:rPr>
                <w:sz w:val="1"/>
                <w:szCs w:val="1"/>
                <w:color w:val="auto"/>
              </w:rPr>
            </w:pPr>
          </w:p>
        </w:tc>
      </w:tr>
      <w:tr>
        <w:trPr>
          <w:trHeight w:val="221"/>
        </w:trPr>
        <w:tc>
          <w:tcPr>
            <w:tcW w:w="7940" w:type="dxa"/>
            <w:vAlign w:val="bottom"/>
            <w:tcBorders>
              <w:bottom w:val="single" w:sz="8" w:color="auto"/>
            </w:tcBorders>
            <w:gridSpan w:val="2"/>
          </w:tcPr>
          <w:p>
            <w:pPr>
              <w:spacing w:after="0"/>
              <w:rPr>
                <w:sz w:val="20"/>
                <w:szCs w:val="20"/>
                <w:color w:val="auto"/>
              </w:rPr>
            </w:pPr>
            <w:r>
              <w:rPr>
                <w:rFonts w:ascii="Arial" w:cs="Arial" w:eastAsia="Arial" w:hAnsi="Arial"/>
                <w:sz w:val="18"/>
                <w:szCs w:val="18"/>
                <w:color w:val="auto"/>
              </w:rPr>
              <w:t>Cash and cash equivalents, beginning of year</w:t>
            </w:r>
          </w:p>
        </w:tc>
        <w:tc>
          <w:tcPr>
            <w:tcW w:w="1500" w:type="dxa"/>
            <w:vAlign w:val="bottom"/>
            <w:tcBorders>
              <w:bottom w:val="single" w:sz="8" w:color="auto"/>
            </w:tcBorders>
          </w:tcPr>
          <w:p>
            <w:pPr>
              <w:jc w:val="right"/>
              <w:ind w:right="193"/>
              <w:spacing w:after="0"/>
              <w:rPr>
                <w:sz w:val="20"/>
                <w:szCs w:val="20"/>
                <w:color w:val="auto"/>
              </w:rPr>
            </w:pPr>
            <w:r>
              <w:rPr>
                <w:rFonts w:ascii="Arial" w:cs="Arial" w:eastAsia="Arial" w:hAnsi="Arial"/>
                <w:sz w:val="18"/>
                <w:szCs w:val="18"/>
                <w:b w:val="1"/>
                <w:bCs w:val="1"/>
                <w:color w:val="auto"/>
              </w:rPr>
              <w:t>947</w:t>
            </w:r>
          </w:p>
        </w:tc>
        <w:tc>
          <w:tcPr>
            <w:tcW w:w="320" w:type="dxa"/>
            <w:vAlign w:val="bottom"/>
            <w:tcBorders>
              <w:bottom w:val="single" w:sz="8" w:color="auto"/>
            </w:tcBorders>
          </w:tcPr>
          <w:p>
            <w:pPr>
              <w:spacing w:after="0"/>
              <w:rPr>
                <w:sz w:val="19"/>
                <w:szCs w:val="19"/>
                <w:color w:val="auto"/>
              </w:rPr>
            </w:pPr>
          </w:p>
        </w:tc>
        <w:tc>
          <w:tcPr>
            <w:tcW w:w="780" w:type="dxa"/>
            <w:vAlign w:val="bottom"/>
            <w:tcBorders>
              <w:bottom w:val="single" w:sz="8" w:color="auto"/>
            </w:tcBorders>
          </w:tcPr>
          <w:p>
            <w:pPr>
              <w:jc w:val="right"/>
              <w:ind w:right="193"/>
              <w:spacing w:after="0"/>
              <w:rPr>
                <w:sz w:val="20"/>
                <w:szCs w:val="20"/>
                <w:color w:val="auto"/>
              </w:rPr>
            </w:pPr>
            <w:r>
              <w:rPr>
                <w:rFonts w:ascii="Arial" w:cs="Arial" w:eastAsia="Arial" w:hAnsi="Arial"/>
                <w:sz w:val="18"/>
                <w:szCs w:val="18"/>
                <w:color w:val="auto"/>
              </w:rPr>
              <w:t>793</w:t>
            </w:r>
          </w:p>
        </w:tc>
        <w:tc>
          <w:tcPr>
            <w:tcW w:w="300" w:type="dxa"/>
            <w:vAlign w:val="bottom"/>
            <w:tcBorders>
              <w:bottom w:val="single" w:sz="8" w:color="auto"/>
            </w:tcBorders>
          </w:tcPr>
          <w:p>
            <w:pPr>
              <w:spacing w:after="0"/>
              <w:rPr>
                <w:sz w:val="19"/>
                <w:szCs w:val="19"/>
                <w:color w:val="auto"/>
              </w:rPr>
            </w:pPr>
          </w:p>
        </w:tc>
        <w:tc>
          <w:tcPr>
            <w:tcW w:w="5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1,739</w:t>
            </w:r>
          </w:p>
        </w:tc>
        <w:tc>
          <w:tcPr>
            <w:tcW w:w="0" w:type="dxa"/>
            <w:vAlign w:val="bottom"/>
          </w:tcPr>
          <w:p>
            <w:pPr>
              <w:spacing w:after="0"/>
              <w:rPr>
                <w:sz w:val="1"/>
                <w:szCs w:val="1"/>
                <w:color w:val="auto"/>
              </w:rPr>
            </w:pPr>
          </w:p>
        </w:tc>
      </w:tr>
      <w:tr>
        <w:trPr>
          <w:trHeight w:val="196"/>
        </w:trPr>
        <w:tc>
          <w:tcPr>
            <w:tcW w:w="7940" w:type="dxa"/>
            <w:vAlign w:val="bottom"/>
            <w:tcBorders>
              <w:bottom w:val="single" w:sz="8" w:color="auto"/>
            </w:tcBorders>
            <w:gridSpan w:val="2"/>
          </w:tcPr>
          <w:p>
            <w:pPr>
              <w:spacing w:after="0" w:line="196" w:lineRule="exact"/>
              <w:rPr>
                <w:sz w:val="20"/>
                <w:szCs w:val="20"/>
                <w:color w:val="auto"/>
              </w:rPr>
            </w:pPr>
            <w:r>
              <w:rPr>
                <w:rFonts w:ascii="Arial" w:cs="Arial" w:eastAsia="Arial" w:hAnsi="Arial"/>
                <w:sz w:val="18"/>
                <w:szCs w:val="18"/>
                <w:b w:val="1"/>
                <w:bCs w:val="1"/>
                <w:color w:val="auto"/>
              </w:rPr>
              <w:t>Cash and cash equivalents, end of year</w:t>
            </w:r>
          </w:p>
        </w:tc>
        <w:tc>
          <w:tcPr>
            <w:tcW w:w="1500" w:type="dxa"/>
            <w:vAlign w:val="bottom"/>
            <w:tcBorders>
              <w:bottom w:val="single" w:sz="8" w:color="auto"/>
            </w:tcBorders>
          </w:tcPr>
          <w:p>
            <w:pPr>
              <w:jc w:val="right"/>
              <w:ind w:right="193"/>
              <w:spacing w:after="0" w:line="196" w:lineRule="exact"/>
              <w:rPr>
                <w:sz w:val="20"/>
                <w:szCs w:val="20"/>
                <w:color w:val="auto"/>
              </w:rPr>
            </w:pPr>
            <w:r>
              <w:rPr>
                <w:rFonts w:ascii="Arial" w:cs="Arial" w:eastAsia="Arial" w:hAnsi="Arial"/>
                <w:sz w:val="18"/>
                <w:szCs w:val="18"/>
                <w:b w:val="1"/>
                <w:bCs w:val="1"/>
                <w:color w:val="auto"/>
              </w:rPr>
              <w:t>$ 1,239</w:t>
            </w:r>
          </w:p>
        </w:tc>
        <w:tc>
          <w:tcPr>
            <w:tcW w:w="320" w:type="dxa"/>
            <w:vAlign w:val="bottom"/>
            <w:tcBorders>
              <w:bottom w:val="single" w:sz="8" w:color="auto"/>
            </w:tcBorders>
          </w:tcPr>
          <w:p>
            <w:pPr>
              <w:ind w:left="220"/>
              <w:spacing w:after="0" w:line="196" w:lineRule="exact"/>
              <w:rPr>
                <w:sz w:val="20"/>
                <w:szCs w:val="20"/>
                <w:color w:val="auto"/>
              </w:rPr>
            </w:pPr>
            <w:r>
              <w:rPr>
                <w:rFonts w:ascii="Arial" w:cs="Arial" w:eastAsia="Arial" w:hAnsi="Arial"/>
                <w:sz w:val="18"/>
                <w:szCs w:val="18"/>
                <w:color w:val="auto"/>
                <w:w w:val="79"/>
              </w:rPr>
              <w:t>$</w:t>
            </w:r>
          </w:p>
        </w:tc>
        <w:tc>
          <w:tcPr>
            <w:tcW w:w="780" w:type="dxa"/>
            <w:vAlign w:val="bottom"/>
            <w:tcBorders>
              <w:bottom w:val="single" w:sz="8" w:color="auto"/>
            </w:tcBorders>
          </w:tcPr>
          <w:p>
            <w:pPr>
              <w:jc w:val="right"/>
              <w:ind w:right="193"/>
              <w:spacing w:after="0" w:line="196" w:lineRule="exact"/>
              <w:rPr>
                <w:sz w:val="20"/>
                <w:szCs w:val="20"/>
                <w:color w:val="auto"/>
              </w:rPr>
            </w:pPr>
            <w:r>
              <w:rPr>
                <w:rFonts w:ascii="Arial" w:cs="Arial" w:eastAsia="Arial" w:hAnsi="Arial"/>
                <w:sz w:val="18"/>
                <w:szCs w:val="18"/>
                <w:color w:val="auto"/>
              </w:rPr>
              <w:t>947</w:t>
            </w:r>
          </w:p>
        </w:tc>
        <w:tc>
          <w:tcPr>
            <w:tcW w:w="300" w:type="dxa"/>
            <w:vAlign w:val="bottom"/>
            <w:tcBorders>
              <w:bottom w:val="single" w:sz="8" w:color="auto"/>
            </w:tcBorders>
          </w:tcPr>
          <w:p>
            <w:pPr>
              <w:jc w:val="right"/>
              <w:spacing w:after="0" w:line="196" w:lineRule="exact"/>
              <w:rPr>
                <w:sz w:val="20"/>
                <w:szCs w:val="20"/>
                <w:color w:val="auto"/>
              </w:rPr>
            </w:pPr>
            <w:r>
              <w:rPr>
                <w:rFonts w:ascii="Arial" w:cs="Arial" w:eastAsia="Arial" w:hAnsi="Arial"/>
                <w:sz w:val="18"/>
                <w:szCs w:val="18"/>
                <w:color w:val="auto"/>
              </w:rPr>
              <w:t>$</w:t>
            </w:r>
          </w:p>
        </w:tc>
        <w:tc>
          <w:tcPr>
            <w:tcW w:w="580" w:type="dxa"/>
            <w:vAlign w:val="bottom"/>
            <w:tcBorders>
              <w:bottom w:val="single" w:sz="8" w:color="auto"/>
            </w:tcBorders>
          </w:tcPr>
          <w:p>
            <w:pPr>
              <w:jc w:val="right"/>
              <w:spacing w:after="0" w:line="196" w:lineRule="exact"/>
              <w:rPr>
                <w:sz w:val="20"/>
                <w:szCs w:val="20"/>
                <w:color w:val="auto"/>
              </w:rPr>
            </w:pPr>
            <w:r>
              <w:rPr>
                <w:rFonts w:ascii="Arial" w:cs="Arial" w:eastAsia="Arial" w:hAnsi="Arial"/>
                <w:sz w:val="18"/>
                <w:szCs w:val="18"/>
                <w:color w:val="auto"/>
              </w:rPr>
              <w:t>793</w:t>
            </w:r>
          </w:p>
        </w:tc>
        <w:tc>
          <w:tcPr>
            <w:tcW w:w="0" w:type="dxa"/>
            <w:vAlign w:val="bottom"/>
          </w:tcPr>
          <w:p>
            <w:pPr>
              <w:spacing w:after="0"/>
              <w:rPr>
                <w:sz w:val="1"/>
                <w:szCs w:val="1"/>
                <w:color w:val="auto"/>
              </w:rPr>
            </w:pPr>
          </w:p>
        </w:tc>
      </w:tr>
      <w:tr>
        <w:trPr>
          <w:trHeight w:val="209"/>
        </w:trPr>
        <w:tc>
          <w:tcPr>
            <w:tcW w:w="7940" w:type="dxa"/>
            <w:vAlign w:val="bottom"/>
            <w:gridSpan w:val="2"/>
          </w:tcPr>
          <w:p>
            <w:pPr>
              <w:spacing w:after="0"/>
              <w:rPr>
                <w:sz w:val="20"/>
                <w:szCs w:val="20"/>
                <w:color w:val="auto"/>
              </w:rPr>
            </w:pPr>
            <w:r>
              <w:rPr>
                <w:rFonts w:ascii="Arial" w:cs="Arial" w:eastAsia="Arial" w:hAnsi="Arial"/>
                <w:sz w:val="14"/>
                <w:szCs w:val="14"/>
                <w:color w:val="auto"/>
              </w:rPr>
              <w:t>See notes to consolidated financial statements.</w:t>
            </w:r>
          </w:p>
        </w:tc>
        <w:tc>
          <w:tcPr>
            <w:tcW w:w="15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97"/>
        </w:trPr>
        <w:tc>
          <w:tcPr>
            <w:tcW w:w="7940" w:type="dxa"/>
            <w:vAlign w:val="bottom"/>
            <w:gridSpan w:val="2"/>
          </w:tcPr>
          <w:p>
            <w:pPr>
              <w:ind w:left="5680"/>
              <w:spacing w:after="0"/>
              <w:rPr>
                <w:sz w:val="20"/>
                <w:szCs w:val="20"/>
                <w:color w:val="auto"/>
              </w:rPr>
            </w:pPr>
            <w:r>
              <w:rPr>
                <w:rFonts w:ascii="Arial" w:cs="Arial" w:eastAsia="Arial" w:hAnsi="Arial"/>
                <w:sz w:val="14"/>
                <w:szCs w:val="14"/>
                <w:b w:val="1"/>
                <w:bCs w:val="1"/>
                <w:color w:val="auto"/>
              </w:rPr>
              <w:t>41</w:t>
            </w:r>
          </w:p>
        </w:tc>
        <w:tc>
          <w:tcPr>
            <w:tcW w:w="1500" w:type="dxa"/>
            <w:vAlign w:val="bottom"/>
          </w:tcPr>
          <w:p>
            <w:pPr>
              <w:spacing w:after="0"/>
              <w:rPr>
                <w:sz w:val="24"/>
                <w:szCs w:val="24"/>
                <w:color w:val="auto"/>
              </w:rPr>
            </w:pPr>
          </w:p>
        </w:tc>
        <w:tc>
          <w:tcPr>
            <w:tcW w:w="1980" w:type="dxa"/>
            <w:vAlign w:val="bottom"/>
            <w:gridSpan w:val="4"/>
          </w:tcPr>
          <w:p>
            <w:pPr>
              <w:ind w:left="200"/>
              <w:spacing w:after="0"/>
              <w:rPr>
                <w:sz w:val="20"/>
                <w:szCs w:val="20"/>
                <w:color w:val="auto"/>
              </w:rPr>
            </w:pPr>
            <w:r>
              <w:rPr>
                <w:rFonts w:ascii="Arial" w:cs="Arial" w:eastAsia="Arial" w:hAnsi="Arial"/>
                <w:sz w:val="14"/>
                <w:szCs w:val="14"/>
                <w:color w:val="auto"/>
                <w:w w:val="95"/>
              </w:rPr>
              <w:t>Comcast 2006 Annual Report</w:t>
            </w:r>
          </w:p>
        </w:tc>
        <w:tc>
          <w:tcPr>
            <w:tcW w:w="0" w:type="dxa"/>
            <w:vAlign w:val="bottom"/>
          </w:tcPr>
          <w:p>
            <w:pPr>
              <w:spacing w:after="0"/>
              <w:rPr>
                <w:sz w:val="1"/>
                <w:szCs w:val="1"/>
                <w:color w:val="auto"/>
              </w:rPr>
            </w:pPr>
          </w:p>
        </w:tc>
      </w:tr>
    </w:tbl>
    <w:p>
      <w:pPr>
        <w:sectPr>
          <w:pgSz w:w="11900" w:h="16838" w:orient="portrait"/>
          <w:cols w:equalWidth="0" w:num="1">
            <w:col w:w="11420"/>
          </w:cols>
          <w:pgMar w:left="240" w:top="459" w:right="239" w:bottom="1440" w:gutter="0" w:footer="0" w:header="0"/>
        </w:sectPr>
      </w:pPr>
    </w:p>
    <w:bookmarkStart w:id="118" w:name="page119"/>
    <w:bookmarkEnd w:id="11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176" name="Picture 1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6"/>
                    <pic:cNvPicPr>
                      <a:picLocks noChangeAspect="1" noChangeArrowheads="1"/>
                    </pic:cNvPicPr>
                  </pic:nvPicPr>
                  <pic:blipFill>
                    <a:blip r:embed="rId183">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20" w:lineRule="exact"/>
        <w:rPr>
          <w:sz w:val="20"/>
          <w:szCs w:val="20"/>
          <w:color w:val="auto"/>
        </w:rPr>
      </w:pPr>
    </w:p>
    <w:p>
      <w:pPr>
        <w:spacing w:after="0"/>
        <w:rPr>
          <w:sz w:val="20"/>
          <w:szCs w:val="20"/>
          <w:color w:val="auto"/>
        </w:rPr>
      </w:pPr>
      <w:r>
        <w:rPr>
          <w:rFonts w:ascii="Arial" w:cs="Arial" w:eastAsia="Arial" w:hAnsi="Arial"/>
          <w:sz w:val="24"/>
          <w:szCs w:val="24"/>
          <w:color w:val="auto"/>
        </w:rPr>
        <w:t>Consolidated Statement of Stockholders’ Equity</w:t>
      </w:r>
    </w:p>
    <w:p>
      <w:pPr>
        <w:spacing w:after="0" w:line="147"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278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1280" w:type="dxa"/>
            <w:vAlign w:val="bottom"/>
            <w:gridSpan w:val="2"/>
          </w:tcPr>
          <w:p>
            <w:pPr>
              <w:jc w:val="right"/>
              <w:ind w:right="32"/>
              <w:spacing w:after="0"/>
              <w:rPr>
                <w:sz w:val="20"/>
                <w:szCs w:val="20"/>
                <w:color w:val="auto"/>
              </w:rPr>
            </w:pPr>
            <w:r>
              <w:rPr>
                <w:rFonts w:ascii="Arial" w:cs="Arial" w:eastAsia="Arial" w:hAnsi="Arial"/>
                <w:sz w:val="14"/>
                <w:szCs w:val="14"/>
                <w:color w:val="auto"/>
                <w:w w:val="96"/>
              </w:rPr>
              <w:t>Accumulated Other</w:t>
            </w:r>
          </w:p>
        </w:tc>
        <w:tc>
          <w:tcPr>
            <w:tcW w:w="18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20" w:type="dxa"/>
            <w:vAlign w:val="bottom"/>
          </w:tcPr>
          <w:p>
            <w:pPr>
              <w:spacing w:after="0"/>
              <w:rPr>
                <w:sz w:val="14"/>
                <w:szCs w:val="14"/>
                <w:color w:val="auto"/>
              </w:rPr>
            </w:pPr>
          </w:p>
        </w:tc>
        <w:tc>
          <w:tcPr>
            <w:tcW w:w="278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380" w:type="dxa"/>
            <w:vAlign w:val="bottom"/>
            <w:tcBorders>
              <w:bottom w:val="single" w:sz="8" w:color="auto"/>
            </w:tcBorders>
          </w:tcPr>
          <w:p>
            <w:pPr>
              <w:spacing w:after="0"/>
              <w:rPr>
                <w:sz w:val="14"/>
                <w:szCs w:val="14"/>
                <w:color w:val="auto"/>
              </w:rPr>
            </w:pPr>
          </w:p>
        </w:tc>
        <w:tc>
          <w:tcPr>
            <w:tcW w:w="2600" w:type="dxa"/>
            <w:vAlign w:val="bottom"/>
            <w:tcBorders>
              <w:bottom w:val="single" w:sz="8" w:color="auto"/>
            </w:tcBorders>
            <w:gridSpan w:val="5"/>
          </w:tcPr>
          <w:p>
            <w:pPr>
              <w:jc w:val="right"/>
              <w:ind w:right="392"/>
              <w:spacing w:after="0"/>
              <w:rPr>
                <w:sz w:val="20"/>
                <w:szCs w:val="20"/>
                <w:color w:val="auto"/>
              </w:rPr>
            </w:pPr>
            <w:r>
              <w:rPr>
                <w:rFonts w:ascii="Arial" w:cs="Arial" w:eastAsia="Arial" w:hAnsi="Arial"/>
                <w:sz w:val="14"/>
                <w:szCs w:val="14"/>
                <w:color w:val="auto"/>
              </w:rPr>
              <w:t>Comprehensive Income (Loss)</w:t>
            </w:r>
          </w:p>
        </w:tc>
        <w:tc>
          <w:tcPr>
            <w:tcW w:w="8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37"/>
        </w:trPr>
        <w:tc>
          <w:tcPr>
            <w:tcW w:w="20" w:type="dxa"/>
            <w:vAlign w:val="bottom"/>
          </w:tcPr>
          <w:p>
            <w:pPr>
              <w:spacing w:after="0"/>
              <w:rPr>
                <w:sz w:val="20"/>
                <w:szCs w:val="20"/>
                <w:color w:val="auto"/>
              </w:rPr>
            </w:pPr>
          </w:p>
        </w:tc>
        <w:tc>
          <w:tcPr>
            <w:tcW w:w="2780" w:type="dxa"/>
            <w:vAlign w:val="bottom"/>
          </w:tcPr>
          <w:p>
            <w:pPr>
              <w:spacing w:after="0"/>
              <w:rPr>
                <w:sz w:val="20"/>
                <w:szCs w:val="20"/>
                <w:color w:val="auto"/>
              </w:rPr>
            </w:pPr>
          </w:p>
        </w:tc>
        <w:tc>
          <w:tcPr>
            <w:tcW w:w="200" w:type="dxa"/>
            <w:vAlign w:val="bottom"/>
            <w:tcBorders>
              <w:bottom w:val="single" w:sz="8" w:color="auto"/>
            </w:tcBorders>
          </w:tcPr>
          <w:p>
            <w:pPr>
              <w:spacing w:after="0"/>
              <w:rPr>
                <w:sz w:val="20"/>
                <w:szCs w:val="20"/>
                <w:color w:val="auto"/>
              </w:rPr>
            </w:pPr>
          </w:p>
        </w:tc>
        <w:tc>
          <w:tcPr>
            <w:tcW w:w="2000" w:type="dxa"/>
            <w:vAlign w:val="bottom"/>
            <w:tcBorders>
              <w:bottom w:val="single" w:sz="8" w:color="auto"/>
            </w:tcBorders>
            <w:gridSpan w:val="4"/>
          </w:tcPr>
          <w:p>
            <w:pPr>
              <w:jc w:val="right"/>
              <w:ind w:right="292"/>
              <w:spacing w:after="0"/>
              <w:rPr>
                <w:sz w:val="20"/>
                <w:szCs w:val="20"/>
                <w:color w:val="auto"/>
              </w:rPr>
            </w:pPr>
            <w:r>
              <w:rPr>
                <w:rFonts w:ascii="Arial" w:cs="Arial" w:eastAsia="Arial" w:hAnsi="Arial"/>
                <w:sz w:val="14"/>
                <w:szCs w:val="14"/>
                <w:color w:val="auto"/>
              </w:rPr>
              <w:t>Common Stock Class</w:t>
            </w:r>
          </w:p>
        </w:tc>
        <w:tc>
          <w:tcPr>
            <w:tcW w:w="300" w:type="dxa"/>
            <w:vAlign w:val="bottom"/>
            <w:tcBorders>
              <w:bottom w:val="single" w:sz="8" w:color="auto"/>
            </w:tcBorders>
          </w:tcPr>
          <w:p>
            <w:pPr>
              <w:spacing w:after="0"/>
              <w:rPr>
                <w:sz w:val="20"/>
                <w:szCs w:val="20"/>
                <w:color w:val="auto"/>
              </w:rPr>
            </w:pPr>
          </w:p>
        </w:tc>
        <w:tc>
          <w:tcPr>
            <w:tcW w:w="680" w:type="dxa"/>
            <w:vAlign w:val="bottom"/>
            <w:tcBorders>
              <w:bottom w:val="single" w:sz="8" w:color="auto"/>
            </w:tcBorders>
          </w:tcPr>
          <w:p>
            <w:pPr>
              <w:spacing w:after="0"/>
              <w:rPr>
                <w:sz w:val="20"/>
                <w:szCs w:val="20"/>
                <w:color w:val="auto"/>
              </w:rPr>
            </w:pPr>
          </w:p>
        </w:tc>
        <w:tc>
          <w:tcPr>
            <w:tcW w:w="260" w:type="dxa"/>
            <w:vAlign w:val="bottom"/>
            <w:tcBorders>
              <w:bottom w:val="single" w:sz="8" w:color="auto"/>
            </w:tcBorders>
          </w:tcPr>
          <w:p>
            <w:pPr>
              <w:spacing w:after="0"/>
              <w:rPr>
                <w:sz w:val="20"/>
                <w:szCs w:val="20"/>
                <w:color w:val="auto"/>
              </w:rPr>
            </w:pPr>
          </w:p>
        </w:tc>
        <w:tc>
          <w:tcPr>
            <w:tcW w:w="620" w:type="dxa"/>
            <w:vAlign w:val="bottom"/>
            <w:tcBorders>
              <w:bottom w:val="single" w:sz="8" w:color="auto"/>
            </w:tcBorders>
          </w:tcPr>
          <w:p>
            <w:pPr>
              <w:spacing w:after="0"/>
              <w:rPr>
                <w:sz w:val="20"/>
                <w:szCs w:val="20"/>
                <w:color w:val="auto"/>
              </w:rPr>
            </w:pPr>
          </w:p>
        </w:tc>
        <w:tc>
          <w:tcPr>
            <w:tcW w:w="240" w:type="dxa"/>
            <w:vAlign w:val="bottom"/>
            <w:tcBorders>
              <w:bottom w:val="single" w:sz="8" w:color="auto"/>
            </w:tcBorders>
          </w:tcPr>
          <w:p>
            <w:pPr>
              <w:spacing w:after="0"/>
              <w:rPr>
                <w:sz w:val="20"/>
                <w:szCs w:val="20"/>
                <w:color w:val="auto"/>
              </w:rPr>
            </w:pPr>
          </w:p>
        </w:tc>
        <w:tc>
          <w:tcPr>
            <w:tcW w:w="500" w:type="dxa"/>
            <w:vAlign w:val="bottom"/>
            <w:tcBorders>
              <w:bottom w:val="single" w:sz="8" w:color="auto"/>
            </w:tcBorders>
          </w:tcPr>
          <w:p>
            <w:pPr>
              <w:spacing w:after="0"/>
              <w:rPr>
                <w:sz w:val="20"/>
                <w:szCs w:val="20"/>
                <w:color w:val="auto"/>
              </w:rPr>
            </w:pPr>
          </w:p>
        </w:tc>
        <w:tc>
          <w:tcPr>
            <w:tcW w:w="380" w:type="dxa"/>
            <w:vAlign w:val="bottom"/>
            <w:tcBorders>
              <w:bottom w:val="single" w:sz="8" w:color="auto"/>
            </w:tcBorders>
          </w:tcPr>
          <w:p>
            <w:pPr>
              <w:spacing w:after="0"/>
              <w:rPr>
                <w:sz w:val="20"/>
                <w:szCs w:val="20"/>
                <w:color w:val="auto"/>
              </w:rPr>
            </w:pPr>
          </w:p>
        </w:tc>
        <w:tc>
          <w:tcPr>
            <w:tcW w:w="620" w:type="dxa"/>
            <w:vAlign w:val="bottom"/>
            <w:tcBorders>
              <w:bottom w:val="single" w:sz="8" w:color="auto"/>
            </w:tcBorders>
          </w:tcPr>
          <w:p>
            <w:pPr>
              <w:spacing w:after="0"/>
              <w:rPr>
                <w:sz w:val="20"/>
                <w:szCs w:val="20"/>
                <w:color w:val="auto"/>
              </w:rPr>
            </w:pPr>
          </w:p>
        </w:tc>
        <w:tc>
          <w:tcPr>
            <w:tcW w:w="340" w:type="dxa"/>
            <w:vAlign w:val="bottom"/>
            <w:tcBorders>
              <w:bottom w:val="single" w:sz="8" w:color="auto"/>
            </w:tcBorders>
          </w:tcPr>
          <w:p>
            <w:pPr>
              <w:spacing w:after="0"/>
              <w:rPr>
                <w:sz w:val="20"/>
                <w:szCs w:val="20"/>
                <w:color w:val="auto"/>
              </w:rPr>
            </w:pPr>
          </w:p>
        </w:tc>
        <w:tc>
          <w:tcPr>
            <w:tcW w:w="940" w:type="dxa"/>
            <w:vAlign w:val="bottom"/>
            <w:tcBorders>
              <w:bottom w:val="single" w:sz="8" w:color="auto"/>
            </w:tcBorders>
          </w:tcPr>
          <w:p>
            <w:pPr>
              <w:spacing w:after="0"/>
              <w:rPr>
                <w:sz w:val="20"/>
                <w:szCs w:val="20"/>
                <w:color w:val="auto"/>
              </w:rPr>
            </w:pPr>
          </w:p>
        </w:tc>
        <w:tc>
          <w:tcPr>
            <w:tcW w:w="180" w:type="dxa"/>
            <w:vAlign w:val="bottom"/>
            <w:tcBorders>
              <w:bottom w:val="single" w:sz="8" w:color="auto"/>
            </w:tcBorders>
          </w:tcPr>
          <w:p>
            <w:pPr>
              <w:spacing w:after="0"/>
              <w:rPr>
                <w:sz w:val="20"/>
                <w:szCs w:val="20"/>
                <w:color w:val="auto"/>
              </w:rPr>
            </w:pPr>
          </w:p>
        </w:tc>
        <w:tc>
          <w:tcPr>
            <w:tcW w:w="520" w:type="dxa"/>
            <w:vAlign w:val="bottom"/>
            <w:tcBorders>
              <w:bottom w:val="single" w:sz="8" w:color="auto"/>
            </w:tcBorders>
          </w:tcPr>
          <w:p>
            <w:pPr>
              <w:spacing w:after="0"/>
              <w:rPr>
                <w:sz w:val="20"/>
                <w:szCs w:val="20"/>
                <w:color w:val="auto"/>
              </w:rPr>
            </w:pPr>
          </w:p>
        </w:tc>
        <w:tc>
          <w:tcPr>
            <w:tcW w:w="840" w:type="dxa"/>
            <w:vAlign w:val="bottom"/>
            <w:tcBorders>
              <w:bottom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141"/>
        </w:trPr>
        <w:tc>
          <w:tcPr>
            <w:tcW w:w="20" w:type="dxa"/>
            <w:vAlign w:val="bottom"/>
          </w:tcPr>
          <w:p>
            <w:pPr>
              <w:spacing w:after="0"/>
              <w:rPr>
                <w:sz w:val="12"/>
                <w:szCs w:val="12"/>
                <w:color w:val="auto"/>
              </w:rPr>
            </w:pPr>
          </w:p>
        </w:tc>
        <w:tc>
          <w:tcPr>
            <w:tcW w:w="278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46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740" w:type="dxa"/>
            <w:vAlign w:val="bottom"/>
            <w:gridSpan w:val="2"/>
          </w:tcPr>
          <w:p>
            <w:pPr>
              <w:ind w:left="160"/>
              <w:spacing w:after="0" w:line="141" w:lineRule="exact"/>
              <w:rPr>
                <w:sz w:val="20"/>
                <w:szCs w:val="20"/>
                <w:color w:val="auto"/>
              </w:rPr>
            </w:pPr>
            <w:r>
              <w:rPr>
                <w:rFonts w:ascii="Arial" w:cs="Arial" w:eastAsia="Arial" w:hAnsi="Arial"/>
                <w:sz w:val="14"/>
                <w:szCs w:val="14"/>
                <w:color w:val="auto"/>
              </w:rPr>
              <w:t>Treasury</w:t>
            </w:r>
          </w:p>
        </w:tc>
        <w:tc>
          <w:tcPr>
            <w:tcW w:w="1000" w:type="dxa"/>
            <w:vAlign w:val="bottom"/>
            <w:gridSpan w:val="2"/>
          </w:tcPr>
          <w:p>
            <w:pPr>
              <w:jc w:val="right"/>
              <w:ind w:right="12"/>
              <w:spacing w:after="0" w:line="141" w:lineRule="exact"/>
              <w:rPr>
                <w:sz w:val="20"/>
                <w:szCs w:val="20"/>
                <w:color w:val="auto"/>
              </w:rPr>
            </w:pPr>
            <w:r>
              <w:rPr>
                <w:rFonts w:ascii="Arial" w:cs="Arial" w:eastAsia="Arial" w:hAnsi="Arial"/>
                <w:sz w:val="14"/>
                <w:szCs w:val="14"/>
                <w:color w:val="auto"/>
              </w:rPr>
              <w:t>Unrealized</w:t>
            </w:r>
          </w:p>
        </w:tc>
        <w:tc>
          <w:tcPr>
            <w:tcW w:w="340" w:type="dxa"/>
            <w:vAlign w:val="bottom"/>
          </w:tcPr>
          <w:p>
            <w:pPr>
              <w:spacing w:after="0"/>
              <w:rPr>
                <w:sz w:val="12"/>
                <w:szCs w:val="12"/>
                <w:color w:val="auto"/>
              </w:rPr>
            </w:pPr>
          </w:p>
        </w:tc>
        <w:tc>
          <w:tcPr>
            <w:tcW w:w="940" w:type="dxa"/>
            <w:vAlign w:val="bottom"/>
          </w:tcPr>
          <w:p>
            <w:pPr>
              <w:jc w:val="right"/>
              <w:ind w:right="192"/>
              <w:spacing w:after="0" w:line="141" w:lineRule="exact"/>
              <w:rPr>
                <w:sz w:val="20"/>
                <w:szCs w:val="20"/>
                <w:color w:val="auto"/>
              </w:rPr>
            </w:pPr>
            <w:r>
              <w:rPr>
                <w:rFonts w:ascii="Arial" w:cs="Arial" w:eastAsia="Arial" w:hAnsi="Arial"/>
                <w:sz w:val="14"/>
                <w:szCs w:val="14"/>
                <w:color w:val="auto"/>
                <w:w w:val="94"/>
              </w:rPr>
              <w:t>Cumulative</w:t>
            </w:r>
          </w:p>
        </w:tc>
        <w:tc>
          <w:tcPr>
            <w:tcW w:w="700" w:type="dxa"/>
            <w:vAlign w:val="bottom"/>
            <w:gridSpan w:val="2"/>
          </w:tcPr>
          <w:p>
            <w:pPr>
              <w:jc w:val="right"/>
              <w:spacing w:after="0" w:line="141" w:lineRule="exact"/>
              <w:rPr>
                <w:sz w:val="20"/>
                <w:szCs w:val="20"/>
                <w:color w:val="auto"/>
              </w:rPr>
            </w:pPr>
            <w:r>
              <w:rPr>
                <w:rFonts w:ascii="Arial" w:cs="Arial" w:eastAsia="Arial" w:hAnsi="Arial"/>
                <w:sz w:val="14"/>
                <w:szCs w:val="14"/>
                <w:color w:val="auto"/>
              </w:rPr>
              <w:t>Minimum</w:t>
            </w:r>
          </w:p>
        </w:tc>
        <w:tc>
          <w:tcPr>
            <w:tcW w:w="8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278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46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980" w:type="dxa"/>
            <w:vAlign w:val="bottom"/>
            <w:gridSpan w:val="2"/>
          </w:tcPr>
          <w:p>
            <w:pPr>
              <w:ind w:left="180"/>
              <w:spacing w:after="0" w:line="149" w:lineRule="exact"/>
              <w:rPr>
                <w:sz w:val="20"/>
                <w:szCs w:val="20"/>
                <w:color w:val="auto"/>
              </w:rPr>
            </w:pPr>
            <w:r>
              <w:rPr>
                <w:rFonts w:ascii="Arial" w:cs="Arial" w:eastAsia="Arial" w:hAnsi="Arial"/>
                <w:sz w:val="14"/>
                <w:szCs w:val="14"/>
                <w:color w:val="auto"/>
              </w:rPr>
              <w:t>Additional</w:t>
            </w:r>
          </w:p>
        </w:tc>
        <w:tc>
          <w:tcPr>
            <w:tcW w:w="880" w:type="dxa"/>
            <w:vAlign w:val="bottom"/>
            <w:gridSpan w:val="2"/>
          </w:tcPr>
          <w:p>
            <w:pPr>
              <w:ind w:left="140"/>
              <w:spacing w:after="0" w:line="149" w:lineRule="exact"/>
              <w:rPr>
                <w:sz w:val="20"/>
                <w:szCs w:val="20"/>
                <w:color w:val="auto"/>
              </w:rPr>
            </w:pPr>
            <w:r>
              <w:rPr>
                <w:rFonts w:ascii="Arial" w:cs="Arial" w:eastAsia="Arial" w:hAnsi="Arial"/>
                <w:sz w:val="14"/>
                <w:szCs w:val="14"/>
                <w:color w:val="auto"/>
              </w:rPr>
              <w:t>Retained</w:t>
            </w:r>
          </w:p>
        </w:tc>
        <w:tc>
          <w:tcPr>
            <w:tcW w:w="240" w:type="dxa"/>
            <w:vAlign w:val="bottom"/>
          </w:tcPr>
          <w:p>
            <w:pPr>
              <w:spacing w:after="0"/>
              <w:rPr>
                <w:sz w:val="12"/>
                <w:szCs w:val="12"/>
                <w:color w:val="auto"/>
              </w:rPr>
            </w:pPr>
          </w:p>
        </w:tc>
        <w:tc>
          <w:tcPr>
            <w:tcW w:w="500" w:type="dxa"/>
            <w:vAlign w:val="bottom"/>
          </w:tcPr>
          <w:p>
            <w:pPr>
              <w:jc w:val="center"/>
              <w:spacing w:after="0" w:line="149" w:lineRule="exact"/>
              <w:rPr>
                <w:sz w:val="20"/>
                <w:szCs w:val="20"/>
                <w:color w:val="auto"/>
              </w:rPr>
            </w:pPr>
            <w:r>
              <w:rPr>
                <w:rFonts w:ascii="Arial" w:cs="Arial" w:eastAsia="Arial" w:hAnsi="Arial"/>
                <w:sz w:val="14"/>
                <w:szCs w:val="14"/>
                <w:color w:val="auto"/>
                <w:w w:val="96"/>
              </w:rPr>
              <w:t>Stock</w:t>
            </w:r>
          </w:p>
        </w:tc>
        <w:tc>
          <w:tcPr>
            <w:tcW w:w="380" w:type="dxa"/>
            <w:vAlign w:val="bottom"/>
          </w:tcPr>
          <w:p>
            <w:pPr>
              <w:spacing w:after="0"/>
              <w:rPr>
                <w:sz w:val="12"/>
                <w:szCs w:val="12"/>
                <w:color w:val="auto"/>
              </w:rPr>
            </w:pPr>
          </w:p>
        </w:tc>
        <w:tc>
          <w:tcPr>
            <w:tcW w:w="620" w:type="dxa"/>
            <w:vAlign w:val="bottom"/>
          </w:tcPr>
          <w:p>
            <w:pPr>
              <w:jc w:val="right"/>
              <w:spacing w:after="0" w:line="149" w:lineRule="exact"/>
              <w:rPr>
                <w:sz w:val="20"/>
                <w:szCs w:val="20"/>
                <w:color w:val="auto"/>
              </w:rPr>
            </w:pPr>
            <w:r>
              <w:rPr>
                <w:rFonts w:ascii="Arial" w:cs="Arial" w:eastAsia="Arial" w:hAnsi="Arial"/>
                <w:sz w:val="14"/>
                <w:szCs w:val="14"/>
                <w:color w:val="auto"/>
              </w:rPr>
              <w:t>Gains</w:t>
            </w:r>
          </w:p>
        </w:tc>
        <w:tc>
          <w:tcPr>
            <w:tcW w:w="340" w:type="dxa"/>
            <w:vAlign w:val="bottom"/>
          </w:tcPr>
          <w:p>
            <w:pPr>
              <w:spacing w:after="0"/>
              <w:rPr>
                <w:sz w:val="12"/>
                <w:szCs w:val="12"/>
                <w:color w:val="auto"/>
              </w:rPr>
            </w:pPr>
          </w:p>
        </w:tc>
        <w:tc>
          <w:tcPr>
            <w:tcW w:w="940" w:type="dxa"/>
            <w:vAlign w:val="bottom"/>
          </w:tcPr>
          <w:p>
            <w:pPr>
              <w:jc w:val="right"/>
              <w:ind w:right="192"/>
              <w:spacing w:after="0" w:line="149" w:lineRule="exact"/>
              <w:rPr>
                <w:sz w:val="20"/>
                <w:szCs w:val="20"/>
                <w:color w:val="auto"/>
              </w:rPr>
            </w:pPr>
            <w:r>
              <w:rPr>
                <w:rFonts w:ascii="Arial" w:cs="Arial" w:eastAsia="Arial" w:hAnsi="Arial"/>
                <w:sz w:val="14"/>
                <w:szCs w:val="14"/>
                <w:color w:val="auto"/>
                <w:w w:val="95"/>
              </w:rPr>
              <w:t>Translation</w:t>
            </w:r>
          </w:p>
        </w:tc>
        <w:tc>
          <w:tcPr>
            <w:tcW w:w="700" w:type="dxa"/>
            <w:vAlign w:val="bottom"/>
            <w:gridSpan w:val="2"/>
          </w:tcPr>
          <w:p>
            <w:pPr>
              <w:jc w:val="right"/>
              <w:spacing w:after="0" w:line="149" w:lineRule="exact"/>
              <w:rPr>
                <w:sz w:val="20"/>
                <w:szCs w:val="20"/>
                <w:color w:val="auto"/>
              </w:rPr>
            </w:pPr>
            <w:r>
              <w:rPr>
                <w:rFonts w:ascii="Arial" w:cs="Arial" w:eastAsia="Arial" w:hAnsi="Arial"/>
                <w:sz w:val="14"/>
                <w:szCs w:val="14"/>
                <w:color w:val="auto"/>
              </w:rPr>
              <w:t>Pension</w:t>
            </w:r>
          </w:p>
        </w:tc>
        <w:tc>
          <w:tcPr>
            <w:tcW w:w="8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63"/>
        </w:trPr>
        <w:tc>
          <w:tcPr>
            <w:tcW w:w="3000" w:type="dxa"/>
            <w:vAlign w:val="bottom"/>
            <w:tcBorders>
              <w:bottom w:val="single" w:sz="8" w:color="auto"/>
            </w:tcBorders>
            <w:gridSpan w:val="3"/>
          </w:tcPr>
          <w:p>
            <w:pPr>
              <w:spacing w:after="0"/>
              <w:rPr>
                <w:sz w:val="20"/>
                <w:szCs w:val="20"/>
                <w:color w:val="auto"/>
              </w:rPr>
            </w:pPr>
            <w:r>
              <w:rPr>
                <w:rFonts w:ascii="Arial" w:cs="Arial" w:eastAsia="Arial" w:hAnsi="Arial"/>
                <w:sz w:val="14"/>
                <w:szCs w:val="14"/>
                <w:color w:val="auto"/>
              </w:rPr>
              <w:t>(in millions)</w:t>
            </w:r>
          </w:p>
        </w:tc>
        <w:tc>
          <w:tcPr>
            <w:tcW w:w="620" w:type="dxa"/>
            <w:vAlign w:val="bottom"/>
            <w:tcBorders>
              <w:bottom w:val="single" w:sz="8" w:color="auto"/>
            </w:tcBorders>
          </w:tcPr>
          <w:p>
            <w:pPr>
              <w:jc w:val="right"/>
              <w:ind w:right="132"/>
              <w:spacing w:after="0"/>
              <w:rPr>
                <w:sz w:val="20"/>
                <w:szCs w:val="20"/>
                <w:color w:val="auto"/>
              </w:rPr>
            </w:pPr>
            <w:r>
              <w:rPr>
                <w:rFonts w:ascii="Arial" w:cs="Arial" w:eastAsia="Arial" w:hAnsi="Arial"/>
                <w:sz w:val="14"/>
                <w:szCs w:val="14"/>
                <w:color w:val="auto"/>
              </w:rPr>
              <w:t>A</w:t>
            </w:r>
          </w:p>
        </w:tc>
        <w:tc>
          <w:tcPr>
            <w:tcW w:w="820" w:type="dxa"/>
            <w:vAlign w:val="bottom"/>
            <w:tcBorders>
              <w:bottom w:val="single" w:sz="8" w:color="auto"/>
            </w:tcBorders>
            <w:gridSpan w:val="2"/>
          </w:tcPr>
          <w:p>
            <w:pPr>
              <w:ind w:left="180"/>
              <w:spacing w:after="0"/>
              <w:rPr>
                <w:sz w:val="20"/>
                <w:szCs w:val="20"/>
                <w:color w:val="auto"/>
              </w:rPr>
            </w:pPr>
            <w:r>
              <w:rPr>
                <w:rFonts w:ascii="Arial" w:cs="Arial" w:eastAsia="Arial" w:hAnsi="Arial"/>
                <w:sz w:val="14"/>
                <w:szCs w:val="14"/>
                <w:color w:val="auto"/>
              </w:rPr>
              <w:t>Special</w:t>
            </w:r>
          </w:p>
        </w:tc>
        <w:tc>
          <w:tcPr>
            <w:tcW w:w="560" w:type="dxa"/>
            <w:vAlign w:val="bottom"/>
            <w:tcBorders>
              <w:bottom w:val="single" w:sz="8" w:color="auto"/>
            </w:tcBorders>
          </w:tcPr>
          <w:p>
            <w:pPr>
              <w:jc w:val="right"/>
              <w:ind w:right="132"/>
              <w:spacing w:after="0"/>
              <w:rPr>
                <w:sz w:val="20"/>
                <w:szCs w:val="20"/>
                <w:color w:val="auto"/>
              </w:rPr>
            </w:pPr>
            <w:r>
              <w:rPr>
                <w:rFonts w:ascii="Arial" w:cs="Arial" w:eastAsia="Arial" w:hAnsi="Arial"/>
                <w:sz w:val="14"/>
                <w:szCs w:val="14"/>
                <w:color w:val="auto"/>
              </w:rPr>
              <w:t>B</w:t>
            </w:r>
          </w:p>
        </w:tc>
        <w:tc>
          <w:tcPr>
            <w:tcW w:w="300" w:type="dxa"/>
            <w:vAlign w:val="bottom"/>
            <w:tcBorders>
              <w:bottom w:val="single" w:sz="8" w:color="auto"/>
            </w:tcBorders>
          </w:tcPr>
          <w:p>
            <w:pPr>
              <w:spacing w:after="0"/>
              <w:rPr>
                <w:sz w:val="14"/>
                <w:szCs w:val="14"/>
                <w:color w:val="auto"/>
              </w:rPr>
            </w:pPr>
          </w:p>
        </w:tc>
        <w:tc>
          <w:tcPr>
            <w:tcW w:w="680" w:type="dxa"/>
            <w:vAlign w:val="bottom"/>
            <w:tcBorders>
              <w:bottom w:val="single" w:sz="8" w:color="auto"/>
            </w:tcBorders>
          </w:tcPr>
          <w:p>
            <w:pPr>
              <w:jc w:val="right"/>
              <w:ind w:right="132"/>
              <w:spacing w:after="0"/>
              <w:rPr>
                <w:sz w:val="20"/>
                <w:szCs w:val="20"/>
                <w:color w:val="auto"/>
              </w:rPr>
            </w:pPr>
            <w:r>
              <w:rPr>
                <w:rFonts w:ascii="Arial" w:cs="Arial" w:eastAsia="Arial" w:hAnsi="Arial"/>
                <w:sz w:val="14"/>
                <w:szCs w:val="14"/>
                <w:color w:val="auto"/>
              </w:rPr>
              <w:t>Capital</w:t>
            </w:r>
          </w:p>
        </w:tc>
        <w:tc>
          <w:tcPr>
            <w:tcW w:w="880" w:type="dxa"/>
            <w:vAlign w:val="bottom"/>
            <w:tcBorders>
              <w:bottom w:val="single" w:sz="8" w:color="auto"/>
            </w:tcBorders>
            <w:gridSpan w:val="2"/>
          </w:tcPr>
          <w:p>
            <w:pPr>
              <w:ind w:left="160"/>
              <w:spacing w:after="0"/>
              <w:rPr>
                <w:sz w:val="20"/>
                <w:szCs w:val="20"/>
                <w:color w:val="auto"/>
              </w:rPr>
            </w:pPr>
            <w:r>
              <w:rPr>
                <w:rFonts w:ascii="Arial" w:cs="Arial" w:eastAsia="Arial" w:hAnsi="Arial"/>
                <w:sz w:val="14"/>
                <w:szCs w:val="14"/>
                <w:color w:val="auto"/>
              </w:rPr>
              <w:t>Earnings</w:t>
            </w:r>
          </w:p>
        </w:tc>
        <w:tc>
          <w:tcPr>
            <w:tcW w:w="240" w:type="dxa"/>
            <w:vAlign w:val="bottom"/>
            <w:tcBorders>
              <w:bottom w:val="single" w:sz="8" w:color="auto"/>
            </w:tcBorders>
          </w:tcPr>
          <w:p>
            <w:pPr>
              <w:spacing w:after="0"/>
              <w:rPr>
                <w:sz w:val="14"/>
                <w:szCs w:val="14"/>
                <w:color w:val="auto"/>
              </w:rPr>
            </w:pPr>
          </w:p>
        </w:tc>
        <w:tc>
          <w:tcPr>
            <w:tcW w:w="500" w:type="dxa"/>
            <w:vAlign w:val="bottom"/>
            <w:tcBorders>
              <w:bottom w:val="single" w:sz="8" w:color="auto"/>
            </w:tcBorders>
          </w:tcPr>
          <w:p>
            <w:pPr>
              <w:spacing w:after="0"/>
              <w:rPr>
                <w:sz w:val="20"/>
                <w:szCs w:val="20"/>
                <w:color w:val="auto"/>
              </w:rPr>
            </w:pPr>
            <w:r>
              <w:rPr>
                <w:rFonts w:ascii="Arial" w:cs="Arial" w:eastAsia="Arial" w:hAnsi="Arial"/>
                <w:sz w:val="14"/>
                <w:szCs w:val="14"/>
                <w:color w:val="auto"/>
              </w:rPr>
              <w:t>At Cost</w:t>
            </w:r>
          </w:p>
        </w:tc>
        <w:tc>
          <w:tcPr>
            <w:tcW w:w="380" w:type="dxa"/>
            <w:vAlign w:val="bottom"/>
            <w:tcBorders>
              <w:bottom w:val="single" w:sz="8" w:color="auto"/>
            </w:tcBorders>
          </w:tcPr>
          <w:p>
            <w:pPr>
              <w:spacing w:after="0"/>
              <w:rPr>
                <w:sz w:val="14"/>
                <w:szCs w:val="14"/>
                <w:color w:val="auto"/>
              </w:rPr>
            </w:pPr>
          </w:p>
        </w:tc>
        <w:tc>
          <w:tcPr>
            <w:tcW w:w="620" w:type="dxa"/>
            <w:vAlign w:val="bottom"/>
            <w:tcBorders>
              <w:bottom w:val="single" w:sz="8" w:color="auto"/>
            </w:tcBorders>
          </w:tcPr>
          <w:p>
            <w:pPr>
              <w:jc w:val="right"/>
              <w:ind w:right="12"/>
              <w:spacing w:after="0"/>
              <w:rPr>
                <w:sz w:val="20"/>
                <w:szCs w:val="20"/>
                <w:color w:val="auto"/>
              </w:rPr>
            </w:pPr>
            <w:r>
              <w:rPr>
                <w:rFonts w:ascii="Arial" w:cs="Arial" w:eastAsia="Arial" w:hAnsi="Arial"/>
                <w:sz w:val="14"/>
                <w:szCs w:val="14"/>
                <w:color w:val="auto"/>
                <w:w w:val="96"/>
              </w:rPr>
              <w:t>(Losses)</w:t>
            </w:r>
          </w:p>
        </w:tc>
        <w:tc>
          <w:tcPr>
            <w:tcW w:w="1280" w:type="dxa"/>
            <w:vAlign w:val="bottom"/>
            <w:tcBorders>
              <w:bottom w:val="single" w:sz="8" w:color="auto"/>
            </w:tcBorders>
            <w:gridSpan w:val="2"/>
          </w:tcPr>
          <w:p>
            <w:pPr>
              <w:jc w:val="right"/>
              <w:ind w:right="192"/>
              <w:spacing w:after="0"/>
              <w:rPr>
                <w:sz w:val="20"/>
                <w:szCs w:val="20"/>
                <w:color w:val="auto"/>
              </w:rPr>
            </w:pPr>
            <w:r>
              <w:rPr>
                <w:rFonts w:ascii="Arial" w:cs="Arial" w:eastAsia="Arial" w:hAnsi="Arial"/>
                <w:sz w:val="14"/>
                <w:szCs w:val="14"/>
                <w:color w:val="auto"/>
              </w:rPr>
              <w:t>Adjustments</w:t>
            </w:r>
          </w:p>
        </w:tc>
        <w:tc>
          <w:tcPr>
            <w:tcW w:w="180" w:type="dxa"/>
            <w:vAlign w:val="bottom"/>
            <w:tcBorders>
              <w:bottom w:val="single" w:sz="8" w:color="auto"/>
            </w:tcBorders>
          </w:tcPr>
          <w:p>
            <w:pPr>
              <w:spacing w:after="0"/>
              <w:rPr>
                <w:sz w:val="14"/>
                <w:szCs w:val="14"/>
                <w:color w:val="auto"/>
              </w:rPr>
            </w:pPr>
          </w:p>
        </w:tc>
        <w:tc>
          <w:tcPr>
            <w:tcW w:w="52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w w:val="94"/>
              </w:rPr>
              <w:t>Liability</w:t>
            </w:r>
          </w:p>
        </w:tc>
        <w:tc>
          <w:tcPr>
            <w:tcW w:w="84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Total</w:t>
            </w:r>
          </w:p>
        </w:tc>
        <w:tc>
          <w:tcPr>
            <w:tcW w:w="0" w:type="dxa"/>
            <w:vAlign w:val="bottom"/>
          </w:tcPr>
          <w:p>
            <w:pPr>
              <w:spacing w:after="0"/>
              <w:rPr>
                <w:sz w:val="1"/>
                <w:szCs w:val="1"/>
                <w:color w:val="auto"/>
              </w:rPr>
            </w:pPr>
          </w:p>
        </w:tc>
      </w:tr>
      <w:tr>
        <w:trPr>
          <w:trHeight w:val="141"/>
        </w:trPr>
        <w:tc>
          <w:tcPr>
            <w:tcW w:w="3000" w:type="dxa"/>
            <w:vAlign w:val="bottom"/>
            <w:gridSpan w:val="3"/>
          </w:tcPr>
          <w:p>
            <w:pPr>
              <w:spacing w:after="0" w:line="141" w:lineRule="exact"/>
              <w:rPr>
                <w:sz w:val="20"/>
                <w:szCs w:val="20"/>
                <w:color w:val="auto"/>
              </w:rPr>
            </w:pPr>
            <w:r>
              <w:rPr>
                <w:rFonts w:ascii="Arial" w:cs="Arial" w:eastAsia="Arial" w:hAnsi="Arial"/>
                <w:sz w:val="14"/>
                <w:szCs w:val="14"/>
                <w:color w:val="auto"/>
              </w:rPr>
              <w:t>Balance, January 1, 2004</w:t>
            </w:r>
          </w:p>
        </w:tc>
        <w:tc>
          <w:tcPr>
            <w:tcW w:w="620" w:type="dxa"/>
            <w:vAlign w:val="bottom"/>
          </w:tcPr>
          <w:p>
            <w:pPr>
              <w:jc w:val="right"/>
              <w:ind w:right="132"/>
              <w:spacing w:after="0" w:line="141" w:lineRule="exact"/>
              <w:rPr>
                <w:sz w:val="20"/>
                <w:szCs w:val="20"/>
                <w:color w:val="auto"/>
              </w:rPr>
            </w:pPr>
            <w:r>
              <w:rPr>
                <w:rFonts w:ascii="Arial" w:cs="Arial" w:eastAsia="Arial" w:hAnsi="Arial"/>
                <w:sz w:val="14"/>
                <w:szCs w:val="14"/>
                <w:color w:val="auto"/>
              </w:rPr>
              <w:t>$ 24</w:t>
            </w:r>
          </w:p>
        </w:tc>
        <w:tc>
          <w:tcPr>
            <w:tcW w:w="360" w:type="dxa"/>
            <w:vAlign w:val="bottom"/>
          </w:tcPr>
          <w:p>
            <w:pPr>
              <w:ind w:left="180"/>
              <w:spacing w:after="0" w:line="141" w:lineRule="exact"/>
              <w:rPr>
                <w:sz w:val="20"/>
                <w:szCs w:val="20"/>
                <w:color w:val="auto"/>
              </w:rPr>
            </w:pPr>
            <w:r>
              <w:rPr>
                <w:rFonts w:ascii="Arial" w:cs="Arial" w:eastAsia="Arial" w:hAnsi="Arial"/>
                <w:sz w:val="14"/>
                <w:szCs w:val="14"/>
                <w:color w:val="auto"/>
              </w:rPr>
              <w:t>$</w:t>
            </w:r>
          </w:p>
        </w:tc>
        <w:tc>
          <w:tcPr>
            <w:tcW w:w="460" w:type="dxa"/>
            <w:vAlign w:val="bottom"/>
          </w:tcPr>
          <w:p>
            <w:pPr>
              <w:jc w:val="right"/>
              <w:ind w:right="132"/>
              <w:spacing w:after="0" w:line="141" w:lineRule="exact"/>
              <w:rPr>
                <w:sz w:val="20"/>
                <w:szCs w:val="20"/>
                <w:color w:val="auto"/>
              </w:rPr>
            </w:pPr>
            <w:r>
              <w:rPr>
                <w:rFonts w:ascii="Arial" w:cs="Arial" w:eastAsia="Arial" w:hAnsi="Arial"/>
                <w:sz w:val="14"/>
                <w:szCs w:val="14"/>
                <w:color w:val="auto"/>
              </w:rPr>
              <w:t>14</w:t>
            </w:r>
          </w:p>
        </w:tc>
        <w:tc>
          <w:tcPr>
            <w:tcW w:w="560" w:type="dxa"/>
            <w:vAlign w:val="bottom"/>
          </w:tcPr>
          <w:p>
            <w:pPr>
              <w:jc w:val="right"/>
              <w:ind w:right="132"/>
              <w:spacing w:after="0" w:line="141" w:lineRule="exact"/>
              <w:rPr>
                <w:sz w:val="20"/>
                <w:szCs w:val="20"/>
                <w:color w:val="auto"/>
              </w:rPr>
            </w:pPr>
            <w:r>
              <w:rPr>
                <w:rFonts w:ascii="Arial" w:cs="Arial" w:eastAsia="Arial" w:hAnsi="Arial"/>
                <w:sz w:val="14"/>
                <w:szCs w:val="14"/>
                <w:color w:val="auto"/>
              </w:rPr>
              <w:t>$—</w:t>
            </w:r>
          </w:p>
        </w:tc>
        <w:tc>
          <w:tcPr>
            <w:tcW w:w="300" w:type="dxa"/>
            <w:vAlign w:val="bottom"/>
          </w:tcPr>
          <w:p>
            <w:pPr>
              <w:ind w:left="180"/>
              <w:spacing w:after="0" w:line="141" w:lineRule="exact"/>
              <w:rPr>
                <w:sz w:val="20"/>
                <w:szCs w:val="20"/>
                <w:color w:val="auto"/>
              </w:rPr>
            </w:pPr>
            <w:r>
              <w:rPr>
                <w:rFonts w:ascii="Arial" w:cs="Arial" w:eastAsia="Arial" w:hAnsi="Arial"/>
                <w:sz w:val="14"/>
                <w:szCs w:val="14"/>
                <w:color w:val="auto"/>
              </w:rPr>
              <w:t>$</w:t>
            </w:r>
          </w:p>
        </w:tc>
        <w:tc>
          <w:tcPr>
            <w:tcW w:w="680" w:type="dxa"/>
            <w:vAlign w:val="bottom"/>
          </w:tcPr>
          <w:p>
            <w:pPr>
              <w:jc w:val="right"/>
              <w:ind w:right="132"/>
              <w:spacing w:after="0" w:line="141" w:lineRule="exact"/>
              <w:rPr>
                <w:sz w:val="20"/>
                <w:szCs w:val="20"/>
                <w:color w:val="auto"/>
              </w:rPr>
            </w:pPr>
            <w:r>
              <w:rPr>
                <w:rFonts w:ascii="Arial" w:cs="Arial" w:eastAsia="Arial" w:hAnsi="Arial"/>
                <w:sz w:val="14"/>
                <w:szCs w:val="14"/>
                <w:color w:val="auto"/>
              </w:rPr>
              <w:t>44,729</w:t>
            </w:r>
          </w:p>
        </w:tc>
        <w:tc>
          <w:tcPr>
            <w:tcW w:w="260" w:type="dxa"/>
            <w:vAlign w:val="bottom"/>
          </w:tcPr>
          <w:p>
            <w:pPr>
              <w:ind w:left="140"/>
              <w:spacing w:after="0" w:line="141" w:lineRule="exact"/>
              <w:rPr>
                <w:sz w:val="20"/>
                <w:szCs w:val="20"/>
                <w:color w:val="auto"/>
              </w:rPr>
            </w:pPr>
            <w:r>
              <w:rPr>
                <w:rFonts w:ascii="Arial" w:cs="Arial" w:eastAsia="Arial" w:hAnsi="Arial"/>
                <w:sz w:val="14"/>
                <w:szCs w:val="14"/>
                <w:color w:val="auto"/>
              </w:rPr>
              <w:t>$</w:t>
            </w:r>
          </w:p>
        </w:tc>
        <w:tc>
          <w:tcPr>
            <w:tcW w:w="620" w:type="dxa"/>
            <w:vAlign w:val="bottom"/>
          </w:tcPr>
          <w:p>
            <w:pPr>
              <w:jc w:val="right"/>
              <w:ind w:right="132"/>
              <w:spacing w:after="0" w:line="141" w:lineRule="exact"/>
              <w:rPr>
                <w:sz w:val="20"/>
                <w:szCs w:val="20"/>
                <w:color w:val="auto"/>
              </w:rPr>
            </w:pPr>
            <w:r>
              <w:rPr>
                <w:rFonts w:ascii="Arial" w:cs="Arial" w:eastAsia="Arial" w:hAnsi="Arial"/>
                <w:sz w:val="14"/>
                <w:szCs w:val="14"/>
                <w:color w:val="auto"/>
              </w:rPr>
              <w:t>4,552</w:t>
            </w:r>
          </w:p>
        </w:tc>
        <w:tc>
          <w:tcPr>
            <w:tcW w:w="240" w:type="dxa"/>
            <w:vAlign w:val="bottom"/>
          </w:tcPr>
          <w:p>
            <w:pPr>
              <w:ind w:left="140"/>
              <w:spacing w:after="0" w:line="141" w:lineRule="exact"/>
              <w:rPr>
                <w:sz w:val="20"/>
                <w:szCs w:val="20"/>
                <w:color w:val="auto"/>
              </w:rPr>
            </w:pPr>
            <w:r>
              <w:rPr>
                <w:rFonts w:ascii="Arial" w:cs="Arial" w:eastAsia="Arial" w:hAnsi="Arial"/>
                <w:sz w:val="14"/>
                <w:szCs w:val="14"/>
                <w:color w:val="auto"/>
              </w:rPr>
              <w:t>$</w:t>
            </w:r>
          </w:p>
        </w:tc>
        <w:tc>
          <w:tcPr>
            <w:tcW w:w="500" w:type="dxa"/>
            <w:vAlign w:val="bottom"/>
          </w:tcPr>
          <w:p>
            <w:pPr>
              <w:jc w:val="center"/>
              <w:spacing w:after="0" w:line="141" w:lineRule="exact"/>
              <w:rPr>
                <w:sz w:val="20"/>
                <w:szCs w:val="20"/>
                <w:color w:val="auto"/>
              </w:rPr>
            </w:pPr>
            <w:r>
              <w:rPr>
                <w:rFonts w:ascii="Arial" w:cs="Arial" w:eastAsia="Arial" w:hAnsi="Arial"/>
                <w:sz w:val="14"/>
                <w:szCs w:val="14"/>
                <w:color w:val="auto"/>
                <w:w w:val="94"/>
              </w:rPr>
              <w:t>(7,517)</w:t>
            </w:r>
          </w:p>
        </w:tc>
        <w:tc>
          <w:tcPr>
            <w:tcW w:w="380" w:type="dxa"/>
            <w:vAlign w:val="bottom"/>
          </w:tcPr>
          <w:p>
            <w:pPr>
              <w:jc w:val="right"/>
              <w:spacing w:after="0" w:line="141" w:lineRule="exact"/>
              <w:rPr>
                <w:sz w:val="20"/>
                <w:szCs w:val="20"/>
                <w:color w:val="auto"/>
              </w:rPr>
            </w:pPr>
            <w:r>
              <w:rPr>
                <w:rFonts w:ascii="Arial" w:cs="Arial" w:eastAsia="Arial" w:hAnsi="Arial"/>
                <w:sz w:val="14"/>
                <w:szCs w:val="14"/>
                <w:color w:val="auto"/>
              </w:rPr>
              <w:t>$</w:t>
            </w:r>
          </w:p>
        </w:tc>
        <w:tc>
          <w:tcPr>
            <w:tcW w:w="620" w:type="dxa"/>
            <w:vAlign w:val="bottom"/>
          </w:tcPr>
          <w:p>
            <w:pPr>
              <w:jc w:val="right"/>
              <w:spacing w:after="0" w:line="141" w:lineRule="exact"/>
              <w:rPr>
                <w:sz w:val="20"/>
                <w:szCs w:val="20"/>
                <w:color w:val="auto"/>
              </w:rPr>
            </w:pPr>
            <w:r>
              <w:rPr>
                <w:rFonts w:ascii="Arial" w:cs="Arial" w:eastAsia="Arial" w:hAnsi="Arial"/>
                <w:sz w:val="14"/>
                <w:szCs w:val="14"/>
                <w:color w:val="auto"/>
              </w:rPr>
              <w:t>(112)</w:t>
            </w:r>
          </w:p>
        </w:tc>
        <w:tc>
          <w:tcPr>
            <w:tcW w:w="340" w:type="dxa"/>
            <w:vAlign w:val="bottom"/>
          </w:tcPr>
          <w:p>
            <w:pPr>
              <w:jc w:val="right"/>
              <w:spacing w:after="0" w:line="141" w:lineRule="exact"/>
              <w:rPr>
                <w:sz w:val="20"/>
                <w:szCs w:val="20"/>
                <w:color w:val="auto"/>
              </w:rPr>
            </w:pPr>
            <w:r>
              <w:rPr>
                <w:rFonts w:ascii="Arial" w:cs="Arial" w:eastAsia="Arial" w:hAnsi="Arial"/>
                <w:sz w:val="14"/>
                <w:szCs w:val="14"/>
                <w:color w:val="auto"/>
              </w:rPr>
              <w:t>$</w:t>
            </w:r>
          </w:p>
        </w:tc>
        <w:tc>
          <w:tcPr>
            <w:tcW w:w="940" w:type="dxa"/>
            <w:vAlign w:val="bottom"/>
          </w:tcPr>
          <w:p>
            <w:pPr>
              <w:jc w:val="right"/>
              <w:ind w:right="152"/>
              <w:spacing w:after="0" w:line="141" w:lineRule="exact"/>
              <w:rPr>
                <w:sz w:val="20"/>
                <w:szCs w:val="20"/>
                <w:color w:val="auto"/>
              </w:rPr>
            </w:pPr>
            <w:r>
              <w:rPr>
                <w:rFonts w:ascii="Arial" w:cs="Arial" w:eastAsia="Arial" w:hAnsi="Arial"/>
                <w:sz w:val="14"/>
                <w:szCs w:val="14"/>
                <w:color w:val="auto"/>
              </w:rPr>
              <w:t>(28)</w:t>
            </w:r>
          </w:p>
        </w:tc>
        <w:tc>
          <w:tcPr>
            <w:tcW w:w="180" w:type="dxa"/>
            <w:vAlign w:val="bottom"/>
          </w:tcPr>
          <w:p>
            <w:pPr>
              <w:jc w:val="right"/>
              <w:spacing w:after="0" w:line="141" w:lineRule="exact"/>
              <w:rPr>
                <w:sz w:val="20"/>
                <w:szCs w:val="20"/>
                <w:color w:val="auto"/>
              </w:rPr>
            </w:pPr>
            <w:r>
              <w:rPr>
                <w:rFonts w:ascii="Arial" w:cs="Arial" w:eastAsia="Arial" w:hAnsi="Arial"/>
                <w:sz w:val="14"/>
                <w:szCs w:val="14"/>
                <w:color w:val="auto"/>
              </w:rPr>
              <w:t>$</w:t>
            </w:r>
          </w:p>
        </w:tc>
        <w:tc>
          <w:tcPr>
            <w:tcW w:w="520" w:type="dxa"/>
            <w:vAlign w:val="bottom"/>
          </w:tcPr>
          <w:p>
            <w:pPr>
              <w:jc w:val="right"/>
              <w:spacing w:after="0" w:line="141" w:lineRule="exact"/>
              <w:rPr>
                <w:sz w:val="20"/>
                <w:szCs w:val="20"/>
                <w:color w:val="auto"/>
              </w:rPr>
            </w:pPr>
            <w:r>
              <w:rPr>
                <w:rFonts w:ascii="Arial" w:cs="Arial" w:eastAsia="Arial" w:hAnsi="Arial"/>
                <w:sz w:val="14"/>
                <w:szCs w:val="14"/>
                <w:color w:val="auto"/>
              </w:rPr>
              <w:t>—</w:t>
            </w:r>
          </w:p>
        </w:tc>
        <w:tc>
          <w:tcPr>
            <w:tcW w:w="840" w:type="dxa"/>
            <w:vAlign w:val="bottom"/>
          </w:tcPr>
          <w:p>
            <w:pPr>
              <w:jc w:val="right"/>
              <w:spacing w:after="0" w:line="141" w:lineRule="exact"/>
              <w:rPr>
                <w:sz w:val="20"/>
                <w:szCs w:val="20"/>
                <w:color w:val="auto"/>
              </w:rPr>
            </w:pPr>
            <w:r>
              <w:rPr>
                <w:rFonts w:ascii="Arial" w:cs="Arial" w:eastAsia="Arial" w:hAnsi="Arial"/>
                <w:sz w:val="14"/>
                <w:szCs w:val="14"/>
                <w:color w:val="auto"/>
              </w:rPr>
              <w:t>$41,662</w:t>
            </w:r>
          </w:p>
        </w:tc>
        <w:tc>
          <w:tcPr>
            <w:tcW w:w="0" w:type="dxa"/>
            <w:vAlign w:val="bottom"/>
          </w:tcPr>
          <w:p>
            <w:pPr>
              <w:spacing w:after="0"/>
              <w:rPr>
                <w:sz w:val="1"/>
                <w:szCs w:val="1"/>
                <w:color w:val="auto"/>
              </w:rPr>
            </w:pPr>
          </w:p>
        </w:tc>
      </w:tr>
      <w:tr>
        <w:trPr>
          <w:trHeight w:val="149"/>
        </w:trPr>
        <w:tc>
          <w:tcPr>
            <w:tcW w:w="3000" w:type="dxa"/>
            <w:vAlign w:val="bottom"/>
            <w:gridSpan w:val="3"/>
          </w:tcPr>
          <w:p>
            <w:pPr>
              <w:spacing w:after="0" w:line="149" w:lineRule="exact"/>
              <w:rPr>
                <w:sz w:val="20"/>
                <w:szCs w:val="20"/>
                <w:color w:val="auto"/>
              </w:rPr>
            </w:pPr>
            <w:r>
              <w:rPr>
                <w:rFonts w:ascii="Arial" w:cs="Arial" w:eastAsia="Arial" w:hAnsi="Arial"/>
                <w:sz w:val="14"/>
                <w:szCs w:val="14"/>
                <w:color w:val="auto"/>
              </w:rPr>
              <w:t>Comprehensive income:</w:t>
            </w:r>
          </w:p>
        </w:tc>
        <w:tc>
          <w:tcPr>
            <w:tcW w:w="62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46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94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8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2980" w:type="dxa"/>
            <w:vAlign w:val="bottom"/>
            <w:gridSpan w:val="2"/>
          </w:tcPr>
          <w:p>
            <w:pPr>
              <w:ind w:left="200"/>
              <w:spacing w:after="0" w:line="149" w:lineRule="exact"/>
              <w:rPr>
                <w:sz w:val="20"/>
                <w:szCs w:val="20"/>
                <w:color w:val="auto"/>
              </w:rPr>
            </w:pPr>
            <w:r>
              <w:rPr>
                <w:rFonts w:ascii="Arial" w:cs="Arial" w:eastAsia="Arial" w:hAnsi="Arial"/>
                <w:sz w:val="14"/>
                <w:szCs w:val="14"/>
                <w:color w:val="auto"/>
              </w:rPr>
              <w:t>Net income</w:t>
            </w:r>
          </w:p>
        </w:tc>
        <w:tc>
          <w:tcPr>
            <w:tcW w:w="62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46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620" w:type="dxa"/>
            <w:vAlign w:val="bottom"/>
          </w:tcPr>
          <w:p>
            <w:pPr>
              <w:jc w:val="right"/>
              <w:ind w:right="132"/>
              <w:spacing w:after="0" w:line="149" w:lineRule="exact"/>
              <w:rPr>
                <w:sz w:val="20"/>
                <w:szCs w:val="20"/>
                <w:color w:val="auto"/>
              </w:rPr>
            </w:pPr>
            <w:r>
              <w:rPr>
                <w:rFonts w:ascii="Arial" w:cs="Arial" w:eastAsia="Arial" w:hAnsi="Arial"/>
                <w:sz w:val="14"/>
                <w:szCs w:val="14"/>
                <w:color w:val="auto"/>
              </w:rPr>
              <w:t>970</w:t>
            </w:r>
          </w:p>
        </w:tc>
        <w:tc>
          <w:tcPr>
            <w:tcW w:w="24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94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8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2980" w:type="dxa"/>
            <w:vAlign w:val="bottom"/>
            <w:gridSpan w:val="2"/>
          </w:tcPr>
          <w:p>
            <w:pPr>
              <w:ind w:left="200"/>
              <w:spacing w:after="0" w:line="149" w:lineRule="exact"/>
              <w:rPr>
                <w:sz w:val="20"/>
                <w:szCs w:val="20"/>
                <w:color w:val="auto"/>
              </w:rPr>
            </w:pPr>
            <w:r>
              <w:rPr>
                <w:rFonts w:ascii="Arial" w:cs="Arial" w:eastAsia="Arial" w:hAnsi="Arial"/>
                <w:sz w:val="14"/>
                <w:szCs w:val="14"/>
                <w:color w:val="auto"/>
              </w:rPr>
              <w:t>Reclassification adjustments for losses</w:t>
            </w:r>
          </w:p>
        </w:tc>
        <w:tc>
          <w:tcPr>
            <w:tcW w:w="62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46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94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8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2980" w:type="dxa"/>
            <w:vAlign w:val="bottom"/>
            <w:gridSpan w:val="2"/>
          </w:tcPr>
          <w:p>
            <w:pPr>
              <w:ind w:left="420"/>
              <w:spacing w:after="0" w:line="149" w:lineRule="exact"/>
              <w:rPr>
                <w:sz w:val="20"/>
                <w:szCs w:val="20"/>
                <w:color w:val="auto"/>
              </w:rPr>
            </w:pPr>
            <w:r>
              <w:rPr>
                <w:rFonts w:ascii="Arial" w:cs="Arial" w:eastAsia="Arial" w:hAnsi="Arial"/>
                <w:sz w:val="14"/>
                <w:szCs w:val="14"/>
                <w:color w:val="auto"/>
              </w:rPr>
              <w:t>included in net income, net of deferred</w:t>
            </w:r>
          </w:p>
        </w:tc>
        <w:tc>
          <w:tcPr>
            <w:tcW w:w="62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46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94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8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2980" w:type="dxa"/>
            <w:vAlign w:val="bottom"/>
            <w:gridSpan w:val="2"/>
          </w:tcPr>
          <w:p>
            <w:pPr>
              <w:ind w:left="420"/>
              <w:spacing w:after="0" w:line="149" w:lineRule="exact"/>
              <w:rPr>
                <w:sz w:val="20"/>
                <w:szCs w:val="20"/>
                <w:color w:val="auto"/>
              </w:rPr>
            </w:pPr>
            <w:r>
              <w:rPr>
                <w:rFonts w:ascii="Arial" w:cs="Arial" w:eastAsia="Arial" w:hAnsi="Arial"/>
                <w:sz w:val="14"/>
                <w:szCs w:val="14"/>
                <w:color w:val="auto"/>
              </w:rPr>
              <w:t>taxes</w:t>
            </w:r>
          </w:p>
        </w:tc>
        <w:tc>
          <w:tcPr>
            <w:tcW w:w="62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46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620" w:type="dxa"/>
            <w:vAlign w:val="bottom"/>
          </w:tcPr>
          <w:p>
            <w:pPr>
              <w:jc w:val="right"/>
              <w:spacing w:after="0" w:line="149" w:lineRule="exact"/>
              <w:rPr>
                <w:sz w:val="20"/>
                <w:szCs w:val="20"/>
                <w:color w:val="auto"/>
              </w:rPr>
            </w:pPr>
            <w:r>
              <w:rPr>
                <w:rFonts w:ascii="Arial" w:cs="Arial" w:eastAsia="Arial" w:hAnsi="Arial"/>
                <w:sz w:val="14"/>
                <w:szCs w:val="14"/>
                <w:color w:val="auto"/>
              </w:rPr>
              <w:t>1</w:t>
            </w:r>
          </w:p>
        </w:tc>
        <w:tc>
          <w:tcPr>
            <w:tcW w:w="340" w:type="dxa"/>
            <w:vAlign w:val="bottom"/>
          </w:tcPr>
          <w:p>
            <w:pPr>
              <w:spacing w:after="0"/>
              <w:rPr>
                <w:sz w:val="12"/>
                <w:szCs w:val="12"/>
                <w:color w:val="auto"/>
              </w:rPr>
            </w:pPr>
          </w:p>
        </w:tc>
        <w:tc>
          <w:tcPr>
            <w:tcW w:w="94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8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2980" w:type="dxa"/>
            <w:vAlign w:val="bottom"/>
            <w:gridSpan w:val="2"/>
          </w:tcPr>
          <w:p>
            <w:pPr>
              <w:ind w:left="200"/>
              <w:spacing w:after="0" w:line="149" w:lineRule="exact"/>
              <w:rPr>
                <w:sz w:val="20"/>
                <w:szCs w:val="20"/>
                <w:color w:val="auto"/>
              </w:rPr>
            </w:pPr>
            <w:r>
              <w:rPr>
                <w:rFonts w:ascii="Arial" w:cs="Arial" w:eastAsia="Arial" w:hAnsi="Arial"/>
                <w:sz w:val="14"/>
                <w:szCs w:val="14"/>
                <w:color w:val="auto"/>
              </w:rPr>
              <w:t>Cumulative translation adjustments</w:t>
            </w:r>
          </w:p>
        </w:tc>
        <w:tc>
          <w:tcPr>
            <w:tcW w:w="62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46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940" w:type="dxa"/>
            <w:vAlign w:val="bottom"/>
          </w:tcPr>
          <w:p>
            <w:pPr>
              <w:jc w:val="right"/>
              <w:ind w:right="192"/>
              <w:spacing w:after="0" w:line="149" w:lineRule="exact"/>
              <w:rPr>
                <w:sz w:val="20"/>
                <w:szCs w:val="20"/>
                <w:color w:val="auto"/>
              </w:rPr>
            </w:pPr>
            <w:r>
              <w:rPr>
                <w:rFonts w:ascii="Arial" w:cs="Arial" w:eastAsia="Arial" w:hAnsi="Arial"/>
                <w:sz w:val="14"/>
                <w:szCs w:val="14"/>
                <w:color w:val="auto"/>
              </w:rPr>
              <w:t>20</w:t>
            </w:r>
          </w:p>
        </w:tc>
        <w:tc>
          <w:tcPr>
            <w:tcW w:w="18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8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3000" w:type="dxa"/>
            <w:vAlign w:val="bottom"/>
            <w:gridSpan w:val="3"/>
          </w:tcPr>
          <w:p>
            <w:pPr>
              <w:spacing w:after="0" w:line="149" w:lineRule="exact"/>
              <w:rPr>
                <w:sz w:val="20"/>
                <w:szCs w:val="20"/>
                <w:color w:val="auto"/>
              </w:rPr>
            </w:pPr>
            <w:r>
              <w:rPr>
                <w:rFonts w:ascii="Arial" w:cs="Arial" w:eastAsia="Arial" w:hAnsi="Arial"/>
                <w:sz w:val="14"/>
                <w:szCs w:val="14"/>
                <w:color w:val="auto"/>
              </w:rPr>
              <w:t>Total comprehensive income</w:t>
            </w:r>
          </w:p>
        </w:tc>
        <w:tc>
          <w:tcPr>
            <w:tcW w:w="62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46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94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840" w:type="dxa"/>
            <w:vAlign w:val="bottom"/>
          </w:tcPr>
          <w:p>
            <w:pPr>
              <w:jc w:val="right"/>
              <w:spacing w:after="0" w:line="149" w:lineRule="exact"/>
              <w:rPr>
                <w:sz w:val="20"/>
                <w:szCs w:val="20"/>
                <w:color w:val="auto"/>
              </w:rPr>
            </w:pPr>
            <w:r>
              <w:rPr>
                <w:rFonts w:ascii="Arial" w:cs="Arial" w:eastAsia="Arial" w:hAnsi="Arial"/>
                <w:sz w:val="14"/>
                <w:szCs w:val="14"/>
                <w:color w:val="auto"/>
              </w:rPr>
              <w:t>991</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2980" w:type="dxa"/>
            <w:vAlign w:val="bottom"/>
            <w:gridSpan w:val="2"/>
          </w:tcPr>
          <w:p>
            <w:pPr>
              <w:ind w:left="200"/>
              <w:spacing w:after="0" w:line="149" w:lineRule="exact"/>
              <w:rPr>
                <w:sz w:val="20"/>
                <w:szCs w:val="20"/>
                <w:color w:val="auto"/>
              </w:rPr>
            </w:pPr>
            <w:r>
              <w:rPr>
                <w:rFonts w:ascii="Arial" w:cs="Arial" w:eastAsia="Arial" w:hAnsi="Arial"/>
                <w:sz w:val="14"/>
                <w:szCs w:val="14"/>
                <w:color w:val="auto"/>
              </w:rPr>
              <w:t>Stock compensation plans</w:t>
            </w:r>
          </w:p>
        </w:tc>
        <w:tc>
          <w:tcPr>
            <w:tcW w:w="62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46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680" w:type="dxa"/>
            <w:vAlign w:val="bottom"/>
          </w:tcPr>
          <w:p>
            <w:pPr>
              <w:jc w:val="right"/>
              <w:ind w:right="132"/>
              <w:spacing w:after="0" w:line="149" w:lineRule="exact"/>
              <w:rPr>
                <w:sz w:val="20"/>
                <w:szCs w:val="20"/>
                <w:color w:val="auto"/>
              </w:rPr>
            </w:pPr>
            <w:r>
              <w:rPr>
                <w:rFonts w:ascii="Arial" w:cs="Arial" w:eastAsia="Arial" w:hAnsi="Arial"/>
                <w:sz w:val="14"/>
                <w:szCs w:val="14"/>
                <w:color w:val="auto"/>
              </w:rPr>
              <w:t>130</w:t>
            </w:r>
          </w:p>
        </w:tc>
        <w:tc>
          <w:tcPr>
            <w:tcW w:w="260" w:type="dxa"/>
            <w:vAlign w:val="bottom"/>
          </w:tcPr>
          <w:p>
            <w:pPr>
              <w:spacing w:after="0"/>
              <w:rPr>
                <w:sz w:val="12"/>
                <w:szCs w:val="12"/>
                <w:color w:val="auto"/>
              </w:rPr>
            </w:pPr>
          </w:p>
        </w:tc>
        <w:tc>
          <w:tcPr>
            <w:tcW w:w="620" w:type="dxa"/>
            <w:vAlign w:val="bottom"/>
          </w:tcPr>
          <w:p>
            <w:pPr>
              <w:jc w:val="right"/>
              <w:ind w:right="72"/>
              <w:spacing w:after="0" w:line="149" w:lineRule="exact"/>
              <w:rPr>
                <w:sz w:val="20"/>
                <w:szCs w:val="20"/>
                <w:color w:val="auto"/>
              </w:rPr>
            </w:pPr>
            <w:r>
              <w:rPr>
                <w:rFonts w:ascii="Arial" w:cs="Arial" w:eastAsia="Arial" w:hAnsi="Arial"/>
                <w:sz w:val="14"/>
                <w:szCs w:val="14"/>
                <w:color w:val="auto"/>
              </w:rPr>
              <w:t>(73)</w:t>
            </w:r>
          </w:p>
        </w:tc>
        <w:tc>
          <w:tcPr>
            <w:tcW w:w="24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94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840" w:type="dxa"/>
            <w:vAlign w:val="bottom"/>
          </w:tcPr>
          <w:p>
            <w:pPr>
              <w:jc w:val="right"/>
              <w:spacing w:after="0" w:line="149" w:lineRule="exact"/>
              <w:rPr>
                <w:sz w:val="20"/>
                <w:szCs w:val="20"/>
                <w:color w:val="auto"/>
              </w:rPr>
            </w:pPr>
            <w:r>
              <w:rPr>
                <w:rFonts w:ascii="Arial" w:cs="Arial" w:eastAsia="Arial" w:hAnsi="Arial"/>
                <w:sz w:val="14"/>
                <w:szCs w:val="14"/>
                <w:color w:val="auto"/>
              </w:rPr>
              <w:t>57</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2980" w:type="dxa"/>
            <w:vAlign w:val="bottom"/>
            <w:gridSpan w:val="2"/>
          </w:tcPr>
          <w:p>
            <w:pPr>
              <w:ind w:left="200"/>
              <w:spacing w:after="0" w:line="149" w:lineRule="exact"/>
              <w:rPr>
                <w:sz w:val="20"/>
                <w:szCs w:val="20"/>
                <w:color w:val="auto"/>
              </w:rPr>
            </w:pPr>
            <w:r>
              <w:rPr>
                <w:rFonts w:ascii="Arial" w:cs="Arial" w:eastAsia="Arial" w:hAnsi="Arial"/>
                <w:sz w:val="14"/>
                <w:szCs w:val="14"/>
                <w:color w:val="auto"/>
              </w:rPr>
              <w:t>Repurchase and retirement of common</w:t>
            </w:r>
          </w:p>
        </w:tc>
        <w:tc>
          <w:tcPr>
            <w:tcW w:w="62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46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94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8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2980" w:type="dxa"/>
            <w:vAlign w:val="bottom"/>
            <w:gridSpan w:val="2"/>
          </w:tcPr>
          <w:p>
            <w:pPr>
              <w:ind w:left="420"/>
              <w:spacing w:after="0" w:line="149" w:lineRule="exact"/>
              <w:rPr>
                <w:sz w:val="20"/>
                <w:szCs w:val="20"/>
                <w:color w:val="auto"/>
              </w:rPr>
            </w:pPr>
            <w:r>
              <w:rPr>
                <w:rFonts w:ascii="Arial" w:cs="Arial" w:eastAsia="Arial" w:hAnsi="Arial"/>
                <w:sz w:val="14"/>
                <w:szCs w:val="14"/>
                <w:color w:val="auto"/>
              </w:rPr>
              <w:t>stock</w:t>
            </w:r>
          </w:p>
        </w:tc>
        <w:tc>
          <w:tcPr>
            <w:tcW w:w="62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460" w:type="dxa"/>
            <w:vAlign w:val="bottom"/>
          </w:tcPr>
          <w:p>
            <w:pPr>
              <w:jc w:val="right"/>
              <w:ind w:right="72"/>
              <w:spacing w:after="0" w:line="149" w:lineRule="exact"/>
              <w:rPr>
                <w:sz w:val="20"/>
                <w:szCs w:val="20"/>
                <w:color w:val="auto"/>
              </w:rPr>
            </w:pPr>
            <w:r>
              <w:rPr>
                <w:rFonts w:ascii="Arial" w:cs="Arial" w:eastAsia="Arial" w:hAnsi="Arial"/>
                <w:sz w:val="14"/>
                <w:szCs w:val="14"/>
                <w:color w:val="auto"/>
              </w:rPr>
              <w:t>(1)</w:t>
            </w:r>
          </w:p>
        </w:tc>
        <w:tc>
          <w:tcPr>
            <w:tcW w:w="56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680" w:type="dxa"/>
            <w:vAlign w:val="bottom"/>
          </w:tcPr>
          <w:p>
            <w:pPr>
              <w:jc w:val="right"/>
              <w:ind w:right="92"/>
              <w:spacing w:after="0" w:line="149" w:lineRule="exact"/>
              <w:rPr>
                <w:sz w:val="20"/>
                <w:szCs w:val="20"/>
                <w:color w:val="auto"/>
              </w:rPr>
            </w:pPr>
            <w:r>
              <w:rPr>
                <w:rFonts w:ascii="Arial" w:cs="Arial" w:eastAsia="Arial" w:hAnsi="Arial"/>
                <w:sz w:val="14"/>
                <w:szCs w:val="14"/>
                <w:color w:val="auto"/>
              </w:rPr>
              <w:t>(757)</w:t>
            </w:r>
          </w:p>
        </w:tc>
        <w:tc>
          <w:tcPr>
            <w:tcW w:w="260" w:type="dxa"/>
            <w:vAlign w:val="bottom"/>
          </w:tcPr>
          <w:p>
            <w:pPr>
              <w:spacing w:after="0"/>
              <w:rPr>
                <w:sz w:val="12"/>
                <w:szCs w:val="12"/>
                <w:color w:val="auto"/>
              </w:rPr>
            </w:pPr>
          </w:p>
        </w:tc>
        <w:tc>
          <w:tcPr>
            <w:tcW w:w="620" w:type="dxa"/>
            <w:vAlign w:val="bottom"/>
          </w:tcPr>
          <w:p>
            <w:pPr>
              <w:jc w:val="right"/>
              <w:ind w:right="72"/>
              <w:spacing w:after="0" w:line="149" w:lineRule="exact"/>
              <w:rPr>
                <w:sz w:val="20"/>
                <w:szCs w:val="20"/>
                <w:color w:val="auto"/>
              </w:rPr>
            </w:pPr>
            <w:r>
              <w:rPr>
                <w:rFonts w:ascii="Arial" w:cs="Arial" w:eastAsia="Arial" w:hAnsi="Arial"/>
                <w:sz w:val="14"/>
                <w:szCs w:val="14"/>
                <w:color w:val="auto"/>
              </w:rPr>
              <w:t>(558)</w:t>
            </w:r>
          </w:p>
        </w:tc>
        <w:tc>
          <w:tcPr>
            <w:tcW w:w="24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94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840" w:type="dxa"/>
            <w:vAlign w:val="bottom"/>
          </w:tcPr>
          <w:p>
            <w:pPr>
              <w:jc w:val="right"/>
              <w:spacing w:after="0" w:line="149" w:lineRule="exact"/>
              <w:rPr>
                <w:sz w:val="20"/>
                <w:szCs w:val="20"/>
                <w:color w:val="auto"/>
              </w:rPr>
            </w:pPr>
            <w:r>
              <w:rPr>
                <w:rFonts w:ascii="Arial" w:cs="Arial" w:eastAsia="Arial" w:hAnsi="Arial"/>
                <w:sz w:val="14"/>
                <w:szCs w:val="14"/>
                <w:color w:val="auto"/>
              </w:rPr>
              <w:t>(1,316)</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2980" w:type="dxa"/>
            <w:vAlign w:val="bottom"/>
            <w:tcBorders>
              <w:bottom w:val="single" w:sz="8" w:color="auto"/>
            </w:tcBorders>
            <w:gridSpan w:val="2"/>
          </w:tcPr>
          <w:p>
            <w:pPr>
              <w:ind w:left="200"/>
              <w:spacing w:after="0" w:line="149" w:lineRule="exact"/>
              <w:rPr>
                <w:sz w:val="20"/>
                <w:szCs w:val="20"/>
                <w:color w:val="auto"/>
              </w:rPr>
            </w:pPr>
            <w:r>
              <w:rPr>
                <w:rFonts w:ascii="Arial" w:cs="Arial" w:eastAsia="Arial" w:hAnsi="Arial"/>
                <w:sz w:val="14"/>
                <w:szCs w:val="14"/>
                <w:color w:val="auto"/>
              </w:rPr>
              <w:t>Employee stock purchase plan</w:t>
            </w:r>
          </w:p>
        </w:tc>
        <w:tc>
          <w:tcPr>
            <w:tcW w:w="620" w:type="dxa"/>
            <w:vAlign w:val="bottom"/>
            <w:tcBorders>
              <w:bottom w:val="single" w:sz="8" w:color="auto"/>
            </w:tcBorders>
          </w:tcPr>
          <w:p>
            <w:pPr>
              <w:spacing w:after="0"/>
              <w:rPr>
                <w:sz w:val="12"/>
                <w:szCs w:val="12"/>
                <w:color w:val="auto"/>
              </w:rPr>
            </w:pPr>
          </w:p>
        </w:tc>
        <w:tc>
          <w:tcPr>
            <w:tcW w:w="360" w:type="dxa"/>
            <w:vAlign w:val="bottom"/>
            <w:tcBorders>
              <w:bottom w:val="single" w:sz="8" w:color="auto"/>
            </w:tcBorders>
          </w:tcPr>
          <w:p>
            <w:pPr>
              <w:spacing w:after="0"/>
              <w:rPr>
                <w:sz w:val="12"/>
                <w:szCs w:val="12"/>
                <w:color w:val="auto"/>
              </w:rPr>
            </w:pPr>
          </w:p>
        </w:tc>
        <w:tc>
          <w:tcPr>
            <w:tcW w:w="460" w:type="dxa"/>
            <w:vAlign w:val="bottom"/>
            <w:tcBorders>
              <w:bottom w:val="single" w:sz="8" w:color="auto"/>
            </w:tcBorders>
          </w:tcPr>
          <w:p>
            <w:pPr>
              <w:spacing w:after="0"/>
              <w:rPr>
                <w:sz w:val="12"/>
                <w:szCs w:val="12"/>
                <w:color w:val="auto"/>
              </w:rPr>
            </w:pPr>
          </w:p>
        </w:tc>
        <w:tc>
          <w:tcPr>
            <w:tcW w:w="560" w:type="dxa"/>
            <w:vAlign w:val="bottom"/>
            <w:tcBorders>
              <w:bottom w:val="single" w:sz="8" w:color="auto"/>
            </w:tcBorders>
          </w:tcPr>
          <w:p>
            <w:pPr>
              <w:spacing w:after="0"/>
              <w:rPr>
                <w:sz w:val="12"/>
                <w:szCs w:val="12"/>
                <w:color w:val="auto"/>
              </w:rPr>
            </w:pPr>
          </w:p>
        </w:tc>
        <w:tc>
          <w:tcPr>
            <w:tcW w:w="300" w:type="dxa"/>
            <w:vAlign w:val="bottom"/>
            <w:tcBorders>
              <w:bottom w:val="single" w:sz="8" w:color="auto"/>
            </w:tcBorders>
          </w:tcPr>
          <w:p>
            <w:pPr>
              <w:spacing w:after="0"/>
              <w:rPr>
                <w:sz w:val="12"/>
                <w:szCs w:val="12"/>
                <w:color w:val="auto"/>
              </w:rPr>
            </w:pPr>
          </w:p>
        </w:tc>
        <w:tc>
          <w:tcPr>
            <w:tcW w:w="680" w:type="dxa"/>
            <w:vAlign w:val="bottom"/>
            <w:tcBorders>
              <w:bottom w:val="single" w:sz="8" w:color="auto"/>
            </w:tcBorders>
          </w:tcPr>
          <w:p>
            <w:pPr>
              <w:jc w:val="right"/>
              <w:ind w:right="132"/>
              <w:spacing w:after="0" w:line="149" w:lineRule="exact"/>
              <w:rPr>
                <w:sz w:val="20"/>
                <w:szCs w:val="20"/>
                <w:color w:val="auto"/>
              </w:rPr>
            </w:pPr>
            <w:r>
              <w:rPr>
                <w:rFonts w:ascii="Arial" w:cs="Arial" w:eastAsia="Arial" w:hAnsi="Arial"/>
                <w:sz w:val="14"/>
                <w:szCs w:val="14"/>
                <w:color w:val="auto"/>
              </w:rPr>
              <w:t>28</w:t>
            </w:r>
          </w:p>
        </w:tc>
        <w:tc>
          <w:tcPr>
            <w:tcW w:w="260" w:type="dxa"/>
            <w:vAlign w:val="bottom"/>
            <w:tcBorders>
              <w:bottom w:val="single" w:sz="8" w:color="auto"/>
            </w:tcBorders>
          </w:tcPr>
          <w:p>
            <w:pPr>
              <w:spacing w:after="0"/>
              <w:rPr>
                <w:sz w:val="12"/>
                <w:szCs w:val="12"/>
                <w:color w:val="auto"/>
              </w:rPr>
            </w:pPr>
          </w:p>
        </w:tc>
        <w:tc>
          <w:tcPr>
            <w:tcW w:w="620" w:type="dxa"/>
            <w:vAlign w:val="bottom"/>
            <w:tcBorders>
              <w:bottom w:val="single" w:sz="8" w:color="auto"/>
            </w:tcBorders>
          </w:tcPr>
          <w:p>
            <w:pPr>
              <w:spacing w:after="0"/>
              <w:rPr>
                <w:sz w:val="12"/>
                <w:szCs w:val="12"/>
                <w:color w:val="auto"/>
              </w:rPr>
            </w:pPr>
          </w:p>
        </w:tc>
        <w:tc>
          <w:tcPr>
            <w:tcW w:w="240" w:type="dxa"/>
            <w:vAlign w:val="bottom"/>
            <w:tcBorders>
              <w:bottom w:val="single" w:sz="8" w:color="auto"/>
            </w:tcBorders>
          </w:tcPr>
          <w:p>
            <w:pPr>
              <w:spacing w:after="0"/>
              <w:rPr>
                <w:sz w:val="12"/>
                <w:szCs w:val="12"/>
                <w:color w:val="auto"/>
              </w:rPr>
            </w:pPr>
          </w:p>
        </w:tc>
        <w:tc>
          <w:tcPr>
            <w:tcW w:w="500" w:type="dxa"/>
            <w:vAlign w:val="bottom"/>
            <w:tcBorders>
              <w:bottom w:val="single" w:sz="8" w:color="auto"/>
            </w:tcBorders>
          </w:tcPr>
          <w:p>
            <w:pPr>
              <w:spacing w:after="0"/>
              <w:rPr>
                <w:sz w:val="12"/>
                <w:szCs w:val="12"/>
                <w:color w:val="auto"/>
              </w:rPr>
            </w:pPr>
          </w:p>
        </w:tc>
        <w:tc>
          <w:tcPr>
            <w:tcW w:w="380" w:type="dxa"/>
            <w:vAlign w:val="bottom"/>
            <w:tcBorders>
              <w:bottom w:val="single" w:sz="8" w:color="auto"/>
            </w:tcBorders>
          </w:tcPr>
          <w:p>
            <w:pPr>
              <w:spacing w:after="0"/>
              <w:rPr>
                <w:sz w:val="12"/>
                <w:szCs w:val="12"/>
                <w:color w:val="auto"/>
              </w:rPr>
            </w:pPr>
          </w:p>
        </w:tc>
        <w:tc>
          <w:tcPr>
            <w:tcW w:w="620" w:type="dxa"/>
            <w:vAlign w:val="bottom"/>
            <w:tcBorders>
              <w:bottom w:val="single" w:sz="8" w:color="auto"/>
            </w:tcBorders>
          </w:tcPr>
          <w:p>
            <w:pPr>
              <w:spacing w:after="0"/>
              <w:rPr>
                <w:sz w:val="12"/>
                <w:szCs w:val="12"/>
                <w:color w:val="auto"/>
              </w:rPr>
            </w:pPr>
          </w:p>
        </w:tc>
        <w:tc>
          <w:tcPr>
            <w:tcW w:w="340" w:type="dxa"/>
            <w:vAlign w:val="bottom"/>
            <w:tcBorders>
              <w:bottom w:val="single" w:sz="8" w:color="auto"/>
            </w:tcBorders>
          </w:tcPr>
          <w:p>
            <w:pPr>
              <w:spacing w:after="0"/>
              <w:rPr>
                <w:sz w:val="12"/>
                <w:szCs w:val="12"/>
                <w:color w:val="auto"/>
              </w:rPr>
            </w:pPr>
          </w:p>
        </w:tc>
        <w:tc>
          <w:tcPr>
            <w:tcW w:w="940" w:type="dxa"/>
            <w:vAlign w:val="bottom"/>
            <w:tcBorders>
              <w:bottom w:val="single" w:sz="8" w:color="auto"/>
            </w:tcBorders>
          </w:tcPr>
          <w:p>
            <w:pPr>
              <w:spacing w:after="0"/>
              <w:rPr>
                <w:sz w:val="12"/>
                <w:szCs w:val="12"/>
                <w:color w:val="auto"/>
              </w:rPr>
            </w:pPr>
          </w:p>
        </w:tc>
        <w:tc>
          <w:tcPr>
            <w:tcW w:w="180" w:type="dxa"/>
            <w:vAlign w:val="bottom"/>
            <w:tcBorders>
              <w:bottom w:val="single" w:sz="8" w:color="auto"/>
            </w:tcBorders>
          </w:tcPr>
          <w:p>
            <w:pPr>
              <w:spacing w:after="0"/>
              <w:rPr>
                <w:sz w:val="12"/>
                <w:szCs w:val="12"/>
                <w:color w:val="auto"/>
              </w:rPr>
            </w:pPr>
          </w:p>
        </w:tc>
        <w:tc>
          <w:tcPr>
            <w:tcW w:w="520" w:type="dxa"/>
            <w:vAlign w:val="bottom"/>
            <w:tcBorders>
              <w:bottom w:val="single" w:sz="8" w:color="auto"/>
            </w:tcBorders>
          </w:tcPr>
          <w:p>
            <w:pPr>
              <w:spacing w:after="0"/>
              <w:rPr>
                <w:sz w:val="12"/>
                <w:szCs w:val="12"/>
                <w:color w:val="auto"/>
              </w:rPr>
            </w:pPr>
          </w:p>
        </w:tc>
        <w:tc>
          <w:tcPr>
            <w:tcW w:w="840" w:type="dxa"/>
            <w:vAlign w:val="bottom"/>
            <w:tcBorders>
              <w:bottom w:val="single" w:sz="8" w:color="auto"/>
            </w:tcBorders>
          </w:tcPr>
          <w:p>
            <w:pPr>
              <w:jc w:val="right"/>
              <w:spacing w:after="0" w:line="149" w:lineRule="exact"/>
              <w:rPr>
                <w:sz w:val="20"/>
                <w:szCs w:val="20"/>
                <w:color w:val="auto"/>
              </w:rPr>
            </w:pPr>
            <w:r>
              <w:rPr>
                <w:rFonts w:ascii="Arial" w:cs="Arial" w:eastAsia="Arial" w:hAnsi="Arial"/>
                <w:sz w:val="14"/>
                <w:szCs w:val="14"/>
                <w:color w:val="auto"/>
              </w:rPr>
              <w:t>28</w:t>
            </w:r>
          </w:p>
        </w:tc>
        <w:tc>
          <w:tcPr>
            <w:tcW w:w="0" w:type="dxa"/>
            <w:vAlign w:val="bottom"/>
          </w:tcPr>
          <w:p>
            <w:pPr>
              <w:spacing w:after="0"/>
              <w:rPr>
                <w:sz w:val="1"/>
                <w:szCs w:val="1"/>
                <w:color w:val="auto"/>
              </w:rPr>
            </w:pPr>
          </w:p>
        </w:tc>
      </w:tr>
      <w:tr>
        <w:trPr>
          <w:trHeight w:val="141"/>
        </w:trPr>
        <w:tc>
          <w:tcPr>
            <w:tcW w:w="20" w:type="dxa"/>
            <w:vAlign w:val="bottom"/>
          </w:tcPr>
          <w:p>
            <w:pPr>
              <w:spacing w:after="0"/>
              <w:rPr>
                <w:sz w:val="12"/>
                <w:szCs w:val="12"/>
                <w:color w:val="auto"/>
              </w:rPr>
            </w:pPr>
          </w:p>
        </w:tc>
        <w:tc>
          <w:tcPr>
            <w:tcW w:w="2980" w:type="dxa"/>
            <w:vAlign w:val="bottom"/>
            <w:gridSpan w:val="2"/>
          </w:tcPr>
          <w:p>
            <w:pPr>
              <w:spacing w:after="0" w:line="141" w:lineRule="exact"/>
              <w:rPr>
                <w:sz w:val="20"/>
                <w:szCs w:val="20"/>
                <w:color w:val="auto"/>
              </w:rPr>
            </w:pPr>
            <w:r>
              <w:rPr>
                <w:rFonts w:ascii="Arial" w:cs="Arial" w:eastAsia="Arial" w:hAnsi="Arial"/>
                <w:sz w:val="14"/>
                <w:szCs w:val="14"/>
                <w:color w:val="auto"/>
              </w:rPr>
              <w:t>Balance, December 31, 2004</w:t>
            </w:r>
          </w:p>
        </w:tc>
        <w:tc>
          <w:tcPr>
            <w:tcW w:w="620" w:type="dxa"/>
            <w:vAlign w:val="bottom"/>
          </w:tcPr>
          <w:p>
            <w:pPr>
              <w:jc w:val="right"/>
              <w:ind w:right="132"/>
              <w:spacing w:after="0" w:line="141" w:lineRule="exact"/>
              <w:rPr>
                <w:sz w:val="20"/>
                <w:szCs w:val="20"/>
                <w:color w:val="auto"/>
              </w:rPr>
            </w:pPr>
            <w:r>
              <w:rPr>
                <w:rFonts w:ascii="Arial" w:cs="Arial" w:eastAsia="Arial" w:hAnsi="Arial"/>
                <w:sz w:val="14"/>
                <w:szCs w:val="14"/>
                <w:color w:val="auto"/>
              </w:rPr>
              <w:t>24</w:t>
            </w:r>
          </w:p>
        </w:tc>
        <w:tc>
          <w:tcPr>
            <w:tcW w:w="360" w:type="dxa"/>
            <w:vAlign w:val="bottom"/>
          </w:tcPr>
          <w:p>
            <w:pPr>
              <w:spacing w:after="0"/>
              <w:rPr>
                <w:sz w:val="12"/>
                <w:szCs w:val="12"/>
                <w:color w:val="auto"/>
              </w:rPr>
            </w:pPr>
          </w:p>
        </w:tc>
        <w:tc>
          <w:tcPr>
            <w:tcW w:w="460" w:type="dxa"/>
            <w:vAlign w:val="bottom"/>
          </w:tcPr>
          <w:p>
            <w:pPr>
              <w:jc w:val="right"/>
              <w:ind w:right="132"/>
              <w:spacing w:after="0" w:line="141" w:lineRule="exact"/>
              <w:rPr>
                <w:sz w:val="20"/>
                <w:szCs w:val="20"/>
                <w:color w:val="auto"/>
              </w:rPr>
            </w:pPr>
            <w:r>
              <w:rPr>
                <w:rFonts w:ascii="Arial" w:cs="Arial" w:eastAsia="Arial" w:hAnsi="Arial"/>
                <w:sz w:val="14"/>
                <w:szCs w:val="14"/>
                <w:color w:val="auto"/>
              </w:rPr>
              <w:t>13</w:t>
            </w:r>
          </w:p>
        </w:tc>
        <w:tc>
          <w:tcPr>
            <w:tcW w:w="560" w:type="dxa"/>
            <w:vAlign w:val="bottom"/>
          </w:tcPr>
          <w:p>
            <w:pPr>
              <w:jc w:val="right"/>
              <w:ind w:right="132"/>
              <w:spacing w:after="0" w:line="141" w:lineRule="exact"/>
              <w:rPr>
                <w:sz w:val="20"/>
                <w:szCs w:val="20"/>
                <w:color w:val="auto"/>
              </w:rPr>
            </w:pPr>
            <w:r>
              <w:rPr>
                <w:rFonts w:ascii="Arial" w:cs="Arial" w:eastAsia="Arial" w:hAnsi="Arial"/>
                <w:sz w:val="14"/>
                <w:szCs w:val="14"/>
                <w:color w:val="auto"/>
              </w:rPr>
              <w:t>—</w:t>
            </w:r>
          </w:p>
        </w:tc>
        <w:tc>
          <w:tcPr>
            <w:tcW w:w="300" w:type="dxa"/>
            <w:vAlign w:val="bottom"/>
          </w:tcPr>
          <w:p>
            <w:pPr>
              <w:spacing w:after="0"/>
              <w:rPr>
                <w:sz w:val="12"/>
                <w:szCs w:val="12"/>
                <w:color w:val="auto"/>
              </w:rPr>
            </w:pPr>
          </w:p>
        </w:tc>
        <w:tc>
          <w:tcPr>
            <w:tcW w:w="680" w:type="dxa"/>
            <w:vAlign w:val="bottom"/>
          </w:tcPr>
          <w:p>
            <w:pPr>
              <w:jc w:val="right"/>
              <w:ind w:right="132"/>
              <w:spacing w:after="0" w:line="141" w:lineRule="exact"/>
              <w:rPr>
                <w:sz w:val="20"/>
                <w:szCs w:val="20"/>
                <w:color w:val="auto"/>
              </w:rPr>
            </w:pPr>
            <w:r>
              <w:rPr>
                <w:rFonts w:ascii="Arial" w:cs="Arial" w:eastAsia="Arial" w:hAnsi="Arial"/>
                <w:sz w:val="14"/>
                <w:szCs w:val="14"/>
                <w:color w:val="auto"/>
              </w:rPr>
              <w:t>44,130</w:t>
            </w:r>
          </w:p>
        </w:tc>
        <w:tc>
          <w:tcPr>
            <w:tcW w:w="260" w:type="dxa"/>
            <w:vAlign w:val="bottom"/>
          </w:tcPr>
          <w:p>
            <w:pPr>
              <w:spacing w:after="0"/>
              <w:rPr>
                <w:sz w:val="12"/>
                <w:szCs w:val="12"/>
                <w:color w:val="auto"/>
              </w:rPr>
            </w:pPr>
          </w:p>
        </w:tc>
        <w:tc>
          <w:tcPr>
            <w:tcW w:w="620" w:type="dxa"/>
            <w:vAlign w:val="bottom"/>
          </w:tcPr>
          <w:p>
            <w:pPr>
              <w:jc w:val="right"/>
              <w:ind w:right="132"/>
              <w:spacing w:after="0" w:line="141" w:lineRule="exact"/>
              <w:rPr>
                <w:sz w:val="20"/>
                <w:szCs w:val="20"/>
                <w:color w:val="auto"/>
              </w:rPr>
            </w:pPr>
            <w:r>
              <w:rPr>
                <w:rFonts w:ascii="Arial" w:cs="Arial" w:eastAsia="Arial" w:hAnsi="Arial"/>
                <w:sz w:val="14"/>
                <w:szCs w:val="14"/>
                <w:color w:val="auto"/>
              </w:rPr>
              <w:t>4,891</w:t>
            </w:r>
          </w:p>
        </w:tc>
        <w:tc>
          <w:tcPr>
            <w:tcW w:w="240" w:type="dxa"/>
            <w:vAlign w:val="bottom"/>
          </w:tcPr>
          <w:p>
            <w:pPr>
              <w:spacing w:after="0"/>
              <w:rPr>
                <w:sz w:val="12"/>
                <w:szCs w:val="12"/>
                <w:color w:val="auto"/>
              </w:rPr>
            </w:pPr>
          </w:p>
        </w:tc>
        <w:tc>
          <w:tcPr>
            <w:tcW w:w="500" w:type="dxa"/>
            <w:vAlign w:val="bottom"/>
          </w:tcPr>
          <w:p>
            <w:pPr>
              <w:jc w:val="center"/>
              <w:spacing w:after="0" w:line="141" w:lineRule="exact"/>
              <w:rPr>
                <w:sz w:val="20"/>
                <w:szCs w:val="20"/>
                <w:color w:val="auto"/>
              </w:rPr>
            </w:pPr>
            <w:r>
              <w:rPr>
                <w:rFonts w:ascii="Arial" w:cs="Arial" w:eastAsia="Arial" w:hAnsi="Arial"/>
                <w:sz w:val="14"/>
                <w:szCs w:val="14"/>
                <w:color w:val="auto"/>
                <w:w w:val="94"/>
              </w:rPr>
              <w:t>(7,517)</w:t>
            </w:r>
          </w:p>
        </w:tc>
        <w:tc>
          <w:tcPr>
            <w:tcW w:w="380" w:type="dxa"/>
            <w:vAlign w:val="bottom"/>
          </w:tcPr>
          <w:p>
            <w:pPr>
              <w:spacing w:after="0"/>
              <w:rPr>
                <w:sz w:val="12"/>
                <w:szCs w:val="12"/>
                <w:color w:val="auto"/>
              </w:rPr>
            </w:pPr>
          </w:p>
        </w:tc>
        <w:tc>
          <w:tcPr>
            <w:tcW w:w="620" w:type="dxa"/>
            <w:vAlign w:val="bottom"/>
          </w:tcPr>
          <w:p>
            <w:pPr>
              <w:jc w:val="right"/>
              <w:spacing w:after="0" w:line="141" w:lineRule="exact"/>
              <w:rPr>
                <w:sz w:val="20"/>
                <w:szCs w:val="20"/>
                <w:color w:val="auto"/>
              </w:rPr>
            </w:pPr>
            <w:r>
              <w:rPr>
                <w:rFonts w:ascii="Arial" w:cs="Arial" w:eastAsia="Arial" w:hAnsi="Arial"/>
                <w:sz w:val="14"/>
                <w:szCs w:val="14"/>
                <w:color w:val="auto"/>
              </w:rPr>
              <w:t>(111)</w:t>
            </w:r>
          </w:p>
        </w:tc>
        <w:tc>
          <w:tcPr>
            <w:tcW w:w="340" w:type="dxa"/>
            <w:vAlign w:val="bottom"/>
          </w:tcPr>
          <w:p>
            <w:pPr>
              <w:spacing w:after="0"/>
              <w:rPr>
                <w:sz w:val="12"/>
                <w:szCs w:val="12"/>
                <w:color w:val="auto"/>
              </w:rPr>
            </w:pPr>
          </w:p>
        </w:tc>
        <w:tc>
          <w:tcPr>
            <w:tcW w:w="940" w:type="dxa"/>
            <w:vAlign w:val="bottom"/>
          </w:tcPr>
          <w:p>
            <w:pPr>
              <w:jc w:val="right"/>
              <w:ind w:right="152"/>
              <w:spacing w:after="0" w:line="141" w:lineRule="exact"/>
              <w:rPr>
                <w:sz w:val="20"/>
                <w:szCs w:val="20"/>
                <w:color w:val="auto"/>
              </w:rPr>
            </w:pPr>
            <w:r>
              <w:rPr>
                <w:rFonts w:ascii="Arial" w:cs="Arial" w:eastAsia="Arial" w:hAnsi="Arial"/>
                <w:sz w:val="14"/>
                <w:szCs w:val="14"/>
                <w:color w:val="auto"/>
              </w:rPr>
              <w:t>(8)</w:t>
            </w:r>
          </w:p>
        </w:tc>
        <w:tc>
          <w:tcPr>
            <w:tcW w:w="180" w:type="dxa"/>
            <w:vAlign w:val="bottom"/>
          </w:tcPr>
          <w:p>
            <w:pPr>
              <w:spacing w:after="0"/>
              <w:rPr>
                <w:sz w:val="12"/>
                <w:szCs w:val="12"/>
                <w:color w:val="auto"/>
              </w:rPr>
            </w:pPr>
          </w:p>
        </w:tc>
        <w:tc>
          <w:tcPr>
            <w:tcW w:w="520" w:type="dxa"/>
            <w:vAlign w:val="bottom"/>
          </w:tcPr>
          <w:p>
            <w:pPr>
              <w:jc w:val="right"/>
              <w:spacing w:after="0" w:line="141" w:lineRule="exact"/>
              <w:rPr>
                <w:sz w:val="20"/>
                <w:szCs w:val="20"/>
                <w:color w:val="auto"/>
              </w:rPr>
            </w:pPr>
            <w:r>
              <w:rPr>
                <w:rFonts w:ascii="Arial" w:cs="Arial" w:eastAsia="Arial" w:hAnsi="Arial"/>
                <w:sz w:val="14"/>
                <w:szCs w:val="14"/>
                <w:color w:val="auto"/>
              </w:rPr>
              <w:t>—</w:t>
            </w:r>
          </w:p>
        </w:tc>
        <w:tc>
          <w:tcPr>
            <w:tcW w:w="840" w:type="dxa"/>
            <w:vAlign w:val="bottom"/>
          </w:tcPr>
          <w:p>
            <w:pPr>
              <w:jc w:val="right"/>
              <w:spacing w:after="0" w:line="141" w:lineRule="exact"/>
              <w:rPr>
                <w:sz w:val="20"/>
                <w:szCs w:val="20"/>
                <w:color w:val="auto"/>
              </w:rPr>
            </w:pPr>
            <w:r>
              <w:rPr>
                <w:rFonts w:ascii="Arial" w:cs="Arial" w:eastAsia="Arial" w:hAnsi="Arial"/>
                <w:sz w:val="14"/>
                <w:szCs w:val="14"/>
                <w:color w:val="auto"/>
              </w:rPr>
              <w:t>41,422</w:t>
            </w:r>
          </w:p>
        </w:tc>
        <w:tc>
          <w:tcPr>
            <w:tcW w:w="0" w:type="dxa"/>
            <w:vAlign w:val="bottom"/>
          </w:tcPr>
          <w:p>
            <w:pPr>
              <w:spacing w:after="0"/>
              <w:rPr>
                <w:sz w:val="1"/>
                <w:szCs w:val="1"/>
                <w:color w:val="auto"/>
              </w:rPr>
            </w:pPr>
          </w:p>
        </w:tc>
      </w:tr>
      <w:tr>
        <w:trPr>
          <w:trHeight w:val="149"/>
        </w:trPr>
        <w:tc>
          <w:tcPr>
            <w:tcW w:w="3000" w:type="dxa"/>
            <w:vAlign w:val="bottom"/>
            <w:gridSpan w:val="3"/>
          </w:tcPr>
          <w:p>
            <w:pPr>
              <w:spacing w:after="0" w:line="149" w:lineRule="exact"/>
              <w:rPr>
                <w:sz w:val="20"/>
                <w:szCs w:val="20"/>
                <w:color w:val="auto"/>
              </w:rPr>
            </w:pPr>
            <w:r>
              <w:rPr>
                <w:rFonts w:ascii="Arial" w:cs="Arial" w:eastAsia="Arial" w:hAnsi="Arial"/>
                <w:sz w:val="14"/>
                <w:szCs w:val="14"/>
                <w:color w:val="auto"/>
              </w:rPr>
              <w:t>Comprehensive income:</w:t>
            </w:r>
          </w:p>
        </w:tc>
        <w:tc>
          <w:tcPr>
            <w:tcW w:w="62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46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94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8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2980" w:type="dxa"/>
            <w:vAlign w:val="bottom"/>
            <w:gridSpan w:val="2"/>
          </w:tcPr>
          <w:p>
            <w:pPr>
              <w:ind w:left="200"/>
              <w:spacing w:after="0" w:line="149" w:lineRule="exact"/>
              <w:rPr>
                <w:sz w:val="20"/>
                <w:szCs w:val="20"/>
                <w:color w:val="auto"/>
              </w:rPr>
            </w:pPr>
            <w:r>
              <w:rPr>
                <w:rFonts w:ascii="Arial" w:cs="Arial" w:eastAsia="Arial" w:hAnsi="Arial"/>
                <w:sz w:val="14"/>
                <w:szCs w:val="14"/>
                <w:color w:val="auto"/>
              </w:rPr>
              <w:t>Net income</w:t>
            </w:r>
          </w:p>
        </w:tc>
        <w:tc>
          <w:tcPr>
            <w:tcW w:w="62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46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620" w:type="dxa"/>
            <w:vAlign w:val="bottom"/>
          </w:tcPr>
          <w:p>
            <w:pPr>
              <w:jc w:val="right"/>
              <w:ind w:right="132"/>
              <w:spacing w:after="0" w:line="149" w:lineRule="exact"/>
              <w:rPr>
                <w:sz w:val="20"/>
                <w:szCs w:val="20"/>
                <w:color w:val="auto"/>
              </w:rPr>
            </w:pPr>
            <w:r>
              <w:rPr>
                <w:rFonts w:ascii="Arial" w:cs="Arial" w:eastAsia="Arial" w:hAnsi="Arial"/>
                <w:sz w:val="14"/>
                <w:szCs w:val="14"/>
                <w:color w:val="auto"/>
              </w:rPr>
              <w:t>928</w:t>
            </w:r>
          </w:p>
        </w:tc>
        <w:tc>
          <w:tcPr>
            <w:tcW w:w="24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94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8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2980" w:type="dxa"/>
            <w:vAlign w:val="bottom"/>
            <w:gridSpan w:val="2"/>
          </w:tcPr>
          <w:p>
            <w:pPr>
              <w:ind w:left="200"/>
              <w:spacing w:after="0" w:line="149" w:lineRule="exact"/>
              <w:rPr>
                <w:sz w:val="20"/>
                <w:szCs w:val="20"/>
                <w:color w:val="auto"/>
              </w:rPr>
            </w:pPr>
            <w:r>
              <w:rPr>
                <w:rFonts w:ascii="Arial" w:cs="Arial" w:eastAsia="Arial" w:hAnsi="Arial"/>
                <w:sz w:val="14"/>
                <w:szCs w:val="14"/>
                <w:color w:val="auto"/>
              </w:rPr>
              <w:t>Unrealized gains on marketable securities,</w:t>
            </w:r>
          </w:p>
        </w:tc>
        <w:tc>
          <w:tcPr>
            <w:tcW w:w="62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46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94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8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2980" w:type="dxa"/>
            <w:vAlign w:val="bottom"/>
            <w:gridSpan w:val="2"/>
          </w:tcPr>
          <w:p>
            <w:pPr>
              <w:ind w:left="420"/>
              <w:spacing w:after="0" w:line="149" w:lineRule="exact"/>
              <w:rPr>
                <w:sz w:val="20"/>
                <w:szCs w:val="20"/>
                <w:color w:val="auto"/>
              </w:rPr>
            </w:pPr>
            <w:r>
              <w:rPr>
                <w:rFonts w:ascii="Arial" w:cs="Arial" w:eastAsia="Arial" w:hAnsi="Arial"/>
                <w:sz w:val="14"/>
                <w:szCs w:val="14"/>
                <w:color w:val="auto"/>
              </w:rPr>
              <w:t>net of deferred taxes of $ 11</w:t>
            </w:r>
          </w:p>
        </w:tc>
        <w:tc>
          <w:tcPr>
            <w:tcW w:w="62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46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620" w:type="dxa"/>
            <w:vAlign w:val="bottom"/>
          </w:tcPr>
          <w:p>
            <w:pPr>
              <w:jc w:val="right"/>
              <w:spacing w:after="0" w:line="149" w:lineRule="exact"/>
              <w:rPr>
                <w:sz w:val="20"/>
                <w:szCs w:val="20"/>
                <w:color w:val="auto"/>
              </w:rPr>
            </w:pPr>
            <w:r>
              <w:rPr>
                <w:rFonts w:ascii="Arial" w:cs="Arial" w:eastAsia="Arial" w:hAnsi="Arial"/>
                <w:sz w:val="14"/>
                <w:szCs w:val="14"/>
                <w:color w:val="auto"/>
              </w:rPr>
              <w:t>20</w:t>
            </w:r>
          </w:p>
        </w:tc>
        <w:tc>
          <w:tcPr>
            <w:tcW w:w="340" w:type="dxa"/>
            <w:vAlign w:val="bottom"/>
          </w:tcPr>
          <w:p>
            <w:pPr>
              <w:spacing w:after="0"/>
              <w:rPr>
                <w:sz w:val="12"/>
                <w:szCs w:val="12"/>
                <w:color w:val="auto"/>
              </w:rPr>
            </w:pPr>
          </w:p>
        </w:tc>
        <w:tc>
          <w:tcPr>
            <w:tcW w:w="94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8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2980" w:type="dxa"/>
            <w:vAlign w:val="bottom"/>
            <w:gridSpan w:val="2"/>
          </w:tcPr>
          <w:p>
            <w:pPr>
              <w:ind w:left="200"/>
              <w:spacing w:after="0" w:line="149" w:lineRule="exact"/>
              <w:rPr>
                <w:sz w:val="20"/>
                <w:szCs w:val="20"/>
                <w:color w:val="auto"/>
              </w:rPr>
            </w:pPr>
            <w:r>
              <w:rPr>
                <w:rFonts w:ascii="Arial" w:cs="Arial" w:eastAsia="Arial" w:hAnsi="Arial"/>
                <w:sz w:val="14"/>
                <w:szCs w:val="14"/>
                <w:color w:val="auto"/>
              </w:rPr>
              <w:t>Reclassification adjustments for income</w:t>
            </w:r>
          </w:p>
        </w:tc>
        <w:tc>
          <w:tcPr>
            <w:tcW w:w="62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46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94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8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2980" w:type="dxa"/>
            <w:vAlign w:val="bottom"/>
            <w:gridSpan w:val="2"/>
          </w:tcPr>
          <w:p>
            <w:pPr>
              <w:ind w:left="420"/>
              <w:spacing w:after="0" w:line="149" w:lineRule="exact"/>
              <w:rPr>
                <w:sz w:val="20"/>
                <w:szCs w:val="20"/>
                <w:color w:val="auto"/>
              </w:rPr>
            </w:pPr>
            <w:r>
              <w:rPr>
                <w:rFonts w:ascii="Arial" w:cs="Arial" w:eastAsia="Arial" w:hAnsi="Arial"/>
                <w:sz w:val="14"/>
                <w:szCs w:val="14"/>
                <w:color w:val="auto"/>
              </w:rPr>
              <w:t>included in net income, net of deferred</w:t>
            </w:r>
          </w:p>
        </w:tc>
        <w:tc>
          <w:tcPr>
            <w:tcW w:w="62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46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94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8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2980" w:type="dxa"/>
            <w:vAlign w:val="bottom"/>
            <w:gridSpan w:val="2"/>
          </w:tcPr>
          <w:p>
            <w:pPr>
              <w:ind w:left="420"/>
              <w:spacing w:after="0" w:line="149" w:lineRule="exact"/>
              <w:rPr>
                <w:sz w:val="20"/>
                <w:szCs w:val="20"/>
                <w:color w:val="auto"/>
              </w:rPr>
            </w:pPr>
            <w:r>
              <w:rPr>
                <w:rFonts w:ascii="Arial" w:cs="Arial" w:eastAsia="Arial" w:hAnsi="Arial"/>
                <w:sz w:val="14"/>
                <w:szCs w:val="14"/>
                <w:color w:val="auto"/>
              </w:rPr>
              <w:t>taxes of $ 2</w:t>
            </w:r>
          </w:p>
        </w:tc>
        <w:tc>
          <w:tcPr>
            <w:tcW w:w="62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46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620" w:type="dxa"/>
            <w:vAlign w:val="bottom"/>
          </w:tcPr>
          <w:p>
            <w:pPr>
              <w:jc w:val="right"/>
              <w:spacing w:after="0" w:line="149" w:lineRule="exact"/>
              <w:rPr>
                <w:sz w:val="20"/>
                <w:szCs w:val="20"/>
                <w:color w:val="auto"/>
              </w:rPr>
            </w:pPr>
            <w:r>
              <w:rPr>
                <w:rFonts w:ascii="Arial" w:cs="Arial" w:eastAsia="Arial" w:hAnsi="Arial"/>
                <w:sz w:val="14"/>
                <w:szCs w:val="14"/>
                <w:color w:val="auto"/>
              </w:rPr>
              <w:t>(4)</w:t>
            </w:r>
          </w:p>
        </w:tc>
        <w:tc>
          <w:tcPr>
            <w:tcW w:w="340" w:type="dxa"/>
            <w:vAlign w:val="bottom"/>
          </w:tcPr>
          <w:p>
            <w:pPr>
              <w:spacing w:after="0"/>
              <w:rPr>
                <w:sz w:val="12"/>
                <w:szCs w:val="12"/>
                <w:color w:val="auto"/>
              </w:rPr>
            </w:pPr>
          </w:p>
        </w:tc>
        <w:tc>
          <w:tcPr>
            <w:tcW w:w="94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8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2980" w:type="dxa"/>
            <w:vAlign w:val="bottom"/>
            <w:gridSpan w:val="2"/>
          </w:tcPr>
          <w:p>
            <w:pPr>
              <w:ind w:left="200"/>
              <w:spacing w:after="0" w:line="149" w:lineRule="exact"/>
              <w:rPr>
                <w:sz w:val="20"/>
                <w:szCs w:val="20"/>
                <w:color w:val="auto"/>
              </w:rPr>
            </w:pPr>
            <w:r>
              <w:rPr>
                <w:rFonts w:ascii="Arial" w:cs="Arial" w:eastAsia="Arial" w:hAnsi="Arial"/>
                <w:sz w:val="14"/>
                <w:szCs w:val="14"/>
                <w:color w:val="auto"/>
              </w:rPr>
              <w:t>Minimum pension liability, net of deferred</w:t>
            </w:r>
          </w:p>
        </w:tc>
        <w:tc>
          <w:tcPr>
            <w:tcW w:w="62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46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94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8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2980" w:type="dxa"/>
            <w:vAlign w:val="bottom"/>
            <w:gridSpan w:val="2"/>
          </w:tcPr>
          <w:p>
            <w:pPr>
              <w:ind w:left="420"/>
              <w:spacing w:after="0" w:line="149" w:lineRule="exact"/>
              <w:rPr>
                <w:sz w:val="20"/>
                <w:szCs w:val="20"/>
                <w:color w:val="auto"/>
              </w:rPr>
            </w:pPr>
            <w:r>
              <w:rPr>
                <w:rFonts w:ascii="Arial" w:cs="Arial" w:eastAsia="Arial" w:hAnsi="Arial"/>
                <w:sz w:val="14"/>
                <w:szCs w:val="14"/>
                <w:color w:val="auto"/>
              </w:rPr>
              <w:t>taxes of $ 7</w:t>
            </w:r>
          </w:p>
        </w:tc>
        <w:tc>
          <w:tcPr>
            <w:tcW w:w="62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46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94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520" w:type="dxa"/>
            <w:vAlign w:val="bottom"/>
          </w:tcPr>
          <w:p>
            <w:pPr>
              <w:jc w:val="right"/>
              <w:spacing w:after="0" w:line="149" w:lineRule="exact"/>
              <w:rPr>
                <w:sz w:val="20"/>
                <w:szCs w:val="20"/>
                <w:color w:val="auto"/>
              </w:rPr>
            </w:pPr>
            <w:r>
              <w:rPr>
                <w:rFonts w:ascii="Arial" w:cs="Arial" w:eastAsia="Arial" w:hAnsi="Arial"/>
                <w:sz w:val="14"/>
                <w:szCs w:val="14"/>
                <w:color w:val="auto"/>
              </w:rPr>
              <w:t>(12)</w:t>
            </w:r>
          </w:p>
        </w:tc>
        <w:tc>
          <w:tcPr>
            <w:tcW w:w="8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2980" w:type="dxa"/>
            <w:vAlign w:val="bottom"/>
            <w:gridSpan w:val="2"/>
          </w:tcPr>
          <w:p>
            <w:pPr>
              <w:ind w:left="200"/>
              <w:spacing w:after="0" w:line="149" w:lineRule="exact"/>
              <w:rPr>
                <w:sz w:val="20"/>
                <w:szCs w:val="20"/>
                <w:color w:val="auto"/>
              </w:rPr>
            </w:pPr>
            <w:r>
              <w:rPr>
                <w:rFonts w:ascii="Arial" w:cs="Arial" w:eastAsia="Arial" w:hAnsi="Arial"/>
                <w:sz w:val="14"/>
                <w:szCs w:val="14"/>
                <w:color w:val="auto"/>
              </w:rPr>
              <w:t>Cumulative translation adjustments</w:t>
            </w:r>
          </w:p>
        </w:tc>
        <w:tc>
          <w:tcPr>
            <w:tcW w:w="62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46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940" w:type="dxa"/>
            <w:vAlign w:val="bottom"/>
          </w:tcPr>
          <w:p>
            <w:pPr>
              <w:jc w:val="right"/>
              <w:ind w:right="192"/>
              <w:spacing w:after="0" w:line="149" w:lineRule="exact"/>
              <w:rPr>
                <w:sz w:val="20"/>
                <w:szCs w:val="20"/>
                <w:color w:val="auto"/>
              </w:rPr>
            </w:pPr>
            <w:r>
              <w:rPr>
                <w:rFonts w:ascii="Arial" w:cs="Arial" w:eastAsia="Arial" w:hAnsi="Arial"/>
                <w:sz w:val="14"/>
                <w:szCs w:val="14"/>
                <w:color w:val="auto"/>
              </w:rPr>
              <w:t>1</w:t>
            </w:r>
          </w:p>
        </w:tc>
        <w:tc>
          <w:tcPr>
            <w:tcW w:w="18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8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3000" w:type="dxa"/>
            <w:vAlign w:val="bottom"/>
            <w:gridSpan w:val="3"/>
          </w:tcPr>
          <w:p>
            <w:pPr>
              <w:spacing w:after="0" w:line="149" w:lineRule="exact"/>
              <w:rPr>
                <w:sz w:val="20"/>
                <w:szCs w:val="20"/>
                <w:color w:val="auto"/>
              </w:rPr>
            </w:pPr>
            <w:r>
              <w:rPr>
                <w:rFonts w:ascii="Arial" w:cs="Arial" w:eastAsia="Arial" w:hAnsi="Arial"/>
                <w:sz w:val="14"/>
                <w:szCs w:val="14"/>
                <w:color w:val="auto"/>
              </w:rPr>
              <w:t>Total comprehensive income</w:t>
            </w:r>
          </w:p>
        </w:tc>
        <w:tc>
          <w:tcPr>
            <w:tcW w:w="62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46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94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840" w:type="dxa"/>
            <w:vAlign w:val="bottom"/>
          </w:tcPr>
          <w:p>
            <w:pPr>
              <w:jc w:val="right"/>
              <w:spacing w:after="0" w:line="149" w:lineRule="exact"/>
              <w:rPr>
                <w:sz w:val="20"/>
                <w:szCs w:val="20"/>
                <w:color w:val="auto"/>
              </w:rPr>
            </w:pPr>
            <w:r>
              <w:rPr>
                <w:rFonts w:ascii="Arial" w:cs="Arial" w:eastAsia="Arial" w:hAnsi="Arial"/>
                <w:sz w:val="14"/>
                <w:szCs w:val="14"/>
                <w:color w:val="auto"/>
              </w:rPr>
              <w:t>933</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2980" w:type="dxa"/>
            <w:vAlign w:val="bottom"/>
            <w:gridSpan w:val="2"/>
          </w:tcPr>
          <w:p>
            <w:pPr>
              <w:ind w:left="200"/>
              <w:spacing w:after="0" w:line="149" w:lineRule="exact"/>
              <w:rPr>
                <w:sz w:val="20"/>
                <w:szCs w:val="20"/>
                <w:color w:val="auto"/>
              </w:rPr>
            </w:pPr>
            <w:r>
              <w:rPr>
                <w:rFonts w:ascii="Arial" w:cs="Arial" w:eastAsia="Arial" w:hAnsi="Arial"/>
                <w:sz w:val="14"/>
                <w:szCs w:val="14"/>
                <w:color w:val="auto"/>
              </w:rPr>
              <w:t>Stock compensation plans</w:t>
            </w:r>
          </w:p>
        </w:tc>
        <w:tc>
          <w:tcPr>
            <w:tcW w:w="62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46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680" w:type="dxa"/>
            <w:vAlign w:val="bottom"/>
          </w:tcPr>
          <w:p>
            <w:pPr>
              <w:jc w:val="right"/>
              <w:ind w:right="132"/>
              <w:spacing w:after="0" w:line="149" w:lineRule="exact"/>
              <w:rPr>
                <w:sz w:val="20"/>
                <w:szCs w:val="20"/>
                <w:color w:val="auto"/>
              </w:rPr>
            </w:pPr>
            <w:r>
              <w:rPr>
                <w:rFonts w:ascii="Arial" w:cs="Arial" w:eastAsia="Arial" w:hAnsi="Arial"/>
                <w:sz w:val="14"/>
                <w:szCs w:val="14"/>
                <w:color w:val="auto"/>
              </w:rPr>
              <w:t>120</w:t>
            </w:r>
          </w:p>
        </w:tc>
        <w:tc>
          <w:tcPr>
            <w:tcW w:w="26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94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840" w:type="dxa"/>
            <w:vAlign w:val="bottom"/>
          </w:tcPr>
          <w:p>
            <w:pPr>
              <w:jc w:val="right"/>
              <w:spacing w:after="0" w:line="149" w:lineRule="exact"/>
              <w:rPr>
                <w:sz w:val="20"/>
                <w:szCs w:val="20"/>
                <w:color w:val="auto"/>
              </w:rPr>
            </w:pPr>
            <w:r>
              <w:rPr>
                <w:rFonts w:ascii="Arial" w:cs="Arial" w:eastAsia="Arial" w:hAnsi="Arial"/>
                <w:sz w:val="14"/>
                <w:szCs w:val="14"/>
                <w:color w:val="auto"/>
              </w:rPr>
              <w:t>120</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2980" w:type="dxa"/>
            <w:vAlign w:val="bottom"/>
            <w:gridSpan w:val="2"/>
          </w:tcPr>
          <w:p>
            <w:pPr>
              <w:ind w:left="200"/>
              <w:spacing w:after="0" w:line="149" w:lineRule="exact"/>
              <w:rPr>
                <w:sz w:val="20"/>
                <w:szCs w:val="20"/>
                <w:color w:val="auto"/>
              </w:rPr>
            </w:pPr>
            <w:r>
              <w:rPr>
                <w:rFonts w:ascii="Arial" w:cs="Arial" w:eastAsia="Arial" w:hAnsi="Arial"/>
                <w:sz w:val="14"/>
                <w:szCs w:val="14"/>
                <w:color w:val="auto"/>
              </w:rPr>
              <w:t>Repurchase and retirement of common</w:t>
            </w:r>
          </w:p>
        </w:tc>
        <w:tc>
          <w:tcPr>
            <w:tcW w:w="62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46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94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8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2980" w:type="dxa"/>
            <w:vAlign w:val="bottom"/>
            <w:gridSpan w:val="2"/>
          </w:tcPr>
          <w:p>
            <w:pPr>
              <w:ind w:left="420"/>
              <w:spacing w:after="0" w:line="149" w:lineRule="exact"/>
              <w:rPr>
                <w:sz w:val="20"/>
                <w:szCs w:val="20"/>
                <w:color w:val="auto"/>
              </w:rPr>
            </w:pPr>
            <w:r>
              <w:rPr>
                <w:rFonts w:ascii="Arial" w:cs="Arial" w:eastAsia="Arial" w:hAnsi="Arial"/>
                <w:sz w:val="14"/>
                <w:szCs w:val="14"/>
                <w:color w:val="auto"/>
              </w:rPr>
              <w:t>stock</w:t>
            </w:r>
          </w:p>
        </w:tc>
        <w:tc>
          <w:tcPr>
            <w:tcW w:w="62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460" w:type="dxa"/>
            <w:vAlign w:val="bottom"/>
          </w:tcPr>
          <w:p>
            <w:pPr>
              <w:jc w:val="right"/>
              <w:ind w:right="72"/>
              <w:spacing w:after="0" w:line="149" w:lineRule="exact"/>
              <w:rPr>
                <w:sz w:val="20"/>
                <w:szCs w:val="20"/>
                <w:color w:val="auto"/>
              </w:rPr>
            </w:pPr>
            <w:r>
              <w:rPr>
                <w:rFonts w:ascii="Arial" w:cs="Arial" w:eastAsia="Arial" w:hAnsi="Arial"/>
                <w:sz w:val="14"/>
                <w:szCs w:val="14"/>
                <w:color w:val="auto"/>
              </w:rPr>
              <w:t>(1)</w:t>
            </w:r>
          </w:p>
        </w:tc>
        <w:tc>
          <w:tcPr>
            <w:tcW w:w="56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680" w:type="dxa"/>
            <w:vAlign w:val="bottom"/>
          </w:tcPr>
          <w:p>
            <w:pPr>
              <w:jc w:val="right"/>
              <w:ind w:right="92"/>
              <w:spacing w:after="0" w:line="149" w:lineRule="exact"/>
              <w:rPr>
                <w:sz w:val="20"/>
                <w:szCs w:val="20"/>
                <w:color w:val="auto"/>
              </w:rPr>
            </w:pPr>
            <w:r>
              <w:rPr>
                <w:rFonts w:ascii="Arial" w:cs="Arial" w:eastAsia="Arial" w:hAnsi="Arial"/>
                <w:sz w:val="14"/>
                <w:szCs w:val="14"/>
                <w:color w:val="auto"/>
              </w:rPr>
              <w:t>(1,294)</w:t>
            </w:r>
          </w:p>
        </w:tc>
        <w:tc>
          <w:tcPr>
            <w:tcW w:w="260" w:type="dxa"/>
            <w:vAlign w:val="bottom"/>
          </w:tcPr>
          <w:p>
            <w:pPr>
              <w:spacing w:after="0"/>
              <w:rPr>
                <w:sz w:val="12"/>
                <w:szCs w:val="12"/>
                <w:color w:val="auto"/>
              </w:rPr>
            </w:pPr>
          </w:p>
        </w:tc>
        <w:tc>
          <w:tcPr>
            <w:tcW w:w="620" w:type="dxa"/>
            <w:vAlign w:val="bottom"/>
          </w:tcPr>
          <w:p>
            <w:pPr>
              <w:jc w:val="right"/>
              <w:ind w:right="72"/>
              <w:spacing w:after="0" w:line="149" w:lineRule="exact"/>
              <w:rPr>
                <w:sz w:val="20"/>
                <w:szCs w:val="20"/>
                <w:color w:val="auto"/>
              </w:rPr>
            </w:pPr>
            <w:r>
              <w:rPr>
                <w:rFonts w:ascii="Arial" w:cs="Arial" w:eastAsia="Arial" w:hAnsi="Arial"/>
                <w:sz w:val="14"/>
                <w:szCs w:val="14"/>
                <w:color w:val="auto"/>
              </w:rPr>
              <w:t>(994)</w:t>
            </w:r>
          </w:p>
        </w:tc>
        <w:tc>
          <w:tcPr>
            <w:tcW w:w="24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94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840" w:type="dxa"/>
            <w:vAlign w:val="bottom"/>
          </w:tcPr>
          <w:p>
            <w:pPr>
              <w:jc w:val="right"/>
              <w:spacing w:after="0" w:line="149" w:lineRule="exact"/>
              <w:rPr>
                <w:sz w:val="20"/>
                <w:szCs w:val="20"/>
                <w:color w:val="auto"/>
              </w:rPr>
            </w:pPr>
            <w:r>
              <w:rPr>
                <w:rFonts w:ascii="Arial" w:cs="Arial" w:eastAsia="Arial" w:hAnsi="Arial"/>
                <w:sz w:val="14"/>
                <w:szCs w:val="14"/>
                <w:color w:val="auto"/>
              </w:rPr>
              <w:t>(2,289)</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2980" w:type="dxa"/>
            <w:vAlign w:val="bottom"/>
            <w:tcBorders>
              <w:bottom w:val="single" w:sz="8" w:color="auto"/>
            </w:tcBorders>
            <w:gridSpan w:val="2"/>
          </w:tcPr>
          <w:p>
            <w:pPr>
              <w:ind w:left="200"/>
              <w:spacing w:after="0" w:line="149" w:lineRule="exact"/>
              <w:rPr>
                <w:sz w:val="20"/>
                <w:szCs w:val="20"/>
                <w:color w:val="auto"/>
              </w:rPr>
            </w:pPr>
            <w:r>
              <w:rPr>
                <w:rFonts w:ascii="Arial" w:cs="Arial" w:eastAsia="Arial" w:hAnsi="Arial"/>
                <w:sz w:val="14"/>
                <w:szCs w:val="14"/>
                <w:color w:val="auto"/>
              </w:rPr>
              <w:t>Employee stock purchase plan</w:t>
            </w:r>
          </w:p>
        </w:tc>
        <w:tc>
          <w:tcPr>
            <w:tcW w:w="620" w:type="dxa"/>
            <w:vAlign w:val="bottom"/>
            <w:tcBorders>
              <w:bottom w:val="single" w:sz="8" w:color="auto"/>
            </w:tcBorders>
          </w:tcPr>
          <w:p>
            <w:pPr>
              <w:spacing w:after="0"/>
              <w:rPr>
                <w:sz w:val="12"/>
                <w:szCs w:val="12"/>
                <w:color w:val="auto"/>
              </w:rPr>
            </w:pPr>
          </w:p>
        </w:tc>
        <w:tc>
          <w:tcPr>
            <w:tcW w:w="360" w:type="dxa"/>
            <w:vAlign w:val="bottom"/>
            <w:tcBorders>
              <w:bottom w:val="single" w:sz="8" w:color="auto"/>
            </w:tcBorders>
          </w:tcPr>
          <w:p>
            <w:pPr>
              <w:spacing w:after="0"/>
              <w:rPr>
                <w:sz w:val="12"/>
                <w:szCs w:val="12"/>
                <w:color w:val="auto"/>
              </w:rPr>
            </w:pPr>
          </w:p>
        </w:tc>
        <w:tc>
          <w:tcPr>
            <w:tcW w:w="460" w:type="dxa"/>
            <w:vAlign w:val="bottom"/>
            <w:tcBorders>
              <w:bottom w:val="single" w:sz="8" w:color="auto"/>
            </w:tcBorders>
          </w:tcPr>
          <w:p>
            <w:pPr>
              <w:spacing w:after="0"/>
              <w:rPr>
                <w:sz w:val="12"/>
                <w:szCs w:val="12"/>
                <w:color w:val="auto"/>
              </w:rPr>
            </w:pPr>
          </w:p>
        </w:tc>
        <w:tc>
          <w:tcPr>
            <w:tcW w:w="560" w:type="dxa"/>
            <w:vAlign w:val="bottom"/>
            <w:tcBorders>
              <w:bottom w:val="single" w:sz="8" w:color="auto"/>
            </w:tcBorders>
          </w:tcPr>
          <w:p>
            <w:pPr>
              <w:spacing w:after="0"/>
              <w:rPr>
                <w:sz w:val="12"/>
                <w:szCs w:val="12"/>
                <w:color w:val="auto"/>
              </w:rPr>
            </w:pPr>
          </w:p>
        </w:tc>
        <w:tc>
          <w:tcPr>
            <w:tcW w:w="300" w:type="dxa"/>
            <w:vAlign w:val="bottom"/>
            <w:tcBorders>
              <w:bottom w:val="single" w:sz="8" w:color="auto"/>
            </w:tcBorders>
          </w:tcPr>
          <w:p>
            <w:pPr>
              <w:spacing w:after="0"/>
              <w:rPr>
                <w:sz w:val="12"/>
                <w:szCs w:val="12"/>
                <w:color w:val="auto"/>
              </w:rPr>
            </w:pPr>
          </w:p>
        </w:tc>
        <w:tc>
          <w:tcPr>
            <w:tcW w:w="680" w:type="dxa"/>
            <w:vAlign w:val="bottom"/>
            <w:tcBorders>
              <w:bottom w:val="single" w:sz="8" w:color="auto"/>
            </w:tcBorders>
          </w:tcPr>
          <w:p>
            <w:pPr>
              <w:jc w:val="right"/>
              <w:ind w:right="132"/>
              <w:spacing w:after="0" w:line="149" w:lineRule="exact"/>
              <w:rPr>
                <w:sz w:val="20"/>
                <w:szCs w:val="20"/>
                <w:color w:val="auto"/>
              </w:rPr>
            </w:pPr>
            <w:r>
              <w:rPr>
                <w:rFonts w:ascii="Arial" w:cs="Arial" w:eastAsia="Arial" w:hAnsi="Arial"/>
                <w:sz w:val="14"/>
                <w:szCs w:val="14"/>
                <w:color w:val="auto"/>
              </w:rPr>
              <w:t>33</w:t>
            </w:r>
          </w:p>
        </w:tc>
        <w:tc>
          <w:tcPr>
            <w:tcW w:w="260" w:type="dxa"/>
            <w:vAlign w:val="bottom"/>
            <w:tcBorders>
              <w:bottom w:val="single" w:sz="8" w:color="auto"/>
            </w:tcBorders>
          </w:tcPr>
          <w:p>
            <w:pPr>
              <w:spacing w:after="0"/>
              <w:rPr>
                <w:sz w:val="12"/>
                <w:szCs w:val="12"/>
                <w:color w:val="auto"/>
              </w:rPr>
            </w:pPr>
          </w:p>
        </w:tc>
        <w:tc>
          <w:tcPr>
            <w:tcW w:w="620" w:type="dxa"/>
            <w:vAlign w:val="bottom"/>
            <w:tcBorders>
              <w:bottom w:val="single" w:sz="8" w:color="auto"/>
            </w:tcBorders>
          </w:tcPr>
          <w:p>
            <w:pPr>
              <w:spacing w:after="0"/>
              <w:rPr>
                <w:sz w:val="12"/>
                <w:szCs w:val="12"/>
                <w:color w:val="auto"/>
              </w:rPr>
            </w:pPr>
          </w:p>
        </w:tc>
        <w:tc>
          <w:tcPr>
            <w:tcW w:w="240" w:type="dxa"/>
            <w:vAlign w:val="bottom"/>
            <w:tcBorders>
              <w:bottom w:val="single" w:sz="8" w:color="auto"/>
            </w:tcBorders>
          </w:tcPr>
          <w:p>
            <w:pPr>
              <w:spacing w:after="0"/>
              <w:rPr>
                <w:sz w:val="12"/>
                <w:szCs w:val="12"/>
                <w:color w:val="auto"/>
              </w:rPr>
            </w:pPr>
          </w:p>
        </w:tc>
        <w:tc>
          <w:tcPr>
            <w:tcW w:w="500" w:type="dxa"/>
            <w:vAlign w:val="bottom"/>
            <w:tcBorders>
              <w:bottom w:val="single" w:sz="8" w:color="auto"/>
            </w:tcBorders>
          </w:tcPr>
          <w:p>
            <w:pPr>
              <w:spacing w:after="0"/>
              <w:rPr>
                <w:sz w:val="12"/>
                <w:szCs w:val="12"/>
                <w:color w:val="auto"/>
              </w:rPr>
            </w:pPr>
          </w:p>
        </w:tc>
        <w:tc>
          <w:tcPr>
            <w:tcW w:w="380" w:type="dxa"/>
            <w:vAlign w:val="bottom"/>
            <w:tcBorders>
              <w:bottom w:val="single" w:sz="8" w:color="auto"/>
            </w:tcBorders>
          </w:tcPr>
          <w:p>
            <w:pPr>
              <w:spacing w:after="0"/>
              <w:rPr>
                <w:sz w:val="12"/>
                <w:szCs w:val="12"/>
                <w:color w:val="auto"/>
              </w:rPr>
            </w:pPr>
          </w:p>
        </w:tc>
        <w:tc>
          <w:tcPr>
            <w:tcW w:w="620" w:type="dxa"/>
            <w:vAlign w:val="bottom"/>
            <w:tcBorders>
              <w:bottom w:val="single" w:sz="8" w:color="auto"/>
            </w:tcBorders>
          </w:tcPr>
          <w:p>
            <w:pPr>
              <w:spacing w:after="0"/>
              <w:rPr>
                <w:sz w:val="12"/>
                <w:szCs w:val="12"/>
                <w:color w:val="auto"/>
              </w:rPr>
            </w:pPr>
          </w:p>
        </w:tc>
        <w:tc>
          <w:tcPr>
            <w:tcW w:w="340" w:type="dxa"/>
            <w:vAlign w:val="bottom"/>
            <w:tcBorders>
              <w:bottom w:val="single" w:sz="8" w:color="auto"/>
            </w:tcBorders>
          </w:tcPr>
          <w:p>
            <w:pPr>
              <w:spacing w:after="0"/>
              <w:rPr>
                <w:sz w:val="12"/>
                <w:szCs w:val="12"/>
                <w:color w:val="auto"/>
              </w:rPr>
            </w:pPr>
          </w:p>
        </w:tc>
        <w:tc>
          <w:tcPr>
            <w:tcW w:w="940" w:type="dxa"/>
            <w:vAlign w:val="bottom"/>
            <w:tcBorders>
              <w:bottom w:val="single" w:sz="8" w:color="auto"/>
            </w:tcBorders>
          </w:tcPr>
          <w:p>
            <w:pPr>
              <w:spacing w:after="0"/>
              <w:rPr>
                <w:sz w:val="12"/>
                <w:szCs w:val="12"/>
                <w:color w:val="auto"/>
              </w:rPr>
            </w:pPr>
          </w:p>
        </w:tc>
        <w:tc>
          <w:tcPr>
            <w:tcW w:w="180" w:type="dxa"/>
            <w:vAlign w:val="bottom"/>
            <w:tcBorders>
              <w:bottom w:val="single" w:sz="8" w:color="auto"/>
            </w:tcBorders>
          </w:tcPr>
          <w:p>
            <w:pPr>
              <w:spacing w:after="0"/>
              <w:rPr>
                <w:sz w:val="12"/>
                <w:szCs w:val="12"/>
                <w:color w:val="auto"/>
              </w:rPr>
            </w:pPr>
          </w:p>
        </w:tc>
        <w:tc>
          <w:tcPr>
            <w:tcW w:w="520" w:type="dxa"/>
            <w:vAlign w:val="bottom"/>
            <w:tcBorders>
              <w:bottom w:val="single" w:sz="8" w:color="auto"/>
            </w:tcBorders>
          </w:tcPr>
          <w:p>
            <w:pPr>
              <w:spacing w:after="0"/>
              <w:rPr>
                <w:sz w:val="12"/>
                <w:szCs w:val="12"/>
                <w:color w:val="auto"/>
              </w:rPr>
            </w:pPr>
          </w:p>
        </w:tc>
        <w:tc>
          <w:tcPr>
            <w:tcW w:w="840" w:type="dxa"/>
            <w:vAlign w:val="bottom"/>
            <w:tcBorders>
              <w:bottom w:val="single" w:sz="8" w:color="auto"/>
            </w:tcBorders>
          </w:tcPr>
          <w:p>
            <w:pPr>
              <w:jc w:val="right"/>
              <w:spacing w:after="0" w:line="149" w:lineRule="exact"/>
              <w:rPr>
                <w:sz w:val="20"/>
                <w:szCs w:val="20"/>
                <w:color w:val="auto"/>
              </w:rPr>
            </w:pPr>
            <w:r>
              <w:rPr>
                <w:rFonts w:ascii="Arial" w:cs="Arial" w:eastAsia="Arial" w:hAnsi="Arial"/>
                <w:sz w:val="14"/>
                <w:szCs w:val="14"/>
                <w:color w:val="auto"/>
              </w:rPr>
              <w:t>33</w:t>
            </w:r>
          </w:p>
        </w:tc>
        <w:tc>
          <w:tcPr>
            <w:tcW w:w="0" w:type="dxa"/>
            <w:vAlign w:val="bottom"/>
          </w:tcPr>
          <w:p>
            <w:pPr>
              <w:spacing w:after="0"/>
              <w:rPr>
                <w:sz w:val="1"/>
                <w:szCs w:val="1"/>
                <w:color w:val="auto"/>
              </w:rPr>
            </w:pPr>
          </w:p>
        </w:tc>
      </w:tr>
      <w:tr>
        <w:trPr>
          <w:trHeight w:val="141"/>
        </w:trPr>
        <w:tc>
          <w:tcPr>
            <w:tcW w:w="20" w:type="dxa"/>
            <w:vAlign w:val="bottom"/>
          </w:tcPr>
          <w:p>
            <w:pPr>
              <w:spacing w:after="0"/>
              <w:rPr>
                <w:sz w:val="12"/>
                <w:szCs w:val="12"/>
                <w:color w:val="auto"/>
              </w:rPr>
            </w:pPr>
          </w:p>
        </w:tc>
        <w:tc>
          <w:tcPr>
            <w:tcW w:w="2980" w:type="dxa"/>
            <w:vAlign w:val="bottom"/>
            <w:gridSpan w:val="2"/>
          </w:tcPr>
          <w:p>
            <w:pPr>
              <w:spacing w:after="0" w:line="141" w:lineRule="exact"/>
              <w:rPr>
                <w:sz w:val="20"/>
                <w:szCs w:val="20"/>
                <w:color w:val="auto"/>
              </w:rPr>
            </w:pPr>
            <w:r>
              <w:rPr>
                <w:rFonts w:ascii="Arial" w:cs="Arial" w:eastAsia="Arial" w:hAnsi="Arial"/>
                <w:sz w:val="14"/>
                <w:szCs w:val="14"/>
                <w:color w:val="auto"/>
              </w:rPr>
              <w:t>Balance, December 31, 2005</w:t>
            </w:r>
          </w:p>
        </w:tc>
        <w:tc>
          <w:tcPr>
            <w:tcW w:w="620" w:type="dxa"/>
            <w:vAlign w:val="bottom"/>
          </w:tcPr>
          <w:p>
            <w:pPr>
              <w:jc w:val="right"/>
              <w:ind w:right="132"/>
              <w:spacing w:after="0" w:line="141" w:lineRule="exact"/>
              <w:rPr>
                <w:sz w:val="20"/>
                <w:szCs w:val="20"/>
                <w:color w:val="auto"/>
              </w:rPr>
            </w:pPr>
            <w:r>
              <w:rPr>
                <w:rFonts w:ascii="Arial" w:cs="Arial" w:eastAsia="Arial" w:hAnsi="Arial"/>
                <w:sz w:val="14"/>
                <w:szCs w:val="14"/>
                <w:color w:val="auto"/>
              </w:rPr>
              <w:t>24</w:t>
            </w:r>
          </w:p>
        </w:tc>
        <w:tc>
          <w:tcPr>
            <w:tcW w:w="360" w:type="dxa"/>
            <w:vAlign w:val="bottom"/>
          </w:tcPr>
          <w:p>
            <w:pPr>
              <w:spacing w:after="0"/>
              <w:rPr>
                <w:sz w:val="12"/>
                <w:szCs w:val="12"/>
                <w:color w:val="auto"/>
              </w:rPr>
            </w:pPr>
          </w:p>
        </w:tc>
        <w:tc>
          <w:tcPr>
            <w:tcW w:w="460" w:type="dxa"/>
            <w:vAlign w:val="bottom"/>
          </w:tcPr>
          <w:p>
            <w:pPr>
              <w:jc w:val="right"/>
              <w:ind w:right="132"/>
              <w:spacing w:after="0" w:line="141" w:lineRule="exact"/>
              <w:rPr>
                <w:sz w:val="20"/>
                <w:szCs w:val="20"/>
                <w:color w:val="auto"/>
              </w:rPr>
            </w:pPr>
            <w:r>
              <w:rPr>
                <w:rFonts w:ascii="Arial" w:cs="Arial" w:eastAsia="Arial" w:hAnsi="Arial"/>
                <w:sz w:val="14"/>
                <w:szCs w:val="14"/>
                <w:color w:val="auto"/>
              </w:rPr>
              <w:t>12</w:t>
            </w:r>
          </w:p>
        </w:tc>
        <w:tc>
          <w:tcPr>
            <w:tcW w:w="560" w:type="dxa"/>
            <w:vAlign w:val="bottom"/>
          </w:tcPr>
          <w:p>
            <w:pPr>
              <w:jc w:val="right"/>
              <w:ind w:right="132"/>
              <w:spacing w:after="0" w:line="141" w:lineRule="exact"/>
              <w:rPr>
                <w:sz w:val="20"/>
                <w:szCs w:val="20"/>
                <w:color w:val="auto"/>
              </w:rPr>
            </w:pPr>
            <w:r>
              <w:rPr>
                <w:rFonts w:ascii="Arial" w:cs="Arial" w:eastAsia="Arial" w:hAnsi="Arial"/>
                <w:sz w:val="14"/>
                <w:szCs w:val="14"/>
                <w:color w:val="auto"/>
              </w:rPr>
              <w:t>—</w:t>
            </w:r>
          </w:p>
        </w:tc>
        <w:tc>
          <w:tcPr>
            <w:tcW w:w="300" w:type="dxa"/>
            <w:vAlign w:val="bottom"/>
          </w:tcPr>
          <w:p>
            <w:pPr>
              <w:spacing w:after="0"/>
              <w:rPr>
                <w:sz w:val="12"/>
                <w:szCs w:val="12"/>
                <w:color w:val="auto"/>
              </w:rPr>
            </w:pPr>
          </w:p>
        </w:tc>
        <w:tc>
          <w:tcPr>
            <w:tcW w:w="680" w:type="dxa"/>
            <w:vAlign w:val="bottom"/>
          </w:tcPr>
          <w:p>
            <w:pPr>
              <w:jc w:val="right"/>
              <w:ind w:right="132"/>
              <w:spacing w:after="0" w:line="141" w:lineRule="exact"/>
              <w:rPr>
                <w:sz w:val="20"/>
                <w:szCs w:val="20"/>
                <w:color w:val="auto"/>
              </w:rPr>
            </w:pPr>
            <w:r>
              <w:rPr>
                <w:rFonts w:ascii="Arial" w:cs="Arial" w:eastAsia="Arial" w:hAnsi="Arial"/>
                <w:sz w:val="14"/>
                <w:szCs w:val="14"/>
                <w:color w:val="auto"/>
              </w:rPr>
              <w:t>42,989</w:t>
            </w:r>
          </w:p>
        </w:tc>
        <w:tc>
          <w:tcPr>
            <w:tcW w:w="260" w:type="dxa"/>
            <w:vAlign w:val="bottom"/>
          </w:tcPr>
          <w:p>
            <w:pPr>
              <w:spacing w:after="0"/>
              <w:rPr>
                <w:sz w:val="12"/>
                <w:szCs w:val="12"/>
                <w:color w:val="auto"/>
              </w:rPr>
            </w:pPr>
          </w:p>
        </w:tc>
        <w:tc>
          <w:tcPr>
            <w:tcW w:w="620" w:type="dxa"/>
            <w:vAlign w:val="bottom"/>
          </w:tcPr>
          <w:p>
            <w:pPr>
              <w:jc w:val="right"/>
              <w:ind w:right="132"/>
              <w:spacing w:after="0" w:line="141" w:lineRule="exact"/>
              <w:rPr>
                <w:sz w:val="20"/>
                <w:szCs w:val="20"/>
                <w:color w:val="auto"/>
              </w:rPr>
            </w:pPr>
            <w:r>
              <w:rPr>
                <w:rFonts w:ascii="Arial" w:cs="Arial" w:eastAsia="Arial" w:hAnsi="Arial"/>
                <w:sz w:val="14"/>
                <w:szCs w:val="14"/>
                <w:color w:val="auto"/>
              </w:rPr>
              <w:t>4,825</w:t>
            </w:r>
          </w:p>
        </w:tc>
        <w:tc>
          <w:tcPr>
            <w:tcW w:w="240" w:type="dxa"/>
            <w:vAlign w:val="bottom"/>
          </w:tcPr>
          <w:p>
            <w:pPr>
              <w:spacing w:after="0"/>
              <w:rPr>
                <w:sz w:val="12"/>
                <w:szCs w:val="12"/>
                <w:color w:val="auto"/>
              </w:rPr>
            </w:pPr>
          </w:p>
        </w:tc>
        <w:tc>
          <w:tcPr>
            <w:tcW w:w="500" w:type="dxa"/>
            <w:vAlign w:val="bottom"/>
          </w:tcPr>
          <w:p>
            <w:pPr>
              <w:jc w:val="center"/>
              <w:spacing w:after="0" w:line="141" w:lineRule="exact"/>
              <w:rPr>
                <w:sz w:val="20"/>
                <w:szCs w:val="20"/>
                <w:color w:val="auto"/>
              </w:rPr>
            </w:pPr>
            <w:r>
              <w:rPr>
                <w:rFonts w:ascii="Arial" w:cs="Arial" w:eastAsia="Arial" w:hAnsi="Arial"/>
                <w:sz w:val="14"/>
                <w:szCs w:val="14"/>
                <w:color w:val="auto"/>
                <w:w w:val="94"/>
              </w:rPr>
              <w:t>(7,517)</w:t>
            </w:r>
          </w:p>
        </w:tc>
        <w:tc>
          <w:tcPr>
            <w:tcW w:w="380" w:type="dxa"/>
            <w:vAlign w:val="bottom"/>
          </w:tcPr>
          <w:p>
            <w:pPr>
              <w:spacing w:after="0"/>
              <w:rPr>
                <w:sz w:val="12"/>
                <w:szCs w:val="12"/>
                <w:color w:val="auto"/>
              </w:rPr>
            </w:pPr>
          </w:p>
        </w:tc>
        <w:tc>
          <w:tcPr>
            <w:tcW w:w="620" w:type="dxa"/>
            <w:vAlign w:val="bottom"/>
          </w:tcPr>
          <w:p>
            <w:pPr>
              <w:jc w:val="right"/>
              <w:spacing w:after="0" w:line="141" w:lineRule="exact"/>
              <w:rPr>
                <w:sz w:val="20"/>
                <w:szCs w:val="20"/>
                <w:color w:val="auto"/>
              </w:rPr>
            </w:pPr>
            <w:r>
              <w:rPr>
                <w:rFonts w:ascii="Arial" w:cs="Arial" w:eastAsia="Arial" w:hAnsi="Arial"/>
                <w:sz w:val="14"/>
                <w:szCs w:val="14"/>
                <w:color w:val="auto"/>
              </w:rPr>
              <w:t>(95)</w:t>
            </w:r>
          </w:p>
        </w:tc>
        <w:tc>
          <w:tcPr>
            <w:tcW w:w="340" w:type="dxa"/>
            <w:vAlign w:val="bottom"/>
          </w:tcPr>
          <w:p>
            <w:pPr>
              <w:spacing w:after="0"/>
              <w:rPr>
                <w:sz w:val="12"/>
                <w:szCs w:val="12"/>
                <w:color w:val="auto"/>
              </w:rPr>
            </w:pPr>
          </w:p>
        </w:tc>
        <w:tc>
          <w:tcPr>
            <w:tcW w:w="940" w:type="dxa"/>
            <w:vAlign w:val="bottom"/>
          </w:tcPr>
          <w:p>
            <w:pPr>
              <w:jc w:val="right"/>
              <w:ind w:right="152"/>
              <w:spacing w:after="0" w:line="141" w:lineRule="exact"/>
              <w:rPr>
                <w:sz w:val="20"/>
                <w:szCs w:val="20"/>
                <w:color w:val="auto"/>
              </w:rPr>
            </w:pPr>
            <w:r>
              <w:rPr>
                <w:rFonts w:ascii="Arial" w:cs="Arial" w:eastAsia="Arial" w:hAnsi="Arial"/>
                <w:sz w:val="14"/>
                <w:szCs w:val="14"/>
                <w:color w:val="auto"/>
              </w:rPr>
              <w:t>(7)</w:t>
            </w:r>
          </w:p>
        </w:tc>
        <w:tc>
          <w:tcPr>
            <w:tcW w:w="180" w:type="dxa"/>
            <w:vAlign w:val="bottom"/>
          </w:tcPr>
          <w:p>
            <w:pPr>
              <w:spacing w:after="0"/>
              <w:rPr>
                <w:sz w:val="12"/>
                <w:szCs w:val="12"/>
                <w:color w:val="auto"/>
              </w:rPr>
            </w:pPr>
          </w:p>
        </w:tc>
        <w:tc>
          <w:tcPr>
            <w:tcW w:w="520" w:type="dxa"/>
            <w:vAlign w:val="bottom"/>
          </w:tcPr>
          <w:p>
            <w:pPr>
              <w:jc w:val="right"/>
              <w:spacing w:after="0" w:line="141" w:lineRule="exact"/>
              <w:rPr>
                <w:sz w:val="20"/>
                <w:szCs w:val="20"/>
                <w:color w:val="auto"/>
              </w:rPr>
            </w:pPr>
            <w:r>
              <w:rPr>
                <w:rFonts w:ascii="Arial" w:cs="Arial" w:eastAsia="Arial" w:hAnsi="Arial"/>
                <w:sz w:val="14"/>
                <w:szCs w:val="14"/>
                <w:color w:val="auto"/>
              </w:rPr>
              <w:t>(12)</w:t>
            </w:r>
          </w:p>
        </w:tc>
        <w:tc>
          <w:tcPr>
            <w:tcW w:w="840" w:type="dxa"/>
            <w:vAlign w:val="bottom"/>
          </w:tcPr>
          <w:p>
            <w:pPr>
              <w:jc w:val="right"/>
              <w:spacing w:after="0" w:line="141" w:lineRule="exact"/>
              <w:rPr>
                <w:sz w:val="20"/>
                <w:szCs w:val="20"/>
                <w:color w:val="auto"/>
              </w:rPr>
            </w:pPr>
            <w:r>
              <w:rPr>
                <w:rFonts w:ascii="Arial" w:cs="Arial" w:eastAsia="Arial" w:hAnsi="Arial"/>
                <w:sz w:val="14"/>
                <w:szCs w:val="14"/>
                <w:color w:val="auto"/>
              </w:rPr>
              <w:t>40,219</w:t>
            </w:r>
          </w:p>
        </w:tc>
        <w:tc>
          <w:tcPr>
            <w:tcW w:w="0" w:type="dxa"/>
            <w:vAlign w:val="bottom"/>
          </w:tcPr>
          <w:p>
            <w:pPr>
              <w:spacing w:after="0"/>
              <w:rPr>
                <w:sz w:val="1"/>
                <w:szCs w:val="1"/>
                <w:color w:val="auto"/>
              </w:rPr>
            </w:pPr>
          </w:p>
        </w:tc>
      </w:tr>
      <w:tr>
        <w:trPr>
          <w:trHeight w:val="149"/>
        </w:trPr>
        <w:tc>
          <w:tcPr>
            <w:tcW w:w="3000" w:type="dxa"/>
            <w:vAlign w:val="bottom"/>
            <w:gridSpan w:val="3"/>
          </w:tcPr>
          <w:p>
            <w:pPr>
              <w:spacing w:after="0" w:line="149" w:lineRule="exact"/>
              <w:rPr>
                <w:sz w:val="20"/>
                <w:szCs w:val="20"/>
                <w:color w:val="auto"/>
              </w:rPr>
            </w:pPr>
            <w:r>
              <w:rPr>
                <w:rFonts w:ascii="Arial" w:cs="Arial" w:eastAsia="Arial" w:hAnsi="Arial"/>
                <w:sz w:val="14"/>
                <w:szCs w:val="14"/>
                <w:color w:val="auto"/>
              </w:rPr>
              <w:t>Comprehensive income:</w:t>
            </w:r>
          </w:p>
        </w:tc>
        <w:tc>
          <w:tcPr>
            <w:tcW w:w="62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46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620" w:type="dxa"/>
            <w:vAlign w:val="bottom"/>
            <w:vMerge w:val="restart"/>
          </w:tcPr>
          <w:p>
            <w:pPr>
              <w:jc w:val="right"/>
              <w:ind w:right="132"/>
              <w:spacing w:after="0"/>
              <w:rPr>
                <w:sz w:val="20"/>
                <w:szCs w:val="20"/>
                <w:color w:val="auto"/>
              </w:rPr>
            </w:pPr>
            <w:r>
              <w:rPr>
                <w:rFonts w:ascii="Arial" w:cs="Arial" w:eastAsia="Arial" w:hAnsi="Arial"/>
                <w:sz w:val="14"/>
                <w:szCs w:val="14"/>
                <w:b w:val="1"/>
                <w:bCs w:val="1"/>
                <w:color w:val="auto"/>
              </w:rPr>
              <w:t>2,533</w:t>
            </w:r>
          </w:p>
        </w:tc>
        <w:tc>
          <w:tcPr>
            <w:tcW w:w="24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94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8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2980" w:type="dxa"/>
            <w:vAlign w:val="bottom"/>
            <w:gridSpan w:val="2"/>
          </w:tcPr>
          <w:p>
            <w:pPr>
              <w:ind w:left="200"/>
              <w:spacing w:after="0" w:line="149" w:lineRule="exact"/>
              <w:rPr>
                <w:sz w:val="20"/>
                <w:szCs w:val="20"/>
                <w:color w:val="auto"/>
              </w:rPr>
            </w:pPr>
            <w:r>
              <w:rPr>
                <w:rFonts w:ascii="Arial" w:cs="Arial" w:eastAsia="Arial" w:hAnsi="Arial"/>
                <w:sz w:val="14"/>
                <w:szCs w:val="14"/>
                <w:color w:val="auto"/>
              </w:rPr>
              <w:t>Net income</w:t>
            </w:r>
          </w:p>
        </w:tc>
        <w:tc>
          <w:tcPr>
            <w:tcW w:w="62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46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620" w:type="dxa"/>
            <w:vAlign w:val="bottom"/>
            <w:vMerge w:val="continue"/>
          </w:tcPr>
          <w:p>
            <w:pPr>
              <w:spacing w:after="0"/>
              <w:rPr>
                <w:sz w:val="12"/>
                <w:szCs w:val="12"/>
                <w:color w:val="auto"/>
              </w:rPr>
            </w:pPr>
          </w:p>
        </w:tc>
        <w:tc>
          <w:tcPr>
            <w:tcW w:w="24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94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8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2980" w:type="dxa"/>
            <w:vAlign w:val="bottom"/>
            <w:gridSpan w:val="2"/>
          </w:tcPr>
          <w:p>
            <w:pPr>
              <w:ind w:left="200"/>
              <w:spacing w:after="0" w:line="149" w:lineRule="exact"/>
              <w:rPr>
                <w:sz w:val="20"/>
                <w:szCs w:val="20"/>
                <w:color w:val="auto"/>
              </w:rPr>
            </w:pPr>
            <w:r>
              <w:rPr>
                <w:rFonts w:ascii="Arial" w:cs="Arial" w:eastAsia="Arial" w:hAnsi="Arial"/>
                <w:sz w:val="14"/>
                <w:szCs w:val="14"/>
                <w:color w:val="auto"/>
              </w:rPr>
              <w:t>Unrealized gains on marketable securities,</w:t>
            </w:r>
          </w:p>
        </w:tc>
        <w:tc>
          <w:tcPr>
            <w:tcW w:w="62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46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620" w:type="dxa"/>
            <w:vAlign w:val="bottom"/>
            <w:vMerge w:val="restart"/>
          </w:tcPr>
          <w:p>
            <w:pPr>
              <w:jc w:val="right"/>
              <w:spacing w:after="0"/>
              <w:rPr>
                <w:sz w:val="20"/>
                <w:szCs w:val="20"/>
                <w:color w:val="auto"/>
              </w:rPr>
            </w:pPr>
            <w:r>
              <w:rPr>
                <w:rFonts w:ascii="Arial" w:cs="Arial" w:eastAsia="Arial" w:hAnsi="Arial"/>
                <w:sz w:val="14"/>
                <w:szCs w:val="14"/>
                <w:b w:val="1"/>
                <w:bCs w:val="1"/>
                <w:color w:val="auto"/>
              </w:rPr>
              <w:t>128</w:t>
            </w:r>
          </w:p>
        </w:tc>
        <w:tc>
          <w:tcPr>
            <w:tcW w:w="340" w:type="dxa"/>
            <w:vAlign w:val="bottom"/>
          </w:tcPr>
          <w:p>
            <w:pPr>
              <w:spacing w:after="0"/>
              <w:rPr>
                <w:sz w:val="12"/>
                <w:szCs w:val="12"/>
                <w:color w:val="auto"/>
              </w:rPr>
            </w:pPr>
          </w:p>
        </w:tc>
        <w:tc>
          <w:tcPr>
            <w:tcW w:w="94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8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2980" w:type="dxa"/>
            <w:vAlign w:val="bottom"/>
            <w:gridSpan w:val="2"/>
          </w:tcPr>
          <w:p>
            <w:pPr>
              <w:ind w:left="420"/>
              <w:spacing w:after="0" w:line="149" w:lineRule="exact"/>
              <w:rPr>
                <w:sz w:val="20"/>
                <w:szCs w:val="20"/>
                <w:color w:val="auto"/>
              </w:rPr>
            </w:pPr>
            <w:r>
              <w:rPr>
                <w:rFonts w:ascii="Arial" w:cs="Arial" w:eastAsia="Arial" w:hAnsi="Arial"/>
                <w:sz w:val="14"/>
                <w:szCs w:val="14"/>
                <w:color w:val="auto"/>
              </w:rPr>
              <w:t>net of deferred taxes of $ 69</w:t>
            </w:r>
          </w:p>
        </w:tc>
        <w:tc>
          <w:tcPr>
            <w:tcW w:w="62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46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620" w:type="dxa"/>
            <w:vAlign w:val="bottom"/>
            <w:vMerge w:val="continue"/>
          </w:tcPr>
          <w:p>
            <w:pPr>
              <w:spacing w:after="0"/>
              <w:rPr>
                <w:sz w:val="12"/>
                <w:szCs w:val="12"/>
                <w:color w:val="auto"/>
              </w:rPr>
            </w:pPr>
          </w:p>
        </w:tc>
        <w:tc>
          <w:tcPr>
            <w:tcW w:w="340" w:type="dxa"/>
            <w:vAlign w:val="bottom"/>
          </w:tcPr>
          <w:p>
            <w:pPr>
              <w:spacing w:after="0"/>
              <w:rPr>
                <w:sz w:val="12"/>
                <w:szCs w:val="12"/>
                <w:color w:val="auto"/>
              </w:rPr>
            </w:pPr>
          </w:p>
        </w:tc>
        <w:tc>
          <w:tcPr>
            <w:tcW w:w="94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8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2980" w:type="dxa"/>
            <w:vAlign w:val="bottom"/>
            <w:gridSpan w:val="2"/>
          </w:tcPr>
          <w:p>
            <w:pPr>
              <w:ind w:left="200"/>
              <w:spacing w:after="0" w:line="149" w:lineRule="exact"/>
              <w:rPr>
                <w:sz w:val="20"/>
                <w:szCs w:val="20"/>
                <w:color w:val="auto"/>
              </w:rPr>
            </w:pPr>
            <w:r>
              <w:rPr>
                <w:rFonts w:ascii="Arial" w:cs="Arial" w:eastAsia="Arial" w:hAnsi="Arial"/>
                <w:sz w:val="14"/>
                <w:szCs w:val="14"/>
                <w:color w:val="auto"/>
              </w:rPr>
              <w:t>Reclassification adjustments for income</w:t>
            </w:r>
          </w:p>
        </w:tc>
        <w:tc>
          <w:tcPr>
            <w:tcW w:w="62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46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94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8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2980" w:type="dxa"/>
            <w:vAlign w:val="bottom"/>
            <w:gridSpan w:val="2"/>
          </w:tcPr>
          <w:p>
            <w:pPr>
              <w:ind w:left="420"/>
              <w:spacing w:after="0" w:line="149" w:lineRule="exact"/>
              <w:rPr>
                <w:sz w:val="20"/>
                <w:szCs w:val="20"/>
                <w:color w:val="auto"/>
              </w:rPr>
            </w:pPr>
            <w:r>
              <w:rPr>
                <w:rFonts w:ascii="Arial" w:cs="Arial" w:eastAsia="Arial" w:hAnsi="Arial"/>
                <w:sz w:val="14"/>
                <w:szCs w:val="14"/>
                <w:color w:val="auto"/>
              </w:rPr>
              <w:t>included in net income, net of deferred</w:t>
            </w:r>
          </w:p>
        </w:tc>
        <w:tc>
          <w:tcPr>
            <w:tcW w:w="62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46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620" w:type="dxa"/>
            <w:vAlign w:val="bottom"/>
            <w:vMerge w:val="restart"/>
          </w:tcPr>
          <w:p>
            <w:pPr>
              <w:jc w:val="right"/>
              <w:spacing w:after="0"/>
              <w:rPr>
                <w:sz w:val="20"/>
                <w:szCs w:val="20"/>
                <w:color w:val="auto"/>
              </w:rPr>
            </w:pPr>
            <w:r>
              <w:rPr>
                <w:rFonts w:ascii="Arial" w:cs="Arial" w:eastAsia="Arial" w:hAnsi="Arial"/>
                <w:sz w:val="14"/>
                <w:szCs w:val="14"/>
                <w:b w:val="1"/>
                <w:bCs w:val="1"/>
                <w:color w:val="auto"/>
              </w:rPr>
              <w:t>11</w:t>
            </w:r>
          </w:p>
        </w:tc>
        <w:tc>
          <w:tcPr>
            <w:tcW w:w="340" w:type="dxa"/>
            <w:vAlign w:val="bottom"/>
          </w:tcPr>
          <w:p>
            <w:pPr>
              <w:spacing w:after="0"/>
              <w:rPr>
                <w:sz w:val="12"/>
                <w:szCs w:val="12"/>
                <w:color w:val="auto"/>
              </w:rPr>
            </w:pPr>
          </w:p>
        </w:tc>
        <w:tc>
          <w:tcPr>
            <w:tcW w:w="94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8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2980" w:type="dxa"/>
            <w:vAlign w:val="bottom"/>
            <w:gridSpan w:val="2"/>
          </w:tcPr>
          <w:p>
            <w:pPr>
              <w:ind w:left="420"/>
              <w:spacing w:after="0" w:line="149" w:lineRule="exact"/>
              <w:rPr>
                <w:sz w:val="20"/>
                <w:szCs w:val="20"/>
                <w:color w:val="auto"/>
              </w:rPr>
            </w:pPr>
            <w:r>
              <w:rPr>
                <w:rFonts w:ascii="Arial" w:cs="Arial" w:eastAsia="Arial" w:hAnsi="Arial"/>
                <w:sz w:val="14"/>
                <w:szCs w:val="14"/>
                <w:color w:val="auto"/>
              </w:rPr>
              <w:t>taxes of $ 6</w:t>
            </w:r>
          </w:p>
        </w:tc>
        <w:tc>
          <w:tcPr>
            <w:tcW w:w="62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46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620" w:type="dxa"/>
            <w:vAlign w:val="bottom"/>
            <w:vMerge w:val="continue"/>
          </w:tcPr>
          <w:p>
            <w:pPr>
              <w:spacing w:after="0"/>
              <w:rPr>
                <w:sz w:val="12"/>
                <w:szCs w:val="12"/>
                <w:color w:val="auto"/>
              </w:rPr>
            </w:pPr>
          </w:p>
        </w:tc>
        <w:tc>
          <w:tcPr>
            <w:tcW w:w="340" w:type="dxa"/>
            <w:vAlign w:val="bottom"/>
          </w:tcPr>
          <w:p>
            <w:pPr>
              <w:spacing w:after="0"/>
              <w:rPr>
                <w:sz w:val="12"/>
                <w:szCs w:val="12"/>
                <w:color w:val="auto"/>
              </w:rPr>
            </w:pPr>
          </w:p>
        </w:tc>
        <w:tc>
          <w:tcPr>
            <w:tcW w:w="94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8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2980" w:type="dxa"/>
            <w:vAlign w:val="bottom"/>
            <w:gridSpan w:val="2"/>
          </w:tcPr>
          <w:p>
            <w:pPr>
              <w:ind w:left="200"/>
              <w:spacing w:after="0" w:line="149" w:lineRule="exact"/>
              <w:rPr>
                <w:sz w:val="20"/>
                <w:szCs w:val="20"/>
                <w:color w:val="auto"/>
              </w:rPr>
            </w:pPr>
            <w:r>
              <w:rPr>
                <w:rFonts w:ascii="Arial" w:cs="Arial" w:eastAsia="Arial" w:hAnsi="Arial"/>
                <w:sz w:val="14"/>
                <w:szCs w:val="14"/>
                <w:color w:val="auto"/>
              </w:rPr>
              <w:t>Minimum pension liability, net of deferred</w:t>
            </w:r>
          </w:p>
        </w:tc>
        <w:tc>
          <w:tcPr>
            <w:tcW w:w="62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46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94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520" w:type="dxa"/>
            <w:vAlign w:val="bottom"/>
            <w:vMerge w:val="restart"/>
          </w:tcPr>
          <w:p>
            <w:pPr>
              <w:jc w:val="right"/>
              <w:spacing w:after="0"/>
              <w:rPr>
                <w:sz w:val="20"/>
                <w:szCs w:val="20"/>
                <w:color w:val="auto"/>
              </w:rPr>
            </w:pPr>
            <w:r>
              <w:rPr>
                <w:rFonts w:ascii="Arial" w:cs="Arial" w:eastAsia="Arial" w:hAnsi="Arial"/>
                <w:sz w:val="14"/>
                <w:szCs w:val="14"/>
                <w:b w:val="1"/>
                <w:bCs w:val="1"/>
                <w:color w:val="auto"/>
              </w:rPr>
              <w:t>7</w:t>
            </w:r>
          </w:p>
        </w:tc>
        <w:tc>
          <w:tcPr>
            <w:tcW w:w="8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2980" w:type="dxa"/>
            <w:vAlign w:val="bottom"/>
            <w:gridSpan w:val="2"/>
          </w:tcPr>
          <w:p>
            <w:pPr>
              <w:ind w:left="420"/>
              <w:spacing w:after="0" w:line="149" w:lineRule="exact"/>
              <w:rPr>
                <w:sz w:val="20"/>
                <w:szCs w:val="20"/>
                <w:color w:val="auto"/>
              </w:rPr>
            </w:pPr>
            <w:r>
              <w:rPr>
                <w:rFonts w:ascii="Arial" w:cs="Arial" w:eastAsia="Arial" w:hAnsi="Arial"/>
                <w:sz w:val="14"/>
                <w:szCs w:val="14"/>
                <w:color w:val="auto"/>
              </w:rPr>
              <w:t>taxes of $ 4</w:t>
            </w:r>
          </w:p>
        </w:tc>
        <w:tc>
          <w:tcPr>
            <w:tcW w:w="62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46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940" w:type="dxa"/>
            <w:vAlign w:val="bottom"/>
            <w:vMerge w:val="restart"/>
          </w:tcPr>
          <w:p>
            <w:pPr>
              <w:jc w:val="right"/>
              <w:ind w:right="192"/>
              <w:spacing w:after="0"/>
              <w:rPr>
                <w:sz w:val="20"/>
                <w:szCs w:val="20"/>
                <w:color w:val="auto"/>
              </w:rPr>
            </w:pPr>
            <w:r>
              <w:rPr>
                <w:rFonts w:ascii="Arial" w:cs="Arial" w:eastAsia="Arial" w:hAnsi="Arial"/>
                <w:sz w:val="14"/>
                <w:szCs w:val="14"/>
                <w:b w:val="1"/>
                <w:bCs w:val="1"/>
                <w:color w:val="auto"/>
              </w:rPr>
              <w:t>2</w:t>
            </w:r>
          </w:p>
        </w:tc>
        <w:tc>
          <w:tcPr>
            <w:tcW w:w="180" w:type="dxa"/>
            <w:vAlign w:val="bottom"/>
          </w:tcPr>
          <w:p>
            <w:pPr>
              <w:spacing w:after="0"/>
              <w:rPr>
                <w:sz w:val="12"/>
                <w:szCs w:val="12"/>
                <w:color w:val="auto"/>
              </w:rPr>
            </w:pPr>
          </w:p>
        </w:tc>
        <w:tc>
          <w:tcPr>
            <w:tcW w:w="520" w:type="dxa"/>
            <w:vAlign w:val="bottom"/>
            <w:vMerge w:val="continue"/>
          </w:tcPr>
          <w:p>
            <w:pPr>
              <w:spacing w:after="0"/>
              <w:rPr>
                <w:sz w:val="12"/>
                <w:szCs w:val="12"/>
                <w:color w:val="auto"/>
              </w:rPr>
            </w:pPr>
          </w:p>
        </w:tc>
        <w:tc>
          <w:tcPr>
            <w:tcW w:w="8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2980" w:type="dxa"/>
            <w:vAlign w:val="bottom"/>
            <w:gridSpan w:val="2"/>
          </w:tcPr>
          <w:p>
            <w:pPr>
              <w:ind w:left="200"/>
              <w:spacing w:after="0" w:line="149" w:lineRule="exact"/>
              <w:rPr>
                <w:sz w:val="20"/>
                <w:szCs w:val="20"/>
                <w:color w:val="auto"/>
              </w:rPr>
            </w:pPr>
            <w:r>
              <w:rPr>
                <w:rFonts w:ascii="Arial" w:cs="Arial" w:eastAsia="Arial" w:hAnsi="Arial"/>
                <w:sz w:val="14"/>
                <w:szCs w:val="14"/>
                <w:color w:val="auto"/>
              </w:rPr>
              <w:t>Cumulative translation adjustments</w:t>
            </w:r>
          </w:p>
        </w:tc>
        <w:tc>
          <w:tcPr>
            <w:tcW w:w="62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46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940" w:type="dxa"/>
            <w:vAlign w:val="bottom"/>
            <w:vMerge w:val="continue"/>
          </w:tcPr>
          <w:p>
            <w:pPr>
              <w:spacing w:after="0"/>
              <w:rPr>
                <w:sz w:val="12"/>
                <w:szCs w:val="12"/>
                <w:color w:val="auto"/>
              </w:rPr>
            </w:pPr>
          </w:p>
        </w:tc>
        <w:tc>
          <w:tcPr>
            <w:tcW w:w="18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840" w:type="dxa"/>
            <w:vAlign w:val="bottom"/>
            <w:vMerge w:val="restart"/>
          </w:tcPr>
          <w:p>
            <w:pPr>
              <w:jc w:val="right"/>
              <w:spacing w:after="0"/>
              <w:rPr>
                <w:sz w:val="20"/>
                <w:szCs w:val="20"/>
                <w:color w:val="auto"/>
              </w:rPr>
            </w:pPr>
            <w:r>
              <w:rPr>
                <w:rFonts w:ascii="Arial" w:cs="Arial" w:eastAsia="Arial" w:hAnsi="Arial"/>
                <w:sz w:val="14"/>
                <w:szCs w:val="14"/>
                <w:b w:val="1"/>
                <w:bCs w:val="1"/>
                <w:color w:val="auto"/>
              </w:rPr>
              <w:t>2,681</w:t>
            </w:r>
          </w:p>
        </w:tc>
        <w:tc>
          <w:tcPr>
            <w:tcW w:w="0" w:type="dxa"/>
            <w:vAlign w:val="bottom"/>
          </w:tcPr>
          <w:p>
            <w:pPr>
              <w:spacing w:after="0"/>
              <w:rPr>
                <w:sz w:val="1"/>
                <w:szCs w:val="1"/>
                <w:color w:val="auto"/>
              </w:rPr>
            </w:pPr>
          </w:p>
        </w:tc>
      </w:tr>
      <w:tr>
        <w:trPr>
          <w:trHeight w:val="133"/>
        </w:trPr>
        <w:tc>
          <w:tcPr>
            <w:tcW w:w="3000" w:type="dxa"/>
            <w:vAlign w:val="bottom"/>
            <w:gridSpan w:val="3"/>
          </w:tcPr>
          <w:p>
            <w:pPr>
              <w:spacing w:after="0" w:line="133" w:lineRule="exact"/>
              <w:rPr>
                <w:sz w:val="20"/>
                <w:szCs w:val="20"/>
                <w:color w:val="auto"/>
              </w:rPr>
            </w:pPr>
            <w:r>
              <w:rPr>
                <w:rFonts w:ascii="Arial" w:cs="Arial" w:eastAsia="Arial" w:hAnsi="Arial"/>
                <w:sz w:val="14"/>
                <w:szCs w:val="14"/>
                <w:color w:val="auto"/>
              </w:rPr>
              <w:t>Total comprehensive income</w:t>
            </w:r>
          </w:p>
        </w:tc>
        <w:tc>
          <w:tcPr>
            <w:tcW w:w="62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840" w:type="dxa"/>
            <w:vAlign w:val="bottom"/>
            <w:vMerge w:val="continue"/>
          </w:tcPr>
          <w:p>
            <w:pPr>
              <w:spacing w:after="0"/>
              <w:rPr>
                <w:sz w:val="11"/>
                <w:szCs w:val="11"/>
                <w:color w:val="auto"/>
              </w:rPr>
            </w:pPr>
          </w:p>
        </w:tc>
        <w:tc>
          <w:tcPr>
            <w:tcW w:w="0" w:type="dxa"/>
            <w:vAlign w:val="bottom"/>
          </w:tcPr>
          <w:p>
            <w:pPr>
              <w:spacing w:after="0"/>
              <w:rPr>
                <w:sz w:val="1"/>
                <w:szCs w:val="1"/>
                <w:color w:val="auto"/>
              </w:rPr>
            </w:pPr>
          </w:p>
        </w:tc>
      </w:tr>
      <w:tr>
        <w:trPr>
          <w:trHeight w:val="165"/>
        </w:trPr>
        <w:tc>
          <w:tcPr>
            <w:tcW w:w="20" w:type="dxa"/>
            <w:vAlign w:val="bottom"/>
          </w:tcPr>
          <w:p>
            <w:pPr>
              <w:spacing w:after="0"/>
              <w:rPr>
                <w:sz w:val="14"/>
                <w:szCs w:val="14"/>
                <w:color w:val="auto"/>
              </w:rPr>
            </w:pPr>
          </w:p>
        </w:tc>
        <w:tc>
          <w:tcPr>
            <w:tcW w:w="2980" w:type="dxa"/>
            <w:vAlign w:val="bottom"/>
            <w:gridSpan w:val="2"/>
          </w:tcPr>
          <w:p>
            <w:pPr>
              <w:ind w:left="200"/>
              <w:spacing w:after="0"/>
              <w:rPr>
                <w:sz w:val="20"/>
                <w:szCs w:val="20"/>
                <w:color w:val="auto"/>
              </w:rPr>
            </w:pPr>
            <w:r>
              <w:rPr>
                <w:rFonts w:ascii="Arial" w:cs="Arial" w:eastAsia="Arial" w:hAnsi="Arial"/>
                <w:sz w:val="14"/>
                <w:szCs w:val="14"/>
                <w:color w:val="auto"/>
              </w:rPr>
              <w:t>Stock compensation plans</w:t>
            </w:r>
          </w:p>
        </w:tc>
        <w:tc>
          <w:tcPr>
            <w:tcW w:w="62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680" w:type="dxa"/>
            <w:vAlign w:val="bottom"/>
          </w:tcPr>
          <w:p>
            <w:pPr>
              <w:jc w:val="right"/>
              <w:ind w:right="132"/>
              <w:spacing w:after="0"/>
              <w:rPr>
                <w:sz w:val="20"/>
                <w:szCs w:val="20"/>
                <w:color w:val="auto"/>
              </w:rPr>
            </w:pPr>
            <w:r>
              <w:rPr>
                <w:rFonts w:ascii="Arial" w:cs="Arial" w:eastAsia="Arial" w:hAnsi="Arial"/>
                <w:sz w:val="14"/>
                <w:szCs w:val="14"/>
                <w:b w:val="1"/>
                <w:bCs w:val="1"/>
                <w:color w:val="auto"/>
              </w:rPr>
              <w:t>604</w:t>
            </w:r>
          </w:p>
        </w:tc>
        <w:tc>
          <w:tcPr>
            <w:tcW w:w="260" w:type="dxa"/>
            <w:vAlign w:val="bottom"/>
          </w:tcPr>
          <w:p>
            <w:pPr>
              <w:spacing w:after="0"/>
              <w:rPr>
                <w:sz w:val="14"/>
                <w:szCs w:val="14"/>
                <w:color w:val="auto"/>
              </w:rPr>
            </w:pPr>
          </w:p>
        </w:tc>
        <w:tc>
          <w:tcPr>
            <w:tcW w:w="620" w:type="dxa"/>
            <w:vAlign w:val="bottom"/>
          </w:tcPr>
          <w:p>
            <w:pPr>
              <w:jc w:val="right"/>
              <w:ind w:right="72"/>
              <w:spacing w:after="0"/>
              <w:rPr>
                <w:sz w:val="20"/>
                <w:szCs w:val="20"/>
                <w:color w:val="auto"/>
              </w:rPr>
            </w:pPr>
            <w:r>
              <w:rPr>
                <w:rFonts w:ascii="Arial" w:cs="Arial" w:eastAsia="Arial" w:hAnsi="Arial"/>
                <w:sz w:val="14"/>
                <w:szCs w:val="14"/>
                <w:b w:val="1"/>
                <w:bCs w:val="1"/>
                <w:color w:val="auto"/>
              </w:rPr>
              <w:t>(33)</w:t>
            </w:r>
          </w:p>
        </w:tc>
        <w:tc>
          <w:tcPr>
            <w:tcW w:w="24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840" w:type="dxa"/>
            <w:vAlign w:val="bottom"/>
          </w:tcPr>
          <w:p>
            <w:pPr>
              <w:jc w:val="right"/>
              <w:spacing w:after="0"/>
              <w:rPr>
                <w:sz w:val="20"/>
                <w:szCs w:val="20"/>
                <w:color w:val="auto"/>
              </w:rPr>
            </w:pPr>
            <w:r>
              <w:rPr>
                <w:rFonts w:ascii="Arial" w:cs="Arial" w:eastAsia="Arial" w:hAnsi="Arial"/>
                <w:sz w:val="14"/>
                <w:szCs w:val="14"/>
                <w:b w:val="1"/>
                <w:bCs w:val="1"/>
                <w:color w:val="auto"/>
              </w:rPr>
              <w:t>571</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2980" w:type="dxa"/>
            <w:vAlign w:val="bottom"/>
            <w:gridSpan w:val="2"/>
          </w:tcPr>
          <w:p>
            <w:pPr>
              <w:ind w:left="200"/>
              <w:spacing w:after="0" w:line="149" w:lineRule="exact"/>
              <w:rPr>
                <w:sz w:val="20"/>
                <w:szCs w:val="20"/>
                <w:color w:val="auto"/>
              </w:rPr>
            </w:pPr>
            <w:r>
              <w:rPr>
                <w:rFonts w:ascii="Arial" w:cs="Arial" w:eastAsia="Arial" w:hAnsi="Arial"/>
                <w:sz w:val="14"/>
                <w:szCs w:val="14"/>
                <w:color w:val="auto"/>
              </w:rPr>
              <w:t>Repurchase and retirement of common</w:t>
            </w:r>
          </w:p>
        </w:tc>
        <w:tc>
          <w:tcPr>
            <w:tcW w:w="62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460" w:type="dxa"/>
            <w:vAlign w:val="bottom"/>
            <w:vMerge w:val="restart"/>
          </w:tcPr>
          <w:p>
            <w:pPr>
              <w:jc w:val="right"/>
              <w:ind w:right="72"/>
              <w:spacing w:after="0"/>
              <w:rPr>
                <w:sz w:val="20"/>
                <w:szCs w:val="20"/>
                <w:color w:val="auto"/>
              </w:rPr>
            </w:pPr>
            <w:r>
              <w:rPr>
                <w:rFonts w:ascii="Arial" w:cs="Arial" w:eastAsia="Arial" w:hAnsi="Arial"/>
                <w:sz w:val="14"/>
                <w:szCs w:val="14"/>
                <w:b w:val="1"/>
                <w:bCs w:val="1"/>
                <w:color w:val="auto"/>
              </w:rPr>
              <w:t>(1)</w:t>
            </w:r>
          </w:p>
        </w:tc>
        <w:tc>
          <w:tcPr>
            <w:tcW w:w="56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680" w:type="dxa"/>
            <w:vAlign w:val="bottom"/>
            <w:vMerge w:val="restart"/>
          </w:tcPr>
          <w:p>
            <w:pPr>
              <w:jc w:val="right"/>
              <w:ind w:right="92"/>
              <w:spacing w:after="0"/>
              <w:rPr>
                <w:sz w:val="20"/>
                <w:szCs w:val="20"/>
                <w:color w:val="auto"/>
              </w:rPr>
            </w:pPr>
            <w:r>
              <w:rPr>
                <w:rFonts w:ascii="Arial" w:cs="Arial" w:eastAsia="Arial" w:hAnsi="Arial"/>
                <w:sz w:val="14"/>
                <w:szCs w:val="14"/>
                <w:b w:val="1"/>
                <w:bCs w:val="1"/>
                <w:color w:val="auto"/>
              </w:rPr>
              <w:t>(1,235)</w:t>
            </w:r>
          </w:p>
        </w:tc>
        <w:tc>
          <w:tcPr>
            <w:tcW w:w="260" w:type="dxa"/>
            <w:vAlign w:val="bottom"/>
          </w:tcPr>
          <w:p>
            <w:pPr>
              <w:spacing w:after="0"/>
              <w:rPr>
                <w:sz w:val="12"/>
                <w:szCs w:val="12"/>
                <w:color w:val="auto"/>
              </w:rPr>
            </w:pPr>
          </w:p>
        </w:tc>
        <w:tc>
          <w:tcPr>
            <w:tcW w:w="620" w:type="dxa"/>
            <w:vAlign w:val="bottom"/>
            <w:vMerge w:val="restart"/>
          </w:tcPr>
          <w:p>
            <w:pPr>
              <w:jc w:val="right"/>
              <w:ind w:right="72"/>
              <w:spacing w:after="0"/>
              <w:rPr>
                <w:sz w:val="20"/>
                <w:szCs w:val="20"/>
                <w:color w:val="auto"/>
              </w:rPr>
            </w:pPr>
            <w:r>
              <w:rPr>
                <w:rFonts w:ascii="Arial" w:cs="Arial" w:eastAsia="Arial" w:hAnsi="Arial"/>
                <w:sz w:val="14"/>
                <w:szCs w:val="14"/>
                <w:b w:val="1"/>
                <w:bCs w:val="1"/>
                <w:color w:val="auto"/>
              </w:rPr>
              <w:t>(1,111)</w:t>
            </w:r>
          </w:p>
        </w:tc>
        <w:tc>
          <w:tcPr>
            <w:tcW w:w="24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94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840" w:type="dxa"/>
            <w:vAlign w:val="bottom"/>
            <w:vMerge w:val="restart"/>
          </w:tcPr>
          <w:p>
            <w:pPr>
              <w:jc w:val="right"/>
              <w:spacing w:after="0"/>
              <w:rPr>
                <w:sz w:val="20"/>
                <w:szCs w:val="20"/>
                <w:color w:val="auto"/>
              </w:rPr>
            </w:pPr>
            <w:r>
              <w:rPr>
                <w:rFonts w:ascii="Arial" w:cs="Arial" w:eastAsia="Arial" w:hAnsi="Arial"/>
                <w:sz w:val="14"/>
                <w:szCs w:val="14"/>
                <w:b w:val="1"/>
                <w:bCs w:val="1"/>
                <w:color w:val="auto"/>
              </w:rPr>
              <w:t>(2,347</w:t>
            </w: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2980" w:type="dxa"/>
            <w:vAlign w:val="bottom"/>
            <w:gridSpan w:val="2"/>
          </w:tcPr>
          <w:p>
            <w:pPr>
              <w:ind w:left="420"/>
              <w:spacing w:after="0" w:line="133" w:lineRule="exact"/>
              <w:rPr>
                <w:sz w:val="20"/>
                <w:szCs w:val="20"/>
                <w:color w:val="auto"/>
              </w:rPr>
            </w:pPr>
            <w:r>
              <w:rPr>
                <w:rFonts w:ascii="Arial" w:cs="Arial" w:eastAsia="Arial" w:hAnsi="Arial"/>
                <w:sz w:val="14"/>
                <w:szCs w:val="14"/>
                <w:color w:val="auto"/>
              </w:rPr>
              <w:t>stock</w:t>
            </w:r>
          </w:p>
        </w:tc>
        <w:tc>
          <w:tcPr>
            <w:tcW w:w="62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460" w:type="dxa"/>
            <w:vAlign w:val="bottom"/>
            <w:vMerge w:val="continue"/>
          </w:tcPr>
          <w:p>
            <w:pPr>
              <w:spacing w:after="0"/>
              <w:rPr>
                <w:sz w:val="11"/>
                <w:szCs w:val="11"/>
                <w:color w:val="auto"/>
              </w:rPr>
            </w:pPr>
          </w:p>
        </w:tc>
        <w:tc>
          <w:tcPr>
            <w:tcW w:w="56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680" w:type="dxa"/>
            <w:vAlign w:val="bottom"/>
            <w:vMerge w:val="continue"/>
          </w:tcPr>
          <w:p>
            <w:pPr>
              <w:spacing w:after="0"/>
              <w:rPr>
                <w:sz w:val="11"/>
                <w:szCs w:val="11"/>
                <w:color w:val="auto"/>
              </w:rPr>
            </w:pPr>
          </w:p>
        </w:tc>
        <w:tc>
          <w:tcPr>
            <w:tcW w:w="260" w:type="dxa"/>
            <w:vAlign w:val="bottom"/>
          </w:tcPr>
          <w:p>
            <w:pPr>
              <w:spacing w:after="0"/>
              <w:rPr>
                <w:sz w:val="11"/>
                <w:szCs w:val="11"/>
                <w:color w:val="auto"/>
              </w:rPr>
            </w:pPr>
          </w:p>
        </w:tc>
        <w:tc>
          <w:tcPr>
            <w:tcW w:w="620" w:type="dxa"/>
            <w:vAlign w:val="bottom"/>
            <w:vMerge w:val="continue"/>
          </w:tcPr>
          <w:p>
            <w:pPr>
              <w:spacing w:after="0"/>
              <w:rPr>
                <w:sz w:val="11"/>
                <w:szCs w:val="11"/>
                <w:color w:val="auto"/>
              </w:rPr>
            </w:pPr>
          </w:p>
        </w:tc>
        <w:tc>
          <w:tcPr>
            <w:tcW w:w="24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840" w:type="dxa"/>
            <w:vAlign w:val="bottom"/>
            <w:vMerge w:val="continue"/>
          </w:tcPr>
          <w:p>
            <w:pPr>
              <w:spacing w:after="0"/>
              <w:rPr>
                <w:sz w:val="11"/>
                <w:szCs w:val="11"/>
                <w:color w:val="auto"/>
              </w:rPr>
            </w:pPr>
          </w:p>
        </w:tc>
        <w:tc>
          <w:tcPr>
            <w:tcW w:w="0" w:type="dxa"/>
            <w:vAlign w:val="bottom"/>
          </w:tcPr>
          <w:p>
            <w:pPr>
              <w:spacing w:after="0"/>
              <w:rPr>
                <w:sz w:val="1"/>
                <w:szCs w:val="1"/>
                <w:color w:val="auto"/>
              </w:rPr>
            </w:pPr>
          </w:p>
        </w:tc>
      </w:tr>
      <w:tr>
        <w:trPr>
          <w:trHeight w:val="165"/>
        </w:trPr>
        <w:tc>
          <w:tcPr>
            <w:tcW w:w="20" w:type="dxa"/>
            <w:vAlign w:val="bottom"/>
          </w:tcPr>
          <w:p>
            <w:pPr>
              <w:spacing w:after="0"/>
              <w:rPr>
                <w:sz w:val="14"/>
                <w:szCs w:val="14"/>
                <w:color w:val="auto"/>
              </w:rPr>
            </w:pPr>
          </w:p>
        </w:tc>
        <w:tc>
          <w:tcPr>
            <w:tcW w:w="2980" w:type="dxa"/>
            <w:vAlign w:val="bottom"/>
            <w:tcBorders>
              <w:bottom w:val="single" w:sz="8" w:color="auto"/>
            </w:tcBorders>
            <w:gridSpan w:val="2"/>
          </w:tcPr>
          <w:p>
            <w:pPr>
              <w:ind w:left="200"/>
              <w:spacing w:after="0"/>
              <w:rPr>
                <w:sz w:val="20"/>
                <w:szCs w:val="20"/>
                <w:color w:val="auto"/>
              </w:rPr>
            </w:pPr>
            <w:r>
              <w:rPr>
                <w:rFonts w:ascii="Arial" w:cs="Arial" w:eastAsia="Arial" w:hAnsi="Arial"/>
                <w:sz w:val="14"/>
                <w:szCs w:val="14"/>
                <w:color w:val="auto"/>
              </w:rPr>
              <w:t>Employee stock purchase plan</w:t>
            </w:r>
          </w:p>
        </w:tc>
        <w:tc>
          <w:tcPr>
            <w:tcW w:w="620" w:type="dxa"/>
            <w:vAlign w:val="bottom"/>
            <w:tcBorders>
              <w:bottom w:val="single" w:sz="8" w:color="auto"/>
            </w:tcBorders>
          </w:tcPr>
          <w:p>
            <w:pPr>
              <w:spacing w:after="0"/>
              <w:rPr>
                <w:sz w:val="14"/>
                <w:szCs w:val="14"/>
                <w:color w:val="auto"/>
              </w:rPr>
            </w:pPr>
          </w:p>
        </w:tc>
        <w:tc>
          <w:tcPr>
            <w:tcW w:w="360" w:type="dxa"/>
            <w:vAlign w:val="bottom"/>
            <w:tcBorders>
              <w:bottom w:val="single" w:sz="8" w:color="auto"/>
            </w:tcBorders>
          </w:tcPr>
          <w:p>
            <w:pPr>
              <w:spacing w:after="0"/>
              <w:rPr>
                <w:sz w:val="14"/>
                <w:szCs w:val="14"/>
                <w:color w:val="auto"/>
              </w:rPr>
            </w:pPr>
          </w:p>
        </w:tc>
        <w:tc>
          <w:tcPr>
            <w:tcW w:w="460" w:type="dxa"/>
            <w:vAlign w:val="bottom"/>
            <w:tcBorders>
              <w:bottom w:val="single" w:sz="8" w:color="auto"/>
            </w:tcBorders>
          </w:tcPr>
          <w:p>
            <w:pPr>
              <w:spacing w:after="0"/>
              <w:rPr>
                <w:sz w:val="14"/>
                <w:szCs w:val="14"/>
                <w:color w:val="auto"/>
              </w:rPr>
            </w:pPr>
          </w:p>
        </w:tc>
        <w:tc>
          <w:tcPr>
            <w:tcW w:w="560" w:type="dxa"/>
            <w:vAlign w:val="bottom"/>
            <w:tcBorders>
              <w:bottom w:val="single" w:sz="8" w:color="auto"/>
            </w:tcBorders>
          </w:tcPr>
          <w:p>
            <w:pPr>
              <w:spacing w:after="0"/>
              <w:rPr>
                <w:sz w:val="14"/>
                <w:szCs w:val="14"/>
                <w:color w:val="auto"/>
              </w:rPr>
            </w:pPr>
          </w:p>
        </w:tc>
        <w:tc>
          <w:tcPr>
            <w:tcW w:w="300" w:type="dxa"/>
            <w:vAlign w:val="bottom"/>
            <w:tcBorders>
              <w:bottom w:val="single" w:sz="8" w:color="auto"/>
            </w:tcBorders>
          </w:tcPr>
          <w:p>
            <w:pPr>
              <w:spacing w:after="0"/>
              <w:rPr>
                <w:sz w:val="14"/>
                <w:szCs w:val="14"/>
                <w:color w:val="auto"/>
              </w:rPr>
            </w:pPr>
          </w:p>
        </w:tc>
        <w:tc>
          <w:tcPr>
            <w:tcW w:w="680" w:type="dxa"/>
            <w:vAlign w:val="bottom"/>
            <w:tcBorders>
              <w:bottom w:val="single" w:sz="8" w:color="auto"/>
            </w:tcBorders>
          </w:tcPr>
          <w:p>
            <w:pPr>
              <w:jc w:val="right"/>
              <w:ind w:right="132"/>
              <w:spacing w:after="0"/>
              <w:rPr>
                <w:sz w:val="20"/>
                <w:szCs w:val="20"/>
                <w:color w:val="auto"/>
              </w:rPr>
            </w:pPr>
            <w:r>
              <w:rPr>
                <w:rFonts w:ascii="Arial" w:cs="Arial" w:eastAsia="Arial" w:hAnsi="Arial"/>
                <w:sz w:val="14"/>
                <w:szCs w:val="14"/>
                <w:b w:val="1"/>
                <w:bCs w:val="1"/>
                <w:color w:val="auto"/>
              </w:rPr>
              <w:t>43</w:t>
            </w:r>
          </w:p>
        </w:tc>
        <w:tc>
          <w:tcPr>
            <w:tcW w:w="260" w:type="dxa"/>
            <w:vAlign w:val="bottom"/>
            <w:tcBorders>
              <w:bottom w:val="single" w:sz="8" w:color="auto"/>
            </w:tcBorders>
          </w:tcPr>
          <w:p>
            <w:pPr>
              <w:spacing w:after="0"/>
              <w:rPr>
                <w:sz w:val="14"/>
                <w:szCs w:val="14"/>
                <w:color w:val="auto"/>
              </w:rPr>
            </w:pPr>
          </w:p>
        </w:tc>
        <w:tc>
          <w:tcPr>
            <w:tcW w:w="620" w:type="dxa"/>
            <w:vAlign w:val="bottom"/>
            <w:tcBorders>
              <w:bottom w:val="single" w:sz="8" w:color="auto"/>
            </w:tcBorders>
          </w:tcPr>
          <w:p>
            <w:pPr>
              <w:spacing w:after="0"/>
              <w:rPr>
                <w:sz w:val="14"/>
                <w:szCs w:val="14"/>
                <w:color w:val="auto"/>
              </w:rPr>
            </w:pPr>
          </w:p>
        </w:tc>
        <w:tc>
          <w:tcPr>
            <w:tcW w:w="240" w:type="dxa"/>
            <w:vAlign w:val="bottom"/>
            <w:tcBorders>
              <w:bottom w:val="single" w:sz="8" w:color="auto"/>
            </w:tcBorders>
          </w:tcPr>
          <w:p>
            <w:pPr>
              <w:spacing w:after="0"/>
              <w:rPr>
                <w:sz w:val="14"/>
                <w:szCs w:val="14"/>
                <w:color w:val="auto"/>
              </w:rPr>
            </w:pPr>
          </w:p>
        </w:tc>
        <w:tc>
          <w:tcPr>
            <w:tcW w:w="500" w:type="dxa"/>
            <w:vAlign w:val="bottom"/>
            <w:tcBorders>
              <w:bottom w:val="single" w:sz="8" w:color="auto"/>
            </w:tcBorders>
          </w:tcPr>
          <w:p>
            <w:pPr>
              <w:spacing w:after="0"/>
              <w:rPr>
                <w:sz w:val="14"/>
                <w:szCs w:val="14"/>
                <w:color w:val="auto"/>
              </w:rPr>
            </w:pPr>
          </w:p>
        </w:tc>
        <w:tc>
          <w:tcPr>
            <w:tcW w:w="380" w:type="dxa"/>
            <w:vAlign w:val="bottom"/>
            <w:tcBorders>
              <w:bottom w:val="single" w:sz="8" w:color="auto"/>
            </w:tcBorders>
          </w:tcPr>
          <w:p>
            <w:pPr>
              <w:spacing w:after="0"/>
              <w:rPr>
                <w:sz w:val="14"/>
                <w:szCs w:val="14"/>
                <w:color w:val="auto"/>
              </w:rPr>
            </w:pPr>
          </w:p>
        </w:tc>
        <w:tc>
          <w:tcPr>
            <w:tcW w:w="620" w:type="dxa"/>
            <w:vAlign w:val="bottom"/>
            <w:tcBorders>
              <w:bottom w:val="single" w:sz="8" w:color="auto"/>
            </w:tcBorders>
          </w:tcPr>
          <w:p>
            <w:pPr>
              <w:spacing w:after="0"/>
              <w:rPr>
                <w:sz w:val="14"/>
                <w:szCs w:val="14"/>
                <w:color w:val="auto"/>
              </w:rPr>
            </w:pPr>
          </w:p>
        </w:tc>
        <w:tc>
          <w:tcPr>
            <w:tcW w:w="340" w:type="dxa"/>
            <w:vAlign w:val="bottom"/>
            <w:tcBorders>
              <w:bottom w:val="single" w:sz="8" w:color="auto"/>
            </w:tcBorders>
          </w:tcPr>
          <w:p>
            <w:pPr>
              <w:spacing w:after="0"/>
              <w:rPr>
                <w:sz w:val="14"/>
                <w:szCs w:val="14"/>
                <w:color w:val="auto"/>
              </w:rPr>
            </w:pPr>
          </w:p>
        </w:tc>
        <w:tc>
          <w:tcPr>
            <w:tcW w:w="940" w:type="dxa"/>
            <w:vAlign w:val="bottom"/>
            <w:tcBorders>
              <w:bottom w:val="single" w:sz="8" w:color="auto"/>
            </w:tcBorders>
          </w:tcPr>
          <w:p>
            <w:pPr>
              <w:spacing w:after="0"/>
              <w:rPr>
                <w:sz w:val="14"/>
                <w:szCs w:val="14"/>
                <w:color w:val="auto"/>
              </w:rPr>
            </w:pPr>
          </w:p>
        </w:tc>
        <w:tc>
          <w:tcPr>
            <w:tcW w:w="180" w:type="dxa"/>
            <w:vAlign w:val="bottom"/>
            <w:tcBorders>
              <w:bottom w:val="single" w:sz="8" w:color="auto"/>
            </w:tcBorders>
          </w:tcPr>
          <w:p>
            <w:pPr>
              <w:spacing w:after="0"/>
              <w:rPr>
                <w:sz w:val="14"/>
                <w:szCs w:val="14"/>
                <w:color w:val="auto"/>
              </w:rPr>
            </w:pPr>
          </w:p>
        </w:tc>
        <w:tc>
          <w:tcPr>
            <w:tcW w:w="520" w:type="dxa"/>
            <w:vAlign w:val="bottom"/>
            <w:tcBorders>
              <w:bottom w:val="single" w:sz="8" w:color="auto"/>
            </w:tcBorders>
          </w:tcPr>
          <w:p>
            <w:pPr>
              <w:spacing w:after="0"/>
              <w:rPr>
                <w:sz w:val="14"/>
                <w:szCs w:val="14"/>
                <w:color w:val="auto"/>
              </w:rPr>
            </w:pPr>
          </w:p>
        </w:tc>
        <w:tc>
          <w:tcPr>
            <w:tcW w:w="84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43</w:t>
            </w:r>
          </w:p>
        </w:tc>
        <w:tc>
          <w:tcPr>
            <w:tcW w:w="0" w:type="dxa"/>
            <w:vAlign w:val="bottom"/>
          </w:tcPr>
          <w:p>
            <w:pPr>
              <w:spacing w:after="0"/>
              <w:rPr>
                <w:sz w:val="1"/>
                <w:szCs w:val="1"/>
                <w:color w:val="auto"/>
              </w:rPr>
            </w:pPr>
          </w:p>
        </w:tc>
      </w:tr>
      <w:tr>
        <w:trPr>
          <w:trHeight w:val="142"/>
        </w:trPr>
        <w:tc>
          <w:tcPr>
            <w:tcW w:w="20" w:type="dxa"/>
            <w:vAlign w:val="bottom"/>
            <w:tcBorders>
              <w:bottom w:val="single" w:sz="8" w:color="35BF85"/>
            </w:tcBorders>
          </w:tcPr>
          <w:p>
            <w:pPr>
              <w:spacing w:after="0"/>
              <w:rPr>
                <w:sz w:val="12"/>
                <w:szCs w:val="12"/>
                <w:color w:val="auto"/>
              </w:rPr>
            </w:pPr>
          </w:p>
        </w:tc>
        <w:tc>
          <w:tcPr>
            <w:tcW w:w="2980" w:type="dxa"/>
            <w:vAlign w:val="bottom"/>
            <w:tcBorders>
              <w:bottom w:val="single" w:sz="8" w:color="35BF85"/>
            </w:tcBorders>
            <w:gridSpan w:val="2"/>
          </w:tcPr>
          <w:p>
            <w:pPr>
              <w:spacing w:after="0" w:line="142" w:lineRule="exact"/>
              <w:rPr>
                <w:sz w:val="20"/>
                <w:szCs w:val="20"/>
                <w:color w:val="auto"/>
              </w:rPr>
            </w:pPr>
            <w:r>
              <w:rPr>
                <w:rFonts w:ascii="Arial" w:cs="Arial" w:eastAsia="Arial" w:hAnsi="Arial"/>
                <w:sz w:val="14"/>
                <w:szCs w:val="14"/>
                <w:b w:val="1"/>
                <w:bCs w:val="1"/>
                <w:color w:val="auto"/>
              </w:rPr>
              <w:t>Balance, December 31, 2006</w:t>
            </w:r>
          </w:p>
        </w:tc>
        <w:tc>
          <w:tcPr>
            <w:tcW w:w="620" w:type="dxa"/>
            <w:vAlign w:val="bottom"/>
            <w:tcBorders>
              <w:bottom w:val="single" w:sz="8" w:color="35BF85"/>
            </w:tcBorders>
          </w:tcPr>
          <w:p>
            <w:pPr>
              <w:jc w:val="right"/>
              <w:ind w:right="132"/>
              <w:spacing w:after="0" w:line="142" w:lineRule="exact"/>
              <w:rPr>
                <w:sz w:val="20"/>
                <w:szCs w:val="20"/>
                <w:color w:val="auto"/>
              </w:rPr>
            </w:pPr>
            <w:r>
              <w:rPr>
                <w:rFonts w:ascii="Arial" w:cs="Arial" w:eastAsia="Arial" w:hAnsi="Arial"/>
                <w:sz w:val="14"/>
                <w:szCs w:val="14"/>
                <w:b w:val="1"/>
                <w:bCs w:val="1"/>
                <w:color w:val="auto"/>
              </w:rPr>
              <w:t>$ 24</w:t>
            </w:r>
          </w:p>
        </w:tc>
        <w:tc>
          <w:tcPr>
            <w:tcW w:w="360" w:type="dxa"/>
            <w:vAlign w:val="bottom"/>
            <w:tcBorders>
              <w:bottom w:val="single" w:sz="8" w:color="35BF85"/>
            </w:tcBorders>
          </w:tcPr>
          <w:p>
            <w:pPr>
              <w:ind w:left="180"/>
              <w:spacing w:after="0" w:line="142" w:lineRule="exact"/>
              <w:rPr>
                <w:sz w:val="20"/>
                <w:szCs w:val="20"/>
                <w:color w:val="auto"/>
              </w:rPr>
            </w:pPr>
            <w:r>
              <w:rPr>
                <w:rFonts w:ascii="Arial" w:cs="Arial" w:eastAsia="Arial" w:hAnsi="Arial"/>
                <w:sz w:val="14"/>
                <w:szCs w:val="14"/>
                <w:b w:val="1"/>
                <w:bCs w:val="1"/>
                <w:color w:val="auto"/>
              </w:rPr>
              <w:t>$</w:t>
            </w:r>
          </w:p>
        </w:tc>
        <w:tc>
          <w:tcPr>
            <w:tcW w:w="460" w:type="dxa"/>
            <w:vAlign w:val="bottom"/>
            <w:tcBorders>
              <w:bottom w:val="single" w:sz="8" w:color="35BF85"/>
            </w:tcBorders>
          </w:tcPr>
          <w:p>
            <w:pPr>
              <w:jc w:val="right"/>
              <w:ind w:right="132"/>
              <w:spacing w:after="0" w:line="142" w:lineRule="exact"/>
              <w:rPr>
                <w:sz w:val="20"/>
                <w:szCs w:val="20"/>
                <w:color w:val="auto"/>
              </w:rPr>
            </w:pPr>
            <w:r>
              <w:rPr>
                <w:rFonts w:ascii="Arial" w:cs="Arial" w:eastAsia="Arial" w:hAnsi="Arial"/>
                <w:sz w:val="14"/>
                <w:szCs w:val="14"/>
                <w:b w:val="1"/>
                <w:bCs w:val="1"/>
                <w:color w:val="auto"/>
              </w:rPr>
              <w:t>11</w:t>
            </w:r>
          </w:p>
        </w:tc>
        <w:tc>
          <w:tcPr>
            <w:tcW w:w="560" w:type="dxa"/>
            <w:vAlign w:val="bottom"/>
            <w:tcBorders>
              <w:bottom w:val="single" w:sz="8" w:color="35BF85"/>
            </w:tcBorders>
          </w:tcPr>
          <w:p>
            <w:pPr>
              <w:jc w:val="right"/>
              <w:ind w:right="132"/>
              <w:spacing w:after="0" w:line="142" w:lineRule="exact"/>
              <w:rPr>
                <w:sz w:val="20"/>
                <w:szCs w:val="20"/>
                <w:color w:val="auto"/>
              </w:rPr>
            </w:pPr>
            <w:r>
              <w:rPr>
                <w:rFonts w:ascii="Arial" w:cs="Arial" w:eastAsia="Arial" w:hAnsi="Arial"/>
                <w:sz w:val="14"/>
                <w:szCs w:val="14"/>
                <w:b w:val="1"/>
                <w:bCs w:val="1"/>
                <w:color w:val="auto"/>
              </w:rPr>
              <w:t>$—</w:t>
            </w:r>
          </w:p>
        </w:tc>
        <w:tc>
          <w:tcPr>
            <w:tcW w:w="300" w:type="dxa"/>
            <w:vAlign w:val="bottom"/>
            <w:tcBorders>
              <w:bottom w:val="single" w:sz="8" w:color="35BF85"/>
            </w:tcBorders>
          </w:tcPr>
          <w:p>
            <w:pPr>
              <w:ind w:left="180"/>
              <w:spacing w:after="0" w:line="142" w:lineRule="exact"/>
              <w:rPr>
                <w:sz w:val="20"/>
                <w:szCs w:val="20"/>
                <w:color w:val="auto"/>
              </w:rPr>
            </w:pPr>
            <w:r>
              <w:rPr>
                <w:rFonts w:ascii="Arial" w:cs="Arial" w:eastAsia="Arial" w:hAnsi="Arial"/>
                <w:sz w:val="14"/>
                <w:szCs w:val="14"/>
                <w:b w:val="1"/>
                <w:bCs w:val="1"/>
                <w:color w:val="auto"/>
              </w:rPr>
              <w:t>$</w:t>
            </w:r>
          </w:p>
        </w:tc>
        <w:tc>
          <w:tcPr>
            <w:tcW w:w="680" w:type="dxa"/>
            <w:vAlign w:val="bottom"/>
            <w:tcBorders>
              <w:bottom w:val="single" w:sz="8" w:color="35BF85"/>
            </w:tcBorders>
          </w:tcPr>
          <w:p>
            <w:pPr>
              <w:jc w:val="right"/>
              <w:ind w:right="132"/>
              <w:spacing w:after="0" w:line="142" w:lineRule="exact"/>
              <w:rPr>
                <w:sz w:val="20"/>
                <w:szCs w:val="20"/>
                <w:color w:val="auto"/>
              </w:rPr>
            </w:pPr>
            <w:r>
              <w:rPr>
                <w:rFonts w:ascii="Arial" w:cs="Arial" w:eastAsia="Arial" w:hAnsi="Arial"/>
                <w:sz w:val="14"/>
                <w:szCs w:val="14"/>
                <w:b w:val="1"/>
                <w:bCs w:val="1"/>
                <w:color w:val="auto"/>
              </w:rPr>
              <w:t>42,401</w:t>
            </w:r>
          </w:p>
        </w:tc>
        <w:tc>
          <w:tcPr>
            <w:tcW w:w="260" w:type="dxa"/>
            <w:vAlign w:val="bottom"/>
            <w:tcBorders>
              <w:bottom w:val="single" w:sz="8" w:color="35BF85"/>
            </w:tcBorders>
          </w:tcPr>
          <w:p>
            <w:pPr>
              <w:ind w:left="140"/>
              <w:spacing w:after="0" w:line="142" w:lineRule="exact"/>
              <w:rPr>
                <w:sz w:val="20"/>
                <w:szCs w:val="20"/>
                <w:color w:val="auto"/>
              </w:rPr>
            </w:pPr>
            <w:r>
              <w:rPr>
                <w:rFonts w:ascii="Arial" w:cs="Arial" w:eastAsia="Arial" w:hAnsi="Arial"/>
                <w:sz w:val="14"/>
                <w:szCs w:val="14"/>
                <w:b w:val="1"/>
                <w:bCs w:val="1"/>
                <w:color w:val="auto"/>
              </w:rPr>
              <w:t>$</w:t>
            </w:r>
          </w:p>
        </w:tc>
        <w:tc>
          <w:tcPr>
            <w:tcW w:w="620" w:type="dxa"/>
            <w:vAlign w:val="bottom"/>
            <w:tcBorders>
              <w:bottom w:val="single" w:sz="8" w:color="35BF85"/>
            </w:tcBorders>
          </w:tcPr>
          <w:p>
            <w:pPr>
              <w:jc w:val="right"/>
              <w:ind w:right="132"/>
              <w:spacing w:after="0" w:line="142" w:lineRule="exact"/>
              <w:rPr>
                <w:sz w:val="20"/>
                <w:szCs w:val="20"/>
                <w:color w:val="auto"/>
              </w:rPr>
            </w:pPr>
            <w:r>
              <w:rPr>
                <w:rFonts w:ascii="Arial" w:cs="Arial" w:eastAsia="Arial" w:hAnsi="Arial"/>
                <w:sz w:val="14"/>
                <w:szCs w:val="14"/>
                <w:b w:val="1"/>
                <w:bCs w:val="1"/>
                <w:color w:val="auto"/>
              </w:rPr>
              <w:t>6,214</w:t>
            </w:r>
          </w:p>
        </w:tc>
        <w:tc>
          <w:tcPr>
            <w:tcW w:w="240" w:type="dxa"/>
            <w:vAlign w:val="bottom"/>
            <w:tcBorders>
              <w:bottom w:val="single" w:sz="8" w:color="35BF85"/>
            </w:tcBorders>
          </w:tcPr>
          <w:p>
            <w:pPr>
              <w:ind w:left="140"/>
              <w:spacing w:after="0" w:line="142" w:lineRule="exact"/>
              <w:rPr>
                <w:sz w:val="20"/>
                <w:szCs w:val="20"/>
                <w:color w:val="auto"/>
              </w:rPr>
            </w:pPr>
            <w:r>
              <w:rPr>
                <w:rFonts w:ascii="Arial" w:cs="Arial" w:eastAsia="Arial" w:hAnsi="Arial"/>
                <w:sz w:val="14"/>
                <w:szCs w:val="14"/>
                <w:b w:val="1"/>
                <w:bCs w:val="1"/>
                <w:color w:val="auto"/>
              </w:rPr>
              <w:t>$</w:t>
            </w:r>
          </w:p>
        </w:tc>
        <w:tc>
          <w:tcPr>
            <w:tcW w:w="500" w:type="dxa"/>
            <w:vAlign w:val="bottom"/>
            <w:tcBorders>
              <w:bottom w:val="single" w:sz="8" w:color="35BF85"/>
            </w:tcBorders>
          </w:tcPr>
          <w:p>
            <w:pPr>
              <w:jc w:val="center"/>
              <w:spacing w:after="0" w:line="142" w:lineRule="exact"/>
              <w:rPr>
                <w:sz w:val="20"/>
                <w:szCs w:val="20"/>
                <w:color w:val="auto"/>
              </w:rPr>
            </w:pPr>
            <w:r>
              <w:rPr>
                <w:rFonts w:ascii="Arial" w:cs="Arial" w:eastAsia="Arial" w:hAnsi="Arial"/>
                <w:sz w:val="14"/>
                <w:szCs w:val="14"/>
                <w:b w:val="1"/>
                <w:bCs w:val="1"/>
                <w:color w:val="auto"/>
                <w:w w:val="94"/>
              </w:rPr>
              <w:t>(7,517)</w:t>
            </w:r>
          </w:p>
        </w:tc>
        <w:tc>
          <w:tcPr>
            <w:tcW w:w="380" w:type="dxa"/>
            <w:vAlign w:val="bottom"/>
            <w:tcBorders>
              <w:bottom w:val="single" w:sz="8" w:color="35BF85"/>
            </w:tcBorders>
          </w:tcPr>
          <w:p>
            <w:pPr>
              <w:jc w:val="right"/>
              <w:spacing w:after="0" w:line="142" w:lineRule="exact"/>
              <w:rPr>
                <w:sz w:val="20"/>
                <w:szCs w:val="20"/>
                <w:color w:val="auto"/>
              </w:rPr>
            </w:pPr>
            <w:r>
              <w:rPr>
                <w:rFonts w:ascii="Arial" w:cs="Arial" w:eastAsia="Arial" w:hAnsi="Arial"/>
                <w:sz w:val="14"/>
                <w:szCs w:val="14"/>
                <w:b w:val="1"/>
                <w:bCs w:val="1"/>
                <w:color w:val="auto"/>
              </w:rPr>
              <w:t>$</w:t>
            </w:r>
          </w:p>
        </w:tc>
        <w:tc>
          <w:tcPr>
            <w:tcW w:w="620" w:type="dxa"/>
            <w:vAlign w:val="bottom"/>
            <w:tcBorders>
              <w:bottom w:val="single" w:sz="8" w:color="35BF85"/>
            </w:tcBorders>
          </w:tcPr>
          <w:p>
            <w:pPr>
              <w:jc w:val="right"/>
              <w:spacing w:after="0" w:line="142" w:lineRule="exact"/>
              <w:rPr>
                <w:sz w:val="20"/>
                <w:szCs w:val="20"/>
                <w:color w:val="auto"/>
              </w:rPr>
            </w:pPr>
            <w:r>
              <w:rPr>
                <w:rFonts w:ascii="Arial" w:cs="Arial" w:eastAsia="Arial" w:hAnsi="Arial"/>
                <w:sz w:val="14"/>
                <w:szCs w:val="14"/>
                <w:b w:val="1"/>
                <w:bCs w:val="1"/>
                <w:color w:val="auto"/>
              </w:rPr>
              <w:t>44</w:t>
            </w:r>
          </w:p>
        </w:tc>
        <w:tc>
          <w:tcPr>
            <w:tcW w:w="340" w:type="dxa"/>
            <w:vAlign w:val="bottom"/>
            <w:tcBorders>
              <w:bottom w:val="single" w:sz="8" w:color="35BF85"/>
            </w:tcBorders>
          </w:tcPr>
          <w:p>
            <w:pPr>
              <w:jc w:val="right"/>
              <w:spacing w:after="0" w:line="142" w:lineRule="exact"/>
              <w:rPr>
                <w:sz w:val="20"/>
                <w:szCs w:val="20"/>
                <w:color w:val="auto"/>
              </w:rPr>
            </w:pPr>
            <w:r>
              <w:rPr>
                <w:rFonts w:ascii="Arial" w:cs="Arial" w:eastAsia="Arial" w:hAnsi="Arial"/>
                <w:sz w:val="14"/>
                <w:szCs w:val="14"/>
                <w:b w:val="1"/>
                <w:bCs w:val="1"/>
                <w:color w:val="auto"/>
              </w:rPr>
              <w:t>$</w:t>
            </w:r>
          </w:p>
        </w:tc>
        <w:tc>
          <w:tcPr>
            <w:tcW w:w="940" w:type="dxa"/>
            <w:vAlign w:val="bottom"/>
            <w:tcBorders>
              <w:bottom w:val="single" w:sz="8" w:color="35BF85"/>
            </w:tcBorders>
          </w:tcPr>
          <w:p>
            <w:pPr>
              <w:jc w:val="right"/>
              <w:ind w:right="152"/>
              <w:spacing w:after="0" w:line="142" w:lineRule="exact"/>
              <w:rPr>
                <w:sz w:val="20"/>
                <w:szCs w:val="20"/>
                <w:color w:val="auto"/>
              </w:rPr>
            </w:pPr>
            <w:r>
              <w:rPr>
                <w:rFonts w:ascii="Arial" w:cs="Arial" w:eastAsia="Arial" w:hAnsi="Arial"/>
                <w:sz w:val="14"/>
                <w:szCs w:val="14"/>
                <w:b w:val="1"/>
                <w:bCs w:val="1"/>
                <w:color w:val="auto"/>
              </w:rPr>
              <w:t>(5)</w:t>
            </w:r>
          </w:p>
        </w:tc>
        <w:tc>
          <w:tcPr>
            <w:tcW w:w="180" w:type="dxa"/>
            <w:vAlign w:val="bottom"/>
            <w:tcBorders>
              <w:bottom w:val="single" w:sz="8" w:color="35BF85"/>
            </w:tcBorders>
          </w:tcPr>
          <w:p>
            <w:pPr>
              <w:jc w:val="right"/>
              <w:spacing w:after="0" w:line="142" w:lineRule="exact"/>
              <w:rPr>
                <w:sz w:val="20"/>
                <w:szCs w:val="20"/>
                <w:color w:val="auto"/>
              </w:rPr>
            </w:pPr>
            <w:r>
              <w:rPr>
                <w:rFonts w:ascii="Arial" w:cs="Arial" w:eastAsia="Arial" w:hAnsi="Arial"/>
                <w:sz w:val="14"/>
                <w:szCs w:val="14"/>
                <w:b w:val="1"/>
                <w:bCs w:val="1"/>
                <w:color w:val="auto"/>
              </w:rPr>
              <w:t>$</w:t>
            </w:r>
          </w:p>
        </w:tc>
        <w:tc>
          <w:tcPr>
            <w:tcW w:w="520" w:type="dxa"/>
            <w:vAlign w:val="bottom"/>
            <w:tcBorders>
              <w:bottom w:val="single" w:sz="8" w:color="35BF85"/>
            </w:tcBorders>
          </w:tcPr>
          <w:p>
            <w:pPr>
              <w:jc w:val="right"/>
              <w:spacing w:after="0" w:line="142" w:lineRule="exact"/>
              <w:rPr>
                <w:sz w:val="20"/>
                <w:szCs w:val="20"/>
                <w:color w:val="auto"/>
              </w:rPr>
            </w:pPr>
            <w:r>
              <w:rPr>
                <w:rFonts w:ascii="Arial" w:cs="Arial" w:eastAsia="Arial" w:hAnsi="Arial"/>
                <w:sz w:val="14"/>
                <w:szCs w:val="14"/>
                <w:b w:val="1"/>
                <w:bCs w:val="1"/>
                <w:color w:val="auto"/>
              </w:rPr>
              <w:t>(5)</w:t>
            </w:r>
          </w:p>
        </w:tc>
        <w:tc>
          <w:tcPr>
            <w:tcW w:w="840" w:type="dxa"/>
            <w:vAlign w:val="bottom"/>
            <w:tcBorders>
              <w:bottom w:val="single" w:sz="8" w:color="35BF85"/>
            </w:tcBorders>
          </w:tcPr>
          <w:p>
            <w:pPr>
              <w:jc w:val="right"/>
              <w:spacing w:after="0" w:line="142" w:lineRule="exact"/>
              <w:rPr>
                <w:sz w:val="20"/>
                <w:szCs w:val="20"/>
                <w:color w:val="auto"/>
              </w:rPr>
            </w:pPr>
            <w:r>
              <w:rPr>
                <w:rFonts w:ascii="Arial" w:cs="Arial" w:eastAsia="Arial" w:hAnsi="Arial"/>
                <w:sz w:val="14"/>
                <w:szCs w:val="14"/>
                <w:b w:val="1"/>
                <w:bCs w:val="1"/>
                <w:color w:val="auto"/>
              </w:rPr>
              <w:t>$41,167</w:t>
            </w:r>
          </w:p>
        </w:tc>
        <w:tc>
          <w:tcPr>
            <w:tcW w:w="0" w:type="dxa"/>
            <w:vAlign w:val="bottom"/>
          </w:tcPr>
          <w:p>
            <w:pPr>
              <w:spacing w:after="0"/>
              <w:rPr>
                <w:sz w:val="1"/>
                <w:szCs w:val="1"/>
                <w:color w:val="auto"/>
              </w:rPr>
            </w:pPr>
          </w:p>
        </w:tc>
      </w:tr>
      <w:tr>
        <w:trPr>
          <w:trHeight w:val="209"/>
        </w:trPr>
        <w:tc>
          <w:tcPr>
            <w:tcW w:w="3000" w:type="dxa"/>
            <w:vAlign w:val="bottom"/>
            <w:gridSpan w:val="3"/>
          </w:tcPr>
          <w:p>
            <w:pPr>
              <w:spacing w:after="0"/>
              <w:rPr>
                <w:sz w:val="20"/>
                <w:szCs w:val="20"/>
                <w:color w:val="auto"/>
              </w:rPr>
            </w:pPr>
            <w:r>
              <w:rPr>
                <w:rFonts w:ascii="Arial" w:cs="Arial" w:eastAsia="Arial" w:hAnsi="Arial"/>
                <w:sz w:val="14"/>
                <w:szCs w:val="14"/>
                <w:color w:val="auto"/>
              </w:rPr>
              <w:t>See notes to consolidated financial statements.</w:t>
            </w:r>
          </w:p>
        </w:tc>
        <w:tc>
          <w:tcPr>
            <w:tcW w:w="62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97"/>
        </w:trPr>
        <w:tc>
          <w:tcPr>
            <w:tcW w:w="3000" w:type="dxa"/>
            <w:vAlign w:val="bottom"/>
            <w:gridSpan w:val="3"/>
          </w:tcPr>
          <w:p>
            <w:pPr>
              <w:spacing w:after="0"/>
              <w:rPr>
                <w:sz w:val="20"/>
                <w:szCs w:val="20"/>
                <w:color w:val="auto"/>
              </w:rPr>
            </w:pPr>
            <w:r>
              <w:rPr>
                <w:rFonts w:ascii="Arial" w:cs="Arial" w:eastAsia="Arial" w:hAnsi="Arial"/>
                <w:sz w:val="14"/>
                <w:szCs w:val="14"/>
                <w:color w:val="auto"/>
              </w:rPr>
              <w:t>Comcast 2006 Annual Report</w:t>
            </w:r>
          </w:p>
        </w:tc>
        <w:tc>
          <w:tcPr>
            <w:tcW w:w="62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680" w:type="dxa"/>
            <w:vAlign w:val="bottom"/>
          </w:tcPr>
          <w:p>
            <w:pPr>
              <w:jc w:val="right"/>
              <w:ind w:right="72"/>
              <w:spacing w:after="0"/>
              <w:rPr>
                <w:sz w:val="20"/>
                <w:szCs w:val="20"/>
                <w:color w:val="auto"/>
              </w:rPr>
            </w:pPr>
            <w:r>
              <w:rPr>
                <w:rFonts w:ascii="Arial" w:cs="Arial" w:eastAsia="Arial" w:hAnsi="Arial"/>
                <w:sz w:val="14"/>
                <w:szCs w:val="14"/>
                <w:b w:val="1"/>
                <w:bCs w:val="1"/>
                <w:color w:val="auto"/>
              </w:rPr>
              <w:t>42</w:t>
            </w:r>
          </w:p>
        </w:tc>
        <w:tc>
          <w:tcPr>
            <w:tcW w:w="26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420"/>
          </w:cols>
          <w:pgMar w:left="240" w:top="459" w:right="239" w:bottom="1440" w:gutter="0" w:footer="0" w:header="0"/>
        </w:sectPr>
      </w:pPr>
    </w:p>
    <w:bookmarkStart w:id="119" w:name="page120"/>
    <w:bookmarkEnd w:id="119"/>
    <w:p>
      <w:pPr>
        <w:spacing w:after="0"/>
        <w:rPr>
          <w:rFonts w:ascii="Arial" w:cs="Arial" w:eastAsia="Arial" w:hAnsi="Arial"/>
          <w:sz w:val="18"/>
          <w:szCs w:val="18"/>
          <w:b w:val="1"/>
          <w:bCs w:val="1"/>
          <w:u w:val="single" w:color="auto"/>
          <w:color w:val="0000EE"/>
        </w:rPr>
      </w:pPr>
      <w:hyperlink w:anchor="page3">
        <w:r>
          <w:rPr>
            <w:rFonts w:ascii="Arial" w:cs="Arial" w:eastAsia="Arial" w:hAnsi="Arial"/>
            <w:sz w:val="18"/>
            <w:szCs w:val="18"/>
            <w:b w:val="1"/>
            <w:bCs w:val="1"/>
            <w:u w:val="single" w:color="auto"/>
            <w:color w:val="0000EE"/>
          </w:rPr>
          <w:t>Table of Contents</w:t>
        </w:r>
      </w:hyperlink>
    </w:p>
    <w:p>
      <w:pPr>
        <w:spacing w:after="0" w:line="320" w:lineRule="exact"/>
        <w:rPr>
          <w:sz w:val="20"/>
          <w:szCs w:val="20"/>
          <w:color w:val="auto"/>
        </w:rPr>
      </w:pPr>
    </w:p>
    <w:p>
      <w:pPr>
        <w:spacing w:after="0"/>
        <w:rPr>
          <w:sz w:val="20"/>
          <w:szCs w:val="20"/>
          <w:color w:val="auto"/>
        </w:rPr>
      </w:pPr>
      <w:r>
        <w:rPr>
          <w:rFonts w:ascii="Arial" w:cs="Arial" w:eastAsia="Arial" w:hAnsi="Arial"/>
          <w:sz w:val="24"/>
          <w:szCs w:val="24"/>
          <w:color w:val="auto"/>
        </w:rPr>
        <w:t>Notes to Consolidated Financial Statements</w:t>
      </w:r>
    </w:p>
    <w:p>
      <w:pPr>
        <w:spacing w:after="0" w:line="163" w:lineRule="exact"/>
        <w:rPr>
          <w:sz w:val="20"/>
          <w:szCs w:val="20"/>
          <w:color w:val="auto"/>
        </w:rPr>
      </w:pPr>
    </w:p>
    <w:p>
      <w:pPr>
        <w:spacing w:after="0"/>
        <w:rPr>
          <w:sz w:val="20"/>
          <w:szCs w:val="20"/>
          <w:color w:val="auto"/>
        </w:rPr>
      </w:pPr>
      <w:r>
        <w:rPr>
          <w:rFonts w:ascii="Arial" w:cs="Arial" w:eastAsia="Arial" w:hAnsi="Arial"/>
          <w:sz w:val="18"/>
          <w:szCs w:val="18"/>
          <w:color w:val="35BF85"/>
        </w:rPr>
        <w:t>Note 1: Organization and Business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63500</wp:posOffset>
            </wp:positionV>
            <wp:extent cx="3481705" cy="8890"/>
            <wp:wrapNone/>
            <wp:docPr id="177" name="Picture 1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7"/>
                    <pic:cNvPicPr>
                      <a:picLocks noChangeAspect="1" noChangeArrowheads="1"/>
                    </pic:cNvPicPr>
                  </pic:nvPicPr>
                  <pic:blipFill>
                    <a:blip r:embed="rId184">
                      <a:extLst>
                        <a:ext uri="{28A0092B-C50C-407E-A947-70E740481C1C}"/>
                      </a:extLst>
                    </a:blip>
                    <a:srcRect/>
                    <a:stretch>
                      <a:fillRect/>
                    </a:stretch>
                  </pic:blipFill>
                  <pic:spPr bwMode="auto">
                    <a:xfrm>
                      <a:off x="0" y="0"/>
                      <a:ext cx="3481705" cy="8890"/>
                    </a:xfrm>
                    <a:prstGeom prst="rect">
                      <a:avLst/>
                    </a:prstGeom>
                    <a:noFill/>
                  </pic:spPr>
                </pic:pic>
              </a:graphicData>
            </a:graphic>
          </wp:anchor>
        </w:drawing>
      </w:r>
    </w:p>
    <w:p>
      <w:pPr>
        <w:spacing w:after="0" w:line="205" w:lineRule="exact"/>
        <w:rPr>
          <w:sz w:val="20"/>
          <w:szCs w:val="20"/>
          <w:color w:val="auto"/>
        </w:rPr>
      </w:pPr>
    </w:p>
    <w:p>
      <w:pPr>
        <w:jc w:val="both"/>
        <w:spacing w:after="0" w:line="237" w:lineRule="auto"/>
        <w:rPr>
          <w:sz w:val="20"/>
          <w:szCs w:val="20"/>
          <w:color w:val="auto"/>
        </w:rPr>
      </w:pPr>
      <w:r>
        <w:rPr>
          <w:rFonts w:ascii="Arial" w:cs="Arial" w:eastAsia="Arial" w:hAnsi="Arial"/>
          <w:sz w:val="18"/>
          <w:szCs w:val="18"/>
          <w:color w:val="auto"/>
        </w:rPr>
        <w:t>We are a Pennsylvania corporation and were incorporated in December 2001. Through our predecessors, we have developed, managed and operated cable systems since 1963. We classify our operations in two reportable segments: Cable and Programming.</w:t>
      </w:r>
    </w:p>
    <w:p>
      <w:pPr>
        <w:spacing w:after="0" w:line="155" w:lineRule="exact"/>
        <w:rPr>
          <w:sz w:val="20"/>
          <w:szCs w:val="20"/>
          <w:color w:val="auto"/>
        </w:rPr>
      </w:pPr>
    </w:p>
    <w:p>
      <w:pPr>
        <w:jc w:val="both"/>
        <w:spacing w:after="0" w:line="236" w:lineRule="auto"/>
        <w:rPr>
          <w:sz w:val="20"/>
          <w:szCs w:val="20"/>
          <w:color w:val="auto"/>
        </w:rPr>
      </w:pPr>
      <w:r>
        <w:rPr>
          <w:rFonts w:ascii="Arial" w:cs="Arial" w:eastAsia="Arial" w:hAnsi="Arial"/>
          <w:sz w:val="18"/>
          <w:szCs w:val="18"/>
          <w:color w:val="auto"/>
        </w:rPr>
        <w:t>Our Cable segment is principally involved in the management and operation of cable systems in the United States. As of December 31, 2006, we served approximately 23.4 million video subscribers, 11 million high-speed Internet subscribers and 2.4 million phone subscribers. Our regional sports and news networks are included in our Cable segment because they derive a substantial portion of their revenues from our cable operations.</w:t>
      </w:r>
    </w:p>
    <w:p>
      <w:pPr>
        <w:spacing w:after="0" w:line="155" w:lineRule="exact"/>
        <w:rPr>
          <w:sz w:val="20"/>
          <w:szCs w:val="20"/>
          <w:color w:val="auto"/>
        </w:rPr>
      </w:pPr>
    </w:p>
    <w:p>
      <w:pPr>
        <w:jc w:val="both"/>
        <w:spacing w:after="0" w:line="238" w:lineRule="auto"/>
        <w:rPr>
          <w:sz w:val="20"/>
          <w:szCs w:val="20"/>
          <w:color w:val="auto"/>
        </w:rPr>
      </w:pPr>
      <w:r>
        <w:rPr>
          <w:rFonts w:ascii="Arial" w:cs="Arial" w:eastAsia="Arial" w:hAnsi="Arial"/>
          <w:sz w:val="18"/>
          <w:szCs w:val="18"/>
          <w:color w:val="auto"/>
        </w:rPr>
        <w:t>Our Programming segment operates our consolidated national programming networks: E!, Style, The Golf Channel, VERSUS (formerly known as OLN), G4 and AZN Television.</w:t>
      </w:r>
    </w:p>
    <w:p>
      <w:pPr>
        <w:spacing w:after="0" w:line="154" w:lineRule="exact"/>
        <w:rPr>
          <w:sz w:val="20"/>
          <w:szCs w:val="20"/>
          <w:color w:val="auto"/>
        </w:rPr>
      </w:pPr>
    </w:p>
    <w:p>
      <w:pPr>
        <w:jc w:val="both"/>
        <w:spacing w:after="0" w:line="236" w:lineRule="auto"/>
        <w:rPr>
          <w:sz w:val="20"/>
          <w:szCs w:val="20"/>
          <w:color w:val="auto"/>
        </w:rPr>
      </w:pPr>
      <w:r>
        <w:rPr>
          <w:rFonts w:ascii="Arial" w:cs="Arial" w:eastAsia="Arial" w:hAnsi="Arial"/>
          <w:sz w:val="18"/>
          <w:szCs w:val="18"/>
          <w:color w:val="auto"/>
        </w:rPr>
        <w:t>Our other businesses consist principally of Comcast Spectacor, which owns the Philadelphia Flyers, the Philadelphia 76ers and two large multipurpose arenas in Philadelphia, and manages other facilities for sporting events, concerts and other special events, and our corporate activities. We also own equity method investments in other programming networks.</w:t>
      </w:r>
    </w:p>
    <w:p>
      <w:pPr>
        <w:spacing w:after="0" w:line="13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Stock Split</w:t>
      </w:r>
    </w:p>
    <w:p>
      <w:pPr>
        <w:spacing w:after="0" w:line="18" w:lineRule="exact"/>
        <w:rPr>
          <w:sz w:val="20"/>
          <w:szCs w:val="20"/>
          <w:color w:val="auto"/>
        </w:rPr>
      </w:pPr>
    </w:p>
    <w:p>
      <w:pPr>
        <w:jc w:val="both"/>
        <w:spacing w:after="0" w:line="267" w:lineRule="auto"/>
        <w:rPr>
          <w:sz w:val="20"/>
          <w:szCs w:val="20"/>
          <w:color w:val="auto"/>
        </w:rPr>
      </w:pPr>
      <w:r>
        <w:rPr>
          <w:rFonts w:ascii="Arial" w:cs="Arial" w:eastAsia="Arial" w:hAnsi="Arial"/>
          <w:sz w:val="16"/>
          <w:szCs w:val="16"/>
          <w:color w:val="auto"/>
        </w:rPr>
        <w:t>On January 31, 2007, our Board of Directors approved a three-for-two stock split in the form of a 50% stock dividend (the “Stock Split”) payable on February 21, 2007, to shareholders of record on February 14, 2007. The stock dividend was in the form of an additional 0.5 share for every share held and was payable in shares of Class A common stock on the existing Class A common stock and payable in shares of Class A Special common stock on the existing Class A Special common stock and Class B common stock with cash being paid in lieu of fractional shares. Our stock began trading ex-dividend on February 22, 2007. The number of shares outstanding and related prices, per share amounts, share conversions and share-based data have been adjusted to reflect the Stock Split for all periods presented.</w:t>
      </w:r>
    </w:p>
    <w:p>
      <w:pPr>
        <w:spacing w:after="0" w:line="200" w:lineRule="exact"/>
        <w:rPr>
          <w:sz w:val="20"/>
          <w:szCs w:val="20"/>
          <w:color w:val="auto"/>
        </w:rPr>
      </w:pPr>
    </w:p>
    <w:p>
      <w:pPr>
        <w:spacing w:after="0" w:line="223" w:lineRule="exact"/>
        <w:rPr>
          <w:sz w:val="20"/>
          <w:szCs w:val="20"/>
          <w:color w:val="auto"/>
        </w:rPr>
      </w:pPr>
    </w:p>
    <w:p>
      <w:pPr>
        <w:spacing w:after="0"/>
        <w:rPr>
          <w:sz w:val="20"/>
          <w:szCs w:val="20"/>
          <w:color w:val="auto"/>
        </w:rPr>
      </w:pPr>
      <w:r>
        <w:rPr>
          <w:rFonts w:ascii="Arial" w:cs="Arial" w:eastAsia="Arial" w:hAnsi="Arial"/>
          <w:sz w:val="18"/>
          <w:szCs w:val="18"/>
          <w:color w:val="35BF85"/>
        </w:rPr>
        <w:t>Note 2: Summary of Significant Accounting policies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63500</wp:posOffset>
            </wp:positionV>
            <wp:extent cx="3481705" cy="8890"/>
            <wp:wrapNone/>
            <wp:docPr id="178" name="Picture 1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8"/>
                    <pic:cNvPicPr>
                      <a:picLocks noChangeAspect="1" noChangeArrowheads="1"/>
                    </pic:cNvPicPr>
                  </pic:nvPicPr>
                  <pic:blipFill>
                    <a:blip r:embed="rId185">
                      <a:extLst>
                        <a:ext uri="{28A0092B-C50C-407E-A947-70E740481C1C}"/>
                      </a:extLst>
                    </a:blip>
                    <a:srcRect/>
                    <a:stretch>
                      <a:fillRect/>
                    </a:stretch>
                  </pic:blipFill>
                  <pic:spPr bwMode="auto">
                    <a:xfrm>
                      <a:off x="0" y="0"/>
                      <a:ext cx="3481705" cy="8890"/>
                    </a:xfrm>
                    <a:prstGeom prst="rect">
                      <a:avLst/>
                    </a:prstGeom>
                    <a:noFill/>
                  </pic:spPr>
                </pic:pic>
              </a:graphicData>
            </a:graphic>
          </wp:anchor>
        </w:drawing>
      </w:r>
    </w:p>
    <w:p>
      <w:pPr>
        <w:spacing w:after="0" w:line="23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Basis of Consolidation</w:t>
      </w:r>
    </w:p>
    <w:p>
      <w:pPr>
        <w:spacing w:after="0" w:line="18" w:lineRule="exact"/>
        <w:rPr>
          <w:sz w:val="20"/>
          <w:szCs w:val="20"/>
          <w:color w:val="auto"/>
        </w:rPr>
      </w:pPr>
    </w:p>
    <w:p>
      <w:pPr>
        <w:jc w:val="both"/>
        <w:spacing w:after="0" w:line="236" w:lineRule="auto"/>
        <w:rPr>
          <w:sz w:val="20"/>
          <w:szCs w:val="20"/>
          <w:color w:val="auto"/>
        </w:rPr>
      </w:pPr>
      <w:r>
        <w:rPr>
          <w:rFonts w:ascii="Arial" w:cs="Arial" w:eastAsia="Arial" w:hAnsi="Arial"/>
          <w:sz w:val="18"/>
          <w:szCs w:val="18"/>
          <w:color w:val="auto"/>
        </w:rPr>
        <w:t>The accompanying consolidated financial statements include (i) all of our accounts, (ii) all entities in which we have a controlling voting interest (“subsidiaries”) and (iii) variable interest entities (“VIEs”) required to be consolidated in accordance with generally accepted accounting principles in the United States (“GAAP”). We have eliminated all significant intercompany accounts and transactions among consolidated entities.</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4" w:lineRule="exact"/>
        <w:rPr>
          <w:sz w:val="20"/>
          <w:szCs w:val="20"/>
          <w:color w:val="auto"/>
        </w:rPr>
      </w:pPr>
    </w:p>
    <w:p>
      <w:pPr>
        <w:ind w:left="140"/>
        <w:spacing w:after="0"/>
        <w:rPr>
          <w:sz w:val="20"/>
          <w:szCs w:val="20"/>
          <w:color w:val="auto"/>
        </w:rPr>
      </w:pPr>
      <w:r>
        <w:rPr>
          <w:rFonts w:ascii="Arial" w:cs="Arial" w:eastAsia="Arial" w:hAnsi="Arial"/>
          <w:sz w:val="18"/>
          <w:szCs w:val="18"/>
          <w:b w:val="1"/>
          <w:bCs w:val="1"/>
          <w:color w:val="auto"/>
        </w:rPr>
        <w:t>Our Use of Estimates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-3602990</wp:posOffset>
            </wp:positionH>
            <wp:positionV relativeFrom="paragraph">
              <wp:posOffset>-933450</wp:posOffset>
            </wp:positionV>
            <wp:extent cx="7267575" cy="27940"/>
            <wp:wrapNone/>
            <wp:docPr id="179" name="Picture 1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9"/>
                    <pic:cNvPicPr>
                      <a:picLocks noChangeAspect="1" noChangeArrowheads="1"/>
                    </pic:cNvPicPr>
                  </pic:nvPicPr>
                  <pic:blipFill>
                    <a:blip r:embed="rId186">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p>
    <w:p>
      <w:pPr>
        <w:jc w:val="both"/>
        <w:ind w:left="140" w:right="120"/>
        <w:spacing w:after="0" w:line="235" w:lineRule="auto"/>
        <w:rPr>
          <w:sz w:val="20"/>
          <w:szCs w:val="20"/>
          <w:color w:val="auto"/>
        </w:rPr>
      </w:pPr>
      <w:r>
        <w:rPr>
          <w:rFonts w:ascii="Arial" w:cs="Arial" w:eastAsia="Arial" w:hAnsi="Arial"/>
          <w:sz w:val="18"/>
          <w:szCs w:val="18"/>
          <w:color w:val="auto"/>
        </w:rPr>
        <w:t>We prepare our consolidated financial statements in conformity with GAAP, which requires us to make estimates and assumptions that affect the reported amounts and disclosures. Actual results could differ from those estimates. Estimates are used when accounting for various items, such as allowances for doubtful accounts, investments, derivative financial instruments, asset impairment, nonmonetary transactions, certain acquisition-related liabilities, programming-related liabilities, pensions and other postretirement benefits, revenue recognition, depreciation and amortization, income taxes and legal contingencies.</w:t>
      </w:r>
    </w:p>
    <w:p>
      <w:pPr>
        <w:spacing w:after="0" w:line="139" w:lineRule="exact"/>
        <w:rPr>
          <w:sz w:val="20"/>
          <w:szCs w:val="20"/>
          <w:color w:val="auto"/>
        </w:rPr>
      </w:pPr>
    </w:p>
    <w:p>
      <w:pPr>
        <w:ind w:left="140"/>
        <w:spacing w:after="0"/>
        <w:rPr>
          <w:sz w:val="20"/>
          <w:szCs w:val="20"/>
          <w:color w:val="auto"/>
        </w:rPr>
      </w:pPr>
      <w:r>
        <w:rPr>
          <w:rFonts w:ascii="Arial" w:cs="Arial" w:eastAsia="Arial" w:hAnsi="Arial"/>
          <w:sz w:val="18"/>
          <w:szCs w:val="18"/>
          <w:b w:val="1"/>
          <w:bCs w:val="1"/>
          <w:color w:val="auto"/>
        </w:rPr>
        <w:t>Fair Values</w:t>
      </w:r>
    </w:p>
    <w:p>
      <w:pPr>
        <w:spacing w:after="0" w:line="18" w:lineRule="exact"/>
        <w:rPr>
          <w:sz w:val="20"/>
          <w:szCs w:val="20"/>
          <w:color w:val="auto"/>
        </w:rPr>
      </w:pPr>
    </w:p>
    <w:p>
      <w:pPr>
        <w:jc w:val="both"/>
        <w:ind w:left="140" w:right="120"/>
        <w:spacing w:after="0" w:line="235" w:lineRule="auto"/>
        <w:rPr>
          <w:sz w:val="20"/>
          <w:szCs w:val="20"/>
          <w:color w:val="auto"/>
        </w:rPr>
      </w:pPr>
      <w:r>
        <w:rPr>
          <w:rFonts w:ascii="Arial" w:cs="Arial" w:eastAsia="Arial" w:hAnsi="Arial"/>
          <w:sz w:val="18"/>
          <w:szCs w:val="18"/>
          <w:color w:val="auto"/>
        </w:rPr>
        <w:t>We have determined the estimated fair value amounts presented in these consolidated financial statements using available market information and appropriate methodologies. However, considerable judgment is required in interpreting market data to develop the estimates of fair value. The estimates presented in these consolidated financial statements are not necessarily indicative of the amounts that we could realize in a current market exchange. The use of different market assumptions and/or estimation methodologies may have a material effect on the estimated fair value amounts. We based these fair value estimates on pertinent information available to us as of December 31, 2006 and 2005.</w:t>
      </w:r>
    </w:p>
    <w:p>
      <w:pPr>
        <w:spacing w:after="0" w:line="139" w:lineRule="exact"/>
        <w:rPr>
          <w:sz w:val="20"/>
          <w:szCs w:val="20"/>
          <w:color w:val="auto"/>
        </w:rPr>
      </w:pPr>
    </w:p>
    <w:p>
      <w:pPr>
        <w:ind w:left="140"/>
        <w:spacing w:after="0"/>
        <w:rPr>
          <w:sz w:val="20"/>
          <w:szCs w:val="20"/>
          <w:color w:val="auto"/>
        </w:rPr>
      </w:pPr>
      <w:r>
        <w:rPr>
          <w:rFonts w:ascii="Arial" w:cs="Arial" w:eastAsia="Arial" w:hAnsi="Arial"/>
          <w:sz w:val="18"/>
          <w:szCs w:val="18"/>
          <w:b w:val="1"/>
          <w:bCs w:val="1"/>
          <w:color w:val="auto"/>
        </w:rPr>
        <w:t>Cash Equivalents</w:t>
      </w:r>
    </w:p>
    <w:p>
      <w:pPr>
        <w:spacing w:after="0" w:line="18" w:lineRule="exact"/>
        <w:rPr>
          <w:sz w:val="20"/>
          <w:szCs w:val="20"/>
          <w:color w:val="auto"/>
        </w:rPr>
      </w:pPr>
    </w:p>
    <w:p>
      <w:pPr>
        <w:jc w:val="both"/>
        <w:ind w:left="140" w:right="120"/>
        <w:spacing w:after="0" w:line="237" w:lineRule="auto"/>
        <w:rPr>
          <w:sz w:val="20"/>
          <w:szCs w:val="20"/>
          <w:color w:val="auto"/>
        </w:rPr>
      </w:pPr>
      <w:r>
        <w:rPr>
          <w:rFonts w:ascii="Arial" w:cs="Arial" w:eastAsia="Arial" w:hAnsi="Arial"/>
          <w:sz w:val="18"/>
          <w:szCs w:val="18"/>
          <w:color w:val="auto"/>
        </w:rPr>
        <w:t>The carrying amounts of our cash equivalents approximate their fair value. Our cash equivalents principally consist of commercial paper, money market funds, U.S. government obligations and certificates of deposit with maturities of less than three months when purchased.</w:t>
      </w:r>
    </w:p>
    <w:p>
      <w:pPr>
        <w:spacing w:after="0" w:line="133" w:lineRule="exact"/>
        <w:rPr>
          <w:sz w:val="20"/>
          <w:szCs w:val="20"/>
          <w:color w:val="auto"/>
        </w:rPr>
      </w:pPr>
    </w:p>
    <w:p>
      <w:pPr>
        <w:ind w:left="140"/>
        <w:spacing w:after="0"/>
        <w:rPr>
          <w:sz w:val="20"/>
          <w:szCs w:val="20"/>
          <w:color w:val="auto"/>
        </w:rPr>
      </w:pPr>
      <w:r>
        <w:rPr>
          <w:rFonts w:ascii="Arial" w:cs="Arial" w:eastAsia="Arial" w:hAnsi="Arial"/>
          <w:sz w:val="18"/>
          <w:szCs w:val="18"/>
          <w:b w:val="1"/>
          <w:bCs w:val="1"/>
          <w:color w:val="auto"/>
        </w:rPr>
        <w:t>Investments</w:t>
      </w:r>
    </w:p>
    <w:p>
      <w:pPr>
        <w:spacing w:after="0" w:line="18" w:lineRule="exact"/>
        <w:rPr>
          <w:sz w:val="20"/>
          <w:szCs w:val="20"/>
          <w:color w:val="auto"/>
        </w:rPr>
      </w:pPr>
    </w:p>
    <w:p>
      <w:pPr>
        <w:jc w:val="both"/>
        <w:ind w:left="140" w:right="120"/>
        <w:spacing w:after="0" w:line="236" w:lineRule="auto"/>
        <w:rPr>
          <w:sz w:val="20"/>
          <w:szCs w:val="20"/>
          <w:color w:val="auto"/>
        </w:rPr>
      </w:pPr>
      <w:r>
        <w:rPr>
          <w:rFonts w:ascii="Arial" w:cs="Arial" w:eastAsia="Arial" w:hAnsi="Arial"/>
          <w:sz w:val="18"/>
          <w:szCs w:val="18"/>
          <w:color w:val="auto"/>
        </w:rPr>
        <w:t>We review our investment portfolio each reporting period to determine whether a decline in the market value is considered to be other than temporary. If an investment is deemed to have experienced an other than temporary decline below its cost basis, we reduce the carrying amount of the investment to its fair market value. We charge the impairment to earnings and establish a new cost basis for the investment.</w:t>
      </w:r>
    </w:p>
    <w:p>
      <w:pPr>
        <w:spacing w:after="0" w:line="155" w:lineRule="exact"/>
        <w:rPr>
          <w:sz w:val="20"/>
          <w:szCs w:val="20"/>
          <w:color w:val="auto"/>
        </w:rPr>
      </w:pPr>
    </w:p>
    <w:p>
      <w:pPr>
        <w:jc w:val="both"/>
        <w:ind w:left="140" w:right="120"/>
        <w:spacing w:after="0" w:line="237" w:lineRule="auto"/>
        <w:rPr>
          <w:sz w:val="20"/>
          <w:szCs w:val="20"/>
          <w:color w:val="auto"/>
        </w:rPr>
      </w:pPr>
      <w:r>
        <w:rPr>
          <w:rFonts w:ascii="Arial" w:cs="Arial" w:eastAsia="Arial" w:hAnsi="Arial"/>
          <w:sz w:val="18"/>
          <w:szCs w:val="18"/>
          <w:color w:val="auto"/>
        </w:rPr>
        <w:t>Purchases of or proceeds from the sale of trading securities are classified as cash flows from operating activities, while cash flows from all other investment securities are classified as cash flows from investing activities.</w:t>
      </w:r>
    </w:p>
    <w:p>
      <w:pPr>
        <w:spacing w:after="0" w:line="155" w:lineRule="exact"/>
        <w:rPr>
          <w:sz w:val="20"/>
          <w:szCs w:val="20"/>
          <w:color w:val="auto"/>
        </w:rPr>
      </w:pPr>
    </w:p>
    <w:p>
      <w:pPr>
        <w:jc w:val="both"/>
        <w:ind w:left="140" w:right="120"/>
        <w:spacing w:after="0" w:line="236" w:lineRule="auto"/>
        <w:rPr>
          <w:sz w:val="20"/>
          <w:szCs w:val="20"/>
          <w:color w:val="auto"/>
        </w:rPr>
      </w:pPr>
      <w:r>
        <w:rPr>
          <w:rFonts w:ascii="Arial" w:cs="Arial" w:eastAsia="Arial" w:hAnsi="Arial"/>
          <w:sz w:val="18"/>
          <w:szCs w:val="18"/>
          <w:color w:val="auto"/>
        </w:rPr>
        <w:t>We classify unrestricted publicly traded investments as available-for-sale (“AFS”) or trading securities and record them at fair value. For AFS securities, we record unrealized gains or losses resulting from changes in fair value between measurement dates as a component of other comprehensive income (loss), except when we consider declines in value to be other than temporary. These other than temporary declines are recognized as a component of investment income (loss), net. For trading securities, we record unrealized</w:t>
      </w:r>
    </w:p>
    <w:p>
      <w:pPr>
        <w:spacing w:after="0" w:line="175" w:lineRule="exact"/>
        <w:rPr>
          <w:sz w:val="20"/>
          <w:szCs w:val="20"/>
          <w:color w:val="auto"/>
        </w:rPr>
      </w:pPr>
    </w:p>
    <w:p>
      <w:pPr>
        <w:spacing w:after="0"/>
        <w:tabs>
          <w:tab w:leader="none" w:pos="3940" w:val="left"/>
        </w:tabs>
        <w:rPr>
          <w:sz w:val="20"/>
          <w:szCs w:val="20"/>
          <w:color w:val="auto"/>
        </w:rPr>
      </w:pPr>
      <w:r>
        <w:rPr>
          <w:rFonts w:ascii="Arial" w:cs="Arial" w:eastAsia="Arial" w:hAnsi="Arial"/>
          <w:sz w:val="12"/>
          <w:szCs w:val="12"/>
          <w:b w:val="1"/>
          <w:bCs w:val="1"/>
          <w:color w:val="auto"/>
        </w:rPr>
        <w:t>43</w:t>
      </w:r>
      <w:r>
        <w:rPr>
          <w:sz w:val="20"/>
          <w:szCs w:val="20"/>
          <w:color w:val="auto"/>
        </w:rPr>
        <w:tab/>
      </w:r>
      <w:r>
        <w:rPr>
          <w:rFonts w:ascii="Arial" w:cs="Arial" w:eastAsia="Arial" w:hAnsi="Arial"/>
          <w:sz w:val="12"/>
          <w:szCs w:val="12"/>
          <w:color w:val="auto"/>
        </w:rPr>
        <w:t>Comcast 2006 Annual Report</w:t>
      </w:r>
    </w:p>
    <w:p>
      <w:pPr>
        <w:sectPr>
          <w:pgSz w:w="11900" w:h="16838" w:orient="portrait"/>
          <w:cols w:equalWidth="0" w:num="2">
            <w:col w:w="5480" w:space="200"/>
            <w:col w:w="5740"/>
          </w:cols>
          <w:pgMar w:left="240" w:top="459" w:right="239" w:bottom="1440" w:gutter="0" w:footer="0" w:header="0"/>
        </w:sectPr>
      </w:pPr>
    </w:p>
    <w:bookmarkStart w:id="120" w:name="page121"/>
    <w:bookmarkEnd w:id="120"/>
    <w:p>
      <w:pPr>
        <w:spacing w:after="0"/>
        <w:rPr>
          <w:rFonts w:ascii="Arial" w:cs="Arial" w:eastAsia="Arial" w:hAnsi="Arial"/>
          <w:sz w:val="18"/>
          <w:szCs w:val="18"/>
          <w:b w:val="1"/>
          <w:bCs w:val="1"/>
          <w:u w:val="single" w:color="auto"/>
          <w:color w:val="0000EE"/>
        </w:rPr>
      </w:pPr>
      <w:hyperlink w:anchor="page3">
        <w:r>
          <w:rPr>
            <w:rFonts w:ascii="Arial" w:cs="Arial" w:eastAsia="Arial" w:hAnsi="Arial"/>
            <w:sz w:val="18"/>
            <w:szCs w:val="18"/>
            <w:b w:val="1"/>
            <w:bCs w:val="1"/>
            <w:u w:val="single" w:color="auto"/>
            <w:color w:val="0000EE"/>
          </w:rPr>
          <w:t>Table of Contents</w:t>
        </w:r>
      </w:hyperlink>
    </w:p>
    <w:p>
      <w:pPr>
        <w:spacing w:after="0" w:line="200" w:lineRule="exact"/>
        <w:rPr>
          <w:sz w:val="20"/>
          <w:szCs w:val="20"/>
          <w:color w:val="auto"/>
        </w:rPr>
      </w:pPr>
    </w:p>
    <w:p>
      <w:pPr>
        <w:spacing w:after="0" w:line="276" w:lineRule="exact"/>
        <w:rPr>
          <w:sz w:val="20"/>
          <w:szCs w:val="20"/>
          <w:color w:val="auto"/>
        </w:rPr>
      </w:pPr>
    </w:p>
    <w:p>
      <w:pPr>
        <w:jc w:val="both"/>
        <w:spacing w:after="0" w:line="237" w:lineRule="auto"/>
        <w:rPr>
          <w:sz w:val="20"/>
          <w:szCs w:val="20"/>
          <w:color w:val="auto"/>
        </w:rPr>
      </w:pPr>
      <w:r>
        <w:rPr>
          <w:rFonts w:ascii="Arial" w:cs="Arial" w:eastAsia="Arial" w:hAnsi="Arial"/>
          <w:sz w:val="18"/>
          <w:szCs w:val="18"/>
          <w:color w:val="auto"/>
        </w:rPr>
        <w:t>gains or losses resulting from changes in fair value between measurement dates as a component of investment income (loss), net. We recognize realized gains and losses associated with our fair value method investments using the specific identification method.</w:t>
      </w:r>
    </w:p>
    <w:p>
      <w:pPr>
        <w:spacing w:after="0" w:line="155" w:lineRule="exact"/>
        <w:rPr>
          <w:sz w:val="20"/>
          <w:szCs w:val="20"/>
          <w:color w:val="auto"/>
        </w:rPr>
      </w:pPr>
    </w:p>
    <w:p>
      <w:pPr>
        <w:jc w:val="both"/>
        <w:spacing w:after="0" w:line="235" w:lineRule="auto"/>
        <w:rPr>
          <w:sz w:val="20"/>
          <w:szCs w:val="20"/>
          <w:color w:val="auto"/>
        </w:rPr>
      </w:pPr>
      <w:r>
        <w:rPr>
          <w:rFonts w:ascii="Arial" w:cs="Arial" w:eastAsia="Arial" w:hAnsi="Arial"/>
          <w:sz w:val="18"/>
          <w:szCs w:val="18"/>
          <w:color w:val="auto"/>
        </w:rPr>
        <w:t>We use the equity method to account for investments in which we have the ability to exercise significant influence over the investee’s operating and financial policies. Equity method investments are recorded at original cost and adjusted to recognize our proportionate share of the investee’s net income or losses after the date of investment, amortization of basis differences, additional contributions made and dividends received, and impairment charges resulting from adjustments to fair value. We generally record our share of the investee’s net income or loss one quarter in arrears due to the timing of our receipt of such information.</w:t>
      </w:r>
    </w:p>
    <w:p>
      <w:pPr>
        <w:spacing w:after="0" w:line="161" w:lineRule="exact"/>
        <w:rPr>
          <w:sz w:val="20"/>
          <w:szCs w:val="20"/>
          <w:color w:val="auto"/>
        </w:rPr>
      </w:pPr>
    </w:p>
    <w:p>
      <w:pPr>
        <w:jc w:val="both"/>
        <w:spacing w:after="0" w:line="236" w:lineRule="auto"/>
        <w:rPr>
          <w:sz w:val="20"/>
          <w:szCs w:val="20"/>
          <w:color w:val="auto"/>
        </w:rPr>
      </w:pPr>
      <w:r>
        <w:rPr>
          <w:rFonts w:ascii="Arial" w:cs="Arial" w:eastAsia="Arial" w:hAnsi="Arial"/>
          <w:sz w:val="18"/>
          <w:szCs w:val="18"/>
          <w:color w:val="auto"/>
        </w:rPr>
        <w:t>If a consolidated subsidiary or equity method investee issues additional securities that change our proportionate share of the entity, we recognize the change as a gain or loss in our consolidated statement of operations. In cases where gain realization is not assured, we record the gain to additional capital.</w:t>
      </w:r>
    </w:p>
    <w:p>
      <w:pPr>
        <w:spacing w:after="0" w:line="157" w:lineRule="exact"/>
        <w:rPr>
          <w:sz w:val="20"/>
          <w:szCs w:val="20"/>
          <w:color w:val="auto"/>
        </w:rPr>
      </w:pPr>
    </w:p>
    <w:p>
      <w:pPr>
        <w:jc w:val="both"/>
        <w:spacing w:after="0" w:line="238" w:lineRule="auto"/>
        <w:rPr>
          <w:sz w:val="20"/>
          <w:szCs w:val="20"/>
          <w:color w:val="auto"/>
        </w:rPr>
      </w:pPr>
      <w:r>
        <w:rPr>
          <w:rFonts w:ascii="Arial" w:cs="Arial" w:eastAsia="Arial" w:hAnsi="Arial"/>
          <w:sz w:val="18"/>
          <w:szCs w:val="18"/>
          <w:color w:val="auto"/>
        </w:rPr>
        <w:t>Restricted publicly traded investments and investments in privately held companies are stated at cost and adjusted for any known decrease in value (see Note 6).</w:t>
      </w:r>
    </w:p>
    <w:p>
      <w:pPr>
        <w:spacing w:after="0" w:line="13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Property and Equipment</w:t>
      </w:r>
    </w:p>
    <w:p>
      <w:pPr>
        <w:spacing w:after="0" w:line="18" w:lineRule="exact"/>
        <w:rPr>
          <w:sz w:val="20"/>
          <w:szCs w:val="20"/>
          <w:color w:val="auto"/>
        </w:rPr>
      </w:pPr>
    </w:p>
    <w:p>
      <w:pPr>
        <w:jc w:val="both"/>
        <w:spacing w:after="0" w:line="236" w:lineRule="auto"/>
        <w:rPr>
          <w:sz w:val="20"/>
          <w:szCs w:val="20"/>
          <w:color w:val="auto"/>
        </w:rPr>
      </w:pPr>
      <w:r>
        <w:rPr>
          <w:rFonts w:ascii="Arial" w:cs="Arial" w:eastAsia="Arial" w:hAnsi="Arial"/>
          <w:sz w:val="18"/>
          <w:szCs w:val="18"/>
          <w:color w:val="auto"/>
        </w:rPr>
        <w:t>Property and equipment are stated at cost. We capitalize improvements that extend asset lives and expense other repairs and maintenance charges as incurred. For assets that are sold or retired, we remove the applicable cost and accumulated depreciation and, unless the gain or loss on disposition is presented separately, we recognize it as a component of depreciation expense.</w:t>
      </w:r>
    </w:p>
    <w:p>
      <w:pPr>
        <w:spacing w:after="0" w:line="156" w:lineRule="exact"/>
        <w:rPr>
          <w:sz w:val="20"/>
          <w:szCs w:val="20"/>
          <w:color w:val="auto"/>
        </w:rPr>
      </w:pPr>
    </w:p>
    <w:p>
      <w:pPr>
        <w:jc w:val="both"/>
        <w:spacing w:after="0" w:line="237" w:lineRule="auto"/>
        <w:rPr>
          <w:sz w:val="20"/>
          <w:szCs w:val="20"/>
          <w:color w:val="auto"/>
        </w:rPr>
      </w:pPr>
      <w:r>
        <w:rPr>
          <w:rFonts w:ascii="Arial" w:cs="Arial" w:eastAsia="Arial" w:hAnsi="Arial"/>
          <w:sz w:val="18"/>
          <w:szCs w:val="18"/>
          <w:color w:val="auto"/>
        </w:rPr>
        <w:t>We capitalize the costs associated with the construction of our cable transmission and distribution facilities and new service installations. Costs include all direct labor and materials, as well as various indirect costs.</w:t>
      </w:r>
    </w:p>
    <w:p>
      <w:pPr>
        <w:spacing w:after="0" w:line="155" w:lineRule="exact"/>
        <w:rPr>
          <w:sz w:val="20"/>
          <w:szCs w:val="20"/>
          <w:color w:val="auto"/>
        </w:rPr>
      </w:pPr>
    </w:p>
    <w:p>
      <w:pPr>
        <w:jc w:val="both"/>
        <w:spacing w:after="0" w:line="238" w:lineRule="auto"/>
        <w:rPr>
          <w:sz w:val="20"/>
          <w:szCs w:val="20"/>
          <w:color w:val="auto"/>
        </w:rPr>
      </w:pPr>
      <w:r>
        <w:rPr>
          <w:rFonts w:ascii="Arial" w:cs="Arial" w:eastAsia="Arial" w:hAnsi="Arial"/>
          <w:sz w:val="18"/>
          <w:szCs w:val="18"/>
          <w:color w:val="auto"/>
        </w:rPr>
        <w:t>We record depreciation using the straight-line method over estimated useful lives. Our significant components of property and equipment are as follows:</w:t>
      </w:r>
    </w:p>
    <w:p>
      <w:pPr>
        <w:spacing w:after="0" w:line="175" w:lineRule="exact"/>
        <w:rPr>
          <w:sz w:val="20"/>
          <w:szCs w:val="20"/>
          <w:color w:val="auto"/>
        </w:rPr>
      </w:pPr>
    </w:p>
    <w:tbl>
      <w:tblPr>
        <w:tblLayout w:type="fixed"/>
        <w:tblInd w:w="0" w:type="dxa"/>
        <w:tblCellMar>
          <w:top w:w="0" w:type="dxa"/>
          <w:left w:w="0" w:type="dxa"/>
          <w:bottom w:w="0" w:type="dxa"/>
          <w:right w:w="0" w:type="dxa"/>
        </w:tblCellMar>
      </w:tblPr>
      <w:tr>
        <w:trPr>
          <w:trHeight w:val="165"/>
        </w:trPr>
        <w:tc>
          <w:tcPr>
            <w:tcW w:w="2120" w:type="dxa"/>
            <w:vAlign w:val="bottom"/>
            <w:tcBorders>
              <w:bottom w:val="single" w:sz="8" w:color="auto"/>
            </w:tcBorders>
          </w:tcPr>
          <w:p>
            <w:pPr>
              <w:ind w:left="20"/>
              <w:spacing w:after="0"/>
              <w:rPr>
                <w:sz w:val="20"/>
                <w:szCs w:val="20"/>
                <w:color w:val="auto"/>
              </w:rPr>
            </w:pPr>
            <w:r>
              <w:rPr>
                <w:rFonts w:ascii="Arial" w:cs="Arial" w:eastAsia="Arial" w:hAnsi="Arial"/>
                <w:sz w:val="14"/>
                <w:szCs w:val="14"/>
                <w:color w:val="auto"/>
              </w:rPr>
              <w:t>December 31 (in millions)</w:t>
            </w:r>
          </w:p>
        </w:tc>
        <w:tc>
          <w:tcPr>
            <w:tcW w:w="1300" w:type="dxa"/>
            <w:vAlign w:val="bottom"/>
            <w:tcBorders>
              <w:bottom w:val="single" w:sz="8" w:color="auto"/>
            </w:tcBorders>
          </w:tcPr>
          <w:p>
            <w:pPr>
              <w:jc w:val="right"/>
              <w:ind w:right="96"/>
              <w:spacing w:after="0"/>
              <w:rPr>
                <w:sz w:val="20"/>
                <w:szCs w:val="20"/>
                <w:color w:val="auto"/>
              </w:rPr>
            </w:pPr>
            <w:r>
              <w:rPr>
                <w:rFonts w:ascii="Arial" w:cs="Arial" w:eastAsia="Arial" w:hAnsi="Arial"/>
                <w:sz w:val="14"/>
                <w:szCs w:val="14"/>
                <w:color w:val="auto"/>
              </w:rPr>
              <w:t>Useful Life</w:t>
            </w:r>
          </w:p>
        </w:tc>
        <w:tc>
          <w:tcPr>
            <w:tcW w:w="1120" w:type="dxa"/>
            <w:vAlign w:val="bottom"/>
            <w:tcBorders>
              <w:bottom w:val="single" w:sz="8" w:color="auto"/>
            </w:tcBorders>
          </w:tcPr>
          <w:p>
            <w:pPr>
              <w:jc w:val="right"/>
              <w:ind w:right="115"/>
              <w:spacing w:after="0"/>
              <w:rPr>
                <w:sz w:val="20"/>
                <w:szCs w:val="20"/>
                <w:color w:val="auto"/>
              </w:rPr>
            </w:pPr>
            <w:r>
              <w:rPr>
                <w:rFonts w:ascii="Arial" w:cs="Arial" w:eastAsia="Arial" w:hAnsi="Arial"/>
                <w:sz w:val="14"/>
                <w:szCs w:val="14"/>
                <w:b w:val="1"/>
                <w:bCs w:val="1"/>
                <w:color w:val="auto"/>
              </w:rPr>
              <w:t>2006</w:t>
            </w:r>
          </w:p>
        </w:tc>
        <w:tc>
          <w:tcPr>
            <w:tcW w:w="260" w:type="dxa"/>
            <w:vAlign w:val="bottom"/>
            <w:tcBorders>
              <w:bottom w:val="single" w:sz="8" w:color="auto"/>
            </w:tcBorders>
          </w:tcPr>
          <w:p>
            <w:pPr>
              <w:spacing w:after="0"/>
              <w:rPr>
                <w:sz w:val="14"/>
                <w:szCs w:val="14"/>
                <w:color w:val="auto"/>
              </w:rPr>
            </w:pPr>
          </w:p>
        </w:tc>
        <w:tc>
          <w:tcPr>
            <w:tcW w:w="68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2005</w:t>
            </w:r>
          </w:p>
        </w:tc>
        <w:tc>
          <w:tcPr>
            <w:tcW w:w="0" w:type="dxa"/>
            <w:vAlign w:val="bottom"/>
          </w:tcPr>
          <w:p>
            <w:pPr>
              <w:spacing w:after="0"/>
              <w:rPr>
                <w:sz w:val="1"/>
                <w:szCs w:val="1"/>
                <w:color w:val="auto"/>
              </w:rPr>
            </w:pPr>
          </w:p>
        </w:tc>
      </w:tr>
      <w:tr>
        <w:trPr>
          <w:trHeight w:val="199"/>
        </w:trPr>
        <w:tc>
          <w:tcPr>
            <w:tcW w:w="2120" w:type="dxa"/>
            <w:vAlign w:val="bottom"/>
          </w:tcPr>
          <w:p>
            <w:pPr>
              <w:ind w:left="20"/>
              <w:spacing w:after="0" w:line="200" w:lineRule="exact"/>
              <w:rPr>
                <w:sz w:val="20"/>
                <w:szCs w:val="20"/>
                <w:color w:val="auto"/>
              </w:rPr>
            </w:pPr>
            <w:r>
              <w:rPr>
                <w:rFonts w:ascii="Arial" w:cs="Arial" w:eastAsia="Arial" w:hAnsi="Arial"/>
                <w:sz w:val="18"/>
                <w:szCs w:val="18"/>
                <w:color w:val="auto"/>
              </w:rPr>
              <w:t>Cable transmission and</w:t>
            </w:r>
          </w:p>
        </w:tc>
        <w:tc>
          <w:tcPr>
            <w:tcW w:w="1300" w:type="dxa"/>
            <w:vAlign w:val="bottom"/>
          </w:tcPr>
          <w:p>
            <w:pPr>
              <w:spacing w:after="0"/>
              <w:rPr>
                <w:sz w:val="17"/>
                <w:szCs w:val="17"/>
                <w:color w:val="auto"/>
              </w:rPr>
            </w:pPr>
          </w:p>
        </w:tc>
        <w:tc>
          <w:tcPr>
            <w:tcW w:w="1120" w:type="dxa"/>
            <w:vAlign w:val="bottom"/>
            <w:vMerge w:val="restart"/>
          </w:tcPr>
          <w:p>
            <w:pPr>
              <w:jc w:val="right"/>
              <w:ind w:right="115"/>
              <w:spacing w:after="0"/>
              <w:rPr>
                <w:sz w:val="20"/>
                <w:szCs w:val="20"/>
                <w:color w:val="auto"/>
              </w:rPr>
            </w:pPr>
            <w:r>
              <w:rPr>
                <w:rFonts w:ascii="Arial" w:cs="Arial" w:eastAsia="Arial" w:hAnsi="Arial"/>
                <w:sz w:val="18"/>
                <w:szCs w:val="18"/>
                <w:b w:val="1"/>
                <w:bCs w:val="1"/>
                <w:color w:val="auto"/>
              </w:rPr>
              <w:t>$ 31,870</w:t>
            </w:r>
          </w:p>
        </w:tc>
        <w:tc>
          <w:tcPr>
            <w:tcW w:w="26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120" w:type="dxa"/>
            <w:vAlign w:val="bottom"/>
          </w:tcPr>
          <w:p>
            <w:pPr>
              <w:ind w:left="220"/>
              <w:spacing w:after="0" w:line="202" w:lineRule="exact"/>
              <w:rPr>
                <w:sz w:val="20"/>
                <w:szCs w:val="20"/>
                <w:color w:val="auto"/>
              </w:rPr>
            </w:pPr>
            <w:r>
              <w:rPr>
                <w:rFonts w:ascii="Arial" w:cs="Arial" w:eastAsia="Arial" w:hAnsi="Arial"/>
                <w:sz w:val="18"/>
                <w:szCs w:val="18"/>
                <w:color w:val="auto"/>
              </w:rPr>
              <w:t>distribution facilities</w:t>
            </w:r>
          </w:p>
        </w:tc>
        <w:tc>
          <w:tcPr>
            <w:tcW w:w="1300" w:type="dxa"/>
            <w:vAlign w:val="bottom"/>
          </w:tcPr>
          <w:p>
            <w:pPr>
              <w:jc w:val="right"/>
              <w:ind w:right="96"/>
              <w:spacing w:after="0" w:line="202" w:lineRule="exact"/>
              <w:rPr>
                <w:sz w:val="20"/>
                <w:szCs w:val="20"/>
                <w:color w:val="auto"/>
              </w:rPr>
            </w:pPr>
            <w:r>
              <w:rPr>
                <w:rFonts w:ascii="Arial" w:cs="Arial" w:eastAsia="Arial" w:hAnsi="Arial"/>
                <w:sz w:val="18"/>
                <w:szCs w:val="18"/>
                <w:color w:val="auto"/>
              </w:rPr>
              <w:t>2 –15 years</w:t>
            </w:r>
          </w:p>
        </w:tc>
        <w:tc>
          <w:tcPr>
            <w:tcW w:w="1120" w:type="dxa"/>
            <w:vAlign w:val="bottom"/>
            <w:vMerge w:val="continue"/>
          </w:tcPr>
          <w:p>
            <w:pPr>
              <w:spacing w:after="0"/>
              <w:rPr>
                <w:sz w:val="17"/>
                <w:szCs w:val="17"/>
                <w:color w:val="auto"/>
              </w:rPr>
            </w:pPr>
          </w:p>
        </w:tc>
        <w:tc>
          <w:tcPr>
            <w:tcW w:w="260" w:type="dxa"/>
            <w:vAlign w:val="bottom"/>
          </w:tcPr>
          <w:p>
            <w:pPr>
              <w:jc w:val="right"/>
              <w:spacing w:after="0" w:line="202" w:lineRule="exact"/>
              <w:rPr>
                <w:sz w:val="20"/>
                <w:szCs w:val="20"/>
                <w:color w:val="auto"/>
              </w:rPr>
            </w:pPr>
            <w:r>
              <w:rPr>
                <w:rFonts w:ascii="Arial" w:cs="Arial" w:eastAsia="Arial" w:hAnsi="Arial"/>
                <w:sz w:val="18"/>
                <w:szCs w:val="18"/>
                <w:color w:val="auto"/>
              </w:rPr>
              <w:t>$</w:t>
            </w:r>
          </w:p>
        </w:tc>
        <w:tc>
          <w:tcPr>
            <w:tcW w:w="680" w:type="dxa"/>
            <w:vAlign w:val="bottom"/>
          </w:tcPr>
          <w:p>
            <w:pPr>
              <w:jc w:val="right"/>
              <w:spacing w:after="0" w:line="202" w:lineRule="exact"/>
              <w:rPr>
                <w:sz w:val="20"/>
                <w:szCs w:val="20"/>
                <w:color w:val="auto"/>
              </w:rPr>
            </w:pPr>
            <w:r>
              <w:rPr>
                <w:rFonts w:ascii="Arial" w:cs="Arial" w:eastAsia="Arial" w:hAnsi="Arial"/>
                <w:sz w:val="18"/>
                <w:szCs w:val="18"/>
                <w:color w:val="auto"/>
              </w:rPr>
              <w:t>25,737</w:t>
            </w:r>
          </w:p>
        </w:tc>
        <w:tc>
          <w:tcPr>
            <w:tcW w:w="0" w:type="dxa"/>
            <w:vAlign w:val="bottom"/>
          </w:tcPr>
          <w:p>
            <w:pPr>
              <w:spacing w:after="0"/>
              <w:rPr>
                <w:sz w:val="1"/>
                <w:szCs w:val="1"/>
                <w:color w:val="auto"/>
              </w:rPr>
            </w:pPr>
          </w:p>
        </w:tc>
      </w:tr>
      <w:tr>
        <w:trPr>
          <w:trHeight w:val="203"/>
        </w:trPr>
        <w:tc>
          <w:tcPr>
            <w:tcW w:w="2120" w:type="dxa"/>
            <w:vAlign w:val="bottom"/>
          </w:tcPr>
          <w:p>
            <w:pPr>
              <w:ind w:left="20"/>
              <w:spacing w:after="0" w:line="202" w:lineRule="exact"/>
              <w:rPr>
                <w:sz w:val="20"/>
                <w:szCs w:val="20"/>
                <w:color w:val="auto"/>
              </w:rPr>
            </w:pPr>
            <w:r>
              <w:rPr>
                <w:rFonts w:ascii="Arial" w:cs="Arial" w:eastAsia="Arial" w:hAnsi="Arial"/>
                <w:sz w:val="18"/>
                <w:szCs w:val="18"/>
                <w:color w:val="auto"/>
              </w:rPr>
              <w:t>Buildings and building</w:t>
            </w:r>
          </w:p>
        </w:tc>
        <w:tc>
          <w:tcPr>
            <w:tcW w:w="1300" w:type="dxa"/>
            <w:vAlign w:val="bottom"/>
          </w:tcPr>
          <w:p>
            <w:pPr>
              <w:spacing w:after="0"/>
              <w:rPr>
                <w:sz w:val="17"/>
                <w:szCs w:val="17"/>
                <w:color w:val="auto"/>
              </w:rPr>
            </w:pPr>
          </w:p>
        </w:tc>
        <w:tc>
          <w:tcPr>
            <w:tcW w:w="1120" w:type="dxa"/>
            <w:vAlign w:val="bottom"/>
            <w:vMerge w:val="restart"/>
          </w:tcPr>
          <w:p>
            <w:pPr>
              <w:jc w:val="right"/>
              <w:ind w:right="115"/>
              <w:spacing w:after="0"/>
              <w:rPr>
                <w:sz w:val="20"/>
                <w:szCs w:val="20"/>
                <w:color w:val="auto"/>
              </w:rPr>
            </w:pPr>
            <w:r>
              <w:rPr>
                <w:rFonts w:ascii="Arial" w:cs="Arial" w:eastAsia="Arial" w:hAnsi="Arial"/>
                <w:sz w:val="18"/>
                <w:szCs w:val="18"/>
                <w:b w:val="1"/>
                <w:bCs w:val="1"/>
                <w:color w:val="auto"/>
              </w:rPr>
              <w:t>1,366</w:t>
            </w:r>
          </w:p>
        </w:tc>
        <w:tc>
          <w:tcPr>
            <w:tcW w:w="26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81"/>
        </w:trPr>
        <w:tc>
          <w:tcPr>
            <w:tcW w:w="2120" w:type="dxa"/>
            <w:vAlign w:val="bottom"/>
          </w:tcPr>
          <w:p>
            <w:pPr>
              <w:ind w:left="220"/>
              <w:spacing w:after="0" w:line="181" w:lineRule="exact"/>
              <w:rPr>
                <w:sz w:val="20"/>
                <w:szCs w:val="20"/>
                <w:color w:val="auto"/>
              </w:rPr>
            </w:pPr>
            <w:r>
              <w:rPr>
                <w:rFonts w:ascii="Arial" w:cs="Arial" w:eastAsia="Arial" w:hAnsi="Arial"/>
                <w:sz w:val="18"/>
                <w:szCs w:val="18"/>
                <w:color w:val="auto"/>
              </w:rPr>
              <w:t>improvements</w:t>
            </w:r>
          </w:p>
        </w:tc>
        <w:tc>
          <w:tcPr>
            <w:tcW w:w="1300" w:type="dxa"/>
            <w:vAlign w:val="bottom"/>
          </w:tcPr>
          <w:p>
            <w:pPr>
              <w:jc w:val="right"/>
              <w:ind w:right="96"/>
              <w:spacing w:after="0" w:line="181" w:lineRule="exact"/>
              <w:rPr>
                <w:sz w:val="20"/>
                <w:szCs w:val="20"/>
                <w:color w:val="auto"/>
              </w:rPr>
            </w:pPr>
            <w:r>
              <w:rPr>
                <w:rFonts w:ascii="Arial" w:cs="Arial" w:eastAsia="Arial" w:hAnsi="Arial"/>
                <w:sz w:val="18"/>
                <w:szCs w:val="18"/>
                <w:color w:val="auto"/>
              </w:rPr>
              <w:t>5 –40 years</w:t>
            </w:r>
          </w:p>
        </w:tc>
        <w:tc>
          <w:tcPr>
            <w:tcW w:w="1120" w:type="dxa"/>
            <w:vAlign w:val="bottom"/>
            <w:vMerge w:val="continue"/>
          </w:tcPr>
          <w:p>
            <w:pPr>
              <w:spacing w:after="0"/>
              <w:rPr>
                <w:sz w:val="15"/>
                <w:szCs w:val="15"/>
                <w:color w:val="auto"/>
              </w:rPr>
            </w:pPr>
          </w:p>
        </w:tc>
        <w:tc>
          <w:tcPr>
            <w:tcW w:w="260" w:type="dxa"/>
            <w:vAlign w:val="bottom"/>
          </w:tcPr>
          <w:p>
            <w:pPr>
              <w:spacing w:after="0"/>
              <w:rPr>
                <w:sz w:val="15"/>
                <w:szCs w:val="15"/>
                <w:color w:val="auto"/>
              </w:rPr>
            </w:pPr>
          </w:p>
        </w:tc>
        <w:tc>
          <w:tcPr>
            <w:tcW w:w="680" w:type="dxa"/>
            <w:vAlign w:val="bottom"/>
          </w:tcPr>
          <w:p>
            <w:pPr>
              <w:jc w:val="right"/>
              <w:spacing w:after="0" w:line="181" w:lineRule="exact"/>
              <w:rPr>
                <w:sz w:val="20"/>
                <w:szCs w:val="20"/>
                <w:color w:val="auto"/>
              </w:rPr>
            </w:pPr>
            <w:r>
              <w:rPr>
                <w:rFonts w:ascii="Arial" w:cs="Arial" w:eastAsia="Arial" w:hAnsi="Arial"/>
                <w:sz w:val="18"/>
                <w:szCs w:val="18"/>
                <w:color w:val="auto"/>
              </w:rPr>
              <w:t>1,279</w:t>
            </w:r>
          </w:p>
        </w:tc>
        <w:tc>
          <w:tcPr>
            <w:tcW w:w="0" w:type="dxa"/>
            <w:vAlign w:val="bottom"/>
          </w:tcPr>
          <w:p>
            <w:pPr>
              <w:spacing w:after="0"/>
              <w:rPr>
                <w:sz w:val="1"/>
                <w:szCs w:val="1"/>
                <w:color w:val="auto"/>
              </w:rPr>
            </w:pPr>
          </w:p>
        </w:tc>
      </w:tr>
      <w:tr>
        <w:trPr>
          <w:trHeight w:val="225"/>
        </w:trPr>
        <w:tc>
          <w:tcPr>
            <w:tcW w:w="2120" w:type="dxa"/>
            <w:vAlign w:val="bottom"/>
          </w:tcPr>
          <w:p>
            <w:pPr>
              <w:ind w:left="20"/>
              <w:spacing w:after="0"/>
              <w:rPr>
                <w:sz w:val="20"/>
                <w:szCs w:val="20"/>
                <w:color w:val="auto"/>
              </w:rPr>
            </w:pPr>
            <w:r>
              <w:rPr>
                <w:rFonts w:ascii="Arial" w:cs="Arial" w:eastAsia="Arial" w:hAnsi="Arial"/>
                <w:sz w:val="18"/>
                <w:szCs w:val="18"/>
                <w:color w:val="auto"/>
              </w:rPr>
              <w:t>Land</w:t>
            </w:r>
          </w:p>
        </w:tc>
        <w:tc>
          <w:tcPr>
            <w:tcW w:w="1300" w:type="dxa"/>
            <w:vAlign w:val="bottom"/>
          </w:tcPr>
          <w:p>
            <w:pPr>
              <w:jc w:val="right"/>
              <w:ind w:right="96"/>
              <w:spacing w:after="0"/>
              <w:rPr>
                <w:sz w:val="20"/>
                <w:szCs w:val="20"/>
                <w:color w:val="auto"/>
              </w:rPr>
            </w:pPr>
            <w:r>
              <w:rPr>
                <w:rFonts w:ascii="Arial" w:cs="Arial" w:eastAsia="Arial" w:hAnsi="Arial"/>
                <w:sz w:val="18"/>
                <w:szCs w:val="18"/>
                <w:color w:val="auto"/>
              </w:rPr>
              <w:t>—</w:t>
            </w:r>
          </w:p>
        </w:tc>
        <w:tc>
          <w:tcPr>
            <w:tcW w:w="1120" w:type="dxa"/>
            <w:vAlign w:val="bottom"/>
          </w:tcPr>
          <w:p>
            <w:pPr>
              <w:jc w:val="right"/>
              <w:ind w:right="115"/>
              <w:spacing w:after="0"/>
              <w:rPr>
                <w:sz w:val="20"/>
                <w:szCs w:val="20"/>
                <w:color w:val="auto"/>
              </w:rPr>
            </w:pPr>
            <w:r>
              <w:rPr>
                <w:rFonts w:ascii="Arial" w:cs="Arial" w:eastAsia="Arial" w:hAnsi="Arial"/>
                <w:sz w:val="18"/>
                <w:szCs w:val="18"/>
                <w:b w:val="1"/>
                <w:bCs w:val="1"/>
                <w:color w:val="auto"/>
              </w:rPr>
              <w:t>163</w:t>
            </w:r>
          </w:p>
        </w:tc>
        <w:tc>
          <w:tcPr>
            <w:tcW w:w="260" w:type="dxa"/>
            <w:vAlign w:val="bottom"/>
          </w:tcPr>
          <w:p>
            <w:pPr>
              <w:spacing w:after="0"/>
              <w:rPr>
                <w:sz w:val="19"/>
                <w:szCs w:val="19"/>
                <w:color w:val="auto"/>
              </w:rPr>
            </w:pPr>
          </w:p>
        </w:tc>
        <w:tc>
          <w:tcPr>
            <w:tcW w:w="680" w:type="dxa"/>
            <w:vAlign w:val="bottom"/>
          </w:tcPr>
          <w:p>
            <w:pPr>
              <w:jc w:val="right"/>
              <w:spacing w:after="0"/>
              <w:rPr>
                <w:sz w:val="20"/>
                <w:szCs w:val="20"/>
                <w:color w:val="auto"/>
              </w:rPr>
            </w:pPr>
            <w:r>
              <w:rPr>
                <w:rFonts w:ascii="Arial" w:cs="Arial" w:eastAsia="Arial" w:hAnsi="Arial"/>
                <w:sz w:val="18"/>
                <w:szCs w:val="18"/>
                <w:color w:val="auto"/>
              </w:rPr>
              <w:t>148</w:t>
            </w:r>
          </w:p>
        </w:tc>
        <w:tc>
          <w:tcPr>
            <w:tcW w:w="0" w:type="dxa"/>
            <w:vAlign w:val="bottom"/>
          </w:tcPr>
          <w:p>
            <w:pPr>
              <w:spacing w:after="0"/>
              <w:rPr>
                <w:sz w:val="1"/>
                <w:szCs w:val="1"/>
                <w:color w:val="auto"/>
              </w:rPr>
            </w:pPr>
          </w:p>
        </w:tc>
      </w:tr>
      <w:tr>
        <w:trPr>
          <w:trHeight w:val="199"/>
        </w:trPr>
        <w:tc>
          <w:tcPr>
            <w:tcW w:w="2120" w:type="dxa"/>
            <w:vAlign w:val="bottom"/>
            <w:tcBorders>
              <w:bottom w:val="single" w:sz="8" w:color="auto"/>
            </w:tcBorders>
          </w:tcPr>
          <w:p>
            <w:pPr>
              <w:ind w:left="20"/>
              <w:spacing w:after="0" w:line="200" w:lineRule="exact"/>
              <w:rPr>
                <w:sz w:val="20"/>
                <w:szCs w:val="20"/>
                <w:color w:val="auto"/>
              </w:rPr>
            </w:pPr>
            <w:r>
              <w:rPr>
                <w:rFonts w:ascii="Arial" w:cs="Arial" w:eastAsia="Arial" w:hAnsi="Arial"/>
                <w:sz w:val="18"/>
                <w:szCs w:val="18"/>
                <w:color w:val="auto"/>
              </w:rPr>
              <w:t>Other</w:t>
            </w:r>
          </w:p>
        </w:tc>
        <w:tc>
          <w:tcPr>
            <w:tcW w:w="1300" w:type="dxa"/>
            <w:vAlign w:val="bottom"/>
            <w:tcBorders>
              <w:bottom w:val="single" w:sz="8" w:color="auto"/>
            </w:tcBorders>
          </w:tcPr>
          <w:p>
            <w:pPr>
              <w:jc w:val="right"/>
              <w:ind w:right="96"/>
              <w:spacing w:after="0" w:line="200" w:lineRule="exact"/>
              <w:rPr>
                <w:sz w:val="20"/>
                <w:szCs w:val="20"/>
                <w:color w:val="auto"/>
              </w:rPr>
            </w:pPr>
            <w:r>
              <w:rPr>
                <w:rFonts w:ascii="Arial" w:cs="Arial" w:eastAsia="Arial" w:hAnsi="Arial"/>
                <w:sz w:val="18"/>
                <w:szCs w:val="18"/>
                <w:color w:val="auto"/>
              </w:rPr>
              <w:t>3 –10 years</w:t>
            </w:r>
          </w:p>
        </w:tc>
        <w:tc>
          <w:tcPr>
            <w:tcW w:w="1120" w:type="dxa"/>
            <w:vAlign w:val="bottom"/>
            <w:tcBorders>
              <w:bottom w:val="single" w:sz="8" w:color="auto"/>
            </w:tcBorders>
          </w:tcPr>
          <w:p>
            <w:pPr>
              <w:jc w:val="right"/>
              <w:ind w:right="115"/>
              <w:spacing w:after="0" w:line="200" w:lineRule="exact"/>
              <w:rPr>
                <w:sz w:val="20"/>
                <w:szCs w:val="20"/>
                <w:color w:val="auto"/>
              </w:rPr>
            </w:pPr>
            <w:r>
              <w:rPr>
                <w:rFonts w:ascii="Arial" w:cs="Arial" w:eastAsia="Arial" w:hAnsi="Arial"/>
                <w:sz w:val="18"/>
                <w:szCs w:val="18"/>
                <w:color w:val="auto"/>
              </w:rPr>
              <w:t>3,355</w:t>
            </w:r>
          </w:p>
        </w:tc>
        <w:tc>
          <w:tcPr>
            <w:tcW w:w="260" w:type="dxa"/>
            <w:vAlign w:val="bottom"/>
            <w:tcBorders>
              <w:bottom w:val="single" w:sz="8" w:color="auto"/>
            </w:tcBorders>
          </w:tcPr>
          <w:p>
            <w:pPr>
              <w:spacing w:after="0"/>
              <w:rPr>
                <w:sz w:val="17"/>
                <w:szCs w:val="17"/>
                <w:color w:val="auto"/>
              </w:rPr>
            </w:pPr>
          </w:p>
        </w:tc>
        <w:tc>
          <w:tcPr>
            <w:tcW w:w="680" w:type="dxa"/>
            <w:vAlign w:val="bottom"/>
            <w:tcBorders>
              <w:bottom w:val="single" w:sz="8" w:color="auto"/>
            </w:tcBorders>
          </w:tcPr>
          <w:p>
            <w:pPr>
              <w:jc w:val="right"/>
              <w:spacing w:after="0" w:line="200" w:lineRule="exact"/>
              <w:rPr>
                <w:sz w:val="20"/>
                <w:szCs w:val="20"/>
                <w:color w:val="auto"/>
              </w:rPr>
            </w:pPr>
            <w:r>
              <w:rPr>
                <w:rFonts w:ascii="Arial" w:cs="Arial" w:eastAsia="Arial" w:hAnsi="Arial"/>
                <w:sz w:val="18"/>
                <w:szCs w:val="18"/>
                <w:color w:val="auto"/>
              </w:rPr>
              <w:t>2,619</w:t>
            </w:r>
          </w:p>
        </w:tc>
        <w:tc>
          <w:tcPr>
            <w:tcW w:w="0" w:type="dxa"/>
            <w:vAlign w:val="bottom"/>
          </w:tcPr>
          <w:p>
            <w:pPr>
              <w:spacing w:after="0"/>
              <w:rPr>
                <w:sz w:val="1"/>
                <w:szCs w:val="1"/>
                <w:color w:val="auto"/>
              </w:rPr>
            </w:pPr>
          </w:p>
        </w:tc>
      </w:tr>
      <w:tr>
        <w:trPr>
          <w:trHeight w:val="199"/>
        </w:trPr>
        <w:tc>
          <w:tcPr>
            <w:tcW w:w="2120" w:type="dxa"/>
            <w:vAlign w:val="bottom"/>
          </w:tcPr>
          <w:p>
            <w:pPr>
              <w:ind w:left="20"/>
              <w:spacing w:after="0" w:line="200" w:lineRule="exact"/>
              <w:rPr>
                <w:sz w:val="20"/>
                <w:szCs w:val="20"/>
                <w:color w:val="auto"/>
              </w:rPr>
            </w:pPr>
            <w:r>
              <w:rPr>
                <w:rFonts w:ascii="Arial" w:cs="Arial" w:eastAsia="Arial" w:hAnsi="Arial"/>
                <w:sz w:val="18"/>
                <w:szCs w:val="18"/>
                <w:color w:val="auto"/>
              </w:rPr>
              <w:t>Property and equipment,</w:t>
            </w:r>
          </w:p>
        </w:tc>
        <w:tc>
          <w:tcPr>
            <w:tcW w:w="1300" w:type="dxa"/>
            <w:vAlign w:val="bottom"/>
          </w:tcPr>
          <w:p>
            <w:pPr>
              <w:spacing w:after="0"/>
              <w:rPr>
                <w:sz w:val="17"/>
                <w:szCs w:val="17"/>
                <w:color w:val="auto"/>
              </w:rPr>
            </w:pPr>
          </w:p>
        </w:tc>
        <w:tc>
          <w:tcPr>
            <w:tcW w:w="1120" w:type="dxa"/>
            <w:vAlign w:val="bottom"/>
            <w:vMerge w:val="restart"/>
          </w:tcPr>
          <w:p>
            <w:pPr>
              <w:jc w:val="right"/>
              <w:ind w:right="115"/>
              <w:spacing w:after="0"/>
              <w:rPr>
                <w:sz w:val="20"/>
                <w:szCs w:val="20"/>
                <w:color w:val="auto"/>
              </w:rPr>
            </w:pPr>
            <w:r>
              <w:rPr>
                <w:rFonts w:ascii="Arial" w:cs="Arial" w:eastAsia="Arial" w:hAnsi="Arial"/>
                <w:sz w:val="18"/>
                <w:szCs w:val="18"/>
                <w:b w:val="1"/>
                <w:bCs w:val="1"/>
                <w:color w:val="auto"/>
              </w:rPr>
              <w:t>36,754</w:t>
            </w:r>
          </w:p>
        </w:tc>
        <w:tc>
          <w:tcPr>
            <w:tcW w:w="26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120" w:type="dxa"/>
            <w:vAlign w:val="bottom"/>
          </w:tcPr>
          <w:p>
            <w:pPr>
              <w:ind w:left="220"/>
              <w:spacing w:after="0" w:line="202" w:lineRule="exact"/>
              <w:rPr>
                <w:sz w:val="20"/>
                <w:szCs w:val="20"/>
                <w:color w:val="auto"/>
              </w:rPr>
            </w:pPr>
            <w:r>
              <w:rPr>
                <w:rFonts w:ascii="Arial" w:cs="Arial" w:eastAsia="Arial" w:hAnsi="Arial"/>
                <w:sz w:val="18"/>
                <w:szCs w:val="18"/>
                <w:color w:val="auto"/>
              </w:rPr>
              <w:t>at cost</w:t>
            </w:r>
          </w:p>
        </w:tc>
        <w:tc>
          <w:tcPr>
            <w:tcW w:w="1300" w:type="dxa"/>
            <w:vAlign w:val="bottom"/>
          </w:tcPr>
          <w:p>
            <w:pPr>
              <w:spacing w:after="0"/>
              <w:rPr>
                <w:sz w:val="17"/>
                <w:szCs w:val="17"/>
                <w:color w:val="auto"/>
              </w:rPr>
            </w:pPr>
          </w:p>
        </w:tc>
        <w:tc>
          <w:tcPr>
            <w:tcW w:w="1120" w:type="dxa"/>
            <w:vAlign w:val="bottom"/>
            <w:vMerge w:val="continue"/>
          </w:tcPr>
          <w:p>
            <w:pPr>
              <w:spacing w:after="0"/>
              <w:rPr>
                <w:sz w:val="17"/>
                <w:szCs w:val="17"/>
                <w:color w:val="auto"/>
              </w:rPr>
            </w:pPr>
          </w:p>
        </w:tc>
        <w:tc>
          <w:tcPr>
            <w:tcW w:w="260" w:type="dxa"/>
            <w:vAlign w:val="bottom"/>
          </w:tcPr>
          <w:p>
            <w:pPr>
              <w:spacing w:after="0"/>
              <w:rPr>
                <w:sz w:val="17"/>
                <w:szCs w:val="17"/>
                <w:color w:val="auto"/>
              </w:rPr>
            </w:pPr>
          </w:p>
        </w:tc>
        <w:tc>
          <w:tcPr>
            <w:tcW w:w="680" w:type="dxa"/>
            <w:vAlign w:val="bottom"/>
          </w:tcPr>
          <w:p>
            <w:pPr>
              <w:jc w:val="right"/>
              <w:spacing w:after="0" w:line="202" w:lineRule="exact"/>
              <w:rPr>
                <w:sz w:val="20"/>
                <w:szCs w:val="20"/>
                <w:color w:val="auto"/>
              </w:rPr>
            </w:pPr>
            <w:r>
              <w:rPr>
                <w:rFonts w:ascii="Arial" w:cs="Arial" w:eastAsia="Arial" w:hAnsi="Arial"/>
                <w:sz w:val="18"/>
                <w:szCs w:val="18"/>
                <w:color w:val="auto"/>
              </w:rPr>
              <w:t>29,783</w:t>
            </w:r>
          </w:p>
        </w:tc>
        <w:tc>
          <w:tcPr>
            <w:tcW w:w="0" w:type="dxa"/>
            <w:vAlign w:val="bottom"/>
          </w:tcPr>
          <w:p>
            <w:pPr>
              <w:spacing w:after="0"/>
              <w:rPr>
                <w:sz w:val="1"/>
                <w:szCs w:val="1"/>
                <w:color w:val="auto"/>
              </w:rPr>
            </w:pPr>
          </w:p>
        </w:tc>
      </w:tr>
      <w:tr>
        <w:trPr>
          <w:trHeight w:val="203"/>
        </w:trPr>
        <w:tc>
          <w:tcPr>
            <w:tcW w:w="2120" w:type="dxa"/>
            <w:vAlign w:val="bottom"/>
          </w:tcPr>
          <w:p>
            <w:pPr>
              <w:ind w:left="20"/>
              <w:spacing w:after="0" w:line="202" w:lineRule="exact"/>
              <w:rPr>
                <w:sz w:val="20"/>
                <w:szCs w:val="20"/>
                <w:color w:val="auto"/>
              </w:rPr>
            </w:pPr>
            <w:r>
              <w:rPr>
                <w:rFonts w:ascii="Arial" w:cs="Arial" w:eastAsia="Arial" w:hAnsi="Arial"/>
                <w:sz w:val="18"/>
                <w:szCs w:val="18"/>
                <w:color w:val="auto"/>
              </w:rPr>
              <w:t>Less: accumulated</w:t>
            </w:r>
          </w:p>
        </w:tc>
        <w:tc>
          <w:tcPr>
            <w:tcW w:w="1300" w:type="dxa"/>
            <w:vAlign w:val="bottom"/>
          </w:tcPr>
          <w:p>
            <w:pPr>
              <w:spacing w:after="0"/>
              <w:rPr>
                <w:sz w:val="17"/>
                <w:szCs w:val="17"/>
                <w:color w:val="auto"/>
              </w:rPr>
            </w:pPr>
          </w:p>
        </w:tc>
        <w:tc>
          <w:tcPr>
            <w:tcW w:w="112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9"/>
        </w:trPr>
        <w:tc>
          <w:tcPr>
            <w:tcW w:w="2120" w:type="dxa"/>
            <w:vAlign w:val="bottom"/>
            <w:tcBorders>
              <w:bottom w:val="single" w:sz="8" w:color="auto"/>
            </w:tcBorders>
          </w:tcPr>
          <w:p>
            <w:pPr>
              <w:ind w:left="220"/>
              <w:spacing w:after="0" w:line="200" w:lineRule="exact"/>
              <w:rPr>
                <w:sz w:val="20"/>
                <w:szCs w:val="20"/>
                <w:color w:val="auto"/>
              </w:rPr>
            </w:pPr>
            <w:r>
              <w:rPr>
                <w:rFonts w:ascii="Arial" w:cs="Arial" w:eastAsia="Arial" w:hAnsi="Arial"/>
                <w:sz w:val="18"/>
                <w:szCs w:val="18"/>
                <w:color w:val="auto"/>
              </w:rPr>
              <w:t>depreciation</w:t>
            </w:r>
          </w:p>
        </w:tc>
        <w:tc>
          <w:tcPr>
            <w:tcW w:w="1300" w:type="dxa"/>
            <w:vAlign w:val="bottom"/>
            <w:tcBorders>
              <w:bottom w:val="single" w:sz="8" w:color="auto"/>
            </w:tcBorders>
          </w:tcPr>
          <w:p>
            <w:pPr>
              <w:spacing w:after="0"/>
              <w:rPr>
                <w:sz w:val="17"/>
                <w:szCs w:val="17"/>
                <w:color w:val="auto"/>
              </w:rPr>
            </w:pPr>
          </w:p>
        </w:tc>
        <w:tc>
          <w:tcPr>
            <w:tcW w:w="1120" w:type="dxa"/>
            <w:vAlign w:val="bottom"/>
            <w:tcBorders>
              <w:bottom w:val="single" w:sz="8" w:color="auto"/>
            </w:tcBorders>
          </w:tcPr>
          <w:p>
            <w:pPr>
              <w:jc w:val="right"/>
              <w:ind w:right="55"/>
              <w:spacing w:after="0" w:line="200" w:lineRule="exact"/>
              <w:rPr>
                <w:sz w:val="20"/>
                <w:szCs w:val="20"/>
                <w:color w:val="auto"/>
              </w:rPr>
            </w:pPr>
            <w:r>
              <w:rPr>
                <w:rFonts w:ascii="Arial" w:cs="Arial" w:eastAsia="Arial" w:hAnsi="Arial"/>
                <w:sz w:val="18"/>
                <w:szCs w:val="18"/>
                <w:color w:val="auto"/>
              </w:rPr>
              <w:t>(15,506)</w:t>
            </w:r>
          </w:p>
        </w:tc>
        <w:tc>
          <w:tcPr>
            <w:tcW w:w="260" w:type="dxa"/>
            <w:vAlign w:val="bottom"/>
            <w:tcBorders>
              <w:bottom w:val="single" w:sz="8" w:color="auto"/>
            </w:tcBorders>
          </w:tcPr>
          <w:p>
            <w:pPr>
              <w:spacing w:after="0"/>
              <w:rPr>
                <w:sz w:val="17"/>
                <w:szCs w:val="17"/>
                <w:color w:val="auto"/>
              </w:rPr>
            </w:pPr>
          </w:p>
        </w:tc>
        <w:tc>
          <w:tcPr>
            <w:tcW w:w="680" w:type="dxa"/>
            <w:vAlign w:val="bottom"/>
            <w:tcBorders>
              <w:bottom w:val="single" w:sz="8" w:color="auto"/>
            </w:tcBorders>
          </w:tcPr>
          <w:p>
            <w:pPr>
              <w:jc w:val="right"/>
              <w:spacing w:after="0" w:line="200" w:lineRule="exact"/>
              <w:rPr>
                <w:sz w:val="20"/>
                <w:szCs w:val="20"/>
                <w:color w:val="auto"/>
              </w:rPr>
            </w:pPr>
            <w:r>
              <w:rPr>
                <w:rFonts w:ascii="Arial" w:cs="Arial" w:eastAsia="Arial" w:hAnsi="Arial"/>
                <w:sz w:val="18"/>
                <w:szCs w:val="18"/>
                <w:color w:val="auto"/>
                <w:w w:val="98"/>
              </w:rPr>
              <w:t>(12,079)</w:t>
            </w:r>
          </w:p>
        </w:tc>
        <w:tc>
          <w:tcPr>
            <w:tcW w:w="0" w:type="dxa"/>
            <w:vAlign w:val="bottom"/>
          </w:tcPr>
          <w:p>
            <w:pPr>
              <w:spacing w:after="0"/>
              <w:rPr>
                <w:sz w:val="1"/>
                <w:szCs w:val="1"/>
                <w:color w:val="auto"/>
              </w:rPr>
            </w:pPr>
          </w:p>
        </w:tc>
      </w:tr>
      <w:tr>
        <w:trPr>
          <w:trHeight w:val="199"/>
        </w:trPr>
        <w:tc>
          <w:tcPr>
            <w:tcW w:w="2120" w:type="dxa"/>
            <w:vAlign w:val="bottom"/>
          </w:tcPr>
          <w:p>
            <w:pPr>
              <w:ind w:left="20"/>
              <w:spacing w:after="0" w:line="200" w:lineRule="exact"/>
              <w:rPr>
                <w:sz w:val="20"/>
                <w:szCs w:val="20"/>
                <w:color w:val="auto"/>
              </w:rPr>
            </w:pPr>
            <w:r>
              <w:rPr>
                <w:rFonts w:ascii="Arial" w:cs="Arial" w:eastAsia="Arial" w:hAnsi="Arial"/>
                <w:sz w:val="18"/>
                <w:szCs w:val="18"/>
                <w:color w:val="auto"/>
              </w:rPr>
              <w:t>Property and equipment,</w:t>
            </w:r>
          </w:p>
        </w:tc>
        <w:tc>
          <w:tcPr>
            <w:tcW w:w="1300" w:type="dxa"/>
            <w:vAlign w:val="bottom"/>
          </w:tcPr>
          <w:p>
            <w:pPr>
              <w:spacing w:after="0"/>
              <w:rPr>
                <w:sz w:val="17"/>
                <w:szCs w:val="17"/>
                <w:color w:val="auto"/>
              </w:rPr>
            </w:pPr>
          </w:p>
        </w:tc>
        <w:tc>
          <w:tcPr>
            <w:tcW w:w="112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9"/>
        </w:trPr>
        <w:tc>
          <w:tcPr>
            <w:tcW w:w="2120" w:type="dxa"/>
            <w:vAlign w:val="bottom"/>
            <w:tcBorders>
              <w:bottom w:val="single" w:sz="8" w:color="35BF85"/>
            </w:tcBorders>
          </w:tcPr>
          <w:p>
            <w:pPr>
              <w:ind w:left="220"/>
              <w:spacing w:after="0" w:line="200" w:lineRule="exact"/>
              <w:rPr>
                <w:sz w:val="20"/>
                <w:szCs w:val="20"/>
                <w:color w:val="auto"/>
              </w:rPr>
            </w:pPr>
            <w:r>
              <w:rPr>
                <w:rFonts w:ascii="Arial" w:cs="Arial" w:eastAsia="Arial" w:hAnsi="Arial"/>
                <w:sz w:val="18"/>
                <w:szCs w:val="18"/>
                <w:color w:val="auto"/>
              </w:rPr>
              <w:t>net</w:t>
            </w:r>
          </w:p>
        </w:tc>
        <w:tc>
          <w:tcPr>
            <w:tcW w:w="1300" w:type="dxa"/>
            <w:vAlign w:val="bottom"/>
            <w:tcBorders>
              <w:bottom w:val="single" w:sz="8" w:color="35BF85"/>
            </w:tcBorders>
          </w:tcPr>
          <w:p>
            <w:pPr>
              <w:spacing w:after="0"/>
              <w:rPr>
                <w:sz w:val="17"/>
                <w:szCs w:val="17"/>
                <w:color w:val="auto"/>
              </w:rPr>
            </w:pPr>
          </w:p>
        </w:tc>
        <w:tc>
          <w:tcPr>
            <w:tcW w:w="1120" w:type="dxa"/>
            <w:vAlign w:val="bottom"/>
            <w:tcBorders>
              <w:bottom w:val="single" w:sz="8" w:color="35BF85"/>
            </w:tcBorders>
          </w:tcPr>
          <w:p>
            <w:pPr>
              <w:jc w:val="right"/>
              <w:ind w:right="115"/>
              <w:spacing w:after="0" w:line="200" w:lineRule="exact"/>
              <w:rPr>
                <w:sz w:val="20"/>
                <w:szCs w:val="20"/>
                <w:color w:val="auto"/>
              </w:rPr>
            </w:pPr>
            <w:r>
              <w:rPr>
                <w:rFonts w:ascii="Arial" w:cs="Arial" w:eastAsia="Arial" w:hAnsi="Arial"/>
                <w:sz w:val="18"/>
                <w:szCs w:val="18"/>
                <w:color w:val="auto"/>
              </w:rPr>
              <w:t>$ 21,248</w:t>
            </w:r>
          </w:p>
        </w:tc>
        <w:tc>
          <w:tcPr>
            <w:tcW w:w="260" w:type="dxa"/>
            <w:vAlign w:val="bottom"/>
            <w:tcBorders>
              <w:bottom w:val="single" w:sz="8" w:color="35BF85"/>
            </w:tcBorders>
          </w:tcPr>
          <w:p>
            <w:pPr>
              <w:jc w:val="right"/>
              <w:spacing w:after="0" w:line="200" w:lineRule="exact"/>
              <w:rPr>
                <w:sz w:val="20"/>
                <w:szCs w:val="20"/>
                <w:color w:val="auto"/>
              </w:rPr>
            </w:pPr>
            <w:r>
              <w:rPr>
                <w:rFonts w:ascii="Arial" w:cs="Arial" w:eastAsia="Arial" w:hAnsi="Arial"/>
                <w:sz w:val="18"/>
                <w:szCs w:val="18"/>
                <w:color w:val="auto"/>
              </w:rPr>
              <w:t>$</w:t>
            </w:r>
          </w:p>
        </w:tc>
        <w:tc>
          <w:tcPr>
            <w:tcW w:w="680" w:type="dxa"/>
            <w:vAlign w:val="bottom"/>
            <w:tcBorders>
              <w:bottom w:val="single" w:sz="8" w:color="35BF85"/>
            </w:tcBorders>
          </w:tcPr>
          <w:p>
            <w:pPr>
              <w:jc w:val="right"/>
              <w:spacing w:after="0" w:line="200" w:lineRule="exact"/>
              <w:rPr>
                <w:sz w:val="20"/>
                <w:szCs w:val="20"/>
                <w:color w:val="auto"/>
              </w:rPr>
            </w:pPr>
            <w:r>
              <w:rPr>
                <w:rFonts w:ascii="Arial" w:cs="Arial" w:eastAsia="Arial" w:hAnsi="Arial"/>
                <w:sz w:val="18"/>
                <w:szCs w:val="18"/>
                <w:color w:val="auto"/>
              </w:rPr>
              <w:t>17,704</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4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Intangible Assets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-3691890</wp:posOffset>
            </wp:positionH>
            <wp:positionV relativeFrom="paragraph">
              <wp:posOffset>-753110</wp:posOffset>
            </wp:positionV>
            <wp:extent cx="7267575" cy="27940"/>
            <wp:wrapNone/>
            <wp:docPr id="180" name="Picture 1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0"/>
                    <pic:cNvPicPr>
                      <a:picLocks noChangeAspect="1" noChangeArrowheads="1"/>
                    </pic:cNvPicPr>
                  </pic:nvPicPr>
                  <pic:blipFill>
                    <a:blip r:embed="rId187">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p>
    <w:p>
      <w:pPr>
        <w:jc w:val="both"/>
        <w:spacing w:after="0" w:line="235" w:lineRule="auto"/>
        <w:rPr>
          <w:sz w:val="20"/>
          <w:szCs w:val="20"/>
          <w:color w:val="auto"/>
        </w:rPr>
      </w:pPr>
      <w:r>
        <w:rPr>
          <w:rFonts w:ascii="Arial" w:cs="Arial" w:eastAsia="Arial" w:hAnsi="Arial"/>
          <w:sz w:val="18"/>
          <w:szCs w:val="18"/>
          <w:color w:val="auto"/>
        </w:rPr>
        <w:t>Cable franchise rights represent the value attributed to agreements with local authorities that allow access to homes in cable service areas acquired in connection with business combinations. We do not amortize cable franchise rights because we have determined that they have an indefinite life. We reassess this determination periodically for each franchise based on the factors included in Statement of Financial Accounting Standards No. 142, “Goodwill and Other Intangible Assets” (“SFAS No. 142”). Costs we incur in negotiating and renewing cable franchise agreements are included in other intangible assets and are principally amortized on a straight-line basis over the term of the franchise renewal period.</w:t>
      </w:r>
    </w:p>
    <w:p>
      <w:pPr>
        <w:spacing w:after="0" w:line="161" w:lineRule="exact"/>
        <w:rPr>
          <w:sz w:val="20"/>
          <w:szCs w:val="20"/>
          <w:color w:val="auto"/>
        </w:rPr>
      </w:pPr>
    </w:p>
    <w:p>
      <w:pPr>
        <w:jc w:val="both"/>
        <w:spacing w:after="0" w:line="236" w:lineRule="auto"/>
        <w:rPr>
          <w:sz w:val="20"/>
          <w:szCs w:val="20"/>
          <w:color w:val="auto"/>
        </w:rPr>
      </w:pPr>
      <w:r>
        <w:rPr>
          <w:rFonts w:ascii="Arial" w:cs="Arial" w:eastAsia="Arial" w:hAnsi="Arial"/>
          <w:sz w:val="18"/>
          <w:szCs w:val="18"/>
          <w:color w:val="auto"/>
        </w:rPr>
        <w:t>Other intangible assets consist principally of franchise-related customer relationships acquired in business combinations, cable and satellite television distribution rights, cable franchise renewal costs, contractual operating rights, computer software, programming agreements and rights, patents and other technology rights, and noncompetition agreements. We record these costs as assets and amortize them on a straight-line basis over the term of the related agreements or estimated useful life.</w:t>
      </w:r>
    </w:p>
    <w:p>
      <w:pPr>
        <w:spacing w:after="0" w:line="154" w:lineRule="exact"/>
        <w:rPr>
          <w:sz w:val="20"/>
          <w:szCs w:val="20"/>
          <w:color w:val="auto"/>
        </w:rPr>
      </w:pPr>
    </w:p>
    <w:p>
      <w:pPr>
        <w:jc w:val="both"/>
        <w:spacing w:after="0" w:line="235" w:lineRule="auto"/>
        <w:rPr>
          <w:sz w:val="20"/>
          <w:szCs w:val="20"/>
          <w:color w:val="auto"/>
        </w:rPr>
      </w:pPr>
      <w:r>
        <w:rPr>
          <w:rFonts w:ascii="Arial" w:cs="Arial" w:eastAsia="Arial" w:hAnsi="Arial"/>
          <w:sz w:val="18"/>
          <w:szCs w:val="18"/>
          <w:color w:val="auto"/>
        </w:rPr>
        <w:t>Our Programming subsidiaries enter into multi-year license agreements with various cable and satellite distributors for distribution of their respective programming (“distribution rights”). We capitalize distribution rights and amortize them on a straight-line basis over the term of the related license agreements. We classify the amortization of these distribution rights as a reduction of revenue unless the Programming subsidiary receives, or will receive, an identifiable benefit from the cable or satellite system distributor separate from the fee paid for the distribution right, in which case we recognize the fair value of the identified benefit as an operating expense in the period in which it is received.</w:t>
      </w:r>
    </w:p>
    <w:p>
      <w:pPr>
        <w:spacing w:after="0" w:line="161" w:lineRule="exact"/>
        <w:rPr>
          <w:sz w:val="20"/>
          <w:szCs w:val="20"/>
          <w:color w:val="auto"/>
        </w:rPr>
      </w:pPr>
    </w:p>
    <w:p>
      <w:pPr>
        <w:jc w:val="both"/>
        <w:spacing w:after="0" w:line="268" w:lineRule="auto"/>
        <w:rPr>
          <w:sz w:val="20"/>
          <w:szCs w:val="20"/>
          <w:color w:val="auto"/>
        </w:rPr>
      </w:pPr>
      <w:r>
        <w:rPr>
          <w:rFonts w:ascii="Arial" w:cs="Arial" w:eastAsia="Arial" w:hAnsi="Arial"/>
          <w:sz w:val="16"/>
          <w:szCs w:val="16"/>
          <w:color w:val="auto"/>
        </w:rPr>
        <w:t>We capitalize direct development costs associated with internal-use software, including external direct costs of material and services, and payroll costs for employees devoting time to these software projects. We include these costs within other intangible assets and amortize them over a period not to exceed five years, beginning when the asset is substantially ready for use. We expense maintenance and training costs, as well as costs incurred during the preliminary project stage, as they are incurred. We capitalize initial operating system software costs and amortize them over the life of the associated hardware.</w:t>
      </w:r>
    </w:p>
    <w:p>
      <w:pPr>
        <w:spacing w:after="0" w:line="217" w:lineRule="exact"/>
        <w:rPr>
          <w:sz w:val="20"/>
          <w:szCs w:val="20"/>
          <w:color w:val="auto"/>
        </w:rPr>
      </w:pPr>
    </w:p>
    <w:p>
      <w:pPr>
        <w:ind w:right="460"/>
        <w:spacing w:after="0" w:line="422" w:lineRule="auto"/>
        <w:rPr>
          <w:rFonts w:ascii="Arial" w:cs="Arial" w:eastAsia="Arial" w:hAnsi="Arial"/>
          <w:sz w:val="18"/>
          <w:szCs w:val="18"/>
          <w:color w:val="auto"/>
        </w:rPr>
      </w:pPr>
      <w:r>
        <w:rPr>
          <w:rFonts w:ascii="Arial" w:cs="Arial" w:eastAsia="Arial" w:hAnsi="Arial"/>
          <w:sz w:val="18"/>
          <w:szCs w:val="18"/>
          <w:color w:val="auto"/>
        </w:rPr>
        <w:t xml:space="preserve">See </w:t>
      </w:r>
      <w:hyperlink w:anchor="page131">
        <w:r>
          <w:rPr>
            <w:rFonts w:ascii="Arial" w:cs="Arial" w:eastAsia="Arial" w:hAnsi="Arial"/>
            <w:sz w:val="18"/>
            <w:szCs w:val="18"/>
            <w:u w:val="single" w:color="auto"/>
            <w:color w:val="0000EE"/>
          </w:rPr>
          <w:t>Note 7</w:t>
        </w:r>
        <w:r>
          <w:rPr>
            <w:rFonts w:ascii="Arial" w:cs="Arial" w:eastAsia="Arial" w:hAnsi="Arial"/>
            <w:sz w:val="18"/>
            <w:szCs w:val="18"/>
            <w:u w:val="single" w:color="auto"/>
            <w:color w:val="auto"/>
          </w:rPr>
          <w:t xml:space="preserve"> </w:t>
        </w:r>
      </w:hyperlink>
      <w:r>
        <w:rPr>
          <w:rFonts w:ascii="Arial" w:cs="Arial" w:eastAsia="Arial" w:hAnsi="Arial"/>
          <w:sz w:val="18"/>
          <w:szCs w:val="18"/>
          <w:color w:val="auto"/>
        </w:rPr>
        <w:t xml:space="preserve">for the ranges of useful lives of our intangible assets. </w:t>
      </w:r>
      <w:r>
        <w:rPr>
          <w:rFonts w:ascii="Arial" w:cs="Arial" w:eastAsia="Arial" w:hAnsi="Arial"/>
          <w:sz w:val="18"/>
          <w:szCs w:val="18"/>
          <w:b w:val="1"/>
          <w:bCs w:val="1"/>
          <w:color w:val="auto"/>
        </w:rPr>
        <w:t>Asset Impairments</w:t>
      </w:r>
    </w:p>
    <w:p>
      <w:pPr>
        <w:spacing w:after="0" w:line="1" w:lineRule="exact"/>
        <w:rPr>
          <w:sz w:val="20"/>
          <w:szCs w:val="20"/>
          <w:color w:val="auto"/>
        </w:rPr>
      </w:pPr>
    </w:p>
    <w:p>
      <w:pPr>
        <w:jc w:val="both"/>
        <w:spacing w:after="0" w:line="275" w:lineRule="auto"/>
        <w:rPr>
          <w:sz w:val="20"/>
          <w:szCs w:val="20"/>
          <w:color w:val="auto"/>
        </w:rPr>
      </w:pPr>
      <w:r>
        <w:rPr>
          <w:rFonts w:ascii="Arial" w:cs="Arial" w:eastAsia="Arial" w:hAnsi="Arial"/>
          <w:sz w:val="16"/>
          <w:szCs w:val="16"/>
          <w:color w:val="35BF85"/>
        </w:rPr>
        <w:t xml:space="preserve">Property and Equipment and Intangible Assets Subject to Amortization </w:t>
      </w:r>
      <w:r>
        <w:rPr>
          <w:rFonts w:ascii="Arial" w:cs="Arial" w:eastAsia="Arial" w:hAnsi="Arial"/>
          <w:sz w:val="16"/>
          <w:szCs w:val="16"/>
          <w:color w:val="000000"/>
        </w:rPr>
        <w:t>We periodically evaluate the recoverability and estimated lives of our property and equipment and intangible assets subject to amortization in accordance with SFAS No. 144, “Accounting for the</w:t>
      </w:r>
    </w:p>
    <w:p>
      <w:pPr>
        <w:spacing w:after="0" w:line="893" w:lineRule="exact"/>
        <w:rPr>
          <w:sz w:val="20"/>
          <w:szCs w:val="20"/>
          <w:color w:val="auto"/>
        </w:rPr>
      </w:pPr>
    </w:p>
    <w:p>
      <w:pPr>
        <w:sectPr>
          <w:pgSz w:w="11900" w:h="16838" w:orient="portrait"/>
          <w:cols w:equalWidth="0" w:num="2">
            <w:col w:w="5480" w:space="340"/>
            <w:col w:w="5480"/>
          </w:cols>
          <w:pgMar w:left="240" w:top="459" w:right="359" w:bottom="1440" w:gutter="0" w:footer="0" w:header="0"/>
        </w:sectPr>
      </w:pPr>
    </w:p>
    <w:p>
      <w:pPr>
        <w:spacing w:after="0" w:line="134" w:lineRule="exact"/>
        <w:rPr>
          <w:sz w:val="20"/>
          <w:szCs w:val="20"/>
          <w:color w:val="auto"/>
        </w:rPr>
      </w:pPr>
    </w:p>
    <w:tbl>
      <w:tblPr>
        <w:tblLayout w:type="fixed"/>
        <w:tblInd w:w="0" w:type="dxa"/>
        <w:tblCellMar>
          <w:top w:w="0" w:type="dxa"/>
          <w:left w:w="0" w:type="dxa"/>
          <w:bottom w:w="0" w:type="dxa"/>
          <w:right w:w="0" w:type="dxa"/>
        </w:tblCellMar>
      </w:tblPr>
      <w:tr>
        <w:trPr>
          <w:trHeight w:val="178"/>
        </w:trPr>
        <w:tc>
          <w:tcPr>
            <w:tcW w:w="5160" w:type="dxa"/>
            <w:vAlign w:val="bottom"/>
          </w:tcPr>
          <w:p>
            <w:pPr>
              <w:spacing w:after="0"/>
              <w:rPr>
                <w:sz w:val="20"/>
                <w:szCs w:val="20"/>
                <w:color w:val="auto"/>
              </w:rPr>
            </w:pPr>
            <w:r>
              <w:rPr>
                <w:rFonts w:ascii="Arial" w:cs="Arial" w:eastAsia="Arial" w:hAnsi="Arial"/>
                <w:sz w:val="14"/>
                <w:szCs w:val="14"/>
                <w:b w:val="1"/>
                <w:bCs w:val="1"/>
                <w:color w:val="auto"/>
              </w:rPr>
              <w:t xml:space="preserve">Notes to Consolidated Financial Statements </w:t>
            </w:r>
            <w:r>
              <w:rPr>
                <w:rFonts w:ascii="Arial" w:cs="Arial" w:eastAsia="Arial" w:hAnsi="Arial"/>
                <w:sz w:val="14"/>
                <w:szCs w:val="14"/>
                <w:color w:val="auto"/>
              </w:rPr>
              <w:t>Comcast 2006 Annual Report</w:t>
            </w:r>
          </w:p>
        </w:tc>
        <w:tc>
          <w:tcPr>
            <w:tcW w:w="680" w:type="dxa"/>
            <w:vAlign w:val="bottom"/>
          </w:tcPr>
          <w:p>
            <w:pPr>
              <w:jc w:val="right"/>
              <w:spacing w:after="0"/>
              <w:rPr>
                <w:sz w:val="20"/>
                <w:szCs w:val="20"/>
                <w:color w:val="auto"/>
              </w:rPr>
            </w:pPr>
            <w:r>
              <w:rPr>
                <w:rFonts w:ascii="Arial" w:cs="Arial" w:eastAsia="Arial" w:hAnsi="Arial"/>
                <w:sz w:val="14"/>
                <w:szCs w:val="14"/>
                <w:b w:val="1"/>
                <w:bCs w:val="1"/>
                <w:color w:val="auto"/>
              </w:rPr>
              <w:t>44</w:t>
            </w:r>
          </w:p>
        </w:tc>
      </w:tr>
    </w:tbl>
    <w:p>
      <w:pPr>
        <w:sectPr>
          <w:pgSz w:w="11900" w:h="16838" w:orient="portrait"/>
          <w:cols w:equalWidth="0" w:num="1">
            <w:col w:w="11300"/>
          </w:cols>
          <w:pgMar w:left="240" w:top="459" w:right="359" w:bottom="1440" w:gutter="0" w:footer="0" w:header="0"/>
          <w:type w:val="continuous"/>
        </w:sectPr>
      </w:pPr>
    </w:p>
    <w:bookmarkStart w:id="121" w:name="page122"/>
    <w:bookmarkEnd w:id="121"/>
    <w:p>
      <w:pPr>
        <w:spacing w:after="0"/>
        <w:rPr>
          <w:rFonts w:ascii="Arial" w:cs="Arial" w:eastAsia="Arial" w:hAnsi="Arial"/>
          <w:sz w:val="16"/>
          <w:szCs w:val="16"/>
          <w:b w:val="1"/>
          <w:bCs w:val="1"/>
          <w:u w:val="single" w:color="auto"/>
          <w:color w:val="0000EE"/>
        </w:rPr>
      </w:pPr>
      <w:r>
        <w:rPr>
          <w:rFonts w:ascii="Arial" w:cs="Arial" w:eastAsia="Arial" w:hAnsi="Arial"/>
          <w:sz w:val="16"/>
          <w:szCs w:val="16"/>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181" name="Picture 1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1"/>
                    <pic:cNvPicPr>
                      <a:picLocks noChangeAspect="1" noChangeArrowheads="1"/>
                    </pic:cNvPicPr>
                  </pic:nvPicPr>
                  <pic:blipFill>
                    <a:blip r:embed="rId188">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3">
        <w:r>
          <w:rPr>
            <w:rFonts w:ascii="Arial" w:cs="Arial" w:eastAsia="Arial" w:hAnsi="Arial"/>
            <w:sz w:val="16"/>
            <w:szCs w:val="16"/>
            <w:b w:val="1"/>
            <w:bCs w:val="1"/>
            <w:u w:val="single" w:color="auto"/>
            <w:color w:val="0000EE"/>
          </w:rPr>
          <w:t>Table of Contents</w:t>
        </w:r>
      </w:hyperlink>
    </w:p>
    <w:p>
      <w:pPr>
        <w:sectPr>
          <w:pgSz w:w="11900" w:h="16838" w:orient="portrait"/>
          <w:cols w:equalWidth="0" w:num="1">
            <w:col w:w="11420"/>
          </w:cols>
          <w:pgMar w:left="240" w:top="459" w:right="239" w:bottom="1440" w:gutter="0" w:footer="0" w:header="0"/>
        </w:sectPr>
      </w:pPr>
    </w:p>
    <w:p>
      <w:pPr>
        <w:spacing w:after="0" w:line="200" w:lineRule="exact"/>
        <w:rPr>
          <w:sz w:val="20"/>
          <w:szCs w:val="20"/>
          <w:color w:val="auto"/>
        </w:rPr>
      </w:pPr>
    </w:p>
    <w:p>
      <w:pPr>
        <w:spacing w:after="0" w:line="299" w:lineRule="exact"/>
        <w:rPr>
          <w:sz w:val="20"/>
          <w:szCs w:val="20"/>
          <w:color w:val="auto"/>
        </w:rPr>
      </w:pPr>
    </w:p>
    <w:p>
      <w:pPr>
        <w:jc w:val="both"/>
        <w:spacing w:after="0" w:line="235" w:lineRule="auto"/>
        <w:rPr>
          <w:sz w:val="20"/>
          <w:szCs w:val="20"/>
          <w:color w:val="auto"/>
        </w:rPr>
      </w:pPr>
      <w:r>
        <w:rPr>
          <w:rFonts w:ascii="Arial" w:cs="Arial" w:eastAsia="Arial" w:hAnsi="Arial"/>
          <w:sz w:val="18"/>
          <w:szCs w:val="18"/>
          <w:color w:val="auto"/>
        </w:rPr>
        <w:t>Impairment or Disposal of Long-Lived Assets” (“SFAS No. 144”). Our evaluations occur whenever events or changes in circumstances indicate that the carrying amount may not be recoverable or the useful life has changed, and they include analyses based on the cash flows generated by the underlying assets and profitability information, including estimated future operating results, trends or other determinants of fair value. If the total of the expected future undiscounted cash flows is less than the carrying amount of the asset, we recognize a loss for the difference between the fair value and the carrying value of the asset. Unless presented separately, the loss is included as a component of either depreciation expense or amortization expense, as appropriate.</w:t>
      </w:r>
    </w:p>
    <w:p>
      <w:pPr>
        <w:spacing w:after="0" w:line="157" w:lineRule="exact"/>
        <w:rPr>
          <w:sz w:val="20"/>
          <w:szCs w:val="20"/>
          <w:color w:val="auto"/>
        </w:rPr>
      </w:pPr>
    </w:p>
    <w:p>
      <w:pPr>
        <w:spacing w:after="0"/>
        <w:rPr>
          <w:sz w:val="20"/>
          <w:szCs w:val="20"/>
          <w:color w:val="auto"/>
        </w:rPr>
      </w:pPr>
      <w:r>
        <w:rPr>
          <w:rFonts w:ascii="Arial" w:cs="Arial" w:eastAsia="Arial" w:hAnsi="Arial"/>
          <w:sz w:val="18"/>
          <w:szCs w:val="18"/>
          <w:color w:val="35BF85"/>
        </w:rPr>
        <w:t>Franchise Rights</w:t>
      </w:r>
    </w:p>
    <w:p>
      <w:pPr>
        <w:jc w:val="both"/>
        <w:spacing w:after="0" w:line="235" w:lineRule="auto"/>
        <w:rPr>
          <w:sz w:val="20"/>
          <w:szCs w:val="20"/>
          <w:color w:val="auto"/>
        </w:rPr>
      </w:pPr>
      <w:r>
        <w:rPr>
          <w:rFonts w:ascii="Arial" w:cs="Arial" w:eastAsia="Arial" w:hAnsi="Arial"/>
          <w:sz w:val="18"/>
          <w:szCs w:val="18"/>
          <w:color w:val="auto"/>
        </w:rPr>
        <w:t>We evaluate the recoverability of our franchise rights annually, or more frequently whenever events or changes in circumstances indicate that the assets might be impaired. We estimate the fair value of our cable franchise rights utilizing various valuation techniques, including discounted cash flow analysis, multiples of operating income before depreciation and amortization generated by the underlying assets, analyses of current market transactions and profitability information. If the value of our cable franchise rights determined by these evaluations is less than the carrying amount, we recognize an impairment charge for the difference between the estimated fair value and the carrying value of the assets. When we perform our impairment test, we group the recorded values of our various cable franchise rights into geographic regions. We evaluate these groups periodically to ensure impairment testing is performed at an appropriate level. We have not recorded any significant impairment charges as a result of our impairment testing.</w:t>
      </w:r>
    </w:p>
    <w:p>
      <w:pPr>
        <w:spacing w:after="0" w:line="156" w:lineRule="exact"/>
        <w:rPr>
          <w:sz w:val="20"/>
          <w:szCs w:val="20"/>
          <w:color w:val="auto"/>
        </w:rPr>
      </w:pPr>
    </w:p>
    <w:p>
      <w:pPr>
        <w:spacing w:after="0"/>
        <w:rPr>
          <w:sz w:val="20"/>
          <w:szCs w:val="20"/>
          <w:color w:val="auto"/>
        </w:rPr>
      </w:pPr>
      <w:r>
        <w:rPr>
          <w:rFonts w:ascii="Arial" w:cs="Arial" w:eastAsia="Arial" w:hAnsi="Arial"/>
          <w:sz w:val="18"/>
          <w:szCs w:val="18"/>
          <w:color w:val="35BF85"/>
        </w:rPr>
        <w:t>Goodwill</w:t>
      </w:r>
    </w:p>
    <w:p>
      <w:pPr>
        <w:jc w:val="both"/>
        <w:spacing w:after="0" w:line="268" w:lineRule="auto"/>
        <w:rPr>
          <w:sz w:val="20"/>
          <w:szCs w:val="20"/>
          <w:color w:val="auto"/>
        </w:rPr>
      </w:pPr>
      <w:r>
        <w:rPr>
          <w:rFonts w:ascii="Arial" w:cs="Arial" w:eastAsia="Arial" w:hAnsi="Arial"/>
          <w:sz w:val="16"/>
          <w:szCs w:val="16"/>
          <w:color w:val="auto"/>
        </w:rPr>
        <w:t>Goodwill is the excess of the acquisition cost of an acquired entity over the fair value of the identifiable net assets acquired. We evaluate the recoverability of our goodwill annually, or more frequently whenever events or changes in circumstances indicate that the asset might be impaired. We perform the impairment assessment of our goodwill one level below the business segment level, except for our Cable business. In our Cable business, since components one level below the segment level are not separate reporting units and have similar economic characteristics, we aggregate the components into one reporting unit at the Cable segment level.</w:t>
      </w:r>
    </w:p>
    <w:p>
      <w:pPr>
        <w:spacing w:after="0" w:line="31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Asset Retirement Obligations</w:t>
      </w:r>
    </w:p>
    <w:p>
      <w:pPr>
        <w:spacing w:after="0" w:line="18" w:lineRule="exact"/>
        <w:rPr>
          <w:sz w:val="20"/>
          <w:szCs w:val="20"/>
          <w:color w:val="auto"/>
        </w:rPr>
      </w:pPr>
    </w:p>
    <w:p>
      <w:pPr>
        <w:jc w:val="both"/>
        <w:spacing w:after="0" w:line="236" w:lineRule="auto"/>
        <w:rPr>
          <w:sz w:val="20"/>
          <w:szCs w:val="20"/>
          <w:color w:val="auto"/>
        </w:rPr>
      </w:pPr>
      <w:r>
        <w:rPr>
          <w:rFonts w:ascii="Arial" w:cs="Arial" w:eastAsia="Arial" w:hAnsi="Arial"/>
          <w:sz w:val="18"/>
          <w:szCs w:val="18"/>
          <w:color w:val="auto"/>
        </w:rPr>
        <w:t>SFAS No. 143, “Accounting for Asset Retirement Obligations,” as interpreted by Financial Accounting Standards Board (“FASB”) Interpretation (“FIN”) No. 47, “Accounting for Conditional Asset Retirement Obligations — an Interpretation of FASB Statement No. 143,” requires that a liability be recognized for an asset retirement obligation in the period in which it is incurred if a reasonable estimate of fair value can be made.</w:t>
      </w:r>
    </w:p>
    <w:p>
      <w:pPr>
        <w:spacing w:after="0" w:line="155" w:lineRule="exact"/>
        <w:rPr>
          <w:sz w:val="20"/>
          <w:szCs w:val="20"/>
          <w:color w:val="auto"/>
        </w:rPr>
      </w:pPr>
    </w:p>
    <w:p>
      <w:pPr>
        <w:jc w:val="both"/>
        <w:spacing w:after="0" w:line="239" w:lineRule="auto"/>
        <w:rPr>
          <w:sz w:val="20"/>
          <w:szCs w:val="20"/>
          <w:color w:val="auto"/>
        </w:rPr>
      </w:pPr>
      <w:r>
        <w:rPr>
          <w:rFonts w:ascii="Arial" w:cs="Arial" w:eastAsia="Arial" w:hAnsi="Arial"/>
          <w:sz w:val="18"/>
          <w:szCs w:val="18"/>
          <w:color w:val="auto"/>
        </w:rPr>
        <w:t>Certain of our franchise and lease agreements contain provisions requiring us to restore facilities or remove property in the event</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79" w:lineRule="exact"/>
        <w:rPr>
          <w:sz w:val="20"/>
          <w:szCs w:val="20"/>
          <w:color w:val="auto"/>
        </w:rPr>
      </w:pPr>
    </w:p>
    <w:p>
      <w:pPr>
        <w:jc w:val="both"/>
        <w:ind w:left="140" w:right="120"/>
        <w:spacing w:after="0" w:line="268" w:lineRule="auto"/>
        <w:rPr>
          <w:sz w:val="20"/>
          <w:szCs w:val="20"/>
          <w:color w:val="auto"/>
        </w:rPr>
      </w:pPr>
      <w:r>
        <w:rPr>
          <w:rFonts w:ascii="Arial" w:cs="Arial" w:eastAsia="Arial" w:hAnsi="Arial"/>
          <w:sz w:val="16"/>
          <w:szCs w:val="16"/>
          <w:color w:val="auto"/>
        </w:rPr>
        <w:t>that the franchise or lease agreement is not renewed. We expect to continually renew our franchise agreements; however, a remote possibility exists that such agreements could terminate unexpectedly, which could result in us incurring significant expense in complying with the restoration or removal provisions under such agreements. No such liabilities have been recorded in our consolidated financial statements as the obligations related to the restoration and removal provisions contained in our agreements or any disposal obligations related to our properties are not material to our consolidated financial statements or cannot be reasonably estimated.</w:t>
      </w:r>
    </w:p>
    <w:p>
      <w:pPr>
        <w:spacing w:after="0" w:line="317" w:lineRule="exact"/>
        <w:rPr>
          <w:sz w:val="20"/>
          <w:szCs w:val="20"/>
          <w:color w:val="auto"/>
        </w:rPr>
      </w:pPr>
    </w:p>
    <w:p>
      <w:pPr>
        <w:ind w:left="140"/>
        <w:spacing w:after="0"/>
        <w:rPr>
          <w:sz w:val="20"/>
          <w:szCs w:val="20"/>
          <w:color w:val="auto"/>
        </w:rPr>
      </w:pPr>
      <w:r>
        <w:rPr>
          <w:rFonts w:ascii="Arial" w:cs="Arial" w:eastAsia="Arial" w:hAnsi="Arial"/>
          <w:sz w:val="18"/>
          <w:szCs w:val="18"/>
          <w:b w:val="1"/>
          <w:bCs w:val="1"/>
          <w:color w:val="auto"/>
        </w:rPr>
        <w:t>Revenue Recognition</w:t>
      </w:r>
    </w:p>
    <w:p>
      <w:pPr>
        <w:spacing w:after="0" w:line="18" w:lineRule="exact"/>
        <w:rPr>
          <w:sz w:val="20"/>
          <w:szCs w:val="20"/>
          <w:color w:val="auto"/>
        </w:rPr>
      </w:pPr>
    </w:p>
    <w:p>
      <w:pPr>
        <w:jc w:val="both"/>
        <w:ind w:left="140" w:right="120"/>
        <w:spacing w:after="0" w:line="266" w:lineRule="auto"/>
        <w:rPr>
          <w:sz w:val="20"/>
          <w:szCs w:val="20"/>
          <w:color w:val="auto"/>
        </w:rPr>
      </w:pPr>
      <w:r>
        <w:rPr>
          <w:rFonts w:ascii="Arial" w:cs="Arial" w:eastAsia="Arial" w:hAnsi="Arial"/>
          <w:sz w:val="16"/>
          <w:szCs w:val="16"/>
          <w:color w:val="auto"/>
        </w:rPr>
        <w:t>Cable revenues are principally derived from subscriber fees received for our video, high-speed Internet and phone services (“cable services”) and from advertising. We recognize revenues from cable services as the service is provided. We manage credit risk by screening applicants through the use of credit bureau data. If a subscriber’s account is delinquent, various measures are used to collect outstanding amounts, including termination of the subscriber’s cable service. We recognize advertising revenue at estimated realizable values when the advertising is aired. Installation revenues obtained from the connection of subscribers to our cable systems are less than related direct selling costs. Therefore, such revenues are recognized as connections are completed. Revenues earned from other sources are recognized when services are provided or events occur. Under the terms of our franchise agreements, we are generally required to pay to the local franchise authority up to 5% of our gross revenues earned from providing cable services within the local franchise area. We normally pass these fees through to our cable subscribers and classify the fees as a component of revenues.</w:t>
      </w:r>
    </w:p>
    <w:p>
      <w:pPr>
        <w:spacing w:after="0" w:line="200" w:lineRule="exact"/>
        <w:rPr>
          <w:sz w:val="20"/>
          <w:szCs w:val="20"/>
          <w:color w:val="auto"/>
        </w:rPr>
      </w:pPr>
    </w:p>
    <w:p>
      <w:pPr>
        <w:spacing w:after="0" w:line="346" w:lineRule="exact"/>
        <w:rPr>
          <w:sz w:val="20"/>
          <w:szCs w:val="20"/>
          <w:color w:val="auto"/>
        </w:rPr>
      </w:pPr>
    </w:p>
    <w:p>
      <w:pPr>
        <w:jc w:val="both"/>
        <w:ind w:left="140" w:right="120"/>
        <w:spacing w:after="0" w:line="235" w:lineRule="auto"/>
        <w:rPr>
          <w:sz w:val="20"/>
          <w:szCs w:val="20"/>
          <w:color w:val="auto"/>
        </w:rPr>
      </w:pPr>
      <w:r>
        <w:rPr>
          <w:rFonts w:ascii="Arial" w:cs="Arial" w:eastAsia="Arial" w:hAnsi="Arial"/>
          <w:sz w:val="18"/>
          <w:szCs w:val="18"/>
          <w:color w:val="auto"/>
        </w:rPr>
        <w:t>Our Programming businesses recognize revenue from cable and satellite distributors as programming is provided, generally pursuant to multiyear distribution agreements. From time to time these agreements expire while programming continues to be provided to the operator based on interim arrangements while the parties negotiate new contractual terms. Revenue recognition is generally limited to current payments being made by the operator, typically pursuant to the prior contract terms, until a new contract is negotiated, sometimes with effective dates that affect prior periods. Differences between actual amounts determined upon resolution of negotiations and amounts recorded during these interim arrangements are recorded in the period of resolution.</w:t>
      </w:r>
    </w:p>
    <w:p>
      <w:pPr>
        <w:spacing w:after="0" w:line="161" w:lineRule="exact"/>
        <w:rPr>
          <w:sz w:val="20"/>
          <w:szCs w:val="20"/>
          <w:color w:val="auto"/>
        </w:rPr>
      </w:pPr>
    </w:p>
    <w:p>
      <w:pPr>
        <w:jc w:val="both"/>
        <w:ind w:left="140" w:right="120"/>
        <w:spacing w:after="0" w:line="236" w:lineRule="auto"/>
        <w:rPr>
          <w:sz w:val="20"/>
          <w:szCs w:val="20"/>
          <w:color w:val="auto"/>
        </w:rPr>
      </w:pPr>
      <w:r>
        <w:rPr>
          <w:rFonts w:ascii="Arial" w:cs="Arial" w:eastAsia="Arial" w:hAnsi="Arial"/>
          <w:sz w:val="18"/>
          <w:szCs w:val="18"/>
          <w:color w:val="auto"/>
        </w:rPr>
        <w:t>Advertising revenue for our Programming businesses is recognized in the period in which commercial announcements or programs are aired. In some instances, our Programming businesses guarantee viewer ratings for their programming. Revenue is deferred to the extent of an estimated shortfall in the ratings. Such shortfalls are primarily settled by providing additional advertising time, at which point the revenue is recognized.</w:t>
      </w:r>
    </w:p>
    <w:p>
      <w:pPr>
        <w:spacing w:after="0" w:line="200" w:lineRule="exact"/>
        <w:rPr>
          <w:sz w:val="20"/>
          <w:szCs w:val="20"/>
          <w:color w:val="auto"/>
        </w:rPr>
      </w:pPr>
    </w:p>
    <w:p>
      <w:pPr>
        <w:spacing w:after="0" w:line="200" w:lineRule="exact"/>
        <w:rPr>
          <w:sz w:val="20"/>
          <w:szCs w:val="20"/>
          <w:color w:val="auto"/>
        </w:rPr>
      </w:pPr>
    </w:p>
    <w:p>
      <w:pPr>
        <w:spacing w:after="0" w:line="343" w:lineRule="exact"/>
        <w:rPr>
          <w:sz w:val="20"/>
          <w:szCs w:val="20"/>
          <w:color w:val="auto"/>
        </w:rPr>
      </w:pPr>
    </w:p>
    <w:p>
      <w:pPr>
        <w:spacing w:after="0"/>
        <w:tabs>
          <w:tab w:leader="none" w:pos="1080" w:val="left"/>
        </w:tabs>
        <w:rPr>
          <w:sz w:val="20"/>
          <w:szCs w:val="20"/>
          <w:color w:val="auto"/>
        </w:rPr>
      </w:pPr>
      <w:r>
        <w:rPr>
          <w:rFonts w:ascii="Arial" w:cs="Arial" w:eastAsia="Arial" w:hAnsi="Arial"/>
          <w:sz w:val="12"/>
          <w:szCs w:val="12"/>
          <w:b w:val="1"/>
          <w:bCs w:val="1"/>
          <w:color w:val="auto"/>
        </w:rPr>
        <w:t>45</w:t>
      </w:r>
      <w:r>
        <w:rPr>
          <w:sz w:val="20"/>
          <w:szCs w:val="20"/>
          <w:color w:val="auto"/>
        </w:rPr>
        <w:tab/>
      </w:r>
      <w:r>
        <w:rPr>
          <w:rFonts w:ascii="Arial" w:cs="Arial" w:eastAsia="Arial" w:hAnsi="Arial"/>
          <w:sz w:val="12"/>
          <w:szCs w:val="12"/>
          <w:color w:val="auto"/>
        </w:rPr>
        <w:t xml:space="preserve">Comcast 2006 Annual Report </w:t>
      </w:r>
      <w:r>
        <w:rPr>
          <w:rFonts w:ascii="Arial" w:cs="Arial" w:eastAsia="Arial" w:hAnsi="Arial"/>
          <w:sz w:val="12"/>
          <w:szCs w:val="12"/>
          <w:b w:val="1"/>
          <w:bCs w:val="1"/>
          <w:color w:val="auto"/>
        </w:rPr>
        <w:t>Notes to Consolidated Financial Statements</w:t>
      </w:r>
    </w:p>
    <w:p>
      <w:pPr>
        <w:sectPr>
          <w:pgSz w:w="11900" w:h="16838" w:orient="portrait"/>
          <w:cols w:equalWidth="0" w:num="2">
            <w:col w:w="5480" w:space="200"/>
            <w:col w:w="5740"/>
          </w:cols>
          <w:pgMar w:left="240" w:top="459" w:right="239" w:bottom="1440" w:gutter="0" w:footer="0" w:header="0"/>
          <w:type w:val="continuous"/>
        </w:sectPr>
      </w:pPr>
    </w:p>
    <w:bookmarkStart w:id="122" w:name="page123"/>
    <w:bookmarkEnd w:id="122"/>
    <w:p>
      <w:pPr>
        <w:spacing w:after="0"/>
        <w:rPr>
          <w:rFonts w:ascii="Arial" w:cs="Arial" w:eastAsia="Arial" w:hAnsi="Arial"/>
          <w:sz w:val="18"/>
          <w:szCs w:val="18"/>
          <w:b w:val="1"/>
          <w:bCs w:val="1"/>
          <w:u w:val="single" w:color="auto"/>
          <w:color w:val="0000EE"/>
        </w:rPr>
      </w:pPr>
      <w:hyperlink w:anchor="page3">
        <w:r>
          <w:rPr>
            <w:rFonts w:ascii="Arial" w:cs="Arial" w:eastAsia="Arial" w:hAnsi="Arial"/>
            <w:sz w:val="18"/>
            <w:szCs w:val="18"/>
            <w:b w:val="1"/>
            <w:bCs w:val="1"/>
            <w:u w:val="single" w:color="auto"/>
            <w:color w:val="0000EE"/>
          </w:rPr>
          <w:t>Table of Contents</w:t>
        </w:r>
      </w:hyperlink>
    </w:p>
    <w:p>
      <w:pPr>
        <w:spacing w:after="0" w:line="200" w:lineRule="exact"/>
        <w:rPr>
          <w:sz w:val="20"/>
          <w:szCs w:val="20"/>
          <w:color w:val="auto"/>
        </w:rPr>
      </w:pPr>
    </w:p>
    <w:p>
      <w:pPr>
        <w:spacing w:after="0" w:line="25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Cable Programming Expenses</w:t>
      </w:r>
    </w:p>
    <w:p>
      <w:pPr>
        <w:spacing w:after="0" w:line="18" w:lineRule="exact"/>
        <w:rPr>
          <w:sz w:val="20"/>
          <w:szCs w:val="20"/>
          <w:color w:val="auto"/>
        </w:rPr>
      </w:pPr>
    </w:p>
    <w:p>
      <w:pPr>
        <w:jc w:val="both"/>
        <w:spacing w:after="0" w:line="235" w:lineRule="auto"/>
        <w:rPr>
          <w:sz w:val="20"/>
          <w:szCs w:val="20"/>
          <w:color w:val="auto"/>
        </w:rPr>
      </w:pPr>
      <w:r>
        <w:rPr>
          <w:rFonts w:ascii="Arial" w:cs="Arial" w:eastAsia="Arial" w:hAnsi="Arial"/>
          <w:sz w:val="18"/>
          <w:szCs w:val="18"/>
          <w:color w:val="auto"/>
        </w:rPr>
        <w:t>Cable programming expenses are the fees we pay to programming networks to license the programming we package, offer and distribute to our cable subscribers. Programming is acquired for distribution to our cable subscribers, generally pursuant to multiyear distribution agreements, with rates typically based on the number of subscribers that receive the programming. From time to time these contracts expire and programming continues to be provided based on interim arrangements while the parties negotiate new contractual terms, sometimes with effective dates that affect prior periods. While payments are typically made under the prior contract terms, the amount of our programming expenses recorded during these interim arrangements is based on our estimates of the ultimate contractual terms expected to be negotiated.</w:t>
      </w:r>
    </w:p>
    <w:p>
      <w:pPr>
        <w:spacing w:after="0" w:line="161" w:lineRule="exact"/>
        <w:rPr>
          <w:sz w:val="20"/>
          <w:szCs w:val="20"/>
          <w:color w:val="auto"/>
        </w:rPr>
      </w:pPr>
    </w:p>
    <w:p>
      <w:pPr>
        <w:jc w:val="both"/>
        <w:spacing w:after="0" w:line="236" w:lineRule="auto"/>
        <w:rPr>
          <w:sz w:val="20"/>
          <w:szCs w:val="20"/>
          <w:color w:val="auto"/>
        </w:rPr>
      </w:pPr>
      <w:r>
        <w:rPr>
          <w:rFonts w:ascii="Arial" w:cs="Arial" w:eastAsia="Arial" w:hAnsi="Arial"/>
          <w:sz w:val="18"/>
          <w:szCs w:val="18"/>
          <w:color w:val="auto"/>
        </w:rPr>
        <w:t>Our cable subsidiaries have received or may receive incentives from programming networks for the licensing of their programming. We classify the deferred portion of these fees within noncurrent liabilities and recognize the fees as a reduction of programming expenses (included in operating expenses) over the term of the contract.</w:t>
      </w:r>
    </w:p>
    <w:p>
      <w:pPr>
        <w:spacing w:after="0" w:line="13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Share-Based Compensation</w:t>
      </w:r>
    </w:p>
    <w:p>
      <w:pPr>
        <w:spacing w:after="0" w:line="18" w:lineRule="exact"/>
        <w:rPr>
          <w:sz w:val="20"/>
          <w:szCs w:val="20"/>
          <w:color w:val="auto"/>
        </w:rPr>
      </w:pPr>
    </w:p>
    <w:p>
      <w:pPr>
        <w:jc w:val="both"/>
        <w:spacing w:after="0" w:line="236" w:lineRule="auto"/>
        <w:rPr>
          <w:sz w:val="20"/>
          <w:szCs w:val="20"/>
          <w:color w:val="auto"/>
        </w:rPr>
      </w:pPr>
      <w:r>
        <w:rPr>
          <w:rFonts w:ascii="Arial" w:cs="Arial" w:eastAsia="Arial" w:hAnsi="Arial"/>
          <w:sz w:val="18"/>
          <w:szCs w:val="18"/>
          <w:color w:val="auto"/>
        </w:rPr>
        <w:t>Prior to January 1, 2006, we accounted for our share-based compensation plans in accordance with the provisions of Accounting Principles Board (“APB”) Opinion No. 25, “Accounting for Stock Issued to Employees” (“APB No. 25”), as permitted by SFAS No. 123, “Accounting for Stock-Based Compensation” (“SFAS No. 123”), and accordingly did not recognize compensation expense for stock options with an exercise price equal to or greater than the market price of the underlying stock at the date of grant.</w:t>
      </w:r>
    </w:p>
    <w:p>
      <w:pPr>
        <w:spacing w:after="0" w:line="154" w:lineRule="exact"/>
        <w:rPr>
          <w:sz w:val="20"/>
          <w:szCs w:val="20"/>
          <w:color w:val="auto"/>
        </w:rPr>
      </w:pPr>
    </w:p>
    <w:p>
      <w:pPr>
        <w:jc w:val="both"/>
        <w:spacing w:after="0" w:line="234" w:lineRule="auto"/>
        <w:rPr>
          <w:sz w:val="20"/>
          <w:szCs w:val="20"/>
          <w:color w:val="auto"/>
        </w:rPr>
      </w:pPr>
      <w:r>
        <w:rPr>
          <w:rFonts w:ascii="Arial" w:cs="Arial" w:eastAsia="Arial" w:hAnsi="Arial"/>
          <w:sz w:val="18"/>
          <w:szCs w:val="18"/>
          <w:color w:val="auto"/>
        </w:rPr>
        <w:t>Effective January 1, 2006, we adopted SFAS No. 123R, “Share-Based Payment” (“SFAS No. 123R”), using the Modified Prospective Approach. Under the Modified Prospective Approach, the amount of compensation cost recognized includes: (i) compensation cost for all share-based payments granted prior to but not yet vested as of January 1, 2006, based on the grant date fair value estimated in accordance with the provisions of SFAS No. 123 and</w:t>
      </w:r>
    </w:p>
    <w:p>
      <w:pPr>
        <w:spacing w:after="0" w:line="5" w:lineRule="exact"/>
        <w:rPr>
          <w:sz w:val="20"/>
          <w:szCs w:val="20"/>
          <w:color w:val="auto"/>
        </w:rPr>
      </w:pPr>
    </w:p>
    <w:p>
      <w:pPr>
        <w:jc w:val="both"/>
        <w:ind w:firstLine="8"/>
        <w:spacing w:after="0" w:line="237" w:lineRule="auto"/>
        <w:tabs>
          <w:tab w:leader="none" w:pos="320" w:val="left"/>
        </w:tabs>
        <w:numPr>
          <w:ilvl w:val="0"/>
          <w:numId w:val="87"/>
        </w:numPr>
        <w:rPr>
          <w:rFonts w:ascii="Arial" w:cs="Arial" w:eastAsia="Arial" w:hAnsi="Arial"/>
          <w:sz w:val="18"/>
          <w:szCs w:val="18"/>
          <w:color w:val="auto"/>
        </w:rPr>
      </w:pPr>
      <w:r>
        <w:rPr>
          <w:rFonts w:ascii="Arial" w:cs="Arial" w:eastAsia="Arial" w:hAnsi="Arial"/>
          <w:sz w:val="18"/>
          <w:szCs w:val="18"/>
          <w:color w:val="auto"/>
        </w:rPr>
        <w:t>compensation cost for all share-based payments granted or modified subsequent to January 1, 2006, based on the estimated fair value at the date of grant or subsequent modification date in accordance with the provisions of SFAS No. 123R.</w:t>
      </w:r>
    </w:p>
    <w:p>
      <w:pPr>
        <w:spacing w:after="0" w:line="155" w:lineRule="exact"/>
        <w:rPr>
          <w:sz w:val="20"/>
          <w:szCs w:val="20"/>
          <w:color w:val="auto"/>
        </w:rPr>
      </w:pPr>
    </w:p>
    <w:p>
      <w:pPr>
        <w:jc w:val="both"/>
        <w:spacing w:after="0" w:line="269" w:lineRule="auto"/>
        <w:rPr>
          <w:rFonts w:ascii="Arial" w:cs="Arial" w:eastAsia="Arial" w:hAnsi="Arial"/>
          <w:sz w:val="16"/>
          <w:szCs w:val="16"/>
          <w:color w:val="0000EE"/>
        </w:rPr>
      </w:pPr>
      <w:r>
        <w:rPr>
          <w:rFonts w:ascii="Arial" w:cs="Arial" w:eastAsia="Arial" w:hAnsi="Arial"/>
          <w:sz w:val="16"/>
          <w:szCs w:val="16"/>
          <w:color w:val="auto"/>
        </w:rPr>
        <w:t xml:space="preserve">SFAS No. 123R also required us to change the classification, in our consolidated statement of cash flows, of any income tax benefits realized upon the exercise of stock options or issuance of restricted share unit awards in excess of that which is associated with the expense recognized for financial reporting purposes. These amounts are presented as a financing cash inflow rather than as a reduction of income taxes paid in our consolidated statement of cash flows. See </w:t>
      </w:r>
      <w:hyperlink w:anchor="page134">
        <w:r>
          <w:rPr>
            <w:rFonts w:ascii="Arial" w:cs="Arial" w:eastAsia="Arial" w:hAnsi="Arial"/>
            <w:sz w:val="16"/>
            <w:szCs w:val="16"/>
            <w:u w:val="single" w:color="auto"/>
            <w:color w:val="0000EE"/>
          </w:rPr>
          <w:t>Note 10</w:t>
        </w:r>
        <w:r>
          <w:rPr>
            <w:rFonts w:ascii="Arial" w:cs="Arial" w:eastAsia="Arial" w:hAnsi="Arial"/>
            <w:sz w:val="16"/>
            <w:szCs w:val="16"/>
            <w:color w:val="0000EE"/>
          </w:rPr>
          <w:t xml:space="preserve"> </w:t>
        </w:r>
      </w:hyperlink>
      <w:r>
        <w:rPr>
          <w:rFonts w:ascii="Arial" w:cs="Arial" w:eastAsia="Arial" w:hAnsi="Arial"/>
          <w:sz w:val="16"/>
          <w:szCs w:val="16"/>
          <w:color w:val="000000"/>
        </w:rPr>
        <w:t>for</w:t>
      </w:r>
      <w:r>
        <w:rPr>
          <w:rFonts w:ascii="Arial" w:cs="Arial" w:eastAsia="Arial" w:hAnsi="Arial"/>
          <w:sz w:val="16"/>
          <w:szCs w:val="16"/>
          <w:color w:val="0000EE"/>
        </w:rPr>
        <w:t xml:space="preserve"> </w:t>
      </w:r>
      <w:r>
        <w:rPr>
          <w:rFonts w:ascii="Arial" w:cs="Arial" w:eastAsia="Arial" w:hAnsi="Arial"/>
          <w:sz w:val="16"/>
          <w:szCs w:val="16"/>
          <w:color w:val="000000"/>
        </w:rPr>
        <w:t>further details regarding the adoption of SFAS No. 123R.</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4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Postretirement and Postemployment Benefits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-3691890</wp:posOffset>
            </wp:positionH>
            <wp:positionV relativeFrom="paragraph">
              <wp:posOffset>-753110</wp:posOffset>
            </wp:positionV>
            <wp:extent cx="7267575" cy="27940"/>
            <wp:wrapNone/>
            <wp:docPr id="182" name="Picture 1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2"/>
                    <pic:cNvPicPr>
                      <a:picLocks noChangeAspect="1" noChangeArrowheads="1"/>
                    </pic:cNvPicPr>
                  </pic:nvPicPr>
                  <pic:blipFill>
                    <a:blip r:embed="rId189">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p>
    <w:p>
      <w:pPr>
        <w:jc w:val="both"/>
        <w:spacing w:after="0" w:line="237" w:lineRule="auto"/>
        <w:rPr>
          <w:rFonts w:ascii="Arial" w:cs="Arial" w:eastAsia="Arial" w:hAnsi="Arial"/>
          <w:sz w:val="18"/>
          <w:szCs w:val="18"/>
          <w:color w:val="0000EE"/>
        </w:rPr>
      </w:pPr>
      <w:r>
        <w:rPr>
          <w:rFonts w:ascii="Arial" w:cs="Arial" w:eastAsia="Arial" w:hAnsi="Arial"/>
          <w:sz w:val="18"/>
          <w:szCs w:val="18"/>
          <w:color w:val="auto"/>
        </w:rPr>
        <w:t xml:space="preserve">We charge to operations the estimated costs of retiree benefits and benefits for former or inactive employees, after employment but before </w:t>
      </w:r>
      <w:hyperlink w:anchor="page134">
        <w:r>
          <w:rPr>
            <w:rFonts w:ascii="Arial" w:cs="Arial" w:eastAsia="Arial" w:hAnsi="Arial"/>
            <w:sz w:val="18"/>
            <w:szCs w:val="18"/>
            <w:color w:val="auto"/>
          </w:rPr>
          <w:t xml:space="preserve">retirement, during the years the employees provide services (see </w:t>
        </w:r>
        <w:r>
          <w:rPr>
            <w:rFonts w:ascii="Arial" w:cs="Arial" w:eastAsia="Arial" w:hAnsi="Arial"/>
            <w:sz w:val="18"/>
            <w:szCs w:val="18"/>
            <w:u w:val="single" w:color="auto"/>
            <w:color w:val="0000EE"/>
          </w:rPr>
          <w:t>Note</w:t>
        </w:r>
      </w:hyperlink>
      <w:r>
        <w:rPr>
          <w:rFonts w:ascii="Arial" w:cs="Arial" w:eastAsia="Arial" w:hAnsi="Arial"/>
          <w:sz w:val="18"/>
          <w:szCs w:val="18"/>
          <w:color w:val="auto"/>
        </w:rPr>
        <w:t xml:space="preserve"> </w:t>
      </w:r>
      <w:hyperlink w:anchor="page134">
        <w:r>
          <w:rPr>
            <w:rFonts w:ascii="Arial" w:cs="Arial" w:eastAsia="Arial" w:hAnsi="Arial"/>
            <w:sz w:val="18"/>
            <w:szCs w:val="18"/>
            <w:u w:val="single" w:color="auto"/>
            <w:color w:val="0000EE"/>
          </w:rPr>
          <w:t>9</w:t>
        </w:r>
        <w:r>
          <w:rPr>
            <w:rFonts w:ascii="Arial" w:cs="Arial" w:eastAsia="Arial" w:hAnsi="Arial"/>
            <w:sz w:val="18"/>
            <w:szCs w:val="18"/>
            <w:color w:val="000000"/>
          </w:rPr>
          <w:t>).</w:t>
        </w:r>
      </w:hyperlink>
    </w:p>
    <w:p>
      <w:pPr>
        <w:spacing w:after="0" w:line="13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Income Taxes</w:t>
      </w:r>
    </w:p>
    <w:p>
      <w:pPr>
        <w:spacing w:after="0" w:line="18" w:lineRule="exact"/>
        <w:rPr>
          <w:sz w:val="20"/>
          <w:szCs w:val="20"/>
          <w:color w:val="auto"/>
        </w:rPr>
      </w:pPr>
    </w:p>
    <w:p>
      <w:pPr>
        <w:jc w:val="both"/>
        <w:spacing w:after="0" w:line="236" w:lineRule="auto"/>
        <w:rPr>
          <w:rFonts w:ascii="Arial" w:cs="Arial" w:eastAsia="Arial" w:hAnsi="Arial"/>
          <w:sz w:val="18"/>
          <w:szCs w:val="18"/>
          <w:color w:val="0000EE"/>
        </w:rPr>
      </w:pPr>
      <w:r>
        <w:rPr>
          <w:rFonts w:ascii="Arial" w:cs="Arial" w:eastAsia="Arial" w:hAnsi="Arial"/>
          <w:sz w:val="18"/>
          <w:szCs w:val="18"/>
          <w:color w:val="auto"/>
        </w:rPr>
        <w:t xml:space="preserve">We recognize deferred tax assets and liabilities for temporary differences between the financial reporting basis and the tax basis of our assets and liabilities and the expected benefits of utilizing net operating loss carryforwards. The impact on deferred taxes of changes in tax rates and laws, if any, applied to the years during which temporary differences are expected to be settled, is reflected in the consolidated financial statements in the period of enactment (see </w:t>
      </w:r>
      <w:hyperlink w:anchor="page138">
        <w:r>
          <w:rPr>
            <w:rFonts w:ascii="Arial" w:cs="Arial" w:eastAsia="Arial" w:hAnsi="Arial"/>
            <w:sz w:val="18"/>
            <w:szCs w:val="18"/>
            <w:u w:val="single" w:color="auto"/>
            <w:color w:val="0000EE"/>
          </w:rPr>
          <w:t>Note 11</w:t>
        </w:r>
      </w:hyperlink>
      <w:r>
        <w:rPr>
          <w:rFonts w:ascii="Arial" w:cs="Arial" w:eastAsia="Arial" w:hAnsi="Arial"/>
          <w:sz w:val="18"/>
          <w:szCs w:val="18"/>
          <w:color w:val="000000"/>
        </w:rPr>
        <w:t>).</w:t>
      </w:r>
    </w:p>
    <w:p>
      <w:pPr>
        <w:spacing w:after="0" w:line="154" w:lineRule="exact"/>
        <w:rPr>
          <w:sz w:val="20"/>
          <w:szCs w:val="20"/>
          <w:color w:val="auto"/>
        </w:rPr>
      </w:pPr>
    </w:p>
    <w:p>
      <w:pPr>
        <w:jc w:val="both"/>
        <w:spacing w:after="0" w:line="235" w:lineRule="auto"/>
        <w:rPr>
          <w:sz w:val="20"/>
          <w:szCs w:val="20"/>
          <w:color w:val="auto"/>
        </w:rPr>
      </w:pPr>
      <w:r>
        <w:rPr>
          <w:rFonts w:ascii="Arial" w:cs="Arial" w:eastAsia="Arial" w:hAnsi="Arial"/>
          <w:sz w:val="18"/>
          <w:szCs w:val="18"/>
          <w:color w:val="auto"/>
        </w:rPr>
        <w:t>We account for income tax uncertainties that arise in connection with business combinations and those that are associated with entities acquired in business combinations in accordance with Emerging Issues Task Force (“EITF”) Issue No. 93-7, “Uncertainties Related to Income Taxes in a Purchase Business Combination.” Deferred tax assets and liabilities are recorded as of the date of a business combination and are based on our estimate of the ultimate tax basis that will be accepted by the various taxing authorities. Liabilities for contingencies associated with prior tax returns filed by the acquired entity are recorded based on our estimate of the ultimate settlement that will be accepted by the various taxing authorities. Estimated interest expense on these liabilities subsequent to the acquisition is reflected in our consolidated income tax provision. We adjust these deferred tax accounts and liabilities periodically to reflect revised estimated tax bases and any estimated settlements with the various taxing authorities. The effect of these adjustments is generally applied to goodwill except for post-acquisition interest expense, which is recognized as an adjustment of income tax expense.</w:t>
      </w:r>
    </w:p>
    <w:p>
      <w:pPr>
        <w:spacing w:after="0" w:line="13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Derivative Financial Instruments</w:t>
      </w:r>
    </w:p>
    <w:p>
      <w:pPr>
        <w:spacing w:after="0" w:line="18" w:lineRule="exact"/>
        <w:rPr>
          <w:sz w:val="20"/>
          <w:szCs w:val="20"/>
          <w:color w:val="auto"/>
        </w:rPr>
      </w:pPr>
    </w:p>
    <w:p>
      <w:pPr>
        <w:jc w:val="both"/>
        <w:spacing w:after="0" w:line="235" w:lineRule="auto"/>
        <w:rPr>
          <w:sz w:val="20"/>
          <w:szCs w:val="20"/>
          <w:color w:val="auto"/>
        </w:rPr>
      </w:pPr>
      <w:r>
        <w:rPr>
          <w:rFonts w:ascii="Arial" w:cs="Arial" w:eastAsia="Arial" w:hAnsi="Arial"/>
          <w:sz w:val="18"/>
          <w:szCs w:val="18"/>
          <w:color w:val="auto"/>
        </w:rPr>
        <w:t>We use derivative financial instruments for a number of purposes. We manage our exposure to fluctuations in interest rates by entering into instruments, which may include interest rate exchange agreements (“swaps”), interest rate lock agreements (“rate locks”), interest rate cap agreements (“caps”) and interest rate collar agreements (“collars”). We manage our exposure to fluctuations in the value of some of our investments by entering into equity collar agreements (“equity collars”) and equity put option agreements (“equity put options”). We are also a party to equity warrant agreements (“equity warrants”). We have issued indexed debt instruments (“Exchangeable Notes” and “ZONES”) and have entered into prepaid forward sale agreements (“prepaid forward sales”) whose value, in part, is derived from the market value of certain publicly traded common stock. We have also sold call options on some of our investments in equity securities. We use equity hedges to manage exposure to changes in equity prices associated with stock appreciation rights of acquired companies. These equity hedges are recorded at fair value based on market quotes.</w:t>
      </w:r>
    </w:p>
    <w:p>
      <w:pPr>
        <w:spacing w:after="0" w:line="181" w:lineRule="exact"/>
        <w:rPr>
          <w:sz w:val="20"/>
          <w:szCs w:val="20"/>
          <w:color w:val="auto"/>
        </w:rPr>
      </w:pPr>
    </w:p>
    <w:p>
      <w:pPr>
        <w:sectPr>
          <w:pgSz w:w="11900" w:h="16838" w:orient="portrait"/>
          <w:cols w:equalWidth="0" w:num="2">
            <w:col w:w="5480" w:space="340"/>
            <w:col w:w="5480"/>
          </w:cols>
          <w:pgMar w:left="240" w:top="459" w:right="359" w:bottom="1440" w:gutter="0" w:footer="0" w:header="0"/>
        </w:sectPr>
      </w:pPr>
    </w:p>
    <w:tbl>
      <w:tblPr>
        <w:tblLayout w:type="fixed"/>
        <w:tblInd w:w="0" w:type="dxa"/>
        <w:tblCellMar>
          <w:top w:w="0" w:type="dxa"/>
          <w:left w:w="0" w:type="dxa"/>
          <w:bottom w:w="0" w:type="dxa"/>
          <w:right w:w="0" w:type="dxa"/>
        </w:tblCellMar>
      </w:tblPr>
      <w:tr>
        <w:trPr>
          <w:trHeight w:val="178"/>
        </w:trPr>
        <w:tc>
          <w:tcPr>
            <w:tcW w:w="5160" w:type="dxa"/>
            <w:vAlign w:val="bottom"/>
          </w:tcPr>
          <w:p>
            <w:pPr>
              <w:spacing w:after="0"/>
              <w:rPr>
                <w:sz w:val="20"/>
                <w:szCs w:val="20"/>
                <w:color w:val="auto"/>
              </w:rPr>
            </w:pPr>
            <w:r>
              <w:rPr>
                <w:rFonts w:ascii="Arial" w:cs="Arial" w:eastAsia="Arial" w:hAnsi="Arial"/>
                <w:sz w:val="14"/>
                <w:szCs w:val="14"/>
                <w:b w:val="1"/>
                <w:bCs w:val="1"/>
                <w:color w:val="auto"/>
              </w:rPr>
              <w:t xml:space="preserve">Notes to Consolidated Financial Statements </w:t>
            </w:r>
            <w:r>
              <w:rPr>
                <w:rFonts w:ascii="Arial" w:cs="Arial" w:eastAsia="Arial" w:hAnsi="Arial"/>
                <w:sz w:val="14"/>
                <w:szCs w:val="14"/>
                <w:color w:val="auto"/>
              </w:rPr>
              <w:t>Comcast 2006 Annual Report</w:t>
            </w:r>
          </w:p>
        </w:tc>
        <w:tc>
          <w:tcPr>
            <w:tcW w:w="680" w:type="dxa"/>
            <w:vAlign w:val="bottom"/>
          </w:tcPr>
          <w:p>
            <w:pPr>
              <w:jc w:val="right"/>
              <w:spacing w:after="0"/>
              <w:rPr>
                <w:sz w:val="20"/>
                <w:szCs w:val="20"/>
                <w:color w:val="auto"/>
              </w:rPr>
            </w:pPr>
            <w:r>
              <w:rPr>
                <w:rFonts w:ascii="Arial" w:cs="Arial" w:eastAsia="Arial" w:hAnsi="Arial"/>
                <w:sz w:val="14"/>
                <w:szCs w:val="14"/>
                <w:b w:val="1"/>
                <w:bCs w:val="1"/>
                <w:color w:val="auto"/>
              </w:rPr>
              <w:t>46</w:t>
            </w:r>
          </w:p>
        </w:tc>
      </w:tr>
    </w:tbl>
    <w:p>
      <w:pPr>
        <w:sectPr>
          <w:pgSz w:w="11900" w:h="16838" w:orient="portrait"/>
          <w:cols w:equalWidth="0" w:num="1">
            <w:col w:w="11300"/>
          </w:cols>
          <w:pgMar w:left="240" w:top="459" w:right="359" w:bottom="1440" w:gutter="0" w:footer="0" w:header="0"/>
          <w:type w:val="continuous"/>
        </w:sectPr>
      </w:pPr>
    </w:p>
    <w:bookmarkStart w:id="123" w:name="page124"/>
    <w:bookmarkEnd w:id="123"/>
    <w:p>
      <w:pPr>
        <w:spacing w:after="0"/>
        <w:rPr>
          <w:rFonts w:ascii="Arial" w:cs="Arial" w:eastAsia="Arial" w:hAnsi="Arial"/>
          <w:sz w:val="18"/>
          <w:szCs w:val="18"/>
          <w:b w:val="1"/>
          <w:bCs w:val="1"/>
          <w:u w:val="single" w:color="auto"/>
          <w:color w:val="0000EE"/>
        </w:rPr>
      </w:pPr>
      <w:hyperlink w:anchor="page3">
        <w:r>
          <w:rPr>
            <w:rFonts w:ascii="Arial" w:cs="Arial" w:eastAsia="Arial" w:hAnsi="Arial"/>
            <w:sz w:val="18"/>
            <w:szCs w:val="18"/>
            <w:b w:val="1"/>
            <w:bCs w:val="1"/>
            <w:u w:val="single" w:color="auto"/>
            <w:color w:val="0000EE"/>
          </w:rPr>
          <w:t>Table of Contents</w:t>
        </w:r>
      </w:hyperlink>
    </w:p>
    <w:p>
      <w:pPr>
        <w:spacing w:after="0" w:line="200" w:lineRule="exact"/>
        <w:rPr>
          <w:sz w:val="20"/>
          <w:szCs w:val="20"/>
          <w:color w:val="auto"/>
        </w:rPr>
      </w:pPr>
    </w:p>
    <w:p>
      <w:pPr>
        <w:spacing w:after="0" w:line="276" w:lineRule="exact"/>
        <w:rPr>
          <w:sz w:val="20"/>
          <w:szCs w:val="20"/>
          <w:color w:val="auto"/>
        </w:rPr>
      </w:pPr>
    </w:p>
    <w:p>
      <w:pPr>
        <w:jc w:val="both"/>
        <w:spacing w:after="0" w:line="235" w:lineRule="auto"/>
        <w:rPr>
          <w:sz w:val="20"/>
          <w:szCs w:val="20"/>
          <w:color w:val="auto"/>
        </w:rPr>
      </w:pPr>
      <w:r>
        <w:rPr>
          <w:rFonts w:ascii="Arial" w:cs="Arial" w:eastAsia="Arial" w:hAnsi="Arial"/>
          <w:sz w:val="18"/>
          <w:szCs w:val="18"/>
          <w:color w:val="auto"/>
        </w:rPr>
        <w:t>For derivative instruments designated and effective as fair value hedges, such as fixed to variable swaps, changes in the fair value of the derivative instrument are substantially offset in the consolidated statement of operations by changes in the fair value of the hedged item. For derivative instruments designated as cash flow hedges, such as variable to fixed swaps and rate locks, the effective portion of any hedge is reported in other comprehensive income (loss) until it is recognized in earnings during the same period in which the hedged item affects earnings. The ineffective portion of all hedges is recognized each period in current earnings. Changes in the fair value of derivative instruments that are not designated as a hedge are recorded each period in current earnings.</w:t>
      </w:r>
    </w:p>
    <w:p>
      <w:pPr>
        <w:spacing w:after="0" w:line="161" w:lineRule="exact"/>
        <w:rPr>
          <w:sz w:val="20"/>
          <w:szCs w:val="20"/>
          <w:color w:val="auto"/>
        </w:rPr>
      </w:pPr>
    </w:p>
    <w:p>
      <w:pPr>
        <w:jc w:val="both"/>
        <w:spacing w:after="0" w:line="270" w:lineRule="auto"/>
        <w:rPr>
          <w:sz w:val="20"/>
          <w:szCs w:val="20"/>
          <w:color w:val="auto"/>
        </w:rPr>
      </w:pPr>
      <w:r>
        <w:rPr>
          <w:rFonts w:ascii="Arial" w:cs="Arial" w:eastAsia="Arial" w:hAnsi="Arial"/>
          <w:sz w:val="16"/>
          <w:szCs w:val="16"/>
          <w:color w:val="auto"/>
        </w:rPr>
        <w:t>When a derivative instrument designated as a fair value hedge is terminated, sold, exercised or has expired, any gain or loss is deferred and recognized in earnings over the remaining life of the hedged item. When a hedged item is settled or sold, the adjustment in the carrying amount of the hedged item is recognized in earnings. When hedged variable-rate debt is settled, the previously deferred effective portion of the hedge is written off similar to debt extinguishment costs.</w:t>
      </w:r>
    </w:p>
    <w:p>
      <w:pPr>
        <w:spacing w:after="0" w:line="131" w:lineRule="exact"/>
        <w:rPr>
          <w:sz w:val="20"/>
          <w:szCs w:val="20"/>
          <w:color w:val="auto"/>
        </w:rPr>
      </w:pPr>
    </w:p>
    <w:p>
      <w:pPr>
        <w:jc w:val="both"/>
        <w:spacing w:after="0" w:line="238" w:lineRule="auto"/>
        <w:rPr>
          <w:sz w:val="20"/>
          <w:szCs w:val="20"/>
          <w:color w:val="auto"/>
        </w:rPr>
      </w:pPr>
      <w:r>
        <w:rPr>
          <w:rFonts w:ascii="Arial" w:cs="Arial" w:eastAsia="Arial" w:hAnsi="Arial"/>
          <w:sz w:val="18"/>
          <w:szCs w:val="18"/>
          <w:color w:val="auto"/>
        </w:rPr>
        <w:t>Equity warrants and equity collars are adjusted to estimated fair value on a current basis with the result included in investment income (loss), net in our consolidated statement of operations.</w:t>
      </w:r>
    </w:p>
    <w:p>
      <w:pPr>
        <w:spacing w:after="0" w:line="154" w:lineRule="exact"/>
        <w:rPr>
          <w:sz w:val="20"/>
          <w:szCs w:val="20"/>
          <w:color w:val="auto"/>
        </w:rPr>
      </w:pPr>
    </w:p>
    <w:p>
      <w:pPr>
        <w:jc w:val="both"/>
        <w:spacing w:after="0" w:line="236" w:lineRule="auto"/>
        <w:rPr>
          <w:sz w:val="20"/>
          <w:szCs w:val="20"/>
          <w:color w:val="auto"/>
        </w:rPr>
      </w:pPr>
      <w:r>
        <w:rPr>
          <w:rFonts w:ascii="Arial" w:cs="Arial" w:eastAsia="Arial" w:hAnsi="Arial"/>
          <w:sz w:val="18"/>
          <w:szCs w:val="18"/>
          <w:color w:val="auto"/>
        </w:rPr>
        <w:t>Derivative instruments embedded in other contracts, such as our Exchangeable Notes, ZONES and prepaid forward sales, are separated into their host and derivative financial instrument components. The derivative component is recorded at its estimated fair value in our consolidated balance sheet, and changes in estimated fair value are recorded in investment income (loss), net in our consolidated statement of operations.</w:t>
      </w:r>
    </w:p>
    <w:p>
      <w:pPr>
        <w:spacing w:after="0" w:line="155" w:lineRule="exact"/>
        <w:rPr>
          <w:sz w:val="20"/>
          <w:szCs w:val="20"/>
          <w:color w:val="auto"/>
        </w:rPr>
      </w:pPr>
    </w:p>
    <w:p>
      <w:pPr>
        <w:jc w:val="both"/>
        <w:spacing w:after="0" w:line="235" w:lineRule="auto"/>
        <w:rPr>
          <w:rFonts w:ascii="Arial" w:cs="Arial" w:eastAsia="Arial" w:hAnsi="Arial"/>
          <w:sz w:val="18"/>
          <w:szCs w:val="18"/>
          <w:color w:val="auto"/>
        </w:rPr>
      </w:pPr>
      <w:r>
        <w:rPr>
          <w:rFonts w:ascii="Arial" w:cs="Arial" w:eastAsia="Arial" w:hAnsi="Arial"/>
          <w:sz w:val="18"/>
          <w:szCs w:val="18"/>
          <w:color w:val="auto"/>
        </w:rPr>
        <w:t xml:space="preserve">All derivative transactions must comply with our Board-authorized derivatives policy. We do not hold or issue any derivative financial instruments for speculative or trading purposes and are not a party to leveraged derivative instruments (see </w:t>
      </w:r>
      <w:hyperlink w:anchor="page132">
        <w:r>
          <w:rPr>
            <w:rFonts w:ascii="Arial" w:cs="Arial" w:eastAsia="Arial" w:hAnsi="Arial"/>
            <w:sz w:val="18"/>
            <w:szCs w:val="18"/>
            <w:u w:val="single" w:color="auto"/>
            <w:color w:val="0000EE"/>
          </w:rPr>
          <w:t>Note 8</w:t>
        </w:r>
      </w:hyperlink>
      <w:r>
        <w:rPr>
          <w:rFonts w:ascii="Arial" w:cs="Arial" w:eastAsia="Arial" w:hAnsi="Arial"/>
          <w:sz w:val="18"/>
          <w:szCs w:val="18"/>
          <w:color w:val="auto"/>
        </w:rPr>
        <w:t>). We manage the credit risks associated with our derivative financial instruments through the evaluation and monitoring of the creditworthiness of the counterparties. Although we may be exposed to losses in the event of nonperformance by the counterparties, we do not expect such losses, if any, to be significant.</w:t>
      </w:r>
    </w:p>
    <w:p>
      <w:pPr>
        <w:spacing w:after="0" w:line="161" w:lineRule="exact"/>
        <w:rPr>
          <w:sz w:val="20"/>
          <w:szCs w:val="20"/>
          <w:color w:val="auto"/>
        </w:rPr>
      </w:pPr>
    </w:p>
    <w:p>
      <w:pPr>
        <w:jc w:val="both"/>
        <w:spacing w:after="0" w:line="236" w:lineRule="auto"/>
        <w:rPr>
          <w:sz w:val="20"/>
          <w:szCs w:val="20"/>
          <w:color w:val="auto"/>
        </w:rPr>
      </w:pPr>
      <w:r>
        <w:rPr>
          <w:rFonts w:ascii="Arial" w:cs="Arial" w:eastAsia="Arial" w:hAnsi="Arial"/>
          <w:sz w:val="18"/>
          <w:szCs w:val="18"/>
          <w:color w:val="auto"/>
        </w:rPr>
        <w:t>We periodically examine the instruments we use to hedge exposure to interest rate and equity price risks to ensure that the instruments are matched with underlying assets or liabilities, reduce our risks relating to interest rates or equity prices and, through market value and sensitivity analysis, maintain a high correlation to the risk inherent in the hedged item. For those instruments that do not meet the above criteria, variations in their fair value are reflected on a current basis in our consolidated statement of operations.</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41" w:lineRule="exact"/>
        <w:rPr>
          <w:sz w:val="20"/>
          <w:szCs w:val="20"/>
          <w:color w:val="auto"/>
        </w:rPr>
      </w:pPr>
    </w:p>
    <w:p>
      <w:pPr>
        <w:ind w:left="140"/>
        <w:spacing w:after="0"/>
        <w:rPr>
          <w:sz w:val="20"/>
          <w:szCs w:val="20"/>
          <w:color w:val="auto"/>
        </w:rPr>
      </w:pPr>
      <w:r>
        <w:rPr>
          <w:rFonts w:ascii="Arial" w:cs="Arial" w:eastAsia="Arial" w:hAnsi="Arial"/>
          <w:sz w:val="18"/>
          <w:szCs w:val="18"/>
          <w:b w:val="1"/>
          <w:bCs w:val="1"/>
          <w:color w:val="auto"/>
        </w:rPr>
        <w:t>Securities Lending Transactions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-3602990</wp:posOffset>
            </wp:positionH>
            <wp:positionV relativeFrom="paragraph">
              <wp:posOffset>-753110</wp:posOffset>
            </wp:positionV>
            <wp:extent cx="7267575" cy="27940"/>
            <wp:wrapNone/>
            <wp:docPr id="183" name="Picture 1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3"/>
                    <pic:cNvPicPr>
                      <a:picLocks noChangeAspect="1" noChangeArrowheads="1"/>
                    </pic:cNvPicPr>
                  </pic:nvPicPr>
                  <pic:blipFill>
                    <a:blip r:embed="rId190">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p>
    <w:p>
      <w:pPr>
        <w:jc w:val="both"/>
        <w:ind w:left="140" w:right="120"/>
        <w:spacing w:after="0" w:line="273" w:lineRule="auto"/>
        <w:rPr>
          <w:sz w:val="20"/>
          <w:szCs w:val="20"/>
          <w:color w:val="auto"/>
        </w:rPr>
      </w:pPr>
      <w:r>
        <w:rPr>
          <w:rFonts w:ascii="Arial" w:cs="Arial" w:eastAsia="Arial" w:hAnsi="Arial"/>
          <w:sz w:val="16"/>
          <w:szCs w:val="16"/>
          <w:color w:val="auto"/>
        </w:rPr>
        <w:t>We may enter into securities lending transactions in which we require the borrower to provide cash collateral equal to the value of the loaned securities, as adjusted for any changes in the value of the underlying loaned securities. Loaned securities for which we maintain effective control are included in investments in our consolidated balance sheet.</w:t>
      </w:r>
    </w:p>
    <w:p>
      <w:pPr>
        <w:spacing w:after="0" w:line="210" w:lineRule="exact"/>
        <w:rPr>
          <w:sz w:val="20"/>
          <w:szCs w:val="20"/>
          <w:color w:val="auto"/>
        </w:rPr>
      </w:pPr>
    </w:p>
    <w:p>
      <w:pPr>
        <w:ind w:left="140"/>
        <w:spacing w:after="0"/>
        <w:rPr>
          <w:sz w:val="20"/>
          <w:szCs w:val="20"/>
          <w:color w:val="auto"/>
        </w:rPr>
      </w:pPr>
      <w:r>
        <w:rPr>
          <w:rFonts w:ascii="Arial" w:cs="Arial" w:eastAsia="Arial" w:hAnsi="Arial"/>
          <w:sz w:val="18"/>
          <w:szCs w:val="18"/>
          <w:color w:val="35BF85"/>
        </w:rPr>
        <w:t>Note 3: Recent Accounting Pronouncements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85725</wp:posOffset>
            </wp:positionH>
            <wp:positionV relativeFrom="paragraph">
              <wp:posOffset>63500</wp:posOffset>
            </wp:positionV>
            <wp:extent cx="3481705" cy="8890"/>
            <wp:wrapNone/>
            <wp:docPr id="184" name="Picture 1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4"/>
                    <pic:cNvPicPr>
                      <a:picLocks noChangeAspect="1" noChangeArrowheads="1"/>
                    </pic:cNvPicPr>
                  </pic:nvPicPr>
                  <pic:blipFill>
                    <a:blip r:embed="rId191">
                      <a:extLst>
                        <a:ext uri="{28A0092B-C50C-407E-A947-70E740481C1C}"/>
                      </a:extLst>
                    </a:blip>
                    <a:srcRect/>
                    <a:stretch>
                      <a:fillRect/>
                    </a:stretch>
                  </pic:blipFill>
                  <pic:spPr bwMode="auto">
                    <a:xfrm>
                      <a:off x="0" y="0"/>
                      <a:ext cx="3481705" cy="8890"/>
                    </a:xfrm>
                    <a:prstGeom prst="rect">
                      <a:avLst/>
                    </a:prstGeom>
                    <a:noFill/>
                  </pic:spPr>
                </pic:pic>
              </a:graphicData>
            </a:graphic>
          </wp:anchor>
        </w:drawing>
      </w:r>
    </w:p>
    <w:p>
      <w:pPr>
        <w:spacing w:after="0" w:line="237" w:lineRule="exact"/>
        <w:rPr>
          <w:sz w:val="20"/>
          <w:szCs w:val="20"/>
          <w:color w:val="auto"/>
        </w:rPr>
      </w:pPr>
    </w:p>
    <w:p>
      <w:pPr>
        <w:ind w:left="140"/>
        <w:spacing w:after="0"/>
        <w:rPr>
          <w:sz w:val="20"/>
          <w:szCs w:val="20"/>
          <w:color w:val="auto"/>
        </w:rPr>
      </w:pPr>
      <w:r>
        <w:rPr>
          <w:rFonts w:ascii="Arial" w:cs="Arial" w:eastAsia="Arial" w:hAnsi="Arial"/>
          <w:sz w:val="18"/>
          <w:szCs w:val="18"/>
          <w:b w:val="1"/>
          <w:bCs w:val="1"/>
          <w:color w:val="auto"/>
        </w:rPr>
        <w:t>SFAS No. 155</w:t>
      </w:r>
    </w:p>
    <w:p>
      <w:pPr>
        <w:spacing w:after="0" w:line="18" w:lineRule="exact"/>
        <w:rPr>
          <w:sz w:val="20"/>
          <w:szCs w:val="20"/>
          <w:color w:val="auto"/>
        </w:rPr>
      </w:pPr>
    </w:p>
    <w:p>
      <w:pPr>
        <w:jc w:val="both"/>
        <w:ind w:left="140" w:right="120"/>
        <w:spacing w:after="0" w:line="235" w:lineRule="auto"/>
        <w:rPr>
          <w:sz w:val="20"/>
          <w:szCs w:val="20"/>
          <w:color w:val="auto"/>
        </w:rPr>
      </w:pPr>
      <w:r>
        <w:rPr>
          <w:rFonts w:ascii="Arial" w:cs="Arial" w:eastAsia="Arial" w:hAnsi="Arial"/>
          <w:sz w:val="18"/>
          <w:szCs w:val="18"/>
          <w:color w:val="auto"/>
        </w:rPr>
        <w:t>In February 2006, the FASB issued SFAS No. 155, “Accounting for Certain Hybrid Financial Instruments — an Amendment of FASB Statements No. 133 and 140” (“SFAS No. 155”). SFAS No. 155 allows financial instruments that contain an embedded derivative and that otherwise would require bifurcation to be accounted for as a whole on a fair value basis, at the holder’s election. SFAS No. 155 also clarifies and amends certain other provisions of SFAS No. 133 and SFAS No. 140. This statement is effective for all financial instruments acquired or issued in fiscal years beginning after September 15, 2006. We do not expect SFAS No. 155 to have a material impact on our consolidated financial statements.</w:t>
      </w:r>
    </w:p>
    <w:p>
      <w:pPr>
        <w:spacing w:after="0" w:line="139" w:lineRule="exact"/>
        <w:rPr>
          <w:sz w:val="20"/>
          <w:szCs w:val="20"/>
          <w:color w:val="auto"/>
        </w:rPr>
      </w:pPr>
    </w:p>
    <w:p>
      <w:pPr>
        <w:ind w:left="140"/>
        <w:spacing w:after="0"/>
        <w:rPr>
          <w:sz w:val="20"/>
          <w:szCs w:val="20"/>
          <w:color w:val="auto"/>
        </w:rPr>
      </w:pPr>
      <w:r>
        <w:rPr>
          <w:rFonts w:ascii="Arial" w:cs="Arial" w:eastAsia="Arial" w:hAnsi="Arial"/>
          <w:sz w:val="18"/>
          <w:szCs w:val="18"/>
          <w:b w:val="1"/>
          <w:bCs w:val="1"/>
          <w:color w:val="auto"/>
        </w:rPr>
        <w:t>SFAS No. 157</w:t>
      </w:r>
    </w:p>
    <w:p>
      <w:pPr>
        <w:spacing w:after="0" w:line="18" w:lineRule="exact"/>
        <w:rPr>
          <w:sz w:val="20"/>
          <w:szCs w:val="20"/>
          <w:color w:val="auto"/>
        </w:rPr>
      </w:pPr>
    </w:p>
    <w:p>
      <w:pPr>
        <w:jc w:val="both"/>
        <w:ind w:left="140" w:right="120"/>
        <w:spacing w:after="0" w:line="236" w:lineRule="auto"/>
        <w:rPr>
          <w:sz w:val="20"/>
          <w:szCs w:val="20"/>
          <w:color w:val="auto"/>
        </w:rPr>
      </w:pPr>
      <w:r>
        <w:rPr>
          <w:rFonts w:ascii="Arial" w:cs="Arial" w:eastAsia="Arial" w:hAnsi="Arial"/>
          <w:sz w:val="18"/>
          <w:szCs w:val="18"/>
          <w:color w:val="auto"/>
        </w:rPr>
        <w:t>In September 2006, the FASB issued SFAS No. 157, “Fair Value Measurements” (“SFAS No. 157”). SFAS No. 157 defines fair value, establishing a framework for measuring fair value and expands disclosure about fair value measurements. SFAS No. 157 is effective for fiscal years beginning after November 15, 2007. We do not expect SFAS No. 157 to have a material impact on our consolidated financial statements.</w:t>
      </w:r>
    </w:p>
    <w:p>
      <w:pPr>
        <w:spacing w:after="0" w:line="133" w:lineRule="exact"/>
        <w:rPr>
          <w:sz w:val="20"/>
          <w:szCs w:val="20"/>
          <w:color w:val="auto"/>
        </w:rPr>
      </w:pPr>
    </w:p>
    <w:p>
      <w:pPr>
        <w:ind w:left="140"/>
        <w:spacing w:after="0"/>
        <w:rPr>
          <w:sz w:val="20"/>
          <w:szCs w:val="20"/>
          <w:color w:val="auto"/>
        </w:rPr>
      </w:pPr>
      <w:r>
        <w:rPr>
          <w:rFonts w:ascii="Arial" w:cs="Arial" w:eastAsia="Arial" w:hAnsi="Arial"/>
          <w:sz w:val="18"/>
          <w:szCs w:val="18"/>
          <w:b w:val="1"/>
          <w:bCs w:val="1"/>
          <w:color w:val="auto"/>
        </w:rPr>
        <w:t>SFAS No. 158</w:t>
      </w:r>
    </w:p>
    <w:p>
      <w:pPr>
        <w:spacing w:after="0" w:line="18" w:lineRule="exact"/>
        <w:rPr>
          <w:sz w:val="20"/>
          <w:szCs w:val="20"/>
          <w:color w:val="auto"/>
        </w:rPr>
      </w:pPr>
    </w:p>
    <w:p>
      <w:pPr>
        <w:jc w:val="both"/>
        <w:ind w:left="140" w:right="120"/>
        <w:spacing w:after="0" w:line="235" w:lineRule="auto"/>
        <w:rPr>
          <w:sz w:val="20"/>
          <w:szCs w:val="20"/>
          <w:color w:val="auto"/>
        </w:rPr>
      </w:pPr>
      <w:r>
        <w:rPr>
          <w:rFonts w:ascii="Arial" w:cs="Arial" w:eastAsia="Arial" w:hAnsi="Arial"/>
          <w:sz w:val="18"/>
          <w:szCs w:val="18"/>
          <w:color w:val="auto"/>
        </w:rPr>
        <w:t>In September 2006, the FASB issued SFAS No. 158, “Employers’ Accounting for Defined Benefit Pension and Other Postretirement Plans” (“SFAS No. 158”). SFAS No. 158 requires companies to recognize in their statement of financial position an asset for a plan’s overfunded status or a liability for a plan’s underfunded status and to measure a plan’s assets and its obligations that determine its funded status as of the end of the company’s fiscal year. Additionally, SFAS No. 158 requires companies to recognize changes in the funded status of a defined benefit postretirement plan in the year that the changes occur and to report these in other comprehensive income (loss). The application of SFAS No. 158 did not have a material impact on our consolidated financial statements.</w:t>
      </w:r>
    </w:p>
    <w:p>
      <w:pPr>
        <w:spacing w:after="0" w:line="139" w:lineRule="exact"/>
        <w:rPr>
          <w:sz w:val="20"/>
          <w:szCs w:val="20"/>
          <w:color w:val="auto"/>
        </w:rPr>
      </w:pPr>
    </w:p>
    <w:p>
      <w:pPr>
        <w:ind w:left="140"/>
        <w:spacing w:after="0"/>
        <w:rPr>
          <w:sz w:val="20"/>
          <w:szCs w:val="20"/>
          <w:color w:val="auto"/>
        </w:rPr>
      </w:pPr>
      <w:r>
        <w:rPr>
          <w:rFonts w:ascii="Arial" w:cs="Arial" w:eastAsia="Arial" w:hAnsi="Arial"/>
          <w:sz w:val="18"/>
          <w:szCs w:val="18"/>
          <w:b w:val="1"/>
          <w:bCs w:val="1"/>
          <w:color w:val="auto"/>
        </w:rPr>
        <w:t>FASB Interpretation No. 48</w:t>
      </w:r>
    </w:p>
    <w:p>
      <w:pPr>
        <w:spacing w:after="0" w:line="18" w:lineRule="exact"/>
        <w:rPr>
          <w:sz w:val="20"/>
          <w:szCs w:val="20"/>
          <w:color w:val="auto"/>
        </w:rPr>
      </w:pPr>
    </w:p>
    <w:p>
      <w:pPr>
        <w:jc w:val="both"/>
        <w:ind w:left="140" w:right="120"/>
        <w:spacing w:after="0" w:line="236" w:lineRule="auto"/>
        <w:rPr>
          <w:sz w:val="20"/>
          <w:szCs w:val="20"/>
          <w:color w:val="auto"/>
        </w:rPr>
      </w:pPr>
      <w:r>
        <w:rPr>
          <w:rFonts w:ascii="Arial" w:cs="Arial" w:eastAsia="Arial" w:hAnsi="Arial"/>
          <w:sz w:val="18"/>
          <w:szCs w:val="18"/>
          <w:color w:val="auto"/>
        </w:rPr>
        <w:t>In July 2006, the FASB issued FIN 48, “Accounting for Uncertainty in Income Taxes — an interpretation of FASB Statement No. 109” (“FIN 48”). FIN 48 clarifies the recognition threshold and measurement of a tax position taken on a tax return. FIN 48 is effective for fiscal years beginning after December 15, 2006. FIN 48 also requires expanded disclosure with respect to the uncertainty in</w:t>
      </w:r>
    </w:p>
    <w:p>
      <w:pPr>
        <w:spacing w:after="0" w:line="177" w:lineRule="exact"/>
        <w:rPr>
          <w:sz w:val="20"/>
          <w:szCs w:val="20"/>
          <w:color w:val="auto"/>
        </w:rPr>
      </w:pPr>
    </w:p>
    <w:p>
      <w:pPr>
        <w:spacing w:after="0"/>
        <w:tabs>
          <w:tab w:leader="none" w:pos="1080" w:val="left"/>
        </w:tabs>
        <w:rPr>
          <w:sz w:val="20"/>
          <w:szCs w:val="20"/>
          <w:color w:val="auto"/>
        </w:rPr>
      </w:pPr>
      <w:r>
        <w:rPr>
          <w:rFonts w:ascii="Arial" w:cs="Arial" w:eastAsia="Arial" w:hAnsi="Arial"/>
          <w:sz w:val="12"/>
          <w:szCs w:val="12"/>
          <w:b w:val="1"/>
          <w:bCs w:val="1"/>
          <w:color w:val="auto"/>
        </w:rPr>
        <w:t>47</w:t>
      </w:r>
      <w:r>
        <w:rPr>
          <w:sz w:val="20"/>
          <w:szCs w:val="20"/>
          <w:color w:val="auto"/>
        </w:rPr>
        <w:tab/>
      </w:r>
      <w:r>
        <w:rPr>
          <w:rFonts w:ascii="Arial" w:cs="Arial" w:eastAsia="Arial" w:hAnsi="Arial"/>
          <w:sz w:val="12"/>
          <w:szCs w:val="12"/>
          <w:color w:val="auto"/>
        </w:rPr>
        <w:t xml:space="preserve">Comcast 2006 Annual Report </w:t>
      </w:r>
      <w:r>
        <w:rPr>
          <w:rFonts w:ascii="Arial" w:cs="Arial" w:eastAsia="Arial" w:hAnsi="Arial"/>
          <w:sz w:val="12"/>
          <w:szCs w:val="12"/>
          <w:b w:val="1"/>
          <w:bCs w:val="1"/>
          <w:color w:val="auto"/>
        </w:rPr>
        <w:t>Notes to Consolidated Financial Statements</w:t>
      </w:r>
    </w:p>
    <w:p>
      <w:pPr>
        <w:sectPr>
          <w:pgSz w:w="11900" w:h="16838" w:orient="portrait"/>
          <w:cols w:equalWidth="0" w:num="2">
            <w:col w:w="5480" w:space="200"/>
            <w:col w:w="5740"/>
          </w:cols>
          <w:pgMar w:left="240" w:top="459" w:right="239" w:bottom="1440" w:gutter="0" w:footer="0" w:header="0"/>
        </w:sectPr>
      </w:pPr>
    </w:p>
    <w:bookmarkStart w:id="124" w:name="page125"/>
    <w:bookmarkEnd w:id="124"/>
    <w:p>
      <w:pPr>
        <w:spacing w:after="0"/>
        <w:rPr>
          <w:rFonts w:ascii="Arial" w:cs="Arial" w:eastAsia="Arial" w:hAnsi="Arial"/>
          <w:sz w:val="18"/>
          <w:szCs w:val="18"/>
          <w:b w:val="1"/>
          <w:bCs w:val="1"/>
          <w:u w:val="single" w:color="auto"/>
          <w:color w:val="0000EE"/>
        </w:rPr>
      </w:pPr>
      <w:hyperlink w:anchor="page3">
        <w:r>
          <w:rPr>
            <w:rFonts w:ascii="Arial" w:cs="Arial" w:eastAsia="Arial" w:hAnsi="Arial"/>
            <w:sz w:val="18"/>
            <w:szCs w:val="18"/>
            <w:b w:val="1"/>
            <w:bCs w:val="1"/>
            <w:u w:val="single" w:color="auto"/>
            <w:color w:val="0000EE"/>
          </w:rPr>
          <w:t>Table of Contents</w:t>
        </w:r>
      </w:hyperlink>
    </w:p>
    <w:p>
      <w:pPr>
        <w:spacing w:after="0" w:line="200" w:lineRule="exact"/>
        <w:rPr>
          <w:sz w:val="20"/>
          <w:szCs w:val="20"/>
          <w:color w:val="auto"/>
        </w:rPr>
      </w:pPr>
    </w:p>
    <w:p>
      <w:pPr>
        <w:spacing w:after="0" w:line="276" w:lineRule="exact"/>
        <w:rPr>
          <w:sz w:val="20"/>
          <w:szCs w:val="20"/>
          <w:color w:val="auto"/>
        </w:rPr>
      </w:pPr>
    </w:p>
    <w:p>
      <w:pPr>
        <w:ind w:right="140"/>
        <w:spacing w:after="0" w:line="239" w:lineRule="auto"/>
        <w:rPr>
          <w:sz w:val="20"/>
          <w:szCs w:val="20"/>
          <w:color w:val="auto"/>
        </w:rPr>
      </w:pPr>
      <w:r>
        <w:rPr>
          <w:rFonts w:ascii="Arial" w:cs="Arial" w:eastAsia="Arial" w:hAnsi="Arial"/>
          <w:sz w:val="18"/>
          <w:szCs w:val="18"/>
          <w:color w:val="auto"/>
        </w:rPr>
        <w:t>income taxes. We do not expect FIN 48 to have a material impact on our consolidated financial statements.</w:t>
      </w:r>
    </w:p>
    <w:p>
      <w:pPr>
        <w:spacing w:after="0" w:line="13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EITF Issue No. 06-1</w:t>
      </w:r>
    </w:p>
    <w:p>
      <w:pPr>
        <w:spacing w:after="0" w:line="18" w:lineRule="exact"/>
        <w:rPr>
          <w:sz w:val="20"/>
          <w:szCs w:val="20"/>
          <w:color w:val="auto"/>
        </w:rPr>
      </w:pPr>
    </w:p>
    <w:p>
      <w:pPr>
        <w:jc w:val="both"/>
        <w:spacing w:after="0" w:line="235" w:lineRule="auto"/>
        <w:rPr>
          <w:sz w:val="20"/>
          <w:szCs w:val="20"/>
          <w:color w:val="auto"/>
        </w:rPr>
      </w:pPr>
      <w:r>
        <w:rPr>
          <w:rFonts w:ascii="Arial" w:cs="Arial" w:eastAsia="Arial" w:hAnsi="Arial"/>
          <w:sz w:val="18"/>
          <w:szCs w:val="18"/>
          <w:color w:val="auto"/>
        </w:rPr>
        <w:t>In June 2006, the EITF reached a consensus on EITF Issue No. 06-1, “Accounting for Consideration Given by a Service Provider to Manufacturers or Resellers of Specialized Equipment Necessary for an End-Customer to Receive Service from the Service Provider” (“EITF 06-1”). EITF 06-1 provides guidance on the accounting for consideration given by a vendor to a customer. The provisions of EITF 06-1 will be effective for us as of December 31, 2007. We do not expect EITF 06-1 to have a material impact on our consolidated financial statements.</w:t>
      </w:r>
    </w:p>
    <w:p>
      <w:pPr>
        <w:spacing w:after="0" w:line="13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EITF Issue No. 06-3</w:t>
      </w:r>
    </w:p>
    <w:p>
      <w:pPr>
        <w:spacing w:after="0" w:line="18" w:lineRule="exact"/>
        <w:rPr>
          <w:sz w:val="20"/>
          <w:szCs w:val="20"/>
          <w:color w:val="auto"/>
        </w:rPr>
      </w:pPr>
    </w:p>
    <w:p>
      <w:pPr>
        <w:jc w:val="both"/>
        <w:spacing w:after="0" w:line="235" w:lineRule="auto"/>
        <w:rPr>
          <w:sz w:val="20"/>
          <w:szCs w:val="20"/>
          <w:color w:val="auto"/>
        </w:rPr>
      </w:pPr>
      <w:r>
        <w:rPr>
          <w:rFonts w:ascii="Arial" w:cs="Arial" w:eastAsia="Arial" w:hAnsi="Arial"/>
          <w:sz w:val="18"/>
          <w:szCs w:val="18"/>
          <w:color w:val="auto"/>
        </w:rPr>
        <w:t>In June 2006, the EITF reached a consensus on EITF Issue No. 06-3, “How Taxes Collected from Customers and Remitted to Governmental Authorities Should Be Presented in the Income Statement (That Is, Gross versus Net Presentation)” (“EITF 06-3”). EITF 06-3 provides that the presentation of taxes assessed by a governmental authority that is directly imposed on a revenue producing transaction between a seller and a customer on either a gross basis (included in revenues and costs) or on a net basis (excluded from revenues) is an accounting policy decision that should be disclosed. The provisions of EITF 06-3 will be effective for us as of January 1, 2007. We do not expect EITF 06-3 to have a material impact on our consolidated financial statements.</w:t>
      </w:r>
    </w:p>
    <w:p>
      <w:pPr>
        <w:spacing w:after="0" w:line="13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SAB No. 108</w:t>
      </w:r>
    </w:p>
    <w:p>
      <w:pPr>
        <w:spacing w:after="0" w:line="18" w:lineRule="exact"/>
        <w:rPr>
          <w:sz w:val="20"/>
          <w:szCs w:val="20"/>
          <w:color w:val="auto"/>
        </w:rPr>
      </w:pPr>
    </w:p>
    <w:p>
      <w:pPr>
        <w:jc w:val="both"/>
        <w:spacing w:after="0" w:line="236" w:lineRule="auto"/>
        <w:rPr>
          <w:sz w:val="20"/>
          <w:szCs w:val="20"/>
          <w:color w:val="auto"/>
        </w:rPr>
      </w:pPr>
      <w:r>
        <w:rPr>
          <w:rFonts w:ascii="Arial" w:cs="Arial" w:eastAsia="Arial" w:hAnsi="Arial"/>
          <w:sz w:val="18"/>
          <w:szCs w:val="18"/>
          <w:color w:val="auto"/>
        </w:rPr>
        <w:t>In September 2006, the Securities Exchange Commission Staff issued Staff Accounting Bulletin No. 108, “Considering the Effects of Prior Year Misstatements when Quantifying Misstatements in the Current Year Financial Statements” (“SAB No. 108”). SAB No. 108 requires the use of two alternative approaches in quantitatively evaluating materiality of misstatements. If the misstatement as quantified under either approach is material to the current year</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63" w:lineRule="exact"/>
        <w:rPr>
          <w:sz w:val="20"/>
          <w:szCs w:val="20"/>
          <w:color w:val="auto"/>
        </w:rPr>
      </w:pPr>
    </w:p>
    <w:p>
      <w:pPr>
        <w:jc w:val="both"/>
        <w:ind w:right="120"/>
        <w:spacing w:after="0" w:line="235" w:lineRule="auto"/>
        <w:rPr>
          <w:sz w:val="20"/>
          <w:szCs w:val="20"/>
          <w:color w:val="auto"/>
        </w:rPr>
      </w:pPr>
      <w:r>
        <w:rPr>
          <w:rFonts w:ascii="Arial" w:cs="Arial" w:eastAsia="Arial" w:hAnsi="Arial"/>
          <w:sz w:val="18"/>
          <w:szCs w:val="18"/>
          <w:color w:val="auto"/>
        </w:rPr>
        <w:t>financial statements, the misstatement must be corrected. If the effect of correcting the prior year misstatements, if any, in the current year income statement is material, the prior year financial statements should be corrected. In the year of adoption (fiscal years ending after November 15, 2006, or calendar year 2006 for us), the misstatements may be corrected as an accounting change by adjusting opening retained earnings rather than including the adjustment in the current year income statement. Upon completing our evaluation of the requirements of SAB No. 108, we determined it did not affect our consolidated financial statements.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-3691890</wp:posOffset>
            </wp:positionH>
            <wp:positionV relativeFrom="paragraph">
              <wp:posOffset>-1922780</wp:posOffset>
            </wp:positionV>
            <wp:extent cx="7267575" cy="27940"/>
            <wp:wrapNone/>
            <wp:docPr id="185" name="Picture 1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5"/>
                    <pic:cNvPicPr>
                      <a:picLocks noChangeAspect="1" noChangeArrowheads="1"/>
                    </pic:cNvPicPr>
                  </pic:nvPicPr>
                  <pic:blipFill>
                    <a:blip r:embed="rId192">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p>
    <w:p>
      <w:pPr>
        <w:spacing w:after="0" w:line="222" w:lineRule="exact"/>
        <w:rPr>
          <w:sz w:val="20"/>
          <w:szCs w:val="20"/>
          <w:color w:val="auto"/>
        </w:rPr>
      </w:pPr>
    </w:p>
    <w:p>
      <w:pPr>
        <w:spacing w:after="0"/>
        <w:rPr>
          <w:sz w:val="20"/>
          <w:szCs w:val="20"/>
          <w:color w:val="auto"/>
        </w:rPr>
      </w:pPr>
      <w:r>
        <w:rPr>
          <w:rFonts w:ascii="Arial" w:cs="Arial" w:eastAsia="Arial" w:hAnsi="Arial"/>
          <w:sz w:val="18"/>
          <w:szCs w:val="18"/>
          <w:color w:val="35BF85"/>
        </w:rPr>
        <w:t>Note 4: Earnings Per Share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63500</wp:posOffset>
            </wp:positionV>
            <wp:extent cx="3481705" cy="8890"/>
            <wp:wrapNone/>
            <wp:docPr id="186" name="Picture 1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6"/>
                    <pic:cNvPicPr>
                      <a:picLocks noChangeAspect="1" noChangeArrowheads="1"/>
                    </pic:cNvPicPr>
                  </pic:nvPicPr>
                  <pic:blipFill>
                    <a:blip r:embed="rId193">
                      <a:extLst>
                        <a:ext uri="{28A0092B-C50C-407E-A947-70E740481C1C}"/>
                      </a:extLst>
                    </a:blip>
                    <a:srcRect/>
                    <a:stretch>
                      <a:fillRect/>
                    </a:stretch>
                  </pic:blipFill>
                  <pic:spPr bwMode="auto">
                    <a:xfrm>
                      <a:off x="0" y="0"/>
                      <a:ext cx="3481705" cy="8890"/>
                    </a:xfrm>
                    <a:prstGeom prst="rect">
                      <a:avLst/>
                    </a:prstGeom>
                    <a:noFill/>
                  </pic:spPr>
                </pic:pic>
              </a:graphicData>
            </a:graphic>
          </wp:anchor>
        </w:drawing>
      </w:r>
    </w:p>
    <w:p>
      <w:pPr>
        <w:spacing w:after="0" w:line="259" w:lineRule="exact"/>
        <w:rPr>
          <w:sz w:val="20"/>
          <w:szCs w:val="20"/>
          <w:color w:val="auto"/>
        </w:rPr>
      </w:pPr>
    </w:p>
    <w:p>
      <w:pPr>
        <w:jc w:val="both"/>
        <w:ind w:right="120"/>
        <w:spacing w:after="0" w:line="237" w:lineRule="auto"/>
        <w:rPr>
          <w:sz w:val="20"/>
          <w:szCs w:val="20"/>
          <w:color w:val="auto"/>
        </w:rPr>
      </w:pPr>
      <w:r>
        <w:rPr>
          <w:rFonts w:ascii="Arial" w:cs="Arial" w:eastAsia="Arial" w:hAnsi="Arial"/>
          <w:sz w:val="18"/>
          <w:szCs w:val="18"/>
          <w:color w:val="auto"/>
        </w:rPr>
        <w:t>Basic earnings for common stockholders per common share (“Basic EPS”) is computed by dividing net income for common stockholders by the weighted-average number of common shares outstanding during the period.</w:t>
      </w:r>
    </w:p>
    <w:p>
      <w:pPr>
        <w:spacing w:after="0" w:line="155" w:lineRule="exact"/>
        <w:rPr>
          <w:sz w:val="20"/>
          <w:szCs w:val="20"/>
          <w:color w:val="auto"/>
        </w:rPr>
      </w:pPr>
    </w:p>
    <w:p>
      <w:pPr>
        <w:jc w:val="both"/>
        <w:ind w:right="120"/>
        <w:spacing w:after="0" w:line="235" w:lineRule="auto"/>
        <w:rPr>
          <w:rFonts w:ascii="Arial" w:cs="Arial" w:eastAsia="Arial" w:hAnsi="Arial"/>
          <w:sz w:val="18"/>
          <w:szCs w:val="18"/>
          <w:color w:val="auto"/>
        </w:rPr>
      </w:pPr>
      <w:r>
        <w:rPr>
          <w:rFonts w:ascii="Arial" w:cs="Arial" w:eastAsia="Arial" w:hAnsi="Arial"/>
          <w:sz w:val="18"/>
          <w:szCs w:val="18"/>
          <w:color w:val="auto"/>
        </w:rPr>
        <w:t xml:space="preserve">Our potentially dilutive securities include potential common shares related to our stock options and restricted share units. Diluted earnings for common stockholders per common share (“Diluted EPS”) considers the impact of potentially dilutive securities except in periods in which there is a loss because the inclusion of the potential common shares would have an antidilutive effect. Diluted EPS excludes the impact of potential common shares related to our stock options in periods in which the option exercise price is greater than the average market price of our Class A common stock and our Class A Special common stock during the period (see </w:t>
      </w:r>
      <w:hyperlink w:anchor="page134">
        <w:r>
          <w:rPr>
            <w:rFonts w:ascii="Arial" w:cs="Arial" w:eastAsia="Arial" w:hAnsi="Arial"/>
            <w:sz w:val="18"/>
            <w:szCs w:val="18"/>
            <w:u w:val="single" w:color="auto"/>
            <w:color w:val="0000EE"/>
          </w:rPr>
          <w:t>Note 10</w:t>
        </w:r>
      </w:hyperlink>
      <w:r>
        <w:rPr>
          <w:rFonts w:ascii="Arial" w:cs="Arial" w:eastAsia="Arial" w:hAnsi="Arial"/>
          <w:sz w:val="18"/>
          <w:szCs w:val="18"/>
          <w:color w:val="auto"/>
        </w:rPr>
        <w:t>).</w:t>
      </w:r>
    </w:p>
    <w:p>
      <w:pPr>
        <w:spacing w:after="0" w:line="161" w:lineRule="exact"/>
        <w:rPr>
          <w:sz w:val="20"/>
          <w:szCs w:val="20"/>
          <w:color w:val="auto"/>
        </w:rPr>
      </w:pPr>
    </w:p>
    <w:p>
      <w:pPr>
        <w:jc w:val="both"/>
        <w:ind w:right="120"/>
        <w:spacing w:after="0" w:line="236" w:lineRule="auto"/>
        <w:rPr>
          <w:sz w:val="20"/>
          <w:szCs w:val="20"/>
          <w:color w:val="auto"/>
        </w:rPr>
      </w:pPr>
      <w:r>
        <w:rPr>
          <w:rFonts w:ascii="Arial" w:cs="Arial" w:eastAsia="Arial" w:hAnsi="Arial"/>
          <w:sz w:val="18"/>
          <w:szCs w:val="18"/>
          <w:color w:val="auto"/>
        </w:rPr>
        <w:t>Diluted EPS for 2006, 2005 and 2004 excludes approximately 116 million, 126 million and 154 million, respectively, of potential common shares related to our share-based compensation plans because the inclusion of the potential common shares would have an antidilutive effect.</w:t>
      </w:r>
    </w:p>
    <w:p>
      <w:pPr>
        <w:spacing w:after="0" w:line="445" w:lineRule="exact"/>
        <w:rPr>
          <w:sz w:val="20"/>
          <w:szCs w:val="20"/>
          <w:color w:val="auto"/>
        </w:rPr>
      </w:pPr>
    </w:p>
    <w:p>
      <w:pPr>
        <w:sectPr>
          <w:pgSz w:w="11900" w:h="16838" w:orient="portrait"/>
          <w:cols w:equalWidth="0" w:num="2">
            <w:col w:w="5480" w:space="340"/>
            <w:col w:w="5600"/>
          </w:cols>
          <w:pgMar w:left="240" w:top="459" w:right="239" w:bottom="1440" w:gutter="0" w:footer="0" w:header="0"/>
        </w:sectPr>
      </w:pPr>
    </w:p>
    <w:p>
      <w:pPr>
        <w:spacing w:after="0" w:line="9" w:lineRule="exact"/>
        <w:rPr>
          <w:sz w:val="20"/>
          <w:szCs w:val="20"/>
          <w:color w:val="auto"/>
        </w:rPr>
      </w:pPr>
    </w:p>
    <w:p>
      <w:pPr>
        <w:ind w:right="20"/>
        <w:spacing w:after="0" w:line="239" w:lineRule="auto"/>
        <w:rPr>
          <w:sz w:val="20"/>
          <w:szCs w:val="20"/>
          <w:color w:val="auto"/>
        </w:rPr>
      </w:pPr>
      <w:r>
        <w:rPr>
          <w:rFonts w:ascii="Arial" w:cs="Arial" w:eastAsia="Arial" w:hAnsi="Arial"/>
          <w:sz w:val="18"/>
          <w:szCs w:val="18"/>
          <w:color w:val="auto"/>
        </w:rPr>
        <w:t>The following table reconciles the numerator and denominator of the computations of Diluted EPS from continuing operations for the years presented (adjusted to reflect the Stock Split):</w:t>
      </w:r>
    </w:p>
    <w:p>
      <w:pPr>
        <w:spacing w:after="0" w:line="176" w:lineRule="exact"/>
        <w:rPr>
          <w:sz w:val="20"/>
          <w:szCs w:val="20"/>
          <w:color w:val="auto"/>
        </w:rPr>
      </w:pPr>
    </w:p>
    <w:tbl>
      <w:tblPr>
        <w:tblLayout w:type="fixed"/>
        <w:tblInd w:w="0" w:type="dxa"/>
        <w:tblCellMar>
          <w:top w:w="0" w:type="dxa"/>
          <w:left w:w="0" w:type="dxa"/>
          <w:bottom w:w="0" w:type="dxa"/>
          <w:right w:w="0" w:type="dxa"/>
        </w:tblCellMar>
      </w:tblPr>
      <w:tr>
        <w:trPr>
          <w:trHeight w:val="165"/>
        </w:trPr>
        <w:tc>
          <w:tcPr>
            <w:tcW w:w="4420" w:type="dxa"/>
            <w:vAlign w:val="bottom"/>
          </w:tcPr>
          <w:p>
            <w:pPr>
              <w:spacing w:after="0"/>
              <w:rPr>
                <w:sz w:val="14"/>
                <w:szCs w:val="14"/>
                <w:color w:val="auto"/>
              </w:rPr>
            </w:pPr>
          </w:p>
        </w:tc>
        <w:tc>
          <w:tcPr>
            <w:tcW w:w="260" w:type="dxa"/>
            <w:vAlign w:val="bottom"/>
            <w:tcBorders>
              <w:bottom w:val="single" w:sz="8" w:color="auto"/>
            </w:tcBorders>
          </w:tcPr>
          <w:p>
            <w:pPr>
              <w:spacing w:after="0"/>
              <w:rPr>
                <w:sz w:val="14"/>
                <w:szCs w:val="14"/>
                <w:color w:val="auto"/>
              </w:rPr>
            </w:pPr>
          </w:p>
        </w:tc>
        <w:tc>
          <w:tcPr>
            <w:tcW w:w="740" w:type="dxa"/>
            <w:vAlign w:val="bottom"/>
            <w:tcBorders>
              <w:bottom w:val="single" w:sz="8" w:color="auto"/>
            </w:tcBorders>
          </w:tcPr>
          <w:p>
            <w:pPr>
              <w:spacing w:after="0"/>
              <w:rPr>
                <w:sz w:val="14"/>
                <w:szCs w:val="14"/>
                <w:color w:val="auto"/>
              </w:rPr>
            </w:pPr>
          </w:p>
        </w:tc>
        <w:tc>
          <w:tcPr>
            <w:tcW w:w="740" w:type="dxa"/>
            <w:vAlign w:val="bottom"/>
            <w:tcBorders>
              <w:bottom w:val="single" w:sz="8" w:color="auto"/>
            </w:tcBorders>
          </w:tcPr>
          <w:p>
            <w:pPr>
              <w:jc w:val="right"/>
              <w:ind w:right="162"/>
              <w:spacing w:after="0"/>
              <w:rPr>
                <w:sz w:val="20"/>
                <w:szCs w:val="20"/>
                <w:color w:val="auto"/>
              </w:rPr>
            </w:pPr>
            <w:r>
              <w:rPr>
                <w:rFonts w:ascii="Arial" w:cs="Arial" w:eastAsia="Arial" w:hAnsi="Arial"/>
                <w:sz w:val="14"/>
                <w:szCs w:val="14"/>
                <w:b w:val="1"/>
                <w:bCs w:val="1"/>
                <w:color w:val="auto"/>
              </w:rPr>
              <w:t>2006</w:t>
            </w:r>
          </w:p>
        </w:tc>
        <w:tc>
          <w:tcPr>
            <w:tcW w:w="820" w:type="dxa"/>
            <w:vAlign w:val="bottom"/>
            <w:tcBorders>
              <w:bottom w:val="single" w:sz="8" w:color="auto"/>
            </w:tcBorders>
          </w:tcPr>
          <w:p>
            <w:pPr>
              <w:spacing w:after="0"/>
              <w:rPr>
                <w:sz w:val="14"/>
                <w:szCs w:val="14"/>
                <w:color w:val="auto"/>
              </w:rPr>
            </w:pPr>
          </w:p>
        </w:tc>
        <w:tc>
          <w:tcPr>
            <w:tcW w:w="760" w:type="dxa"/>
            <w:vAlign w:val="bottom"/>
            <w:tcBorders>
              <w:bottom w:val="single" w:sz="8" w:color="auto"/>
            </w:tcBorders>
          </w:tcPr>
          <w:p>
            <w:pPr>
              <w:spacing w:after="0"/>
              <w:rPr>
                <w:sz w:val="14"/>
                <w:szCs w:val="14"/>
                <w:color w:val="auto"/>
              </w:rPr>
            </w:pPr>
          </w:p>
        </w:tc>
        <w:tc>
          <w:tcPr>
            <w:tcW w:w="760" w:type="dxa"/>
            <w:vAlign w:val="bottom"/>
            <w:tcBorders>
              <w:bottom w:val="single" w:sz="8" w:color="auto"/>
            </w:tcBorders>
          </w:tcPr>
          <w:p>
            <w:pPr>
              <w:jc w:val="right"/>
              <w:ind w:right="140"/>
              <w:spacing w:after="0"/>
              <w:rPr>
                <w:sz w:val="20"/>
                <w:szCs w:val="20"/>
                <w:color w:val="auto"/>
              </w:rPr>
            </w:pPr>
            <w:r>
              <w:rPr>
                <w:rFonts w:ascii="Arial" w:cs="Arial" w:eastAsia="Arial" w:hAnsi="Arial"/>
                <w:sz w:val="14"/>
                <w:szCs w:val="14"/>
                <w:color w:val="auto"/>
              </w:rPr>
              <w:t>2005</w:t>
            </w:r>
          </w:p>
        </w:tc>
        <w:tc>
          <w:tcPr>
            <w:tcW w:w="780" w:type="dxa"/>
            <w:vAlign w:val="bottom"/>
            <w:tcBorders>
              <w:bottom w:val="single" w:sz="8" w:color="auto"/>
            </w:tcBorders>
          </w:tcPr>
          <w:p>
            <w:pPr>
              <w:spacing w:after="0"/>
              <w:rPr>
                <w:sz w:val="14"/>
                <w:szCs w:val="14"/>
                <w:color w:val="auto"/>
              </w:rPr>
            </w:pPr>
          </w:p>
        </w:tc>
        <w:tc>
          <w:tcPr>
            <w:tcW w:w="760" w:type="dxa"/>
            <w:vAlign w:val="bottom"/>
            <w:tcBorders>
              <w:bottom w:val="single" w:sz="8" w:color="auto"/>
            </w:tcBorders>
          </w:tcPr>
          <w:p>
            <w:pPr>
              <w:spacing w:after="0"/>
              <w:rPr>
                <w:sz w:val="14"/>
                <w:szCs w:val="14"/>
                <w:color w:val="auto"/>
              </w:rPr>
            </w:pPr>
          </w:p>
        </w:tc>
        <w:tc>
          <w:tcPr>
            <w:tcW w:w="760" w:type="dxa"/>
            <w:vAlign w:val="bottom"/>
            <w:tcBorders>
              <w:bottom w:val="single" w:sz="8" w:color="auto"/>
            </w:tcBorders>
          </w:tcPr>
          <w:p>
            <w:pPr>
              <w:jc w:val="right"/>
              <w:ind w:right="140"/>
              <w:spacing w:after="0"/>
              <w:rPr>
                <w:sz w:val="20"/>
                <w:szCs w:val="20"/>
                <w:color w:val="auto"/>
              </w:rPr>
            </w:pPr>
            <w:r>
              <w:rPr>
                <w:rFonts w:ascii="Arial" w:cs="Arial" w:eastAsia="Arial" w:hAnsi="Arial"/>
                <w:sz w:val="14"/>
                <w:szCs w:val="14"/>
                <w:color w:val="auto"/>
              </w:rPr>
              <w:t>2004</w:t>
            </w:r>
          </w:p>
        </w:tc>
        <w:tc>
          <w:tcPr>
            <w:tcW w:w="620" w:type="dxa"/>
            <w:vAlign w:val="bottom"/>
            <w:tcBorders>
              <w:bottom w:val="single" w:sz="8" w:color="auto"/>
            </w:tcBorders>
          </w:tcPr>
          <w:p>
            <w:pPr>
              <w:spacing w:after="0"/>
              <w:rPr>
                <w:sz w:val="14"/>
                <w:szCs w:val="14"/>
                <w:color w:val="auto"/>
              </w:rPr>
            </w:pP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25"/>
        </w:trPr>
        <w:tc>
          <w:tcPr>
            <w:tcW w:w="4420" w:type="dxa"/>
            <w:vAlign w:val="bottom"/>
          </w:tcPr>
          <w:p>
            <w:pPr>
              <w:spacing w:after="0"/>
              <w:rPr>
                <w:sz w:val="10"/>
                <w:szCs w:val="10"/>
                <w:color w:val="auto"/>
              </w:rPr>
            </w:pPr>
          </w:p>
        </w:tc>
        <w:tc>
          <w:tcPr>
            <w:tcW w:w="260" w:type="dxa"/>
            <w:vAlign w:val="bottom"/>
          </w:tcPr>
          <w:p>
            <w:pPr>
              <w:spacing w:after="0"/>
              <w:rPr>
                <w:sz w:val="10"/>
                <w:szCs w:val="10"/>
                <w:color w:val="auto"/>
              </w:rPr>
            </w:pPr>
          </w:p>
        </w:tc>
        <w:tc>
          <w:tcPr>
            <w:tcW w:w="740" w:type="dxa"/>
            <w:vAlign w:val="bottom"/>
          </w:tcPr>
          <w:p>
            <w:pPr>
              <w:spacing w:after="0"/>
              <w:rPr>
                <w:sz w:val="10"/>
                <w:szCs w:val="10"/>
                <w:color w:val="auto"/>
              </w:rPr>
            </w:pPr>
          </w:p>
        </w:tc>
        <w:tc>
          <w:tcPr>
            <w:tcW w:w="740" w:type="dxa"/>
            <w:vAlign w:val="bottom"/>
          </w:tcPr>
          <w:p>
            <w:pPr>
              <w:spacing w:after="0"/>
              <w:rPr>
                <w:sz w:val="10"/>
                <w:szCs w:val="10"/>
                <w:color w:val="auto"/>
              </w:rPr>
            </w:pPr>
          </w:p>
        </w:tc>
        <w:tc>
          <w:tcPr>
            <w:tcW w:w="820" w:type="dxa"/>
            <w:vAlign w:val="bottom"/>
          </w:tcPr>
          <w:p>
            <w:pPr>
              <w:jc w:val="right"/>
              <w:ind w:right="84"/>
              <w:spacing w:after="0" w:line="125" w:lineRule="exact"/>
              <w:rPr>
                <w:sz w:val="20"/>
                <w:szCs w:val="20"/>
                <w:color w:val="auto"/>
              </w:rPr>
            </w:pPr>
            <w:r>
              <w:rPr>
                <w:rFonts w:ascii="Arial" w:cs="Arial" w:eastAsia="Arial" w:hAnsi="Arial"/>
                <w:sz w:val="14"/>
                <w:szCs w:val="14"/>
                <w:b w:val="1"/>
                <w:bCs w:val="1"/>
                <w:color w:val="auto"/>
              </w:rPr>
              <w:t>Per</w:t>
            </w:r>
          </w:p>
        </w:tc>
        <w:tc>
          <w:tcPr>
            <w:tcW w:w="760" w:type="dxa"/>
            <w:vAlign w:val="bottom"/>
          </w:tcPr>
          <w:p>
            <w:pPr>
              <w:spacing w:after="0"/>
              <w:rPr>
                <w:sz w:val="10"/>
                <w:szCs w:val="10"/>
                <w:color w:val="auto"/>
              </w:rPr>
            </w:pPr>
          </w:p>
        </w:tc>
        <w:tc>
          <w:tcPr>
            <w:tcW w:w="760" w:type="dxa"/>
            <w:vAlign w:val="bottom"/>
          </w:tcPr>
          <w:p>
            <w:pPr>
              <w:spacing w:after="0"/>
              <w:rPr>
                <w:sz w:val="10"/>
                <w:szCs w:val="10"/>
                <w:color w:val="auto"/>
              </w:rPr>
            </w:pPr>
          </w:p>
        </w:tc>
        <w:tc>
          <w:tcPr>
            <w:tcW w:w="780" w:type="dxa"/>
            <w:vAlign w:val="bottom"/>
          </w:tcPr>
          <w:p>
            <w:pPr>
              <w:jc w:val="right"/>
              <w:ind w:right="84"/>
              <w:spacing w:after="0" w:line="125" w:lineRule="exact"/>
              <w:rPr>
                <w:sz w:val="20"/>
                <w:szCs w:val="20"/>
                <w:color w:val="auto"/>
              </w:rPr>
            </w:pPr>
            <w:r>
              <w:rPr>
                <w:rFonts w:ascii="Arial" w:cs="Arial" w:eastAsia="Arial" w:hAnsi="Arial"/>
                <w:sz w:val="14"/>
                <w:szCs w:val="14"/>
                <w:color w:val="auto"/>
              </w:rPr>
              <w:t>Per</w:t>
            </w:r>
          </w:p>
        </w:tc>
        <w:tc>
          <w:tcPr>
            <w:tcW w:w="760" w:type="dxa"/>
            <w:vAlign w:val="bottom"/>
          </w:tcPr>
          <w:p>
            <w:pPr>
              <w:spacing w:after="0"/>
              <w:rPr>
                <w:sz w:val="10"/>
                <w:szCs w:val="10"/>
                <w:color w:val="auto"/>
              </w:rPr>
            </w:pPr>
          </w:p>
        </w:tc>
        <w:tc>
          <w:tcPr>
            <w:tcW w:w="760" w:type="dxa"/>
            <w:vAlign w:val="bottom"/>
          </w:tcPr>
          <w:p>
            <w:pPr>
              <w:spacing w:after="0"/>
              <w:rPr>
                <w:sz w:val="10"/>
                <w:szCs w:val="10"/>
                <w:color w:val="auto"/>
              </w:rPr>
            </w:pPr>
          </w:p>
        </w:tc>
        <w:tc>
          <w:tcPr>
            <w:tcW w:w="620" w:type="dxa"/>
            <w:vAlign w:val="bottom"/>
          </w:tcPr>
          <w:p>
            <w:pPr>
              <w:jc w:val="right"/>
              <w:spacing w:after="0" w:line="125" w:lineRule="exact"/>
              <w:rPr>
                <w:sz w:val="20"/>
                <w:szCs w:val="20"/>
                <w:color w:val="auto"/>
              </w:rPr>
            </w:pPr>
            <w:r>
              <w:rPr>
                <w:rFonts w:ascii="Arial" w:cs="Arial" w:eastAsia="Arial" w:hAnsi="Arial"/>
                <w:sz w:val="14"/>
                <w:szCs w:val="14"/>
                <w:color w:val="auto"/>
              </w:rPr>
              <w:t>Per</w:t>
            </w:r>
          </w:p>
        </w:tc>
        <w:tc>
          <w:tcPr>
            <w:tcW w:w="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49"/>
        </w:trPr>
        <w:tc>
          <w:tcPr>
            <w:tcW w:w="4680" w:type="dxa"/>
            <w:vAlign w:val="bottom"/>
            <w:gridSpan w:val="2"/>
          </w:tcPr>
          <w:p>
            <w:pPr>
              <w:spacing w:after="0" w:line="149" w:lineRule="exact"/>
              <w:rPr>
                <w:sz w:val="20"/>
                <w:szCs w:val="20"/>
                <w:color w:val="auto"/>
              </w:rPr>
            </w:pPr>
            <w:r>
              <w:rPr>
                <w:rFonts w:ascii="Arial" w:cs="Arial" w:eastAsia="Arial" w:hAnsi="Arial"/>
                <w:sz w:val="14"/>
                <w:szCs w:val="14"/>
                <w:color w:val="auto"/>
              </w:rPr>
              <w:t>Year Ended December 31</w:t>
            </w:r>
          </w:p>
        </w:tc>
        <w:tc>
          <w:tcPr>
            <w:tcW w:w="74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820" w:type="dxa"/>
            <w:vAlign w:val="bottom"/>
          </w:tcPr>
          <w:p>
            <w:pPr>
              <w:jc w:val="right"/>
              <w:ind w:right="84"/>
              <w:spacing w:after="0" w:line="149" w:lineRule="exact"/>
              <w:rPr>
                <w:sz w:val="20"/>
                <w:szCs w:val="20"/>
                <w:color w:val="auto"/>
              </w:rPr>
            </w:pPr>
            <w:r>
              <w:rPr>
                <w:rFonts w:ascii="Arial" w:cs="Arial" w:eastAsia="Arial" w:hAnsi="Arial"/>
                <w:sz w:val="14"/>
                <w:szCs w:val="14"/>
                <w:b w:val="1"/>
                <w:bCs w:val="1"/>
                <w:color w:val="auto"/>
              </w:rPr>
              <w:t>Share</w:t>
            </w:r>
          </w:p>
        </w:tc>
        <w:tc>
          <w:tcPr>
            <w:tcW w:w="76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780" w:type="dxa"/>
            <w:vAlign w:val="bottom"/>
          </w:tcPr>
          <w:p>
            <w:pPr>
              <w:jc w:val="right"/>
              <w:ind w:right="84"/>
              <w:spacing w:after="0" w:line="149" w:lineRule="exact"/>
              <w:rPr>
                <w:sz w:val="20"/>
                <w:szCs w:val="20"/>
                <w:color w:val="auto"/>
              </w:rPr>
            </w:pPr>
            <w:r>
              <w:rPr>
                <w:rFonts w:ascii="Arial" w:cs="Arial" w:eastAsia="Arial" w:hAnsi="Arial"/>
                <w:sz w:val="14"/>
                <w:szCs w:val="14"/>
                <w:color w:val="auto"/>
              </w:rPr>
              <w:t>Share</w:t>
            </w:r>
          </w:p>
        </w:tc>
        <w:tc>
          <w:tcPr>
            <w:tcW w:w="76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640" w:type="dxa"/>
            <w:vAlign w:val="bottom"/>
            <w:gridSpan w:val="2"/>
          </w:tcPr>
          <w:p>
            <w:pPr>
              <w:jc w:val="right"/>
              <w:ind w:right="20"/>
              <w:spacing w:after="0" w:line="149" w:lineRule="exact"/>
              <w:rPr>
                <w:sz w:val="20"/>
                <w:szCs w:val="20"/>
                <w:color w:val="auto"/>
              </w:rPr>
            </w:pPr>
            <w:r>
              <w:rPr>
                <w:rFonts w:ascii="Arial" w:cs="Arial" w:eastAsia="Arial" w:hAnsi="Arial"/>
                <w:sz w:val="14"/>
                <w:szCs w:val="14"/>
                <w:color w:val="auto"/>
              </w:rPr>
              <w:t>Share</w:t>
            </w:r>
          </w:p>
        </w:tc>
        <w:tc>
          <w:tcPr>
            <w:tcW w:w="0" w:type="dxa"/>
            <w:vAlign w:val="bottom"/>
          </w:tcPr>
          <w:p>
            <w:pPr>
              <w:spacing w:after="0"/>
              <w:rPr>
                <w:sz w:val="1"/>
                <w:szCs w:val="1"/>
                <w:color w:val="auto"/>
              </w:rPr>
            </w:pPr>
          </w:p>
        </w:tc>
      </w:tr>
      <w:tr>
        <w:trPr>
          <w:trHeight w:val="165"/>
        </w:trPr>
        <w:tc>
          <w:tcPr>
            <w:tcW w:w="4680" w:type="dxa"/>
            <w:vAlign w:val="bottom"/>
            <w:tcBorders>
              <w:bottom w:val="single" w:sz="8" w:color="auto"/>
            </w:tcBorders>
            <w:gridSpan w:val="2"/>
          </w:tcPr>
          <w:p>
            <w:pPr>
              <w:spacing w:after="0"/>
              <w:rPr>
                <w:sz w:val="20"/>
                <w:szCs w:val="20"/>
                <w:color w:val="auto"/>
              </w:rPr>
            </w:pPr>
            <w:r>
              <w:rPr>
                <w:rFonts w:ascii="Arial" w:cs="Arial" w:eastAsia="Arial" w:hAnsi="Arial"/>
                <w:sz w:val="14"/>
                <w:szCs w:val="14"/>
                <w:color w:val="auto"/>
              </w:rPr>
              <w:t>(in millions, except per share data)</w:t>
            </w:r>
          </w:p>
        </w:tc>
        <w:tc>
          <w:tcPr>
            <w:tcW w:w="740" w:type="dxa"/>
            <w:vAlign w:val="bottom"/>
            <w:tcBorders>
              <w:bottom w:val="single" w:sz="8" w:color="auto"/>
            </w:tcBorders>
          </w:tcPr>
          <w:p>
            <w:pPr>
              <w:jc w:val="right"/>
              <w:ind w:right="79"/>
              <w:spacing w:after="0"/>
              <w:rPr>
                <w:sz w:val="20"/>
                <w:szCs w:val="20"/>
                <w:color w:val="auto"/>
              </w:rPr>
            </w:pPr>
            <w:r>
              <w:rPr>
                <w:rFonts w:ascii="Arial" w:cs="Arial" w:eastAsia="Arial" w:hAnsi="Arial"/>
                <w:sz w:val="14"/>
                <w:szCs w:val="14"/>
                <w:b w:val="1"/>
                <w:bCs w:val="1"/>
                <w:color w:val="auto"/>
              </w:rPr>
              <w:t>Income</w:t>
            </w:r>
          </w:p>
        </w:tc>
        <w:tc>
          <w:tcPr>
            <w:tcW w:w="740" w:type="dxa"/>
            <w:vAlign w:val="bottom"/>
            <w:tcBorders>
              <w:bottom w:val="single" w:sz="8" w:color="auto"/>
            </w:tcBorders>
          </w:tcPr>
          <w:p>
            <w:pPr>
              <w:jc w:val="right"/>
              <w:ind w:right="62"/>
              <w:spacing w:after="0"/>
              <w:rPr>
                <w:sz w:val="20"/>
                <w:szCs w:val="20"/>
                <w:color w:val="auto"/>
              </w:rPr>
            </w:pPr>
            <w:r>
              <w:rPr>
                <w:rFonts w:ascii="Arial" w:cs="Arial" w:eastAsia="Arial" w:hAnsi="Arial"/>
                <w:sz w:val="14"/>
                <w:szCs w:val="14"/>
                <w:b w:val="1"/>
                <w:bCs w:val="1"/>
                <w:color w:val="auto"/>
              </w:rPr>
              <w:t>Shares</w:t>
            </w:r>
          </w:p>
        </w:tc>
        <w:tc>
          <w:tcPr>
            <w:tcW w:w="820" w:type="dxa"/>
            <w:vAlign w:val="bottom"/>
            <w:tcBorders>
              <w:bottom w:val="single" w:sz="8" w:color="auto"/>
            </w:tcBorders>
          </w:tcPr>
          <w:p>
            <w:pPr>
              <w:jc w:val="right"/>
              <w:ind w:right="84"/>
              <w:spacing w:after="0"/>
              <w:rPr>
                <w:sz w:val="20"/>
                <w:szCs w:val="20"/>
                <w:color w:val="auto"/>
              </w:rPr>
            </w:pPr>
            <w:r>
              <w:rPr>
                <w:rFonts w:ascii="Arial" w:cs="Arial" w:eastAsia="Arial" w:hAnsi="Arial"/>
                <w:sz w:val="14"/>
                <w:szCs w:val="14"/>
                <w:b w:val="1"/>
                <w:bCs w:val="1"/>
                <w:color w:val="auto"/>
              </w:rPr>
              <w:t>Amount</w:t>
            </w:r>
          </w:p>
        </w:tc>
        <w:tc>
          <w:tcPr>
            <w:tcW w:w="760" w:type="dxa"/>
            <w:vAlign w:val="bottom"/>
            <w:tcBorders>
              <w:bottom w:val="single" w:sz="8" w:color="auto"/>
            </w:tcBorders>
          </w:tcPr>
          <w:p>
            <w:pPr>
              <w:ind w:left="160"/>
              <w:spacing w:after="0"/>
              <w:rPr>
                <w:sz w:val="20"/>
                <w:szCs w:val="20"/>
                <w:color w:val="auto"/>
              </w:rPr>
            </w:pPr>
            <w:r>
              <w:rPr>
                <w:rFonts w:ascii="Arial" w:cs="Arial" w:eastAsia="Arial" w:hAnsi="Arial"/>
                <w:sz w:val="14"/>
                <w:szCs w:val="14"/>
                <w:color w:val="auto"/>
              </w:rPr>
              <w:t>Income</w:t>
            </w:r>
          </w:p>
        </w:tc>
        <w:tc>
          <w:tcPr>
            <w:tcW w:w="760" w:type="dxa"/>
            <w:vAlign w:val="bottom"/>
            <w:tcBorders>
              <w:bottom w:val="single" w:sz="8" w:color="auto"/>
            </w:tcBorders>
          </w:tcPr>
          <w:p>
            <w:pPr>
              <w:jc w:val="right"/>
              <w:ind w:right="80"/>
              <w:spacing w:after="0"/>
              <w:rPr>
                <w:sz w:val="20"/>
                <w:szCs w:val="20"/>
                <w:color w:val="auto"/>
              </w:rPr>
            </w:pPr>
            <w:r>
              <w:rPr>
                <w:rFonts w:ascii="Arial" w:cs="Arial" w:eastAsia="Arial" w:hAnsi="Arial"/>
                <w:sz w:val="14"/>
                <w:szCs w:val="14"/>
                <w:color w:val="auto"/>
              </w:rPr>
              <w:t>Shares</w:t>
            </w:r>
          </w:p>
        </w:tc>
        <w:tc>
          <w:tcPr>
            <w:tcW w:w="780" w:type="dxa"/>
            <w:vAlign w:val="bottom"/>
            <w:tcBorders>
              <w:bottom w:val="single" w:sz="8" w:color="auto"/>
            </w:tcBorders>
          </w:tcPr>
          <w:p>
            <w:pPr>
              <w:jc w:val="right"/>
              <w:ind w:right="84"/>
              <w:spacing w:after="0"/>
              <w:rPr>
                <w:sz w:val="20"/>
                <w:szCs w:val="20"/>
                <w:color w:val="auto"/>
              </w:rPr>
            </w:pPr>
            <w:r>
              <w:rPr>
                <w:rFonts w:ascii="Arial" w:cs="Arial" w:eastAsia="Arial" w:hAnsi="Arial"/>
                <w:sz w:val="14"/>
                <w:szCs w:val="14"/>
                <w:color w:val="auto"/>
              </w:rPr>
              <w:t>Amount</w:t>
            </w:r>
          </w:p>
        </w:tc>
        <w:tc>
          <w:tcPr>
            <w:tcW w:w="760" w:type="dxa"/>
            <w:vAlign w:val="bottom"/>
            <w:tcBorders>
              <w:bottom w:val="single" w:sz="8" w:color="auto"/>
            </w:tcBorders>
          </w:tcPr>
          <w:p>
            <w:pPr>
              <w:ind w:left="160"/>
              <w:spacing w:after="0"/>
              <w:rPr>
                <w:sz w:val="20"/>
                <w:szCs w:val="20"/>
                <w:color w:val="auto"/>
              </w:rPr>
            </w:pPr>
            <w:r>
              <w:rPr>
                <w:rFonts w:ascii="Arial" w:cs="Arial" w:eastAsia="Arial" w:hAnsi="Arial"/>
                <w:sz w:val="14"/>
                <w:szCs w:val="14"/>
                <w:color w:val="auto"/>
              </w:rPr>
              <w:t>Income</w:t>
            </w:r>
          </w:p>
        </w:tc>
        <w:tc>
          <w:tcPr>
            <w:tcW w:w="760" w:type="dxa"/>
            <w:vAlign w:val="bottom"/>
            <w:tcBorders>
              <w:bottom w:val="single" w:sz="8" w:color="auto"/>
            </w:tcBorders>
          </w:tcPr>
          <w:p>
            <w:pPr>
              <w:jc w:val="right"/>
              <w:ind w:right="80"/>
              <w:spacing w:after="0"/>
              <w:rPr>
                <w:sz w:val="20"/>
                <w:szCs w:val="20"/>
                <w:color w:val="auto"/>
              </w:rPr>
            </w:pPr>
            <w:r>
              <w:rPr>
                <w:rFonts w:ascii="Arial" w:cs="Arial" w:eastAsia="Arial" w:hAnsi="Arial"/>
                <w:sz w:val="14"/>
                <w:szCs w:val="14"/>
                <w:color w:val="auto"/>
              </w:rPr>
              <w:t>Shares</w:t>
            </w:r>
          </w:p>
        </w:tc>
        <w:tc>
          <w:tcPr>
            <w:tcW w:w="640" w:type="dxa"/>
            <w:vAlign w:val="bottom"/>
            <w:tcBorders>
              <w:bottom w:val="single" w:sz="8" w:color="auto"/>
            </w:tcBorders>
            <w:gridSpan w:val="2"/>
          </w:tcPr>
          <w:p>
            <w:pPr>
              <w:jc w:val="right"/>
              <w:ind w:right="20"/>
              <w:spacing w:after="0"/>
              <w:rPr>
                <w:sz w:val="20"/>
                <w:szCs w:val="20"/>
                <w:color w:val="auto"/>
              </w:rPr>
            </w:pPr>
            <w:r>
              <w:rPr>
                <w:rFonts w:ascii="Arial" w:cs="Arial" w:eastAsia="Arial" w:hAnsi="Arial"/>
                <w:sz w:val="14"/>
                <w:szCs w:val="14"/>
                <w:color w:val="auto"/>
              </w:rPr>
              <w:t>Amount</w:t>
            </w:r>
          </w:p>
        </w:tc>
        <w:tc>
          <w:tcPr>
            <w:tcW w:w="0" w:type="dxa"/>
            <w:vAlign w:val="bottom"/>
          </w:tcPr>
          <w:p>
            <w:pPr>
              <w:spacing w:after="0"/>
              <w:rPr>
                <w:sz w:val="1"/>
                <w:szCs w:val="1"/>
                <w:color w:val="auto"/>
              </w:rPr>
            </w:pPr>
          </w:p>
        </w:tc>
      </w:tr>
      <w:tr>
        <w:trPr>
          <w:trHeight w:val="199"/>
        </w:trPr>
        <w:tc>
          <w:tcPr>
            <w:tcW w:w="4680" w:type="dxa"/>
            <w:vAlign w:val="bottom"/>
            <w:gridSpan w:val="2"/>
          </w:tcPr>
          <w:p>
            <w:pPr>
              <w:spacing w:after="0" w:line="200" w:lineRule="exact"/>
              <w:rPr>
                <w:sz w:val="20"/>
                <w:szCs w:val="20"/>
                <w:color w:val="auto"/>
              </w:rPr>
            </w:pPr>
            <w:r>
              <w:rPr>
                <w:rFonts w:ascii="Arial" w:cs="Arial" w:eastAsia="Arial" w:hAnsi="Arial"/>
                <w:sz w:val="18"/>
                <w:szCs w:val="18"/>
                <w:color w:val="auto"/>
              </w:rPr>
              <w:t>Basic EPS</w:t>
            </w:r>
          </w:p>
        </w:tc>
        <w:tc>
          <w:tcPr>
            <w:tcW w:w="740" w:type="dxa"/>
            <w:vAlign w:val="bottom"/>
          </w:tcPr>
          <w:p>
            <w:pPr>
              <w:jc w:val="right"/>
              <w:ind w:right="79"/>
              <w:spacing w:after="0" w:line="200" w:lineRule="exact"/>
              <w:rPr>
                <w:sz w:val="20"/>
                <w:szCs w:val="20"/>
                <w:color w:val="auto"/>
              </w:rPr>
            </w:pPr>
            <w:r>
              <w:rPr>
                <w:rFonts w:ascii="Arial" w:cs="Arial" w:eastAsia="Arial" w:hAnsi="Arial"/>
                <w:sz w:val="18"/>
                <w:szCs w:val="18"/>
                <w:b w:val="1"/>
                <w:bCs w:val="1"/>
                <w:color w:val="auto"/>
              </w:rPr>
              <w:t>$2,235</w:t>
            </w:r>
          </w:p>
        </w:tc>
        <w:tc>
          <w:tcPr>
            <w:tcW w:w="740" w:type="dxa"/>
            <w:vAlign w:val="bottom"/>
          </w:tcPr>
          <w:p>
            <w:pPr>
              <w:jc w:val="right"/>
              <w:ind w:right="62"/>
              <w:spacing w:after="0" w:line="200" w:lineRule="exact"/>
              <w:rPr>
                <w:sz w:val="20"/>
                <w:szCs w:val="20"/>
                <w:color w:val="auto"/>
              </w:rPr>
            </w:pPr>
            <w:r>
              <w:rPr>
                <w:rFonts w:ascii="Arial" w:cs="Arial" w:eastAsia="Arial" w:hAnsi="Arial"/>
                <w:sz w:val="18"/>
                <w:szCs w:val="18"/>
                <w:b w:val="1"/>
                <w:bCs w:val="1"/>
                <w:color w:val="auto"/>
              </w:rPr>
              <w:t>3,160</w:t>
            </w:r>
          </w:p>
        </w:tc>
        <w:tc>
          <w:tcPr>
            <w:tcW w:w="820" w:type="dxa"/>
            <w:vAlign w:val="bottom"/>
          </w:tcPr>
          <w:p>
            <w:pPr>
              <w:jc w:val="right"/>
              <w:ind w:right="84"/>
              <w:spacing w:after="0" w:line="200" w:lineRule="exact"/>
              <w:rPr>
                <w:sz w:val="20"/>
                <w:szCs w:val="20"/>
                <w:color w:val="auto"/>
              </w:rPr>
            </w:pPr>
            <w:r>
              <w:rPr>
                <w:rFonts w:ascii="Arial" w:cs="Arial" w:eastAsia="Arial" w:hAnsi="Arial"/>
                <w:sz w:val="18"/>
                <w:szCs w:val="18"/>
                <w:b w:val="1"/>
                <w:bCs w:val="1"/>
                <w:color w:val="auto"/>
              </w:rPr>
              <w:t>$ 0.71</w:t>
            </w:r>
          </w:p>
        </w:tc>
        <w:tc>
          <w:tcPr>
            <w:tcW w:w="760" w:type="dxa"/>
            <w:vAlign w:val="bottom"/>
          </w:tcPr>
          <w:p>
            <w:pPr>
              <w:ind w:left="160"/>
              <w:spacing w:after="0" w:line="200" w:lineRule="exact"/>
              <w:rPr>
                <w:sz w:val="20"/>
                <w:szCs w:val="20"/>
                <w:color w:val="auto"/>
              </w:rPr>
            </w:pPr>
            <w:r>
              <w:rPr>
                <w:rFonts w:ascii="Arial" w:cs="Arial" w:eastAsia="Arial" w:hAnsi="Arial"/>
                <w:sz w:val="18"/>
                <w:szCs w:val="18"/>
                <w:color w:val="auto"/>
              </w:rPr>
              <w:t>$ 828</w:t>
            </w:r>
          </w:p>
        </w:tc>
        <w:tc>
          <w:tcPr>
            <w:tcW w:w="760" w:type="dxa"/>
            <w:vAlign w:val="bottom"/>
          </w:tcPr>
          <w:p>
            <w:pPr>
              <w:jc w:val="right"/>
              <w:ind w:right="80"/>
              <w:spacing w:after="0" w:line="200" w:lineRule="exact"/>
              <w:rPr>
                <w:sz w:val="20"/>
                <w:szCs w:val="20"/>
                <w:color w:val="auto"/>
              </w:rPr>
            </w:pPr>
            <w:r>
              <w:rPr>
                <w:rFonts w:ascii="Arial" w:cs="Arial" w:eastAsia="Arial" w:hAnsi="Arial"/>
                <w:sz w:val="18"/>
                <w:szCs w:val="18"/>
                <w:color w:val="auto"/>
              </w:rPr>
              <w:t>3,295</w:t>
            </w:r>
          </w:p>
        </w:tc>
        <w:tc>
          <w:tcPr>
            <w:tcW w:w="780" w:type="dxa"/>
            <w:vAlign w:val="bottom"/>
          </w:tcPr>
          <w:p>
            <w:pPr>
              <w:jc w:val="right"/>
              <w:ind w:right="84"/>
              <w:spacing w:after="0" w:line="200" w:lineRule="exact"/>
              <w:rPr>
                <w:sz w:val="20"/>
                <w:szCs w:val="20"/>
                <w:color w:val="auto"/>
              </w:rPr>
            </w:pPr>
            <w:r>
              <w:rPr>
                <w:rFonts w:ascii="Arial" w:cs="Arial" w:eastAsia="Arial" w:hAnsi="Arial"/>
                <w:sz w:val="18"/>
                <w:szCs w:val="18"/>
                <w:color w:val="auto"/>
              </w:rPr>
              <w:t>$ 0.25</w:t>
            </w:r>
          </w:p>
        </w:tc>
        <w:tc>
          <w:tcPr>
            <w:tcW w:w="760" w:type="dxa"/>
            <w:vAlign w:val="bottom"/>
          </w:tcPr>
          <w:p>
            <w:pPr>
              <w:ind w:left="160"/>
              <w:spacing w:after="0" w:line="200" w:lineRule="exact"/>
              <w:rPr>
                <w:sz w:val="20"/>
                <w:szCs w:val="20"/>
                <w:color w:val="auto"/>
              </w:rPr>
            </w:pPr>
            <w:r>
              <w:rPr>
                <w:rFonts w:ascii="Arial" w:cs="Arial" w:eastAsia="Arial" w:hAnsi="Arial"/>
                <w:sz w:val="18"/>
                <w:szCs w:val="18"/>
                <w:color w:val="auto"/>
              </w:rPr>
              <w:t>$ 928</w:t>
            </w:r>
          </w:p>
        </w:tc>
        <w:tc>
          <w:tcPr>
            <w:tcW w:w="760" w:type="dxa"/>
            <w:vAlign w:val="bottom"/>
          </w:tcPr>
          <w:p>
            <w:pPr>
              <w:jc w:val="right"/>
              <w:ind w:right="80"/>
              <w:spacing w:after="0" w:line="200" w:lineRule="exact"/>
              <w:rPr>
                <w:sz w:val="20"/>
                <w:szCs w:val="20"/>
                <w:color w:val="auto"/>
              </w:rPr>
            </w:pPr>
            <w:r>
              <w:rPr>
                <w:rFonts w:ascii="Arial" w:cs="Arial" w:eastAsia="Arial" w:hAnsi="Arial"/>
                <w:sz w:val="18"/>
                <w:szCs w:val="18"/>
                <w:color w:val="auto"/>
              </w:rPr>
              <w:t>3,360</w:t>
            </w:r>
          </w:p>
        </w:tc>
        <w:tc>
          <w:tcPr>
            <w:tcW w:w="620" w:type="dxa"/>
            <w:vAlign w:val="bottom"/>
          </w:tcPr>
          <w:p>
            <w:pPr>
              <w:jc w:val="right"/>
              <w:spacing w:after="0" w:line="200" w:lineRule="exact"/>
              <w:rPr>
                <w:sz w:val="20"/>
                <w:szCs w:val="20"/>
                <w:color w:val="auto"/>
              </w:rPr>
            </w:pPr>
            <w:r>
              <w:rPr>
                <w:rFonts w:ascii="Arial" w:cs="Arial" w:eastAsia="Arial" w:hAnsi="Arial"/>
                <w:sz w:val="18"/>
                <w:szCs w:val="18"/>
                <w:color w:val="auto"/>
              </w:rPr>
              <w:t>$ 0.28</w:t>
            </w: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4680" w:type="dxa"/>
            <w:vAlign w:val="bottom"/>
            <w:gridSpan w:val="2"/>
          </w:tcPr>
          <w:p>
            <w:pPr>
              <w:spacing w:after="0" w:line="202" w:lineRule="exact"/>
              <w:rPr>
                <w:sz w:val="20"/>
                <w:szCs w:val="20"/>
                <w:color w:val="auto"/>
              </w:rPr>
            </w:pPr>
            <w:r>
              <w:rPr>
                <w:rFonts w:ascii="Arial" w:cs="Arial" w:eastAsia="Arial" w:hAnsi="Arial"/>
                <w:sz w:val="18"/>
                <w:szCs w:val="18"/>
                <w:color w:val="auto"/>
              </w:rPr>
              <w:t>Effect of Dilutive Securities</w:t>
            </w:r>
          </w:p>
        </w:tc>
        <w:tc>
          <w:tcPr>
            <w:tcW w:w="74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6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4680" w:type="dxa"/>
            <w:vAlign w:val="bottom"/>
            <w:gridSpan w:val="2"/>
          </w:tcPr>
          <w:p>
            <w:pPr>
              <w:spacing w:after="0" w:line="202" w:lineRule="exact"/>
              <w:rPr>
                <w:sz w:val="20"/>
                <w:szCs w:val="20"/>
                <w:color w:val="auto"/>
              </w:rPr>
            </w:pPr>
            <w:r>
              <w:rPr>
                <w:rFonts w:ascii="Arial" w:cs="Arial" w:eastAsia="Arial" w:hAnsi="Arial"/>
                <w:sz w:val="18"/>
                <w:szCs w:val="18"/>
                <w:color w:val="auto"/>
              </w:rPr>
              <w:t>Assumed exercise or issuance of shares relating to</w:t>
            </w:r>
          </w:p>
        </w:tc>
        <w:tc>
          <w:tcPr>
            <w:tcW w:w="740" w:type="dxa"/>
            <w:vAlign w:val="bottom"/>
          </w:tcPr>
          <w:p>
            <w:pPr>
              <w:spacing w:after="0"/>
              <w:rPr>
                <w:sz w:val="17"/>
                <w:szCs w:val="17"/>
                <w:color w:val="auto"/>
              </w:rPr>
            </w:pPr>
          </w:p>
        </w:tc>
        <w:tc>
          <w:tcPr>
            <w:tcW w:w="740" w:type="dxa"/>
            <w:vAlign w:val="bottom"/>
            <w:vMerge w:val="restart"/>
          </w:tcPr>
          <w:p>
            <w:pPr>
              <w:jc w:val="right"/>
              <w:ind w:right="62"/>
              <w:spacing w:after="0"/>
              <w:rPr>
                <w:sz w:val="20"/>
                <w:szCs w:val="20"/>
                <w:color w:val="auto"/>
              </w:rPr>
            </w:pPr>
            <w:r>
              <w:rPr>
                <w:rFonts w:ascii="Arial" w:cs="Arial" w:eastAsia="Arial" w:hAnsi="Arial"/>
                <w:sz w:val="18"/>
                <w:szCs w:val="18"/>
                <w:b w:val="1"/>
                <w:bCs w:val="1"/>
                <w:color w:val="auto"/>
              </w:rPr>
              <w:t>20</w:t>
            </w:r>
          </w:p>
        </w:tc>
        <w:tc>
          <w:tcPr>
            <w:tcW w:w="82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6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9"/>
        </w:trPr>
        <w:tc>
          <w:tcPr>
            <w:tcW w:w="4680" w:type="dxa"/>
            <w:vAlign w:val="bottom"/>
            <w:tcBorders>
              <w:bottom w:val="single" w:sz="8" w:color="auto"/>
            </w:tcBorders>
            <w:gridSpan w:val="2"/>
          </w:tcPr>
          <w:p>
            <w:pPr>
              <w:ind w:left="220"/>
              <w:spacing w:after="0" w:line="200" w:lineRule="exact"/>
              <w:rPr>
                <w:sz w:val="20"/>
                <w:szCs w:val="20"/>
                <w:color w:val="auto"/>
              </w:rPr>
            </w:pPr>
            <w:r>
              <w:rPr>
                <w:rFonts w:ascii="Arial" w:cs="Arial" w:eastAsia="Arial" w:hAnsi="Arial"/>
                <w:sz w:val="18"/>
                <w:szCs w:val="18"/>
                <w:color w:val="auto"/>
              </w:rPr>
              <w:t>stock plans</w:t>
            </w:r>
          </w:p>
        </w:tc>
        <w:tc>
          <w:tcPr>
            <w:tcW w:w="740" w:type="dxa"/>
            <w:vAlign w:val="bottom"/>
            <w:tcBorders>
              <w:bottom w:val="single" w:sz="8" w:color="auto"/>
            </w:tcBorders>
          </w:tcPr>
          <w:p>
            <w:pPr>
              <w:spacing w:after="0"/>
              <w:rPr>
                <w:sz w:val="17"/>
                <w:szCs w:val="17"/>
                <w:color w:val="auto"/>
              </w:rPr>
            </w:pPr>
          </w:p>
        </w:tc>
        <w:tc>
          <w:tcPr>
            <w:tcW w:w="740" w:type="dxa"/>
            <w:vAlign w:val="bottom"/>
            <w:tcBorders>
              <w:bottom w:val="single" w:sz="8" w:color="auto"/>
            </w:tcBorders>
            <w:vMerge w:val="continue"/>
          </w:tcPr>
          <w:p>
            <w:pPr>
              <w:spacing w:after="0"/>
              <w:rPr>
                <w:sz w:val="17"/>
                <w:szCs w:val="17"/>
                <w:color w:val="auto"/>
              </w:rPr>
            </w:pPr>
          </w:p>
        </w:tc>
        <w:tc>
          <w:tcPr>
            <w:tcW w:w="820" w:type="dxa"/>
            <w:vAlign w:val="bottom"/>
            <w:tcBorders>
              <w:bottom w:val="single" w:sz="8" w:color="auto"/>
            </w:tcBorders>
          </w:tcPr>
          <w:p>
            <w:pPr>
              <w:spacing w:after="0"/>
              <w:rPr>
                <w:sz w:val="17"/>
                <w:szCs w:val="17"/>
                <w:color w:val="auto"/>
              </w:rPr>
            </w:pPr>
          </w:p>
        </w:tc>
        <w:tc>
          <w:tcPr>
            <w:tcW w:w="760" w:type="dxa"/>
            <w:vAlign w:val="bottom"/>
            <w:tcBorders>
              <w:bottom w:val="single" w:sz="8" w:color="auto"/>
            </w:tcBorders>
          </w:tcPr>
          <w:p>
            <w:pPr>
              <w:spacing w:after="0"/>
              <w:rPr>
                <w:sz w:val="17"/>
                <w:szCs w:val="17"/>
                <w:color w:val="auto"/>
              </w:rPr>
            </w:pPr>
          </w:p>
        </w:tc>
        <w:tc>
          <w:tcPr>
            <w:tcW w:w="760" w:type="dxa"/>
            <w:vAlign w:val="bottom"/>
            <w:tcBorders>
              <w:bottom w:val="single" w:sz="8" w:color="auto"/>
            </w:tcBorders>
          </w:tcPr>
          <w:p>
            <w:pPr>
              <w:jc w:val="right"/>
              <w:ind w:right="80"/>
              <w:spacing w:after="0" w:line="200" w:lineRule="exact"/>
              <w:rPr>
                <w:sz w:val="20"/>
                <w:szCs w:val="20"/>
                <w:color w:val="auto"/>
              </w:rPr>
            </w:pPr>
            <w:r>
              <w:rPr>
                <w:rFonts w:ascii="Arial" w:cs="Arial" w:eastAsia="Arial" w:hAnsi="Arial"/>
                <w:sz w:val="18"/>
                <w:szCs w:val="18"/>
                <w:color w:val="auto"/>
              </w:rPr>
              <w:t>17</w:t>
            </w:r>
          </w:p>
        </w:tc>
        <w:tc>
          <w:tcPr>
            <w:tcW w:w="780" w:type="dxa"/>
            <w:vAlign w:val="bottom"/>
            <w:tcBorders>
              <w:bottom w:val="single" w:sz="8" w:color="auto"/>
            </w:tcBorders>
          </w:tcPr>
          <w:p>
            <w:pPr>
              <w:spacing w:after="0"/>
              <w:rPr>
                <w:sz w:val="17"/>
                <w:szCs w:val="17"/>
                <w:color w:val="auto"/>
              </w:rPr>
            </w:pPr>
          </w:p>
        </w:tc>
        <w:tc>
          <w:tcPr>
            <w:tcW w:w="760" w:type="dxa"/>
            <w:vAlign w:val="bottom"/>
            <w:tcBorders>
              <w:bottom w:val="single" w:sz="8" w:color="auto"/>
            </w:tcBorders>
          </w:tcPr>
          <w:p>
            <w:pPr>
              <w:spacing w:after="0"/>
              <w:rPr>
                <w:sz w:val="17"/>
                <w:szCs w:val="17"/>
                <w:color w:val="auto"/>
              </w:rPr>
            </w:pPr>
          </w:p>
        </w:tc>
        <w:tc>
          <w:tcPr>
            <w:tcW w:w="760" w:type="dxa"/>
            <w:vAlign w:val="bottom"/>
            <w:tcBorders>
              <w:bottom w:val="single" w:sz="8" w:color="auto"/>
            </w:tcBorders>
          </w:tcPr>
          <w:p>
            <w:pPr>
              <w:jc w:val="right"/>
              <w:ind w:right="80"/>
              <w:spacing w:after="0" w:line="200" w:lineRule="exact"/>
              <w:rPr>
                <w:sz w:val="20"/>
                <w:szCs w:val="20"/>
                <w:color w:val="auto"/>
              </w:rPr>
            </w:pPr>
            <w:r>
              <w:rPr>
                <w:rFonts w:ascii="Arial" w:cs="Arial" w:eastAsia="Arial" w:hAnsi="Arial"/>
                <w:sz w:val="18"/>
                <w:szCs w:val="18"/>
                <w:color w:val="auto"/>
              </w:rPr>
              <w:t>15</w:t>
            </w:r>
          </w:p>
        </w:tc>
        <w:tc>
          <w:tcPr>
            <w:tcW w:w="620" w:type="dxa"/>
            <w:vAlign w:val="bottom"/>
            <w:tcBorders>
              <w:bottom w:val="single" w:sz="8" w:color="auto"/>
            </w:tcBorders>
          </w:tcPr>
          <w:p>
            <w:pPr>
              <w:spacing w:after="0"/>
              <w:rPr>
                <w:sz w:val="17"/>
                <w:szCs w:val="17"/>
                <w:color w:val="auto"/>
              </w:rPr>
            </w:pP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4680" w:type="dxa"/>
            <w:vAlign w:val="bottom"/>
            <w:tcBorders>
              <w:bottom w:val="single" w:sz="8" w:color="35BF85"/>
            </w:tcBorders>
            <w:gridSpan w:val="2"/>
          </w:tcPr>
          <w:p>
            <w:pPr>
              <w:spacing w:after="0" w:line="196" w:lineRule="exact"/>
              <w:rPr>
                <w:sz w:val="20"/>
                <w:szCs w:val="20"/>
                <w:color w:val="auto"/>
              </w:rPr>
            </w:pPr>
            <w:r>
              <w:rPr>
                <w:rFonts w:ascii="Arial" w:cs="Arial" w:eastAsia="Arial" w:hAnsi="Arial"/>
                <w:sz w:val="18"/>
                <w:szCs w:val="18"/>
                <w:color w:val="auto"/>
              </w:rPr>
              <w:t>Diluted EPS</w:t>
            </w:r>
          </w:p>
        </w:tc>
        <w:tc>
          <w:tcPr>
            <w:tcW w:w="740" w:type="dxa"/>
            <w:vAlign w:val="bottom"/>
            <w:tcBorders>
              <w:bottom w:val="single" w:sz="8" w:color="35BF85"/>
            </w:tcBorders>
          </w:tcPr>
          <w:p>
            <w:pPr>
              <w:jc w:val="right"/>
              <w:ind w:right="79"/>
              <w:spacing w:after="0" w:line="196" w:lineRule="exact"/>
              <w:rPr>
                <w:sz w:val="20"/>
                <w:szCs w:val="20"/>
                <w:color w:val="auto"/>
              </w:rPr>
            </w:pPr>
            <w:r>
              <w:rPr>
                <w:rFonts w:ascii="Arial" w:cs="Arial" w:eastAsia="Arial" w:hAnsi="Arial"/>
                <w:sz w:val="18"/>
                <w:szCs w:val="18"/>
                <w:b w:val="1"/>
                <w:bCs w:val="1"/>
                <w:color w:val="auto"/>
              </w:rPr>
              <w:t>$2,235</w:t>
            </w:r>
          </w:p>
        </w:tc>
        <w:tc>
          <w:tcPr>
            <w:tcW w:w="740" w:type="dxa"/>
            <w:vAlign w:val="bottom"/>
            <w:tcBorders>
              <w:bottom w:val="single" w:sz="8" w:color="35BF85"/>
            </w:tcBorders>
          </w:tcPr>
          <w:p>
            <w:pPr>
              <w:jc w:val="right"/>
              <w:ind w:right="62"/>
              <w:spacing w:after="0" w:line="196" w:lineRule="exact"/>
              <w:rPr>
                <w:sz w:val="20"/>
                <w:szCs w:val="20"/>
                <w:color w:val="auto"/>
              </w:rPr>
            </w:pPr>
            <w:r>
              <w:rPr>
                <w:rFonts w:ascii="Arial" w:cs="Arial" w:eastAsia="Arial" w:hAnsi="Arial"/>
                <w:sz w:val="18"/>
                <w:szCs w:val="18"/>
                <w:b w:val="1"/>
                <w:bCs w:val="1"/>
                <w:color w:val="auto"/>
              </w:rPr>
              <w:t>3,180</w:t>
            </w:r>
          </w:p>
        </w:tc>
        <w:tc>
          <w:tcPr>
            <w:tcW w:w="820" w:type="dxa"/>
            <w:vAlign w:val="bottom"/>
            <w:tcBorders>
              <w:bottom w:val="single" w:sz="8" w:color="35BF85"/>
            </w:tcBorders>
          </w:tcPr>
          <w:p>
            <w:pPr>
              <w:jc w:val="right"/>
              <w:ind w:right="84"/>
              <w:spacing w:after="0" w:line="196" w:lineRule="exact"/>
              <w:rPr>
                <w:sz w:val="20"/>
                <w:szCs w:val="20"/>
                <w:color w:val="auto"/>
              </w:rPr>
            </w:pPr>
            <w:r>
              <w:rPr>
                <w:rFonts w:ascii="Arial" w:cs="Arial" w:eastAsia="Arial" w:hAnsi="Arial"/>
                <w:sz w:val="18"/>
                <w:szCs w:val="18"/>
                <w:b w:val="1"/>
                <w:bCs w:val="1"/>
                <w:color w:val="auto"/>
              </w:rPr>
              <w:t>$ 0.70</w:t>
            </w:r>
          </w:p>
        </w:tc>
        <w:tc>
          <w:tcPr>
            <w:tcW w:w="760" w:type="dxa"/>
            <w:vAlign w:val="bottom"/>
            <w:tcBorders>
              <w:bottom w:val="single" w:sz="8" w:color="35BF85"/>
            </w:tcBorders>
          </w:tcPr>
          <w:p>
            <w:pPr>
              <w:ind w:left="160"/>
              <w:spacing w:after="0" w:line="196" w:lineRule="exact"/>
              <w:rPr>
                <w:sz w:val="20"/>
                <w:szCs w:val="20"/>
                <w:color w:val="auto"/>
              </w:rPr>
            </w:pPr>
            <w:r>
              <w:rPr>
                <w:rFonts w:ascii="Arial" w:cs="Arial" w:eastAsia="Arial" w:hAnsi="Arial"/>
                <w:sz w:val="18"/>
                <w:szCs w:val="18"/>
                <w:color w:val="auto"/>
              </w:rPr>
              <w:t>$ 828</w:t>
            </w:r>
          </w:p>
        </w:tc>
        <w:tc>
          <w:tcPr>
            <w:tcW w:w="760" w:type="dxa"/>
            <w:vAlign w:val="bottom"/>
            <w:tcBorders>
              <w:bottom w:val="single" w:sz="8" w:color="35BF85"/>
            </w:tcBorders>
          </w:tcPr>
          <w:p>
            <w:pPr>
              <w:jc w:val="right"/>
              <w:ind w:right="80"/>
              <w:spacing w:after="0" w:line="196" w:lineRule="exact"/>
              <w:rPr>
                <w:sz w:val="20"/>
                <w:szCs w:val="20"/>
                <w:color w:val="auto"/>
              </w:rPr>
            </w:pPr>
            <w:r>
              <w:rPr>
                <w:rFonts w:ascii="Arial" w:cs="Arial" w:eastAsia="Arial" w:hAnsi="Arial"/>
                <w:sz w:val="18"/>
                <w:szCs w:val="18"/>
                <w:color w:val="auto"/>
              </w:rPr>
              <w:t>3,312</w:t>
            </w:r>
          </w:p>
        </w:tc>
        <w:tc>
          <w:tcPr>
            <w:tcW w:w="780" w:type="dxa"/>
            <w:vAlign w:val="bottom"/>
            <w:tcBorders>
              <w:bottom w:val="single" w:sz="8" w:color="35BF85"/>
            </w:tcBorders>
          </w:tcPr>
          <w:p>
            <w:pPr>
              <w:jc w:val="right"/>
              <w:ind w:right="84"/>
              <w:spacing w:after="0" w:line="196" w:lineRule="exact"/>
              <w:rPr>
                <w:sz w:val="20"/>
                <w:szCs w:val="20"/>
                <w:color w:val="auto"/>
              </w:rPr>
            </w:pPr>
            <w:r>
              <w:rPr>
                <w:rFonts w:ascii="Arial" w:cs="Arial" w:eastAsia="Arial" w:hAnsi="Arial"/>
                <w:sz w:val="18"/>
                <w:szCs w:val="18"/>
                <w:color w:val="auto"/>
              </w:rPr>
              <w:t>$ 0.25</w:t>
            </w:r>
          </w:p>
        </w:tc>
        <w:tc>
          <w:tcPr>
            <w:tcW w:w="760" w:type="dxa"/>
            <w:vAlign w:val="bottom"/>
            <w:tcBorders>
              <w:bottom w:val="single" w:sz="8" w:color="35BF85"/>
            </w:tcBorders>
          </w:tcPr>
          <w:p>
            <w:pPr>
              <w:ind w:left="160"/>
              <w:spacing w:after="0" w:line="196" w:lineRule="exact"/>
              <w:rPr>
                <w:sz w:val="20"/>
                <w:szCs w:val="20"/>
                <w:color w:val="auto"/>
              </w:rPr>
            </w:pPr>
            <w:r>
              <w:rPr>
                <w:rFonts w:ascii="Arial" w:cs="Arial" w:eastAsia="Arial" w:hAnsi="Arial"/>
                <w:sz w:val="18"/>
                <w:szCs w:val="18"/>
                <w:color w:val="auto"/>
              </w:rPr>
              <w:t>$ 928</w:t>
            </w:r>
          </w:p>
        </w:tc>
        <w:tc>
          <w:tcPr>
            <w:tcW w:w="760" w:type="dxa"/>
            <w:vAlign w:val="bottom"/>
            <w:tcBorders>
              <w:bottom w:val="single" w:sz="8" w:color="35BF85"/>
            </w:tcBorders>
          </w:tcPr>
          <w:p>
            <w:pPr>
              <w:jc w:val="right"/>
              <w:ind w:right="80"/>
              <w:spacing w:after="0" w:line="196" w:lineRule="exact"/>
              <w:rPr>
                <w:sz w:val="20"/>
                <w:szCs w:val="20"/>
                <w:color w:val="auto"/>
              </w:rPr>
            </w:pPr>
            <w:r>
              <w:rPr>
                <w:rFonts w:ascii="Arial" w:cs="Arial" w:eastAsia="Arial" w:hAnsi="Arial"/>
                <w:sz w:val="18"/>
                <w:szCs w:val="18"/>
                <w:color w:val="auto"/>
              </w:rPr>
              <w:t>3,375</w:t>
            </w:r>
          </w:p>
        </w:tc>
        <w:tc>
          <w:tcPr>
            <w:tcW w:w="620" w:type="dxa"/>
            <w:vAlign w:val="bottom"/>
            <w:tcBorders>
              <w:bottom w:val="single" w:sz="8" w:color="35BF85"/>
            </w:tcBorders>
          </w:tcPr>
          <w:p>
            <w:pPr>
              <w:jc w:val="right"/>
              <w:spacing w:after="0" w:line="196" w:lineRule="exact"/>
              <w:rPr>
                <w:sz w:val="20"/>
                <w:szCs w:val="20"/>
                <w:color w:val="auto"/>
              </w:rPr>
            </w:pPr>
            <w:r>
              <w:rPr>
                <w:rFonts w:ascii="Arial" w:cs="Arial" w:eastAsia="Arial" w:hAnsi="Arial"/>
                <w:sz w:val="18"/>
                <w:szCs w:val="18"/>
                <w:color w:val="auto"/>
              </w:rPr>
              <w:t>$ 0.28</w:t>
            </w: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304"/>
        </w:trPr>
        <w:tc>
          <w:tcPr>
            <w:tcW w:w="4680" w:type="dxa"/>
            <w:vAlign w:val="bottom"/>
            <w:gridSpan w:val="2"/>
          </w:tcPr>
          <w:p>
            <w:pPr>
              <w:spacing w:after="0"/>
              <w:rPr>
                <w:sz w:val="20"/>
                <w:szCs w:val="20"/>
                <w:color w:val="auto"/>
              </w:rPr>
            </w:pPr>
            <w:r>
              <w:rPr>
                <w:rFonts w:ascii="Arial" w:cs="Arial" w:eastAsia="Arial" w:hAnsi="Arial"/>
                <w:sz w:val="14"/>
                <w:szCs w:val="14"/>
                <w:b w:val="1"/>
                <w:bCs w:val="1"/>
                <w:color w:val="auto"/>
                <w:w w:val="97"/>
              </w:rPr>
              <w:t xml:space="preserve">Notes to Consolidated Financial Statements </w:t>
            </w:r>
            <w:r>
              <w:rPr>
                <w:rFonts w:ascii="Arial" w:cs="Arial" w:eastAsia="Arial" w:hAnsi="Arial"/>
                <w:sz w:val="14"/>
                <w:szCs w:val="14"/>
                <w:color w:val="auto"/>
                <w:w w:val="97"/>
              </w:rPr>
              <w:t>Comcast 2006 Annual Report</w:t>
            </w:r>
          </w:p>
        </w:tc>
        <w:tc>
          <w:tcPr>
            <w:tcW w:w="740" w:type="dxa"/>
            <w:vAlign w:val="bottom"/>
          </w:tcPr>
          <w:p>
            <w:pPr>
              <w:spacing w:after="0"/>
              <w:rPr>
                <w:sz w:val="24"/>
                <w:szCs w:val="24"/>
                <w:color w:val="auto"/>
              </w:rPr>
            </w:pPr>
          </w:p>
        </w:tc>
        <w:tc>
          <w:tcPr>
            <w:tcW w:w="740" w:type="dxa"/>
            <w:vAlign w:val="bottom"/>
          </w:tcPr>
          <w:p>
            <w:pPr>
              <w:jc w:val="right"/>
              <w:ind w:right="242"/>
              <w:spacing w:after="0"/>
              <w:rPr>
                <w:sz w:val="20"/>
                <w:szCs w:val="20"/>
                <w:color w:val="auto"/>
              </w:rPr>
            </w:pPr>
            <w:r>
              <w:rPr>
                <w:rFonts w:ascii="Arial" w:cs="Arial" w:eastAsia="Arial" w:hAnsi="Arial"/>
                <w:sz w:val="14"/>
                <w:szCs w:val="14"/>
                <w:b w:val="1"/>
                <w:bCs w:val="1"/>
                <w:color w:val="auto"/>
              </w:rPr>
              <w:t>48</w:t>
            </w:r>
          </w:p>
        </w:tc>
        <w:tc>
          <w:tcPr>
            <w:tcW w:w="82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420"/>
          </w:cols>
          <w:pgMar w:left="240" w:top="459" w:right="239" w:bottom="1440" w:gutter="0" w:footer="0" w:header="0"/>
          <w:type w:val="continuous"/>
        </w:sectPr>
      </w:pPr>
    </w:p>
    <w:bookmarkStart w:id="125" w:name="page126"/>
    <w:bookmarkEnd w:id="125"/>
    <w:p>
      <w:pPr>
        <w:spacing w:after="0"/>
        <w:rPr>
          <w:rFonts w:ascii="Arial" w:cs="Arial" w:eastAsia="Arial" w:hAnsi="Arial"/>
          <w:sz w:val="16"/>
          <w:szCs w:val="16"/>
          <w:b w:val="1"/>
          <w:bCs w:val="1"/>
          <w:u w:val="single" w:color="auto"/>
          <w:color w:val="0000EE"/>
        </w:rPr>
      </w:pPr>
      <w:r>
        <w:rPr>
          <w:rFonts w:ascii="Arial" w:cs="Arial" w:eastAsia="Arial" w:hAnsi="Arial"/>
          <w:sz w:val="16"/>
          <w:szCs w:val="16"/>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187" name="Picture 1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7"/>
                    <pic:cNvPicPr>
                      <a:picLocks noChangeAspect="1" noChangeArrowheads="1"/>
                    </pic:cNvPicPr>
                  </pic:nvPicPr>
                  <pic:blipFill>
                    <a:blip r:embed="rId194">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3">
        <w:r>
          <w:rPr>
            <w:rFonts w:ascii="Arial" w:cs="Arial" w:eastAsia="Arial" w:hAnsi="Arial"/>
            <w:sz w:val="16"/>
            <w:szCs w:val="16"/>
            <w:b w:val="1"/>
            <w:bCs w:val="1"/>
            <w:u w:val="single" w:color="auto"/>
            <w:color w:val="0000EE"/>
          </w:rPr>
          <w:t>Table of Contents</w:t>
        </w:r>
      </w:hyperlink>
    </w:p>
    <w:p>
      <w:pPr>
        <w:sectPr>
          <w:pgSz w:w="11900" w:h="16838" w:orient="portrait"/>
          <w:cols w:equalWidth="0" w:num="1">
            <w:col w:w="11420"/>
          </w:cols>
          <w:pgMar w:left="240" w:top="459" w:right="239" w:bottom="1440" w:gutter="0" w:footer="0" w:header="0"/>
        </w:sectPr>
      </w:pPr>
    </w:p>
    <w:p>
      <w:pPr>
        <w:spacing w:after="0" w:line="200" w:lineRule="exact"/>
        <w:rPr>
          <w:sz w:val="20"/>
          <w:szCs w:val="20"/>
          <w:color w:val="auto"/>
        </w:rPr>
      </w:pPr>
    </w:p>
    <w:p>
      <w:pPr>
        <w:spacing w:after="0" w:line="299" w:lineRule="exact"/>
        <w:rPr>
          <w:sz w:val="20"/>
          <w:szCs w:val="20"/>
          <w:color w:val="auto"/>
        </w:rPr>
      </w:pPr>
    </w:p>
    <w:p>
      <w:pPr>
        <w:spacing w:after="0"/>
        <w:rPr>
          <w:sz w:val="20"/>
          <w:szCs w:val="20"/>
          <w:color w:val="auto"/>
        </w:rPr>
      </w:pPr>
      <w:r>
        <w:rPr>
          <w:rFonts w:ascii="Arial" w:cs="Arial" w:eastAsia="Arial" w:hAnsi="Arial"/>
          <w:sz w:val="18"/>
          <w:szCs w:val="18"/>
          <w:color w:val="35BF85"/>
        </w:rPr>
        <w:t>Note 5: Acquisitions and Other Significant Events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63500</wp:posOffset>
            </wp:positionV>
            <wp:extent cx="3481705" cy="8890"/>
            <wp:wrapNone/>
            <wp:docPr id="188" name="Picture 1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8"/>
                    <pic:cNvPicPr>
                      <a:picLocks noChangeAspect="1" noChangeArrowheads="1"/>
                    </pic:cNvPicPr>
                  </pic:nvPicPr>
                  <pic:blipFill>
                    <a:blip r:embed="rId195">
                      <a:extLst>
                        <a:ext uri="{28A0092B-C50C-407E-A947-70E740481C1C}"/>
                      </a:extLst>
                    </a:blip>
                    <a:srcRect/>
                    <a:stretch>
                      <a:fillRect/>
                    </a:stretch>
                  </pic:blipFill>
                  <pic:spPr bwMode="auto">
                    <a:xfrm>
                      <a:off x="0" y="0"/>
                      <a:ext cx="3481705" cy="8890"/>
                    </a:xfrm>
                    <a:prstGeom prst="rect">
                      <a:avLst/>
                    </a:prstGeom>
                    <a:noFill/>
                  </pic:spPr>
                </pic:pic>
              </a:graphicData>
            </a:graphic>
          </wp:anchor>
        </w:drawing>
      </w:r>
    </w:p>
    <w:p>
      <w:pPr>
        <w:spacing w:after="0" w:line="23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Adelphia and Time Warner Transactions</w:t>
      </w:r>
    </w:p>
    <w:p>
      <w:pPr>
        <w:spacing w:after="0" w:line="18" w:lineRule="exact"/>
        <w:rPr>
          <w:sz w:val="20"/>
          <w:szCs w:val="20"/>
          <w:color w:val="auto"/>
        </w:rPr>
      </w:pPr>
    </w:p>
    <w:p>
      <w:pPr>
        <w:jc w:val="both"/>
        <w:spacing w:after="0" w:line="235" w:lineRule="auto"/>
        <w:rPr>
          <w:sz w:val="20"/>
          <w:szCs w:val="20"/>
          <w:color w:val="auto"/>
        </w:rPr>
      </w:pPr>
      <w:r>
        <w:rPr>
          <w:rFonts w:ascii="Arial" w:cs="Arial" w:eastAsia="Arial" w:hAnsi="Arial"/>
          <w:sz w:val="18"/>
          <w:szCs w:val="18"/>
          <w:color w:val="auto"/>
        </w:rPr>
        <w:t>In April 2005, we entered into an agreement with Adelphia Communications (“Adelphia”) in which we agreed to acquire certain assets and assume certain liabilities of Adelphia (the “Adelphia Acquisition”). At the same time, we and Time Warner Cable Inc. and certain of its affiliates (“TWC”) entered into several agreements in which we agreed to (i) have our interest in Time Warner Entertainment Company, L.P. (“TWE”) redeemed, (ii) have our interest in TWC redeemed (together with the TWE redemption, the “Redemptions”), and (iii) exchange certain cable systems acquired from Adelphia and certain Comcast cable systems with TWC (the “Exchanges”). On July 31, 2006, these transactions were completed. We collectively refer to the Adelphia Acquisition, the Redemptions and the Exchanges as the “Adelphia and Time Warner transactions.” Also in April 2005, Adelphia and TWC entered into an agreement for the acquisition of substantially all of the remaining cable system assets and the assumption of certain of the liabilities of Adelphia.</w:t>
      </w:r>
    </w:p>
    <w:p>
      <w:pPr>
        <w:spacing w:after="0" w:line="161" w:lineRule="exact"/>
        <w:rPr>
          <w:sz w:val="20"/>
          <w:szCs w:val="20"/>
          <w:color w:val="auto"/>
        </w:rPr>
      </w:pPr>
    </w:p>
    <w:p>
      <w:pPr>
        <w:jc w:val="both"/>
        <w:spacing w:after="0" w:line="236" w:lineRule="auto"/>
        <w:rPr>
          <w:sz w:val="20"/>
          <w:szCs w:val="20"/>
          <w:color w:val="auto"/>
        </w:rPr>
      </w:pPr>
      <w:r>
        <w:rPr>
          <w:rFonts w:ascii="Arial" w:cs="Arial" w:eastAsia="Arial" w:hAnsi="Arial"/>
          <w:sz w:val="18"/>
          <w:szCs w:val="18"/>
          <w:color w:val="auto"/>
        </w:rPr>
        <w:t>The Adelphia and Time Warner transactions, which are described in more detail below, resulted in a net increase of 1.7 million video subscribers, a net cash payment by us of approximately $1.5 billion and the disposition of our ownership interests in TWE and TWC and the assets of two cable system partnerships.</w:t>
      </w:r>
    </w:p>
    <w:p>
      <w:pPr>
        <w:spacing w:after="0" w:line="157" w:lineRule="exact"/>
        <w:rPr>
          <w:sz w:val="20"/>
          <w:szCs w:val="20"/>
          <w:color w:val="auto"/>
        </w:rPr>
      </w:pPr>
    </w:p>
    <w:p>
      <w:pPr>
        <w:jc w:val="both"/>
        <w:spacing w:after="0" w:line="236" w:lineRule="auto"/>
        <w:rPr>
          <w:sz w:val="20"/>
          <w:szCs w:val="20"/>
          <w:color w:val="auto"/>
        </w:rPr>
      </w:pPr>
      <w:r>
        <w:rPr>
          <w:rFonts w:ascii="Arial" w:cs="Arial" w:eastAsia="Arial" w:hAnsi="Arial"/>
          <w:sz w:val="18"/>
          <w:szCs w:val="18"/>
          <w:color w:val="auto"/>
        </w:rPr>
        <w:t>The Adelphia and Time Warner transactions added cable systems located in 16 states (California, Colorado, Connecticut, Florida, Georgia, Louisiana, Maryland, Massachusetts, Minnesota, Mississippi, Oregon, Pennsylvania, Tennessee, Vermont, Virginia and West Virginia). We expect that the larger systems will result in economies of scale.</w:t>
      </w:r>
    </w:p>
    <w:p>
      <w:pPr>
        <w:spacing w:after="0" w:line="134" w:lineRule="exact"/>
        <w:rPr>
          <w:sz w:val="20"/>
          <w:szCs w:val="20"/>
          <w:color w:val="auto"/>
        </w:rPr>
      </w:pPr>
    </w:p>
    <w:p>
      <w:pPr>
        <w:spacing w:after="0"/>
        <w:rPr>
          <w:sz w:val="20"/>
          <w:szCs w:val="20"/>
          <w:color w:val="auto"/>
        </w:rPr>
      </w:pPr>
      <w:r>
        <w:rPr>
          <w:rFonts w:ascii="Arial" w:cs="Arial" w:eastAsia="Arial" w:hAnsi="Arial"/>
          <w:sz w:val="18"/>
          <w:szCs w:val="18"/>
          <w:b w:val="1"/>
          <w:bCs w:val="1"/>
          <w:color w:val="35BF85"/>
        </w:rPr>
        <w:t>The Adelphia Acquisition</w:t>
      </w:r>
    </w:p>
    <w:p>
      <w:pPr>
        <w:spacing w:after="0" w:line="18" w:lineRule="exact"/>
        <w:rPr>
          <w:sz w:val="20"/>
          <w:szCs w:val="20"/>
          <w:color w:val="auto"/>
        </w:rPr>
      </w:pPr>
    </w:p>
    <w:p>
      <w:pPr>
        <w:jc w:val="both"/>
        <w:spacing w:after="0" w:line="235" w:lineRule="auto"/>
        <w:rPr>
          <w:sz w:val="20"/>
          <w:szCs w:val="20"/>
          <w:color w:val="auto"/>
        </w:rPr>
      </w:pPr>
      <w:r>
        <w:rPr>
          <w:rFonts w:ascii="Arial" w:cs="Arial" w:eastAsia="Arial" w:hAnsi="Arial"/>
          <w:sz w:val="18"/>
          <w:szCs w:val="18"/>
          <w:color w:val="auto"/>
        </w:rPr>
        <w:t>We paid approximately $3.6 billion in cash for the acquisition of Adelphia’s interest in two cable system partnerships and certain Adelphia cable systems and to satisfy certain related liabilities. Approximately $2.3 billion of the amount paid was related to the acquisition of Adelphia’s interest in Century — TCI California Communications, L.P. (“Century”) and Parnassos Communications, L.P. (“Parnassos” and together with Century, the “Partnerships”). We held a 25% interest in Century and a 33.33% interest in Parnassos. Our prior interests in the Partnerships were accounted for as cost method investments. After acquiring Adelphia’s interests in the Partnerships, we transferred the cable systems held by the Partnerships to TWC in the Exchanges, as discussed further below.</w:t>
      </w:r>
    </w:p>
    <w:p>
      <w:pPr>
        <w:spacing w:after="0" w:line="161" w:lineRule="exact"/>
        <w:rPr>
          <w:sz w:val="20"/>
          <w:szCs w:val="20"/>
          <w:color w:val="auto"/>
        </w:rPr>
      </w:pPr>
    </w:p>
    <w:p>
      <w:pPr>
        <w:jc w:val="both"/>
        <w:spacing w:after="0" w:line="281" w:lineRule="auto"/>
        <w:rPr>
          <w:sz w:val="20"/>
          <w:szCs w:val="20"/>
          <w:color w:val="auto"/>
        </w:rPr>
      </w:pPr>
      <w:r>
        <w:rPr>
          <w:rFonts w:ascii="Arial" w:cs="Arial" w:eastAsia="Arial" w:hAnsi="Arial"/>
          <w:sz w:val="16"/>
          <w:szCs w:val="16"/>
          <w:color w:val="auto"/>
        </w:rPr>
        <w:t>In addition to acquiring Adelphia’s interest in Century and Parnassos, we acquired cable systems from Adelphia for approximately $600 million in cash that we continue to own and operate.</w:t>
      </w:r>
    </w:p>
    <w:p>
      <w:pPr>
        <w:spacing w:after="0" w:line="102" w:lineRule="exact"/>
        <w:rPr>
          <w:sz w:val="20"/>
          <w:szCs w:val="20"/>
          <w:color w:val="auto"/>
        </w:rPr>
      </w:pPr>
    </w:p>
    <w:p>
      <w:pPr>
        <w:spacing w:after="0"/>
        <w:rPr>
          <w:sz w:val="20"/>
          <w:szCs w:val="20"/>
          <w:color w:val="auto"/>
        </w:rPr>
      </w:pPr>
      <w:r>
        <w:rPr>
          <w:rFonts w:ascii="Arial" w:cs="Arial" w:eastAsia="Arial" w:hAnsi="Arial"/>
          <w:sz w:val="18"/>
          <w:szCs w:val="18"/>
          <w:b w:val="1"/>
          <w:bCs w:val="1"/>
          <w:color w:val="35BF85"/>
        </w:rPr>
        <w:t>The Redemptions</w:t>
      </w:r>
    </w:p>
    <w:p>
      <w:pPr>
        <w:spacing w:after="0" w:line="18" w:lineRule="exact"/>
        <w:rPr>
          <w:sz w:val="20"/>
          <w:szCs w:val="20"/>
          <w:color w:val="auto"/>
        </w:rPr>
      </w:pPr>
    </w:p>
    <w:p>
      <w:pPr>
        <w:jc w:val="both"/>
        <w:spacing w:after="0" w:line="239" w:lineRule="auto"/>
        <w:rPr>
          <w:sz w:val="20"/>
          <w:szCs w:val="20"/>
          <w:color w:val="auto"/>
        </w:rPr>
      </w:pPr>
      <w:r>
        <w:rPr>
          <w:rFonts w:ascii="Arial" w:cs="Arial" w:eastAsia="Arial" w:hAnsi="Arial"/>
          <w:sz w:val="18"/>
          <w:szCs w:val="18"/>
          <w:color w:val="auto"/>
        </w:rPr>
        <w:t>Our 4.7% interest in TWE was redeemed in exchange for 100% of the equity interests in a subsidiary of TWE holding cable systems</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79" w:lineRule="exact"/>
        <w:rPr>
          <w:sz w:val="20"/>
          <w:szCs w:val="20"/>
          <w:color w:val="auto"/>
        </w:rPr>
      </w:pPr>
    </w:p>
    <w:p>
      <w:pPr>
        <w:jc w:val="both"/>
        <w:ind w:left="140" w:right="120"/>
        <w:spacing w:after="0" w:line="236" w:lineRule="auto"/>
        <w:rPr>
          <w:sz w:val="20"/>
          <w:szCs w:val="20"/>
          <w:color w:val="auto"/>
        </w:rPr>
      </w:pPr>
      <w:r>
        <w:rPr>
          <w:rFonts w:ascii="Arial" w:cs="Arial" w:eastAsia="Arial" w:hAnsi="Arial"/>
          <w:sz w:val="18"/>
          <w:szCs w:val="18"/>
          <w:color w:val="auto"/>
        </w:rPr>
        <w:t>with a fair value of approximately $600 million and approximately $147 million in cash. Our 17.9% interest in TWC was redeemed in exchange for 100% of the capital stock of a subsidiary of TWC holding cable systems with a fair value of approximately $2.7 billion and approximately $1.9 billion in cash. Our ownership interests in TWE and TWC were accounted for as cost method investments.</w:t>
      </w:r>
    </w:p>
    <w:p>
      <w:pPr>
        <w:spacing w:after="0" w:line="156" w:lineRule="exact"/>
        <w:rPr>
          <w:sz w:val="20"/>
          <w:szCs w:val="20"/>
          <w:color w:val="auto"/>
        </w:rPr>
      </w:pPr>
    </w:p>
    <w:p>
      <w:pPr>
        <w:jc w:val="both"/>
        <w:ind w:left="140" w:right="120"/>
        <w:spacing w:after="0" w:line="238" w:lineRule="auto"/>
        <w:rPr>
          <w:sz w:val="20"/>
          <w:szCs w:val="20"/>
          <w:color w:val="auto"/>
        </w:rPr>
      </w:pPr>
      <w:r>
        <w:rPr>
          <w:rFonts w:ascii="Arial" w:cs="Arial" w:eastAsia="Arial" w:hAnsi="Arial"/>
          <w:sz w:val="18"/>
          <w:szCs w:val="18"/>
          <w:color w:val="auto"/>
        </w:rPr>
        <w:t>We recognized a gain of approximately $535 million, in the aggregate, on the Redemptions, which is included in investment income (loss), net.</w:t>
      </w:r>
    </w:p>
    <w:p>
      <w:pPr>
        <w:spacing w:after="0" w:line="150" w:lineRule="exact"/>
        <w:rPr>
          <w:sz w:val="20"/>
          <w:szCs w:val="20"/>
          <w:color w:val="auto"/>
        </w:rPr>
      </w:pPr>
    </w:p>
    <w:p>
      <w:pPr>
        <w:ind w:left="140"/>
        <w:spacing w:after="0"/>
        <w:rPr>
          <w:sz w:val="20"/>
          <w:szCs w:val="20"/>
          <w:color w:val="auto"/>
        </w:rPr>
      </w:pPr>
      <w:r>
        <w:rPr>
          <w:rFonts w:ascii="Arial" w:cs="Arial" w:eastAsia="Arial" w:hAnsi="Arial"/>
          <w:sz w:val="18"/>
          <w:szCs w:val="18"/>
          <w:color w:val="35BF85"/>
        </w:rPr>
        <w:t>The Exchanges</w:t>
      </w:r>
    </w:p>
    <w:p>
      <w:pPr>
        <w:jc w:val="both"/>
        <w:ind w:left="140" w:right="120"/>
        <w:spacing w:after="0" w:line="236" w:lineRule="auto"/>
        <w:rPr>
          <w:sz w:val="20"/>
          <w:szCs w:val="20"/>
          <w:color w:val="auto"/>
        </w:rPr>
      </w:pPr>
      <w:r>
        <w:rPr>
          <w:rFonts w:ascii="Arial" w:cs="Arial" w:eastAsia="Arial" w:hAnsi="Arial"/>
          <w:sz w:val="18"/>
          <w:szCs w:val="18"/>
          <w:color w:val="auto"/>
        </w:rPr>
        <w:t>The estimated fair value of the cable systems we transferred to and received from TWC was approximately $8.6 billion and $8.5 billion, respectively. TWC made net cash payments aggregating approximately $67 million to us for certain preliminary adjustments related to the Exchanges.</w:t>
      </w:r>
    </w:p>
    <w:p>
      <w:pPr>
        <w:spacing w:after="0" w:line="157" w:lineRule="exact"/>
        <w:rPr>
          <w:sz w:val="20"/>
          <w:szCs w:val="20"/>
          <w:color w:val="auto"/>
        </w:rPr>
      </w:pPr>
    </w:p>
    <w:p>
      <w:pPr>
        <w:jc w:val="both"/>
        <w:ind w:left="140" w:right="120"/>
        <w:spacing w:after="0" w:line="236" w:lineRule="auto"/>
        <w:rPr>
          <w:sz w:val="20"/>
          <w:szCs w:val="20"/>
          <w:color w:val="auto"/>
        </w:rPr>
      </w:pPr>
      <w:r>
        <w:rPr>
          <w:rFonts w:ascii="Arial" w:cs="Arial" w:eastAsia="Arial" w:hAnsi="Arial"/>
          <w:sz w:val="18"/>
          <w:szCs w:val="18"/>
          <w:color w:val="auto"/>
        </w:rPr>
        <w:t>The cable systems we transferred to TWC included our previously owned cable systems located in Los Angeles, Cleveland and Dallas (“Comcast Exchange Systems”) and the cable systems held by Century and Parnassos. The operating results of the Comcast Exchange Systems are reported as discontinued operations for all periods and are presented in accordance with SFAS No. 144 (see “Discontinued Operations” below).</w:t>
      </w:r>
    </w:p>
    <w:p>
      <w:pPr>
        <w:spacing w:after="0" w:line="155" w:lineRule="exact"/>
        <w:rPr>
          <w:sz w:val="20"/>
          <w:szCs w:val="20"/>
          <w:color w:val="auto"/>
        </w:rPr>
      </w:pPr>
    </w:p>
    <w:p>
      <w:pPr>
        <w:jc w:val="both"/>
        <w:ind w:left="140" w:right="120"/>
        <w:spacing w:after="0" w:line="236" w:lineRule="auto"/>
        <w:rPr>
          <w:sz w:val="20"/>
          <w:szCs w:val="20"/>
          <w:color w:val="auto"/>
        </w:rPr>
      </w:pPr>
      <w:r>
        <w:rPr>
          <w:rFonts w:ascii="Arial" w:cs="Arial" w:eastAsia="Arial" w:hAnsi="Arial"/>
          <w:sz w:val="18"/>
          <w:szCs w:val="18"/>
          <w:color w:val="auto"/>
        </w:rPr>
        <w:t>As a result of the Exchanges, we recognized a gain on the sale of discontinued operations of $195 million, net of tax of $541 million and a gain on the sale of the Century and Parnassos cable systems of approximately $111 million that is included within investment income (loss), net.</w:t>
      </w:r>
    </w:p>
    <w:p>
      <w:pPr>
        <w:spacing w:after="0" w:line="157" w:lineRule="exact"/>
        <w:rPr>
          <w:sz w:val="20"/>
          <w:szCs w:val="20"/>
          <w:color w:val="auto"/>
        </w:rPr>
      </w:pPr>
    </w:p>
    <w:p>
      <w:pPr>
        <w:jc w:val="both"/>
        <w:ind w:left="140" w:right="120"/>
        <w:spacing w:after="0" w:line="238" w:lineRule="auto"/>
        <w:rPr>
          <w:sz w:val="20"/>
          <w:szCs w:val="20"/>
          <w:color w:val="auto"/>
        </w:rPr>
      </w:pPr>
      <w:r>
        <w:rPr>
          <w:rFonts w:ascii="Arial" w:cs="Arial" w:eastAsia="Arial" w:hAnsi="Arial"/>
          <w:sz w:val="18"/>
          <w:szCs w:val="18"/>
          <w:color w:val="auto"/>
        </w:rPr>
        <w:t>The cable systems that TWC transferred to us in the Exchanges included cable systems that TWC acquired from Adelphia in its asset purchase from Adelphia and TWC’s Philadelphia cable system.</w:t>
      </w:r>
    </w:p>
    <w:p>
      <w:pPr>
        <w:spacing w:after="0" w:line="150" w:lineRule="exact"/>
        <w:rPr>
          <w:sz w:val="20"/>
          <w:szCs w:val="20"/>
          <w:color w:val="auto"/>
        </w:rPr>
      </w:pPr>
    </w:p>
    <w:p>
      <w:pPr>
        <w:ind w:left="140"/>
        <w:spacing w:after="0"/>
        <w:rPr>
          <w:sz w:val="20"/>
          <w:szCs w:val="20"/>
          <w:color w:val="auto"/>
        </w:rPr>
      </w:pPr>
      <w:r>
        <w:rPr>
          <w:rFonts w:ascii="Arial" w:cs="Arial" w:eastAsia="Arial" w:hAnsi="Arial"/>
          <w:sz w:val="18"/>
          <w:szCs w:val="18"/>
          <w:color w:val="35BF85"/>
        </w:rPr>
        <w:t>Purchase Price Allocation</w:t>
      </w:r>
    </w:p>
    <w:p>
      <w:pPr>
        <w:jc w:val="both"/>
        <w:ind w:left="140" w:right="120"/>
        <w:spacing w:after="0" w:line="235" w:lineRule="auto"/>
        <w:rPr>
          <w:sz w:val="20"/>
          <w:szCs w:val="20"/>
          <w:color w:val="auto"/>
        </w:rPr>
      </w:pPr>
      <w:r>
        <w:rPr>
          <w:rFonts w:ascii="Arial" w:cs="Arial" w:eastAsia="Arial" w:hAnsi="Arial"/>
          <w:sz w:val="18"/>
          <w:szCs w:val="18"/>
          <w:color w:val="auto"/>
        </w:rPr>
        <w:t>The cable systems acquired in the Adelphia and Time Warner transactions were accounted for in accordance with SFAS No. 141, “Business Combinations” (“SFAS No. 141”). The results of operations for the acquired cable systems have been included in our consolidated financial statements since the acquisition date (July 31, 2006) and are reported in our Cable segment. As a result of the redemption of our investment in TWC and the exchange of the cable systems held by Century and Parnassos, we reversed deferred tax liabilities of approximately $760 million, primarily related to the excess of tax basis of the assets acquired over the tax basis of the assets exchanged and reduced the amount of goodwill and other noncurrent assets that would have otherwise been recorded in the acquisition. Substantially all of the goodwill recorded is expected to be amortizable for tax purposes. The purchase price allocation is preliminary and subject to refinement as valuations are finalized. The weighted-average amortization period of the franchise-related customer relationship intangible assets acquired was seven years.</w:t>
      </w:r>
    </w:p>
    <w:p>
      <w:pPr>
        <w:spacing w:after="0" w:line="200" w:lineRule="exact"/>
        <w:rPr>
          <w:sz w:val="20"/>
          <w:szCs w:val="20"/>
          <w:color w:val="auto"/>
        </w:rPr>
      </w:pPr>
    </w:p>
    <w:p>
      <w:pPr>
        <w:spacing w:after="0" w:line="251" w:lineRule="exact"/>
        <w:rPr>
          <w:sz w:val="20"/>
          <w:szCs w:val="20"/>
          <w:color w:val="auto"/>
        </w:rPr>
      </w:pPr>
    </w:p>
    <w:p>
      <w:pPr>
        <w:spacing w:after="0"/>
        <w:tabs>
          <w:tab w:leader="none" w:pos="1080" w:val="left"/>
        </w:tabs>
        <w:rPr>
          <w:sz w:val="20"/>
          <w:szCs w:val="20"/>
          <w:color w:val="auto"/>
        </w:rPr>
      </w:pPr>
      <w:r>
        <w:rPr>
          <w:rFonts w:ascii="Arial" w:cs="Arial" w:eastAsia="Arial" w:hAnsi="Arial"/>
          <w:sz w:val="12"/>
          <w:szCs w:val="12"/>
          <w:b w:val="1"/>
          <w:bCs w:val="1"/>
          <w:color w:val="auto"/>
        </w:rPr>
        <w:t>49</w:t>
      </w:r>
      <w:r>
        <w:rPr>
          <w:sz w:val="20"/>
          <w:szCs w:val="20"/>
          <w:color w:val="auto"/>
        </w:rPr>
        <w:tab/>
      </w:r>
      <w:r>
        <w:rPr>
          <w:rFonts w:ascii="Arial" w:cs="Arial" w:eastAsia="Arial" w:hAnsi="Arial"/>
          <w:sz w:val="12"/>
          <w:szCs w:val="12"/>
          <w:color w:val="auto"/>
        </w:rPr>
        <w:t xml:space="preserve">Comcast 2006 Annual Report </w:t>
      </w:r>
      <w:r>
        <w:rPr>
          <w:rFonts w:ascii="Arial" w:cs="Arial" w:eastAsia="Arial" w:hAnsi="Arial"/>
          <w:sz w:val="12"/>
          <w:szCs w:val="12"/>
          <w:b w:val="1"/>
          <w:bCs w:val="1"/>
          <w:color w:val="auto"/>
        </w:rPr>
        <w:t>Notes to Consolidated Financial Statements</w:t>
      </w:r>
    </w:p>
    <w:p>
      <w:pPr>
        <w:sectPr>
          <w:pgSz w:w="11900" w:h="16838" w:orient="portrait"/>
          <w:cols w:equalWidth="0" w:num="2">
            <w:col w:w="5480" w:space="200"/>
            <w:col w:w="5740"/>
          </w:cols>
          <w:pgMar w:left="240" w:top="459" w:right="239" w:bottom="1440" w:gutter="0" w:footer="0" w:header="0"/>
          <w:type w:val="continuous"/>
        </w:sectPr>
      </w:pPr>
    </w:p>
    <w:bookmarkStart w:id="126" w:name="page127"/>
    <w:bookmarkEnd w:id="126"/>
    <w:p>
      <w:pPr>
        <w:spacing w:after="0"/>
        <w:rPr>
          <w:rFonts w:ascii="Arial" w:cs="Arial" w:eastAsia="Arial" w:hAnsi="Arial"/>
          <w:sz w:val="18"/>
          <w:szCs w:val="18"/>
          <w:b w:val="1"/>
          <w:bCs w:val="1"/>
          <w:u w:val="single" w:color="auto"/>
          <w:color w:val="0000EE"/>
        </w:rPr>
      </w:pPr>
      <w:hyperlink w:anchor="page3">
        <w:r>
          <w:rPr>
            <w:rFonts w:ascii="Arial" w:cs="Arial" w:eastAsia="Arial" w:hAnsi="Arial"/>
            <w:sz w:val="18"/>
            <w:szCs w:val="18"/>
            <w:b w:val="1"/>
            <w:bCs w:val="1"/>
            <w:u w:val="single" w:color="auto"/>
            <w:color w:val="0000EE"/>
          </w:rPr>
          <w:t>Table of Contents</w:t>
        </w:r>
      </w:hyperlink>
    </w:p>
    <w:p>
      <w:pPr>
        <w:spacing w:after="0" w:line="200" w:lineRule="exact"/>
        <w:rPr>
          <w:sz w:val="20"/>
          <w:szCs w:val="20"/>
          <w:color w:val="auto"/>
        </w:rPr>
      </w:pPr>
    </w:p>
    <w:p>
      <w:pPr>
        <w:spacing w:after="0" w:line="276" w:lineRule="exact"/>
        <w:rPr>
          <w:sz w:val="20"/>
          <w:szCs w:val="20"/>
          <w:color w:val="auto"/>
        </w:rPr>
      </w:pPr>
    </w:p>
    <w:p>
      <w:pPr>
        <w:jc w:val="both"/>
        <w:spacing w:after="0" w:line="237" w:lineRule="auto"/>
        <w:rPr>
          <w:sz w:val="20"/>
          <w:szCs w:val="20"/>
          <w:color w:val="auto"/>
        </w:rPr>
      </w:pPr>
      <w:r>
        <w:rPr>
          <w:rFonts w:ascii="Arial" w:cs="Arial" w:eastAsia="Arial" w:hAnsi="Arial"/>
          <w:sz w:val="18"/>
          <w:szCs w:val="18"/>
          <w:color w:val="auto"/>
        </w:rPr>
        <w:t>The following represents the purchase price allocation to assets acquired and liabilities assumed, exclusive of the cable systems held by Century and Parnassos and transferred to TWC, as a result of the Adelphia and Time Warner transactions:</w:t>
      </w:r>
    </w:p>
    <w:p>
      <w:pPr>
        <w:spacing w:after="0" w:line="180"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3980" w:type="dxa"/>
            <w:vAlign w:val="bottom"/>
            <w:tcBorders>
              <w:bottom w:val="single" w:sz="8" w:color="auto"/>
            </w:tcBorders>
          </w:tcPr>
          <w:p>
            <w:pPr>
              <w:ind w:left="20"/>
              <w:spacing w:after="0"/>
              <w:rPr>
                <w:sz w:val="20"/>
                <w:szCs w:val="20"/>
                <w:color w:val="auto"/>
              </w:rPr>
            </w:pPr>
            <w:r>
              <w:rPr>
                <w:rFonts w:ascii="Arial" w:cs="Arial" w:eastAsia="Arial" w:hAnsi="Arial"/>
                <w:sz w:val="14"/>
                <w:szCs w:val="14"/>
                <w:color w:val="auto"/>
              </w:rPr>
              <w:t>(in millions)</w:t>
            </w:r>
          </w:p>
        </w:tc>
        <w:tc>
          <w:tcPr>
            <w:tcW w:w="900" w:type="dxa"/>
            <w:vAlign w:val="bottom"/>
            <w:tcBorders>
              <w:bottom w:val="single" w:sz="8" w:color="auto"/>
            </w:tcBorders>
          </w:tcPr>
          <w:p>
            <w:pPr>
              <w:spacing w:after="0"/>
              <w:rPr>
                <w:sz w:val="14"/>
                <w:szCs w:val="14"/>
                <w:color w:val="auto"/>
              </w:rPr>
            </w:pPr>
          </w:p>
        </w:tc>
        <w:tc>
          <w:tcPr>
            <w:tcW w:w="60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2006</w:t>
            </w:r>
          </w:p>
        </w:tc>
      </w:tr>
      <w:tr>
        <w:trPr>
          <w:trHeight w:val="199"/>
        </w:trPr>
        <w:tc>
          <w:tcPr>
            <w:tcW w:w="3980" w:type="dxa"/>
            <w:vAlign w:val="bottom"/>
          </w:tcPr>
          <w:p>
            <w:pPr>
              <w:ind w:left="20"/>
              <w:spacing w:after="0" w:line="200" w:lineRule="exact"/>
              <w:rPr>
                <w:sz w:val="20"/>
                <w:szCs w:val="20"/>
                <w:color w:val="auto"/>
              </w:rPr>
            </w:pPr>
            <w:r>
              <w:rPr>
                <w:rFonts w:ascii="Arial" w:cs="Arial" w:eastAsia="Arial" w:hAnsi="Arial"/>
                <w:sz w:val="18"/>
                <w:szCs w:val="18"/>
                <w:color w:val="auto"/>
              </w:rPr>
              <w:t>Property and equipment</w:t>
            </w:r>
          </w:p>
        </w:tc>
        <w:tc>
          <w:tcPr>
            <w:tcW w:w="900" w:type="dxa"/>
            <w:vAlign w:val="bottom"/>
          </w:tcPr>
          <w:p>
            <w:pPr>
              <w:jc w:val="right"/>
              <w:spacing w:after="0" w:line="200" w:lineRule="exact"/>
              <w:rPr>
                <w:sz w:val="20"/>
                <w:szCs w:val="20"/>
                <w:color w:val="auto"/>
              </w:rPr>
            </w:pPr>
            <w:r>
              <w:rPr>
                <w:rFonts w:ascii="Arial" w:cs="Arial" w:eastAsia="Arial" w:hAnsi="Arial"/>
                <w:sz w:val="18"/>
                <w:szCs w:val="18"/>
                <w:color w:val="auto"/>
              </w:rPr>
              <w:t>$</w:t>
            </w:r>
          </w:p>
        </w:tc>
        <w:tc>
          <w:tcPr>
            <w:tcW w:w="600" w:type="dxa"/>
            <w:vAlign w:val="bottom"/>
          </w:tcPr>
          <w:p>
            <w:pPr>
              <w:jc w:val="right"/>
              <w:spacing w:after="0" w:line="200" w:lineRule="exact"/>
              <w:rPr>
                <w:sz w:val="20"/>
                <w:szCs w:val="20"/>
                <w:color w:val="auto"/>
              </w:rPr>
            </w:pPr>
            <w:r>
              <w:rPr>
                <w:rFonts w:ascii="Arial" w:cs="Arial" w:eastAsia="Arial" w:hAnsi="Arial"/>
                <w:sz w:val="18"/>
                <w:szCs w:val="18"/>
                <w:color w:val="auto"/>
              </w:rPr>
              <w:t>2,692</w:t>
            </w:r>
          </w:p>
        </w:tc>
      </w:tr>
      <w:tr>
        <w:trPr>
          <w:trHeight w:val="203"/>
        </w:trPr>
        <w:tc>
          <w:tcPr>
            <w:tcW w:w="3980" w:type="dxa"/>
            <w:vAlign w:val="bottom"/>
          </w:tcPr>
          <w:p>
            <w:pPr>
              <w:ind w:left="20"/>
              <w:spacing w:after="0" w:line="202" w:lineRule="exact"/>
              <w:rPr>
                <w:sz w:val="20"/>
                <w:szCs w:val="20"/>
                <w:color w:val="auto"/>
              </w:rPr>
            </w:pPr>
            <w:r>
              <w:rPr>
                <w:rFonts w:ascii="Arial" w:cs="Arial" w:eastAsia="Arial" w:hAnsi="Arial"/>
                <w:sz w:val="18"/>
                <w:szCs w:val="18"/>
                <w:color w:val="auto"/>
              </w:rPr>
              <w:t>Franchise-related customer relationships</w:t>
            </w:r>
          </w:p>
        </w:tc>
        <w:tc>
          <w:tcPr>
            <w:tcW w:w="900" w:type="dxa"/>
            <w:vAlign w:val="bottom"/>
          </w:tcPr>
          <w:p>
            <w:pPr>
              <w:spacing w:after="0"/>
              <w:rPr>
                <w:sz w:val="17"/>
                <w:szCs w:val="17"/>
                <w:color w:val="auto"/>
              </w:rPr>
            </w:pPr>
          </w:p>
        </w:tc>
        <w:tc>
          <w:tcPr>
            <w:tcW w:w="600" w:type="dxa"/>
            <w:vAlign w:val="bottom"/>
          </w:tcPr>
          <w:p>
            <w:pPr>
              <w:jc w:val="right"/>
              <w:spacing w:after="0" w:line="202" w:lineRule="exact"/>
              <w:rPr>
                <w:sz w:val="20"/>
                <w:szCs w:val="20"/>
                <w:color w:val="auto"/>
              </w:rPr>
            </w:pPr>
            <w:r>
              <w:rPr>
                <w:rFonts w:ascii="Arial" w:cs="Arial" w:eastAsia="Arial" w:hAnsi="Arial"/>
                <w:sz w:val="18"/>
                <w:szCs w:val="18"/>
                <w:color w:val="auto"/>
              </w:rPr>
              <w:t>1,648</w:t>
            </w:r>
          </w:p>
        </w:tc>
      </w:tr>
      <w:tr>
        <w:trPr>
          <w:trHeight w:val="203"/>
        </w:trPr>
        <w:tc>
          <w:tcPr>
            <w:tcW w:w="3980" w:type="dxa"/>
            <w:vAlign w:val="bottom"/>
          </w:tcPr>
          <w:p>
            <w:pPr>
              <w:ind w:left="20"/>
              <w:spacing w:after="0" w:line="202" w:lineRule="exact"/>
              <w:rPr>
                <w:sz w:val="20"/>
                <w:szCs w:val="20"/>
                <w:color w:val="auto"/>
              </w:rPr>
            </w:pPr>
            <w:r>
              <w:rPr>
                <w:rFonts w:ascii="Arial" w:cs="Arial" w:eastAsia="Arial" w:hAnsi="Arial"/>
                <w:sz w:val="18"/>
                <w:szCs w:val="18"/>
                <w:color w:val="auto"/>
              </w:rPr>
              <w:t>Cable franchise rights</w:t>
            </w:r>
          </w:p>
        </w:tc>
        <w:tc>
          <w:tcPr>
            <w:tcW w:w="900" w:type="dxa"/>
            <w:vAlign w:val="bottom"/>
          </w:tcPr>
          <w:p>
            <w:pPr>
              <w:spacing w:after="0"/>
              <w:rPr>
                <w:sz w:val="17"/>
                <w:szCs w:val="17"/>
                <w:color w:val="auto"/>
              </w:rPr>
            </w:pPr>
          </w:p>
        </w:tc>
        <w:tc>
          <w:tcPr>
            <w:tcW w:w="600" w:type="dxa"/>
            <w:vAlign w:val="bottom"/>
          </w:tcPr>
          <w:p>
            <w:pPr>
              <w:jc w:val="right"/>
              <w:spacing w:after="0" w:line="202" w:lineRule="exact"/>
              <w:rPr>
                <w:sz w:val="20"/>
                <w:szCs w:val="20"/>
                <w:color w:val="auto"/>
              </w:rPr>
            </w:pPr>
            <w:r>
              <w:rPr>
                <w:rFonts w:ascii="Arial" w:cs="Arial" w:eastAsia="Arial" w:hAnsi="Arial"/>
                <w:sz w:val="18"/>
                <w:szCs w:val="18"/>
                <w:color w:val="auto"/>
              </w:rPr>
              <w:t>6,842</w:t>
            </w:r>
          </w:p>
        </w:tc>
      </w:tr>
      <w:tr>
        <w:trPr>
          <w:trHeight w:val="203"/>
        </w:trPr>
        <w:tc>
          <w:tcPr>
            <w:tcW w:w="3980" w:type="dxa"/>
            <w:vAlign w:val="bottom"/>
          </w:tcPr>
          <w:p>
            <w:pPr>
              <w:ind w:left="20"/>
              <w:spacing w:after="0" w:line="202" w:lineRule="exact"/>
              <w:rPr>
                <w:sz w:val="20"/>
                <w:szCs w:val="20"/>
                <w:color w:val="auto"/>
              </w:rPr>
            </w:pPr>
            <w:r>
              <w:rPr>
                <w:rFonts w:ascii="Arial" w:cs="Arial" w:eastAsia="Arial" w:hAnsi="Arial"/>
                <w:sz w:val="18"/>
                <w:szCs w:val="18"/>
                <w:color w:val="auto"/>
              </w:rPr>
              <w:t>Goodwill</w:t>
            </w:r>
          </w:p>
        </w:tc>
        <w:tc>
          <w:tcPr>
            <w:tcW w:w="900" w:type="dxa"/>
            <w:vAlign w:val="bottom"/>
          </w:tcPr>
          <w:p>
            <w:pPr>
              <w:spacing w:after="0"/>
              <w:rPr>
                <w:sz w:val="17"/>
                <w:szCs w:val="17"/>
                <w:color w:val="auto"/>
              </w:rPr>
            </w:pPr>
          </w:p>
        </w:tc>
        <w:tc>
          <w:tcPr>
            <w:tcW w:w="600" w:type="dxa"/>
            <w:vAlign w:val="bottom"/>
          </w:tcPr>
          <w:p>
            <w:pPr>
              <w:jc w:val="right"/>
              <w:spacing w:after="0" w:line="202" w:lineRule="exact"/>
              <w:rPr>
                <w:sz w:val="20"/>
                <w:szCs w:val="20"/>
                <w:color w:val="auto"/>
              </w:rPr>
            </w:pPr>
            <w:r>
              <w:rPr>
                <w:rFonts w:ascii="Arial" w:cs="Arial" w:eastAsia="Arial" w:hAnsi="Arial"/>
                <w:sz w:val="18"/>
                <w:szCs w:val="18"/>
                <w:color w:val="auto"/>
              </w:rPr>
              <w:t>271</w:t>
            </w:r>
          </w:p>
        </w:tc>
      </w:tr>
      <w:tr>
        <w:trPr>
          <w:trHeight w:val="203"/>
        </w:trPr>
        <w:tc>
          <w:tcPr>
            <w:tcW w:w="3980" w:type="dxa"/>
            <w:vAlign w:val="bottom"/>
          </w:tcPr>
          <w:p>
            <w:pPr>
              <w:ind w:left="20"/>
              <w:spacing w:after="0" w:line="202" w:lineRule="exact"/>
              <w:rPr>
                <w:sz w:val="20"/>
                <w:szCs w:val="20"/>
                <w:color w:val="auto"/>
              </w:rPr>
            </w:pPr>
            <w:r>
              <w:rPr>
                <w:rFonts w:ascii="Arial" w:cs="Arial" w:eastAsia="Arial" w:hAnsi="Arial"/>
                <w:sz w:val="18"/>
                <w:szCs w:val="18"/>
                <w:color w:val="auto"/>
              </w:rPr>
              <w:t>Other assets</w:t>
            </w:r>
          </w:p>
        </w:tc>
        <w:tc>
          <w:tcPr>
            <w:tcW w:w="900" w:type="dxa"/>
            <w:vAlign w:val="bottom"/>
          </w:tcPr>
          <w:p>
            <w:pPr>
              <w:spacing w:after="0"/>
              <w:rPr>
                <w:sz w:val="17"/>
                <w:szCs w:val="17"/>
                <w:color w:val="auto"/>
              </w:rPr>
            </w:pPr>
          </w:p>
        </w:tc>
        <w:tc>
          <w:tcPr>
            <w:tcW w:w="600" w:type="dxa"/>
            <w:vAlign w:val="bottom"/>
          </w:tcPr>
          <w:p>
            <w:pPr>
              <w:jc w:val="right"/>
              <w:spacing w:after="0" w:line="202" w:lineRule="exact"/>
              <w:rPr>
                <w:sz w:val="20"/>
                <w:szCs w:val="20"/>
                <w:color w:val="auto"/>
              </w:rPr>
            </w:pPr>
            <w:r>
              <w:rPr>
                <w:rFonts w:ascii="Arial" w:cs="Arial" w:eastAsia="Arial" w:hAnsi="Arial"/>
                <w:sz w:val="18"/>
                <w:szCs w:val="18"/>
                <w:color w:val="auto"/>
              </w:rPr>
              <w:t>111</w:t>
            </w:r>
          </w:p>
        </w:tc>
      </w:tr>
      <w:tr>
        <w:trPr>
          <w:trHeight w:val="199"/>
        </w:trPr>
        <w:tc>
          <w:tcPr>
            <w:tcW w:w="3980" w:type="dxa"/>
            <w:vAlign w:val="bottom"/>
            <w:tcBorders>
              <w:bottom w:val="single" w:sz="8" w:color="auto"/>
            </w:tcBorders>
          </w:tcPr>
          <w:p>
            <w:pPr>
              <w:ind w:left="20"/>
              <w:spacing w:after="0" w:line="200" w:lineRule="exact"/>
              <w:rPr>
                <w:sz w:val="20"/>
                <w:szCs w:val="20"/>
                <w:color w:val="auto"/>
              </w:rPr>
            </w:pPr>
            <w:r>
              <w:rPr>
                <w:rFonts w:ascii="Arial" w:cs="Arial" w:eastAsia="Arial" w:hAnsi="Arial"/>
                <w:sz w:val="18"/>
                <w:szCs w:val="18"/>
                <w:color w:val="auto"/>
              </w:rPr>
              <w:t>Total liabilities</w:t>
            </w:r>
          </w:p>
        </w:tc>
        <w:tc>
          <w:tcPr>
            <w:tcW w:w="900" w:type="dxa"/>
            <w:vAlign w:val="bottom"/>
            <w:tcBorders>
              <w:bottom w:val="single" w:sz="8" w:color="auto"/>
            </w:tcBorders>
          </w:tcPr>
          <w:p>
            <w:pPr>
              <w:spacing w:after="0"/>
              <w:rPr>
                <w:sz w:val="17"/>
                <w:szCs w:val="17"/>
                <w:color w:val="auto"/>
              </w:rPr>
            </w:pPr>
          </w:p>
        </w:tc>
        <w:tc>
          <w:tcPr>
            <w:tcW w:w="600" w:type="dxa"/>
            <w:vAlign w:val="bottom"/>
            <w:tcBorders>
              <w:bottom w:val="single" w:sz="8" w:color="auto"/>
            </w:tcBorders>
          </w:tcPr>
          <w:p>
            <w:pPr>
              <w:jc w:val="right"/>
              <w:spacing w:after="0" w:line="200" w:lineRule="exact"/>
              <w:rPr>
                <w:sz w:val="20"/>
                <w:szCs w:val="20"/>
                <w:color w:val="auto"/>
              </w:rPr>
            </w:pPr>
            <w:r>
              <w:rPr>
                <w:rFonts w:ascii="Arial" w:cs="Arial" w:eastAsia="Arial" w:hAnsi="Arial"/>
                <w:sz w:val="18"/>
                <w:szCs w:val="18"/>
                <w:color w:val="auto"/>
              </w:rPr>
              <w:t>(397)</w:t>
            </w:r>
          </w:p>
        </w:tc>
      </w:tr>
      <w:tr>
        <w:trPr>
          <w:trHeight w:val="196"/>
        </w:trPr>
        <w:tc>
          <w:tcPr>
            <w:tcW w:w="3980" w:type="dxa"/>
            <w:vAlign w:val="bottom"/>
            <w:tcBorders>
              <w:bottom w:val="single" w:sz="8" w:color="35BF85"/>
            </w:tcBorders>
          </w:tcPr>
          <w:p>
            <w:pPr>
              <w:ind w:left="220"/>
              <w:spacing w:after="0" w:line="196" w:lineRule="exact"/>
              <w:rPr>
                <w:sz w:val="20"/>
                <w:szCs w:val="20"/>
                <w:color w:val="auto"/>
              </w:rPr>
            </w:pPr>
            <w:r>
              <w:rPr>
                <w:rFonts w:ascii="Arial" w:cs="Arial" w:eastAsia="Arial" w:hAnsi="Arial"/>
                <w:sz w:val="18"/>
                <w:szCs w:val="18"/>
                <w:color w:val="auto"/>
              </w:rPr>
              <w:t>Net assets acquired</w:t>
            </w:r>
          </w:p>
        </w:tc>
        <w:tc>
          <w:tcPr>
            <w:tcW w:w="900" w:type="dxa"/>
            <w:vAlign w:val="bottom"/>
            <w:tcBorders>
              <w:bottom w:val="single" w:sz="8" w:color="35BF85"/>
            </w:tcBorders>
          </w:tcPr>
          <w:p>
            <w:pPr>
              <w:jc w:val="right"/>
              <w:spacing w:after="0" w:line="196" w:lineRule="exact"/>
              <w:rPr>
                <w:sz w:val="20"/>
                <w:szCs w:val="20"/>
                <w:color w:val="auto"/>
              </w:rPr>
            </w:pPr>
            <w:r>
              <w:rPr>
                <w:rFonts w:ascii="Arial" w:cs="Arial" w:eastAsia="Arial" w:hAnsi="Arial"/>
                <w:sz w:val="18"/>
                <w:szCs w:val="18"/>
                <w:color w:val="auto"/>
              </w:rPr>
              <w:t>$</w:t>
            </w:r>
          </w:p>
        </w:tc>
        <w:tc>
          <w:tcPr>
            <w:tcW w:w="600" w:type="dxa"/>
            <w:vAlign w:val="bottom"/>
            <w:tcBorders>
              <w:bottom w:val="single" w:sz="8" w:color="35BF85"/>
            </w:tcBorders>
          </w:tcPr>
          <w:p>
            <w:pPr>
              <w:jc w:val="right"/>
              <w:spacing w:after="0" w:line="196" w:lineRule="exact"/>
              <w:rPr>
                <w:sz w:val="20"/>
                <w:szCs w:val="20"/>
                <w:color w:val="auto"/>
              </w:rPr>
            </w:pPr>
            <w:r>
              <w:rPr>
                <w:rFonts w:ascii="Arial" w:cs="Arial" w:eastAsia="Arial" w:hAnsi="Arial"/>
                <w:sz w:val="18"/>
                <w:szCs w:val="18"/>
                <w:color w:val="auto"/>
                <w:w w:val="94"/>
              </w:rPr>
              <w:t>11,167</w:t>
            </w:r>
          </w:p>
        </w:tc>
      </w:tr>
    </w:tbl>
    <w:p>
      <w:pPr>
        <w:spacing w:after="0" w:line="143" w:lineRule="exact"/>
        <w:rPr>
          <w:sz w:val="20"/>
          <w:szCs w:val="20"/>
          <w:color w:val="auto"/>
        </w:rPr>
      </w:pPr>
    </w:p>
    <w:p>
      <w:pPr>
        <w:spacing w:after="0"/>
        <w:rPr>
          <w:sz w:val="20"/>
          <w:szCs w:val="20"/>
          <w:color w:val="auto"/>
        </w:rPr>
      </w:pPr>
      <w:r>
        <w:rPr>
          <w:rFonts w:ascii="Arial" w:cs="Arial" w:eastAsia="Arial" w:hAnsi="Arial"/>
          <w:sz w:val="18"/>
          <w:szCs w:val="18"/>
          <w:b w:val="1"/>
          <w:bCs w:val="1"/>
          <w:color w:val="35BF85"/>
        </w:rPr>
        <w:t>Discontinued Operations</w:t>
      </w:r>
    </w:p>
    <w:p>
      <w:pPr>
        <w:spacing w:after="0" w:line="18" w:lineRule="exact"/>
        <w:rPr>
          <w:sz w:val="20"/>
          <w:szCs w:val="20"/>
          <w:color w:val="auto"/>
        </w:rPr>
      </w:pPr>
    </w:p>
    <w:p>
      <w:pPr>
        <w:jc w:val="both"/>
        <w:spacing w:after="0" w:line="236" w:lineRule="auto"/>
        <w:rPr>
          <w:sz w:val="20"/>
          <w:szCs w:val="20"/>
          <w:color w:val="auto"/>
        </w:rPr>
      </w:pPr>
      <w:r>
        <w:rPr>
          <w:rFonts w:ascii="Arial" w:cs="Arial" w:eastAsia="Arial" w:hAnsi="Arial"/>
          <w:sz w:val="18"/>
          <w:szCs w:val="18"/>
          <w:color w:val="auto"/>
        </w:rPr>
        <w:t>As discussed above, the operating results of the Comcast Exchange Systems transferred to TWC are reported as discontinued operations for all periods and are presented in accordance with SFAS No. 144. The following represents the operating results of the Comcast Exchange Systems through the closing date of the Exchanges (July 31, 2006):</w:t>
      </w:r>
    </w:p>
    <w:p>
      <w:pPr>
        <w:spacing w:after="0" w:line="181"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620" w:type="dxa"/>
            <w:vAlign w:val="bottom"/>
            <w:tcBorders>
              <w:bottom w:val="single" w:sz="8" w:color="auto"/>
            </w:tcBorders>
          </w:tcPr>
          <w:p>
            <w:pPr>
              <w:ind w:left="20"/>
              <w:spacing w:after="0"/>
              <w:rPr>
                <w:sz w:val="20"/>
                <w:szCs w:val="20"/>
                <w:color w:val="auto"/>
              </w:rPr>
            </w:pPr>
            <w:r>
              <w:rPr>
                <w:rFonts w:ascii="Arial" w:cs="Arial" w:eastAsia="Arial" w:hAnsi="Arial"/>
                <w:sz w:val="14"/>
                <w:szCs w:val="14"/>
                <w:color w:val="auto"/>
              </w:rPr>
              <w:t>(in millions)</w:t>
            </w:r>
          </w:p>
        </w:tc>
        <w:tc>
          <w:tcPr>
            <w:tcW w:w="1060" w:type="dxa"/>
            <w:vAlign w:val="bottom"/>
            <w:tcBorders>
              <w:bottom w:val="single" w:sz="8" w:color="auto"/>
            </w:tcBorders>
          </w:tcPr>
          <w:p>
            <w:pPr>
              <w:jc w:val="right"/>
              <w:ind w:right="156"/>
              <w:spacing w:after="0"/>
              <w:rPr>
                <w:sz w:val="20"/>
                <w:szCs w:val="20"/>
                <w:color w:val="auto"/>
              </w:rPr>
            </w:pPr>
            <w:r>
              <w:rPr>
                <w:rFonts w:ascii="Arial" w:cs="Arial" w:eastAsia="Arial" w:hAnsi="Arial"/>
                <w:sz w:val="14"/>
                <w:szCs w:val="14"/>
                <w:color w:val="auto"/>
              </w:rPr>
              <w:t>2006</w:t>
            </w:r>
          </w:p>
        </w:tc>
        <w:tc>
          <w:tcPr>
            <w:tcW w:w="300" w:type="dxa"/>
            <w:vAlign w:val="bottom"/>
            <w:tcBorders>
              <w:bottom w:val="single" w:sz="8" w:color="auto"/>
            </w:tcBorders>
          </w:tcPr>
          <w:p>
            <w:pPr>
              <w:spacing w:after="0"/>
              <w:rPr>
                <w:sz w:val="14"/>
                <w:szCs w:val="14"/>
                <w:color w:val="auto"/>
              </w:rPr>
            </w:pPr>
          </w:p>
        </w:tc>
        <w:tc>
          <w:tcPr>
            <w:tcW w:w="700" w:type="dxa"/>
            <w:vAlign w:val="bottom"/>
            <w:tcBorders>
              <w:bottom w:val="single" w:sz="8" w:color="auto"/>
            </w:tcBorders>
          </w:tcPr>
          <w:p>
            <w:pPr>
              <w:jc w:val="right"/>
              <w:ind w:right="176"/>
              <w:spacing w:after="0"/>
              <w:rPr>
                <w:sz w:val="20"/>
                <w:szCs w:val="20"/>
                <w:color w:val="auto"/>
              </w:rPr>
            </w:pPr>
            <w:r>
              <w:rPr>
                <w:rFonts w:ascii="Arial" w:cs="Arial" w:eastAsia="Arial" w:hAnsi="Arial"/>
                <w:sz w:val="14"/>
                <w:szCs w:val="14"/>
                <w:color w:val="auto"/>
              </w:rPr>
              <w:t>2005</w:t>
            </w:r>
          </w:p>
        </w:tc>
        <w:tc>
          <w:tcPr>
            <w:tcW w:w="280" w:type="dxa"/>
            <w:vAlign w:val="bottom"/>
            <w:tcBorders>
              <w:bottom w:val="single" w:sz="8" w:color="auto"/>
            </w:tcBorders>
          </w:tcPr>
          <w:p>
            <w:pPr>
              <w:spacing w:after="0"/>
              <w:rPr>
                <w:sz w:val="14"/>
                <w:szCs w:val="14"/>
                <w:color w:val="auto"/>
              </w:rPr>
            </w:pPr>
          </w:p>
        </w:tc>
        <w:tc>
          <w:tcPr>
            <w:tcW w:w="52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2004</w:t>
            </w:r>
          </w:p>
        </w:tc>
      </w:tr>
      <w:tr>
        <w:trPr>
          <w:trHeight w:val="199"/>
        </w:trPr>
        <w:tc>
          <w:tcPr>
            <w:tcW w:w="2620" w:type="dxa"/>
            <w:vAlign w:val="bottom"/>
          </w:tcPr>
          <w:p>
            <w:pPr>
              <w:ind w:left="20"/>
              <w:spacing w:after="0" w:line="200" w:lineRule="exact"/>
              <w:rPr>
                <w:sz w:val="20"/>
                <w:szCs w:val="20"/>
                <w:color w:val="auto"/>
              </w:rPr>
            </w:pPr>
            <w:r>
              <w:rPr>
                <w:rFonts w:ascii="Arial" w:cs="Arial" w:eastAsia="Arial" w:hAnsi="Arial"/>
                <w:sz w:val="18"/>
                <w:szCs w:val="18"/>
                <w:color w:val="auto"/>
              </w:rPr>
              <w:t>Revenues</w:t>
            </w:r>
          </w:p>
        </w:tc>
        <w:tc>
          <w:tcPr>
            <w:tcW w:w="1060" w:type="dxa"/>
            <w:vAlign w:val="bottom"/>
          </w:tcPr>
          <w:p>
            <w:pPr>
              <w:jc w:val="right"/>
              <w:ind w:right="156"/>
              <w:spacing w:after="0" w:line="200" w:lineRule="exact"/>
              <w:rPr>
                <w:sz w:val="20"/>
                <w:szCs w:val="20"/>
                <w:color w:val="auto"/>
              </w:rPr>
            </w:pPr>
            <w:r>
              <w:rPr>
                <w:rFonts w:ascii="Arial" w:cs="Arial" w:eastAsia="Arial" w:hAnsi="Arial"/>
                <w:sz w:val="18"/>
                <w:szCs w:val="18"/>
                <w:color w:val="auto"/>
              </w:rPr>
              <w:t>$734</w:t>
            </w:r>
          </w:p>
        </w:tc>
        <w:tc>
          <w:tcPr>
            <w:tcW w:w="300" w:type="dxa"/>
            <w:vAlign w:val="bottom"/>
          </w:tcPr>
          <w:p>
            <w:pPr>
              <w:jc w:val="right"/>
              <w:spacing w:after="0" w:line="200" w:lineRule="exact"/>
              <w:rPr>
                <w:sz w:val="20"/>
                <w:szCs w:val="20"/>
                <w:color w:val="auto"/>
              </w:rPr>
            </w:pPr>
            <w:r>
              <w:rPr>
                <w:rFonts w:ascii="Arial" w:cs="Arial" w:eastAsia="Arial" w:hAnsi="Arial"/>
                <w:sz w:val="18"/>
                <w:szCs w:val="18"/>
                <w:color w:val="auto"/>
              </w:rPr>
              <w:t>$</w:t>
            </w:r>
          </w:p>
        </w:tc>
        <w:tc>
          <w:tcPr>
            <w:tcW w:w="700" w:type="dxa"/>
            <w:vAlign w:val="bottom"/>
          </w:tcPr>
          <w:p>
            <w:pPr>
              <w:jc w:val="right"/>
              <w:ind w:right="176"/>
              <w:spacing w:after="0" w:line="200" w:lineRule="exact"/>
              <w:rPr>
                <w:sz w:val="20"/>
                <w:szCs w:val="20"/>
                <w:color w:val="auto"/>
              </w:rPr>
            </w:pPr>
            <w:r>
              <w:rPr>
                <w:rFonts w:ascii="Arial" w:cs="Arial" w:eastAsia="Arial" w:hAnsi="Arial"/>
                <w:sz w:val="18"/>
                <w:szCs w:val="18"/>
                <w:color w:val="auto"/>
                <w:w w:val="93"/>
              </w:rPr>
              <w:t>1,180</w:t>
            </w:r>
          </w:p>
        </w:tc>
        <w:tc>
          <w:tcPr>
            <w:tcW w:w="280" w:type="dxa"/>
            <w:vAlign w:val="bottom"/>
          </w:tcPr>
          <w:p>
            <w:pPr>
              <w:jc w:val="right"/>
              <w:spacing w:after="0" w:line="200" w:lineRule="exact"/>
              <w:rPr>
                <w:sz w:val="20"/>
                <w:szCs w:val="20"/>
                <w:color w:val="auto"/>
              </w:rPr>
            </w:pPr>
            <w:r>
              <w:rPr>
                <w:rFonts w:ascii="Arial" w:cs="Arial" w:eastAsia="Arial" w:hAnsi="Arial"/>
                <w:sz w:val="18"/>
                <w:szCs w:val="18"/>
                <w:color w:val="auto"/>
              </w:rPr>
              <w:t>$</w:t>
            </w:r>
          </w:p>
        </w:tc>
        <w:tc>
          <w:tcPr>
            <w:tcW w:w="520" w:type="dxa"/>
            <w:vAlign w:val="bottom"/>
          </w:tcPr>
          <w:p>
            <w:pPr>
              <w:jc w:val="right"/>
              <w:spacing w:after="0" w:line="200" w:lineRule="exact"/>
              <w:rPr>
                <w:sz w:val="20"/>
                <w:szCs w:val="20"/>
                <w:color w:val="auto"/>
              </w:rPr>
            </w:pPr>
            <w:r>
              <w:rPr>
                <w:rFonts w:ascii="Arial" w:cs="Arial" w:eastAsia="Arial" w:hAnsi="Arial"/>
                <w:sz w:val="18"/>
                <w:szCs w:val="18"/>
                <w:color w:val="auto"/>
                <w:w w:val="97"/>
              </w:rPr>
              <w:t>1,086</w:t>
            </w:r>
          </w:p>
        </w:tc>
      </w:tr>
      <w:tr>
        <w:trPr>
          <w:trHeight w:val="203"/>
        </w:trPr>
        <w:tc>
          <w:tcPr>
            <w:tcW w:w="2620" w:type="dxa"/>
            <w:vAlign w:val="bottom"/>
          </w:tcPr>
          <w:p>
            <w:pPr>
              <w:ind w:left="20"/>
              <w:spacing w:after="0" w:line="202" w:lineRule="exact"/>
              <w:rPr>
                <w:sz w:val="20"/>
                <w:szCs w:val="20"/>
                <w:color w:val="auto"/>
              </w:rPr>
            </w:pPr>
            <w:r>
              <w:rPr>
                <w:rFonts w:ascii="Arial" w:cs="Arial" w:eastAsia="Arial" w:hAnsi="Arial"/>
                <w:sz w:val="18"/>
                <w:szCs w:val="18"/>
                <w:color w:val="auto"/>
              </w:rPr>
              <w:t>Income before income taxes</w:t>
            </w:r>
          </w:p>
        </w:tc>
        <w:tc>
          <w:tcPr>
            <w:tcW w:w="1060" w:type="dxa"/>
            <w:vAlign w:val="bottom"/>
          </w:tcPr>
          <w:p>
            <w:pPr>
              <w:jc w:val="right"/>
              <w:ind w:right="156"/>
              <w:spacing w:after="0" w:line="202" w:lineRule="exact"/>
              <w:rPr>
                <w:sz w:val="20"/>
                <w:szCs w:val="20"/>
                <w:color w:val="auto"/>
              </w:rPr>
            </w:pPr>
            <w:r>
              <w:rPr>
                <w:rFonts w:ascii="Arial" w:cs="Arial" w:eastAsia="Arial" w:hAnsi="Arial"/>
                <w:sz w:val="18"/>
                <w:szCs w:val="18"/>
                <w:color w:val="auto"/>
              </w:rPr>
              <w:t>121</w:t>
            </w:r>
          </w:p>
        </w:tc>
        <w:tc>
          <w:tcPr>
            <w:tcW w:w="300" w:type="dxa"/>
            <w:vAlign w:val="bottom"/>
          </w:tcPr>
          <w:p>
            <w:pPr>
              <w:spacing w:after="0"/>
              <w:rPr>
                <w:sz w:val="17"/>
                <w:szCs w:val="17"/>
                <w:color w:val="auto"/>
              </w:rPr>
            </w:pPr>
          </w:p>
        </w:tc>
        <w:tc>
          <w:tcPr>
            <w:tcW w:w="700" w:type="dxa"/>
            <w:vAlign w:val="bottom"/>
          </w:tcPr>
          <w:p>
            <w:pPr>
              <w:jc w:val="right"/>
              <w:ind w:right="176"/>
              <w:spacing w:after="0" w:line="202" w:lineRule="exact"/>
              <w:rPr>
                <w:sz w:val="20"/>
                <w:szCs w:val="20"/>
                <w:color w:val="auto"/>
              </w:rPr>
            </w:pPr>
            <w:r>
              <w:rPr>
                <w:rFonts w:ascii="Arial" w:cs="Arial" w:eastAsia="Arial" w:hAnsi="Arial"/>
                <w:sz w:val="18"/>
                <w:szCs w:val="18"/>
                <w:color w:val="auto"/>
              </w:rPr>
              <w:t>159</w:t>
            </w:r>
          </w:p>
        </w:tc>
        <w:tc>
          <w:tcPr>
            <w:tcW w:w="280" w:type="dxa"/>
            <w:vAlign w:val="bottom"/>
          </w:tcPr>
          <w:p>
            <w:pPr>
              <w:spacing w:after="0"/>
              <w:rPr>
                <w:sz w:val="17"/>
                <w:szCs w:val="17"/>
                <w:color w:val="auto"/>
              </w:rPr>
            </w:pPr>
          </w:p>
        </w:tc>
        <w:tc>
          <w:tcPr>
            <w:tcW w:w="520" w:type="dxa"/>
            <w:vAlign w:val="bottom"/>
          </w:tcPr>
          <w:p>
            <w:pPr>
              <w:jc w:val="right"/>
              <w:spacing w:after="0" w:line="202" w:lineRule="exact"/>
              <w:rPr>
                <w:sz w:val="20"/>
                <w:szCs w:val="20"/>
                <w:color w:val="auto"/>
              </w:rPr>
            </w:pPr>
            <w:r>
              <w:rPr>
                <w:rFonts w:ascii="Arial" w:cs="Arial" w:eastAsia="Arial" w:hAnsi="Arial"/>
                <w:sz w:val="18"/>
                <w:szCs w:val="18"/>
                <w:color w:val="auto"/>
              </w:rPr>
              <w:t>67</w:t>
            </w:r>
          </w:p>
        </w:tc>
      </w:tr>
      <w:tr>
        <w:trPr>
          <w:trHeight w:val="203"/>
        </w:trPr>
        <w:tc>
          <w:tcPr>
            <w:tcW w:w="2620" w:type="dxa"/>
            <w:vAlign w:val="bottom"/>
          </w:tcPr>
          <w:p>
            <w:pPr>
              <w:ind w:left="20"/>
              <w:spacing w:after="0" w:line="202" w:lineRule="exact"/>
              <w:rPr>
                <w:sz w:val="20"/>
                <w:szCs w:val="20"/>
                <w:color w:val="auto"/>
              </w:rPr>
            </w:pPr>
            <w:r>
              <w:rPr>
                <w:rFonts w:ascii="Arial" w:cs="Arial" w:eastAsia="Arial" w:hAnsi="Arial"/>
                <w:sz w:val="18"/>
                <w:szCs w:val="18"/>
                <w:color w:val="auto"/>
              </w:rPr>
              <w:t>Income tax expense</w:t>
            </w:r>
          </w:p>
        </w:tc>
        <w:tc>
          <w:tcPr>
            <w:tcW w:w="1060" w:type="dxa"/>
            <w:vAlign w:val="bottom"/>
          </w:tcPr>
          <w:p>
            <w:pPr>
              <w:jc w:val="right"/>
              <w:ind w:right="96"/>
              <w:spacing w:after="0" w:line="202" w:lineRule="exact"/>
              <w:rPr>
                <w:sz w:val="20"/>
                <w:szCs w:val="20"/>
                <w:color w:val="auto"/>
              </w:rPr>
            </w:pPr>
            <w:r>
              <w:rPr>
                <w:rFonts w:ascii="Arial" w:cs="Arial" w:eastAsia="Arial" w:hAnsi="Arial"/>
                <w:sz w:val="18"/>
                <w:szCs w:val="18"/>
                <w:color w:val="auto"/>
              </w:rPr>
              <w:t>(18)</w:t>
            </w:r>
          </w:p>
        </w:tc>
        <w:tc>
          <w:tcPr>
            <w:tcW w:w="300" w:type="dxa"/>
            <w:vAlign w:val="bottom"/>
          </w:tcPr>
          <w:p>
            <w:pPr>
              <w:spacing w:after="0"/>
              <w:rPr>
                <w:sz w:val="17"/>
                <w:szCs w:val="17"/>
                <w:color w:val="auto"/>
              </w:rPr>
            </w:pPr>
          </w:p>
        </w:tc>
        <w:tc>
          <w:tcPr>
            <w:tcW w:w="700" w:type="dxa"/>
            <w:vAlign w:val="bottom"/>
          </w:tcPr>
          <w:p>
            <w:pPr>
              <w:jc w:val="right"/>
              <w:ind w:right="116"/>
              <w:spacing w:after="0" w:line="202" w:lineRule="exact"/>
              <w:rPr>
                <w:sz w:val="20"/>
                <w:szCs w:val="20"/>
                <w:color w:val="auto"/>
              </w:rPr>
            </w:pPr>
            <w:r>
              <w:rPr>
                <w:rFonts w:ascii="Arial" w:cs="Arial" w:eastAsia="Arial" w:hAnsi="Arial"/>
                <w:sz w:val="18"/>
                <w:szCs w:val="18"/>
                <w:color w:val="auto"/>
              </w:rPr>
              <w:t>(59)</w:t>
            </w:r>
          </w:p>
        </w:tc>
        <w:tc>
          <w:tcPr>
            <w:tcW w:w="280" w:type="dxa"/>
            <w:vAlign w:val="bottom"/>
          </w:tcPr>
          <w:p>
            <w:pPr>
              <w:spacing w:after="0"/>
              <w:rPr>
                <w:sz w:val="17"/>
                <w:szCs w:val="17"/>
                <w:color w:val="auto"/>
              </w:rPr>
            </w:pPr>
          </w:p>
        </w:tc>
        <w:tc>
          <w:tcPr>
            <w:tcW w:w="520" w:type="dxa"/>
            <w:vAlign w:val="bottom"/>
          </w:tcPr>
          <w:p>
            <w:pPr>
              <w:jc w:val="right"/>
              <w:spacing w:after="0" w:line="202" w:lineRule="exact"/>
              <w:rPr>
                <w:sz w:val="20"/>
                <w:szCs w:val="20"/>
                <w:color w:val="auto"/>
              </w:rPr>
            </w:pPr>
            <w:r>
              <w:rPr>
                <w:rFonts w:ascii="Arial" w:cs="Arial" w:eastAsia="Arial" w:hAnsi="Arial"/>
                <w:sz w:val="18"/>
                <w:szCs w:val="18"/>
                <w:color w:val="auto"/>
              </w:rPr>
              <w:t>(25)</w:t>
            </w:r>
          </w:p>
        </w:tc>
      </w:tr>
      <w:tr>
        <w:trPr>
          <w:trHeight w:val="199"/>
        </w:trPr>
        <w:tc>
          <w:tcPr>
            <w:tcW w:w="2620" w:type="dxa"/>
            <w:vAlign w:val="bottom"/>
            <w:tcBorders>
              <w:bottom w:val="single" w:sz="8" w:color="35BF85"/>
            </w:tcBorders>
          </w:tcPr>
          <w:p>
            <w:pPr>
              <w:ind w:left="20"/>
              <w:spacing w:after="0" w:line="200" w:lineRule="exact"/>
              <w:rPr>
                <w:sz w:val="20"/>
                <w:szCs w:val="20"/>
                <w:color w:val="auto"/>
              </w:rPr>
            </w:pPr>
            <w:r>
              <w:rPr>
                <w:rFonts w:ascii="Arial" w:cs="Arial" w:eastAsia="Arial" w:hAnsi="Arial"/>
                <w:sz w:val="18"/>
                <w:szCs w:val="18"/>
                <w:color w:val="auto"/>
              </w:rPr>
              <w:t>Net income</w:t>
            </w:r>
          </w:p>
        </w:tc>
        <w:tc>
          <w:tcPr>
            <w:tcW w:w="1060" w:type="dxa"/>
            <w:vAlign w:val="bottom"/>
            <w:tcBorders>
              <w:bottom w:val="single" w:sz="8" w:color="35BF85"/>
            </w:tcBorders>
          </w:tcPr>
          <w:p>
            <w:pPr>
              <w:jc w:val="right"/>
              <w:ind w:right="156"/>
              <w:spacing w:after="0" w:line="200" w:lineRule="exact"/>
              <w:rPr>
                <w:sz w:val="20"/>
                <w:szCs w:val="20"/>
                <w:color w:val="auto"/>
              </w:rPr>
            </w:pPr>
            <w:r>
              <w:rPr>
                <w:rFonts w:ascii="Arial" w:cs="Arial" w:eastAsia="Arial" w:hAnsi="Arial"/>
                <w:sz w:val="18"/>
                <w:szCs w:val="18"/>
                <w:color w:val="auto"/>
              </w:rPr>
              <w:t>$103</w:t>
            </w:r>
          </w:p>
        </w:tc>
        <w:tc>
          <w:tcPr>
            <w:tcW w:w="300" w:type="dxa"/>
            <w:vAlign w:val="bottom"/>
            <w:tcBorders>
              <w:bottom w:val="single" w:sz="8" w:color="35BF85"/>
            </w:tcBorders>
          </w:tcPr>
          <w:p>
            <w:pPr>
              <w:jc w:val="right"/>
              <w:spacing w:after="0" w:line="200" w:lineRule="exact"/>
              <w:rPr>
                <w:sz w:val="20"/>
                <w:szCs w:val="20"/>
                <w:color w:val="auto"/>
              </w:rPr>
            </w:pPr>
            <w:r>
              <w:rPr>
                <w:rFonts w:ascii="Arial" w:cs="Arial" w:eastAsia="Arial" w:hAnsi="Arial"/>
                <w:sz w:val="18"/>
                <w:szCs w:val="18"/>
                <w:color w:val="auto"/>
              </w:rPr>
              <w:t>$</w:t>
            </w:r>
          </w:p>
        </w:tc>
        <w:tc>
          <w:tcPr>
            <w:tcW w:w="700" w:type="dxa"/>
            <w:vAlign w:val="bottom"/>
            <w:tcBorders>
              <w:bottom w:val="single" w:sz="8" w:color="35BF85"/>
            </w:tcBorders>
          </w:tcPr>
          <w:p>
            <w:pPr>
              <w:jc w:val="right"/>
              <w:ind w:right="176"/>
              <w:spacing w:after="0" w:line="200" w:lineRule="exact"/>
              <w:rPr>
                <w:sz w:val="20"/>
                <w:szCs w:val="20"/>
                <w:color w:val="auto"/>
              </w:rPr>
            </w:pPr>
            <w:r>
              <w:rPr>
                <w:rFonts w:ascii="Arial" w:cs="Arial" w:eastAsia="Arial" w:hAnsi="Arial"/>
                <w:sz w:val="18"/>
                <w:szCs w:val="18"/>
                <w:color w:val="auto"/>
              </w:rPr>
              <w:t>100</w:t>
            </w:r>
          </w:p>
        </w:tc>
        <w:tc>
          <w:tcPr>
            <w:tcW w:w="280" w:type="dxa"/>
            <w:vAlign w:val="bottom"/>
            <w:tcBorders>
              <w:bottom w:val="single" w:sz="8" w:color="35BF85"/>
            </w:tcBorders>
          </w:tcPr>
          <w:p>
            <w:pPr>
              <w:jc w:val="right"/>
              <w:spacing w:after="0" w:line="200" w:lineRule="exact"/>
              <w:rPr>
                <w:sz w:val="20"/>
                <w:szCs w:val="20"/>
                <w:color w:val="auto"/>
              </w:rPr>
            </w:pPr>
            <w:r>
              <w:rPr>
                <w:rFonts w:ascii="Arial" w:cs="Arial" w:eastAsia="Arial" w:hAnsi="Arial"/>
                <w:sz w:val="18"/>
                <w:szCs w:val="18"/>
                <w:color w:val="auto"/>
              </w:rPr>
              <w:t>$</w:t>
            </w:r>
          </w:p>
        </w:tc>
        <w:tc>
          <w:tcPr>
            <w:tcW w:w="520" w:type="dxa"/>
            <w:vAlign w:val="bottom"/>
            <w:tcBorders>
              <w:bottom w:val="single" w:sz="8" w:color="35BF85"/>
            </w:tcBorders>
          </w:tcPr>
          <w:p>
            <w:pPr>
              <w:jc w:val="right"/>
              <w:spacing w:after="0" w:line="200" w:lineRule="exact"/>
              <w:rPr>
                <w:sz w:val="20"/>
                <w:szCs w:val="20"/>
                <w:color w:val="auto"/>
              </w:rPr>
            </w:pPr>
            <w:r>
              <w:rPr>
                <w:rFonts w:ascii="Arial" w:cs="Arial" w:eastAsia="Arial" w:hAnsi="Arial"/>
                <w:sz w:val="18"/>
                <w:szCs w:val="18"/>
                <w:color w:val="auto"/>
              </w:rPr>
              <w:t>42</w:t>
            </w:r>
          </w:p>
        </w:tc>
      </w:tr>
    </w:tbl>
    <w:p>
      <w:pPr>
        <w:spacing w:after="0" w:line="143" w:lineRule="exact"/>
        <w:rPr>
          <w:sz w:val="20"/>
          <w:szCs w:val="20"/>
          <w:color w:val="auto"/>
        </w:rPr>
      </w:pPr>
    </w:p>
    <w:p>
      <w:pPr>
        <w:spacing w:after="0"/>
        <w:rPr>
          <w:sz w:val="20"/>
          <w:szCs w:val="20"/>
          <w:color w:val="auto"/>
        </w:rPr>
      </w:pPr>
      <w:r>
        <w:rPr>
          <w:rFonts w:ascii="Arial" w:cs="Arial" w:eastAsia="Arial" w:hAnsi="Arial"/>
          <w:sz w:val="18"/>
          <w:szCs w:val="18"/>
          <w:b w:val="1"/>
          <w:bCs w:val="1"/>
          <w:color w:val="35BF85"/>
        </w:rPr>
        <w:t>Unaudited Pro Forma Information</w:t>
      </w:r>
    </w:p>
    <w:p>
      <w:pPr>
        <w:spacing w:after="0" w:line="18" w:lineRule="exact"/>
        <w:rPr>
          <w:sz w:val="20"/>
          <w:szCs w:val="20"/>
          <w:color w:val="auto"/>
        </w:rPr>
      </w:pPr>
    </w:p>
    <w:p>
      <w:pPr>
        <w:jc w:val="both"/>
        <w:spacing w:after="0" w:line="236" w:lineRule="auto"/>
        <w:rPr>
          <w:sz w:val="20"/>
          <w:szCs w:val="20"/>
          <w:color w:val="auto"/>
        </w:rPr>
      </w:pPr>
      <w:r>
        <w:rPr>
          <w:rFonts w:ascii="Arial" w:cs="Arial" w:eastAsia="Arial" w:hAnsi="Arial"/>
          <w:sz w:val="18"/>
          <w:szCs w:val="18"/>
          <w:color w:val="auto"/>
        </w:rPr>
        <w:t>The following unaudited pro forma information has been presented as if the Adelphia and Time Warner transactions occurred on January 1, 2005. This information is based on historical results of operations, adjusted for purchase price allocations and is not necessarily indicative of what the results would have been had we operated the entities since January 1, 2005.</w:t>
      </w:r>
    </w:p>
    <w:p>
      <w:pPr>
        <w:spacing w:after="0" w:line="181"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3480" w:type="dxa"/>
            <w:vAlign w:val="bottom"/>
            <w:tcBorders>
              <w:bottom w:val="single" w:sz="8" w:color="auto"/>
            </w:tcBorders>
          </w:tcPr>
          <w:p>
            <w:pPr>
              <w:ind w:left="20"/>
              <w:spacing w:after="0"/>
              <w:rPr>
                <w:sz w:val="20"/>
                <w:szCs w:val="20"/>
                <w:color w:val="auto"/>
              </w:rPr>
            </w:pPr>
            <w:r>
              <w:rPr>
                <w:rFonts w:ascii="Arial" w:cs="Arial" w:eastAsia="Arial" w:hAnsi="Arial"/>
                <w:sz w:val="14"/>
                <w:szCs w:val="14"/>
                <w:color w:val="auto"/>
              </w:rPr>
              <w:t>Year Ended December 31 (in millions)</w:t>
            </w:r>
          </w:p>
        </w:tc>
        <w:tc>
          <w:tcPr>
            <w:tcW w:w="360" w:type="dxa"/>
            <w:vAlign w:val="bottom"/>
            <w:tcBorders>
              <w:bottom w:val="single" w:sz="8" w:color="auto"/>
            </w:tcBorders>
          </w:tcPr>
          <w:p>
            <w:pPr>
              <w:spacing w:after="0"/>
              <w:rPr>
                <w:sz w:val="14"/>
                <w:szCs w:val="14"/>
                <w:color w:val="auto"/>
              </w:rPr>
            </w:pPr>
          </w:p>
        </w:tc>
        <w:tc>
          <w:tcPr>
            <w:tcW w:w="760" w:type="dxa"/>
            <w:vAlign w:val="bottom"/>
            <w:tcBorders>
              <w:bottom w:val="single" w:sz="8" w:color="auto"/>
            </w:tcBorders>
          </w:tcPr>
          <w:p>
            <w:pPr>
              <w:jc w:val="right"/>
              <w:ind w:right="135"/>
              <w:spacing w:after="0"/>
              <w:rPr>
                <w:sz w:val="20"/>
                <w:szCs w:val="20"/>
                <w:color w:val="auto"/>
              </w:rPr>
            </w:pPr>
            <w:r>
              <w:rPr>
                <w:rFonts w:ascii="Arial" w:cs="Arial" w:eastAsia="Arial" w:hAnsi="Arial"/>
                <w:sz w:val="14"/>
                <w:szCs w:val="14"/>
                <w:color w:val="auto"/>
              </w:rPr>
              <w:t>2006</w:t>
            </w:r>
          </w:p>
        </w:tc>
        <w:tc>
          <w:tcPr>
            <w:tcW w:w="340" w:type="dxa"/>
            <w:vAlign w:val="bottom"/>
            <w:tcBorders>
              <w:bottom w:val="single" w:sz="8" w:color="auto"/>
            </w:tcBorders>
          </w:tcPr>
          <w:p>
            <w:pPr>
              <w:spacing w:after="0"/>
              <w:rPr>
                <w:sz w:val="14"/>
                <w:szCs w:val="14"/>
                <w:color w:val="auto"/>
              </w:rPr>
            </w:pPr>
          </w:p>
        </w:tc>
        <w:tc>
          <w:tcPr>
            <w:tcW w:w="54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2005</w:t>
            </w:r>
          </w:p>
        </w:tc>
      </w:tr>
      <w:tr>
        <w:trPr>
          <w:trHeight w:val="199"/>
        </w:trPr>
        <w:tc>
          <w:tcPr>
            <w:tcW w:w="3480" w:type="dxa"/>
            <w:vAlign w:val="bottom"/>
          </w:tcPr>
          <w:p>
            <w:pPr>
              <w:ind w:left="20"/>
              <w:spacing w:after="0" w:line="200" w:lineRule="exact"/>
              <w:rPr>
                <w:sz w:val="20"/>
                <w:szCs w:val="20"/>
                <w:color w:val="auto"/>
              </w:rPr>
            </w:pPr>
            <w:r>
              <w:rPr>
                <w:rFonts w:ascii="Arial" w:cs="Arial" w:eastAsia="Arial" w:hAnsi="Arial"/>
                <w:sz w:val="18"/>
                <w:szCs w:val="18"/>
                <w:color w:val="auto"/>
              </w:rPr>
              <w:t>Revenues</w:t>
            </w:r>
          </w:p>
        </w:tc>
        <w:tc>
          <w:tcPr>
            <w:tcW w:w="360" w:type="dxa"/>
            <w:vAlign w:val="bottom"/>
          </w:tcPr>
          <w:p>
            <w:pPr>
              <w:jc w:val="right"/>
              <w:spacing w:after="0" w:line="200" w:lineRule="exact"/>
              <w:rPr>
                <w:sz w:val="20"/>
                <w:szCs w:val="20"/>
                <w:color w:val="auto"/>
              </w:rPr>
            </w:pPr>
            <w:r>
              <w:rPr>
                <w:rFonts w:ascii="Arial" w:cs="Arial" w:eastAsia="Arial" w:hAnsi="Arial"/>
                <w:sz w:val="18"/>
                <w:szCs w:val="18"/>
                <w:color w:val="auto"/>
              </w:rPr>
              <w:t>$</w:t>
            </w:r>
          </w:p>
        </w:tc>
        <w:tc>
          <w:tcPr>
            <w:tcW w:w="760" w:type="dxa"/>
            <w:vAlign w:val="bottom"/>
          </w:tcPr>
          <w:p>
            <w:pPr>
              <w:jc w:val="right"/>
              <w:ind w:right="135"/>
              <w:spacing w:after="0" w:line="200" w:lineRule="exact"/>
              <w:rPr>
                <w:sz w:val="20"/>
                <w:szCs w:val="20"/>
                <w:color w:val="auto"/>
              </w:rPr>
            </w:pPr>
            <w:r>
              <w:rPr>
                <w:rFonts w:ascii="Arial" w:cs="Arial" w:eastAsia="Arial" w:hAnsi="Arial"/>
                <w:sz w:val="18"/>
                <w:szCs w:val="18"/>
                <w:color w:val="auto"/>
                <w:w w:val="94"/>
              </w:rPr>
              <w:t>26,616</w:t>
            </w:r>
          </w:p>
        </w:tc>
        <w:tc>
          <w:tcPr>
            <w:tcW w:w="340" w:type="dxa"/>
            <w:vAlign w:val="bottom"/>
          </w:tcPr>
          <w:p>
            <w:pPr>
              <w:jc w:val="right"/>
              <w:spacing w:after="0" w:line="200" w:lineRule="exact"/>
              <w:rPr>
                <w:sz w:val="20"/>
                <w:szCs w:val="20"/>
                <w:color w:val="auto"/>
              </w:rPr>
            </w:pPr>
            <w:r>
              <w:rPr>
                <w:rFonts w:ascii="Arial" w:cs="Arial" w:eastAsia="Arial" w:hAnsi="Arial"/>
                <w:sz w:val="18"/>
                <w:szCs w:val="18"/>
                <w:color w:val="auto"/>
              </w:rPr>
              <w:t>$</w:t>
            </w:r>
          </w:p>
        </w:tc>
        <w:tc>
          <w:tcPr>
            <w:tcW w:w="540" w:type="dxa"/>
            <w:vAlign w:val="bottom"/>
          </w:tcPr>
          <w:p>
            <w:pPr>
              <w:jc w:val="right"/>
              <w:spacing w:after="0" w:line="200" w:lineRule="exact"/>
              <w:rPr>
                <w:sz w:val="20"/>
                <w:szCs w:val="20"/>
                <w:color w:val="auto"/>
              </w:rPr>
            </w:pPr>
            <w:r>
              <w:rPr>
                <w:rFonts w:ascii="Arial" w:cs="Arial" w:eastAsia="Arial" w:hAnsi="Arial"/>
                <w:sz w:val="18"/>
                <w:szCs w:val="18"/>
                <w:color w:val="auto"/>
                <w:w w:val="94"/>
              </w:rPr>
              <w:t>23,672</w:t>
            </w:r>
          </w:p>
        </w:tc>
      </w:tr>
      <w:tr>
        <w:trPr>
          <w:trHeight w:val="203"/>
        </w:trPr>
        <w:tc>
          <w:tcPr>
            <w:tcW w:w="3480" w:type="dxa"/>
            <w:vAlign w:val="bottom"/>
          </w:tcPr>
          <w:p>
            <w:pPr>
              <w:ind w:left="20"/>
              <w:spacing w:after="0" w:line="202" w:lineRule="exact"/>
              <w:rPr>
                <w:sz w:val="20"/>
                <w:szCs w:val="20"/>
                <w:color w:val="auto"/>
              </w:rPr>
            </w:pPr>
            <w:r>
              <w:rPr>
                <w:rFonts w:ascii="Arial" w:cs="Arial" w:eastAsia="Arial" w:hAnsi="Arial"/>
                <w:sz w:val="18"/>
                <w:szCs w:val="18"/>
                <w:color w:val="auto"/>
              </w:rPr>
              <w:t>Income from continuing operations</w:t>
            </w:r>
          </w:p>
        </w:tc>
        <w:tc>
          <w:tcPr>
            <w:tcW w:w="360" w:type="dxa"/>
            <w:vAlign w:val="bottom"/>
          </w:tcPr>
          <w:p>
            <w:pPr>
              <w:spacing w:after="0"/>
              <w:rPr>
                <w:sz w:val="17"/>
                <w:szCs w:val="17"/>
                <w:color w:val="auto"/>
              </w:rPr>
            </w:pPr>
          </w:p>
        </w:tc>
        <w:tc>
          <w:tcPr>
            <w:tcW w:w="760" w:type="dxa"/>
            <w:vAlign w:val="bottom"/>
          </w:tcPr>
          <w:p>
            <w:pPr>
              <w:jc w:val="right"/>
              <w:ind w:right="135"/>
              <w:spacing w:after="0" w:line="202" w:lineRule="exact"/>
              <w:rPr>
                <w:sz w:val="20"/>
                <w:szCs w:val="20"/>
                <w:color w:val="auto"/>
              </w:rPr>
            </w:pPr>
            <w:r>
              <w:rPr>
                <w:rFonts w:ascii="Arial" w:cs="Arial" w:eastAsia="Arial" w:hAnsi="Arial"/>
                <w:sz w:val="18"/>
                <w:szCs w:val="18"/>
                <w:color w:val="auto"/>
              </w:rPr>
              <w:t>2,284</w:t>
            </w:r>
          </w:p>
        </w:tc>
        <w:tc>
          <w:tcPr>
            <w:tcW w:w="340" w:type="dxa"/>
            <w:vAlign w:val="bottom"/>
          </w:tcPr>
          <w:p>
            <w:pPr>
              <w:spacing w:after="0"/>
              <w:rPr>
                <w:sz w:val="17"/>
                <w:szCs w:val="17"/>
                <w:color w:val="auto"/>
              </w:rPr>
            </w:pPr>
          </w:p>
        </w:tc>
        <w:tc>
          <w:tcPr>
            <w:tcW w:w="540" w:type="dxa"/>
            <w:vAlign w:val="bottom"/>
          </w:tcPr>
          <w:p>
            <w:pPr>
              <w:jc w:val="right"/>
              <w:spacing w:after="0" w:line="202" w:lineRule="exact"/>
              <w:rPr>
                <w:sz w:val="20"/>
                <w:szCs w:val="20"/>
                <w:color w:val="auto"/>
              </w:rPr>
            </w:pPr>
            <w:r>
              <w:rPr>
                <w:rFonts w:ascii="Arial" w:cs="Arial" w:eastAsia="Arial" w:hAnsi="Arial"/>
                <w:sz w:val="18"/>
                <w:szCs w:val="18"/>
                <w:color w:val="auto"/>
              </w:rPr>
              <w:t>770</w:t>
            </w:r>
          </w:p>
        </w:tc>
      </w:tr>
      <w:tr>
        <w:trPr>
          <w:trHeight w:val="203"/>
        </w:trPr>
        <w:tc>
          <w:tcPr>
            <w:tcW w:w="3480" w:type="dxa"/>
            <w:vAlign w:val="bottom"/>
          </w:tcPr>
          <w:p>
            <w:pPr>
              <w:ind w:left="20"/>
              <w:spacing w:after="0" w:line="202" w:lineRule="exact"/>
              <w:rPr>
                <w:sz w:val="20"/>
                <w:szCs w:val="20"/>
                <w:color w:val="auto"/>
              </w:rPr>
            </w:pPr>
            <w:r>
              <w:rPr>
                <w:rFonts w:ascii="Arial" w:cs="Arial" w:eastAsia="Arial" w:hAnsi="Arial"/>
                <w:sz w:val="18"/>
                <w:szCs w:val="18"/>
                <w:color w:val="auto"/>
              </w:rPr>
              <w:t>Income from discontinued operations, net</w:t>
            </w:r>
          </w:p>
        </w:tc>
        <w:tc>
          <w:tcPr>
            <w:tcW w:w="36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540" w:type="dxa"/>
            <w:vAlign w:val="bottom"/>
          </w:tcPr>
          <w:p>
            <w:pPr>
              <w:spacing w:after="0"/>
              <w:rPr>
                <w:sz w:val="17"/>
                <w:szCs w:val="17"/>
                <w:color w:val="auto"/>
              </w:rPr>
            </w:pPr>
          </w:p>
        </w:tc>
      </w:tr>
      <w:tr>
        <w:trPr>
          <w:trHeight w:val="203"/>
        </w:trPr>
        <w:tc>
          <w:tcPr>
            <w:tcW w:w="3480" w:type="dxa"/>
            <w:vAlign w:val="bottom"/>
          </w:tcPr>
          <w:p>
            <w:pPr>
              <w:ind w:left="220"/>
              <w:spacing w:after="0" w:line="202" w:lineRule="exact"/>
              <w:rPr>
                <w:sz w:val="20"/>
                <w:szCs w:val="20"/>
                <w:color w:val="auto"/>
              </w:rPr>
            </w:pPr>
            <w:r>
              <w:rPr>
                <w:rFonts w:ascii="Arial" w:cs="Arial" w:eastAsia="Arial" w:hAnsi="Arial"/>
                <w:sz w:val="18"/>
                <w:szCs w:val="18"/>
                <w:color w:val="auto"/>
              </w:rPr>
              <w:t>of tax</w:t>
            </w:r>
          </w:p>
        </w:tc>
        <w:tc>
          <w:tcPr>
            <w:tcW w:w="360" w:type="dxa"/>
            <w:vAlign w:val="bottom"/>
          </w:tcPr>
          <w:p>
            <w:pPr>
              <w:spacing w:after="0"/>
              <w:rPr>
                <w:sz w:val="17"/>
                <w:szCs w:val="17"/>
                <w:color w:val="auto"/>
              </w:rPr>
            </w:pPr>
          </w:p>
        </w:tc>
        <w:tc>
          <w:tcPr>
            <w:tcW w:w="760" w:type="dxa"/>
            <w:vAlign w:val="bottom"/>
          </w:tcPr>
          <w:p>
            <w:pPr>
              <w:jc w:val="right"/>
              <w:ind w:right="135"/>
              <w:spacing w:after="0" w:line="202" w:lineRule="exact"/>
              <w:rPr>
                <w:sz w:val="20"/>
                <w:szCs w:val="20"/>
                <w:color w:val="auto"/>
              </w:rPr>
            </w:pPr>
            <w:r>
              <w:rPr>
                <w:rFonts w:ascii="Arial" w:cs="Arial" w:eastAsia="Arial" w:hAnsi="Arial"/>
                <w:sz w:val="18"/>
                <w:szCs w:val="18"/>
                <w:color w:val="auto"/>
              </w:rPr>
              <w:t>103</w:t>
            </w:r>
          </w:p>
        </w:tc>
        <w:tc>
          <w:tcPr>
            <w:tcW w:w="340" w:type="dxa"/>
            <w:vAlign w:val="bottom"/>
          </w:tcPr>
          <w:p>
            <w:pPr>
              <w:spacing w:after="0"/>
              <w:rPr>
                <w:sz w:val="17"/>
                <w:szCs w:val="17"/>
                <w:color w:val="auto"/>
              </w:rPr>
            </w:pPr>
          </w:p>
        </w:tc>
        <w:tc>
          <w:tcPr>
            <w:tcW w:w="540" w:type="dxa"/>
            <w:vAlign w:val="bottom"/>
          </w:tcPr>
          <w:p>
            <w:pPr>
              <w:jc w:val="right"/>
              <w:spacing w:after="0" w:line="202" w:lineRule="exact"/>
              <w:rPr>
                <w:sz w:val="20"/>
                <w:szCs w:val="20"/>
                <w:color w:val="auto"/>
              </w:rPr>
            </w:pPr>
            <w:r>
              <w:rPr>
                <w:rFonts w:ascii="Arial" w:cs="Arial" w:eastAsia="Arial" w:hAnsi="Arial"/>
                <w:sz w:val="18"/>
                <w:szCs w:val="18"/>
                <w:color w:val="auto"/>
              </w:rPr>
              <w:t>100</w:t>
            </w:r>
          </w:p>
        </w:tc>
      </w:tr>
      <w:tr>
        <w:trPr>
          <w:trHeight w:val="203"/>
        </w:trPr>
        <w:tc>
          <w:tcPr>
            <w:tcW w:w="3480" w:type="dxa"/>
            <w:vAlign w:val="bottom"/>
          </w:tcPr>
          <w:p>
            <w:pPr>
              <w:ind w:left="20"/>
              <w:spacing w:after="0" w:line="202" w:lineRule="exact"/>
              <w:rPr>
                <w:sz w:val="20"/>
                <w:szCs w:val="20"/>
                <w:color w:val="auto"/>
              </w:rPr>
            </w:pPr>
            <w:r>
              <w:rPr>
                <w:rFonts w:ascii="Arial" w:cs="Arial" w:eastAsia="Arial" w:hAnsi="Arial"/>
                <w:sz w:val="18"/>
                <w:szCs w:val="18"/>
                <w:color w:val="auto"/>
              </w:rPr>
              <w:t>Gain on discontinued operations, net of</w:t>
            </w:r>
          </w:p>
        </w:tc>
        <w:tc>
          <w:tcPr>
            <w:tcW w:w="36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540" w:type="dxa"/>
            <w:vAlign w:val="bottom"/>
          </w:tcPr>
          <w:p>
            <w:pPr>
              <w:spacing w:after="0"/>
              <w:rPr>
                <w:sz w:val="17"/>
                <w:szCs w:val="17"/>
                <w:color w:val="auto"/>
              </w:rPr>
            </w:pPr>
          </w:p>
        </w:tc>
      </w:tr>
      <w:tr>
        <w:trPr>
          <w:trHeight w:val="203"/>
        </w:trPr>
        <w:tc>
          <w:tcPr>
            <w:tcW w:w="3480" w:type="dxa"/>
            <w:vAlign w:val="bottom"/>
          </w:tcPr>
          <w:p>
            <w:pPr>
              <w:ind w:left="220"/>
              <w:spacing w:after="0" w:line="202" w:lineRule="exact"/>
              <w:rPr>
                <w:sz w:val="20"/>
                <w:szCs w:val="20"/>
                <w:color w:val="auto"/>
              </w:rPr>
            </w:pPr>
            <w:r>
              <w:rPr>
                <w:rFonts w:ascii="Arial" w:cs="Arial" w:eastAsia="Arial" w:hAnsi="Arial"/>
                <w:sz w:val="18"/>
                <w:szCs w:val="18"/>
                <w:color w:val="auto"/>
              </w:rPr>
              <w:t>tax</w:t>
            </w:r>
          </w:p>
        </w:tc>
        <w:tc>
          <w:tcPr>
            <w:tcW w:w="360" w:type="dxa"/>
            <w:vAlign w:val="bottom"/>
          </w:tcPr>
          <w:p>
            <w:pPr>
              <w:spacing w:after="0"/>
              <w:rPr>
                <w:sz w:val="17"/>
                <w:szCs w:val="17"/>
                <w:color w:val="auto"/>
              </w:rPr>
            </w:pPr>
          </w:p>
        </w:tc>
        <w:tc>
          <w:tcPr>
            <w:tcW w:w="760" w:type="dxa"/>
            <w:vAlign w:val="bottom"/>
          </w:tcPr>
          <w:p>
            <w:pPr>
              <w:jc w:val="right"/>
              <w:ind w:right="135"/>
              <w:spacing w:after="0" w:line="202" w:lineRule="exact"/>
              <w:rPr>
                <w:sz w:val="20"/>
                <w:szCs w:val="20"/>
                <w:color w:val="auto"/>
              </w:rPr>
            </w:pPr>
            <w:r>
              <w:rPr>
                <w:rFonts w:ascii="Arial" w:cs="Arial" w:eastAsia="Arial" w:hAnsi="Arial"/>
                <w:sz w:val="18"/>
                <w:szCs w:val="18"/>
                <w:color w:val="auto"/>
              </w:rPr>
              <w:t>195</w:t>
            </w:r>
          </w:p>
        </w:tc>
        <w:tc>
          <w:tcPr>
            <w:tcW w:w="340" w:type="dxa"/>
            <w:vAlign w:val="bottom"/>
          </w:tcPr>
          <w:p>
            <w:pPr>
              <w:spacing w:after="0"/>
              <w:rPr>
                <w:sz w:val="17"/>
                <w:szCs w:val="17"/>
                <w:color w:val="auto"/>
              </w:rPr>
            </w:pPr>
          </w:p>
        </w:tc>
        <w:tc>
          <w:tcPr>
            <w:tcW w:w="540" w:type="dxa"/>
            <w:vAlign w:val="bottom"/>
          </w:tcPr>
          <w:p>
            <w:pPr>
              <w:jc w:val="right"/>
              <w:spacing w:after="0" w:line="202" w:lineRule="exact"/>
              <w:rPr>
                <w:sz w:val="20"/>
                <w:szCs w:val="20"/>
                <w:color w:val="auto"/>
              </w:rPr>
            </w:pPr>
            <w:r>
              <w:rPr>
                <w:rFonts w:ascii="Arial" w:cs="Arial" w:eastAsia="Arial" w:hAnsi="Arial"/>
                <w:sz w:val="18"/>
                <w:szCs w:val="18"/>
                <w:color w:val="auto"/>
              </w:rPr>
              <w:t>—</w:t>
            </w:r>
          </w:p>
        </w:tc>
      </w:tr>
      <w:tr>
        <w:trPr>
          <w:trHeight w:val="203"/>
        </w:trPr>
        <w:tc>
          <w:tcPr>
            <w:tcW w:w="3480" w:type="dxa"/>
            <w:vAlign w:val="bottom"/>
          </w:tcPr>
          <w:p>
            <w:pPr>
              <w:ind w:left="20"/>
              <w:spacing w:after="0" w:line="202" w:lineRule="exact"/>
              <w:rPr>
                <w:sz w:val="20"/>
                <w:szCs w:val="20"/>
                <w:color w:val="auto"/>
              </w:rPr>
            </w:pPr>
            <w:r>
              <w:rPr>
                <w:rFonts w:ascii="Arial" w:cs="Arial" w:eastAsia="Arial" w:hAnsi="Arial"/>
                <w:sz w:val="18"/>
                <w:szCs w:val="18"/>
                <w:color w:val="auto"/>
              </w:rPr>
              <w:t>Net Income</w:t>
            </w:r>
          </w:p>
        </w:tc>
        <w:tc>
          <w:tcPr>
            <w:tcW w:w="360" w:type="dxa"/>
            <w:vAlign w:val="bottom"/>
          </w:tcPr>
          <w:p>
            <w:pPr>
              <w:jc w:val="right"/>
              <w:spacing w:after="0" w:line="202" w:lineRule="exact"/>
              <w:rPr>
                <w:sz w:val="20"/>
                <w:szCs w:val="20"/>
                <w:color w:val="auto"/>
              </w:rPr>
            </w:pPr>
            <w:r>
              <w:rPr>
                <w:rFonts w:ascii="Arial" w:cs="Arial" w:eastAsia="Arial" w:hAnsi="Arial"/>
                <w:sz w:val="18"/>
                <w:szCs w:val="18"/>
                <w:color w:val="auto"/>
              </w:rPr>
              <w:t>$</w:t>
            </w:r>
          </w:p>
        </w:tc>
        <w:tc>
          <w:tcPr>
            <w:tcW w:w="760" w:type="dxa"/>
            <w:vAlign w:val="bottom"/>
          </w:tcPr>
          <w:p>
            <w:pPr>
              <w:jc w:val="right"/>
              <w:ind w:right="135"/>
              <w:spacing w:after="0" w:line="202" w:lineRule="exact"/>
              <w:rPr>
                <w:sz w:val="20"/>
                <w:szCs w:val="20"/>
                <w:color w:val="auto"/>
              </w:rPr>
            </w:pPr>
            <w:r>
              <w:rPr>
                <w:rFonts w:ascii="Arial" w:cs="Arial" w:eastAsia="Arial" w:hAnsi="Arial"/>
                <w:sz w:val="18"/>
                <w:szCs w:val="18"/>
                <w:color w:val="auto"/>
              </w:rPr>
              <w:t>2,582</w:t>
            </w:r>
          </w:p>
        </w:tc>
        <w:tc>
          <w:tcPr>
            <w:tcW w:w="340" w:type="dxa"/>
            <w:vAlign w:val="bottom"/>
          </w:tcPr>
          <w:p>
            <w:pPr>
              <w:jc w:val="right"/>
              <w:spacing w:after="0" w:line="202" w:lineRule="exact"/>
              <w:rPr>
                <w:sz w:val="20"/>
                <w:szCs w:val="20"/>
                <w:color w:val="auto"/>
              </w:rPr>
            </w:pPr>
            <w:r>
              <w:rPr>
                <w:rFonts w:ascii="Arial" w:cs="Arial" w:eastAsia="Arial" w:hAnsi="Arial"/>
                <w:sz w:val="18"/>
                <w:szCs w:val="18"/>
                <w:color w:val="auto"/>
              </w:rPr>
              <w:t>$</w:t>
            </w:r>
          </w:p>
        </w:tc>
        <w:tc>
          <w:tcPr>
            <w:tcW w:w="540" w:type="dxa"/>
            <w:vAlign w:val="bottom"/>
          </w:tcPr>
          <w:p>
            <w:pPr>
              <w:jc w:val="right"/>
              <w:spacing w:after="0" w:line="202" w:lineRule="exact"/>
              <w:rPr>
                <w:sz w:val="20"/>
                <w:szCs w:val="20"/>
                <w:color w:val="auto"/>
              </w:rPr>
            </w:pPr>
            <w:r>
              <w:rPr>
                <w:rFonts w:ascii="Arial" w:cs="Arial" w:eastAsia="Arial" w:hAnsi="Arial"/>
                <w:sz w:val="18"/>
                <w:szCs w:val="18"/>
                <w:color w:val="auto"/>
              </w:rPr>
              <w:t>870</w:t>
            </w:r>
          </w:p>
        </w:tc>
      </w:tr>
      <w:tr>
        <w:trPr>
          <w:trHeight w:val="203"/>
        </w:trPr>
        <w:tc>
          <w:tcPr>
            <w:tcW w:w="3480" w:type="dxa"/>
            <w:vAlign w:val="bottom"/>
          </w:tcPr>
          <w:p>
            <w:pPr>
              <w:ind w:left="20"/>
              <w:spacing w:after="0" w:line="202" w:lineRule="exact"/>
              <w:rPr>
                <w:sz w:val="20"/>
                <w:szCs w:val="20"/>
                <w:color w:val="auto"/>
              </w:rPr>
            </w:pPr>
            <w:r>
              <w:rPr>
                <w:rFonts w:ascii="Arial" w:cs="Arial" w:eastAsia="Arial" w:hAnsi="Arial"/>
                <w:sz w:val="18"/>
                <w:szCs w:val="18"/>
                <w:color w:val="auto"/>
              </w:rPr>
              <w:t>Basic earnings for common stockholders</w:t>
            </w:r>
          </w:p>
        </w:tc>
        <w:tc>
          <w:tcPr>
            <w:tcW w:w="36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540" w:type="dxa"/>
            <w:vAlign w:val="bottom"/>
          </w:tcPr>
          <w:p>
            <w:pPr>
              <w:spacing w:after="0"/>
              <w:rPr>
                <w:sz w:val="17"/>
                <w:szCs w:val="17"/>
                <w:color w:val="auto"/>
              </w:rPr>
            </w:pPr>
          </w:p>
        </w:tc>
      </w:tr>
      <w:tr>
        <w:trPr>
          <w:trHeight w:val="203"/>
        </w:trPr>
        <w:tc>
          <w:tcPr>
            <w:tcW w:w="3480" w:type="dxa"/>
            <w:vAlign w:val="bottom"/>
          </w:tcPr>
          <w:p>
            <w:pPr>
              <w:ind w:left="220"/>
              <w:spacing w:after="0" w:line="202" w:lineRule="exact"/>
              <w:rPr>
                <w:sz w:val="20"/>
                <w:szCs w:val="20"/>
                <w:color w:val="auto"/>
              </w:rPr>
            </w:pPr>
            <w:r>
              <w:rPr>
                <w:rFonts w:ascii="Arial" w:cs="Arial" w:eastAsia="Arial" w:hAnsi="Arial"/>
                <w:sz w:val="18"/>
                <w:szCs w:val="18"/>
                <w:color w:val="auto"/>
              </w:rPr>
              <w:t>per common share</w:t>
            </w:r>
          </w:p>
        </w:tc>
        <w:tc>
          <w:tcPr>
            <w:tcW w:w="360" w:type="dxa"/>
            <w:vAlign w:val="bottom"/>
          </w:tcPr>
          <w:p>
            <w:pPr>
              <w:jc w:val="right"/>
              <w:spacing w:after="0" w:line="202" w:lineRule="exact"/>
              <w:rPr>
                <w:sz w:val="20"/>
                <w:szCs w:val="20"/>
                <w:color w:val="auto"/>
              </w:rPr>
            </w:pPr>
            <w:r>
              <w:rPr>
                <w:rFonts w:ascii="Arial" w:cs="Arial" w:eastAsia="Arial" w:hAnsi="Arial"/>
                <w:sz w:val="18"/>
                <w:szCs w:val="18"/>
                <w:color w:val="auto"/>
              </w:rPr>
              <w:t>$</w:t>
            </w:r>
          </w:p>
        </w:tc>
        <w:tc>
          <w:tcPr>
            <w:tcW w:w="760" w:type="dxa"/>
            <w:vAlign w:val="bottom"/>
          </w:tcPr>
          <w:p>
            <w:pPr>
              <w:jc w:val="right"/>
              <w:ind w:right="135"/>
              <w:spacing w:after="0" w:line="202" w:lineRule="exact"/>
              <w:rPr>
                <w:sz w:val="20"/>
                <w:szCs w:val="20"/>
                <w:color w:val="auto"/>
              </w:rPr>
            </w:pPr>
            <w:r>
              <w:rPr>
                <w:rFonts w:ascii="Arial" w:cs="Arial" w:eastAsia="Arial" w:hAnsi="Arial"/>
                <w:sz w:val="18"/>
                <w:szCs w:val="18"/>
                <w:color w:val="auto"/>
              </w:rPr>
              <w:t>0.82</w:t>
            </w:r>
          </w:p>
        </w:tc>
        <w:tc>
          <w:tcPr>
            <w:tcW w:w="340" w:type="dxa"/>
            <w:vAlign w:val="bottom"/>
          </w:tcPr>
          <w:p>
            <w:pPr>
              <w:jc w:val="right"/>
              <w:spacing w:after="0" w:line="202" w:lineRule="exact"/>
              <w:rPr>
                <w:sz w:val="20"/>
                <w:szCs w:val="20"/>
                <w:color w:val="auto"/>
              </w:rPr>
            </w:pPr>
            <w:r>
              <w:rPr>
                <w:rFonts w:ascii="Arial" w:cs="Arial" w:eastAsia="Arial" w:hAnsi="Arial"/>
                <w:sz w:val="18"/>
                <w:szCs w:val="18"/>
                <w:color w:val="auto"/>
              </w:rPr>
              <w:t>$</w:t>
            </w:r>
          </w:p>
        </w:tc>
        <w:tc>
          <w:tcPr>
            <w:tcW w:w="540" w:type="dxa"/>
            <w:vAlign w:val="bottom"/>
          </w:tcPr>
          <w:p>
            <w:pPr>
              <w:jc w:val="right"/>
              <w:spacing w:after="0" w:line="202" w:lineRule="exact"/>
              <w:rPr>
                <w:sz w:val="20"/>
                <w:szCs w:val="20"/>
                <w:color w:val="auto"/>
              </w:rPr>
            </w:pPr>
            <w:r>
              <w:rPr>
                <w:rFonts w:ascii="Arial" w:cs="Arial" w:eastAsia="Arial" w:hAnsi="Arial"/>
                <w:sz w:val="18"/>
                <w:szCs w:val="18"/>
                <w:color w:val="auto"/>
              </w:rPr>
              <w:t>0.26</w:t>
            </w:r>
          </w:p>
        </w:tc>
      </w:tr>
      <w:tr>
        <w:trPr>
          <w:trHeight w:val="203"/>
        </w:trPr>
        <w:tc>
          <w:tcPr>
            <w:tcW w:w="3480" w:type="dxa"/>
            <w:vAlign w:val="bottom"/>
          </w:tcPr>
          <w:p>
            <w:pPr>
              <w:ind w:left="20"/>
              <w:spacing w:after="0" w:line="202" w:lineRule="exact"/>
              <w:rPr>
                <w:sz w:val="20"/>
                <w:szCs w:val="20"/>
                <w:color w:val="auto"/>
              </w:rPr>
            </w:pPr>
            <w:r>
              <w:rPr>
                <w:rFonts w:ascii="Arial" w:cs="Arial" w:eastAsia="Arial" w:hAnsi="Arial"/>
                <w:sz w:val="18"/>
                <w:szCs w:val="18"/>
                <w:color w:val="auto"/>
              </w:rPr>
              <w:t>Diluted earnings for common</w:t>
            </w:r>
          </w:p>
        </w:tc>
        <w:tc>
          <w:tcPr>
            <w:tcW w:w="36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540" w:type="dxa"/>
            <w:vAlign w:val="bottom"/>
          </w:tcPr>
          <w:p>
            <w:pPr>
              <w:spacing w:after="0"/>
              <w:rPr>
                <w:sz w:val="17"/>
                <w:szCs w:val="17"/>
                <w:color w:val="auto"/>
              </w:rPr>
            </w:pPr>
          </w:p>
        </w:tc>
      </w:tr>
      <w:tr>
        <w:trPr>
          <w:trHeight w:val="199"/>
        </w:trPr>
        <w:tc>
          <w:tcPr>
            <w:tcW w:w="3480" w:type="dxa"/>
            <w:vAlign w:val="bottom"/>
            <w:tcBorders>
              <w:bottom w:val="single" w:sz="8" w:color="35BF85"/>
            </w:tcBorders>
          </w:tcPr>
          <w:p>
            <w:pPr>
              <w:ind w:left="220"/>
              <w:spacing w:after="0" w:line="200" w:lineRule="exact"/>
              <w:rPr>
                <w:sz w:val="20"/>
                <w:szCs w:val="20"/>
                <w:color w:val="auto"/>
              </w:rPr>
            </w:pPr>
            <w:r>
              <w:rPr>
                <w:rFonts w:ascii="Arial" w:cs="Arial" w:eastAsia="Arial" w:hAnsi="Arial"/>
                <w:sz w:val="18"/>
                <w:szCs w:val="18"/>
                <w:color w:val="auto"/>
              </w:rPr>
              <w:t>stockholders per common share</w:t>
            </w:r>
          </w:p>
        </w:tc>
        <w:tc>
          <w:tcPr>
            <w:tcW w:w="360" w:type="dxa"/>
            <w:vAlign w:val="bottom"/>
            <w:tcBorders>
              <w:bottom w:val="single" w:sz="8" w:color="35BF85"/>
            </w:tcBorders>
          </w:tcPr>
          <w:p>
            <w:pPr>
              <w:jc w:val="right"/>
              <w:spacing w:after="0" w:line="200" w:lineRule="exact"/>
              <w:rPr>
                <w:sz w:val="20"/>
                <w:szCs w:val="20"/>
                <w:color w:val="auto"/>
              </w:rPr>
            </w:pPr>
            <w:r>
              <w:rPr>
                <w:rFonts w:ascii="Arial" w:cs="Arial" w:eastAsia="Arial" w:hAnsi="Arial"/>
                <w:sz w:val="18"/>
                <w:szCs w:val="18"/>
                <w:color w:val="auto"/>
              </w:rPr>
              <w:t>$</w:t>
            </w:r>
          </w:p>
        </w:tc>
        <w:tc>
          <w:tcPr>
            <w:tcW w:w="760" w:type="dxa"/>
            <w:vAlign w:val="bottom"/>
            <w:tcBorders>
              <w:bottom w:val="single" w:sz="8" w:color="35BF85"/>
            </w:tcBorders>
          </w:tcPr>
          <w:p>
            <w:pPr>
              <w:jc w:val="right"/>
              <w:ind w:right="135"/>
              <w:spacing w:after="0" w:line="200" w:lineRule="exact"/>
              <w:rPr>
                <w:sz w:val="20"/>
                <w:szCs w:val="20"/>
                <w:color w:val="auto"/>
              </w:rPr>
            </w:pPr>
            <w:r>
              <w:rPr>
                <w:rFonts w:ascii="Arial" w:cs="Arial" w:eastAsia="Arial" w:hAnsi="Arial"/>
                <w:sz w:val="18"/>
                <w:szCs w:val="18"/>
                <w:color w:val="auto"/>
              </w:rPr>
              <w:t>0.81</w:t>
            </w:r>
          </w:p>
        </w:tc>
        <w:tc>
          <w:tcPr>
            <w:tcW w:w="340" w:type="dxa"/>
            <w:vAlign w:val="bottom"/>
            <w:tcBorders>
              <w:bottom w:val="single" w:sz="8" w:color="35BF85"/>
            </w:tcBorders>
          </w:tcPr>
          <w:p>
            <w:pPr>
              <w:jc w:val="right"/>
              <w:spacing w:after="0" w:line="200" w:lineRule="exact"/>
              <w:rPr>
                <w:sz w:val="20"/>
                <w:szCs w:val="20"/>
                <w:color w:val="auto"/>
              </w:rPr>
            </w:pPr>
            <w:r>
              <w:rPr>
                <w:rFonts w:ascii="Arial" w:cs="Arial" w:eastAsia="Arial" w:hAnsi="Arial"/>
                <w:sz w:val="18"/>
                <w:szCs w:val="18"/>
                <w:color w:val="auto"/>
              </w:rPr>
              <w:t>$</w:t>
            </w:r>
          </w:p>
        </w:tc>
        <w:tc>
          <w:tcPr>
            <w:tcW w:w="540" w:type="dxa"/>
            <w:vAlign w:val="bottom"/>
            <w:tcBorders>
              <w:bottom w:val="single" w:sz="8" w:color="35BF85"/>
            </w:tcBorders>
          </w:tcPr>
          <w:p>
            <w:pPr>
              <w:jc w:val="right"/>
              <w:spacing w:after="0" w:line="200" w:lineRule="exact"/>
              <w:rPr>
                <w:sz w:val="20"/>
                <w:szCs w:val="20"/>
                <w:color w:val="auto"/>
              </w:rPr>
            </w:pPr>
            <w:r>
              <w:rPr>
                <w:rFonts w:ascii="Arial" w:cs="Arial" w:eastAsia="Arial" w:hAnsi="Arial"/>
                <w:sz w:val="18"/>
                <w:szCs w:val="18"/>
                <w:color w:val="auto"/>
              </w:rPr>
              <w:t>0.26</w:t>
            </w:r>
          </w:p>
        </w:tc>
      </w:tr>
    </w:tbl>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4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Texas and Kansas City Cable Partnership</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-3691890</wp:posOffset>
            </wp:positionH>
            <wp:positionV relativeFrom="paragraph">
              <wp:posOffset>-753110</wp:posOffset>
            </wp:positionV>
            <wp:extent cx="7267575" cy="27940"/>
            <wp:wrapNone/>
            <wp:docPr id="189" name="Picture 1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9"/>
                    <pic:cNvPicPr>
                      <a:picLocks noChangeAspect="1" noChangeArrowheads="1"/>
                    </pic:cNvPicPr>
                  </pic:nvPicPr>
                  <pic:blipFill>
                    <a:blip r:embed="rId196">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p>
    <w:p>
      <w:pPr>
        <w:jc w:val="both"/>
        <w:spacing w:after="0" w:line="235" w:lineRule="auto"/>
        <w:rPr>
          <w:sz w:val="20"/>
          <w:szCs w:val="20"/>
          <w:color w:val="auto"/>
        </w:rPr>
      </w:pPr>
      <w:r>
        <w:rPr>
          <w:rFonts w:ascii="Arial" w:cs="Arial" w:eastAsia="Arial" w:hAnsi="Arial"/>
          <w:sz w:val="18"/>
          <w:szCs w:val="18"/>
          <w:color w:val="auto"/>
        </w:rPr>
        <w:t>In July 2006, we initiated the dissolution of Texas and Kansas City Cable Partners (“TKCCP”), our 50%-50% cable system partnership with TWC. Once the dissolution was triggered, the non-triggering party had the right to choose and take full ownership of one of two pools of TKCCP’s cable systems together with any debt allocated to such asset pool by the triggering partner. One pool consisted of cable systems serving Houston, Texas (“Houston Asset Pool”) and the other pool consisted of cable systems serving Kansas City, south and west Texas, and New Mexico (“Kansas City Asset Pool”).</w:t>
      </w:r>
    </w:p>
    <w:p>
      <w:pPr>
        <w:spacing w:after="0" w:line="161" w:lineRule="exact"/>
        <w:rPr>
          <w:sz w:val="20"/>
          <w:szCs w:val="20"/>
          <w:color w:val="auto"/>
        </w:rPr>
      </w:pPr>
    </w:p>
    <w:p>
      <w:pPr>
        <w:jc w:val="both"/>
        <w:spacing w:after="0" w:line="235" w:lineRule="auto"/>
        <w:rPr>
          <w:sz w:val="20"/>
          <w:szCs w:val="20"/>
          <w:color w:val="auto"/>
        </w:rPr>
      </w:pPr>
      <w:r>
        <w:rPr>
          <w:rFonts w:ascii="Arial" w:cs="Arial" w:eastAsia="Arial" w:hAnsi="Arial"/>
          <w:sz w:val="18"/>
          <w:szCs w:val="18"/>
          <w:color w:val="auto"/>
        </w:rPr>
        <w:t>In July 2006, we notified TWC of our election to dissolve TKCCP and the allocation of all of its debt, which totaled approximately $2 billion as of July 1, 2006, to the Houston Asset Pool. In August 2006, TWC notified us that it selected the Kansas City Asset Pool and as a result, we were to receive the Houston Asset Pool. The $2 billion of debt allocated to the Houston Asset Pool was required to be refinanced within 60 days of the August 1, 2006, selection date. This debt included $600 million owed to each partner (for an aggregate of $1.2 billion). We refinanced this debt in October 2006 (see Note 8). To be consistent with our management reporting presentation, the results of operations of the Houston Asset Pool have been reported in our Cable segment since August 1, 2006. The operating results of the Houston Asset Pool are eliminated in our consolidated financial statements (see Note 14).</w:t>
      </w:r>
    </w:p>
    <w:p>
      <w:pPr>
        <w:spacing w:after="0" w:line="161" w:lineRule="exact"/>
        <w:rPr>
          <w:sz w:val="20"/>
          <w:szCs w:val="20"/>
          <w:color w:val="auto"/>
        </w:rPr>
      </w:pPr>
    </w:p>
    <w:p>
      <w:pPr>
        <w:jc w:val="both"/>
        <w:spacing w:after="0" w:line="236" w:lineRule="auto"/>
        <w:rPr>
          <w:sz w:val="20"/>
          <w:szCs w:val="20"/>
          <w:color w:val="auto"/>
        </w:rPr>
      </w:pPr>
      <w:r>
        <w:rPr>
          <w:rFonts w:ascii="Arial" w:cs="Arial" w:eastAsia="Arial" w:hAnsi="Arial"/>
          <w:sz w:val="18"/>
          <w:szCs w:val="18"/>
          <w:color w:val="auto"/>
        </w:rPr>
        <w:t>In January 2007, the distribution of assets by TKCCP was completed and we received the Houston Asset Pool. We will account for the distribution of assets by TKCCP as a sale of our 50% interest in the Kansas City Asset Pool in exchange for acquiring an additional 50% interest in the Houston Asset Pool and expect to record a gain on this transaction.</w:t>
      </w:r>
    </w:p>
    <w:p>
      <w:pPr>
        <w:spacing w:after="0" w:line="13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E! Entertainment Television</w:t>
      </w:r>
    </w:p>
    <w:p>
      <w:pPr>
        <w:spacing w:after="0" w:line="18" w:lineRule="exact"/>
        <w:rPr>
          <w:sz w:val="20"/>
          <w:szCs w:val="20"/>
          <w:color w:val="auto"/>
        </w:rPr>
      </w:pPr>
    </w:p>
    <w:p>
      <w:pPr>
        <w:jc w:val="both"/>
        <w:spacing w:after="0" w:line="236" w:lineRule="auto"/>
        <w:rPr>
          <w:sz w:val="20"/>
          <w:szCs w:val="20"/>
          <w:color w:val="auto"/>
        </w:rPr>
      </w:pPr>
      <w:r>
        <w:rPr>
          <w:rFonts w:ascii="Arial" w:cs="Arial" w:eastAsia="Arial" w:hAnsi="Arial"/>
          <w:sz w:val="18"/>
          <w:szCs w:val="18"/>
          <w:color w:val="auto"/>
        </w:rPr>
        <w:t>In November 2006, we acquired the 39.5% of E! Entertainment Television (which operates the E! and Style programming networks) that we did not already own for approximately $1.2 billion. We have historically consolidated the results of operations of E! Entertainment Television. We allocated the purchase price to intangibles and goodwill.</w:t>
      </w:r>
    </w:p>
    <w:p>
      <w:pPr>
        <w:spacing w:after="0" w:line="13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Susquehanna</w:t>
      </w:r>
    </w:p>
    <w:p>
      <w:pPr>
        <w:spacing w:after="0" w:line="18" w:lineRule="exact"/>
        <w:rPr>
          <w:sz w:val="20"/>
          <w:szCs w:val="20"/>
          <w:color w:val="auto"/>
        </w:rPr>
      </w:pPr>
    </w:p>
    <w:p>
      <w:pPr>
        <w:jc w:val="both"/>
        <w:spacing w:after="0" w:line="275" w:lineRule="auto"/>
        <w:rPr>
          <w:sz w:val="20"/>
          <w:szCs w:val="20"/>
          <w:color w:val="auto"/>
        </w:rPr>
      </w:pPr>
      <w:r>
        <w:rPr>
          <w:rFonts w:ascii="Arial" w:cs="Arial" w:eastAsia="Arial" w:hAnsi="Arial"/>
          <w:sz w:val="16"/>
          <w:szCs w:val="16"/>
          <w:color w:val="auto"/>
        </w:rPr>
        <w:t>In April 2006, we acquired the cable systems of Susquehanna Cable Co. and its subsidiaries (“Susquehanna”) for a total purchase price of approximately $775 million. The Susquehanna systems acquired are located primarily in Pennsylvania, New York, Maine, and Mississippi.</w:t>
      </w:r>
    </w:p>
    <w:p>
      <w:pPr>
        <w:spacing w:after="0" w:line="129" w:lineRule="exact"/>
        <w:rPr>
          <w:sz w:val="20"/>
          <w:szCs w:val="20"/>
          <w:color w:val="auto"/>
        </w:rPr>
      </w:pPr>
    </w:p>
    <w:p>
      <w:pPr>
        <w:jc w:val="both"/>
        <w:spacing w:after="0" w:line="236" w:lineRule="auto"/>
        <w:rPr>
          <w:sz w:val="20"/>
          <w:szCs w:val="20"/>
          <w:color w:val="auto"/>
        </w:rPr>
      </w:pPr>
      <w:r>
        <w:rPr>
          <w:rFonts w:ascii="Arial" w:cs="Arial" w:eastAsia="Arial" w:hAnsi="Arial"/>
          <w:sz w:val="18"/>
          <w:szCs w:val="18"/>
          <w:color w:val="auto"/>
        </w:rPr>
        <w:t>Prior to the acquisition, we held an approximate 30% equity ownership interest in Susquehanna that we accounted for as an equity method investment. On May 1, 2006, Susquehanna Cable Co. redeemed the approximate 70% equity ownership interest in Susquehanna held by Susquehanna Media Co., which resulted in Susquehanna becoming 100% owned by us.</w:t>
      </w:r>
    </w:p>
    <w:p>
      <w:pPr>
        <w:spacing w:after="0" w:line="177" w:lineRule="exact"/>
        <w:rPr>
          <w:sz w:val="20"/>
          <w:szCs w:val="20"/>
          <w:color w:val="auto"/>
        </w:rPr>
      </w:pPr>
    </w:p>
    <w:p>
      <w:pPr>
        <w:sectPr>
          <w:pgSz w:w="11900" w:h="16838" w:orient="portrait"/>
          <w:cols w:equalWidth="0" w:num="2">
            <w:col w:w="5480" w:space="340"/>
            <w:col w:w="5480"/>
          </w:cols>
          <w:pgMar w:left="240" w:top="459" w:right="359" w:bottom="1440" w:gutter="0" w:footer="0" w:header="0"/>
        </w:sectPr>
      </w:pPr>
    </w:p>
    <w:tbl>
      <w:tblPr>
        <w:tblLayout w:type="fixed"/>
        <w:tblInd w:w="0" w:type="dxa"/>
        <w:tblCellMar>
          <w:top w:w="0" w:type="dxa"/>
          <w:left w:w="0" w:type="dxa"/>
          <w:bottom w:w="0" w:type="dxa"/>
          <w:right w:w="0" w:type="dxa"/>
        </w:tblCellMar>
      </w:tblPr>
      <w:tr>
        <w:trPr>
          <w:trHeight w:val="178"/>
        </w:trPr>
        <w:tc>
          <w:tcPr>
            <w:tcW w:w="5160" w:type="dxa"/>
            <w:vAlign w:val="bottom"/>
          </w:tcPr>
          <w:p>
            <w:pPr>
              <w:spacing w:after="0"/>
              <w:rPr>
                <w:sz w:val="20"/>
                <w:szCs w:val="20"/>
                <w:color w:val="auto"/>
              </w:rPr>
            </w:pPr>
            <w:r>
              <w:rPr>
                <w:rFonts w:ascii="Arial" w:cs="Arial" w:eastAsia="Arial" w:hAnsi="Arial"/>
                <w:sz w:val="14"/>
                <w:szCs w:val="14"/>
                <w:b w:val="1"/>
                <w:bCs w:val="1"/>
                <w:color w:val="auto"/>
              </w:rPr>
              <w:t xml:space="preserve">Notes to Consolidated Financial Statements </w:t>
            </w:r>
            <w:r>
              <w:rPr>
                <w:rFonts w:ascii="Arial" w:cs="Arial" w:eastAsia="Arial" w:hAnsi="Arial"/>
                <w:sz w:val="14"/>
                <w:szCs w:val="14"/>
                <w:color w:val="auto"/>
              </w:rPr>
              <w:t>Comcast 2006 Annual Report</w:t>
            </w:r>
          </w:p>
        </w:tc>
        <w:tc>
          <w:tcPr>
            <w:tcW w:w="680" w:type="dxa"/>
            <w:vAlign w:val="bottom"/>
          </w:tcPr>
          <w:p>
            <w:pPr>
              <w:jc w:val="right"/>
              <w:spacing w:after="0"/>
              <w:rPr>
                <w:sz w:val="20"/>
                <w:szCs w:val="20"/>
                <w:color w:val="auto"/>
              </w:rPr>
            </w:pPr>
            <w:r>
              <w:rPr>
                <w:rFonts w:ascii="Arial" w:cs="Arial" w:eastAsia="Arial" w:hAnsi="Arial"/>
                <w:sz w:val="14"/>
                <w:szCs w:val="14"/>
                <w:b w:val="1"/>
                <w:bCs w:val="1"/>
                <w:color w:val="auto"/>
              </w:rPr>
              <w:t>50</w:t>
            </w:r>
          </w:p>
        </w:tc>
      </w:tr>
    </w:tbl>
    <w:p>
      <w:pPr>
        <w:sectPr>
          <w:pgSz w:w="11900" w:h="16838" w:orient="portrait"/>
          <w:cols w:equalWidth="0" w:num="1">
            <w:col w:w="11300"/>
          </w:cols>
          <w:pgMar w:left="240" w:top="459" w:right="359" w:bottom="1440" w:gutter="0" w:footer="0" w:header="0"/>
          <w:type w:val="continuous"/>
        </w:sectPr>
      </w:pPr>
    </w:p>
    <w:bookmarkStart w:id="127" w:name="page128"/>
    <w:bookmarkEnd w:id="127"/>
    <w:p>
      <w:pPr>
        <w:spacing w:after="0"/>
        <w:rPr>
          <w:rFonts w:ascii="Arial" w:cs="Arial" w:eastAsia="Arial" w:hAnsi="Arial"/>
          <w:sz w:val="18"/>
          <w:szCs w:val="18"/>
          <w:b w:val="1"/>
          <w:bCs w:val="1"/>
          <w:u w:val="single" w:color="auto"/>
          <w:color w:val="0000EE"/>
        </w:rPr>
      </w:pPr>
      <w:hyperlink w:anchor="page3">
        <w:r>
          <w:rPr>
            <w:rFonts w:ascii="Arial" w:cs="Arial" w:eastAsia="Arial" w:hAnsi="Arial"/>
            <w:sz w:val="18"/>
            <w:szCs w:val="18"/>
            <w:b w:val="1"/>
            <w:bCs w:val="1"/>
            <w:u w:val="single" w:color="auto"/>
            <w:color w:val="0000EE"/>
          </w:rPr>
          <w:t>Table of Contents</w:t>
        </w:r>
      </w:hyperlink>
    </w:p>
    <w:p>
      <w:pPr>
        <w:spacing w:after="0" w:line="200" w:lineRule="exact"/>
        <w:rPr>
          <w:sz w:val="20"/>
          <w:szCs w:val="20"/>
          <w:color w:val="auto"/>
        </w:rPr>
      </w:pPr>
    </w:p>
    <w:p>
      <w:pPr>
        <w:spacing w:after="0" w:line="276" w:lineRule="exact"/>
        <w:rPr>
          <w:sz w:val="20"/>
          <w:szCs w:val="20"/>
          <w:color w:val="auto"/>
        </w:rPr>
      </w:pPr>
    </w:p>
    <w:p>
      <w:pPr>
        <w:jc w:val="both"/>
        <w:spacing w:after="0" w:line="270" w:lineRule="auto"/>
        <w:rPr>
          <w:sz w:val="20"/>
          <w:szCs w:val="20"/>
          <w:color w:val="auto"/>
        </w:rPr>
      </w:pPr>
      <w:r>
        <w:rPr>
          <w:rFonts w:ascii="Arial" w:cs="Arial" w:eastAsia="Arial" w:hAnsi="Arial"/>
          <w:sz w:val="16"/>
          <w:szCs w:val="16"/>
          <w:color w:val="auto"/>
        </w:rPr>
        <w:t>The results of operations of the Susquehanna cable systems have been included in our consolidated financial statements since the acquisition date and are reported in our Cable segment. We allocated the purchase price to property and equipment, franchise related customer relationship intangibles, nonamortizing cable franchise rights and goodwill. The acquisition of the Susquehanna cable systems was not significant to our consolidated financial statements for 2006.</w:t>
      </w:r>
    </w:p>
    <w:p>
      <w:pPr>
        <w:spacing w:after="0" w:line="10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Motorola</w:t>
      </w:r>
    </w:p>
    <w:p>
      <w:pPr>
        <w:spacing w:after="0" w:line="18" w:lineRule="exact"/>
        <w:rPr>
          <w:sz w:val="20"/>
          <w:szCs w:val="20"/>
          <w:color w:val="auto"/>
        </w:rPr>
      </w:pPr>
    </w:p>
    <w:p>
      <w:pPr>
        <w:jc w:val="both"/>
        <w:spacing w:after="0" w:line="267" w:lineRule="auto"/>
        <w:rPr>
          <w:sz w:val="20"/>
          <w:szCs w:val="20"/>
          <w:color w:val="auto"/>
        </w:rPr>
      </w:pPr>
      <w:r>
        <w:rPr>
          <w:rFonts w:ascii="Arial" w:cs="Arial" w:eastAsia="Arial" w:hAnsi="Arial"/>
          <w:sz w:val="16"/>
          <w:szCs w:val="16"/>
          <w:color w:val="auto"/>
        </w:rPr>
        <w:t>In March 2005, we entered into two joint ventures with Motorola under which we are developing and licensing next-generation programming access security (known as “conditional access”) technology for cable systems and related products. One of the ventures will license such products to equipment manufacturers and other cable companies. The other venture will provide us greater participation in the design and development of conditional access technology for our cable systems. In addition to funding approximately 50% of the annual cost requirements, we have paid $20 million to Motorola and have committed to pay up to $80 million to Motorola over a four-year period based on the achievement of certain milestones. Motorola contributed licenses to conditional access and related technology to the ventures.</w:t>
      </w:r>
    </w:p>
    <w:p>
      <w:pPr>
        <w:spacing w:after="0" w:line="341" w:lineRule="exact"/>
        <w:rPr>
          <w:sz w:val="20"/>
          <w:szCs w:val="20"/>
          <w:color w:val="auto"/>
        </w:rPr>
      </w:pPr>
    </w:p>
    <w:p>
      <w:pPr>
        <w:jc w:val="both"/>
        <w:spacing w:after="0" w:line="271" w:lineRule="auto"/>
        <w:rPr>
          <w:sz w:val="20"/>
          <w:szCs w:val="20"/>
          <w:color w:val="auto"/>
        </w:rPr>
      </w:pPr>
      <w:r>
        <w:rPr>
          <w:rFonts w:ascii="Arial" w:cs="Arial" w:eastAsia="Arial" w:hAnsi="Arial"/>
          <w:sz w:val="16"/>
          <w:szCs w:val="16"/>
          <w:color w:val="auto"/>
        </w:rPr>
        <w:t>These two ventures are both considered VIEs and we have consolidated both of these ventures as we are considered the primary beneficiary. Accordingly, we have recorded approximately $190 million in intangible assets, of which we recorded a charge of approximately $20 million related to in-process research and development in 2005 that has been included in amortization expense.</w:t>
      </w:r>
    </w:p>
    <w:p>
      <w:pPr>
        <w:spacing w:after="0" w:line="10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Liberty Media Exchange Agreement</w:t>
      </w:r>
    </w:p>
    <w:p>
      <w:pPr>
        <w:spacing w:after="0" w:line="18" w:lineRule="exact"/>
        <w:rPr>
          <w:sz w:val="20"/>
          <w:szCs w:val="20"/>
          <w:color w:val="auto"/>
        </w:rPr>
      </w:pPr>
    </w:p>
    <w:p>
      <w:pPr>
        <w:jc w:val="both"/>
        <w:spacing w:after="0" w:line="266" w:lineRule="auto"/>
        <w:rPr>
          <w:sz w:val="20"/>
          <w:szCs w:val="20"/>
          <w:color w:val="auto"/>
        </w:rPr>
      </w:pPr>
      <w:r>
        <w:rPr>
          <w:rFonts w:ascii="Arial" w:cs="Arial" w:eastAsia="Arial" w:hAnsi="Arial"/>
          <w:sz w:val="16"/>
          <w:szCs w:val="16"/>
          <w:color w:val="auto"/>
        </w:rPr>
        <w:t>In July 2004, we exchanged approximately 120 million shares of Liberty Media Corporation (“Liberty Media”) Series A common stock that we held, valued at approximately $1.022 billion based upon the price of Liberty Media common stock on the closing date of the transaction with Liberty Media for 100% of the stock of Liberty’s subsidiary, Encore ICCP, Inc. Encore’s assets consisted of cash of approximately $547 million, a 10.4% interest in E! Entertainment Television and 100% of International Channel Networks (which operates AZN Television). We also received all of Liberty Media’s rights, benefits and obligations under the TCI Music contribution agreement, which resulted in the resolution of all pending litigation between Liberty Media and us regarding the contribution agreement. The exchange was structured as a tax-free transaction. We allocated the value of the shares exchanged in the transaction among cash, our additional investment in E! Entertainment Television, International Channel Networks and the resolution of the litigation related to the contribution agreement. The effects of our acquisition of the additional interest in E! Entertainment Television and our acquisition of International Channel Networks have been reflected in our consolidated statement of operations from the date of the transaction.</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41" w:lineRule="exact"/>
        <w:rPr>
          <w:sz w:val="20"/>
          <w:szCs w:val="20"/>
          <w:color w:val="auto"/>
        </w:rPr>
      </w:pPr>
    </w:p>
    <w:p>
      <w:pPr>
        <w:ind w:left="140"/>
        <w:spacing w:after="0"/>
        <w:rPr>
          <w:sz w:val="20"/>
          <w:szCs w:val="20"/>
          <w:color w:val="auto"/>
        </w:rPr>
      </w:pPr>
      <w:r>
        <w:rPr>
          <w:rFonts w:ascii="Arial" w:cs="Arial" w:eastAsia="Arial" w:hAnsi="Arial"/>
          <w:sz w:val="18"/>
          <w:szCs w:val="18"/>
          <w:b w:val="1"/>
          <w:bCs w:val="1"/>
          <w:color w:val="auto"/>
        </w:rPr>
        <w:t>TechTV</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-3602990</wp:posOffset>
            </wp:positionH>
            <wp:positionV relativeFrom="paragraph">
              <wp:posOffset>-753745</wp:posOffset>
            </wp:positionV>
            <wp:extent cx="7267575" cy="27940"/>
            <wp:wrapNone/>
            <wp:docPr id="190" name="Picture 1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0"/>
                    <pic:cNvPicPr>
                      <a:picLocks noChangeAspect="1" noChangeArrowheads="1"/>
                    </pic:cNvPicPr>
                  </pic:nvPicPr>
                  <pic:blipFill>
                    <a:blip r:embed="rId197">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p>
    <w:p>
      <w:pPr>
        <w:jc w:val="both"/>
        <w:ind w:left="140" w:right="120"/>
        <w:spacing w:after="0" w:line="268" w:lineRule="auto"/>
        <w:rPr>
          <w:sz w:val="20"/>
          <w:szCs w:val="20"/>
          <w:color w:val="auto"/>
        </w:rPr>
      </w:pPr>
      <w:r>
        <w:rPr>
          <w:rFonts w:ascii="Arial" w:cs="Arial" w:eastAsia="Arial" w:hAnsi="Arial"/>
          <w:sz w:val="16"/>
          <w:szCs w:val="16"/>
          <w:color w:val="auto"/>
        </w:rPr>
        <w:t>In May 2004, we completed the acquisition of TechTV Inc. by acquiring all outstanding common and preferred stock of TechTV from Vulcan Programming Inc. for approximately $300 million in cash. Substantially all of the purchase price has been recorded to intangible assets and is being amortized over a period of 2 to 22 years. On May 28, 2004, G4 and TechTV began operating as one network. The effects of our acquisition of TechTV have been reflected in our consolidated statement of operations from the date of the transaction. We have classified G4 as part of our Programming segment.</w:t>
      </w:r>
    </w:p>
    <w:p>
      <w:pPr>
        <w:spacing w:after="0" w:line="114" w:lineRule="exact"/>
        <w:rPr>
          <w:sz w:val="20"/>
          <w:szCs w:val="20"/>
          <w:color w:val="auto"/>
        </w:rPr>
      </w:pPr>
    </w:p>
    <w:p>
      <w:pPr>
        <w:ind w:left="140"/>
        <w:spacing w:after="0"/>
        <w:rPr>
          <w:sz w:val="20"/>
          <w:szCs w:val="20"/>
          <w:color w:val="auto"/>
        </w:rPr>
      </w:pPr>
      <w:r>
        <w:rPr>
          <w:rFonts w:ascii="Arial" w:cs="Arial" w:eastAsia="Arial" w:hAnsi="Arial"/>
          <w:sz w:val="18"/>
          <w:szCs w:val="18"/>
          <w:b w:val="1"/>
          <w:bCs w:val="1"/>
          <w:color w:val="auto"/>
        </w:rPr>
        <w:t>Gemstar</w:t>
      </w:r>
    </w:p>
    <w:p>
      <w:pPr>
        <w:spacing w:after="0" w:line="18" w:lineRule="exact"/>
        <w:rPr>
          <w:sz w:val="20"/>
          <w:szCs w:val="20"/>
          <w:color w:val="auto"/>
        </w:rPr>
      </w:pPr>
    </w:p>
    <w:p>
      <w:pPr>
        <w:jc w:val="both"/>
        <w:ind w:left="140" w:right="120"/>
        <w:spacing w:after="0" w:line="235" w:lineRule="auto"/>
        <w:rPr>
          <w:sz w:val="20"/>
          <w:szCs w:val="20"/>
          <w:color w:val="auto"/>
        </w:rPr>
      </w:pPr>
      <w:r>
        <w:rPr>
          <w:rFonts w:ascii="Arial" w:cs="Arial" w:eastAsia="Arial" w:hAnsi="Arial"/>
          <w:sz w:val="18"/>
          <w:szCs w:val="18"/>
          <w:color w:val="auto"/>
        </w:rPr>
        <w:t>In March 2004, we entered into a long-term, non-exclusive patent license and distribution agreement with Gemstar-TV Guide International (“Gemstar”) in exchange for a one-time payment of $250 million to Gemstar. If our total subscribers exceed a specified threshold, we will be required to make additional one-time payments to Gemstar for each subscriber in excess of such threshold. This agreement allows us to utilize Gemstar’s intellectual property and technology and the TV Guide brand and content on our interactive program guides. We have allocated the $250 million amount paid based on the fair value of the components of the contract to various intangible and other assets, which are being amortized over a period of 3 to 12 years. In addition, we and Gemstar formed an entity to develop and enhance interactive programming guides.</w:t>
      </w:r>
    </w:p>
    <w:p>
      <w:pPr>
        <w:spacing w:after="0" w:line="220" w:lineRule="exact"/>
        <w:rPr>
          <w:sz w:val="20"/>
          <w:szCs w:val="20"/>
          <w:color w:val="auto"/>
        </w:rPr>
      </w:pPr>
    </w:p>
    <w:p>
      <w:pPr>
        <w:ind w:left="140"/>
        <w:spacing w:after="0"/>
        <w:rPr>
          <w:sz w:val="20"/>
          <w:szCs w:val="20"/>
          <w:color w:val="auto"/>
        </w:rPr>
      </w:pPr>
      <w:r>
        <w:rPr>
          <w:rFonts w:ascii="Arial" w:cs="Arial" w:eastAsia="Arial" w:hAnsi="Arial"/>
          <w:sz w:val="18"/>
          <w:szCs w:val="18"/>
          <w:b w:val="1"/>
          <w:bCs w:val="1"/>
          <w:color w:val="35BF85"/>
        </w:rPr>
        <w:t>Note 6: Investments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85725</wp:posOffset>
            </wp:positionH>
            <wp:positionV relativeFrom="paragraph">
              <wp:posOffset>77470</wp:posOffset>
            </wp:positionV>
            <wp:extent cx="3481705" cy="8890"/>
            <wp:wrapNone/>
            <wp:docPr id="191" name="Picture 1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1"/>
                    <pic:cNvPicPr>
                      <a:picLocks noChangeAspect="1" noChangeArrowheads="1"/>
                    </pic:cNvPicPr>
                  </pic:nvPicPr>
                  <pic:blipFill>
                    <a:blip r:embed="rId198">
                      <a:extLst>
                        <a:ext uri="{28A0092B-C50C-407E-A947-70E740481C1C}"/>
                      </a:extLst>
                    </a:blip>
                    <a:srcRect/>
                    <a:stretch>
                      <a:fillRect/>
                    </a:stretch>
                  </pic:blipFill>
                  <pic:spPr bwMode="auto">
                    <a:xfrm>
                      <a:off x="0" y="0"/>
                      <a:ext cx="3481705" cy="8890"/>
                    </a:xfrm>
                    <a:prstGeom prst="rect">
                      <a:avLst/>
                    </a:prstGeom>
                    <a:noFill/>
                  </pic:spPr>
                </pic:pic>
              </a:graphicData>
            </a:graphic>
          </wp:anchor>
        </w:drawing>
      </w:r>
    </w:p>
    <w:p>
      <w:pPr>
        <w:spacing w:after="0" w:line="200" w:lineRule="exact"/>
        <w:rPr>
          <w:sz w:val="20"/>
          <w:szCs w:val="20"/>
          <w:color w:val="auto"/>
        </w:rPr>
      </w:pPr>
    </w:p>
    <w:p>
      <w:pPr>
        <w:spacing w:after="0" w:line="210" w:lineRule="exact"/>
        <w:rPr>
          <w:sz w:val="20"/>
          <w:szCs w:val="20"/>
          <w:color w:val="auto"/>
        </w:rPr>
      </w:pPr>
    </w:p>
    <w:tbl>
      <w:tblPr>
        <w:tblLayout w:type="fixed"/>
        <w:tblInd w:w="0" w:type="dxa"/>
        <w:tblCellMar>
          <w:top w:w="0" w:type="dxa"/>
          <w:left w:w="0" w:type="dxa"/>
          <w:bottom w:w="0" w:type="dxa"/>
          <w:right w:w="0" w:type="dxa"/>
        </w:tblCellMar>
      </w:tblPr>
      <w:tr>
        <w:trPr>
          <w:trHeight w:val="165"/>
        </w:trPr>
        <w:tc>
          <w:tcPr>
            <w:tcW w:w="140" w:type="dxa"/>
            <w:vAlign w:val="bottom"/>
          </w:tcPr>
          <w:p>
            <w:pPr>
              <w:spacing w:after="0"/>
              <w:rPr>
                <w:sz w:val="14"/>
                <w:szCs w:val="14"/>
                <w:color w:val="auto"/>
              </w:rPr>
            </w:pPr>
          </w:p>
        </w:tc>
        <w:tc>
          <w:tcPr>
            <w:tcW w:w="3380" w:type="dxa"/>
            <w:vAlign w:val="bottom"/>
            <w:tcBorders>
              <w:bottom w:val="single" w:sz="8" w:color="auto"/>
            </w:tcBorders>
            <w:gridSpan w:val="2"/>
          </w:tcPr>
          <w:p>
            <w:pPr>
              <w:spacing w:after="0"/>
              <w:rPr>
                <w:sz w:val="20"/>
                <w:szCs w:val="20"/>
                <w:color w:val="auto"/>
              </w:rPr>
            </w:pPr>
            <w:r>
              <w:rPr>
                <w:rFonts w:ascii="Arial" w:cs="Arial" w:eastAsia="Arial" w:hAnsi="Arial"/>
                <w:sz w:val="14"/>
                <w:szCs w:val="14"/>
                <w:color w:val="auto"/>
              </w:rPr>
              <w:t>December 31 (in millions)</w:t>
            </w:r>
          </w:p>
        </w:tc>
        <w:tc>
          <w:tcPr>
            <w:tcW w:w="420" w:type="dxa"/>
            <w:vAlign w:val="bottom"/>
            <w:tcBorders>
              <w:bottom w:val="single" w:sz="8" w:color="auto"/>
            </w:tcBorders>
          </w:tcPr>
          <w:p>
            <w:pPr>
              <w:spacing w:after="0"/>
              <w:rPr>
                <w:sz w:val="14"/>
                <w:szCs w:val="14"/>
                <w:color w:val="auto"/>
              </w:rPr>
            </w:pPr>
          </w:p>
        </w:tc>
        <w:tc>
          <w:tcPr>
            <w:tcW w:w="780" w:type="dxa"/>
            <w:vAlign w:val="bottom"/>
            <w:tcBorders>
              <w:bottom w:val="single" w:sz="8" w:color="auto"/>
            </w:tcBorders>
          </w:tcPr>
          <w:p>
            <w:pPr>
              <w:jc w:val="right"/>
              <w:ind w:right="153"/>
              <w:spacing w:after="0"/>
              <w:rPr>
                <w:sz w:val="20"/>
                <w:szCs w:val="20"/>
                <w:color w:val="auto"/>
              </w:rPr>
            </w:pPr>
            <w:r>
              <w:rPr>
                <w:rFonts w:ascii="Arial" w:cs="Arial" w:eastAsia="Arial" w:hAnsi="Arial"/>
                <w:sz w:val="14"/>
                <w:szCs w:val="14"/>
                <w:b w:val="1"/>
                <w:bCs w:val="1"/>
                <w:color w:val="auto"/>
              </w:rPr>
              <w:t>2006</w:t>
            </w:r>
          </w:p>
        </w:tc>
        <w:tc>
          <w:tcPr>
            <w:tcW w:w="360" w:type="dxa"/>
            <w:vAlign w:val="bottom"/>
            <w:tcBorders>
              <w:bottom w:val="single" w:sz="8" w:color="auto"/>
            </w:tcBorders>
          </w:tcPr>
          <w:p>
            <w:pPr>
              <w:spacing w:after="0"/>
              <w:rPr>
                <w:sz w:val="14"/>
                <w:szCs w:val="14"/>
                <w:color w:val="auto"/>
              </w:rPr>
            </w:pPr>
          </w:p>
        </w:tc>
        <w:tc>
          <w:tcPr>
            <w:tcW w:w="54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2005</w:t>
            </w:r>
          </w:p>
        </w:tc>
        <w:tc>
          <w:tcPr>
            <w:tcW w:w="1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99"/>
        </w:trPr>
        <w:tc>
          <w:tcPr>
            <w:tcW w:w="140" w:type="dxa"/>
            <w:vAlign w:val="bottom"/>
          </w:tcPr>
          <w:p>
            <w:pPr>
              <w:spacing w:after="0"/>
              <w:rPr>
                <w:sz w:val="17"/>
                <w:szCs w:val="17"/>
                <w:color w:val="auto"/>
              </w:rPr>
            </w:pPr>
          </w:p>
        </w:tc>
        <w:tc>
          <w:tcPr>
            <w:tcW w:w="3380" w:type="dxa"/>
            <w:vAlign w:val="bottom"/>
            <w:gridSpan w:val="2"/>
          </w:tcPr>
          <w:p>
            <w:pPr>
              <w:spacing w:after="0" w:line="200" w:lineRule="exact"/>
              <w:rPr>
                <w:sz w:val="20"/>
                <w:szCs w:val="20"/>
                <w:color w:val="auto"/>
              </w:rPr>
            </w:pPr>
            <w:r>
              <w:rPr>
                <w:rFonts w:ascii="Arial" w:cs="Arial" w:eastAsia="Arial" w:hAnsi="Arial"/>
                <w:sz w:val="18"/>
                <w:szCs w:val="18"/>
                <w:color w:val="auto"/>
              </w:rPr>
              <w:t>Fair value method</w:t>
            </w:r>
          </w:p>
        </w:tc>
        <w:tc>
          <w:tcPr>
            <w:tcW w:w="420" w:type="dxa"/>
            <w:vAlign w:val="bottom"/>
            <w:vMerge w:val="restart"/>
          </w:tcPr>
          <w:p>
            <w:pPr>
              <w:jc w:val="right"/>
              <w:spacing w:after="0"/>
              <w:rPr>
                <w:sz w:val="20"/>
                <w:szCs w:val="20"/>
                <w:color w:val="auto"/>
              </w:rPr>
            </w:pPr>
            <w:r>
              <w:rPr>
                <w:rFonts w:ascii="Arial" w:cs="Arial" w:eastAsia="Arial" w:hAnsi="Arial"/>
                <w:sz w:val="18"/>
                <w:szCs w:val="18"/>
                <w:b w:val="1"/>
                <w:bCs w:val="1"/>
                <w:color w:val="auto"/>
              </w:rPr>
              <w:t>$</w:t>
            </w:r>
          </w:p>
        </w:tc>
        <w:tc>
          <w:tcPr>
            <w:tcW w:w="780" w:type="dxa"/>
            <w:vAlign w:val="bottom"/>
            <w:vMerge w:val="restart"/>
          </w:tcPr>
          <w:p>
            <w:pPr>
              <w:jc w:val="right"/>
              <w:ind w:right="153"/>
              <w:spacing w:after="0"/>
              <w:rPr>
                <w:sz w:val="20"/>
                <w:szCs w:val="20"/>
                <w:color w:val="auto"/>
              </w:rPr>
            </w:pPr>
            <w:r>
              <w:rPr>
                <w:rFonts w:ascii="Arial" w:cs="Arial" w:eastAsia="Arial" w:hAnsi="Arial"/>
                <w:sz w:val="18"/>
                <w:szCs w:val="18"/>
                <w:b w:val="1"/>
                <w:bCs w:val="1"/>
                <w:color w:val="auto"/>
              </w:rPr>
              <w:t>146</w:t>
            </w:r>
          </w:p>
        </w:tc>
        <w:tc>
          <w:tcPr>
            <w:tcW w:w="360" w:type="dxa"/>
            <w:vAlign w:val="bottom"/>
          </w:tcPr>
          <w:p>
            <w:pPr>
              <w:spacing w:after="0"/>
              <w:rPr>
                <w:sz w:val="17"/>
                <w:szCs w:val="17"/>
                <w:color w:val="auto"/>
              </w:rPr>
            </w:pPr>
          </w:p>
        </w:tc>
        <w:tc>
          <w:tcPr>
            <w:tcW w:w="5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81"/>
        </w:trPr>
        <w:tc>
          <w:tcPr>
            <w:tcW w:w="14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3260" w:type="dxa"/>
            <w:vAlign w:val="bottom"/>
          </w:tcPr>
          <w:p>
            <w:pPr>
              <w:ind w:left="100"/>
              <w:spacing w:after="0" w:line="181" w:lineRule="exact"/>
              <w:rPr>
                <w:sz w:val="20"/>
                <w:szCs w:val="20"/>
                <w:color w:val="auto"/>
              </w:rPr>
            </w:pPr>
            <w:r>
              <w:rPr>
                <w:rFonts w:ascii="Arial" w:cs="Arial" w:eastAsia="Arial" w:hAnsi="Arial"/>
                <w:sz w:val="18"/>
                <w:szCs w:val="18"/>
                <w:color w:val="auto"/>
              </w:rPr>
              <w:t>Cablevision Systems Corporation</w:t>
            </w:r>
          </w:p>
        </w:tc>
        <w:tc>
          <w:tcPr>
            <w:tcW w:w="420" w:type="dxa"/>
            <w:vAlign w:val="bottom"/>
            <w:vMerge w:val="continue"/>
          </w:tcPr>
          <w:p>
            <w:pPr>
              <w:spacing w:after="0"/>
              <w:rPr>
                <w:sz w:val="15"/>
                <w:szCs w:val="15"/>
                <w:color w:val="auto"/>
              </w:rPr>
            </w:pPr>
          </w:p>
        </w:tc>
        <w:tc>
          <w:tcPr>
            <w:tcW w:w="780" w:type="dxa"/>
            <w:vAlign w:val="bottom"/>
            <w:vMerge w:val="continue"/>
          </w:tcPr>
          <w:p>
            <w:pPr>
              <w:spacing w:after="0"/>
              <w:rPr>
                <w:sz w:val="15"/>
                <w:szCs w:val="15"/>
                <w:color w:val="auto"/>
              </w:rPr>
            </w:pPr>
          </w:p>
        </w:tc>
        <w:tc>
          <w:tcPr>
            <w:tcW w:w="360" w:type="dxa"/>
            <w:vAlign w:val="bottom"/>
          </w:tcPr>
          <w:p>
            <w:pPr>
              <w:jc w:val="right"/>
              <w:spacing w:after="0" w:line="181" w:lineRule="exact"/>
              <w:rPr>
                <w:sz w:val="20"/>
                <w:szCs w:val="20"/>
                <w:color w:val="auto"/>
              </w:rPr>
            </w:pPr>
            <w:r>
              <w:rPr>
                <w:rFonts w:ascii="Arial" w:cs="Arial" w:eastAsia="Arial" w:hAnsi="Arial"/>
                <w:sz w:val="18"/>
                <w:szCs w:val="18"/>
                <w:color w:val="auto"/>
              </w:rPr>
              <w:t>$</w:t>
            </w:r>
          </w:p>
        </w:tc>
        <w:tc>
          <w:tcPr>
            <w:tcW w:w="540" w:type="dxa"/>
            <w:vAlign w:val="bottom"/>
          </w:tcPr>
          <w:p>
            <w:pPr>
              <w:jc w:val="right"/>
              <w:spacing w:after="0" w:line="181" w:lineRule="exact"/>
              <w:rPr>
                <w:sz w:val="20"/>
                <w:szCs w:val="20"/>
                <w:color w:val="auto"/>
              </w:rPr>
            </w:pPr>
            <w:r>
              <w:rPr>
                <w:rFonts w:ascii="Arial" w:cs="Arial" w:eastAsia="Arial" w:hAnsi="Arial"/>
                <w:sz w:val="18"/>
                <w:szCs w:val="18"/>
                <w:color w:val="auto"/>
              </w:rPr>
              <w:t>120</w:t>
            </w:r>
          </w:p>
        </w:tc>
        <w:tc>
          <w:tcPr>
            <w:tcW w:w="1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03"/>
        </w:trPr>
        <w:tc>
          <w:tcPr>
            <w:tcW w:w="1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3260" w:type="dxa"/>
            <w:vAlign w:val="bottom"/>
          </w:tcPr>
          <w:p>
            <w:pPr>
              <w:ind w:left="100"/>
              <w:spacing w:after="0" w:line="202" w:lineRule="exact"/>
              <w:rPr>
                <w:sz w:val="20"/>
                <w:szCs w:val="20"/>
                <w:color w:val="auto"/>
              </w:rPr>
            </w:pPr>
            <w:r>
              <w:rPr>
                <w:rFonts w:ascii="Arial" w:cs="Arial" w:eastAsia="Arial" w:hAnsi="Arial"/>
                <w:sz w:val="18"/>
                <w:szCs w:val="18"/>
                <w:color w:val="auto"/>
              </w:rPr>
              <w:t>Discovery Holding Company</w:t>
            </w:r>
          </w:p>
        </w:tc>
        <w:tc>
          <w:tcPr>
            <w:tcW w:w="420" w:type="dxa"/>
            <w:vAlign w:val="bottom"/>
          </w:tcPr>
          <w:p>
            <w:pPr>
              <w:spacing w:after="0"/>
              <w:rPr>
                <w:sz w:val="17"/>
                <w:szCs w:val="17"/>
                <w:color w:val="auto"/>
              </w:rPr>
            </w:pPr>
          </w:p>
        </w:tc>
        <w:tc>
          <w:tcPr>
            <w:tcW w:w="780" w:type="dxa"/>
            <w:vAlign w:val="bottom"/>
          </w:tcPr>
          <w:p>
            <w:pPr>
              <w:jc w:val="right"/>
              <w:ind w:right="153"/>
              <w:spacing w:after="0" w:line="202" w:lineRule="exact"/>
              <w:rPr>
                <w:sz w:val="20"/>
                <w:szCs w:val="20"/>
                <w:color w:val="auto"/>
              </w:rPr>
            </w:pPr>
            <w:r>
              <w:rPr>
                <w:rFonts w:ascii="Arial" w:cs="Arial" w:eastAsia="Arial" w:hAnsi="Arial"/>
                <w:sz w:val="18"/>
                <w:szCs w:val="18"/>
                <w:b w:val="1"/>
                <w:bCs w:val="1"/>
                <w:color w:val="auto"/>
              </w:rPr>
              <w:t>161</w:t>
            </w:r>
          </w:p>
        </w:tc>
        <w:tc>
          <w:tcPr>
            <w:tcW w:w="360" w:type="dxa"/>
            <w:vAlign w:val="bottom"/>
          </w:tcPr>
          <w:p>
            <w:pPr>
              <w:spacing w:after="0"/>
              <w:rPr>
                <w:sz w:val="17"/>
                <w:szCs w:val="17"/>
                <w:color w:val="auto"/>
              </w:rPr>
            </w:pPr>
          </w:p>
        </w:tc>
        <w:tc>
          <w:tcPr>
            <w:tcW w:w="540" w:type="dxa"/>
            <w:vAlign w:val="bottom"/>
          </w:tcPr>
          <w:p>
            <w:pPr>
              <w:jc w:val="right"/>
              <w:spacing w:after="0" w:line="202" w:lineRule="exact"/>
              <w:rPr>
                <w:sz w:val="20"/>
                <w:szCs w:val="20"/>
                <w:color w:val="auto"/>
              </w:rPr>
            </w:pPr>
            <w:r>
              <w:rPr>
                <w:rFonts w:ascii="Arial" w:cs="Arial" w:eastAsia="Arial" w:hAnsi="Arial"/>
                <w:sz w:val="18"/>
                <w:szCs w:val="18"/>
                <w:color w:val="auto"/>
              </w:rPr>
              <w:t>152</w:t>
            </w:r>
          </w:p>
        </w:tc>
        <w:tc>
          <w:tcPr>
            <w:tcW w:w="1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1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3260" w:type="dxa"/>
            <w:vAlign w:val="bottom"/>
          </w:tcPr>
          <w:p>
            <w:pPr>
              <w:ind w:left="100"/>
              <w:spacing w:after="0" w:line="202" w:lineRule="exact"/>
              <w:rPr>
                <w:sz w:val="20"/>
                <w:szCs w:val="20"/>
                <w:color w:val="auto"/>
              </w:rPr>
            </w:pPr>
            <w:r>
              <w:rPr>
                <w:rFonts w:ascii="Arial" w:cs="Arial" w:eastAsia="Arial" w:hAnsi="Arial"/>
                <w:sz w:val="18"/>
                <w:szCs w:val="18"/>
                <w:color w:val="auto"/>
              </w:rPr>
              <w:t>Embarq Corporation</w:t>
            </w:r>
          </w:p>
        </w:tc>
        <w:tc>
          <w:tcPr>
            <w:tcW w:w="420" w:type="dxa"/>
            <w:vAlign w:val="bottom"/>
          </w:tcPr>
          <w:p>
            <w:pPr>
              <w:spacing w:after="0"/>
              <w:rPr>
                <w:sz w:val="17"/>
                <w:szCs w:val="17"/>
                <w:color w:val="auto"/>
              </w:rPr>
            </w:pPr>
          </w:p>
        </w:tc>
        <w:tc>
          <w:tcPr>
            <w:tcW w:w="780" w:type="dxa"/>
            <w:vAlign w:val="bottom"/>
          </w:tcPr>
          <w:p>
            <w:pPr>
              <w:jc w:val="right"/>
              <w:ind w:right="153"/>
              <w:spacing w:after="0" w:line="202" w:lineRule="exact"/>
              <w:rPr>
                <w:sz w:val="20"/>
                <w:szCs w:val="20"/>
                <w:color w:val="auto"/>
              </w:rPr>
            </w:pPr>
            <w:r>
              <w:rPr>
                <w:rFonts w:ascii="Arial" w:cs="Arial" w:eastAsia="Arial" w:hAnsi="Arial"/>
                <w:sz w:val="18"/>
                <w:szCs w:val="18"/>
                <w:b w:val="1"/>
                <w:bCs w:val="1"/>
                <w:color w:val="auto"/>
              </w:rPr>
              <w:t>69</w:t>
            </w:r>
          </w:p>
        </w:tc>
        <w:tc>
          <w:tcPr>
            <w:tcW w:w="360" w:type="dxa"/>
            <w:vAlign w:val="bottom"/>
          </w:tcPr>
          <w:p>
            <w:pPr>
              <w:spacing w:after="0"/>
              <w:rPr>
                <w:sz w:val="17"/>
                <w:szCs w:val="17"/>
                <w:color w:val="auto"/>
              </w:rPr>
            </w:pPr>
          </w:p>
        </w:tc>
        <w:tc>
          <w:tcPr>
            <w:tcW w:w="660" w:type="dxa"/>
            <w:vAlign w:val="bottom"/>
            <w:gridSpan w:val="2"/>
          </w:tcPr>
          <w:p>
            <w:pPr>
              <w:jc w:val="right"/>
              <w:ind w:right="120"/>
              <w:spacing w:after="0" w:line="202" w:lineRule="exact"/>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03"/>
        </w:trPr>
        <w:tc>
          <w:tcPr>
            <w:tcW w:w="1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3260" w:type="dxa"/>
            <w:vAlign w:val="bottom"/>
          </w:tcPr>
          <w:p>
            <w:pPr>
              <w:ind w:left="100"/>
              <w:spacing w:after="0" w:line="202" w:lineRule="exact"/>
              <w:rPr>
                <w:sz w:val="20"/>
                <w:szCs w:val="20"/>
                <w:color w:val="auto"/>
              </w:rPr>
            </w:pPr>
            <w:r>
              <w:rPr>
                <w:rFonts w:ascii="Arial" w:cs="Arial" w:eastAsia="Arial" w:hAnsi="Arial"/>
                <w:sz w:val="18"/>
                <w:szCs w:val="18"/>
                <w:color w:val="auto"/>
              </w:rPr>
              <w:t>Liberty Capital</w:t>
            </w:r>
          </w:p>
        </w:tc>
        <w:tc>
          <w:tcPr>
            <w:tcW w:w="420" w:type="dxa"/>
            <w:vAlign w:val="bottom"/>
          </w:tcPr>
          <w:p>
            <w:pPr>
              <w:spacing w:after="0"/>
              <w:rPr>
                <w:sz w:val="17"/>
                <w:szCs w:val="17"/>
                <w:color w:val="auto"/>
              </w:rPr>
            </w:pPr>
          </w:p>
        </w:tc>
        <w:tc>
          <w:tcPr>
            <w:tcW w:w="780" w:type="dxa"/>
            <w:vAlign w:val="bottom"/>
          </w:tcPr>
          <w:p>
            <w:pPr>
              <w:jc w:val="right"/>
              <w:ind w:right="153"/>
              <w:spacing w:after="0" w:line="202" w:lineRule="exact"/>
              <w:rPr>
                <w:sz w:val="20"/>
                <w:szCs w:val="20"/>
                <w:color w:val="auto"/>
              </w:rPr>
            </w:pPr>
            <w:r>
              <w:rPr>
                <w:rFonts w:ascii="Arial" w:cs="Arial" w:eastAsia="Arial" w:hAnsi="Arial"/>
                <w:sz w:val="18"/>
                <w:szCs w:val="18"/>
                <w:b w:val="1"/>
                <w:bCs w:val="1"/>
                <w:color w:val="auto"/>
              </w:rPr>
              <w:t>490</w:t>
            </w:r>
          </w:p>
        </w:tc>
        <w:tc>
          <w:tcPr>
            <w:tcW w:w="360" w:type="dxa"/>
            <w:vAlign w:val="bottom"/>
          </w:tcPr>
          <w:p>
            <w:pPr>
              <w:spacing w:after="0"/>
              <w:rPr>
                <w:sz w:val="17"/>
                <w:szCs w:val="17"/>
                <w:color w:val="auto"/>
              </w:rPr>
            </w:pPr>
          </w:p>
        </w:tc>
        <w:tc>
          <w:tcPr>
            <w:tcW w:w="660" w:type="dxa"/>
            <w:vAlign w:val="bottom"/>
            <w:gridSpan w:val="2"/>
          </w:tcPr>
          <w:p>
            <w:pPr>
              <w:jc w:val="right"/>
              <w:ind w:right="120"/>
              <w:spacing w:after="0" w:line="202" w:lineRule="exact"/>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03"/>
        </w:trPr>
        <w:tc>
          <w:tcPr>
            <w:tcW w:w="1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3260" w:type="dxa"/>
            <w:vAlign w:val="bottom"/>
          </w:tcPr>
          <w:p>
            <w:pPr>
              <w:ind w:left="100"/>
              <w:spacing w:after="0" w:line="202" w:lineRule="exact"/>
              <w:rPr>
                <w:sz w:val="20"/>
                <w:szCs w:val="20"/>
                <w:color w:val="auto"/>
              </w:rPr>
            </w:pPr>
            <w:r>
              <w:rPr>
                <w:rFonts w:ascii="Arial" w:cs="Arial" w:eastAsia="Arial" w:hAnsi="Arial"/>
                <w:sz w:val="18"/>
                <w:szCs w:val="18"/>
                <w:color w:val="auto"/>
              </w:rPr>
              <w:t>Liberty Global</w:t>
            </w:r>
          </w:p>
        </w:tc>
        <w:tc>
          <w:tcPr>
            <w:tcW w:w="420" w:type="dxa"/>
            <w:vAlign w:val="bottom"/>
          </w:tcPr>
          <w:p>
            <w:pPr>
              <w:spacing w:after="0"/>
              <w:rPr>
                <w:sz w:val="17"/>
                <w:szCs w:val="17"/>
                <w:color w:val="auto"/>
              </w:rPr>
            </w:pPr>
          </w:p>
        </w:tc>
        <w:tc>
          <w:tcPr>
            <w:tcW w:w="780" w:type="dxa"/>
            <w:vAlign w:val="bottom"/>
          </w:tcPr>
          <w:p>
            <w:pPr>
              <w:jc w:val="right"/>
              <w:ind w:right="153"/>
              <w:spacing w:after="0" w:line="202" w:lineRule="exact"/>
              <w:rPr>
                <w:sz w:val="20"/>
                <w:szCs w:val="20"/>
                <w:color w:val="auto"/>
              </w:rPr>
            </w:pPr>
            <w:r>
              <w:rPr>
                <w:rFonts w:ascii="Arial" w:cs="Arial" w:eastAsia="Arial" w:hAnsi="Arial"/>
                <w:sz w:val="18"/>
                <w:szCs w:val="18"/>
                <w:b w:val="1"/>
                <w:bCs w:val="1"/>
                <w:color w:val="auto"/>
              </w:rPr>
              <w:t>439</w:t>
            </w:r>
          </w:p>
        </w:tc>
        <w:tc>
          <w:tcPr>
            <w:tcW w:w="360" w:type="dxa"/>
            <w:vAlign w:val="bottom"/>
          </w:tcPr>
          <w:p>
            <w:pPr>
              <w:spacing w:after="0"/>
              <w:rPr>
                <w:sz w:val="17"/>
                <w:szCs w:val="17"/>
                <w:color w:val="auto"/>
              </w:rPr>
            </w:pPr>
          </w:p>
        </w:tc>
        <w:tc>
          <w:tcPr>
            <w:tcW w:w="540" w:type="dxa"/>
            <w:vAlign w:val="bottom"/>
          </w:tcPr>
          <w:p>
            <w:pPr>
              <w:jc w:val="right"/>
              <w:spacing w:after="0" w:line="202" w:lineRule="exact"/>
              <w:rPr>
                <w:sz w:val="20"/>
                <w:szCs w:val="20"/>
                <w:color w:val="auto"/>
              </w:rPr>
            </w:pPr>
            <w:r>
              <w:rPr>
                <w:rFonts w:ascii="Arial" w:cs="Arial" w:eastAsia="Arial" w:hAnsi="Arial"/>
                <w:sz w:val="18"/>
                <w:szCs w:val="18"/>
                <w:color w:val="auto"/>
              </w:rPr>
              <w:t>336</w:t>
            </w:r>
          </w:p>
        </w:tc>
        <w:tc>
          <w:tcPr>
            <w:tcW w:w="1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1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3260" w:type="dxa"/>
            <w:vAlign w:val="bottom"/>
          </w:tcPr>
          <w:p>
            <w:pPr>
              <w:ind w:left="100"/>
              <w:spacing w:after="0" w:line="202" w:lineRule="exact"/>
              <w:rPr>
                <w:sz w:val="20"/>
                <w:szCs w:val="20"/>
                <w:color w:val="auto"/>
              </w:rPr>
            </w:pPr>
            <w:r>
              <w:rPr>
                <w:rFonts w:ascii="Arial" w:cs="Arial" w:eastAsia="Arial" w:hAnsi="Arial"/>
                <w:sz w:val="18"/>
                <w:szCs w:val="18"/>
                <w:color w:val="auto"/>
              </w:rPr>
              <w:t>Liberty Interactive</w:t>
            </w:r>
          </w:p>
        </w:tc>
        <w:tc>
          <w:tcPr>
            <w:tcW w:w="420" w:type="dxa"/>
            <w:vAlign w:val="bottom"/>
          </w:tcPr>
          <w:p>
            <w:pPr>
              <w:spacing w:after="0"/>
              <w:rPr>
                <w:sz w:val="17"/>
                <w:szCs w:val="17"/>
                <w:color w:val="auto"/>
              </w:rPr>
            </w:pPr>
          </w:p>
        </w:tc>
        <w:tc>
          <w:tcPr>
            <w:tcW w:w="780" w:type="dxa"/>
            <w:vAlign w:val="bottom"/>
          </w:tcPr>
          <w:p>
            <w:pPr>
              <w:jc w:val="right"/>
              <w:ind w:right="153"/>
              <w:spacing w:after="0" w:line="202" w:lineRule="exact"/>
              <w:rPr>
                <w:sz w:val="20"/>
                <w:szCs w:val="20"/>
                <w:color w:val="auto"/>
              </w:rPr>
            </w:pPr>
            <w:r>
              <w:rPr>
                <w:rFonts w:ascii="Arial" w:cs="Arial" w:eastAsia="Arial" w:hAnsi="Arial"/>
                <w:sz w:val="18"/>
                <w:szCs w:val="18"/>
                <w:b w:val="1"/>
                <w:bCs w:val="1"/>
                <w:color w:val="auto"/>
              </w:rPr>
              <w:t>539</w:t>
            </w:r>
          </w:p>
        </w:tc>
        <w:tc>
          <w:tcPr>
            <w:tcW w:w="360" w:type="dxa"/>
            <w:vAlign w:val="bottom"/>
          </w:tcPr>
          <w:p>
            <w:pPr>
              <w:spacing w:after="0"/>
              <w:rPr>
                <w:sz w:val="17"/>
                <w:szCs w:val="17"/>
                <w:color w:val="auto"/>
              </w:rPr>
            </w:pPr>
          </w:p>
        </w:tc>
        <w:tc>
          <w:tcPr>
            <w:tcW w:w="660" w:type="dxa"/>
            <w:vAlign w:val="bottom"/>
            <w:gridSpan w:val="2"/>
          </w:tcPr>
          <w:p>
            <w:pPr>
              <w:jc w:val="right"/>
              <w:ind w:right="120"/>
              <w:spacing w:after="0" w:line="202" w:lineRule="exact"/>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03"/>
        </w:trPr>
        <w:tc>
          <w:tcPr>
            <w:tcW w:w="1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3260" w:type="dxa"/>
            <w:vAlign w:val="bottom"/>
          </w:tcPr>
          <w:p>
            <w:pPr>
              <w:ind w:left="100"/>
              <w:spacing w:after="0" w:line="202" w:lineRule="exact"/>
              <w:rPr>
                <w:sz w:val="20"/>
                <w:szCs w:val="20"/>
                <w:color w:val="auto"/>
              </w:rPr>
            </w:pPr>
            <w:r>
              <w:rPr>
                <w:rFonts w:ascii="Arial" w:cs="Arial" w:eastAsia="Arial" w:hAnsi="Arial"/>
                <w:sz w:val="18"/>
                <w:szCs w:val="18"/>
                <w:color w:val="auto"/>
              </w:rPr>
              <w:t>Liberty Media</w:t>
            </w:r>
          </w:p>
        </w:tc>
        <w:tc>
          <w:tcPr>
            <w:tcW w:w="420" w:type="dxa"/>
            <w:vAlign w:val="bottom"/>
          </w:tcPr>
          <w:p>
            <w:pPr>
              <w:spacing w:after="0"/>
              <w:rPr>
                <w:sz w:val="17"/>
                <w:szCs w:val="17"/>
                <w:color w:val="auto"/>
              </w:rPr>
            </w:pPr>
          </w:p>
        </w:tc>
        <w:tc>
          <w:tcPr>
            <w:tcW w:w="780" w:type="dxa"/>
            <w:vAlign w:val="bottom"/>
          </w:tcPr>
          <w:p>
            <w:pPr>
              <w:jc w:val="right"/>
              <w:ind w:right="153"/>
              <w:spacing w:after="0" w:line="202" w:lineRule="exact"/>
              <w:rPr>
                <w:sz w:val="20"/>
                <w:szCs w:val="20"/>
                <w:color w:val="auto"/>
              </w:rPr>
            </w:pPr>
            <w:r>
              <w:rPr>
                <w:rFonts w:ascii="Arial" w:cs="Arial" w:eastAsia="Arial" w:hAnsi="Arial"/>
                <w:sz w:val="18"/>
                <w:szCs w:val="18"/>
                <w:b w:val="1"/>
                <w:bCs w:val="1"/>
                <w:color w:val="auto"/>
              </w:rPr>
              <w:t>—</w:t>
            </w:r>
          </w:p>
        </w:tc>
        <w:tc>
          <w:tcPr>
            <w:tcW w:w="360" w:type="dxa"/>
            <w:vAlign w:val="bottom"/>
          </w:tcPr>
          <w:p>
            <w:pPr>
              <w:spacing w:after="0"/>
              <w:rPr>
                <w:sz w:val="17"/>
                <w:szCs w:val="17"/>
                <w:color w:val="auto"/>
              </w:rPr>
            </w:pPr>
          </w:p>
        </w:tc>
        <w:tc>
          <w:tcPr>
            <w:tcW w:w="540" w:type="dxa"/>
            <w:vAlign w:val="bottom"/>
          </w:tcPr>
          <w:p>
            <w:pPr>
              <w:jc w:val="right"/>
              <w:spacing w:after="0" w:line="202" w:lineRule="exact"/>
              <w:rPr>
                <w:sz w:val="20"/>
                <w:szCs w:val="20"/>
                <w:color w:val="auto"/>
              </w:rPr>
            </w:pPr>
            <w:r>
              <w:rPr>
                <w:rFonts w:ascii="Arial" w:cs="Arial" w:eastAsia="Arial" w:hAnsi="Arial"/>
                <w:sz w:val="18"/>
                <w:szCs w:val="18"/>
                <w:color w:val="auto"/>
              </w:rPr>
              <w:t>787</w:t>
            </w:r>
          </w:p>
        </w:tc>
        <w:tc>
          <w:tcPr>
            <w:tcW w:w="1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1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3260" w:type="dxa"/>
            <w:vAlign w:val="bottom"/>
          </w:tcPr>
          <w:p>
            <w:pPr>
              <w:ind w:left="100"/>
              <w:spacing w:after="0" w:line="202" w:lineRule="exact"/>
              <w:rPr>
                <w:sz w:val="20"/>
                <w:szCs w:val="20"/>
                <w:color w:val="auto"/>
              </w:rPr>
            </w:pPr>
            <w:r>
              <w:rPr>
                <w:rFonts w:ascii="Arial" w:cs="Arial" w:eastAsia="Arial" w:hAnsi="Arial"/>
                <w:sz w:val="18"/>
                <w:szCs w:val="18"/>
                <w:color w:val="auto"/>
              </w:rPr>
              <w:t>Sprint Nextel</w:t>
            </w:r>
          </w:p>
        </w:tc>
        <w:tc>
          <w:tcPr>
            <w:tcW w:w="420" w:type="dxa"/>
            <w:vAlign w:val="bottom"/>
          </w:tcPr>
          <w:p>
            <w:pPr>
              <w:spacing w:after="0"/>
              <w:rPr>
                <w:sz w:val="17"/>
                <w:szCs w:val="17"/>
                <w:color w:val="auto"/>
              </w:rPr>
            </w:pPr>
          </w:p>
        </w:tc>
        <w:tc>
          <w:tcPr>
            <w:tcW w:w="780" w:type="dxa"/>
            <w:vAlign w:val="bottom"/>
          </w:tcPr>
          <w:p>
            <w:pPr>
              <w:jc w:val="right"/>
              <w:ind w:right="153"/>
              <w:spacing w:after="0" w:line="202" w:lineRule="exact"/>
              <w:rPr>
                <w:sz w:val="20"/>
                <w:szCs w:val="20"/>
                <w:color w:val="auto"/>
              </w:rPr>
            </w:pPr>
            <w:r>
              <w:rPr>
                <w:rFonts w:ascii="Arial" w:cs="Arial" w:eastAsia="Arial" w:hAnsi="Arial"/>
                <w:sz w:val="18"/>
                <w:szCs w:val="18"/>
                <w:b w:val="1"/>
                <w:bCs w:val="1"/>
                <w:color w:val="auto"/>
              </w:rPr>
              <w:t>493</w:t>
            </w:r>
          </w:p>
        </w:tc>
        <w:tc>
          <w:tcPr>
            <w:tcW w:w="360" w:type="dxa"/>
            <w:vAlign w:val="bottom"/>
          </w:tcPr>
          <w:p>
            <w:pPr>
              <w:spacing w:after="0"/>
              <w:rPr>
                <w:sz w:val="17"/>
                <w:szCs w:val="17"/>
                <w:color w:val="auto"/>
              </w:rPr>
            </w:pPr>
          </w:p>
        </w:tc>
        <w:tc>
          <w:tcPr>
            <w:tcW w:w="540" w:type="dxa"/>
            <w:vAlign w:val="bottom"/>
          </w:tcPr>
          <w:p>
            <w:pPr>
              <w:jc w:val="right"/>
              <w:spacing w:after="0" w:line="202" w:lineRule="exact"/>
              <w:rPr>
                <w:sz w:val="20"/>
                <w:szCs w:val="20"/>
                <w:color w:val="auto"/>
              </w:rPr>
            </w:pPr>
            <w:r>
              <w:rPr>
                <w:rFonts w:ascii="Arial" w:cs="Arial" w:eastAsia="Arial" w:hAnsi="Arial"/>
                <w:sz w:val="18"/>
                <w:szCs w:val="18"/>
                <w:color w:val="auto"/>
              </w:rPr>
              <w:t>614</w:t>
            </w:r>
          </w:p>
        </w:tc>
        <w:tc>
          <w:tcPr>
            <w:tcW w:w="1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1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3260" w:type="dxa"/>
            <w:vAlign w:val="bottom"/>
          </w:tcPr>
          <w:p>
            <w:pPr>
              <w:ind w:left="100"/>
              <w:spacing w:after="0" w:line="202" w:lineRule="exact"/>
              <w:rPr>
                <w:sz w:val="20"/>
                <w:szCs w:val="20"/>
                <w:color w:val="auto"/>
              </w:rPr>
            </w:pPr>
            <w:r>
              <w:rPr>
                <w:rFonts w:ascii="Arial" w:cs="Arial" w:eastAsia="Arial" w:hAnsi="Arial"/>
                <w:sz w:val="18"/>
                <w:szCs w:val="18"/>
                <w:color w:val="auto"/>
              </w:rPr>
              <w:t>Time Warner</w:t>
            </w:r>
          </w:p>
        </w:tc>
        <w:tc>
          <w:tcPr>
            <w:tcW w:w="420" w:type="dxa"/>
            <w:vAlign w:val="bottom"/>
          </w:tcPr>
          <w:p>
            <w:pPr>
              <w:spacing w:after="0"/>
              <w:rPr>
                <w:sz w:val="17"/>
                <w:szCs w:val="17"/>
                <w:color w:val="auto"/>
              </w:rPr>
            </w:pPr>
          </w:p>
        </w:tc>
        <w:tc>
          <w:tcPr>
            <w:tcW w:w="780" w:type="dxa"/>
            <w:vAlign w:val="bottom"/>
          </w:tcPr>
          <w:p>
            <w:pPr>
              <w:jc w:val="right"/>
              <w:ind w:right="153"/>
              <w:spacing w:after="0" w:line="202" w:lineRule="exact"/>
              <w:rPr>
                <w:sz w:val="20"/>
                <w:szCs w:val="20"/>
                <w:color w:val="auto"/>
              </w:rPr>
            </w:pPr>
            <w:r>
              <w:rPr>
                <w:rFonts w:ascii="Arial" w:cs="Arial" w:eastAsia="Arial" w:hAnsi="Arial"/>
                <w:sz w:val="18"/>
                <w:szCs w:val="18"/>
                <w:b w:val="1"/>
                <w:bCs w:val="1"/>
                <w:color w:val="auto"/>
              </w:rPr>
              <w:t>1,052</w:t>
            </w:r>
          </w:p>
        </w:tc>
        <w:tc>
          <w:tcPr>
            <w:tcW w:w="360" w:type="dxa"/>
            <w:vAlign w:val="bottom"/>
          </w:tcPr>
          <w:p>
            <w:pPr>
              <w:spacing w:after="0"/>
              <w:rPr>
                <w:sz w:val="17"/>
                <w:szCs w:val="17"/>
                <w:color w:val="auto"/>
              </w:rPr>
            </w:pPr>
          </w:p>
        </w:tc>
        <w:tc>
          <w:tcPr>
            <w:tcW w:w="540" w:type="dxa"/>
            <w:vAlign w:val="bottom"/>
          </w:tcPr>
          <w:p>
            <w:pPr>
              <w:jc w:val="right"/>
              <w:spacing w:after="0" w:line="202" w:lineRule="exact"/>
              <w:rPr>
                <w:sz w:val="20"/>
                <w:szCs w:val="20"/>
                <w:color w:val="auto"/>
              </w:rPr>
            </w:pPr>
            <w:r>
              <w:rPr>
                <w:rFonts w:ascii="Arial" w:cs="Arial" w:eastAsia="Arial" w:hAnsi="Arial"/>
                <w:sz w:val="18"/>
                <w:szCs w:val="18"/>
                <w:color w:val="auto"/>
              </w:rPr>
              <w:t>994</w:t>
            </w:r>
          </w:p>
        </w:tc>
        <w:tc>
          <w:tcPr>
            <w:tcW w:w="1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1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3260" w:type="dxa"/>
            <w:vAlign w:val="bottom"/>
          </w:tcPr>
          <w:p>
            <w:pPr>
              <w:ind w:left="100"/>
              <w:spacing w:after="0" w:line="202" w:lineRule="exact"/>
              <w:rPr>
                <w:sz w:val="20"/>
                <w:szCs w:val="20"/>
                <w:color w:val="auto"/>
              </w:rPr>
            </w:pPr>
            <w:r>
              <w:rPr>
                <w:rFonts w:ascii="Arial" w:cs="Arial" w:eastAsia="Arial" w:hAnsi="Arial"/>
                <w:sz w:val="18"/>
                <w:szCs w:val="18"/>
                <w:color w:val="auto"/>
              </w:rPr>
              <w:t>Vodafone</w:t>
            </w:r>
          </w:p>
        </w:tc>
        <w:tc>
          <w:tcPr>
            <w:tcW w:w="420" w:type="dxa"/>
            <w:vAlign w:val="bottom"/>
          </w:tcPr>
          <w:p>
            <w:pPr>
              <w:spacing w:after="0"/>
              <w:rPr>
                <w:sz w:val="17"/>
                <w:szCs w:val="17"/>
                <w:color w:val="auto"/>
              </w:rPr>
            </w:pPr>
          </w:p>
        </w:tc>
        <w:tc>
          <w:tcPr>
            <w:tcW w:w="780" w:type="dxa"/>
            <w:vAlign w:val="bottom"/>
          </w:tcPr>
          <w:p>
            <w:pPr>
              <w:jc w:val="right"/>
              <w:ind w:right="153"/>
              <w:spacing w:after="0" w:line="202" w:lineRule="exact"/>
              <w:rPr>
                <w:sz w:val="20"/>
                <w:szCs w:val="20"/>
                <w:color w:val="auto"/>
              </w:rPr>
            </w:pPr>
            <w:r>
              <w:rPr>
                <w:rFonts w:ascii="Arial" w:cs="Arial" w:eastAsia="Arial" w:hAnsi="Arial"/>
                <w:sz w:val="18"/>
                <w:szCs w:val="18"/>
                <w:b w:val="1"/>
                <w:bCs w:val="1"/>
                <w:color w:val="auto"/>
              </w:rPr>
              <w:t>61</w:t>
            </w:r>
          </w:p>
        </w:tc>
        <w:tc>
          <w:tcPr>
            <w:tcW w:w="360" w:type="dxa"/>
            <w:vAlign w:val="bottom"/>
          </w:tcPr>
          <w:p>
            <w:pPr>
              <w:spacing w:after="0"/>
              <w:rPr>
                <w:sz w:val="17"/>
                <w:szCs w:val="17"/>
                <w:color w:val="auto"/>
              </w:rPr>
            </w:pPr>
          </w:p>
        </w:tc>
        <w:tc>
          <w:tcPr>
            <w:tcW w:w="540" w:type="dxa"/>
            <w:vAlign w:val="bottom"/>
          </w:tcPr>
          <w:p>
            <w:pPr>
              <w:jc w:val="right"/>
              <w:spacing w:after="0" w:line="202" w:lineRule="exact"/>
              <w:rPr>
                <w:sz w:val="20"/>
                <w:szCs w:val="20"/>
                <w:color w:val="auto"/>
              </w:rPr>
            </w:pPr>
            <w:r>
              <w:rPr>
                <w:rFonts w:ascii="Arial" w:cs="Arial" w:eastAsia="Arial" w:hAnsi="Arial"/>
                <w:sz w:val="18"/>
                <w:szCs w:val="18"/>
                <w:color w:val="auto"/>
              </w:rPr>
              <w:t>54</w:t>
            </w:r>
          </w:p>
        </w:tc>
        <w:tc>
          <w:tcPr>
            <w:tcW w:w="1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21"/>
        </w:trPr>
        <w:tc>
          <w:tcPr>
            <w:tcW w:w="140" w:type="dxa"/>
            <w:vAlign w:val="bottom"/>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3260" w:type="dxa"/>
            <w:vAlign w:val="bottom"/>
            <w:tcBorders>
              <w:bottom w:val="single" w:sz="8" w:color="auto"/>
            </w:tcBorders>
          </w:tcPr>
          <w:p>
            <w:pPr>
              <w:ind w:left="100"/>
              <w:spacing w:after="0"/>
              <w:rPr>
                <w:sz w:val="20"/>
                <w:szCs w:val="20"/>
                <w:color w:val="auto"/>
              </w:rPr>
            </w:pPr>
            <w:r>
              <w:rPr>
                <w:rFonts w:ascii="Arial" w:cs="Arial" w:eastAsia="Arial" w:hAnsi="Arial"/>
                <w:sz w:val="18"/>
                <w:szCs w:val="18"/>
                <w:color w:val="auto"/>
              </w:rPr>
              <w:t>Other</w:t>
            </w:r>
          </w:p>
        </w:tc>
        <w:tc>
          <w:tcPr>
            <w:tcW w:w="420" w:type="dxa"/>
            <w:vAlign w:val="bottom"/>
            <w:tcBorders>
              <w:bottom w:val="single" w:sz="8" w:color="auto"/>
            </w:tcBorders>
          </w:tcPr>
          <w:p>
            <w:pPr>
              <w:spacing w:after="0"/>
              <w:rPr>
                <w:sz w:val="19"/>
                <w:szCs w:val="19"/>
                <w:color w:val="auto"/>
              </w:rPr>
            </w:pPr>
          </w:p>
        </w:tc>
        <w:tc>
          <w:tcPr>
            <w:tcW w:w="780" w:type="dxa"/>
            <w:vAlign w:val="bottom"/>
            <w:tcBorders>
              <w:bottom w:val="single" w:sz="8" w:color="auto"/>
            </w:tcBorders>
          </w:tcPr>
          <w:p>
            <w:pPr>
              <w:jc w:val="right"/>
              <w:ind w:right="153"/>
              <w:spacing w:after="0"/>
              <w:rPr>
                <w:sz w:val="20"/>
                <w:szCs w:val="20"/>
                <w:color w:val="auto"/>
              </w:rPr>
            </w:pPr>
            <w:r>
              <w:rPr>
                <w:rFonts w:ascii="Arial" w:cs="Arial" w:eastAsia="Arial" w:hAnsi="Arial"/>
                <w:sz w:val="18"/>
                <w:szCs w:val="18"/>
                <w:b w:val="1"/>
                <w:bCs w:val="1"/>
                <w:color w:val="auto"/>
              </w:rPr>
              <w:t>63</w:t>
            </w:r>
          </w:p>
        </w:tc>
        <w:tc>
          <w:tcPr>
            <w:tcW w:w="360" w:type="dxa"/>
            <w:vAlign w:val="bottom"/>
            <w:tcBorders>
              <w:bottom w:val="single" w:sz="8" w:color="auto"/>
            </w:tcBorders>
          </w:tcPr>
          <w:p>
            <w:pPr>
              <w:spacing w:after="0"/>
              <w:rPr>
                <w:sz w:val="19"/>
                <w:szCs w:val="19"/>
                <w:color w:val="auto"/>
              </w:rPr>
            </w:pPr>
          </w:p>
        </w:tc>
        <w:tc>
          <w:tcPr>
            <w:tcW w:w="5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90</w:t>
            </w: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77"/>
        </w:trPr>
        <w:tc>
          <w:tcPr>
            <w:tcW w:w="14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326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780" w:type="dxa"/>
            <w:vAlign w:val="bottom"/>
          </w:tcPr>
          <w:p>
            <w:pPr>
              <w:jc w:val="right"/>
              <w:ind w:right="153"/>
              <w:spacing w:after="0" w:line="177" w:lineRule="exact"/>
              <w:rPr>
                <w:sz w:val="20"/>
                <w:szCs w:val="20"/>
                <w:color w:val="auto"/>
              </w:rPr>
            </w:pPr>
            <w:r>
              <w:rPr>
                <w:rFonts w:ascii="Arial" w:cs="Arial" w:eastAsia="Arial" w:hAnsi="Arial"/>
                <w:sz w:val="18"/>
                <w:szCs w:val="18"/>
                <w:b w:val="1"/>
                <w:bCs w:val="1"/>
                <w:color w:val="auto"/>
              </w:rPr>
              <w:t>3,513</w:t>
            </w:r>
          </w:p>
        </w:tc>
        <w:tc>
          <w:tcPr>
            <w:tcW w:w="360" w:type="dxa"/>
            <w:vAlign w:val="bottom"/>
          </w:tcPr>
          <w:p>
            <w:pPr>
              <w:spacing w:after="0"/>
              <w:rPr>
                <w:sz w:val="15"/>
                <w:szCs w:val="15"/>
                <w:color w:val="auto"/>
              </w:rPr>
            </w:pPr>
          </w:p>
        </w:tc>
        <w:tc>
          <w:tcPr>
            <w:tcW w:w="540" w:type="dxa"/>
            <w:vAlign w:val="bottom"/>
          </w:tcPr>
          <w:p>
            <w:pPr>
              <w:jc w:val="right"/>
              <w:spacing w:after="0" w:line="177" w:lineRule="exact"/>
              <w:rPr>
                <w:sz w:val="20"/>
                <w:szCs w:val="20"/>
                <w:color w:val="auto"/>
              </w:rPr>
            </w:pPr>
            <w:r>
              <w:rPr>
                <w:rFonts w:ascii="Arial" w:cs="Arial" w:eastAsia="Arial" w:hAnsi="Arial"/>
                <w:sz w:val="18"/>
                <w:szCs w:val="18"/>
                <w:color w:val="auto"/>
              </w:rPr>
              <w:t>3,147</w:t>
            </w:r>
          </w:p>
        </w:tc>
        <w:tc>
          <w:tcPr>
            <w:tcW w:w="1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25"/>
        </w:trPr>
        <w:tc>
          <w:tcPr>
            <w:tcW w:w="140" w:type="dxa"/>
            <w:vAlign w:val="bottom"/>
          </w:tcPr>
          <w:p>
            <w:pPr>
              <w:spacing w:after="0"/>
              <w:rPr>
                <w:sz w:val="19"/>
                <w:szCs w:val="19"/>
                <w:color w:val="auto"/>
              </w:rPr>
            </w:pPr>
          </w:p>
        </w:tc>
        <w:tc>
          <w:tcPr>
            <w:tcW w:w="3380" w:type="dxa"/>
            <w:vAlign w:val="bottom"/>
            <w:gridSpan w:val="2"/>
          </w:tcPr>
          <w:p>
            <w:pPr>
              <w:spacing w:after="0"/>
              <w:rPr>
                <w:sz w:val="20"/>
                <w:szCs w:val="20"/>
                <w:color w:val="auto"/>
              </w:rPr>
            </w:pPr>
            <w:r>
              <w:rPr>
                <w:rFonts w:ascii="Arial" w:cs="Arial" w:eastAsia="Arial" w:hAnsi="Arial"/>
                <w:sz w:val="18"/>
                <w:szCs w:val="18"/>
                <w:color w:val="auto"/>
              </w:rPr>
              <w:t>Equity method, principally cable-related</w:t>
            </w:r>
          </w:p>
        </w:tc>
        <w:tc>
          <w:tcPr>
            <w:tcW w:w="420" w:type="dxa"/>
            <w:vAlign w:val="bottom"/>
          </w:tcPr>
          <w:p>
            <w:pPr>
              <w:spacing w:after="0"/>
              <w:rPr>
                <w:sz w:val="19"/>
                <w:szCs w:val="19"/>
                <w:color w:val="auto"/>
              </w:rPr>
            </w:pPr>
          </w:p>
        </w:tc>
        <w:tc>
          <w:tcPr>
            <w:tcW w:w="780" w:type="dxa"/>
            <w:vAlign w:val="bottom"/>
          </w:tcPr>
          <w:p>
            <w:pPr>
              <w:jc w:val="right"/>
              <w:ind w:right="153"/>
              <w:spacing w:after="0"/>
              <w:rPr>
                <w:sz w:val="20"/>
                <w:szCs w:val="20"/>
                <w:color w:val="auto"/>
              </w:rPr>
            </w:pPr>
            <w:r>
              <w:rPr>
                <w:rFonts w:ascii="Arial" w:cs="Arial" w:eastAsia="Arial" w:hAnsi="Arial"/>
                <w:sz w:val="18"/>
                <w:szCs w:val="18"/>
                <w:b w:val="1"/>
                <w:bCs w:val="1"/>
                <w:color w:val="auto"/>
              </w:rPr>
              <w:t>5,394</w:t>
            </w:r>
          </w:p>
        </w:tc>
        <w:tc>
          <w:tcPr>
            <w:tcW w:w="360" w:type="dxa"/>
            <w:vAlign w:val="bottom"/>
          </w:tcPr>
          <w:p>
            <w:pPr>
              <w:spacing w:after="0"/>
              <w:rPr>
                <w:sz w:val="19"/>
                <w:szCs w:val="19"/>
                <w:color w:val="auto"/>
              </w:rPr>
            </w:pPr>
          </w:p>
        </w:tc>
        <w:tc>
          <w:tcPr>
            <w:tcW w:w="540" w:type="dxa"/>
            <w:vAlign w:val="bottom"/>
          </w:tcPr>
          <w:p>
            <w:pPr>
              <w:jc w:val="right"/>
              <w:spacing w:after="0"/>
              <w:rPr>
                <w:sz w:val="20"/>
                <w:szCs w:val="20"/>
                <w:color w:val="auto"/>
              </w:rPr>
            </w:pPr>
            <w:r>
              <w:rPr>
                <w:rFonts w:ascii="Arial" w:cs="Arial" w:eastAsia="Arial" w:hAnsi="Arial"/>
                <w:sz w:val="18"/>
                <w:szCs w:val="18"/>
                <w:color w:val="auto"/>
              </w:rPr>
              <w:t>2,823</w:t>
            </w: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3"/>
        </w:trPr>
        <w:tc>
          <w:tcPr>
            <w:tcW w:w="140" w:type="dxa"/>
            <w:vAlign w:val="bottom"/>
          </w:tcPr>
          <w:p>
            <w:pPr>
              <w:spacing w:after="0"/>
              <w:rPr>
                <w:sz w:val="17"/>
                <w:szCs w:val="17"/>
                <w:color w:val="auto"/>
              </w:rPr>
            </w:pPr>
          </w:p>
        </w:tc>
        <w:tc>
          <w:tcPr>
            <w:tcW w:w="3380" w:type="dxa"/>
            <w:vAlign w:val="bottom"/>
            <w:gridSpan w:val="2"/>
          </w:tcPr>
          <w:p>
            <w:pPr>
              <w:spacing w:after="0" w:line="202" w:lineRule="exact"/>
              <w:rPr>
                <w:sz w:val="20"/>
                <w:szCs w:val="20"/>
                <w:color w:val="auto"/>
              </w:rPr>
            </w:pPr>
            <w:r>
              <w:rPr>
                <w:rFonts w:ascii="Arial" w:cs="Arial" w:eastAsia="Arial" w:hAnsi="Arial"/>
                <w:sz w:val="18"/>
                <w:szCs w:val="18"/>
                <w:color w:val="auto"/>
              </w:rPr>
              <w:t>Cost method, principally AirTouch as of</w:t>
            </w:r>
          </w:p>
        </w:tc>
        <w:tc>
          <w:tcPr>
            <w:tcW w:w="42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5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1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3260" w:type="dxa"/>
            <w:vAlign w:val="bottom"/>
          </w:tcPr>
          <w:p>
            <w:pPr>
              <w:ind w:left="100"/>
              <w:spacing w:after="0" w:line="202" w:lineRule="exact"/>
              <w:rPr>
                <w:sz w:val="20"/>
                <w:szCs w:val="20"/>
                <w:color w:val="auto"/>
              </w:rPr>
            </w:pPr>
            <w:r>
              <w:rPr>
                <w:rFonts w:ascii="Arial" w:cs="Arial" w:eastAsia="Arial" w:hAnsi="Arial"/>
                <w:sz w:val="18"/>
                <w:szCs w:val="18"/>
                <w:color w:val="auto"/>
              </w:rPr>
              <w:t>December 31, 2006, and</w:t>
            </w:r>
          </w:p>
        </w:tc>
        <w:tc>
          <w:tcPr>
            <w:tcW w:w="42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5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1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3260" w:type="dxa"/>
            <w:vAlign w:val="bottom"/>
          </w:tcPr>
          <w:p>
            <w:pPr>
              <w:ind w:left="100"/>
              <w:spacing w:after="0" w:line="202" w:lineRule="exact"/>
              <w:rPr>
                <w:sz w:val="20"/>
                <w:szCs w:val="20"/>
                <w:color w:val="auto"/>
              </w:rPr>
            </w:pPr>
            <w:r>
              <w:rPr>
                <w:rFonts w:ascii="Arial" w:cs="Arial" w:eastAsia="Arial" w:hAnsi="Arial"/>
                <w:sz w:val="18"/>
                <w:szCs w:val="18"/>
                <w:color w:val="auto"/>
              </w:rPr>
              <w:t>Time Warner Cable and</w:t>
            </w:r>
          </w:p>
        </w:tc>
        <w:tc>
          <w:tcPr>
            <w:tcW w:w="42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5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1"/>
        </w:trPr>
        <w:tc>
          <w:tcPr>
            <w:tcW w:w="1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3260" w:type="dxa"/>
            <w:vAlign w:val="bottom"/>
          </w:tcPr>
          <w:p>
            <w:pPr>
              <w:ind w:left="100"/>
              <w:spacing w:after="0"/>
              <w:rPr>
                <w:sz w:val="20"/>
                <w:szCs w:val="20"/>
                <w:color w:val="auto"/>
              </w:rPr>
            </w:pPr>
            <w:r>
              <w:rPr>
                <w:rFonts w:ascii="Arial" w:cs="Arial" w:eastAsia="Arial" w:hAnsi="Arial"/>
                <w:sz w:val="18"/>
                <w:szCs w:val="18"/>
                <w:color w:val="auto"/>
              </w:rPr>
              <w:t>AirTouch as of</w:t>
            </w:r>
          </w:p>
        </w:tc>
        <w:tc>
          <w:tcPr>
            <w:tcW w:w="420" w:type="dxa"/>
            <w:vAlign w:val="bottom"/>
          </w:tcPr>
          <w:p>
            <w:pPr>
              <w:spacing w:after="0"/>
              <w:rPr>
                <w:sz w:val="18"/>
                <w:szCs w:val="18"/>
                <w:color w:val="auto"/>
              </w:rPr>
            </w:pPr>
          </w:p>
        </w:tc>
        <w:tc>
          <w:tcPr>
            <w:tcW w:w="780" w:type="dxa"/>
            <w:vAlign w:val="bottom"/>
            <w:vMerge w:val="restart"/>
          </w:tcPr>
          <w:p>
            <w:pPr>
              <w:jc w:val="right"/>
              <w:ind w:right="153"/>
              <w:spacing w:after="0"/>
              <w:rPr>
                <w:sz w:val="20"/>
                <w:szCs w:val="20"/>
                <w:color w:val="auto"/>
              </w:rPr>
            </w:pPr>
            <w:r>
              <w:rPr>
                <w:rFonts w:ascii="Arial" w:cs="Arial" w:eastAsia="Arial" w:hAnsi="Arial"/>
                <w:sz w:val="18"/>
                <w:szCs w:val="18"/>
                <w:b w:val="1"/>
                <w:bCs w:val="1"/>
                <w:color w:val="auto"/>
              </w:rPr>
              <w:t>1,675</w:t>
            </w:r>
          </w:p>
        </w:tc>
        <w:tc>
          <w:tcPr>
            <w:tcW w:w="36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5"/>
        </w:trPr>
        <w:tc>
          <w:tcPr>
            <w:tcW w:w="140" w:type="dxa"/>
            <w:vAlign w:val="bottom"/>
          </w:tcPr>
          <w:p>
            <w:pPr>
              <w:spacing w:after="0"/>
              <w:rPr>
                <w:sz w:val="17"/>
                <w:szCs w:val="17"/>
                <w:color w:val="auto"/>
              </w:rPr>
            </w:pPr>
          </w:p>
        </w:tc>
        <w:tc>
          <w:tcPr>
            <w:tcW w:w="120" w:type="dxa"/>
            <w:vAlign w:val="bottom"/>
            <w:tcBorders>
              <w:bottom w:val="single" w:sz="8" w:color="auto"/>
            </w:tcBorders>
          </w:tcPr>
          <w:p>
            <w:pPr>
              <w:spacing w:after="0"/>
              <w:rPr>
                <w:sz w:val="17"/>
                <w:szCs w:val="17"/>
                <w:color w:val="auto"/>
              </w:rPr>
            </w:pPr>
          </w:p>
        </w:tc>
        <w:tc>
          <w:tcPr>
            <w:tcW w:w="3260" w:type="dxa"/>
            <w:vAlign w:val="bottom"/>
            <w:tcBorders>
              <w:bottom w:val="single" w:sz="8" w:color="auto"/>
            </w:tcBorders>
          </w:tcPr>
          <w:p>
            <w:pPr>
              <w:ind w:left="100"/>
              <w:spacing w:after="0" w:line="205" w:lineRule="exact"/>
              <w:rPr>
                <w:sz w:val="20"/>
                <w:szCs w:val="20"/>
                <w:color w:val="auto"/>
              </w:rPr>
            </w:pPr>
            <w:r>
              <w:rPr>
                <w:rFonts w:ascii="Arial" w:cs="Arial" w:eastAsia="Arial" w:hAnsi="Arial"/>
                <w:sz w:val="18"/>
                <w:szCs w:val="18"/>
                <w:color w:val="auto"/>
              </w:rPr>
              <w:t>December 31, 2005</w:t>
            </w:r>
          </w:p>
        </w:tc>
        <w:tc>
          <w:tcPr>
            <w:tcW w:w="420" w:type="dxa"/>
            <w:vAlign w:val="bottom"/>
            <w:tcBorders>
              <w:bottom w:val="single" w:sz="8" w:color="auto"/>
            </w:tcBorders>
          </w:tcPr>
          <w:p>
            <w:pPr>
              <w:spacing w:after="0"/>
              <w:rPr>
                <w:sz w:val="17"/>
                <w:szCs w:val="17"/>
                <w:color w:val="auto"/>
              </w:rPr>
            </w:pPr>
          </w:p>
        </w:tc>
        <w:tc>
          <w:tcPr>
            <w:tcW w:w="780" w:type="dxa"/>
            <w:vAlign w:val="bottom"/>
            <w:tcBorders>
              <w:bottom w:val="single" w:sz="8" w:color="auto"/>
            </w:tcBorders>
            <w:vMerge w:val="continue"/>
          </w:tcPr>
          <w:p>
            <w:pPr>
              <w:spacing w:after="0"/>
              <w:rPr>
                <w:sz w:val="17"/>
                <w:szCs w:val="17"/>
                <w:color w:val="auto"/>
              </w:rPr>
            </w:pPr>
          </w:p>
        </w:tc>
        <w:tc>
          <w:tcPr>
            <w:tcW w:w="360" w:type="dxa"/>
            <w:vAlign w:val="bottom"/>
            <w:tcBorders>
              <w:bottom w:val="single" w:sz="8" w:color="auto"/>
            </w:tcBorders>
          </w:tcPr>
          <w:p>
            <w:pPr>
              <w:spacing w:after="0"/>
              <w:rPr>
                <w:sz w:val="17"/>
                <w:szCs w:val="17"/>
                <w:color w:val="auto"/>
              </w:rPr>
            </w:pPr>
          </w:p>
        </w:tc>
        <w:tc>
          <w:tcPr>
            <w:tcW w:w="540" w:type="dxa"/>
            <w:vAlign w:val="bottom"/>
            <w:tcBorders>
              <w:bottom w:val="single" w:sz="8" w:color="auto"/>
            </w:tcBorders>
          </w:tcPr>
          <w:p>
            <w:pPr>
              <w:jc w:val="right"/>
              <w:spacing w:after="0" w:line="205" w:lineRule="exact"/>
              <w:rPr>
                <w:sz w:val="20"/>
                <w:szCs w:val="20"/>
                <w:color w:val="auto"/>
              </w:rPr>
            </w:pPr>
            <w:r>
              <w:rPr>
                <w:rFonts w:ascii="Arial" w:cs="Arial" w:eastAsia="Arial" w:hAnsi="Arial"/>
                <w:sz w:val="18"/>
                <w:szCs w:val="18"/>
                <w:color w:val="auto"/>
              </w:rPr>
              <w:t>6,853</w:t>
            </w:r>
          </w:p>
        </w:tc>
        <w:tc>
          <w:tcPr>
            <w:tcW w:w="1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77"/>
        </w:trPr>
        <w:tc>
          <w:tcPr>
            <w:tcW w:w="140" w:type="dxa"/>
            <w:vAlign w:val="bottom"/>
          </w:tcPr>
          <w:p>
            <w:pPr>
              <w:spacing w:after="0"/>
              <w:rPr>
                <w:sz w:val="15"/>
                <w:szCs w:val="15"/>
                <w:color w:val="auto"/>
              </w:rPr>
            </w:pPr>
          </w:p>
        </w:tc>
        <w:tc>
          <w:tcPr>
            <w:tcW w:w="3380" w:type="dxa"/>
            <w:vAlign w:val="bottom"/>
            <w:gridSpan w:val="2"/>
          </w:tcPr>
          <w:p>
            <w:pPr>
              <w:spacing w:after="0" w:line="177" w:lineRule="exact"/>
              <w:rPr>
                <w:sz w:val="20"/>
                <w:szCs w:val="20"/>
                <w:color w:val="auto"/>
              </w:rPr>
            </w:pPr>
            <w:r>
              <w:rPr>
                <w:rFonts w:ascii="Arial" w:cs="Arial" w:eastAsia="Arial" w:hAnsi="Arial"/>
                <w:sz w:val="18"/>
                <w:szCs w:val="18"/>
                <w:color w:val="auto"/>
              </w:rPr>
              <w:t>Total investments</w:t>
            </w:r>
          </w:p>
        </w:tc>
        <w:tc>
          <w:tcPr>
            <w:tcW w:w="420" w:type="dxa"/>
            <w:vAlign w:val="bottom"/>
          </w:tcPr>
          <w:p>
            <w:pPr>
              <w:spacing w:after="0"/>
              <w:rPr>
                <w:sz w:val="15"/>
                <w:szCs w:val="15"/>
                <w:color w:val="auto"/>
              </w:rPr>
            </w:pPr>
          </w:p>
        </w:tc>
        <w:tc>
          <w:tcPr>
            <w:tcW w:w="780" w:type="dxa"/>
            <w:vAlign w:val="bottom"/>
          </w:tcPr>
          <w:p>
            <w:pPr>
              <w:jc w:val="right"/>
              <w:ind w:right="153"/>
              <w:spacing w:after="0" w:line="177" w:lineRule="exact"/>
              <w:rPr>
                <w:sz w:val="20"/>
                <w:szCs w:val="20"/>
                <w:color w:val="auto"/>
              </w:rPr>
            </w:pPr>
            <w:r>
              <w:rPr>
                <w:rFonts w:ascii="Arial" w:cs="Arial" w:eastAsia="Arial" w:hAnsi="Arial"/>
                <w:sz w:val="18"/>
                <w:szCs w:val="18"/>
                <w:b w:val="1"/>
                <w:bCs w:val="1"/>
                <w:color w:val="auto"/>
                <w:w w:val="94"/>
              </w:rPr>
              <w:t>10,582</w:t>
            </w:r>
          </w:p>
        </w:tc>
        <w:tc>
          <w:tcPr>
            <w:tcW w:w="360" w:type="dxa"/>
            <w:vAlign w:val="bottom"/>
          </w:tcPr>
          <w:p>
            <w:pPr>
              <w:spacing w:after="0"/>
              <w:rPr>
                <w:sz w:val="15"/>
                <w:szCs w:val="15"/>
                <w:color w:val="auto"/>
              </w:rPr>
            </w:pPr>
          </w:p>
        </w:tc>
        <w:tc>
          <w:tcPr>
            <w:tcW w:w="540" w:type="dxa"/>
            <w:vAlign w:val="bottom"/>
          </w:tcPr>
          <w:p>
            <w:pPr>
              <w:jc w:val="right"/>
              <w:spacing w:after="0" w:line="177" w:lineRule="exact"/>
              <w:rPr>
                <w:sz w:val="20"/>
                <w:szCs w:val="20"/>
                <w:color w:val="auto"/>
              </w:rPr>
            </w:pPr>
            <w:r>
              <w:rPr>
                <w:rFonts w:ascii="Arial" w:cs="Arial" w:eastAsia="Arial" w:hAnsi="Arial"/>
                <w:sz w:val="18"/>
                <w:szCs w:val="18"/>
                <w:color w:val="auto"/>
                <w:w w:val="94"/>
              </w:rPr>
              <w:t>12,823</w:t>
            </w:r>
          </w:p>
        </w:tc>
        <w:tc>
          <w:tcPr>
            <w:tcW w:w="1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21"/>
        </w:trPr>
        <w:tc>
          <w:tcPr>
            <w:tcW w:w="140" w:type="dxa"/>
            <w:vAlign w:val="bottom"/>
          </w:tcPr>
          <w:p>
            <w:pPr>
              <w:spacing w:after="0"/>
              <w:rPr>
                <w:sz w:val="19"/>
                <w:szCs w:val="19"/>
                <w:color w:val="auto"/>
              </w:rPr>
            </w:pPr>
          </w:p>
        </w:tc>
        <w:tc>
          <w:tcPr>
            <w:tcW w:w="3380" w:type="dxa"/>
            <w:vAlign w:val="bottom"/>
            <w:tcBorders>
              <w:bottom w:val="single" w:sz="8" w:color="auto"/>
            </w:tcBorders>
            <w:gridSpan w:val="2"/>
          </w:tcPr>
          <w:p>
            <w:pPr>
              <w:spacing w:after="0"/>
              <w:rPr>
                <w:sz w:val="20"/>
                <w:szCs w:val="20"/>
                <w:color w:val="auto"/>
              </w:rPr>
            </w:pPr>
            <w:r>
              <w:rPr>
                <w:rFonts w:ascii="Arial" w:cs="Arial" w:eastAsia="Arial" w:hAnsi="Arial"/>
                <w:sz w:val="18"/>
                <w:szCs w:val="18"/>
                <w:color w:val="auto"/>
              </w:rPr>
              <w:t>Less current investments</w:t>
            </w:r>
          </w:p>
        </w:tc>
        <w:tc>
          <w:tcPr>
            <w:tcW w:w="420" w:type="dxa"/>
            <w:vAlign w:val="bottom"/>
            <w:tcBorders>
              <w:bottom w:val="single" w:sz="8" w:color="auto"/>
            </w:tcBorders>
          </w:tcPr>
          <w:p>
            <w:pPr>
              <w:spacing w:after="0"/>
              <w:rPr>
                <w:sz w:val="19"/>
                <w:szCs w:val="19"/>
                <w:color w:val="auto"/>
              </w:rPr>
            </w:pPr>
          </w:p>
        </w:tc>
        <w:tc>
          <w:tcPr>
            <w:tcW w:w="780" w:type="dxa"/>
            <w:vAlign w:val="bottom"/>
            <w:tcBorders>
              <w:bottom w:val="single" w:sz="8" w:color="auto"/>
            </w:tcBorders>
          </w:tcPr>
          <w:p>
            <w:pPr>
              <w:jc w:val="right"/>
              <w:ind w:right="153"/>
              <w:spacing w:after="0"/>
              <w:rPr>
                <w:sz w:val="20"/>
                <w:szCs w:val="20"/>
                <w:color w:val="auto"/>
              </w:rPr>
            </w:pPr>
            <w:r>
              <w:rPr>
                <w:rFonts w:ascii="Arial" w:cs="Arial" w:eastAsia="Arial" w:hAnsi="Arial"/>
                <w:sz w:val="18"/>
                <w:szCs w:val="18"/>
                <w:b w:val="1"/>
                <w:bCs w:val="1"/>
                <w:color w:val="auto"/>
              </w:rPr>
              <w:t>1,735</w:t>
            </w:r>
          </w:p>
        </w:tc>
        <w:tc>
          <w:tcPr>
            <w:tcW w:w="360" w:type="dxa"/>
            <w:vAlign w:val="bottom"/>
            <w:tcBorders>
              <w:bottom w:val="single" w:sz="8" w:color="auto"/>
            </w:tcBorders>
          </w:tcPr>
          <w:p>
            <w:pPr>
              <w:spacing w:after="0"/>
              <w:rPr>
                <w:sz w:val="19"/>
                <w:szCs w:val="19"/>
                <w:color w:val="auto"/>
              </w:rPr>
            </w:pPr>
          </w:p>
        </w:tc>
        <w:tc>
          <w:tcPr>
            <w:tcW w:w="5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148</w:t>
            </w: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96"/>
        </w:trPr>
        <w:tc>
          <w:tcPr>
            <w:tcW w:w="140" w:type="dxa"/>
            <w:vAlign w:val="bottom"/>
          </w:tcPr>
          <w:p>
            <w:pPr>
              <w:spacing w:after="0"/>
              <w:rPr>
                <w:sz w:val="17"/>
                <w:szCs w:val="17"/>
                <w:color w:val="auto"/>
              </w:rPr>
            </w:pPr>
          </w:p>
        </w:tc>
        <w:tc>
          <w:tcPr>
            <w:tcW w:w="3380" w:type="dxa"/>
            <w:vAlign w:val="bottom"/>
            <w:tcBorders>
              <w:bottom w:val="single" w:sz="8" w:color="35BF85"/>
            </w:tcBorders>
            <w:gridSpan w:val="2"/>
          </w:tcPr>
          <w:p>
            <w:pPr>
              <w:spacing w:after="0" w:line="196" w:lineRule="exact"/>
              <w:rPr>
                <w:sz w:val="20"/>
                <w:szCs w:val="20"/>
                <w:color w:val="auto"/>
              </w:rPr>
            </w:pPr>
            <w:r>
              <w:rPr>
                <w:rFonts w:ascii="Arial" w:cs="Arial" w:eastAsia="Arial" w:hAnsi="Arial"/>
                <w:sz w:val="18"/>
                <w:szCs w:val="18"/>
                <w:color w:val="auto"/>
              </w:rPr>
              <w:t>Noncurrent investments</w:t>
            </w:r>
          </w:p>
        </w:tc>
        <w:tc>
          <w:tcPr>
            <w:tcW w:w="420" w:type="dxa"/>
            <w:vAlign w:val="bottom"/>
            <w:tcBorders>
              <w:bottom w:val="single" w:sz="8" w:color="35BF85"/>
            </w:tcBorders>
          </w:tcPr>
          <w:p>
            <w:pPr>
              <w:jc w:val="right"/>
              <w:spacing w:after="0" w:line="196" w:lineRule="exact"/>
              <w:rPr>
                <w:sz w:val="20"/>
                <w:szCs w:val="20"/>
                <w:color w:val="auto"/>
              </w:rPr>
            </w:pPr>
            <w:r>
              <w:rPr>
                <w:rFonts w:ascii="Arial" w:cs="Arial" w:eastAsia="Arial" w:hAnsi="Arial"/>
                <w:sz w:val="18"/>
                <w:szCs w:val="18"/>
                <w:b w:val="1"/>
                <w:bCs w:val="1"/>
                <w:color w:val="auto"/>
              </w:rPr>
              <w:t>$</w:t>
            </w:r>
          </w:p>
        </w:tc>
        <w:tc>
          <w:tcPr>
            <w:tcW w:w="780" w:type="dxa"/>
            <w:vAlign w:val="bottom"/>
            <w:tcBorders>
              <w:bottom w:val="single" w:sz="8" w:color="35BF85"/>
            </w:tcBorders>
          </w:tcPr>
          <w:p>
            <w:pPr>
              <w:jc w:val="right"/>
              <w:ind w:right="153"/>
              <w:spacing w:after="0" w:line="196" w:lineRule="exact"/>
              <w:rPr>
                <w:sz w:val="20"/>
                <w:szCs w:val="20"/>
                <w:color w:val="auto"/>
              </w:rPr>
            </w:pPr>
            <w:r>
              <w:rPr>
                <w:rFonts w:ascii="Arial" w:cs="Arial" w:eastAsia="Arial" w:hAnsi="Arial"/>
                <w:sz w:val="18"/>
                <w:szCs w:val="18"/>
                <w:b w:val="1"/>
                <w:bCs w:val="1"/>
                <w:color w:val="auto"/>
              </w:rPr>
              <w:t>8,847</w:t>
            </w:r>
          </w:p>
        </w:tc>
        <w:tc>
          <w:tcPr>
            <w:tcW w:w="360" w:type="dxa"/>
            <w:vAlign w:val="bottom"/>
            <w:tcBorders>
              <w:bottom w:val="single" w:sz="8" w:color="35BF85"/>
            </w:tcBorders>
          </w:tcPr>
          <w:p>
            <w:pPr>
              <w:jc w:val="right"/>
              <w:spacing w:after="0" w:line="196" w:lineRule="exact"/>
              <w:rPr>
                <w:sz w:val="20"/>
                <w:szCs w:val="20"/>
                <w:color w:val="auto"/>
              </w:rPr>
            </w:pPr>
            <w:r>
              <w:rPr>
                <w:rFonts w:ascii="Arial" w:cs="Arial" w:eastAsia="Arial" w:hAnsi="Arial"/>
                <w:sz w:val="18"/>
                <w:szCs w:val="18"/>
                <w:color w:val="auto"/>
              </w:rPr>
              <w:t>$</w:t>
            </w:r>
          </w:p>
        </w:tc>
        <w:tc>
          <w:tcPr>
            <w:tcW w:w="540" w:type="dxa"/>
            <w:vAlign w:val="bottom"/>
            <w:tcBorders>
              <w:bottom w:val="single" w:sz="8" w:color="35BF85"/>
            </w:tcBorders>
          </w:tcPr>
          <w:p>
            <w:pPr>
              <w:jc w:val="right"/>
              <w:spacing w:after="0" w:line="196" w:lineRule="exact"/>
              <w:rPr>
                <w:sz w:val="20"/>
                <w:szCs w:val="20"/>
                <w:color w:val="auto"/>
              </w:rPr>
            </w:pPr>
            <w:r>
              <w:rPr>
                <w:rFonts w:ascii="Arial" w:cs="Arial" w:eastAsia="Arial" w:hAnsi="Arial"/>
                <w:sz w:val="18"/>
                <w:szCs w:val="18"/>
                <w:color w:val="auto"/>
                <w:w w:val="94"/>
              </w:rPr>
              <w:t>12,675</w:t>
            </w:r>
          </w:p>
        </w:tc>
        <w:tc>
          <w:tcPr>
            <w:tcW w:w="1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358"/>
        </w:trPr>
        <w:tc>
          <w:tcPr>
            <w:tcW w:w="260" w:type="dxa"/>
            <w:vAlign w:val="bottom"/>
            <w:gridSpan w:val="2"/>
          </w:tcPr>
          <w:p>
            <w:pPr>
              <w:jc w:val="right"/>
              <w:ind w:right="15"/>
              <w:spacing w:after="0"/>
              <w:rPr>
                <w:sz w:val="20"/>
                <w:szCs w:val="20"/>
                <w:color w:val="auto"/>
              </w:rPr>
            </w:pPr>
            <w:r>
              <w:rPr>
                <w:rFonts w:ascii="Arial" w:cs="Arial" w:eastAsia="Arial" w:hAnsi="Arial"/>
                <w:sz w:val="14"/>
                <w:szCs w:val="14"/>
                <w:b w:val="1"/>
                <w:bCs w:val="1"/>
                <w:color w:val="auto"/>
                <w:w w:val="89"/>
              </w:rPr>
              <w:t>51</w:t>
            </w:r>
          </w:p>
        </w:tc>
        <w:tc>
          <w:tcPr>
            <w:tcW w:w="5480" w:type="dxa"/>
            <w:vAlign w:val="bottom"/>
            <w:gridSpan w:val="6"/>
          </w:tcPr>
          <w:p>
            <w:pPr>
              <w:ind w:left="840"/>
              <w:spacing w:after="0"/>
              <w:rPr>
                <w:sz w:val="20"/>
                <w:szCs w:val="20"/>
                <w:color w:val="auto"/>
              </w:rPr>
            </w:pPr>
            <w:r>
              <w:rPr>
                <w:rFonts w:ascii="Arial" w:cs="Arial" w:eastAsia="Arial" w:hAnsi="Arial"/>
                <w:sz w:val="14"/>
                <w:szCs w:val="14"/>
                <w:color w:val="auto"/>
                <w:w w:val="96"/>
              </w:rPr>
              <w:t xml:space="preserve">Comcast 2006 Annual Report </w:t>
            </w:r>
            <w:r>
              <w:rPr>
                <w:rFonts w:ascii="Arial" w:cs="Arial" w:eastAsia="Arial" w:hAnsi="Arial"/>
                <w:sz w:val="14"/>
                <w:szCs w:val="14"/>
                <w:b w:val="1"/>
                <w:bCs w:val="1"/>
                <w:color w:val="auto"/>
                <w:w w:val="96"/>
              </w:rPr>
              <w:t>Notes to Consolidated Financial Statements</w:t>
            </w:r>
          </w:p>
        </w:tc>
        <w:tc>
          <w:tcPr>
            <w:tcW w:w="0" w:type="dxa"/>
            <w:vAlign w:val="bottom"/>
          </w:tcPr>
          <w:p>
            <w:pPr>
              <w:spacing w:after="0"/>
              <w:rPr>
                <w:sz w:val="1"/>
                <w:szCs w:val="1"/>
                <w:color w:val="auto"/>
              </w:rPr>
            </w:pPr>
          </w:p>
        </w:tc>
      </w:tr>
    </w:tbl>
    <w:p>
      <w:pPr>
        <w:sectPr>
          <w:pgSz w:w="11900" w:h="16838" w:orient="portrait"/>
          <w:cols w:equalWidth="0" w:num="2">
            <w:col w:w="5480" w:space="200"/>
            <w:col w:w="5740"/>
          </w:cols>
          <w:pgMar w:left="240" w:top="459" w:right="239" w:bottom="1440" w:gutter="0" w:footer="0" w:header="0"/>
        </w:sectPr>
      </w:pPr>
    </w:p>
    <w:bookmarkStart w:id="128" w:name="page129"/>
    <w:bookmarkEnd w:id="128"/>
    <w:p>
      <w:pPr>
        <w:spacing w:after="0"/>
        <w:rPr>
          <w:rFonts w:ascii="Arial" w:cs="Arial" w:eastAsia="Arial" w:hAnsi="Arial"/>
          <w:sz w:val="18"/>
          <w:szCs w:val="18"/>
          <w:b w:val="1"/>
          <w:bCs w:val="1"/>
          <w:u w:val="single" w:color="auto"/>
          <w:color w:val="0000EE"/>
        </w:rPr>
      </w:pPr>
      <w:hyperlink w:anchor="page3">
        <w:r>
          <w:rPr>
            <w:rFonts w:ascii="Arial" w:cs="Arial" w:eastAsia="Arial" w:hAnsi="Arial"/>
            <w:sz w:val="18"/>
            <w:szCs w:val="18"/>
            <w:b w:val="1"/>
            <w:bCs w:val="1"/>
            <w:u w:val="single" w:color="auto"/>
            <w:color w:val="0000EE"/>
          </w:rPr>
          <w:t>Table of Contents</w:t>
        </w:r>
      </w:hyperlink>
    </w:p>
    <w:p>
      <w:pPr>
        <w:spacing w:after="0" w:line="200" w:lineRule="exact"/>
        <w:rPr>
          <w:sz w:val="20"/>
          <w:szCs w:val="20"/>
          <w:color w:val="auto"/>
        </w:rPr>
      </w:pPr>
    </w:p>
    <w:p>
      <w:pPr>
        <w:spacing w:after="0" w:line="25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Fair Value Method</w:t>
      </w:r>
    </w:p>
    <w:p>
      <w:pPr>
        <w:spacing w:after="0" w:line="18" w:lineRule="exact"/>
        <w:rPr>
          <w:sz w:val="20"/>
          <w:szCs w:val="20"/>
          <w:color w:val="auto"/>
        </w:rPr>
      </w:pPr>
    </w:p>
    <w:p>
      <w:pPr>
        <w:jc w:val="both"/>
        <w:spacing w:after="0" w:line="236" w:lineRule="auto"/>
        <w:rPr>
          <w:sz w:val="20"/>
          <w:szCs w:val="20"/>
          <w:color w:val="auto"/>
        </w:rPr>
      </w:pPr>
      <w:r>
        <w:rPr>
          <w:rFonts w:ascii="Arial" w:cs="Arial" w:eastAsia="Arial" w:hAnsi="Arial"/>
          <w:sz w:val="18"/>
          <w:szCs w:val="18"/>
          <w:color w:val="auto"/>
        </w:rPr>
        <w:t>We hold unrestricted equity investments in publicly traded companies that we account for as AFS or trading securities. The net unrealized pretax gains on investments accounted for as AFS securities as of December 31, 2006 and 2005, of $254 million and $56 million, respectively, have been reported in our consolidated balance sheet principally as a component of accumulated other comprehensive income (loss), net of related deferred income taxes of $89 million and $19 million, respectively.</w:t>
      </w:r>
    </w:p>
    <w:p>
      <w:pPr>
        <w:spacing w:after="0" w:line="150" w:lineRule="exact"/>
        <w:rPr>
          <w:sz w:val="20"/>
          <w:szCs w:val="20"/>
          <w:color w:val="auto"/>
        </w:rPr>
      </w:pPr>
    </w:p>
    <w:p>
      <w:pPr>
        <w:spacing w:after="0"/>
        <w:rPr>
          <w:sz w:val="20"/>
          <w:szCs w:val="20"/>
          <w:color w:val="auto"/>
        </w:rPr>
      </w:pPr>
      <w:r>
        <w:rPr>
          <w:rFonts w:ascii="Arial" w:cs="Arial" w:eastAsia="Arial" w:hAnsi="Arial"/>
          <w:sz w:val="18"/>
          <w:szCs w:val="18"/>
          <w:color w:val="auto"/>
        </w:rPr>
        <w:t>The cost, fair value and unrealized gains and losses related to our</w:t>
      </w:r>
    </w:p>
    <w:p>
      <w:pPr>
        <w:spacing w:after="0"/>
        <w:rPr>
          <w:sz w:val="20"/>
          <w:szCs w:val="20"/>
          <w:color w:val="auto"/>
        </w:rPr>
      </w:pPr>
      <w:r>
        <w:rPr>
          <w:rFonts w:ascii="Arial" w:cs="Arial" w:eastAsia="Arial" w:hAnsi="Arial"/>
          <w:sz w:val="18"/>
          <w:szCs w:val="18"/>
          <w:color w:val="auto"/>
        </w:rPr>
        <w:t>AFS securities are as follows:</w:t>
      </w:r>
    </w:p>
    <w:p>
      <w:pPr>
        <w:spacing w:after="0" w:line="178" w:lineRule="exact"/>
        <w:rPr>
          <w:sz w:val="20"/>
          <w:szCs w:val="20"/>
          <w:color w:val="auto"/>
        </w:rPr>
      </w:pPr>
    </w:p>
    <w:tbl>
      <w:tblPr>
        <w:tblLayout w:type="fixed"/>
        <w:tblInd w:w="0" w:type="dxa"/>
        <w:tblCellMar>
          <w:top w:w="0" w:type="dxa"/>
          <w:left w:w="0" w:type="dxa"/>
          <w:bottom w:w="0" w:type="dxa"/>
          <w:right w:w="0" w:type="dxa"/>
        </w:tblCellMar>
      </w:tblPr>
      <w:tr>
        <w:trPr>
          <w:trHeight w:val="165"/>
        </w:trPr>
        <w:tc>
          <w:tcPr>
            <w:tcW w:w="3080" w:type="dxa"/>
            <w:vAlign w:val="bottom"/>
            <w:tcBorders>
              <w:bottom w:val="single" w:sz="8" w:color="auto"/>
            </w:tcBorders>
          </w:tcPr>
          <w:p>
            <w:pPr>
              <w:ind w:left="20"/>
              <w:spacing w:after="0"/>
              <w:rPr>
                <w:sz w:val="20"/>
                <w:szCs w:val="20"/>
                <w:color w:val="auto"/>
              </w:rPr>
            </w:pPr>
            <w:r>
              <w:rPr>
                <w:rFonts w:ascii="Arial" w:cs="Arial" w:eastAsia="Arial" w:hAnsi="Arial"/>
                <w:sz w:val="14"/>
                <w:szCs w:val="14"/>
                <w:color w:val="auto"/>
              </w:rPr>
              <w:t>Year Ended December 31 (in millions)</w:t>
            </w:r>
          </w:p>
        </w:tc>
        <w:tc>
          <w:tcPr>
            <w:tcW w:w="880" w:type="dxa"/>
            <w:vAlign w:val="bottom"/>
            <w:tcBorders>
              <w:bottom w:val="single" w:sz="8" w:color="auto"/>
            </w:tcBorders>
          </w:tcPr>
          <w:p>
            <w:pPr>
              <w:spacing w:after="0"/>
              <w:rPr>
                <w:sz w:val="14"/>
                <w:szCs w:val="14"/>
                <w:color w:val="auto"/>
              </w:rPr>
            </w:pPr>
          </w:p>
        </w:tc>
        <w:tc>
          <w:tcPr>
            <w:tcW w:w="680" w:type="dxa"/>
            <w:vAlign w:val="bottom"/>
            <w:tcBorders>
              <w:bottom w:val="single" w:sz="8" w:color="auto"/>
            </w:tcBorders>
          </w:tcPr>
          <w:p>
            <w:pPr>
              <w:jc w:val="right"/>
              <w:ind w:right="136"/>
              <w:spacing w:after="0"/>
              <w:rPr>
                <w:sz w:val="20"/>
                <w:szCs w:val="20"/>
                <w:color w:val="auto"/>
              </w:rPr>
            </w:pPr>
            <w:r>
              <w:rPr>
                <w:rFonts w:ascii="Arial" w:cs="Arial" w:eastAsia="Arial" w:hAnsi="Arial"/>
                <w:sz w:val="14"/>
                <w:szCs w:val="14"/>
                <w:b w:val="1"/>
                <w:bCs w:val="1"/>
                <w:color w:val="auto"/>
              </w:rPr>
              <w:t>2006</w:t>
            </w:r>
          </w:p>
        </w:tc>
        <w:tc>
          <w:tcPr>
            <w:tcW w:w="84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2005</w:t>
            </w:r>
          </w:p>
        </w:tc>
      </w:tr>
      <w:tr>
        <w:trPr>
          <w:trHeight w:val="177"/>
        </w:trPr>
        <w:tc>
          <w:tcPr>
            <w:tcW w:w="3080" w:type="dxa"/>
            <w:vAlign w:val="bottom"/>
          </w:tcPr>
          <w:p>
            <w:pPr>
              <w:ind w:left="20"/>
              <w:spacing w:after="0" w:line="177" w:lineRule="exact"/>
              <w:rPr>
                <w:sz w:val="20"/>
                <w:szCs w:val="20"/>
                <w:color w:val="auto"/>
              </w:rPr>
            </w:pPr>
            <w:r>
              <w:rPr>
                <w:rFonts w:ascii="Arial" w:cs="Arial" w:eastAsia="Arial" w:hAnsi="Arial"/>
                <w:sz w:val="18"/>
                <w:szCs w:val="18"/>
                <w:color w:val="auto"/>
              </w:rPr>
              <w:t>Cost</w:t>
            </w:r>
          </w:p>
        </w:tc>
        <w:tc>
          <w:tcPr>
            <w:tcW w:w="880" w:type="dxa"/>
            <w:vAlign w:val="bottom"/>
          </w:tcPr>
          <w:p>
            <w:pPr>
              <w:jc w:val="right"/>
              <w:spacing w:after="0" w:line="177" w:lineRule="exact"/>
              <w:rPr>
                <w:sz w:val="20"/>
                <w:szCs w:val="20"/>
                <w:color w:val="auto"/>
              </w:rPr>
            </w:pPr>
            <w:r>
              <w:rPr>
                <w:rFonts w:ascii="Arial" w:cs="Arial" w:eastAsia="Arial" w:hAnsi="Arial"/>
                <w:sz w:val="18"/>
                <w:szCs w:val="18"/>
                <w:b w:val="1"/>
                <w:bCs w:val="1"/>
                <w:color w:val="auto"/>
              </w:rPr>
              <w:t>$</w:t>
            </w:r>
          </w:p>
        </w:tc>
        <w:tc>
          <w:tcPr>
            <w:tcW w:w="680" w:type="dxa"/>
            <w:vAlign w:val="bottom"/>
          </w:tcPr>
          <w:p>
            <w:pPr>
              <w:jc w:val="right"/>
              <w:ind w:right="136"/>
              <w:spacing w:after="0" w:line="177" w:lineRule="exact"/>
              <w:rPr>
                <w:sz w:val="20"/>
                <w:szCs w:val="20"/>
                <w:color w:val="auto"/>
              </w:rPr>
            </w:pPr>
            <w:r>
              <w:rPr>
                <w:rFonts w:ascii="Arial" w:cs="Arial" w:eastAsia="Arial" w:hAnsi="Arial"/>
                <w:sz w:val="18"/>
                <w:szCs w:val="18"/>
                <w:b w:val="1"/>
                <w:bCs w:val="1"/>
                <w:color w:val="auto"/>
              </w:rPr>
              <w:t>936</w:t>
            </w:r>
          </w:p>
        </w:tc>
        <w:tc>
          <w:tcPr>
            <w:tcW w:w="840" w:type="dxa"/>
            <w:vAlign w:val="bottom"/>
          </w:tcPr>
          <w:p>
            <w:pPr>
              <w:jc w:val="right"/>
              <w:spacing w:after="0" w:line="177" w:lineRule="exact"/>
              <w:rPr>
                <w:sz w:val="20"/>
                <w:szCs w:val="20"/>
                <w:color w:val="auto"/>
              </w:rPr>
            </w:pPr>
            <w:r>
              <w:rPr>
                <w:rFonts w:ascii="Arial" w:cs="Arial" w:eastAsia="Arial" w:hAnsi="Arial"/>
                <w:sz w:val="18"/>
                <w:szCs w:val="18"/>
                <w:color w:val="auto"/>
              </w:rPr>
              <w:t>$1,104</w:t>
            </w:r>
          </w:p>
        </w:tc>
      </w:tr>
      <w:tr>
        <w:trPr>
          <w:trHeight w:val="203"/>
        </w:trPr>
        <w:tc>
          <w:tcPr>
            <w:tcW w:w="3080" w:type="dxa"/>
            <w:vAlign w:val="bottom"/>
          </w:tcPr>
          <w:p>
            <w:pPr>
              <w:ind w:left="20"/>
              <w:spacing w:after="0" w:line="202" w:lineRule="exact"/>
              <w:rPr>
                <w:sz w:val="20"/>
                <w:szCs w:val="20"/>
                <w:color w:val="auto"/>
              </w:rPr>
            </w:pPr>
            <w:r>
              <w:rPr>
                <w:rFonts w:ascii="Arial" w:cs="Arial" w:eastAsia="Arial" w:hAnsi="Arial"/>
                <w:sz w:val="18"/>
                <w:szCs w:val="18"/>
                <w:color w:val="auto"/>
              </w:rPr>
              <w:t>Unrealized gains</w:t>
            </w:r>
          </w:p>
        </w:tc>
        <w:tc>
          <w:tcPr>
            <w:tcW w:w="880" w:type="dxa"/>
            <w:vAlign w:val="bottom"/>
          </w:tcPr>
          <w:p>
            <w:pPr>
              <w:spacing w:after="0"/>
              <w:rPr>
                <w:sz w:val="17"/>
                <w:szCs w:val="17"/>
                <w:color w:val="auto"/>
              </w:rPr>
            </w:pPr>
          </w:p>
        </w:tc>
        <w:tc>
          <w:tcPr>
            <w:tcW w:w="680" w:type="dxa"/>
            <w:vAlign w:val="bottom"/>
          </w:tcPr>
          <w:p>
            <w:pPr>
              <w:jc w:val="right"/>
              <w:ind w:right="136"/>
              <w:spacing w:after="0" w:line="202" w:lineRule="exact"/>
              <w:rPr>
                <w:sz w:val="20"/>
                <w:szCs w:val="20"/>
                <w:color w:val="auto"/>
              </w:rPr>
            </w:pPr>
            <w:r>
              <w:rPr>
                <w:rFonts w:ascii="Arial" w:cs="Arial" w:eastAsia="Arial" w:hAnsi="Arial"/>
                <w:sz w:val="18"/>
                <w:szCs w:val="18"/>
                <w:b w:val="1"/>
                <w:bCs w:val="1"/>
                <w:color w:val="auto"/>
              </w:rPr>
              <w:t>254</w:t>
            </w:r>
          </w:p>
        </w:tc>
        <w:tc>
          <w:tcPr>
            <w:tcW w:w="840" w:type="dxa"/>
            <w:vAlign w:val="bottom"/>
          </w:tcPr>
          <w:p>
            <w:pPr>
              <w:jc w:val="right"/>
              <w:spacing w:after="0" w:line="202" w:lineRule="exact"/>
              <w:rPr>
                <w:sz w:val="20"/>
                <w:szCs w:val="20"/>
                <w:color w:val="auto"/>
              </w:rPr>
            </w:pPr>
            <w:r>
              <w:rPr>
                <w:rFonts w:ascii="Arial" w:cs="Arial" w:eastAsia="Arial" w:hAnsi="Arial"/>
                <w:sz w:val="18"/>
                <w:szCs w:val="18"/>
                <w:color w:val="auto"/>
              </w:rPr>
              <w:t>62</w:t>
            </w:r>
          </w:p>
        </w:tc>
      </w:tr>
      <w:tr>
        <w:trPr>
          <w:trHeight w:val="221"/>
        </w:trPr>
        <w:tc>
          <w:tcPr>
            <w:tcW w:w="3080" w:type="dxa"/>
            <w:vAlign w:val="bottom"/>
            <w:tcBorders>
              <w:bottom w:val="single" w:sz="8" w:color="auto"/>
            </w:tcBorders>
          </w:tcPr>
          <w:p>
            <w:pPr>
              <w:ind w:left="20"/>
              <w:spacing w:after="0"/>
              <w:rPr>
                <w:sz w:val="20"/>
                <w:szCs w:val="20"/>
                <w:color w:val="auto"/>
              </w:rPr>
            </w:pPr>
            <w:r>
              <w:rPr>
                <w:rFonts w:ascii="Arial" w:cs="Arial" w:eastAsia="Arial" w:hAnsi="Arial"/>
                <w:sz w:val="18"/>
                <w:szCs w:val="18"/>
                <w:color w:val="auto"/>
              </w:rPr>
              <w:t>Unrealized losses</w:t>
            </w:r>
          </w:p>
        </w:tc>
        <w:tc>
          <w:tcPr>
            <w:tcW w:w="880" w:type="dxa"/>
            <w:vAlign w:val="bottom"/>
            <w:tcBorders>
              <w:bottom w:val="single" w:sz="8" w:color="auto"/>
            </w:tcBorders>
          </w:tcPr>
          <w:p>
            <w:pPr>
              <w:spacing w:after="0"/>
              <w:rPr>
                <w:sz w:val="19"/>
                <w:szCs w:val="19"/>
                <w:color w:val="auto"/>
              </w:rPr>
            </w:pPr>
          </w:p>
        </w:tc>
        <w:tc>
          <w:tcPr>
            <w:tcW w:w="680" w:type="dxa"/>
            <w:vAlign w:val="bottom"/>
            <w:tcBorders>
              <w:bottom w:val="single" w:sz="8" w:color="auto"/>
            </w:tcBorders>
          </w:tcPr>
          <w:p>
            <w:pPr>
              <w:jc w:val="right"/>
              <w:ind w:right="136"/>
              <w:spacing w:after="0"/>
              <w:rPr>
                <w:sz w:val="20"/>
                <w:szCs w:val="20"/>
                <w:color w:val="auto"/>
              </w:rPr>
            </w:pPr>
            <w:r>
              <w:rPr>
                <w:rFonts w:ascii="Arial" w:cs="Arial" w:eastAsia="Arial" w:hAnsi="Arial"/>
                <w:sz w:val="18"/>
                <w:szCs w:val="18"/>
                <w:b w:val="1"/>
                <w:bCs w:val="1"/>
                <w:color w:val="auto"/>
              </w:rPr>
              <w:t>—</w:t>
            </w:r>
          </w:p>
        </w:tc>
        <w:tc>
          <w:tcPr>
            <w:tcW w:w="8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w:t>
            </w:r>
          </w:p>
        </w:tc>
      </w:tr>
      <w:tr>
        <w:trPr>
          <w:trHeight w:val="196"/>
        </w:trPr>
        <w:tc>
          <w:tcPr>
            <w:tcW w:w="3080" w:type="dxa"/>
            <w:vAlign w:val="bottom"/>
            <w:tcBorders>
              <w:bottom w:val="single" w:sz="8" w:color="35BF85"/>
            </w:tcBorders>
          </w:tcPr>
          <w:p>
            <w:pPr>
              <w:ind w:left="20"/>
              <w:spacing w:after="0" w:line="196" w:lineRule="exact"/>
              <w:rPr>
                <w:sz w:val="20"/>
                <w:szCs w:val="20"/>
                <w:color w:val="auto"/>
              </w:rPr>
            </w:pPr>
            <w:r>
              <w:rPr>
                <w:rFonts w:ascii="Arial" w:cs="Arial" w:eastAsia="Arial" w:hAnsi="Arial"/>
                <w:sz w:val="18"/>
                <w:szCs w:val="18"/>
                <w:color w:val="auto"/>
              </w:rPr>
              <w:t>Fair value</w:t>
            </w:r>
          </w:p>
        </w:tc>
        <w:tc>
          <w:tcPr>
            <w:tcW w:w="880" w:type="dxa"/>
            <w:vAlign w:val="bottom"/>
            <w:tcBorders>
              <w:bottom w:val="single" w:sz="8" w:color="35BF85"/>
            </w:tcBorders>
          </w:tcPr>
          <w:p>
            <w:pPr>
              <w:jc w:val="right"/>
              <w:spacing w:after="0" w:line="196" w:lineRule="exact"/>
              <w:rPr>
                <w:sz w:val="20"/>
                <w:szCs w:val="20"/>
                <w:color w:val="auto"/>
              </w:rPr>
            </w:pPr>
            <w:r>
              <w:rPr>
                <w:rFonts w:ascii="Arial" w:cs="Arial" w:eastAsia="Arial" w:hAnsi="Arial"/>
                <w:sz w:val="18"/>
                <w:szCs w:val="18"/>
                <w:b w:val="1"/>
                <w:bCs w:val="1"/>
                <w:color w:val="auto"/>
              </w:rPr>
              <w:t>$</w:t>
            </w:r>
          </w:p>
        </w:tc>
        <w:tc>
          <w:tcPr>
            <w:tcW w:w="680" w:type="dxa"/>
            <w:vAlign w:val="bottom"/>
            <w:tcBorders>
              <w:bottom w:val="single" w:sz="8" w:color="35BF85"/>
            </w:tcBorders>
          </w:tcPr>
          <w:p>
            <w:pPr>
              <w:jc w:val="right"/>
              <w:ind w:right="136"/>
              <w:spacing w:after="0" w:line="196" w:lineRule="exact"/>
              <w:rPr>
                <w:sz w:val="20"/>
                <w:szCs w:val="20"/>
                <w:color w:val="auto"/>
              </w:rPr>
            </w:pPr>
            <w:r>
              <w:rPr>
                <w:rFonts w:ascii="Arial" w:cs="Arial" w:eastAsia="Arial" w:hAnsi="Arial"/>
                <w:sz w:val="18"/>
                <w:szCs w:val="18"/>
                <w:b w:val="1"/>
                <w:bCs w:val="1"/>
                <w:color w:val="auto"/>
                <w:w w:val="97"/>
              </w:rPr>
              <w:t>1,190</w:t>
            </w:r>
          </w:p>
        </w:tc>
        <w:tc>
          <w:tcPr>
            <w:tcW w:w="840" w:type="dxa"/>
            <w:vAlign w:val="bottom"/>
            <w:tcBorders>
              <w:bottom w:val="single" w:sz="8" w:color="35BF85"/>
            </w:tcBorders>
          </w:tcPr>
          <w:p>
            <w:pPr>
              <w:jc w:val="right"/>
              <w:spacing w:after="0" w:line="196" w:lineRule="exact"/>
              <w:rPr>
                <w:sz w:val="20"/>
                <w:szCs w:val="20"/>
                <w:color w:val="auto"/>
              </w:rPr>
            </w:pPr>
            <w:r>
              <w:rPr>
                <w:rFonts w:ascii="Arial" w:cs="Arial" w:eastAsia="Arial" w:hAnsi="Arial"/>
                <w:sz w:val="18"/>
                <w:szCs w:val="18"/>
                <w:color w:val="auto"/>
              </w:rPr>
              <w:t>$1,160</w:t>
            </w:r>
          </w:p>
        </w:tc>
      </w:tr>
    </w:tbl>
    <w:p>
      <w:pPr>
        <w:spacing w:after="0" w:line="165" w:lineRule="exact"/>
        <w:rPr>
          <w:sz w:val="20"/>
          <w:szCs w:val="20"/>
          <w:color w:val="auto"/>
        </w:rPr>
      </w:pPr>
    </w:p>
    <w:p>
      <w:pPr>
        <w:jc w:val="both"/>
        <w:spacing w:after="0" w:line="236" w:lineRule="auto"/>
        <w:rPr>
          <w:sz w:val="20"/>
          <w:szCs w:val="20"/>
          <w:color w:val="auto"/>
        </w:rPr>
      </w:pPr>
      <w:r>
        <w:rPr>
          <w:rFonts w:ascii="Arial" w:cs="Arial" w:eastAsia="Arial" w:hAnsi="Arial"/>
          <w:sz w:val="18"/>
          <w:szCs w:val="18"/>
          <w:color w:val="auto"/>
        </w:rPr>
        <w:t>Proceeds from the sales of AFS securities for the years ended December 31, 2006, 2005 and 2004 were $209 million, $490 million and $67 million, respectively. Gross realized gains on these sales for the years ended December 31, 2006, 2005 and 2004 were $59 million, $18 million and $10 million, respectively. Sales of AFS securities for the years ended December 31, 2006 and 2005 consisted principally of sales of Time Warner common stock.</w:t>
      </w:r>
    </w:p>
    <w:p>
      <w:pPr>
        <w:spacing w:after="0" w:line="155" w:lineRule="exact"/>
        <w:rPr>
          <w:sz w:val="20"/>
          <w:szCs w:val="20"/>
          <w:color w:val="auto"/>
        </w:rPr>
      </w:pPr>
    </w:p>
    <w:p>
      <w:pPr>
        <w:jc w:val="both"/>
        <w:spacing w:after="0" w:line="237" w:lineRule="auto"/>
        <w:rPr>
          <w:sz w:val="20"/>
          <w:szCs w:val="20"/>
          <w:color w:val="auto"/>
        </w:rPr>
      </w:pPr>
      <w:r>
        <w:rPr>
          <w:rFonts w:ascii="Arial" w:cs="Arial" w:eastAsia="Arial" w:hAnsi="Arial"/>
          <w:sz w:val="18"/>
          <w:szCs w:val="18"/>
          <w:color w:val="auto"/>
        </w:rPr>
        <w:t>As of December 31, 2006 and 2005, approximately $1.879 billion and $1.496 billion, respectively, of our fair value method securities support our obligations under our exchangeable notes or prepaid forward contracts.</w:t>
      </w:r>
    </w:p>
    <w:p>
      <w:pPr>
        <w:spacing w:after="0" w:line="133" w:lineRule="exact"/>
        <w:rPr>
          <w:sz w:val="20"/>
          <w:szCs w:val="20"/>
          <w:color w:val="auto"/>
        </w:rPr>
      </w:pPr>
    </w:p>
    <w:p>
      <w:pPr>
        <w:spacing w:after="0"/>
        <w:rPr>
          <w:sz w:val="20"/>
          <w:szCs w:val="20"/>
          <w:color w:val="auto"/>
        </w:rPr>
      </w:pPr>
      <w:r>
        <w:rPr>
          <w:rFonts w:ascii="Arial" w:cs="Arial" w:eastAsia="Arial" w:hAnsi="Arial"/>
          <w:sz w:val="18"/>
          <w:szCs w:val="18"/>
          <w:b w:val="1"/>
          <w:bCs w:val="1"/>
          <w:color w:val="35BF85"/>
        </w:rPr>
        <w:t>Cablevision Systems Corporation</w:t>
      </w:r>
    </w:p>
    <w:p>
      <w:pPr>
        <w:spacing w:after="0" w:line="18" w:lineRule="exact"/>
        <w:rPr>
          <w:sz w:val="20"/>
          <w:szCs w:val="20"/>
          <w:color w:val="auto"/>
        </w:rPr>
      </w:pPr>
    </w:p>
    <w:p>
      <w:pPr>
        <w:jc w:val="both"/>
        <w:spacing w:after="0" w:line="268" w:lineRule="auto"/>
        <w:rPr>
          <w:sz w:val="20"/>
          <w:szCs w:val="20"/>
          <w:color w:val="auto"/>
        </w:rPr>
      </w:pPr>
      <w:r>
        <w:rPr>
          <w:rFonts w:ascii="Arial" w:cs="Arial" w:eastAsia="Arial" w:hAnsi="Arial"/>
          <w:sz w:val="16"/>
          <w:szCs w:val="16"/>
          <w:color w:val="auto"/>
        </w:rPr>
        <w:t>In June 2005, we, through a majority-owned partnership, entered into a prepaid forward sale that terminates in 2013 of approximately 5.1 million shares of Cablevision Systems Corporation (“Cablevision”) Class A common stock for cash proceeds of $114 million. We have designated the derivative component of the prepaid forward as a fair value hedge of the related Cablevision shares. Accordingly, the mark to market adjustment on 2.9 million of the Cablevision shares held by us and classified as AFS securities will be recorded to investment income (loss), net over the term of the prepaid forward.</w:t>
      </w:r>
    </w:p>
    <w:p>
      <w:pPr>
        <w:spacing w:after="0" w:line="114" w:lineRule="exact"/>
        <w:rPr>
          <w:sz w:val="20"/>
          <w:szCs w:val="20"/>
          <w:color w:val="auto"/>
        </w:rPr>
      </w:pPr>
    </w:p>
    <w:p>
      <w:pPr>
        <w:spacing w:after="0"/>
        <w:rPr>
          <w:sz w:val="20"/>
          <w:szCs w:val="20"/>
          <w:color w:val="auto"/>
        </w:rPr>
      </w:pPr>
      <w:r>
        <w:rPr>
          <w:rFonts w:ascii="Arial" w:cs="Arial" w:eastAsia="Arial" w:hAnsi="Arial"/>
          <w:sz w:val="18"/>
          <w:szCs w:val="18"/>
          <w:b w:val="1"/>
          <w:bCs w:val="1"/>
          <w:color w:val="35BF85"/>
        </w:rPr>
        <w:t>Discovery Holding Company</w:t>
      </w:r>
    </w:p>
    <w:p>
      <w:pPr>
        <w:spacing w:after="0" w:line="18" w:lineRule="exact"/>
        <w:rPr>
          <w:sz w:val="20"/>
          <w:szCs w:val="20"/>
          <w:color w:val="auto"/>
        </w:rPr>
      </w:pPr>
    </w:p>
    <w:p>
      <w:pPr>
        <w:jc w:val="both"/>
        <w:spacing w:after="0" w:line="236" w:lineRule="auto"/>
        <w:rPr>
          <w:sz w:val="20"/>
          <w:szCs w:val="20"/>
          <w:color w:val="auto"/>
        </w:rPr>
      </w:pPr>
      <w:r>
        <w:rPr>
          <w:rFonts w:ascii="Arial" w:cs="Arial" w:eastAsia="Arial" w:hAnsi="Arial"/>
          <w:sz w:val="18"/>
          <w:szCs w:val="18"/>
          <w:color w:val="auto"/>
        </w:rPr>
        <w:t>In July 2005, we received 10 million shares of Discovery Holding Company (“Discovery”) Series A common stock in connection with the spin-off by Liberty Media of Discovery. All of these shares collateralize a portion of our Liberty Media prepaid forward sales obligation that terminates in 2014.</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41" w:lineRule="exact"/>
        <w:rPr>
          <w:sz w:val="20"/>
          <w:szCs w:val="20"/>
          <w:color w:val="auto"/>
        </w:rPr>
      </w:pPr>
    </w:p>
    <w:p>
      <w:pPr>
        <w:spacing w:after="0"/>
        <w:rPr>
          <w:sz w:val="20"/>
          <w:szCs w:val="20"/>
          <w:color w:val="auto"/>
        </w:rPr>
      </w:pPr>
      <w:r>
        <w:rPr>
          <w:rFonts w:ascii="Arial" w:cs="Arial" w:eastAsia="Arial" w:hAnsi="Arial"/>
          <w:sz w:val="18"/>
          <w:szCs w:val="18"/>
          <w:b w:val="1"/>
          <w:bCs w:val="1"/>
          <w:color w:val="35BF85"/>
        </w:rPr>
        <w:t>Embarq Corporation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-3691890</wp:posOffset>
            </wp:positionH>
            <wp:positionV relativeFrom="paragraph">
              <wp:posOffset>-753745</wp:posOffset>
            </wp:positionV>
            <wp:extent cx="7267575" cy="27940"/>
            <wp:wrapNone/>
            <wp:docPr id="192" name="Picture 1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2"/>
                    <pic:cNvPicPr>
                      <a:picLocks noChangeAspect="1" noChangeArrowheads="1"/>
                    </pic:cNvPicPr>
                  </pic:nvPicPr>
                  <pic:blipFill>
                    <a:blip r:embed="rId199">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p>
    <w:p>
      <w:pPr>
        <w:jc w:val="both"/>
        <w:spacing w:after="0" w:line="236" w:lineRule="auto"/>
        <w:rPr>
          <w:sz w:val="20"/>
          <w:szCs w:val="20"/>
          <w:color w:val="auto"/>
        </w:rPr>
      </w:pPr>
      <w:r>
        <w:rPr>
          <w:rFonts w:ascii="Arial" w:cs="Arial" w:eastAsia="Arial" w:hAnsi="Arial"/>
          <w:sz w:val="18"/>
          <w:szCs w:val="18"/>
          <w:color w:val="auto"/>
        </w:rPr>
        <w:t>In May 2006, we received approximately 1.3 million shares of Embarq Corporation (“Embarq”) common stock in connection with the spin-off by Sprint Nextel of Embarq, its local communications business. In the spin-off, each share of Sprint Nextel Corporation common stock received 0.05 shares of the new Embarq common stock. Of these shares, 100,000 shares collateralize our Sprint Nextel prepaid forward sales obligation that terminates in 2011.</w:t>
      </w:r>
    </w:p>
    <w:p>
      <w:pPr>
        <w:spacing w:after="0" w:line="133" w:lineRule="exact"/>
        <w:rPr>
          <w:sz w:val="20"/>
          <w:szCs w:val="20"/>
          <w:color w:val="auto"/>
        </w:rPr>
      </w:pPr>
    </w:p>
    <w:p>
      <w:pPr>
        <w:spacing w:after="0"/>
        <w:rPr>
          <w:sz w:val="20"/>
          <w:szCs w:val="20"/>
          <w:color w:val="auto"/>
        </w:rPr>
      </w:pPr>
      <w:r>
        <w:rPr>
          <w:rFonts w:ascii="Arial" w:cs="Arial" w:eastAsia="Arial" w:hAnsi="Arial"/>
          <w:sz w:val="18"/>
          <w:szCs w:val="18"/>
          <w:b w:val="1"/>
          <w:bCs w:val="1"/>
          <w:color w:val="35BF85"/>
        </w:rPr>
        <w:t>Liberty Capital and Liberty Interactive</w:t>
      </w:r>
    </w:p>
    <w:p>
      <w:pPr>
        <w:spacing w:after="0" w:line="18" w:lineRule="exact"/>
        <w:rPr>
          <w:sz w:val="20"/>
          <w:szCs w:val="20"/>
          <w:color w:val="auto"/>
        </w:rPr>
      </w:pPr>
    </w:p>
    <w:p>
      <w:pPr>
        <w:jc w:val="both"/>
        <w:spacing w:after="0" w:line="235" w:lineRule="auto"/>
        <w:rPr>
          <w:sz w:val="20"/>
          <w:szCs w:val="20"/>
          <w:color w:val="auto"/>
        </w:rPr>
      </w:pPr>
      <w:r>
        <w:rPr>
          <w:rFonts w:ascii="Arial" w:cs="Arial" w:eastAsia="Arial" w:hAnsi="Arial"/>
          <w:sz w:val="18"/>
          <w:szCs w:val="18"/>
          <w:color w:val="auto"/>
        </w:rPr>
        <w:t>In May 2006, we received 25 million shares of Liberty Media Interactive (“Liberty Interactive”) Series A common stock and 5 million shares of Liberty Media Capital (“Liberty Capital”) Series A common stock in connection with Liberty Media’s restructuring. In the restructuring, each share of Liberty Media Series A common stock received 0.25 shares of the new Liberty Interactive Series A common stock and 0.05 shares of Liberty Capital Series A common stock in exchange for each share of Liberty Media Series A common stock. All of these shares collateralize a portion of our Liberty Media prepaid forward sales obligation that terminates in 2014.</w:t>
      </w:r>
    </w:p>
    <w:p>
      <w:pPr>
        <w:spacing w:after="0" w:line="139" w:lineRule="exact"/>
        <w:rPr>
          <w:sz w:val="20"/>
          <w:szCs w:val="20"/>
          <w:color w:val="auto"/>
        </w:rPr>
      </w:pPr>
    </w:p>
    <w:p>
      <w:pPr>
        <w:spacing w:after="0"/>
        <w:rPr>
          <w:sz w:val="20"/>
          <w:szCs w:val="20"/>
          <w:color w:val="auto"/>
        </w:rPr>
      </w:pPr>
      <w:r>
        <w:rPr>
          <w:rFonts w:ascii="Arial" w:cs="Arial" w:eastAsia="Arial" w:hAnsi="Arial"/>
          <w:sz w:val="18"/>
          <w:szCs w:val="18"/>
          <w:b w:val="1"/>
          <w:bCs w:val="1"/>
          <w:color w:val="35BF85"/>
        </w:rPr>
        <w:t>Liberty Global</w:t>
      </w:r>
    </w:p>
    <w:p>
      <w:pPr>
        <w:spacing w:after="0" w:line="18" w:lineRule="exact"/>
        <w:rPr>
          <w:sz w:val="20"/>
          <w:szCs w:val="20"/>
          <w:color w:val="auto"/>
        </w:rPr>
      </w:pPr>
    </w:p>
    <w:p>
      <w:pPr>
        <w:jc w:val="both"/>
        <w:spacing w:after="0" w:line="236" w:lineRule="auto"/>
        <w:rPr>
          <w:sz w:val="20"/>
          <w:szCs w:val="20"/>
          <w:color w:val="auto"/>
        </w:rPr>
      </w:pPr>
      <w:r>
        <w:rPr>
          <w:rFonts w:ascii="Arial" w:cs="Arial" w:eastAsia="Arial" w:hAnsi="Arial"/>
          <w:sz w:val="18"/>
          <w:szCs w:val="18"/>
          <w:color w:val="auto"/>
        </w:rPr>
        <w:t>In June 2004, we received approximately 11 million shares of Liberty Global, Inc. (“Liberty Global”) Series A common stock in connection with its spin-off by Liberty Media. In the spin-off, each share of Liberty Media Series A common stock received 0.05 shares of the new Liberty Global Series A common stock. Approximately 5 million of these shares collateralize a portion of our Liberty Media prepaid forward sales obligation that terminates in 2014.</w:t>
      </w:r>
    </w:p>
    <w:p>
      <w:pPr>
        <w:spacing w:after="0" w:line="155" w:lineRule="exact"/>
        <w:rPr>
          <w:sz w:val="20"/>
          <w:szCs w:val="20"/>
          <w:color w:val="auto"/>
        </w:rPr>
      </w:pPr>
    </w:p>
    <w:p>
      <w:pPr>
        <w:jc w:val="both"/>
        <w:spacing w:after="0" w:line="238" w:lineRule="auto"/>
        <w:rPr>
          <w:sz w:val="20"/>
          <w:szCs w:val="20"/>
          <w:color w:val="auto"/>
        </w:rPr>
      </w:pPr>
      <w:r>
        <w:rPr>
          <w:rFonts w:ascii="Arial" w:cs="Arial" w:eastAsia="Arial" w:hAnsi="Arial"/>
          <w:sz w:val="18"/>
          <w:szCs w:val="18"/>
          <w:color w:val="auto"/>
        </w:rPr>
        <w:t>In December 2004, we sold 3 million shares of Liberty Global Series A common stock to Liberty Media in a private transaction for cash proceeds of $128 million.</w:t>
      </w:r>
    </w:p>
    <w:p>
      <w:pPr>
        <w:spacing w:after="0" w:line="154" w:lineRule="exact"/>
        <w:rPr>
          <w:sz w:val="20"/>
          <w:szCs w:val="20"/>
          <w:color w:val="auto"/>
        </w:rPr>
      </w:pPr>
    </w:p>
    <w:p>
      <w:pPr>
        <w:jc w:val="both"/>
        <w:ind w:right="20"/>
        <w:spacing w:after="0" w:line="238" w:lineRule="auto"/>
        <w:rPr>
          <w:sz w:val="20"/>
          <w:szCs w:val="20"/>
          <w:color w:val="auto"/>
        </w:rPr>
      </w:pPr>
      <w:r>
        <w:rPr>
          <w:rFonts w:ascii="Arial" w:cs="Arial" w:eastAsia="Arial" w:hAnsi="Arial"/>
          <w:sz w:val="18"/>
          <w:szCs w:val="18"/>
          <w:color w:val="auto"/>
        </w:rPr>
        <w:t>In February 2005, we entered into a prepaid forward sale that terminates in 2015 of approximately 2.7 million shares of Liberty Global Series A common stock for cash proceeds of $99 million.</w:t>
      </w:r>
    </w:p>
    <w:p>
      <w:pPr>
        <w:spacing w:after="0" w:line="154" w:lineRule="exact"/>
        <w:rPr>
          <w:sz w:val="20"/>
          <w:szCs w:val="20"/>
          <w:color w:val="auto"/>
        </w:rPr>
      </w:pPr>
    </w:p>
    <w:p>
      <w:pPr>
        <w:jc w:val="both"/>
        <w:spacing w:after="0" w:line="236" w:lineRule="auto"/>
        <w:rPr>
          <w:sz w:val="20"/>
          <w:szCs w:val="20"/>
          <w:color w:val="auto"/>
        </w:rPr>
      </w:pPr>
      <w:r>
        <w:rPr>
          <w:rFonts w:ascii="Arial" w:cs="Arial" w:eastAsia="Arial" w:hAnsi="Arial"/>
          <w:sz w:val="18"/>
          <w:szCs w:val="18"/>
          <w:color w:val="auto"/>
        </w:rPr>
        <w:t>In September 2005, we received approximately 7.7 million shares of Liberty Global Series C common stock in connection with Liberty Global’s special stock dividend. All of these shares collateralize a portion of our Liberty Media prepaid forward sales obligation that terminates in 2014 and a portion of our Liberty Global prepaid forward sales obligation that terminates in 2015.</w:t>
      </w:r>
    </w:p>
    <w:p>
      <w:pPr>
        <w:spacing w:after="0" w:line="134" w:lineRule="exact"/>
        <w:rPr>
          <w:sz w:val="20"/>
          <w:szCs w:val="20"/>
          <w:color w:val="auto"/>
        </w:rPr>
      </w:pPr>
    </w:p>
    <w:p>
      <w:pPr>
        <w:spacing w:after="0"/>
        <w:rPr>
          <w:sz w:val="20"/>
          <w:szCs w:val="20"/>
          <w:color w:val="auto"/>
        </w:rPr>
      </w:pPr>
      <w:r>
        <w:rPr>
          <w:rFonts w:ascii="Arial" w:cs="Arial" w:eastAsia="Arial" w:hAnsi="Arial"/>
          <w:sz w:val="18"/>
          <w:szCs w:val="18"/>
          <w:b w:val="1"/>
          <w:bCs w:val="1"/>
          <w:color w:val="35BF85"/>
        </w:rPr>
        <w:t>Sprint Nextel</w:t>
      </w:r>
    </w:p>
    <w:p>
      <w:pPr>
        <w:spacing w:after="0" w:line="18" w:lineRule="exact"/>
        <w:rPr>
          <w:sz w:val="20"/>
          <w:szCs w:val="20"/>
          <w:color w:val="auto"/>
        </w:rPr>
      </w:pPr>
    </w:p>
    <w:p>
      <w:pPr>
        <w:jc w:val="both"/>
        <w:spacing w:after="0" w:line="236" w:lineRule="auto"/>
        <w:rPr>
          <w:sz w:val="20"/>
          <w:szCs w:val="20"/>
          <w:color w:val="auto"/>
        </w:rPr>
      </w:pPr>
      <w:r>
        <w:rPr>
          <w:rFonts w:ascii="Arial" w:cs="Arial" w:eastAsia="Arial" w:hAnsi="Arial"/>
          <w:sz w:val="18"/>
          <w:szCs w:val="18"/>
          <w:color w:val="auto"/>
        </w:rPr>
        <w:t>In March 2006, we received cash proceeds of $62 million in connection with Sprint Nextel’s redemption of all of its outstanding Seventh Series B Convertible Preferred Stock (“Sprint Preferred Stock”), including all 61,726 shares of Sprint Preferred Stock held by us. In connection with the redemption transaction, we recognized investment income of $8 million.</w:t>
      </w:r>
    </w:p>
    <w:p>
      <w:pPr>
        <w:spacing w:after="0" w:line="177" w:lineRule="exact"/>
        <w:rPr>
          <w:sz w:val="20"/>
          <w:szCs w:val="20"/>
          <w:color w:val="auto"/>
        </w:rPr>
      </w:pPr>
    </w:p>
    <w:p>
      <w:pPr>
        <w:sectPr>
          <w:pgSz w:w="11900" w:h="16838" w:orient="portrait"/>
          <w:cols w:equalWidth="0" w:num="2">
            <w:col w:w="5480" w:space="340"/>
            <w:col w:w="5480"/>
          </w:cols>
          <w:pgMar w:left="240" w:top="459" w:right="359" w:bottom="1440" w:gutter="0" w:footer="0" w:header="0"/>
        </w:sectPr>
      </w:pPr>
    </w:p>
    <w:tbl>
      <w:tblPr>
        <w:tblLayout w:type="fixed"/>
        <w:tblInd w:w="0" w:type="dxa"/>
        <w:tblCellMar>
          <w:top w:w="0" w:type="dxa"/>
          <w:left w:w="0" w:type="dxa"/>
          <w:bottom w:w="0" w:type="dxa"/>
          <w:right w:w="0" w:type="dxa"/>
        </w:tblCellMar>
      </w:tblPr>
      <w:tr>
        <w:trPr>
          <w:trHeight w:val="178"/>
        </w:trPr>
        <w:tc>
          <w:tcPr>
            <w:tcW w:w="5160" w:type="dxa"/>
            <w:vAlign w:val="bottom"/>
          </w:tcPr>
          <w:p>
            <w:pPr>
              <w:spacing w:after="0"/>
              <w:rPr>
                <w:sz w:val="20"/>
                <w:szCs w:val="20"/>
                <w:color w:val="auto"/>
              </w:rPr>
            </w:pPr>
            <w:r>
              <w:rPr>
                <w:rFonts w:ascii="Arial" w:cs="Arial" w:eastAsia="Arial" w:hAnsi="Arial"/>
                <w:sz w:val="14"/>
                <w:szCs w:val="14"/>
                <w:b w:val="1"/>
                <w:bCs w:val="1"/>
                <w:color w:val="auto"/>
              </w:rPr>
              <w:t xml:space="preserve">Notes to Consolidated Financial Statements </w:t>
            </w:r>
            <w:r>
              <w:rPr>
                <w:rFonts w:ascii="Arial" w:cs="Arial" w:eastAsia="Arial" w:hAnsi="Arial"/>
                <w:sz w:val="14"/>
                <w:szCs w:val="14"/>
                <w:color w:val="auto"/>
              </w:rPr>
              <w:t>Comcast 2006 Annual Report</w:t>
            </w:r>
          </w:p>
        </w:tc>
        <w:tc>
          <w:tcPr>
            <w:tcW w:w="680" w:type="dxa"/>
            <w:vAlign w:val="bottom"/>
          </w:tcPr>
          <w:p>
            <w:pPr>
              <w:jc w:val="right"/>
              <w:spacing w:after="0"/>
              <w:rPr>
                <w:sz w:val="20"/>
                <w:szCs w:val="20"/>
                <w:color w:val="auto"/>
              </w:rPr>
            </w:pPr>
            <w:r>
              <w:rPr>
                <w:rFonts w:ascii="Arial" w:cs="Arial" w:eastAsia="Arial" w:hAnsi="Arial"/>
                <w:sz w:val="14"/>
                <w:szCs w:val="14"/>
                <w:b w:val="1"/>
                <w:bCs w:val="1"/>
                <w:color w:val="auto"/>
              </w:rPr>
              <w:t>52</w:t>
            </w:r>
          </w:p>
        </w:tc>
      </w:tr>
    </w:tbl>
    <w:p>
      <w:pPr>
        <w:sectPr>
          <w:pgSz w:w="11900" w:h="16838" w:orient="portrait"/>
          <w:cols w:equalWidth="0" w:num="1">
            <w:col w:w="11300"/>
          </w:cols>
          <w:pgMar w:left="240" w:top="459" w:right="359" w:bottom="1440" w:gutter="0" w:footer="0" w:header="0"/>
          <w:type w:val="continuous"/>
        </w:sectPr>
      </w:pPr>
    </w:p>
    <w:bookmarkStart w:id="129" w:name="page130"/>
    <w:bookmarkEnd w:id="129"/>
    <w:p>
      <w:pPr>
        <w:spacing w:after="0"/>
        <w:rPr>
          <w:rFonts w:ascii="Arial" w:cs="Arial" w:eastAsia="Arial" w:hAnsi="Arial"/>
          <w:sz w:val="18"/>
          <w:szCs w:val="18"/>
          <w:b w:val="1"/>
          <w:bCs w:val="1"/>
          <w:u w:val="single" w:color="auto"/>
          <w:color w:val="0000EE"/>
        </w:rPr>
      </w:pPr>
      <w:hyperlink w:anchor="page3">
        <w:r>
          <w:rPr>
            <w:rFonts w:ascii="Arial" w:cs="Arial" w:eastAsia="Arial" w:hAnsi="Arial"/>
            <w:sz w:val="18"/>
            <w:szCs w:val="18"/>
            <w:b w:val="1"/>
            <w:bCs w:val="1"/>
            <w:u w:val="single" w:color="auto"/>
            <w:color w:val="0000EE"/>
          </w:rPr>
          <w:t>Table of Contents</w:t>
        </w:r>
      </w:hyperlink>
    </w:p>
    <w:p>
      <w:pPr>
        <w:spacing w:after="0" w:line="200" w:lineRule="exact"/>
        <w:rPr>
          <w:sz w:val="20"/>
          <w:szCs w:val="20"/>
          <w:color w:val="auto"/>
        </w:rPr>
      </w:pPr>
    </w:p>
    <w:p>
      <w:pPr>
        <w:spacing w:after="0" w:line="25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Equity Method</w:t>
      </w:r>
    </w:p>
    <w:p>
      <w:pPr>
        <w:spacing w:after="0" w:line="18" w:lineRule="exact"/>
        <w:rPr>
          <w:sz w:val="20"/>
          <w:szCs w:val="20"/>
          <w:color w:val="auto"/>
        </w:rPr>
      </w:pPr>
    </w:p>
    <w:p>
      <w:pPr>
        <w:jc w:val="both"/>
        <w:spacing w:after="0" w:line="267" w:lineRule="auto"/>
        <w:rPr>
          <w:sz w:val="20"/>
          <w:szCs w:val="20"/>
          <w:color w:val="auto"/>
        </w:rPr>
      </w:pPr>
      <w:r>
        <w:rPr>
          <w:rFonts w:ascii="Arial" w:cs="Arial" w:eastAsia="Arial" w:hAnsi="Arial"/>
          <w:sz w:val="16"/>
          <w:szCs w:val="16"/>
          <w:color w:val="auto"/>
        </w:rPr>
        <w:t>Our recorded investments exceed our proportionate interests in the book value of the investees’ net assets by $984 million and $1.210 billion as of December 31, 2006 and 2005, respectively (principally related to our investments in TKCCP (50% interest), Insight Midwest (50% interest), and MGM (20% interest)). A portion of this basis difference has been attributed to franchise-related customer relationships of some of the investees. This difference is amortized to equity in (loss) income of affiliates, net over a period of four years. The portion of the basis difference attributable to goodwill is tested for impairment annually, or more frequently whenever events or changes in circumstances indicate that the investment might be impaired.</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b w:val="1"/>
          <w:bCs w:val="1"/>
          <w:color w:val="35BF85"/>
        </w:rPr>
        <w:t>SpectrumCo, LLC</w:t>
      </w:r>
    </w:p>
    <w:p>
      <w:pPr>
        <w:spacing w:after="0" w:line="18" w:lineRule="exact"/>
        <w:rPr>
          <w:sz w:val="20"/>
          <w:szCs w:val="20"/>
          <w:color w:val="auto"/>
        </w:rPr>
      </w:pPr>
    </w:p>
    <w:p>
      <w:pPr>
        <w:jc w:val="both"/>
        <w:spacing w:after="0" w:line="268" w:lineRule="auto"/>
        <w:rPr>
          <w:sz w:val="20"/>
          <w:szCs w:val="20"/>
          <w:color w:val="auto"/>
        </w:rPr>
      </w:pPr>
      <w:r>
        <w:rPr>
          <w:rFonts w:ascii="Arial" w:cs="Arial" w:eastAsia="Arial" w:hAnsi="Arial"/>
          <w:sz w:val="16"/>
          <w:szCs w:val="16"/>
          <w:color w:val="auto"/>
        </w:rPr>
        <w:t>SpectrumCo, LLC (“SpectrumCo”), a consortium of investors including us, was the successful bidder for 137 wireless spectrum licenses for approximately $2.4 billion in the Federal Communications Commission’s advanced wireless spectrum auction that concluded in September 2006. Our portion of the total cost to purchase the licenses was approximately $1.3 billion. Based on its currently planned activities, we have determined that SpectrumCo is not a VIE. We account for this joint venture as an equity method investment based on its governance structure, notwithstanding our majority interest.</w:t>
      </w:r>
    </w:p>
    <w:p>
      <w:pPr>
        <w:spacing w:after="0" w:line="114" w:lineRule="exact"/>
        <w:rPr>
          <w:sz w:val="20"/>
          <w:szCs w:val="20"/>
          <w:color w:val="auto"/>
        </w:rPr>
      </w:pPr>
    </w:p>
    <w:p>
      <w:pPr>
        <w:spacing w:after="0"/>
        <w:rPr>
          <w:sz w:val="20"/>
          <w:szCs w:val="20"/>
          <w:color w:val="auto"/>
        </w:rPr>
      </w:pPr>
      <w:r>
        <w:rPr>
          <w:rFonts w:ascii="Arial" w:cs="Arial" w:eastAsia="Arial" w:hAnsi="Arial"/>
          <w:sz w:val="18"/>
          <w:szCs w:val="18"/>
          <w:b w:val="1"/>
          <w:bCs w:val="1"/>
          <w:color w:val="35BF85"/>
        </w:rPr>
        <w:t>Dissolution of TKCCP</w:t>
      </w:r>
    </w:p>
    <w:p>
      <w:pPr>
        <w:spacing w:after="0" w:line="18" w:lineRule="exact"/>
        <w:rPr>
          <w:sz w:val="20"/>
          <w:szCs w:val="20"/>
          <w:color w:val="auto"/>
        </w:rPr>
      </w:pPr>
    </w:p>
    <w:p>
      <w:pPr>
        <w:jc w:val="both"/>
        <w:spacing w:after="0" w:line="266" w:lineRule="auto"/>
        <w:rPr>
          <w:rFonts w:ascii="Arial" w:cs="Arial" w:eastAsia="Arial" w:hAnsi="Arial"/>
          <w:sz w:val="16"/>
          <w:szCs w:val="16"/>
          <w:color w:val="auto"/>
        </w:rPr>
      </w:pPr>
      <w:r>
        <w:rPr>
          <w:rFonts w:ascii="Arial" w:cs="Arial" w:eastAsia="Arial" w:hAnsi="Arial"/>
          <w:sz w:val="16"/>
          <w:szCs w:val="16"/>
          <w:color w:val="auto"/>
        </w:rPr>
        <w:t xml:space="preserve">In October 2006, we contributed $1.362 billion to TKCCP to refinance the outstanding bank and partnership debt of the Houston Asset Pool. We have historically accounted for our interest in TKCCP as an equity method investment. However, effective July 1, 2006 (the beginning of the month when dissolution was initiated), the economic return to us on our interest in TKCCP tracked the performance of the Houston Asset Pool, and we were no longer entitled to any benefits of ownership or responsible for the obligations of the Kansas City Asset Pool. As a result, we began reporting our share of the earnings and losses of TKCCP based solely on the operating results of the Houston Asset Pool. For segment reporting purposes, we have included the operating results of the Houston Asset Pool in our Cable segment. However, the operating results of the Houston Asset Pool are eliminated in our consolidated financial statements (see Note 14). On January 1, 2007, the distribution of assets of TKCCP was completed and we received the Houston Asset Pool (see </w:t>
      </w:r>
      <w:hyperlink w:anchor="page126">
        <w:r>
          <w:rPr>
            <w:rFonts w:ascii="Arial" w:cs="Arial" w:eastAsia="Arial" w:hAnsi="Arial"/>
            <w:sz w:val="16"/>
            <w:szCs w:val="16"/>
            <w:u w:val="single" w:color="auto"/>
            <w:color w:val="0000EE"/>
          </w:rPr>
          <w:t>Note 5</w:t>
        </w:r>
      </w:hyperlink>
      <w:r>
        <w:rPr>
          <w:rFonts w:ascii="Arial" w:cs="Arial" w:eastAsia="Arial" w:hAnsi="Arial"/>
          <w:sz w:val="16"/>
          <w:szCs w:val="16"/>
          <w:color w:val="auto"/>
        </w:rPr>
        <w:t>).</w:t>
      </w:r>
    </w:p>
    <w:p>
      <w:pPr>
        <w:spacing w:after="0" w:line="323" w:lineRule="exact"/>
        <w:rPr>
          <w:sz w:val="20"/>
          <w:szCs w:val="20"/>
          <w:color w:val="auto"/>
        </w:rPr>
      </w:pPr>
    </w:p>
    <w:p>
      <w:pPr>
        <w:spacing w:after="0"/>
        <w:rPr>
          <w:sz w:val="20"/>
          <w:szCs w:val="20"/>
          <w:color w:val="auto"/>
        </w:rPr>
      </w:pPr>
      <w:r>
        <w:rPr>
          <w:rFonts w:ascii="Arial" w:cs="Arial" w:eastAsia="Arial" w:hAnsi="Arial"/>
          <w:sz w:val="18"/>
          <w:szCs w:val="18"/>
          <w:b w:val="1"/>
          <w:bCs w:val="1"/>
          <w:color w:val="35BF85"/>
        </w:rPr>
        <w:t>MGM</w:t>
      </w:r>
    </w:p>
    <w:p>
      <w:pPr>
        <w:spacing w:after="0" w:line="18" w:lineRule="exact"/>
        <w:rPr>
          <w:sz w:val="20"/>
          <w:szCs w:val="20"/>
          <w:color w:val="auto"/>
        </w:rPr>
      </w:pPr>
    </w:p>
    <w:p>
      <w:pPr>
        <w:jc w:val="both"/>
        <w:spacing w:after="0" w:line="238" w:lineRule="auto"/>
        <w:rPr>
          <w:sz w:val="20"/>
          <w:szCs w:val="20"/>
          <w:color w:val="auto"/>
        </w:rPr>
      </w:pPr>
      <w:r>
        <w:rPr>
          <w:rFonts w:ascii="Arial" w:cs="Arial" w:eastAsia="Arial" w:hAnsi="Arial"/>
          <w:sz w:val="18"/>
          <w:szCs w:val="18"/>
          <w:color w:val="auto"/>
        </w:rPr>
        <w:t>In April 2005, we completed a transaction with a group of investors to acquire Metro-Goldwyn-Mayer Inc. We acquired a 20% economic interest for approximately $250 million in cash.</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41" w:lineRule="exact"/>
        <w:rPr>
          <w:sz w:val="20"/>
          <w:szCs w:val="20"/>
          <w:color w:val="auto"/>
        </w:rPr>
      </w:pPr>
    </w:p>
    <w:p>
      <w:pPr>
        <w:ind w:left="140"/>
        <w:spacing w:after="0"/>
        <w:rPr>
          <w:sz w:val="20"/>
          <w:szCs w:val="20"/>
          <w:color w:val="auto"/>
        </w:rPr>
      </w:pPr>
      <w:r>
        <w:rPr>
          <w:rFonts w:ascii="Arial" w:cs="Arial" w:eastAsia="Arial" w:hAnsi="Arial"/>
          <w:sz w:val="18"/>
          <w:szCs w:val="18"/>
          <w:b w:val="1"/>
          <w:bCs w:val="1"/>
          <w:color w:val="35BF85"/>
        </w:rPr>
        <w:t>DHC Ventures, LLC</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-3602990</wp:posOffset>
            </wp:positionH>
            <wp:positionV relativeFrom="paragraph">
              <wp:posOffset>-753745</wp:posOffset>
            </wp:positionV>
            <wp:extent cx="7267575" cy="27940"/>
            <wp:wrapNone/>
            <wp:docPr id="193" name="Picture 1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3"/>
                    <pic:cNvPicPr>
                      <a:picLocks noChangeAspect="1" noChangeArrowheads="1"/>
                    </pic:cNvPicPr>
                  </pic:nvPicPr>
                  <pic:blipFill>
                    <a:blip r:embed="rId200">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p>
    <w:p>
      <w:pPr>
        <w:jc w:val="both"/>
        <w:ind w:left="140" w:right="120"/>
        <w:spacing w:after="0" w:line="237" w:lineRule="auto"/>
        <w:rPr>
          <w:sz w:val="20"/>
          <w:szCs w:val="20"/>
          <w:color w:val="auto"/>
        </w:rPr>
      </w:pPr>
      <w:r>
        <w:rPr>
          <w:rFonts w:ascii="Arial" w:cs="Arial" w:eastAsia="Arial" w:hAnsi="Arial"/>
          <w:sz w:val="18"/>
          <w:szCs w:val="18"/>
          <w:color w:val="auto"/>
        </w:rPr>
        <w:t>In September 2004, we sold our 20% interest in DHC Ventures, LLC (“Discovery Health Channel”) to Discovery Communications, Inc. for approximately $149 million in cash and recognized a gain on the sale of approximately $94 million to other income.</w:t>
      </w:r>
    </w:p>
    <w:p>
      <w:pPr>
        <w:spacing w:after="0" w:line="133" w:lineRule="exact"/>
        <w:rPr>
          <w:sz w:val="20"/>
          <w:szCs w:val="20"/>
          <w:color w:val="auto"/>
        </w:rPr>
      </w:pPr>
    </w:p>
    <w:p>
      <w:pPr>
        <w:ind w:left="140"/>
        <w:spacing w:after="0"/>
        <w:rPr>
          <w:sz w:val="20"/>
          <w:szCs w:val="20"/>
          <w:color w:val="auto"/>
        </w:rPr>
      </w:pPr>
      <w:r>
        <w:rPr>
          <w:rFonts w:ascii="Arial" w:cs="Arial" w:eastAsia="Arial" w:hAnsi="Arial"/>
          <w:sz w:val="18"/>
          <w:szCs w:val="18"/>
          <w:b w:val="1"/>
          <w:bCs w:val="1"/>
          <w:color w:val="auto"/>
        </w:rPr>
        <w:t>Cost Method</w:t>
      </w:r>
    </w:p>
    <w:p>
      <w:pPr>
        <w:spacing w:after="0" w:line="158" w:lineRule="exact"/>
        <w:rPr>
          <w:sz w:val="20"/>
          <w:szCs w:val="20"/>
          <w:color w:val="auto"/>
        </w:rPr>
      </w:pPr>
    </w:p>
    <w:p>
      <w:pPr>
        <w:ind w:left="140"/>
        <w:spacing w:after="0"/>
        <w:rPr>
          <w:sz w:val="20"/>
          <w:szCs w:val="20"/>
          <w:color w:val="auto"/>
        </w:rPr>
      </w:pPr>
      <w:r>
        <w:rPr>
          <w:rFonts w:ascii="Arial" w:cs="Arial" w:eastAsia="Arial" w:hAnsi="Arial"/>
          <w:sz w:val="18"/>
          <w:szCs w:val="18"/>
          <w:b w:val="1"/>
          <w:bCs w:val="1"/>
          <w:color w:val="35BF85"/>
        </w:rPr>
        <w:t>AirTouch Communications, Inc.</w:t>
      </w:r>
    </w:p>
    <w:p>
      <w:pPr>
        <w:spacing w:after="0" w:line="18" w:lineRule="exact"/>
        <w:rPr>
          <w:sz w:val="20"/>
          <w:szCs w:val="20"/>
          <w:color w:val="auto"/>
        </w:rPr>
      </w:pPr>
    </w:p>
    <w:p>
      <w:pPr>
        <w:jc w:val="both"/>
        <w:ind w:left="140" w:right="120"/>
        <w:spacing w:after="0" w:line="266" w:lineRule="auto"/>
        <w:rPr>
          <w:sz w:val="20"/>
          <w:szCs w:val="20"/>
          <w:color w:val="auto"/>
        </w:rPr>
      </w:pPr>
      <w:r>
        <w:rPr>
          <w:rFonts w:ascii="Arial" w:cs="Arial" w:eastAsia="Arial" w:hAnsi="Arial"/>
          <w:sz w:val="16"/>
          <w:szCs w:val="16"/>
          <w:color w:val="auto"/>
        </w:rPr>
        <w:t>We hold two series of preferred stock of AirTouch Communications, Inc. (“AirTouch”), a subsidiary of Vodafone, that are recorded at $1.451 billion and $1.437 billion as of December 31, 2006 and 2005, respectively. The dividend and redemption activity of the AirTouch preferred stock is tied to the dividend and redemption payments associated with substantially all of the preferred shares issued by one of our consolidated subsidiaries, which is a VIE. The subsidiary has three series of preferred stock outstanding with an aggregate redemption value of $1.750 billion. Substantially all of the preferred shares are redeemable in April 2020 at a redemption value of $1.650 billion, with one of the series bearing a 9.08% dividend rate. The two redeemable series of subsidiary preferred shares are recorded at $1.451 billion and $1.437 billion, and such amounts are included in other noncurrent liabilities as of December 31, 2006 and 2005, respectively. The non-redeemable series of subsidiary preferred shares is recorded at $100 million as of both December 31, 2006 and 2005, and such amounts are included in minority interest.</w:t>
      </w:r>
    </w:p>
    <w:p>
      <w:pPr>
        <w:spacing w:after="0" w:line="321" w:lineRule="exact"/>
        <w:rPr>
          <w:sz w:val="20"/>
          <w:szCs w:val="20"/>
          <w:color w:val="auto"/>
        </w:rPr>
      </w:pPr>
    </w:p>
    <w:p>
      <w:pPr>
        <w:ind w:left="140"/>
        <w:spacing w:after="0"/>
        <w:rPr>
          <w:sz w:val="20"/>
          <w:szCs w:val="20"/>
          <w:color w:val="auto"/>
        </w:rPr>
      </w:pPr>
      <w:r>
        <w:rPr>
          <w:rFonts w:ascii="Arial" w:cs="Arial" w:eastAsia="Arial" w:hAnsi="Arial"/>
          <w:sz w:val="18"/>
          <w:szCs w:val="18"/>
          <w:b w:val="1"/>
          <w:bCs w:val="1"/>
          <w:color w:val="auto"/>
        </w:rPr>
        <w:t>Investment Income (Loss), Net</w:t>
      </w:r>
    </w:p>
    <w:p>
      <w:pPr>
        <w:spacing w:after="0" w:line="18" w:lineRule="exact"/>
        <w:rPr>
          <w:sz w:val="20"/>
          <w:szCs w:val="20"/>
          <w:color w:val="auto"/>
        </w:rPr>
      </w:pPr>
    </w:p>
    <w:p>
      <w:pPr>
        <w:ind w:left="140"/>
        <w:spacing w:after="0"/>
        <w:rPr>
          <w:sz w:val="20"/>
          <w:szCs w:val="20"/>
          <w:color w:val="auto"/>
        </w:rPr>
      </w:pPr>
      <w:r>
        <w:rPr>
          <w:rFonts w:ascii="Arial" w:cs="Arial" w:eastAsia="Arial" w:hAnsi="Arial"/>
          <w:sz w:val="18"/>
          <w:szCs w:val="18"/>
          <w:color w:val="auto"/>
        </w:rPr>
        <w:t>Investment income (loss), net includes the following:</w:t>
      </w:r>
    </w:p>
    <w:p>
      <w:pPr>
        <w:spacing w:after="0" w:line="178" w:lineRule="exact"/>
        <w:rPr>
          <w:sz w:val="20"/>
          <w:szCs w:val="20"/>
          <w:color w:val="auto"/>
        </w:rPr>
      </w:pPr>
    </w:p>
    <w:tbl>
      <w:tblPr>
        <w:tblLayout w:type="fixed"/>
        <w:tblInd w:w="140" w:type="dxa"/>
        <w:tblCellMar>
          <w:top w:w="0" w:type="dxa"/>
          <w:left w:w="0" w:type="dxa"/>
          <w:bottom w:w="0" w:type="dxa"/>
          <w:right w:w="0" w:type="dxa"/>
        </w:tblCellMar>
      </w:tblPr>
      <w:tr>
        <w:trPr>
          <w:trHeight w:val="165"/>
        </w:trPr>
        <w:tc>
          <w:tcPr>
            <w:tcW w:w="2780" w:type="dxa"/>
            <w:vAlign w:val="bottom"/>
            <w:tcBorders>
              <w:bottom w:val="single" w:sz="8" w:color="auto"/>
            </w:tcBorders>
          </w:tcPr>
          <w:p>
            <w:pPr>
              <w:spacing w:after="0"/>
              <w:rPr>
                <w:sz w:val="20"/>
                <w:szCs w:val="20"/>
                <w:color w:val="auto"/>
              </w:rPr>
            </w:pPr>
            <w:r>
              <w:rPr>
                <w:rFonts w:ascii="Arial" w:cs="Arial" w:eastAsia="Arial" w:hAnsi="Arial"/>
                <w:sz w:val="14"/>
                <w:szCs w:val="14"/>
                <w:color w:val="auto"/>
              </w:rPr>
              <w:t>Year Ended December 31 (in millions)</w:t>
            </w:r>
          </w:p>
        </w:tc>
        <w:tc>
          <w:tcPr>
            <w:tcW w:w="1000" w:type="dxa"/>
            <w:vAlign w:val="bottom"/>
            <w:tcBorders>
              <w:bottom w:val="single" w:sz="8" w:color="auto"/>
            </w:tcBorders>
          </w:tcPr>
          <w:p>
            <w:pPr>
              <w:jc w:val="right"/>
              <w:ind w:right="175"/>
              <w:spacing w:after="0"/>
              <w:rPr>
                <w:sz w:val="20"/>
                <w:szCs w:val="20"/>
                <w:color w:val="auto"/>
              </w:rPr>
            </w:pPr>
            <w:r>
              <w:rPr>
                <w:rFonts w:ascii="Arial" w:cs="Arial" w:eastAsia="Arial" w:hAnsi="Arial"/>
                <w:sz w:val="14"/>
                <w:szCs w:val="14"/>
                <w:b w:val="1"/>
                <w:bCs w:val="1"/>
                <w:color w:val="auto"/>
              </w:rPr>
              <w:t>2006</w:t>
            </w:r>
          </w:p>
        </w:tc>
        <w:tc>
          <w:tcPr>
            <w:tcW w:w="320" w:type="dxa"/>
            <w:vAlign w:val="bottom"/>
            <w:tcBorders>
              <w:bottom w:val="single" w:sz="8" w:color="auto"/>
            </w:tcBorders>
          </w:tcPr>
          <w:p>
            <w:pPr>
              <w:spacing w:after="0"/>
              <w:rPr>
                <w:sz w:val="14"/>
                <w:szCs w:val="14"/>
                <w:color w:val="auto"/>
              </w:rPr>
            </w:pPr>
          </w:p>
        </w:tc>
        <w:tc>
          <w:tcPr>
            <w:tcW w:w="620" w:type="dxa"/>
            <w:vAlign w:val="bottom"/>
            <w:tcBorders>
              <w:bottom w:val="single" w:sz="8" w:color="auto"/>
            </w:tcBorders>
          </w:tcPr>
          <w:p>
            <w:pPr>
              <w:jc w:val="right"/>
              <w:ind w:right="175"/>
              <w:spacing w:after="0"/>
              <w:rPr>
                <w:sz w:val="20"/>
                <w:szCs w:val="20"/>
                <w:color w:val="auto"/>
              </w:rPr>
            </w:pPr>
            <w:r>
              <w:rPr>
                <w:rFonts w:ascii="Arial" w:cs="Arial" w:eastAsia="Arial" w:hAnsi="Arial"/>
                <w:sz w:val="14"/>
                <w:szCs w:val="14"/>
                <w:color w:val="auto"/>
              </w:rPr>
              <w:t>2005</w:t>
            </w:r>
          </w:p>
        </w:tc>
        <w:tc>
          <w:tcPr>
            <w:tcW w:w="76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2004</w:t>
            </w:r>
          </w:p>
        </w:tc>
        <w:tc>
          <w:tcPr>
            <w:tcW w:w="0" w:type="dxa"/>
            <w:vAlign w:val="bottom"/>
          </w:tcPr>
          <w:p>
            <w:pPr>
              <w:spacing w:after="0"/>
              <w:rPr>
                <w:sz w:val="1"/>
                <w:szCs w:val="1"/>
                <w:color w:val="auto"/>
              </w:rPr>
            </w:pPr>
          </w:p>
        </w:tc>
      </w:tr>
      <w:tr>
        <w:trPr>
          <w:trHeight w:val="199"/>
        </w:trPr>
        <w:tc>
          <w:tcPr>
            <w:tcW w:w="2780" w:type="dxa"/>
            <w:vAlign w:val="bottom"/>
          </w:tcPr>
          <w:p>
            <w:pPr>
              <w:spacing w:after="0" w:line="200" w:lineRule="exact"/>
              <w:rPr>
                <w:sz w:val="20"/>
                <w:szCs w:val="20"/>
                <w:color w:val="auto"/>
              </w:rPr>
            </w:pPr>
            <w:r>
              <w:rPr>
                <w:rFonts w:ascii="Arial" w:cs="Arial" w:eastAsia="Arial" w:hAnsi="Arial"/>
                <w:sz w:val="18"/>
                <w:szCs w:val="18"/>
                <w:color w:val="auto"/>
              </w:rPr>
              <w:t>Interest and dividend income</w:t>
            </w:r>
          </w:p>
        </w:tc>
        <w:tc>
          <w:tcPr>
            <w:tcW w:w="1000" w:type="dxa"/>
            <w:vAlign w:val="bottom"/>
          </w:tcPr>
          <w:p>
            <w:pPr>
              <w:jc w:val="right"/>
              <w:ind w:right="175"/>
              <w:spacing w:after="0" w:line="200" w:lineRule="exact"/>
              <w:rPr>
                <w:sz w:val="20"/>
                <w:szCs w:val="20"/>
                <w:color w:val="auto"/>
              </w:rPr>
            </w:pPr>
            <w:r>
              <w:rPr>
                <w:rFonts w:ascii="Arial" w:cs="Arial" w:eastAsia="Arial" w:hAnsi="Arial"/>
                <w:sz w:val="18"/>
                <w:szCs w:val="18"/>
                <w:b w:val="1"/>
                <w:bCs w:val="1"/>
                <w:color w:val="auto"/>
              </w:rPr>
              <w:t>$ 178</w:t>
            </w:r>
          </w:p>
        </w:tc>
        <w:tc>
          <w:tcPr>
            <w:tcW w:w="320" w:type="dxa"/>
            <w:vAlign w:val="bottom"/>
          </w:tcPr>
          <w:p>
            <w:pPr>
              <w:jc w:val="right"/>
              <w:spacing w:after="0" w:line="200" w:lineRule="exact"/>
              <w:rPr>
                <w:sz w:val="20"/>
                <w:szCs w:val="20"/>
                <w:color w:val="auto"/>
              </w:rPr>
            </w:pPr>
            <w:r>
              <w:rPr>
                <w:rFonts w:ascii="Arial" w:cs="Arial" w:eastAsia="Arial" w:hAnsi="Arial"/>
                <w:sz w:val="18"/>
                <w:szCs w:val="18"/>
                <w:color w:val="auto"/>
              </w:rPr>
              <w:t>$</w:t>
            </w:r>
          </w:p>
        </w:tc>
        <w:tc>
          <w:tcPr>
            <w:tcW w:w="620" w:type="dxa"/>
            <w:vAlign w:val="bottom"/>
          </w:tcPr>
          <w:p>
            <w:pPr>
              <w:jc w:val="right"/>
              <w:ind w:right="175"/>
              <w:spacing w:after="0" w:line="200" w:lineRule="exact"/>
              <w:rPr>
                <w:sz w:val="20"/>
                <w:szCs w:val="20"/>
                <w:color w:val="auto"/>
              </w:rPr>
            </w:pPr>
            <w:r>
              <w:rPr>
                <w:rFonts w:ascii="Arial" w:cs="Arial" w:eastAsia="Arial" w:hAnsi="Arial"/>
                <w:sz w:val="18"/>
                <w:szCs w:val="18"/>
                <w:color w:val="auto"/>
              </w:rPr>
              <w:t>112</w:t>
            </w:r>
          </w:p>
        </w:tc>
        <w:tc>
          <w:tcPr>
            <w:tcW w:w="760" w:type="dxa"/>
            <w:vAlign w:val="bottom"/>
          </w:tcPr>
          <w:p>
            <w:pPr>
              <w:jc w:val="right"/>
              <w:spacing w:after="0" w:line="200" w:lineRule="exact"/>
              <w:rPr>
                <w:sz w:val="20"/>
                <w:szCs w:val="20"/>
                <w:color w:val="auto"/>
              </w:rPr>
            </w:pPr>
            <w:r>
              <w:rPr>
                <w:rFonts w:ascii="Arial" w:cs="Arial" w:eastAsia="Arial" w:hAnsi="Arial"/>
                <w:sz w:val="18"/>
                <w:szCs w:val="18"/>
                <w:color w:val="auto"/>
              </w:rPr>
              <w:t>$ 160</w:t>
            </w:r>
          </w:p>
        </w:tc>
        <w:tc>
          <w:tcPr>
            <w:tcW w:w="0" w:type="dxa"/>
            <w:vAlign w:val="bottom"/>
          </w:tcPr>
          <w:p>
            <w:pPr>
              <w:spacing w:after="0"/>
              <w:rPr>
                <w:sz w:val="1"/>
                <w:szCs w:val="1"/>
                <w:color w:val="auto"/>
              </w:rPr>
            </w:pPr>
          </w:p>
        </w:tc>
      </w:tr>
      <w:tr>
        <w:trPr>
          <w:trHeight w:val="203"/>
        </w:trPr>
        <w:tc>
          <w:tcPr>
            <w:tcW w:w="2780" w:type="dxa"/>
            <w:vAlign w:val="bottom"/>
          </w:tcPr>
          <w:p>
            <w:pPr>
              <w:spacing w:after="0" w:line="202" w:lineRule="exact"/>
              <w:rPr>
                <w:sz w:val="20"/>
                <w:szCs w:val="20"/>
                <w:color w:val="auto"/>
              </w:rPr>
            </w:pPr>
            <w:r>
              <w:rPr>
                <w:rFonts w:ascii="Arial" w:cs="Arial" w:eastAsia="Arial" w:hAnsi="Arial"/>
                <w:sz w:val="18"/>
                <w:szCs w:val="18"/>
                <w:color w:val="auto"/>
              </w:rPr>
              <w:t>Gains on sales and exchanges</w:t>
            </w:r>
          </w:p>
        </w:tc>
        <w:tc>
          <w:tcPr>
            <w:tcW w:w="1000" w:type="dxa"/>
            <w:vAlign w:val="bottom"/>
            <w:vMerge w:val="restart"/>
          </w:tcPr>
          <w:p>
            <w:pPr>
              <w:jc w:val="right"/>
              <w:ind w:right="175"/>
              <w:spacing w:after="0"/>
              <w:rPr>
                <w:sz w:val="20"/>
                <w:szCs w:val="20"/>
                <w:color w:val="auto"/>
              </w:rPr>
            </w:pPr>
            <w:r>
              <w:rPr>
                <w:rFonts w:ascii="Arial" w:cs="Arial" w:eastAsia="Arial" w:hAnsi="Arial"/>
                <w:sz w:val="18"/>
                <w:szCs w:val="18"/>
                <w:b w:val="1"/>
                <w:bCs w:val="1"/>
                <w:color w:val="auto"/>
              </w:rPr>
              <w:t>733</w:t>
            </w:r>
          </w:p>
        </w:tc>
        <w:tc>
          <w:tcPr>
            <w:tcW w:w="320" w:type="dxa"/>
            <w:vAlign w:val="bottom"/>
          </w:tcPr>
          <w:p>
            <w:pPr>
              <w:spacing w:after="0"/>
              <w:rPr>
                <w:sz w:val="17"/>
                <w:szCs w:val="17"/>
                <w:color w:val="auto"/>
              </w:rPr>
            </w:pPr>
          </w:p>
        </w:tc>
        <w:tc>
          <w:tcPr>
            <w:tcW w:w="62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81"/>
        </w:trPr>
        <w:tc>
          <w:tcPr>
            <w:tcW w:w="2780" w:type="dxa"/>
            <w:vAlign w:val="bottom"/>
          </w:tcPr>
          <w:p>
            <w:pPr>
              <w:ind w:left="220"/>
              <w:spacing w:after="0" w:line="181" w:lineRule="exact"/>
              <w:rPr>
                <w:sz w:val="20"/>
                <w:szCs w:val="20"/>
                <w:color w:val="auto"/>
              </w:rPr>
            </w:pPr>
            <w:r>
              <w:rPr>
                <w:rFonts w:ascii="Arial" w:cs="Arial" w:eastAsia="Arial" w:hAnsi="Arial"/>
                <w:sz w:val="18"/>
                <w:szCs w:val="18"/>
                <w:color w:val="auto"/>
              </w:rPr>
              <w:t>of investments, net</w:t>
            </w:r>
          </w:p>
        </w:tc>
        <w:tc>
          <w:tcPr>
            <w:tcW w:w="1000" w:type="dxa"/>
            <w:vAlign w:val="bottom"/>
            <w:vMerge w:val="continue"/>
          </w:tcPr>
          <w:p>
            <w:pPr>
              <w:spacing w:after="0"/>
              <w:rPr>
                <w:sz w:val="15"/>
                <w:szCs w:val="15"/>
                <w:color w:val="auto"/>
              </w:rPr>
            </w:pPr>
          </w:p>
        </w:tc>
        <w:tc>
          <w:tcPr>
            <w:tcW w:w="320" w:type="dxa"/>
            <w:vAlign w:val="bottom"/>
          </w:tcPr>
          <w:p>
            <w:pPr>
              <w:spacing w:after="0"/>
              <w:rPr>
                <w:sz w:val="15"/>
                <w:szCs w:val="15"/>
                <w:color w:val="auto"/>
              </w:rPr>
            </w:pPr>
          </w:p>
        </w:tc>
        <w:tc>
          <w:tcPr>
            <w:tcW w:w="620" w:type="dxa"/>
            <w:vAlign w:val="bottom"/>
          </w:tcPr>
          <w:p>
            <w:pPr>
              <w:jc w:val="right"/>
              <w:ind w:right="175"/>
              <w:spacing w:after="0" w:line="181" w:lineRule="exact"/>
              <w:rPr>
                <w:sz w:val="20"/>
                <w:szCs w:val="20"/>
                <w:color w:val="auto"/>
              </w:rPr>
            </w:pPr>
            <w:r>
              <w:rPr>
                <w:rFonts w:ascii="Arial" w:cs="Arial" w:eastAsia="Arial" w:hAnsi="Arial"/>
                <w:sz w:val="18"/>
                <w:szCs w:val="18"/>
                <w:color w:val="auto"/>
              </w:rPr>
              <w:t>17</w:t>
            </w:r>
          </w:p>
        </w:tc>
        <w:tc>
          <w:tcPr>
            <w:tcW w:w="760" w:type="dxa"/>
            <w:vAlign w:val="bottom"/>
          </w:tcPr>
          <w:p>
            <w:pPr>
              <w:jc w:val="right"/>
              <w:spacing w:after="0" w:line="181" w:lineRule="exact"/>
              <w:rPr>
                <w:sz w:val="20"/>
                <w:szCs w:val="20"/>
                <w:color w:val="auto"/>
              </w:rPr>
            </w:pPr>
            <w:r>
              <w:rPr>
                <w:rFonts w:ascii="Arial" w:cs="Arial" w:eastAsia="Arial" w:hAnsi="Arial"/>
                <w:sz w:val="18"/>
                <w:szCs w:val="18"/>
                <w:color w:val="auto"/>
              </w:rPr>
              <w:t>45</w:t>
            </w:r>
          </w:p>
        </w:tc>
        <w:tc>
          <w:tcPr>
            <w:tcW w:w="0" w:type="dxa"/>
            <w:vAlign w:val="bottom"/>
          </w:tcPr>
          <w:p>
            <w:pPr>
              <w:spacing w:after="0"/>
              <w:rPr>
                <w:sz w:val="1"/>
                <w:szCs w:val="1"/>
                <w:color w:val="auto"/>
              </w:rPr>
            </w:pPr>
          </w:p>
        </w:tc>
      </w:tr>
      <w:tr>
        <w:trPr>
          <w:trHeight w:val="225"/>
        </w:trPr>
        <w:tc>
          <w:tcPr>
            <w:tcW w:w="2780" w:type="dxa"/>
            <w:vAlign w:val="bottom"/>
          </w:tcPr>
          <w:p>
            <w:pPr>
              <w:spacing w:after="0"/>
              <w:rPr>
                <w:sz w:val="20"/>
                <w:szCs w:val="20"/>
                <w:color w:val="auto"/>
              </w:rPr>
            </w:pPr>
            <w:r>
              <w:rPr>
                <w:rFonts w:ascii="Arial" w:cs="Arial" w:eastAsia="Arial" w:hAnsi="Arial"/>
                <w:sz w:val="18"/>
                <w:szCs w:val="18"/>
                <w:color w:val="auto"/>
              </w:rPr>
              <w:t>Investment impairment losses</w:t>
            </w:r>
          </w:p>
        </w:tc>
        <w:tc>
          <w:tcPr>
            <w:tcW w:w="1000" w:type="dxa"/>
            <w:vAlign w:val="bottom"/>
          </w:tcPr>
          <w:p>
            <w:pPr>
              <w:jc w:val="right"/>
              <w:ind w:right="115"/>
              <w:spacing w:after="0"/>
              <w:rPr>
                <w:sz w:val="20"/>
                <w:szCs w:val="20"/>
                <w:color w:val="auto"/>
              </w:rPr>
            </w:pPr>
            <w:r>
              <w:rPr>
                <w:rFonts w:ascii="Arial" w:cs="Arial" w:eastAsia="Arial" w:hAnsi="Arial"/>
                <w:sz w:val="18"/>
                <w:szCs w:val="18"/>
                <w:b w:val="1"/>
                <w:bCs w:val="1"/>
                <w:color w:val="auto"/>
              </w:rPr>
              <w:t>(4)</w:t>
            </w:r>
          </w:p>
        </w:tc>
        <w:tc>
          <w:tcPr>
            <w:tcW w:w="320" w:type="dxa"/>
            <w:vAlign w:val="bottom"/>
          </w:tcPr>
          <w:p>
            <w:pPr>
              <w:spacing w:after="0"/>
              <w:rPr>
                <w:sz w:val="19"/>
                <w:szCs w:val="19"/>
                <w:color w:val="auto"/>
              </w:rPr>
            </w:pPr>
          </w:p>
        </w:tc>
        <w:tc>
          <w:tcPr>
            <w:tcW w:w="620" w:type="dxa"/>
            <w:vAlign w:val="bottom"/>
          </w:tcPr>
          <w:p>
            <w:pPr>
              <w:jc w:val="right"/>
              <w:ind w:right="115"/>
              <w:spacing w:after="0"/>
              <w:rPr>
                <w:sz w:val="20"/>
                <w:szCs w:val="20"/>
                <w:color w:val="auto"/>
              </w:rPr>
            </w:pPr>
            <w:r>
              <w:rPr>
                <w:rFonts w:ascii="Arial" w:cs="Arial" w:eastAsia="Arial" w:hAnsi="Arial"/>
                <w:sz w:val="18"/>
                <w:szCs w:val="18"/>
                <w:color w:val="auto"/>
              </w:rPr>
              <w:t>(3)</w:t>
            </w:r>
          </w:p>
        </w:tc>
        <w:tc>
          <w:tcPr>
            <w:tcW w:w="760" w:type="dxa"/>
            <w:vAlign w:val="bottom"/>
          </w:tcPr>
          <w:p>
            <w:pPr>
              <w:jc w:val="right"/>
              <w:spacing w:after="0"/>
              <w:rPr>
                <w:sz w:val="20"/>
                <w:szCs w:val="20"/>
                <w:color w:val="auto"/>
              </w:rPr>
            </w:pPr>
            <w:r>
              <w:rPr>
                <w:rFonts w:ascii="Arial" w:cs="Arial" w:eastAsia="Arial" w:hAnsi="Arial"/>
                <w:sz w:val="18"/>
                <w:szCs w:val="18"/>
                <w:color w:val="auto"/>
              </w:rPr>
              <w:t>(16)</w:t>
            </w:r>
          </w:p>
        </w:tc>
        <w:tc>
          <w:tcPr>
            <w:tcW w:w="0" w:type="dxa"/>
            <w:vAlign w:val="bottom"/>
          </w:tcPr>
          <w:p>
            <w:pPr>
              <w:spacing w:after="0"/>
              <w:rPr>
                <w:sz w:val="1"/>
                <w:szCs w:val="1"/>
                <w:color w:val="auto"/>
              </w:rPr>
            </w:pPr>
          </w:p>
        </w:tc>
      </w:tr>
      <w:tr>
        <w:trPr>
          <w:trHeight w:val="203"/>
        </w:trPr>
        <w:tc>
          <w:tcPr>
            <w:tcW w:w="2780" w:type="dxa"/>
            <w:vAlign w:val="bottom"/>
          </w:tcPr>
          <w:p>
            <w:pPr>
              <w:spacing w:after="0" w:line="202" w:lineRule="exact"/>
              <w:rPr>
                <w:sz w:val="20"/>
                <w:szCs w:val="20"/>
                <w:color w:val="auto"/>
              </w:rPr>
            </w:pPr>
            <w:r>
              <w:rPr>
                <w:rFonts w:ascii="Arial" w:cs="Arial" w:eastAsia="Arial" w:hAnsi="Arial"/>
                <w:sz w:val="18"/>
                <w:szCs w:val="18"/>
                <w:color w:val="auto"/>
              </w:rPr>
              <w:t>Unrealized gains (losses) on</w:t>
            </w:r>
          </w:p>
        </w:tc>
        <w:tc>
          <w:tcPr>
            <w:tcW w:w="100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62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780" w:type="dxa"/>
            <w:vAlign w:val="bottom"/>
          </w:tcPr>
          <w:p>
            <w:pPr>
              <w:ind w:left="220"/>
              <w:spacing w:after="0" w:line="202" w:lineRule="exact"/>
              <w:rPr>
                <w:sz w:val="20"/>
                <w:szCs w:val="20"/>
                <w:color w:val="auto"/>
              </w:rPr>
            </w:pPr>
            <w:r>
              <w:rPr>
                <w:rFonts w:ascii="Arial" w:cs="Arial" w:eastAsia="Arial" w:hAnsi="Arial"/>
                <w:sz w:val="18"/>
                <w:szCs w:val="18"/>
                <w:color w:val="auto"/>
              </w:rPr>
              <w:t>trading securities and hedged</w:t>
            </w:r>
          </w:p>
        </w:tc>
        <w:tc>
          <w:tcPr>
            <w:tcW w:w="1000" w:type="dxa"/>
            <w:vAlign w:val="bottom"/>
            <w:vMerge w:val="restart"/>
          </w:tcPr>
          <w:p>
            <w:pPr>
              <w:jc w:val="right"/>
              <w:ind w:right="175"/>
              <w:spacing w:after="0"/>
              <w:rPr>
                <w:sz w:val="20"/>
                <w:szCs w:val="20"/>
                <w:color w:val="auto"/>
              </w:rPr>
            </w:pPr>
            <w:r>
              <w:rPr>
                <w:rFonts w:ascii="Arial" w:cs="Arial" w:eastAsia="Arial" w:hAnsi="Arial"/>
                <w:sz w:val="18"/>
                <w:szCs w:val="18"/>
                <w:b w:val="1"/>
                <w:bCs w:val="1"/>
                <w:color w:val="auto"/>
              </w:rPr>
              <w:t>339</w:t>
            </w:r>
          </w:p>
        </w:tc>
        <w:tc>
          <w:tcPr>
            <w:tcW w:w="320" w:type="dxa"/>
            <w:vAlign w:val="bottom"/>
          </w:tcPr>
          <w:p>
            <w:pPr>
              <w:spacing w:after="0"/>
              <w:rPr>
                <w:sz w:val="17"/>
                <w:szCs w:val="17"/>
                <w:color w:val="auto"/>
              </w:rPr>
            </w:pPr>
          </w:p>
        </w:tc>
        <w:tc>
          <w:tcPr>
            <w:tcW w:w="62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780" w:type="dxa"/>
            <w:vAlign w:val="bottom"/>
          </w:tcPr>
          <w:p>
            <w:pPr>
              <w:ind w:left="220"/>
              <w:spacing w:after="0" w:line="202" w:lineRule="exact"/>
              <w:rPr>
                <w:sz w:val="20"/>
                <w:szCs w:val="20"/>
                <w:color w:val="auto"/>
              </w:rPr>
            </w:pPr>
            <w:r>
              <w:rPr>
                <w:rFonts w:ascii="Arial" w:cs="Arial" w:eastAsia="Arial" w:hAnsi="Arial"/>
                <w:sz w:val="18"/>
                <w:szCs w:val="18"/>
                <w:color w:val="auto"/>
              </w:rPr>
              <w:t>items</w:t>
            </w:r>
          </w:p>
        </w:tc>
        <w:tc>
          <w:tcPr>
            <w:tcW w:w="1000" w:type="dxa"/>
            <w:vAlign w:val="bottom"/>
            <w:vMerge w:val="continue"/>
          </w:tcPr>
          <w:p>
            <w:pPr>
              <w:spacing w:after="0"/>
              <w:rPr>
                <w:sz w:val="17"/>
                <w:szCs w:val="17"/>
                <w:color w:val="auto"/>
              </w:rPr>
            </w:pPr>
          </w:p>
        </w:tc>
        <w:tc>
          <w:tcPr>
            <w:tcW w:w="320" w:type="dxa"/>
            <w:vAlign w:val="bottom"/>
          </w:tcPr>
          <w:p>
            <w:pPr>
              <w:spacing w:after="0"/>
              <w:rPr>
                <w:sz w:val="17"/>
                <w:szCs w:val="17"/>
                <w:color w:val="auto"/>
              </w:rPr>
            </w:pPr>
          </w:p>
        </w:tc>
        <w:tc>
          <w:tcPr>
            <w:tcW w:w="620" w:type="dxa"/>
            <w:vAlign w:val="bottom"/>
          </w:tcPr>
          <w:p>
            <w:pPr>
              <w:jc w:val="right"/>
              <w:ind w:right="115"/>
              <w:spacing w:after="0" w:line="202" w:lineRule="exact"/>
              <w:rPr>
                <w:sz w:val="20"/>
                <w:szCs w:val="20"/>
                <w:color w:val="auto"/>
              </w:rPr>
            </w:pPr>
            <w:r>
              <w:rPr>
                <w:rFonts w:ascii="Arial" w:cs="Arial" w:eastAsia="Arial" w:hAnsi="Arial"/>
                <w:sz w:val="18"/>
                <w:szCs w:val="18"/>
                <w:color w:val="auto"/>
                <w:w w:val="95"/>
              </w:rPr>
              <w:t>(259)</w:t>
            </w:r>
          </w:p>
        </w:tc>
        <w:tc>
          <w:tcPr>
            <w:tcW w:w="760" w:type="dxa"/>
            <w:vAlign w:val="bottom"/>
          </w:tcPr>
          <w:p>
            <w:pPr>
              <w:jc w:val="right"/>
              <w:spacing w:after="0" w:line="202" w:lineRule="exact"/>
              <w:rPr>
                <w:sz w:val="20"/>
                <w:szCs w:val="20"/>
                <w:color w:val="auto"/>
              </w:rPr>
            </w:pPr>
            <w:r>
              <w:rPr>
                <w:rFonts w:ascii="Arial" w:cs="Arial" w:eastAsia="Arial" w:hAnsi="Arial"/>
                <w:sz w:val="18"/>
                <w:szCs w:val="18"/>
                <w:color w:val="auto"/>
              </w:rPr>
              <w:t>378</w:t>
            </w:r>
          </w:p>
        </w:tc>
        <w:tc>
          <w:tcPr>
            <w:tcW w:w="0" w:type="dxa"/>
            <w:vAlign w:val="bottom"/>
          </w:tcPr>
          <w:p>
            <w:pPr>
              <w:spacing w:after="0"/>
              <w:rPr>
                <w:sz w:val="1"/>
                <w:szCs w:val="1"/>
                <w:color w:val="auto"/>
              </w:rPr>
            </w:pPr>
          </w:p>
        </w:tc>
      </w:tr>
      <w:tr>
        <w:trPr>
          <w:trHeight w:val="203"/>
        </w:trPr>
        <w:tc>
          <w:tcPr>
            <w:tcW w:w="2780" w:type="dxa"/>
            <w:vAlign w:val="bottom"/>
          </w:tcPr>
          <w:p>
            <w:pPr>
              <w:spacing w:after="0" w:line="202" w:lineRule="exact"/>
              <w:rPr>
                <w:sz w:val="20"/>
                <w:szCs w:val="20"/>
                <w:color w:val="auto"/>
              </w:rPr>
            </w:pPr>
            <w:r>
              <w:rPr>
                <w:rFonts w:ascii="Arial" w:cs="Arial" w:eastAsia="Arial" w:hAnsi="Arial"/>
                <w:sz w:val="18"/>
                <w:szCs w:val="18"/>
                <w:color w:val="auto"/>
              </w:rPr>
              <w:t>Mark to market adjustments on</w:t>
            </w:r>
          </w:p>
        </w:tc>
        <w:tc>
          <w:tcPr>
            <w:tcW w:w="100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62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780" w:type="dxa"/>
            <w:vAlign w:val="bottom"/>
          </w:tcPr>
          <w:p>
            <w:pPr>
              <w:ind w:left="220"/>
              <w:spacing w:after="0" w:line="202" w:lineRule="exact"/>
              <w:rPr>
                <w:sz w:val="20"/>
                <w:szCs w:val="20"/>
                <w:color w:val="auto"/>
              </w:rPr>
            </w:pPr>
            <w:r>
              <w:rPr>
                <w:rFonts w:ascii="Arial" w:cs="Arial" w:eastAsia="Arial" w:hAnsi="Arial"/>
                <w:sz w:val="18"/>
                <w:szCs w:val="18"/>
                <w:color w:val="auto"/>
              </w:rPr>
              <w:t>derivatives related to trading</w:t>
            </w:r>
          </w:p>
        </w:tc>
        <w:tc>
          <w:tcPr>
            <w:tcW w:w="1000" w:type="dxa"/>
            <w:vAlign w:val="bottom"/>
            <w:vMerge w:val="restart"/>
          </w:tcPr>
          <w:p>
            <w:pPr>
              <w:jc w:val="right"/>
              <w:ind w:right="115"/>
              <w:spacing w:after="0"/>
              <w:rPr>
                <w:sz w:val="20"/>
                <w:szCs w:val="20"/>
                <w:color w:val="auto"/>
              </w:rPr>
            </w:pPr>
            <w:r>
              <w:rPr>
                <w:rFonts w:ascii="Arial" w:cs="Arial" w:eastAsia="Arial" w:hAnsi="Arial"/>
                <w:sz w:val="18"/>
                <w:szCs w:val="18"/>
                <w:b w:val="1"/>
                <w:bCs w:val="1"/>
                <w:color w:val="auto"/>
              </w:rPr>
              <w:t>(238)</w:t>
            </w:r>
          </w:p>
        </w:tc>
        <w:tc>
          <w:tcPr>
            <w:tcW w:w="320" w:type="dxa"/>
            <w:vAlign w:val="bottom"/>
          </w:tcPr>
          <w:p>
            <w:pPr>
              <w:spacing w:after="0"/>
              <w:rPr>
                <w:sz w:val="17"/>
                <w:szCs w:val="17"/>
                <w:color w:val="auto"/>
              </w:rPr>
            </w:pPr>
          </w:p>
        </w:tc>
        <w:tc>
          <w:tcPr>
            <w:tcW w:w="62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780" w:type="dxa"/>
            <w:vAlign w:val="bottom"/>
          </w:tcPr>
          <w:p>
            <w:pPr>
              <w:ind w:left="220"/>
              <w:spacing w:after="0" w:line="202" w:lineRule="exact"/>
              <w:rPr>
                <w:sz w:val="20"/>
                <w:szCs w:val="20"/>
                <w:color w:val="auto"/>
              </w:rPr>
            </w:pPr>
            <w:r>
              <w:rPr>
                <w:rFonts w:ascii="Arial" w:cs="Arial" w:eastAsia="Arial" w:hAnsi="Arial"/>
                <w:sz w:val="18"/>
                <w:szCs w:val="18"/>
                <w:color w:val="auto"/>
              </w:rPr>
              <w:t>securities and hedged items</w:t>
            </w:r>
          </w:p>
        </w:tc>
        <w:tc>
          <w:tcPr>
            <w:tcW w:w="1000" w:type="dxa"/>
            <w:vAlign w:val="bottom"/>
            <w:vMerge w:val="continue"/>
          </w:tcPr>
          <w:p>
            <w:pPr>
              <w:spacing w:after="0"/>
              <w:rPr>
                <w:sz w:val="17"/>
                <w:szCs w:val="17"/>
                <w:color w:val="auto"/>
              </w:rPr>
            </w:pPr>
          </w:p>
        </w:tc>
        <w:tc>
          <w:tcPr>
            <w:tcW w:w="320" w:type="dxa"/>
            <w:vAlign w:val="bottom"/>
          </w:tcPr>
          <w:p>
            <w:pPr>
              <w:spacing w:after="0"/>
              <w:rPr>
                <w:sz w:val="17"/>
                <w:szCs w:val="17"/>
                <w:color w:val="auto"/>
              </w:rPr>
            </w:pPr>
          </w:p>
        </w:tc>
        <w:tc>
          <w:tcPr>
            <w:tcW w:w="620" w:type="dxa"/>
            <w:vAlign w:val="bottom"/>
          </w:tcPr>
          <w:p>
            <w:pPr>
              <w:jc w:val="right"/>
              <w:ind w:right="175"/>
              <w:spacing w:after="0" w:line="202" w:lineRule="exact"/>
              <w:rPr>
                <w:sz w:val="20"/>
                <w:szCs w:val="20"/>
                <w:color w:val="auto"/>
              </w:rPr>
            </w:pPr>
            <w:r>
              <w:rPr>
                <w:rFonts w:ascii="Arial" w:cs="Arial" w:eastAsia="Arial" w:hAnsi="Arial"/>
                <w:sz w:val="18"/>
                <w:szCs w:val="18"/>
                <w:color w:val="auto"/>
              </w:rPr>
              <w:t>206</w:t>
            </w:r>
          </w:p>
        </w:tc>
        <w:tc>
          <w:tcPr>
            <w:tcW w:w="760" w:type="dxa"/>
            <w:vAlign w:val="bottom"/>
          </w:tcPr>
          <w:p>
            <w:pPr>
              <w:jc w:val="right"/>
              <w:spacing w:after="0" w:line="202" w:lineRule="exact"/>
              <w:rPr>
                <w:sz w:val="20"/>
                <w:szCs w:val="20"/>
                <w:color w:val="auto"/>
              </w:rPr>
            </w:pPr>
            <w:r>
              <w:rPr>
                <w:rFonts w:ascii="Arial" w:cs="Arial" w:eastAsia="Arial" w:hAnsi="Arial"/>
                <w:sz w:val="18"/>
                <w:szCs w:val="18"/>
                <w:color w:val="auto"/>
              </w:rPr>
              <w:t>(120)</w:t>
            </w:r>
          </w:p>
        </w:tc>
        <w:tc>
          <w:tcPr>
            <w:tcW w:w="0" w:type="dxa"/>
            <w:vAlign w:val="bottom"/>
          </w:tcPr>
          <w:p>
            <w:pPr>
              <w:spacing w:after="0"/>
              <w:rPr>
                <w:sz w:val="1"/>
                <w:szCs w:val="1"/>
                <w:color w:val="auto"/>
              </w:rPr>
            </w:pPr>
          </w:p>
        </w:tc>
      </w:tr>
      <w:tr>
        <w:trPr>
          <w:trHeight w:val="203"/>
        </w:trPr>
        <w:tc>
          <w:tcPr>
            <w:tcW w:w="2780" w:type="dxa"/>
            <w:vAlign w:val="bottom"/>
          </w:tcPr>
          <w:p>
            <w:pPr>
              <w:spacing w:after="0" w:line="202" w:lineRule="exact"/>
              <w:rPr>
                <w:sz w:val="20"/>
                <w:szCs w:val="20"/>
                <w:color w:val="auto"/>
              </w:rPr>
            </w:pPr>
            <w:r>
              <w:rPr>
                <w:rFonts w:ascii="Arial" w:cs="Arial" w:eastAsia="Arial" w:hAnsi="Arial"/>
                <w:sz w:val="18"/>
                <w:szCs w:val="18"/>
                <w:color w:val="auto"/>
              </w:rPr>
              <w:t>Mark to market adjustments on</w:t>
            </w:r>
          </w:p>
        </w:tc>
        <w:tc>
          <w:tcPr>
            <w:tcW w:w="1000" w:type="dxa"/>
            <w:vAlign w:val="bottom"/>
            <w:vMerge w:val="restart"/>
          </w:tcPr>
          <w:p>
            <w:pPr>
              <w:jc w:val="right"/>
              <w:ind w:right="115"/>
              <w:spacing w:after="0"/>
              <w:rPr>
                <w:sz w:val="20"/>
                <w:szCs w:val="20"/>
                <w:color w:val="auto"/>
              </w:rPr>
            </w:pPr>
            <w:r>
              <w:rPr>
                <w:rFonts w:ascii="Arial" w:cs="Arial" w:eastAsia="Arial" w:hAnsi="Arial"/>
                <w:sz w:val="18"/>
                <w:szCs w:val="18"/>
                <w:b w:val="1"/>
                <w:bCs w:val="1"/>
                <w:color w:val="auto"/>
              </w:rPr>
              <w:t>(18)</w:t>
            </w:r>
          </w:p>
        </w:tc>
        <w:tc>
          <w:tcPr>
            <w:tcW w:w="320" w:type="dxa"/>
            <w:vAlign w:val="bottom"/>
          </w:tcPr>
          <w:p>
            <w:pPr>
              <w:spacing w:after="0"/>
              <w:rPr>
                <w:sz w:val="17"/>
                <w:szCs w:val="17"/>
                <w:color w:val="auto"/>
              </w:rPr>
            </w:pPr>
          </w:p>
        </w:tc>
        <w:tc>
          <w:tcPr>
            <w:tcW w:w="62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9"/>
        </w:trPr>
        <w:tc>
          <w:tcPr>
            <w:tcW w:w="2780" w:type="dxa"/>
            <w:vAlign w:val="bottom"/>
            <w:tcBorders>
              <w:bottom w:val="single" w:sz="8" w:color="auto"/>
            </w:tcBorders>
          </w:tcPr>
          <w:p>
            <w:pPr>
              <w:ind w:left="220"/>
              <w:spacing w:after="0" w:line="200" w:lineRule="exact"/>
              <w:rPr>
                <w:sz w:val="20"/>
                <w:szCs w:val="20"/>
                <w:color w:val="auto"/>
              </w:rPr>
            </w:pPr>
            <w:r>
              <w:rPr>
                <w:rFonts w:ascii="Arial" w:cs="Arial" w:eastAsia="Arial" w:hAnsi="Arial"/>
                <w:sz w:val="18"/>
                <w:szCs w:val="18"/>
                <w:color w:val="auto"/>
              </w:rPr>
              <w:t>derivatives</w:t>
            </w:r>
          </w:p>
        </w:tc>
        <w:tc>
          <w:tcPr>
            <w:tcW w:w="1000" w:type="dxa"/>
            <w:vAlign w:val="bottom"/>
            <w:tcBorders>
              <w:bottom w:val="single" w:sz="8" w:color="auto"/>
            </w:tcBorders>
            <w:vMerge w:val="continue"/>
          </w:tcPr>
          <w:p>
            <w:pPr>
              <w:spacing w:after="0"/>
              <w:rPr>
                <w:sz w:val="17"/>
                <w:szCs w:val="17"/>
                <w:color w:val="auto"/>
              </w:rPr>
            </w:pPr>
          </w:p>
        </w:tc>
        <w:tc>
          <w:tcPr>
            <w:tcW w:w="320" w:type="dxa"/>
            <w:vAlign w:val="bottom"/>
            <w:tcBorders>
              <w:bottom w:val="single" w:sz="8" w:color="auto"/>
            </w:tcBorders>
          </w:tcPr>
          <w:p>
            <w:pPr>
              <w:spacing w:after="0"/>
              <w:rPr>
                <w:sz w:val="17"/>
                <w:szCs w:val="17"/>
                <w:color w:val="auto"/>
              </w:rPr>
            </w:pPr>
          </w:p>
        </w:tc>
        <w:tc>
          <w:tcPr>
            <w:tcW w:w="620" w:type="dxa"/>
            <w:vAlign w:val="bottom"/>
            <w:tcBorders>
              <w:bottom w:val="single" w:sz="8" w:color="auto"/>
            </w:tcBorders>
          </w:tcPr>
          <w:p>
            <w:pPr>
              <w:jc w:val="right"/>
              <w:ind w:right="175"/>
              <w:spacing w:after="0" w:line="200" w:lineRule="exact"/>
              <w:rPr>
                <w:sz w:val="20"/>
                <w:szCs w:val="20"/>
                <w:color w:val="auto"/>
              </w:rPr>
            </w:pPr>
            <w:r>
              <w:rPr>
                <w:rFonts w:ascii="Arial" w:cs="Arial" w:eastAsia="Arial" w:hAnsi="Arial"/>
                <w:sz w:val="18"/>
                <w:szCs w:val="18"/>
                <w:color w:val="auto"/>
              </w:rPr>
              <w:t>16</w:t>
            </w:r>
          </w:p>
        </w:tc>
        <w:tc>
          <w:tcPr>
            <w:tcW w:w="760" w:type="dxa"/>
            <w:vAlign w:val="bottom"/>
            <w:tcBorders>
              <w:bottom w:val="single" w:sz="8" w:color="auto"/>
            </w:tcBorders>
          </w:tcPr>
          <w:p>
            <w:pPr>
              <w:jc w:val="right"/>
              <w:spacing w:after="0" w:line="200" w:lineRule="exact"/>
              <w:rPr>
                <w:sz w:val="20"/>
                <w:szCs w:val="20"/>
                <w:color w:val="auto"/>
              </w:rPr>
            </w:pPr>
            <w:r>
              <w:rPr>
                <w:rFonts w:ascii="Arial" w:cs="Arial" w:eastAsia="Arial" w:hAnsi="Arial"/>
                <w:sz w:val="18"/>
                <w:szCs w:val="18"/>
                <w:color w:val="auto"/>
              </w:rPr>
              <w:t>25</w:t>
            </w:r>
          </w:p>
        </w:tc>
        <w:tc>
          <w:tcPr>
            <w:tcW w:w="0" w:type="dxa"/>
            <w:vAlign w:val="bottom"/>
          </w:tcPr>
          <w:p>
            <w:pPr>
              <w:spacing w:after="0"/>
              <w:rPr>
                <w:sz w:val="1"/>
                <w:szCs w:val="1"/>
                <w:color w:val="auto"/>
              </w:rPr>
            </w:pPr>
          </w:p>
        </w:tc>
      </w:tr>
      <w:tr>
        <w:trPr>
          <w:trHeight w:val="196"/>
        </w:trPr>
        <w:tc>
          <w:tcPr>
            <w:tcW w:w="2780" w:type="dxa"/>
            <w:vAlign w:val="bottom"/>
            <w:tcBorders>
              <w:bottom w:val="single" w:sz="8" w:color="35BF85"/>
            </w:tcBorders>
          </w:tcPr>
          <w:p>
            <w:pPr>
              <w:spacing w:after="0" w:line="196" w:lineRule="exact"/>
              <w:rPr>
                <w:sz w:val="20"/>
                <w:szCs w:val="20"/>
                <w:color w:val="auto"/>
              </w:rPr>
            </w:pPr>
            <w:r>
              <w:rPr>
                <w:rFonts w:ascii="Arial" w:cs="Arial" w:eastAsia="Arial" w:hAnsi="Arial"/>
                <w:sz w:val="18"/>
                <w:szCs w:val="18"/>
                <w:color w:val="auto"/>
              </w:rPr>
              <w:t>Investment income (loss), net</w:t>
            </w:r>
          </w:p>
        </w:tc>
        <w:tc>
          <w:tcPr>
            <w:tcW w:w="1000" w:type="dxa"/>
            <w:vAlign w:val="bottom"/>
            <w:tcBorders>
              <w:bottom w:val="single" w:sz="8" w:color="35BF85"/>
            </w:tcBorders>
          </w:tcPr>
          <w:p>
            <w:pPr>
              <w:jc w:val="right"/>
              <w:ind w:right="175"/>
              <w:spacing w:after="0" w:line="196" w:lineRule="exact"/>
              <w:rPr>
                <w:sz w:val="20"/>
                <w:szCs w:val="20"/>
                <w:color w:val="auto"/>
              </w:rPr>
            </w:pPr>
            <w:r>
              <w:rPr>
                <w:rFonts w:ascii="Arial" w:cs="Arial" w:eastAsia="Arial" w:hAnsi="Arial"/>
                <w:sz w:val="18"/>
                <w:szCs w:val="18"/>
                <w:b w:val="1"/>
                <w:bCs w:val="1"/>
                <w:color w:val="auto"/>
              </w:rPr>
              <w:t>$ 990</w:t>
            </w:r>
          </w:p>
        </w:tc>
        <w:tc>
          <w:tcPr>
            <w:tcW w:w="320" w:type="dxa"/>
            <w:vAlign w:val="bottom"/>
            <w:tcBorders>
              <w:bottom w:val="single" w:sz="8" w:color="35BF85"/>
            </w:tcBorders>
          </w:tcPr>
          <w:p>
            <w:pPr>
              <w:jc w:val="right"/>
              <w:spacing w:after="0" w:line="196" w:lineRule="exact"/>
              <w:rPr>
                <w:sz w:val="20"/>
                <w:szCs w:val="20"/>
                <w:color w:val="auto"/>
              </w:rPr>
            </w:pPr>
            <w:r>
              <w:rPr>
                <w:rFonts w:ascii="Arial" w:cs="Arial" w:eastAsia="Arial" w:hAnsi="Arial"/>
                <w:sz w:val="18"/>
                <w:szCs w:val="18"/>
                <w:color w:val="auto"/>
              </w:rPr>
              <w:t>$</w:t>
            </w:r>
          </w:p>
        </w:tc>
        <w:tc>
          <w:tcPr>
            <w:tcW w:w="620" w:type="dxa"/>
            <w:vAlign w:val="bottom"/>
            <w:tcBorders>
              <w:bottom w:val="single" w:sz="8" w:color="35BF85"/>
            </w:tcBorders>
          </w:tcPr>
          <w:p>
            <w:pPr>
              <w:jc w:val="right"/>
              <w:ind w:right="175"/>
              <w:spacing w:after="0" w:line="196" w:lineRule="exact"/>
              <w:rPr>
                <w:sz w:val="20"/>
                <w:szCs w:val="20"/>
                <w:color w:val="auto"/>
              </w:rPr>
            </w:pPr>
            <w:r>
              <w:rPr>
                <w:rFonts w:ascii="Arial" w:cs="Arial" w:eastAsia="Arial" w:hAnsi="Arial"/>
                <w:sz w:val="18"/>
                <w:szCs w:val="18"/>
                <w:color w:val="auto"/>
              </w:rPr>
              <w:t>89</w:t>
            </w:r>
          </w:p>
        </w:tc>
        <w:tc>
          <w:tcPr>
            <w:tcW w:w="760" w:type="dxa"/>
            <w:vAlign w:val="bottom"/>
            <w:tcBorders>
              <w:bottom w:val="single" w:sz="8" w:color="35BF85"/>
            </w:tcBorders>
          </w:tcPr>
          <w:p>
            <w:pPr>
              <w:jc w:val="right"/>
              <w:spacing w:after="0" w:line="196" w:lineRule="exact"/>
              <w:rPr>
                <w:sz w:val="20"/>
                <w:szCs w:val="20"/>
                <w:color w:val="auto"/>
              </w:rPr>
            </w:pPr>
            <w:r>
              <w:rPr>
                <w:rFonts w:ascii="Arial" w:cs="Arial" w:eastAsia="Arial" w:hAnsi="Arial"/>
                <w:sz w:val="18"/>
                <w:szCs w:val="18"/>
                <w:color w:val="auto"/>
              </w:rPr>
              <w:t>$ 472</w:t>
            </w:r>
          </w:p>
        </w:tc>
        <w:tc>
          <w:tcPr>
            <w:tcW w:w="0" w:type="dxa"/>
            <w:vAlign w:val="bottom"/>
          </w:tcPr>
          <w:p>
            <w:pPr>
              <w:spacing w:after="0"/>
              <w:rPr>
                <w:sz w:val="1"/>
                <w:szCs w:val="1"/>
                <w:color w:val="auto"/>
              </w:rPr>
            </w:pPr>
          </w:p>
        </w:tc>
      </w:tr>
    </w:tbl>
    <w:p>
      <w:pPr>
        <w:spacing w:after="0" w:line="165" w:lineRule="exact"/>
        <w:rPr>
          <w:sz w:val="20"/>
          <w:szCs w:val="20"/>
          <w:color w:val="auto"/>
        </w:rPr>
      </w:pPr>
    </w:p>
    <w:p>
      <w:pPr>
        <w:jc w:val="both"/>
        <w:ind w:left="140" w:right="120"/>
        <w:spacing w:after="0" w:line="236" w:lineRule="auto"/>
        <w:rPr>
          <w:rFonts w:ascii="Arial" w:cs="Arial" w:eastAsia="Arial" w:hAnsi="Arial"/>
          <w:sz w:val="18"/>
          <w:szCs w:val="18"/>
          <w:color w:val="auto"/>
        </w:rPr>
      </w:pPr>
      <w:r>
        <w:rPr>
          <w:rFonts w:ascii="Arial" w:cs="Arial" w:eastAsia="Arial" w:hAnsi="Arial"/>
          <w:sz w:val="18"/>
          <w:szCs w:val="18"/>
          <w:color w:val="auto"/>
        </w:rPr>
        <w:t xml:space="preserve">In connection with the Adelphia and Time Warner transactions, we recognized gains of approximately $646 million, in the aggregate, on the Redemptions and the exchange of cable systems held by Century and Parnassos (see </w:t>
      </w:r>
      <w:hyperlink w:anchor="page126">
        <w:r>
          <w:rPr>
            <w:rFonts w:ascii="Arial" w:cs="Arial" w:eastAsia="Arial" w:hAnsi="Arial"/>
            <w:sz w:val="18"/>
            <w:szCs w:val="18"/>
            <w:u w:val="single" w:color="auto"/>
            <w:color w:val="0000EE"/>
          </w:rPr>
          <w:t>Note 5</w:t>
        </w:r>
      </w:hyperlink>
      <w:r>
        <w:rPr>
          <w:rFonts w:ascii="Arial" w:cs="Arial" w:eastAsia="Arial" w:hAnsi="Arial"/>
          <w:sz w:val="18"/>
          <w:szCs w:val="18"/>
          <w:color w:val="auto"/>
        </w:rPr>
        <w:t>). These gains are included within the “Gains on sales and exchanges of investments, net” caption in the table above.</w:t>
      </w:r>
    </w:p>
    <w:p>
      <w:pPr>
        <w:spacing w:after="0" w:line="177" w:lineRule="exact"/>
        <w:rPr>
          <w:sz w:val="20"/>
          <w:szCs w:val="20"/>
          <w:color w:val="auto"/>
        </w:rPr>
      </w:pPr>
    </w:p>
    <w:p>
      <w:pPr>
        <w:spacing w:after="0"/>
        <w:tabs>
          <w:tab w:leader="none" w:pos="1080" w:val="left"/>
        </w:tabs>
        <w:rPr>
          <w:sz w:val="20"/>
          <w:szCs w:val="20"/>
          <w:color w:val="auto"/>
        </w:rPr>
      </w:pPr>
      <w:r>
        <w:rPr>
          <w:rFonts w:ascii="Arial" w:cs="Arial" w:eastAsia="Arial" w:hAnsi="Arial"/>
          <w:sz w:val="12"/>
          <w:szCs w:val="12"/>
          <w:b w:val="1"/>
          <w:bCs w:val="1"/>
          <w:color w:val="auto"/>
        </w:rPr>
        <w:t>53</w:t>
      </w:r>
      <w:r>
        <w:rPr>
          <w:sz w:val="20"/>
          <w:szCs w:val="20"/>
          <w:color w:val="auto"/>
        </w:rPr>
        <w:tab/>
      </w:r>
      <w:r>
        <w:rPr>
          <w:rFonts w:ascii="Arial" w:cs="Arial" w:eastAsia="Arial" w:hAnsi="Arial"/>
          <w:sz w:val="12"/>
          <w:szCs w:val="12"/>
          <w:color w:val="auto"/>
        </w:rPr>
        <w:t xml:space="preserve">Comcast 2006 Annual Report </w:t>
      </w:r>
      <w:r>
        <w:rPr>
          <w:rFonts w:ascii="Arial" w:cs="Arial" w:eastAsia="Arial" w:hAnsi="Arial"/>
          <w:sz w:val="12"/>
          <w:szCs w:val="12"/>
          <w:b w:val="1"/>
          <w:bCs w:val="1"/>
          <w:color w:val="auto"/>
        </w:rPr>
        <w:t>Notes to Consolidated Financial Statements</w:t>
      </w:r>
    </w:p>
    <w:p>
      <w:pPr>
        <w:sectPr>
          <w:pgSz w:w="11900" w:h="16838" w:orient="portrait"/>
          <w:cols w:equalWidth="0" w:num="2">
            <w:col w:w="5480" w:space="200"/>
            <w:col w:w="5740"/>
          </w:cols>
          <w:pgMar w:left="240" w:top="459" w:right="239" w:bottom="1440" w:gutter="0" w:footer="0" w:header="0"/>
        </w:sectPr>
      </w:pPr>
    </w:p>
    <w:bookmarkStart w:id="130" w:name="page131"/>
    <w:bookmarkEnd w:id="130"/>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194" name="Picture 1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4"/>
                    <pic:cNvPicPr>
                      <a:picLocks noChangeAspect="1" noChangeArrowheads="1"/>
                    </pic:cNvPicPr>
                  </pic:nvPicPr>
                  <pic:blipFill>
                    <a:blip r:embed="rId201">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200" w:lineRule="exact"/>
        <w:rPr>
          <w:sz w:val="20"/>
          <w:szCs w:val="20"/>
          <w:color w:val="auto"/>
        </w:rPr>
      </w:pPr>
    </w:p>
    <w:p>
      <w:pPr>
        <w:spacing w:after="0" w:line="254" w:lineRule="exact"/>
        <w:rPr>
          <w:sz w:val="20"/>
          <w:szCs w:val="20"/>
          <w:color w:val="auto"/>
        </w:rPr>
      </w:pPr>
    </w:p>
    <w:p>
      <w:pPr>
        <w:spacing w:after="0"/>
        <w:rPr>
          <w:sz w:val="20"/>
          <w:szCs w:val="20"/>
          <w:color w:val="auto"/>
        </w:rPr>
      </w:pPr>
      <w:r>
        <w:rPr>
          <w:rFonts w:ascii="Arial" w:cs="Arial" w:eastAsia="Arial" w:hAnsi="Arial"/>
          <w:sz w:val="18"/>
          <w:szCs w:val="18"/>
          <w:b w:val="1"/>
          <w:bCs w:val="1"/>
          <w:color w:val="35BF85"/>
        </w:rPr>
        <w:t>Note 7: Goodwill and Intangible Assets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77470</wp:posOffset>
            </wp:positionV>
            <wp:extent cx="7246620" cy="8890"/>
            <wp:wrapNone/>
            <wp:docPr id="195" name="Picture 1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5"/>
                    <pic:cNvPicPr>
                      <a:picLocks noChangeAspect="1" noChangeArrowheads="1"/>
                    </pic:cNvPicPr>
                  </pic:nvPicPr>
                  <pic:blipFill>
                    <a:blip r:embed="rId202">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227" w:lineRule="exact"/>
        <w:rPr>
          <w:sz w:val="20"/>
          <w:szCs w:val="20"/>
          <w:color w:val="auto"/>
        </w:rPr>
      </w:pPr>
    </w:p>
    <w:p>
      <w:pPr>
        <w:spacing w:after="0" w:line="239" w:lineRule="auto"/>
        <w:rPr>
          <w:rFonts w:ascii="Arial" w:cs="Arial" w:eastAsia="Arial" w:hAnsi="Arial"/>
          <w:sz w:val="18"/>
          <w:szCs w:val="18"/>
          <w:color w:val="auto"/>
        </w:rPr>
      </w:pPr>
      <w:r>
        <w:rPr>
          <w:rFonts w:ascii="Arial" w:cs="Arial" w:eastAsia="Arial" w:hAnsi="Arial"/>
          <w:sz w:val="18"/>
          <w:szCs w:val="18"/>
          <w:color w:val="auto"/>
        </w:rPr>
        <w:t xml:space="preserve">The December 31, 2005 and 2004 Cable segment goodwill balances exclude $720 million related to discontinued operations. The changes in the carrying amount of goodwill by business segment (see </w:t>
      </w:r>
      <w:hyperlink w:anchor="page142">
        <w:r>
          <w:rPr>
            <w:rFonts w:ascii="Arial" w:cs="Arial" w:eastAsia="Arial" w:hAnsi="Arial"/>
            <w:sz w:val="18"/>
            <w:szCs w:val="18"/>
            <w:u w:val="single" w:color="auto"/>
            <w:color w:val="0000EE"/>
          </w:rPr>
          <w:t>Note 14</w:t>
        </w:r>
      </w:hyperlink>
      <w:r>
        <w:rPr>
          <w:rFonts w:ascii="Arial" w:cs="Arial" w:eastAsia="Arial" w:hAnsi="Arial"/>
          <w:sz w:val="18"/>
          <w:szCs w:val="18"/>
          <w:color w:val="auto"/>
        </w:rPr>
        <w:t>) for the periods presented are as follows:</w:t>
      </w:r>
    </w:p>
    <w:p>
      <w:pPr>
        <w:spacing w:after="0" w:line="179"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4900" w:type="dxa"/>
            <w:vAlign w:val="bottom"/>
          </w:tcPr>
          <w:p>
            <w:pPr>
              <w:spacing w:after="0"/>
              <w:rPr>
                <w:sz w:val="14"/>
                <w:szCs w:val="14"/>
                <w:color w:val="auto"/>
              </w:rPr>
            </w:pPr>
          </w:p>
        </w:tc>
        <w:tc>
          <w:tcPr>
            <w:tcW w:w="340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1020" w:type="dxa"/>
            <w:vAlign w:val="bottom"/>
            <w:gridSpan w:val="2"/>
          </w:tcPr>
          <w:p>
            <w:pPr>
              <w:ind w:left="220"/>
              <w:spacing w:after="0"/>
              <w:rPr>
                <w:sz w:val="20"/>
                <w:szCs w:val="20"/>
                <w:color w:val="auto"/>
              </w:rPr>
            </w:pPr>
            <w:r>
              <w:rPr>
                <w:rFonts w:ascii="Arial" w:cs="Arial" w:eastAsia="Arial" w:hAnsi="Arial"/>
                <w:sz w:val="14"/>
                <w:szCs w:val="14"/>
                <w:color w:val="auto"/>
              </w:rPr>
              <w:t>Corporate</w:t>
            </w:r>
          </w:p>
        </w:tc>
        <w:tc>
          <w:tcPr>
            <w:tcW w:w="920" w:type="dxa"/>
            <w:vAlign w:val="bottom"/>
          </w:tcPr>
          <w:p>
            <w:pPr>
              <w:spacing w:after="0"/>
              <w:rPr>
                <w:sz w:val="14"/>
                <w:szCs w:val="14"/>
                <w:color w:val="auto"/>
              </w:rPr>
            </w:pPr>
          </w:p>
        </w:tc>
      </w:tr>
      <w:tr>
        <w:trPr>
          <w:trHeight w:val="149"/>
        </w:trPr>
        <w:tc>
          <w:tcPr>
            <w:tcW w:w="4900" w:type="dxa"/>
            <w:vAlign w:val="bottom"/>
            <w:tcBorders>
              <w:bottom w:val="single" w:sz="8" w:color="auto"/>
            </w:tcBorders>
          </w:tcPr>
          <w:p>
            <w:pPr>
              <w:spacing w:after="0" w:line="149" w:lineRule="exact"/>
              <w:rPr>
                <w:sz w:val="20"/>
                <w:szCs w:val="20"/>
                <w:color w:val="auto"/>
              </w:rPr>
            </w:pPr>
            <w:r>
              <w:rPr>
                <w:rFonts w:ascii="Arial" w:cs="Arial" w:eastAsia="Arial" w:hAnsi="Arial"/>
                <w:sz w:val="14"/>
                <w:szCs w:val="14"/>
                <w:color w:val="auto"/>
              </w:rPr>
              <w:t>(in millions)</w:t>
            </w:r>
          </w:p>
        </w:tc>
        <w:tc>
          <w:tcPr>
            <w:tcW w:w="3400" w:type="dxa"/>
            <w:vAlign w:val="bottom"/>
            <w:tcBorders>
              <w:bottom w:val="single" w:sz="8" w:color="auto"/>
            </w:tcBorders>
          </w:tcPr>
          <w:p>
            <w:pPr>
              <w:jc w:val="right"/>
              <w:ind w:right="135"/>
              <w:spacing w:after="0" w:line="149" w:lineRule="exact"/>
              <w:rPr>
                <w:sz w:val="20"/>
                <w:szCs w:val="20"/>
                <w:color w:val="auto"/>
              </w:rPr>
            </w:pPr>
            <w:r>
              <w:rPr>
                <w:rFonts w:ascii="Arial" w:cs="Arial" w:eastAsia="Arial" w:hAnsi="Arial"/>
                <w:sz w:val="14"/>
                <w:szCs w:val="14"/>
                <w:color w:val="auto"/>
              </w:rPr>
              <w:t>Cable</w:t>
            </w:r>
          </w:p>
        </w:tc>
        <w:tc>
          <w:tcPr>
            <w:tcW w:w="1180" w:type="dxa"/>
            <w:vAlign w:val="bottom"/>
            <w:tcBorders>
              <w:bottom w:val="single" w:sz="8" w:color="auto"/>
            </w:tcBorders>
            <w:gridSpan w:val="2"/>
          </w:tcPr>
          <w:p>
            <w:pPr>
              <w:ind w:left="180"/>
              <w:spacing w:after="0" w:line="149" w:lineRule="exact"/>
              <w:rPr>
                <w:sz w:val="20"/>
                <w:szCs w:val="20"/>
                <w:color w:val="auto"/>
              </w:rPr>
            </w:pPr>
            <w:r>
              <w:rPr>
                <w:rFonts w:ascii="Arial" w:cs="Arial" w:eastAsia="Arial" w:hAnsi="Arial"/>
                <w:sz w:val="14"/>
                <w:szCs w:val="14"/>
                <w:color w:val="auto"/>
              </w:rPr>
              <w:t>Programming</w:t>
            </w:r>
          </w:p>
        </w:tc>
        <w:tc>
          <w:tcPr>
            <w:tcW w:w="1020" w:type="dxa"/>
            <w:vAlign w:val="bottom"/>
            <w:tcBorders>
              <w:bottom w:val="single" w:sz="8" w:color="auto"/>
            </w:tcBorders>
            <w:gridSpan w:val="2"/>
          </w:tcPr>
          <w:p>
            <w:pPr>
              <w:ind w:left="220"/>
              <w:spacing w:after="0" w:line="149" w:lineRule="exact"/>
              <w:rPr>
                <w:sz w:val="20"/>
                <w:szCs w:val="20"/>
                <w:color w:val="auto"/>
              </w:rPr>
            </w:pPr>
            <w:r>
              <w:rPr>
                <w:rFonts w:ascii="Arial" w:cs="Arial" w:eastAsia="Arial" w:hAnsi="Arial"/>
                <w:sz w:val="14"/>
                <w:szCs w:val="14"/>
                <w:color w:val="auto"/>
              </w:rPr>
              <w:t>and Other</w:t>
            </w:r>
          </w:p>
        </w:tc>
        <w:tc>
          <w:tcPr>
            <w:tcW w:w="920" w:type="dxa"/>
            <w:vAlign w:val="bottom"/>
            <w:tcBorders>
              <w:bottom w:val="single" w:sz="8" w:color="auto"/>
            </w:tcBorders>
          </w:tcPr>
          <w:p>
            <w:pPr>
              <w:jc w:val="right"/>
              <w:spacing w:after="0" w:line="149" w:lineRule="exact"/>
              <w:rPr>
                <w:sz w:val="20"/>
                <w:szCs w:val="20"/>
                <w:color w:val="auto"/>
              </w:rPr>
            </w:pPr>
            <w:r>
              <w:rPr>
                <w:rFonts w:ascii="Arial" w:cs="Arial" w:eastAsia="Arial" w:hAnsi="Arial"/>
                <w:sz w:val="14"/>
                <w:szCs w:val="14"/>
                <w:color w:val="auto"/>
              </w:rPr>
              <w:t>Total</w:t>
            </w:r>
          </w:p>
        </w:tc>
      </w:tr>
      <w:tr>
        <w:trPr>
          <w:trHeight w:val="199"/>
        </w:trPr>
        <w:tc>
          <w:tcPr>
            <w:tcW w:w="4900" w:type="dxa"/>
            <w:vAlign w:val="bottom"/>
          </w:tcPr>
          <w:p>
            <w:pPr>
              <w:spacing w:after="0" w:line="200" w:lineRule="exact"/>
              <w:rPr>
                <w:sz w:val="20"/>
                <w:szCs w:val="20"/>
                <w:color w:val="auto"/>
              </w:rPr>
            </w:pPr>
            <w:r>
              <w:rPr>
                <w:rFonts w:ascii="Arial" w:cs="Arial" w:eastAsia="Arial" w:hAnsi="Arial"/>
                <w:sz w:val="18"/>
                <w:szCs w:val="18"/>
                <w:color w:val="auto"/>
              </w:rPr>
              <w:t>Balance, December 31, 2004</w:t>
            </w:r>
          </w:p>
        </w:tc>
        <w:tc>
          <w:tcPr>
            <w:tcW w:w="3400" w:type="dxa"/>
            <w:vAlign w:val="bottom"/>
          </w:tcPr>
          <w:p>
            <w:pPr>
              <w:jc w:val="right"/>
              <w:ind w:right="135"/>
              <w:spacing w:after="0" w:line="200" w:lineRule="exact"/>
              <w:rPr>
                <w:sz w:val="20"/>
                <w:szCs w:val="20"/>
                <w:color w:val="auto"/>
              </w:rPr>
            </w:pPr>
            <w:r>
              <w:rPr>
                <w:rFonts w:ascii="Arial" w:cs="Arial" w:eastAsia="Arial" w:hAnsi="Arial"/>
                <w:sz w:val="18"/>
                <w:szCs w:val="18"/>
                <w:color w:val="auto"/>
              </w:rPr>
              <w:t>$12,278</w:t>
            </w:r>
          </w:p>
        </w:tc>
        <w:tc>
          <w:tcPr>
            <w:tcW w:w="400" w:type="dxa"/>
            <w:vAlign w:val="bottom"/>
          </w:tcPr>
          <w:p>
            <w:pPr>
              <w:ind w:left="160"/>
              <w:spacing w:after="0" w:line="200" w:lineRule="exact"/>
              <w:rPr>
                <w:sz w:val="20"/>
                <w:szCs w:val="20"/>
                <w:color w:val="auto"/>
              </w:rPr>
            </w:pPr>
            <w:r>
              <w:rPr>
                <w:rFonts w:ascii="Arial" w:cs="Arial" w:eastAsia="Arial" w:hAnsi="Arial"/>
                <w:sz w:val="18"/>
                <w:szCs w:val="18"/>
                <w:color w:val="auto"/>
              </w:rPr>
              <w:t>$</w:t>
            </w:r>
          </w:p>
        </w:tc>
        <w:tc>
          <w:tcPr>
            <w:tcW w:w="780" w:type="dxa"/>
            <w:vAlign w:val="bottom"/>
          </w:tcPr>
          <w:p>
            <w:pPr>
              <w:jc w:val="right"/>
              <w:ind w:right="112"/>
              <w:spacing w:after="0" w:line="200" w:lineRule="exact"/>
              <w:rPr>
                <w:sz w:val="20"/>
                <w:szCs w:val="20"/>
                <w:color w:val="auto"/>
              </w:rPr>
            </w:pPr>
            <w:r>
              <w:rPr>
                <w:rFonts w:ascii="Arial" w:cs="Arial" w:eastAsia="Arial" w:hAnsi="Arial"/>
                <w:sz w:val="18"/>
                <w:szCs w:val="18"/>
                <w:color w:val="auto"/>
              </w:rPr>
              <w:t>824</w:t>
            </w:r>
          </w:p>
        </w:tc>
        <w:tc>
          <w:tcPr>
            <w:tcW w:w="420" w:type="dxa"/>
            <w:vAlign w:val="bottom"/>
          </w:tcPr>
          <w:p>
            <w:pPr>
              <w:ind w:left="220"/>
              <w:spacing w:after="0" w:line="200" w:lineRule="exact"/>
              <w:rPr>
                <w:sz w:val="20"/>
                <w:szCs w:val="20"/>
                <w:color w:val="auto"/>
              </w:rPr>
            </w:pPr>
            <w:r>
              <w:rPr>
                <w:rFonts w:ascii="Arial" w:cs="Arial" w:eastAsia="Arial" w:hAnsi="Arial"/>
                <w:sz w:val="18"/>
                <w:szCs w:val="18"/>
                <w:color w:val="auto"/>
              </w:rPr>
              <w:t>$</w:t>
            </w:r>
          </w:p>
        </w:tc>
        <w:tc>
          <w:tcPr>
            <w:tcW w:w="600" w:type="dxa"/>
            <w:vAlign w:val="bottom"/>
          </w:tcPr>
          <w:p>
            <w:pPr>
              <w:jc w:val="right"/>
              <w:ind w:right="112"/>
              <w:spacing w:after="0" w:line="200" w:lineRule="exact"/>
              <w:rPr>
                <w:sz w:val="20"/>
                <w:szCs w:val="20"/>
                <w:color w:val="auto"/>
              </w:rPr>
            </w:pPr>
            <w:r>
              <w:rPr>
                <w:rFonts w:ascii="Arial" w:cs="Arial" w:eastAsia="Arial" w:hAnsi="Arial"/>
                <w:sz w:val="18"/>
                <w:szCs w:val="18"/>
                <w:color w:val="auto"/>
              </w:rPr>
              <w:t>198</w:t>
            </w:r>
          </w:p>
        </w:tc>
        <w:tc>
          <w:tcPr>
            <w:tcW w:w="920" w:type="dxa"/>
            <w:vAlign w:val="bottom"/>
          </w:tcPr>
          <w:p>
            <w:pPr>
              <w:jc w:val="right"/>
              <w:spacing w:after="0" w:line="200" w:lineRule="exact"/>
              <w:rPr>
                <w:sz w:val="20"/>
                <w:szCs w:val="20"/>
                <w:color w:val="auto"/>
              </w:rPr>
            </w:pPr>
            <w:r>
              <w:rPr>
                <w:rFonts w:ascii="Arial" w:cs="Arial" w:eastAsia="Arial" w:hAnsi="Arial"/>
                <w:sz w:val="18"/>
                <w:szCs w:val="18"/>
                <w:color w:val="auto"/>
              </w:rPr>
              <w:t>$13,300</w:t>
            </w:r>
          </w:p>
        </w:tc>
      </w:tr>
      <w:tr>
        <w:trPr>
          <w:trHeight w:val="203"/>
        </w:trPr>
        <w:tc>
          <w:tcPr>
            <w:tcW w:w="4900" w:type="dxa"/>
            <w:vAlign w:val="bottom"/>
          </w:tcPr>
          <w:p>
            <w:pPr>
              <w:spacing w:after="0" w:line="202" w:lineRule="exact"/>
              <w:rPr>
                <w:sz w:val="20"/>
                <w:szCs w:val="20"/>
                <w:color w:val="auto"/>
              </w:rPr>
            </w:pPr>
            <w:r>
              <w:rPr>
                <w:rFonts w:ascii="Arial" w:cs="Arial" w:eastAsia="Arial" w:hAnsi="Arial"/>
                <w:sz w:val="18"/>
                <w:szCs w:val="18"/>
                <w:color w:val="auto"/>
              </w:rPr>
              <w:t>Settlements and adjustments</w:t>
            </w:r>
          </w:p>
        </w:tc>
        <w:tc>
          <w:tcPr>
            <w:tcW w:w="3400" w:type="dxa"/>
            <w:vAlign w:val="bottom"/>
          </w:tcPr>
          <w:p>
            <w:pPr>
              <w:jc w:val="right"/>
              <w:ind w:right="75"/>
              <w:spacing w:after="0" w:line="202" w:lineRule="exact"/>
              <w:rPr>
                <w:sz w:val="20"/>
                <w:szCs w:val="20"/>
                <w:color w:val="auto"/>
              </w:rPr>
            </w:pPr>
            <w:r>
              <w:rPr>
                <w:rFonts w:ascii="Arial" w:cs="Arial" w:eastAsia="Arial" w:hAnsi="Arial"/>
                <w:sz w:val="18"/>
                <w:szCs w:val="18"/>
                <w:color w:val="auto"/>
              </w:rPr>
              <w:t>(50)</w:t>
            </w:r>
          </w:p>
        </w:tc>
        <w:tc>
          <w:tcPr>
            <w:tcW w:w="400" w:type="dxa"/>
            <w:vAlign w:val="bottom"/>
          </w:tcPr>
          <w:p>
            <w:pPr>
              <w:spacing w:after="0"/>
              <w:rPr>
                <w:sz w:val="17"/>
                <w:szCs w:val="17"/>
                <w:color w:val="auto"/>
              </w:rPr>
            </w:pPr>
          </w:p>
        </w:tc>
        <w:tc>
          <w:tcPr>
            <w:tcW w:w="780" w:type="dxa"/>
            <w:vAlign w:val="bottom"/>
          </w:tcPr>
          <w:p>
            <w:pPr>
              <w:jc w:val="right"/>
              <w:ind w:right="112"/>
              <w:spacing w:after="0" w:line="202" w:lineRule="exact"/>
              <w:rPr>
                <w:sz w:val="20"/>
                <w:szCs w:val="20"/>
                <w:color w:val="auto"/>
              </w:rPr>
            </w:pPr>
            <w:r>
              <w:rPr>
                <w:rFonts w:ascii="Arial" w:cs="Arial" w:eastAsia="Arial" w:hAnsi="Arial"/>
                <w:sz w:val="18"/>
                <w:szCs w:val="18"/>
                <w:color w:val="auto"/>
              </w:rPr>
              <w:t>89</w:t>
            </w:r>
          </w:p>
        </w:tc>
        <w:tc>
          <w:tcPr>
            <w:tcW w:w="420" w:type="dxa"/>
            <w:vAlign w:val="bottom"/>
          </w:tcPr>
          <w:p>
            <w:pPr>
              <w:spacing w:after="0"/>
              <w:rPr>
                <w:sz w:val="17"/>
                <w:szCs w:val="17"/>
                <w:color w:val="auto"/>
              </w:rPr>
            </w:pPr>
          </w:p>
        </w:tc>
        <w:tc>
          <w:tcPr>
            <w:tcW w:w="600" w:type="dxa"/>
            <w:vAlign w:val="bottom"/>
          </w:tcPr>
          <w:p>
            <w:pPr>
              <w:jc w:val="right"/>
              <w:ind w:right="212"/>
              <w:spacing w:after="0" w:line="202" w:lineRule="exact"/>
              <w:rPr>
                <w:sz w:val="20"/>
                <w:szCs w:val="20"/>
                <w:color w:val="auto"/>
              </w:rPr>
            </w:pPr>
            <w:r>
              <w:rPr>
                <w:rFonts w:ascii="Arial" w:cs="Arial" w:eastAsia="Arial" w:hAnsi="Arial"/>
                <w:sz w:val="18"/>
                <w:szCs w:val="18"/>
                <w:color w:val="auto"/>
              </w:rPr>
              <w:t>—</w:t>
            </w:r>
          </w:p>
        </w:tc>
        <w:tc>
          <w:tcPr>
            <w:tcW w:w="920" w:type="dxa"/>
            <w:vAlign w:val="bottom"/>
          </w:tcPr>
          <w:p>
            <w:pPr>
              <w:jc w:val="right"/>
              <w:spacing w:after="0" w:line="202" w:lineRule="exact"/>
              <w:rPr>
                <w:sz w:val="20"/>
                <w:szCs w:val="20"/>
                <w:color w:val="auto"/>
              </w:rPr>
            </w:pPr>
            <w:r>
              <w:rPr>
                <w:rFonts w:ascii="Arial" w:cs="Arial" w:eastAsia="Arial" w:hAnsi="Arial"/>
                <w:sz w:val="18"/>
                <w:szCs w:val="18"/>
                <w:color w:val="auto"/>
              </w:rPr>
              <w:t>39</w:t>
            </w:r>
          </w:p>
        </w:tc>
      </w:tr>
      <w:tr>
        <w:trPr>
          <w:trHeight w:val="199"/>
        </w:trPr>
        <w:tc>
          <w:tcPr>
            <w:tcW w:w="4900" w:type="dxa"/>
            <w:vAlign w:val="bottom"/>
            <w:tcBorders>
              <w:bottom w:val="single" w:sz="8" w:color="auto"/>
            </w:tcBorders>
          </w:tcPr>
          <w:p>
            <w:pPr>
              <w:spacing w:after="0" w:line="200" w:lineRule="exact"/>
              <w:rPr>
                <w:sz w:val="20"/>
                <w:szCs w:val="20"/>
                <w:color w:val="auto"/>
              </w:rPr>
            </w:pPr>
            <w:r>
              <w:rPr>
                <w:rFonts w:ascii="Arial" w:cs="Arial" w:eastAsia="Arial" w:hAnsi="Arial"/>
                <w:sz w:val="18"/>
                <w:szCs w:val="18"/>
                <w:color w:val="auto"/>
              </w:rPr>
              <w:t>Acquisitions</w:t>
            </w:r>
          </w:p>
        </w:tc>
        <w:tc>
          <w:tcPr>
            <w:tcW w:w="3400" w:type="dxa"/>
            <w:vAlign w:val="bottom"/>
            <w:tcBorders>
              <w:bottom w:val="single" w:sz="8" w:color="auto"/>
            </w:tcBorders>
          </w:tcPr>
          <w:p>
            <w:pPr>
              <w:jc w:val="right"/>
              <w:ind w:right="135"/>
              <w:spacing w:after="0" w:line="200" w:lineRule="exact"/>
              <w:rPr>
                <w:sz w:val="20"/>
                <w:szCs w:val="20"/>
                <w:color w:val="auto"/>
              </w:rPr>
            </w:pPr>
            <w:r>
              <w:rPr>
                <w:rFonts w:ascii="Arial" w:cs="Arial" w:eastAsia="Arial" w:hAnsi="Arial"/>
                <w:sz w:val="18"/>
                <w:szCs w:val="18"/>
                <w:color w:val="auto"/>
              </w:rPr>
              <w:t>45</w:t>
            </w:r>
          </w:p>
        </w:tc>
        <w:tc>
          <w:tcPr>
            <w:tcW w:w="400" w:type="dxa"/>
            <w:vAlign w:val="bottom"/>
            <w:tcBorders>
              <w:bottom w:val="single" w:sz="8" w:color="auto"/>
            </w:tcBorders>
          </w:tcPr>
          <w:p>
            <w:pPr>
              <w:spacing w:after="0"/>
              <w:rPr>
                <w:sz w:val="17"/>
                <w:szCs w:val="17"/>
                <w:color w:val="auto"/>
              </w:rPr>
            </w:pPr>
          </w:p>
        </w:tc>
        <w:tc>
          <w:tcPr>
            <w:tcW w:w="780" w:type="dxa"/>
            <w:vAlign w:val="bottom"/>
            <w:tcBorders>
              <w:bottom w:val="single" w:sz="8" w:color="auto"/>
            </w:tcBorders>
          </w:tcPr>
          <w:p>
            <w:pPr>
              <w:jc w:val="right"/>
              <w:ind w:right="112"/>
              <w:spacing w:after="0" w:line="200" w:lineRule="exact"/>
              <w:rPr>
                <w:sz w:val="20"/>
                <w:szCs w:val="20"/>
                <w:color w:val="auto"/>
              </w:rPr>
            </w:pPr>
            <w:r>
              <w:rPr>
                <w:rFonts w:ascii="Arial" w:cs="Arial" w:eastAsia="Arial" w:hAnsi="Arial"/>
                <w:sz w:val="18"/>
                <w:szCs w:val="18"/>
                <w:color w:val="auto"/>
              </w:rPr>
              <w:t>53</w:t>
            </w:r>
          </w:p>
        </w:tc>
        <w:tc>
          <w:tcPr>
            <w:tcW w:w="420" w:type="dxa"/>
            <w:vAlign w:val="bottom"/>
            <w:tcBorders>
              <w:bottom w:val="single" w:sz="8" w:color="auto"/>
            </w:tcBorders>
          </w:tcPr>
          <w:p>
            <w:pPr>
              <w:spacing w:after="0"/>
              <w:rPr>
                <w:sz w:val="17"/>
                <w:szCs w:val="17"/>
                <w:color w:val="auto"/>
              </w:rPr>
            </w:pPr>
          </w:p>
        </w:tc>
        <w:tc>
          <w:tcPr>
            <w:tcW w:w="600" w:type="dxa"/>
            <w:vAlign w:val="bottom"/>
            <w:tcBorders>
              <w:bottom w:val="single" w:sz="8" w:color="auto"/>
            </w:tcBorders>
          </w:tcPr>
          <w:p>
            <w:pPr>
              <w:jc w:val="right"/>
              <w:ind w:right="112"/>
              <w:spacing w:after="0" w:line="200" w:lineRule="exact"/>
              <w:rPr>
                <w:sz w:val="20"/>
                <w:szCs w:val="20"/>
                <w:color w:val="auto"/>
              </w:rPr>
            </w:pPr>
            <w:r>
              <w:rPr>
                <w:rFonts w:ascii="Arial" w:cs="Arial" w:eastAsia="Arial" w:hAnsi="Arial"/>
                <w:sz w:val="18"/>
                <w:szCs w:val="18"/>
                <w:color w:val="auto"/>
              </w:rPr>
              <w:t>61</w:t>
            </w:r>
          </w:p>
        </w:tc>
        <w:tc>
          <w:tcPr>
            <w:tcW w:w="920" w:type="dxa"/>
            <w:vAlign w:val="bottom"/>
            <w:tcBorders>
              <w:bottom w:val="single" w:sz="8" w:color="auto"/>
            </w:tcBorders>
          </w:tcPr>
          <w:p>
            <w:pPr>
              <w:jc w:val="right"/>
              <w:spacing w:after="0" w:line="200" w:lineRule="exact"/>
              <w:rPr>
                <w:sz w:val="20"/>
                <w:szCs w:val="20"/>
                <w:color w:val="auto"/>
              </w:rPr>
            </w:pPr>
            <w:r>
              <w:rPr>
                <w:rFonts w:ascii="Arial" w:cs="Arial" w:eastAsia="Arial" w:hAnsi="Arial"/>
                <w:sz w:val="18"/>
                <w:szCs w:val="18"/>
                <w:color w:val="auto"/>
              </w:rPr>
              <w:t>159</w:t>
            </w:r>
          </w:p>
        </w:tc>
      </w:tr>
      <w:tr>
        <w:trPr>
          <w:trHeight w:val="199"/>
        </w:trPr>
        <w:tc>
          <w:tcPr>
            <w:tcW w:w="4900" w:type="dxa"/>
            <w:vAlign w:val="bottom"/>
          </w:tcPr>
          <w:p>
            <w:pPr>
              <w:spacing w:after="0" w:line="200" w:lineRule="exact"/>
              <w:rPr>
                <w:sz w:val="20"/>
                <w:szCs w:val="20"/>
                <w:color w:val="auto"/>
              </w:rPr>
            </w:pPr>
            <w:r>
              <w:rPr>
                <w:rFonts w:ascii="Arial" w:cs="Arial" w:eastAsia="Arial" w:hAnsi="Arial"/>
                <w:sz w:val="18"/>
                <w:szCs w:val="18"/>
                <w:color w:val="auto"/>
              </w:rPr>
              <w:t>Balance, December 31, 2005</w:t>
            </w:r>
          </w:p>
        </w:tc>
        <w:tc>
          <w:tcPr>
            <w:tcW w:w="3400" w:type="dxa"/>
            <w:vAlign w:val="bottom"/>
          </w:tcPr>
          <w:p>
            <w:pPr>
              <w:jc w:val="right"/>
              <w:ind w:right="135"/>
              <w:spacing w:after="0" w:line="200" w:lineRule="exact"/>
              <w:rPr>
                <w:sz w:val="20"/>
                <w:szCs w:val="20"/>
                <w:color w:val="auto"/>
              </w:rPr>
            </w:pPr>
            <w:r>
              <w:rPr>
                <w:rFonts w:ascii="Arial" w:cs="Arial" w:eastAsia="Arial" w:hAnsi="Arial"/>
                <w:sz w:val="18"/>
                <w:szCs w:val="18"/>
                <w:color w:val="auto"/>
              </w:rPr>
              <w:t>12,273</w:t>
            </w:r>
          </w:p>
        </w:tc>
        <w:tc>
          <w:tcPr>
            <w:tcW w:w="400" w:type="dxa"/>
            <w:vAlign w:val="bottom"/>
          </w:tcPr>
          <w:p>
            <w:pPr>
              <w:spacing w:after="0"/>
              <w:rPr>
                <w:sz w:val="17"/>
                <w:szCs w:val="17"/>
                <w:color w:val="auto"/>
              </w:rPr>
            </w:pPr>
          </w:p>
        </w:tc>
        <w:tc>
          <w:tcPr>
            <w:tcW w:w="780" w:type="dxa"/>
            <w:vAlign w:val="bottom"/>
          </w:tcPr>
          <w:p>
            <w:pPr>
              <w:jc w:val="right"/>
              <w:ind w:right="112"/>
              <w:spacing w:after="0" w:line="200" w:lineRule="exact"/>
              <w:rPr>
                <w:sz w:val="20"/>
                <w:szCs w:val="20"/>
                <w:color w:val="auto"/>
              </w:rPr>
            </w:pPr>
            <w:r>
              <w:rPr>
                <w:rFonts w:ascii="Arial" w:cs="Arial" w:eastAsia="Arial" w:hAnsi="Arial"/>
                <w:sz w:val="18"/>
                <w:szCs w:val="18"/>
                <w:color w:val="auto"/>
              </w:rPr>
              <w:t>966</w:t>
            </w:r>
          </w:p>
        </w:tc>
        <w:tc>
          <w:tcPr>
            <w:tcW w:w="420" w:type="dxa"/>
            <w:vAlign w:val="bottom"/>
          </w:tcPr>
          <w:p>
            <w:pPr>
              <w:spacing w:after="0"/>
              <w:rPr>
                <w:sz w:val="17"/>
                <w:szCs w:val="17"/>
                <w:color w:val="auto"/>
              </w:rPr>
            </w:pPr>
          </w:p>
        </w:tc>
        <w:tc>
          <w:tcPr>
            <w:tcW w:w="600" w:type="dxa"/>
            <w:vAlign w:val="bottom"/>
          </w:tcPr>
          <w:p>
            <w:pPr>
              <w:jc w:val="right"/>
              <w:ind w:right="112"/>
              <w:spacing w:after="0" w:line="200" w:lineRule="exact"/>
              <w:rPr>
                <w:sz w:val="20"/>
                <w:szCs w:val="20"/>
                <w:color w:val="auto"/>
              </w:rPr>
            </w:pPr>
            <w:r>
              <w:rPr>
                <w:rFonts w:ascii="Arial" w:cs="Arial" w:eastAsia="Arial" w:hAnsi="Arial"/>
                <w:sz w:val="18"/>
                <w:szCs w:val="18"/>
                <w:color w:val="auto"/>
              </w:rPr>
              <w:t>259</w:t>
            </w:r>
          </w:p>
        </w:tc>
        <w:tc>
          <w:tcPr>
            <w:tcW w:w="920" w:type="dxa"/>
            <w:vAlign w:val="bottom"/>
          </w:tcPr>
          <w:p>
            <w:pPr>
              <w:jc w:val="right"/>
              <w:spacing w:after="0" w:line="200" w:lineRule="exact"/>
              <w:rPr>
                <w:sz w:val="20"/>
                <w:szCs w:val="20"/>
                <w:color w:val="auto"/>
              </w:rPr>
            </w:pPr>
            <w:r>
              <w:rPr>
                <w:rFonts w:ascii="Arial" w:cs="Arial" w:eastAsia="Arial" w:hAnsi="Arial"/>
                <w:sz w:val="18"/>
                <w:szCs w:val="18"/>
                <w:color w:val="auto"/>
              </w:rPr>
              <w:t>13,498</w:t>
            </w:r>
          </w:p>
        </w:tc>
      </w:tr>
      <w:tr>
        <w:trPr>
          <w:trHeight w:val="203"/>
        </w:trPr>
        <w:tc>
          <w:tcPr>
            <w:tcW w:w="4900" w:type="dxa"/>
            <w:vAlign w:val="bottom"/>
          </w:tcPr>
          <w:p>
            <w:pPr>
              <w:spacing w:after="0" w:line="202" w:lineRule="exact"/>
              <w:rPr>
                <w:sz w:val="20"/>
                <w:szCs w:val="20"/>
                <w:color w:val="auto"/>
              </w:rPr>
            </w:pPr>
            <w:r>
              <w:rPr>
                <w:rFonts w:ascii="Arial" w:cs="Arial" w:eastAsia="Arial" w:hAnsi="Arial"/>
                <w:sz w:val="18"/>
                <w:szCs w:val="18"/>
                <w:color w:val="auto"/>
              </w:rPr>
              <w:t>Settlements and adjustments</w:t>
            </w:r>
          </w:p>
        </w:tc>
        <w:tc>
          <w:tcPr>
            <w:tcW w:w="3400" w:type="dxa"/>
            <w:vAlign w:val="bottom"/>
          </w:tcPr>
          <w:p>
            <w:pPr>
              <w:jc w:val="right"/>
              <w:ind w:right="75"/>
              <w:spacing w:after="0" w:line="202" w:lineRule="exact"/>
              <w:rPr>
                <w:sz w:val="20"/>
                <w:szCs w:val="20"/>
                <w:color w:val="auto"/>
              </w:rPr>
            </w:pPr>
            <w:r>
              <w:rPr>
                <w:rFonts w:ascii="Arial" w:cs="Arial" w:eastAsia="Arial" w:hAnsi="Arial"/>
                <w:sz w:val="18"/>
                <w:szCs w:val="18"/>
                <w:color w:val="auto"/>
              </w:rPr>
              <w:t>(695)</w:t>
            </w:r>
          </w:p>
        </w:tc>
        <w:tc>
          <w:tcPr>
            <w:tcW w:w="400" w:type="dxa"/>
            <w:vAlign w:val="bottom"/>
          </w:tcPr>
          <w:p>
            <w:pPr>
              <w:spacing w:after="0"/>
              <w:rPr>
                <w:sz w:val="17"/>
                <w:szCs w:val="17"/>
                <w:color w:val="auto"/>
              </w:rPr>
            </w:pPr>
          </w:p>
        </w:tc>
        <w:tc>
          <w:tcPr>
            <w:tcW w:w="780" w:type="dxa"/>
            <w:vAlign w:val="bottom"/>
          </w:tcPr>
          <w:p>
            <w:pPr>
              <w:jc w:val="right"/>
              <w:ind w:right="112"/>
              <w:spacing w:after="0" w:line="202" w:lineRule="exact"/>
              <w:rPr>
                <w:sz w:val="20"/>
                <w:szCs w:val="20"/>
                <w:color w:val="auto"/>
              </w:rPr>
            </w:pPr>
            <w:r>
              <w:rPr>
                <w:rFonts w:ascii="Arial" w:cs="Arial" w:eastAsia="Arial" w:hAnsi="Arial"/>
                <w:sz w:val="18"/>
                <w:szCs w:val="18"/>
                <w:color w:val="auto"/>
              </w:rPr>
              <w:t>7</w:t>
            </w:r>
          </w:p>
        </w:tc>
        <w:tc>
          <w:tcPr>
            <w:tcW w:w="420" w:type="dxa"/>
            <w:vAlign w:val="bottom"/>
          </w:tcPr>
          <w:p>
            <w:pPr>
              <w:spacing w:after="0"/>
              <w:rPr>
                <w:sz w:val="17"/>
                <w:szCs w:val="17"/>
                <w:color w:val="auto"/>
              </w:rPr>
            </w:pPr>
          </w:p>
        </w:tc>
        <w:tc>
          <w:tcPr>
            <w:tcW w:w="600" w:type="dxa"/>
            <w:vAlign w:val="bottom"/>
          </w:tcPr>
          <w:p>
            <w:pPr>
              <w:jc w:val="right"/>
              <w:ind w:right="212"/>
              <w:spacing w:after="0" w:line="202" w:lineRule="exact"/>
              <w:rPr>
                <w:sz w:val="20"/>
                <w:szCs w:val="20"/>
                <w:color w:val="auto"/>
              </w:rPr>
            </w:pPr>
            <w:r>
              <w:rPr>
                <w:rFonts w:ascii="Arial" w:cs="Arial" w:eastAsia="Arial" w:hAnsi="Arial"/>
                <w:sz w:val="18"/>
                <w:szCs w:val="18"/>
                <w:color w:val="auto"/>
              </w:rPr>
              <w:t>—</w:t>
            </w:r>
          </w:p>
        </w:tc>
        <w:tc>
          <w:tcPr>
            <w:tcW w:w="920" w:type="dxa"/>
            <w:vAlign w:val="bottom"/>
          </w:tcPr>
          <w:p>
            <w:pPr>
              <w:jc w:val="right"/>
              <w:spacing w:after="0" w:line="202" w:lineRule="exact"/>
              <w:rPr>
                <w:sz w:val="20"/>
                <w:szCs w:val="20"/>
                <w:color w:val="auto"/>
              </w:rPr>
            </w:pPr>
            <w:r>
              <w:rPr>
                <w:rFonts w:ascii="Arial" w:cs="Arial" w:eastAsia="Arial" w:hAnsi="Arial"/>
                <w:sz w:val="18"/>
                <w:szCs w:val="18"/>
                <w:color w:val="auto"/>
              </w:rPr>
              <w:t>(688)</w:t>
            </w:r>
          </w:p>
        </w:tc>
      </w:tr>
      <w:tr>
        <w:trPr>
          <w:trHeight w:val="199"/>
        </w:trPr>
        <w:tc>
          <w:tcPr>
            <w:tcW w:w="4900" w:type="dxa"/>
            <w:vAlign w:val="bottom"/>
            <w:tcBorders>
              <w:bottom w:val="single" w:sz="8" w:color="auto"/>
            </w:tcBorders>
          </w:tcPr>
          <w:p>
            <w:pPr>
              <w:spacing w:after="0" w:line="200" w:lineRule="exact"/>
              <w:rPr>
                <w:sz w:val="20"/>
                <w:szCs w:val="20"/>
                <w:color w:val="auto"/>
              </w:rPr>
            </w:pPr>
            <w:r>
              <w:rPr>
                <w:rFonts w:ascii="Arial" w:cs="Arial" w:eastAsia="Arial" w:hAnsi="Arial"/>
                <w:sz w:val="18"/>
                <w:szCs w:val="18"/>
                <w:color w:val="auto"/>
              </w:rPr>
              <w:t>Acquisitions</w:t>
            </w:r>
          </w:p>
        </w:tc>
        <w:tc>
          <w:tcPr>
            <w:tcW w:w="3400" w:type="dxa"/>
            <w:vAlign w:val="bottom"/>
            <w:tcBorders>
              <w:bottom w:val="single" w:sz="8" w:color="auto"/>
            </w:tcBorders>
          </w:tcPr>
          <w:p>
            <w:pPr>
              <w:jc w:val="right"/>
              <w:ind w:right="135"/>
              <w:spacing w:after="0" w:line="200" w:lineRule="exact"/>
              <w:rPr>
                <w:sz w:val="20"/>
                <w:szCs w:val="20"/>
                <w:color w:val="auto"/>
              </w:rPr>
            </w:pPr>
            <w:r>
              <w:rPr>
                <w:rFonts w:ascii="Arial" w:cs="Arial" w:eastAsia="Arial" w:hAnsi="Arial"/>
                <w:sz w:val="18"/>
                <w:szCs w:val="18"/>
                <w:color w:val="auto"/>
              </w:rPr>
              <w:t>432</w:t>
            </w:r>
          </w:p>
        </w:tc>
        <w:tc>
          <w:tcPr>
            <w:tcW w:w="400" w:type="dxa"/>
            <w:vAlign w:val="bottom"/>
            <w:tcBorders>
              <w:bottom w:val="single" w:sz="8" w:color="auto"/>
            </w:tcBorders>
          </w:tcPr>
          <w:p>
            <w:pPr>
              <w:spacing w:after="0"/>
              <w:rPr>
                <w:sz w:val="17"/>
                <w:szCs w:val="17"/>
                <w:color w:val="auto"/>
              </w:rPr>
            </w:pPr>
          </w:p>
        </w:tc>
        <w:tc>
          <w:tcPr>
            <w:tcW w:w="780" w:type="dxa"/>
            <w:vAlign w:val="bottom"/>
            <w:tcBorders>
              <w:bottom w:val="single" w:sz="8" w:color="auto"/>
            </w:tcBorders>
          </w:tcPr>
          <w:p>
            <w:pPr>
              <w:jc w:val="right"/>
              <w:ind w:right="112"/>
              <w:spacing w:after="0" w:line="200" w:lineRule="exact"/>
              <w:rPr>
                <w:sz w:val="20"/>
                <w:szCs w:val="20"/>
                <w:color w:val="auto"/>
              </w:rPr>
            </w:pPr>
            <w:r>
              <w:rPr>
                <w:rFonts w:ascii="Arial" w:cs="Arial" w:eastAsia="Arial" w:hAnsi="Arial"/>
                <w:sz w:val="18"/>
                <w:szCs w:val="18"/>
                <w:color w:val="auto"/>
              </w:rPr>
              <w:t>468</w:t>
            </w:r>
          </w:p>
        </w:tc>
        <w:tc>
          <w:tcPr>
            <w:tcW w:w="420" w:type="dxa"/>
            <w:vAlign w:val="bottom"/>
            <w:tcBorders>
              <w:bottom w:val="single" w:sz="8" w:color="auto"/>
            </w:tcBorders>
          </w:tcPr>
          <w:p>
            <w:pPr>
              <w:spacing w:after="0"/>
              <w:rPr>
                <w:sz w:val="17"/>
                <w:szCs w:val="17"/>
                <w:color w:val="auto"/>
              </w:rPr>
            </w:pPr>
          </w:p>
        </w:tc>
        <w:tc>
          <w:tcPr>
            <w:tcW w:w="600" w:type="dxa"/>
            <w:vAlign w:val="bottom"/>
            <w:tcBorders>
              <w:bottom w:val="single" w:sz="8" w:color="auto"/>
            </w:tcBorders>
          </w:tcPr>
          <w:p>
            <w:pPr>
              <w:jc w:val="right"/>
              <w:ind w:right="112"/>
              <w:spacing w:after="0" w:line="200" w:lineRule="exact"/>
              <w:rPr>
                <w:sz w:val="20"/>
                <w:szCs w:val="20"/>
                <w:color w:val="auto"/>
              </w:rPr>
            </w:pPr>
            <w:r>
              <w:rPr>
                <w:rFonts w:ascii="Arial" w:cs="Arial" w:eastAsia="Arial" w:hAnsi="Arial"/>
                <w:sz w:val="18"/>
                <w:szCs w:val="18"/>
                <w:color w:val="auto"/>
              </w:rPr>
              <w:t>58</w:t>
            </w:r>
          </w:p>
        </w:tc>
        <w:tc>
          <w:tcPr>
            <w:tcW w:w="920" w:type="dxa"/>
            <w:vAlign w:val="bottom"/>
            <w:tcBorders>
              <w:bottom w:val="single" w:sz="8" w:color="auto"/>
            </w:tcBorders>
          </w:tcPr>
          <w:p>
            <w:pPr>
              <w:jc w:val="right"/>
              <w:spacing w:after="0" w:line="200" w:lineRule="exact"/>
              <w:rPr>
                <w:sz w:val="20"/>
                <w:szCs w:val="20"/>
                <w:color w:val="auto"/>
              </w:rPr>
            </w:pPr>
            <w:r>
              <w:rPr>
                <w:rFonts w:ascii="Arial" w:cs="Arial" w:eastAsia="Arial" w:hAnsi="Arial"/>
                <w:sz w:val="18"/>
                <w:szCs w:val="18"/>
                <w:color w:val="auto"/>
              </w:rPr>
              <w:t>958</w:t>
            </w:r>
          </w:p>
        </w:tc>
      </w:tr>
      <w:tr>
        <w:trPr>
          <w:trHeight w:val="196"/>
        </w:trPr>
        <w:tc>
          <w:tcPr>
            <w:tcW w:w="4900" w:type="dxa"/>
            <w:vAlign w:val="bottom"/>
            <w:tcBorders>
              <w:bottom w:val="single" w:sz="8" w:color="35BF85"/>
            </w:tcBorders>
          </w:tcPr>
          <w:p>
            <w:pPr>
              <w:spacing w:after="0" w:line="196" w:lineRule="exact"/>
              <w:rPr>
                <w:sz w:val="20"/>
                <w:szCs w:val="20"/>
                <w:color w:val="auto"/>
              </w:rPr>
            </w:pPr>
            <w:r>
              <w:rPr>
                <w:rFonts w:ascii="Arial" w:cs="Arial" w:eastAsia="Arial" w:hAnsi="Arial"/>
                <w:sz w:val="18"/>
                <w:szCs w:val="18"/>
                <w:b w:val="1"/>
                <w:bCs w:val="1"/>
                <w:color w:val="auto"/>
              </w:rPr>
              <w:t>Balance, December 31, 2006</w:t>
            </w:r>
          </w:p>
        </w:tc>
        <w:tc>
          <w:tcPr>
            <w:tcW w:w="3400" w:type="dxa"/>
            <w:vAlign w:val="bottom"/>
            <w:tcBorders>
              <w:bottom w:val="single" w:sz="8" w:color="35BF85"/>
            </w:tcBorders>
          </w:tcPr>
          <w:p>
            <w:pPr>
              <w:jc w:val="right"/>
              <w:ind w:right="135"/>
              <w:spacing w:after="0" w:line="196" w:lineRule="exact"/>
              <w:rPr>
                <w:sz w:val="20"/>
                <w:szCs w:val="20"/>
                <w:color w:val="auto"/>
              </w:rPr>
            </w:pPr>
            <w:r>
              <w:rPr>
                <w:rFonts w:ascii="Arial" w:cs="Arial" w:eastAsia="Arial" w:hAnsi="Arial"/>
                <w:sz w:val="18"/>
                <w:szCs w:val="18"/>
                <w:b w:val="1"/>
                <w:bCs w:val="1"/>
                <w:color w:val="auto"/>
              </w:rPr>
              <w:t>$12,010</w:t>
            </w:r>
          </w:p>
        </w:tc>
        <w:tc>
          <w:tcPr>
            <w:tcW w:w="400" w:type="dxa"/>
            <w:vAlign w:val="bottom"/>
            <w:tcBorders>
              <w:bottom w:val="single" w:sz="8" w:color="35BF85"/>
            </w:tcBorders>
          </w:tcPr>
          <w:p>
            <w:pPr>
              <w:ind w:left="160"/>
              <w:spacing w:after="0" w:line="196" w:lineRule="exact"/>
              <w:rPr>
                <w:sz w:val="20"/>
                <w:szCs w:val="20"/>
                <w:color w:val="auto"/>
              </w:rPr>
            </w:pPr>
            <w:r>
              <w:rPr>
                <w:rFonts w:ascii="Arial" w:cs="Arial" w:eastAsia="Arial" w:hAnsi="Arial"/>
                <w:sz w:val="18"/>
                <w:szCs w:val="18"/>
                <w:b w:val="1"/>
                <w:bCs w:val="1"/>
                <w:color w:val="auto"/>
              </w:rPr>
              <w:t>$</w:t>
            </w:r>
          </w:p>
        </w:tc>
        <w:tc>
          <w:tcPr>
            <w:tcW w:w="780" w:type="dxa"/>
            <w:vAlign w:val="bottom"/>
            <w:tcBorders>
              <w:bottom w:val="single" w:sz="8" w:color="35BF85"/>
            </w:tcBorders>
          </w:tcPr>
          <w:p>
            <w:pPr>
              <w:jc w:val="right"/>
              <w:ind w:right="112"/>
              <w:spacing w:after="0" w:line="196" w:lineRule="exact"/>
              <w:rPr>
                <w:sz w:val="20"/>
                <w:szCs w:val="20"/>
                <w:color w:val="auto"/>
              </w:rPr>
            </w:pPr>
            <w:r>
              <w:rPr>
                <w:rFonts w:ascii="Arial" w:cs="Arial" w:eastAsia="Arial" w:hAnsi="Arial"/>
                <w:sz w:val="18"/>
                <w:szCs w:val="18"/>
                <w:b w:val="1"/>
                <w:bCs w:val="1"/>
                <w:color w:val="auto"/>
              </w:rPr>
              <w:t>1,441</w:t>
            </w:r>
          </w:p>
        </w:tc>
        <w:tc>
          <w:tcPr>
            <w:tcW w:w="420" w:type="dxa"/>
            <w:vAlign w:val="bottom"/>
            <w:tcBorders>
              <w:bottom w:val="single" w:sz="8" w:color="35BF85"/>
            </w:tcBorders>
          </w:tcPr>
          <w:p>
            <w:pPr>
              <w:ind w:left="220"/>
              <w:spacing w:after="0" w:line="196" w:lineRule="exact"/>
              <w:rPr>
                <w:sz w:val="20"/>
                <w:szCs w:val="20"/>
                <w:color w:val="auto"/>
              </w:rPr>
            </w:pPr>
            <w:r>
              <w:rPr>
                <w:rFonts w:ascii="Arial" w:cs="Arial" w:eastAsia="Arial" w:hAnsi="Arial"/>
                <w:sz w:val="18"/>
                <w:szCs w:val="18"/>
                <w:b w:val="1"/>
                <w:bCs w:val="1"/>
                <w:color w:val="auto"/>
              </w:rPr>
              <w:t>$</w:t>
            </w:r>
          </w:p>
        </w:tc>
        <w:tc>
          <w:tcPr>
            <w:tcW w:w="600" w:type="dxa"/>
            <w:vAlign w:val="bottom"/>
            <w:tcBorders>
              <w:bottom w:val="single" w:sz="8" w:color="35BF85"/>
            </w:tcBorders>
          </w:tcPr>
          <w:p>
            <w:pPr>
              <w:jc w:val="right"/>
              <w:ind w:right="112"/>
              <w:spacing w:after="0" w:line="196" w:lineRule="exact"/>
              <w:rPr>
                <w:sz w:val="20"/>
                <w:szCs w:val="20"/>
                <w:color w:val="auto"/>
              </w:rPr>
            </w:pPr>
            <w:r>
              <w:rPr>
                <w:rFonts w:ascii="Arial" w:cs="Arial" w:eastAsia="Arial" w:hAnsi="Arial"/>
                <w:sz w:val="18"/>
                <w:szCs w:val="18"/>
                <w:b w:val="1"/>
                <w:bCs w:val="1"/>
                <w:color w:val="auto"/>
              </w:rPr>
              <w:t>317</w:t>
            </w:r>
          </w:p>
        </w:tc>
        <w:tc>
          <w:tcPr>
            <w:tcW w:w="920" w:type="dxa"/>
            <w:vAlign w:val="bottom"/>
            <w:tcBorders>
              <w:bottom w:val="single" w:sz="8" w:color="35BF85"/>
            </w:tcBorders>
          </w:tcPr>
          <w:p>
            <w:pPr>
              <w:jc w:val="right"/>
              <w:spacing w:after="0" w:line="196" w:lineRule="exact"/>
              <w:rPr>
                <w:sz w:val="20"/>
                <w:szCs w:val="20"/>
                <w:color w:val="auto"/>
              </w:rPr>
            </w:pPr>
            <w:r>
              <w:rPr>
                <w:rFonts w:ascii="Arial" w:cs="Arial" w:eastAsia="Arial" w:hAnsi="Arial"/>
                <w:sz w:val="18"/>
                <w:szCs w:val="18"/>
                <w:b w:val="1"/>
                <w:bCs w:val="1"/>
                <w:color w:val="auto"/>
              </w:rPr>
              <w:t>$13,768</w:t>
            </w:r>
          </w:p>
        </w:tc>
      </w:tr>
    </w:tbl>
    <w:p>
      <w:pPr>
        <w:spacing w:after="0" w:line="165" w:lineRule="exact"/>
        <w:rPr>
          <w:sz w:val="20"/>
          <w:szCs w:val="20"/>
          <w:color w:val="auto"/>
        </w:rPr>
      </w:pPr>
    </w:p>
    <w:p>
      <w:pPr>
        <w:jc w:val="both"/>
        <w:spacing w:after="0" w:line="239" w:lineRule="auto"/>
        <w:rPr>
          <w:sz w:val="20"/>
          <w:szCs w:val="20"/>
          <w:color w:val="auto"/>
        </w:rPr>
      </w:pPr>
      <w:r>
        <w:rPr>
          <w:rFonts w:ascii="Arial" w:cs="Arial" w:eastAsia="Arial" w:hAnsi="Arial"/>
          <w:sz w:val="18"/>
          <w:szCs w:val="18"/>
          <w:color w:val="auto"/>
        </w:rPr>
        <w:t>Settlements and adjustments are primarily related to certain pre-acquisition tax liabilities. Acquisitions in 2006 are primarily related to the Adelphia and Time Warner transactions, and the Susquehanna and E! Entertainment Television transactions.</w:t>
      </w:r>
    </w:p>
    <w:p>
      <w:pPr>
        <w:spacing w:after="0" w:line="155" w:lineRule="exact"/>
        <w:rPr>
          <w:sz w:val="20"/>
          <w:szCs w:val="20"/>
          <w:color w:val="auto"/>
        </w:rPr>
      </w:pPr>
    </w:p>
    <w:p>
      <w:pPr>
        <w:spacing w:after="0"/>
        <w:rPr>
          <w:sz w:val="20"/>
          <w:szCs w:val="20"/>
          <w:color w:val="auto"/>
        </w:rPr>
      </w:pPr>
      <w:r>
        <w:rPr>
          <w:rFonts w:ascii="Arial" w:cs="Arial" w:eastAsia="Arial" w:hAnsi="Arial"/>
          <w:sz w:val="18"/>
          <w:szCs w:val="18"/>
          <w:color w:val="auto"/>
        </w:rPr>
        <w:t>The gross carrying amount and accumulated amortization of our intangible assets subject to amortization are as follows:</w:t>
      </w:r>
    </w:p>
    <w:p>
      <w:pPr>
        <w:spacing w:after="0" w:line="178" w:lineRule="exact"/>
        <w:rPr>
          <w:sz w:val="20"/>
          <w:szCs w:val="20"/>
          <w:color w:val="auto"/>
        </w:rPr>
      </w:pPr>
    </w:p>
    <w:tbl>
      <w:tblPr>
        <w:tblLayout w:type="fixed"/>
        <w:tblInd w:w="0" w:type="dxa"/>
        <w:tblCellMar>
          <w:top w:w="0" w:type="dxa"/>
          <w:left w:w="0" w:type="dxa"/>
          <w:bottom w:w="0" w:type="dxa"/>
          <w:right w:w="0" w:type="dxa"/>
        </w:tblCellMar>
      </w:tblPr>
      <w:tr>
        <w:trPr>
          <w:trHeight w:val="165"/>
        </w:trPr>
        <w:tc>
          <w:tcPr>
            <w:tcW w:w="468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560" w:type="dxa"/>
            <w:vAlign w:val="bottom"/>
            <w:tcBorders>
              <w:bottom w:val="single" w:sz="8" w:color="auto"/>
            </w:tcBorders>
          </w:tcPr>
          <w:p>
            <w:pPr>
              <w:spacing w:after="0"/>
              <w:rPr>
                <w:sz w:val="14"/>
                <w:szCs w:val="14"/>
                <w:color w:val="auto"/>
              </w:rPr>
            </w:pPr>
          </w:p>
        </w:tc>
        <w:tc>
          <w:tcPr>
            <w:tcW w:w="300" w:type="dxa"/>
            <w:vAlign w:val="bottom"/>
            <w:tcBorders>
              <w:bottom w:val="single" w:sz="8" w:color="auto"/>
            </w:tcBorders>
          </w:tcPr>
          <w:p>
            <w:pPr>
              <w:spacing w:after="0"/>
              <w:rPr>
                <w:sz w:val="14"/>
                <w:szCs w:val="14"/>
                <w:color w:val="auto"/>
              </w:rPr>
            </w:pPr>
          </w:p>
        </w:tc>
        <w:tc>
          <w:tcPr>
            <w:tcW w:w="740" w:type="dxa"/>
            <w:vAlign w:val="bottom"/>
            <w:tcBorders>
              <w:bottom w:val="single" w:sz="8" w:color="auto"/>
            </w:tcBorders>
          </w:tcPr>
          <w:p>
            <w:pPr>
              <w:jc w:val="right"/>
              <w:ind w:right="358"/>
              <w:spacing w:after="0"/>
              <w:rPr>
                <w:sz w:val="20"/>
                <w:szCs w:val="20"/>
                <w:color w:val="auto"/>
              </w:rPr>
            </w:pPr>
            <w:r>
              <w:rPr>
                <w:rFonts w:ascii="Arial" w:cs="Arial" w:eastAsia="Arial" w:hAnsi="Arial"/>
                <w:sz w:val="14"/>
                <w:szCs w:val="14"/>
                <w:b w:val="1"/>
                <w:bCs w:val="1"/>
                <w:color w:val="auto"/>
                <w:w w:val="89"/>
              </w:rPr>
              <w:t>2006</w:t>
            </w:r>
          </w:p>
        </w:tc>
        <w:tc>
          <w:tcPr>
            <w:tcW w:w="420" w:type="dxa"/>
            <w:vAlign w:val="bottom"/>
            <w:tcBorders>
              <w:bottom w:val="single" w:sz="8" w:color="auto"/>
            </w:tcBorders>
          </w:tcPr>
          <w:p>
            <w:pPr>
              <w:spacing w:after="0"/>
              <w:rPr>
                <w:sz w:val="14"/>
                <w:szCs w:val="14"/>
                <w:color w:val="auto"/>
              </w:rPr>
            </w:pPr>
          </w:p>
        </w:tc>
        <w:tc>
          <w:tcPr>
            <w:tcW w:w="840" w:type="dxa"/>
            <w:vAlign w:val="bottom"/>
            <w:tcBorders>
              <w:bottom w:val="single" w:sz="8" w:color="auto"/>
            </w:tcBorders>
          </w:tcPr>
          <w:p>
            <w:pPr>
              <w:spacing w:after="0"/>
              <w:rPr>
                <w:sz w:val="14"/>
                <w:szCs w:val="14"/>
                <w:color w:val="auto"/>
              </w:rPr>
            </w:pPr>
          </w:p>
        </w:tc>
        <w:tc>
          <w:tcPr>
            <w:tcW w:w="780" w:type="dxa"/>
            <w:vAlign w:val="bottom"/>
            <w:tcBorders>
              <w:bottom w:val="single" w:sz="8" w:color="auto"/>
            </w:tcBorders>
          </w:tcPr>
          <w:p>
            <w:pPr>
              <w:spacing w:after="0"/>
              <w:rPr>
                <w:sz w:val="14"/>
                <w:szCs w:val="14"/>
                <w:color w:val="auto"/>
              </w:rPr>
            </w:pPr>
          </w:p>
        </w:tc>
        <w:tc>
          <w:tcPr>
            <w:tcW w:w="500" w:type="dxa"/>
            <w:vAlign w:val="bottom"/>
            <w:tcBorders>
              <w:bottom w:val="single" w:sz="8" w:color="auto"/>
            </w:tcBorders>
          </w:tcPr>
          <w:p>
            <w:pPr>
              <w:jc w:val="right"/>
              <w:ind w:right="44"/>
              <w:spacing w:after="0"/>
              <w:rPr>
                <w:sz w:val="20"/>
                <w:szCs w:val="20"/>
                <w:color w:val="auto"/>
              </w:rPr>
            </w:pPr>
            <w:r>
              <w:rPr>
                <w:rFonts w:ascii="Arial" w:cs="Arial" w:eastAsia="Arial" w:hAnsi="Arial"/>
                <w:sz w:val="14"/>
                <w:szCs w:val="14"/>
                <w:color w:val="auto"/>
              </w:rPr>
              <w:t>2005</w:t>
            </w:r>
          </w:p>
        </w:tc>
        <w:tc>
          <w:tcPr>
            <w:tcW w:w="660" w:type="dxa"/>
            <w:vAlign w:val="bottom"/>
            <w:tcBorders>
              <w:bottom w:val="single" w:sz="8" w:color="auto"/>
            </w:tcBorders>
          </w:tcPr>
          <w:p>
            <w:pPr>
              <w:spacing w:after="0"/>
              <w:rPr>
                <w:sz w:val="14"/>
                <w:szCs w:val="14"/>
                <w:color w:val="auto"/>
              </w:rPr>
            </w:pPr>
          </w:p>
        </w:tc>
      </w:tr>
      <w:tr>
        <w:trPr>
          <w:trHeight w:val="125"/>
        </w:trPr>
        <w:tc>
          <w:tcPr>
            <w:tcW w:w="468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62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560" w:type="dxa"/>
            <w:vAlign w:val="bottom"/>
          </w:tcPr>
          <w:p>
            <w:pPr>
              <w:spacing w:after="0"/>
              <w:rPr>
                <w:sz w:val="10"/>
                <w:szCs w:val="10"/>
                <w:color w:val="auto"/>
              </w:rPr>
            </w:pPr>
          </w:p>
        </w:tc>
        <w:tc>
          <w:tcPr>
            <w:tcW w:w="300" w:type="dxa"/>
            <w:vAlign w:val="bottom"/>
          </w:tcPr>
          <w:p>
            <w:pPr>
              <w:spacing w:after="0"/>
              <w:rPr>
                <w:sz w:val="10"/>
                <w:szCs w:val="10"/>
                <w:color w:val="auto"/>
              </w:rPr>
            </w:pPr>
          </w:p>
        </w:tc>
        <w:tc>
          <w:tcPr>
            <w:tcW w:w="740" w:type="dxa"/>
            <w:vAlign w:val="bottom"/>
          </w:tcPr>
          <w:p>
            <w:pPr>
              <w:jc w:val="right"/>
              <w:ind w:right="118"/>
              <w:spacing w:after="0" w:line="125" w:lineRule="exact"/>
              <w:rPr>
                <w:sz w:val="20"/>
                <w:szCs w:val="20"/>
                <w:color w:val="auto"/>
              </w:rPr>
            </w:pPr>
            <w:r>
              <w:rPr>
                <w:rFonts w:ascii="Arial" w:cs="Arial" w:eastAsia="Arial" w:hAnsi="Arial"/>
                <w:sz w:val="14"/>
                <w:szCs w:val="14"/>
                <w:b w:val="1"/>
                <w:bCs w:val="1"/>
                <w:color w:val="auto"/>
              </w:rPr>
              <w:t>Gross</w:t>
            </w:r>
          </w:p>
        </w:tc>
        <w:tc>
          <w:tcPr>
            <w:tcW w:w="420" w:type="dxa"/>
            <w:vAlign w:val="bottom"/>
          </w:tcPr>
          <w:p>
            <w:pPr>
              <w:spacing w:after="0"/>
              <w:rPr>
                <w:sz w:val="10"/>
                <w:szCs w:val="10"/>
                <w:color w:val="auto"/>
              </w:rPr>
            </w:pPr>
          </w:p>
        </w:tc>
        <w:tc>
          <w:tcPr>
            <w:tcW w:w="840" w:type="dxa"/>
            <w:vAlign w:val="bottom"/>
          </w:tcPr>
          <w:p>
            <w:pPr>
              <w:spacing w:after="0"/>
              <w:rPr>
                <w:sz w:val="10"/>
                <w:szCs w:val="10"/>
                <w:color w:val="auto"/>
              </w:rPr>
            </w:pPr>
          </w:p>
        </w:tc>
        <w:tc>
          <w:tcPr>
            <w:tcW w:w="780" w:type="dxa"/>
            <w:vAlign w:val="bottom"/>
          </w:tcPr>
          <w:p>
            <w:pPr>
              <w:jc w:val="right"/>
              <w:spacing w:after="0" w:line="125" w:lineRule="exact"/>
              <w:rPr>
                <w:sz w:val="20"/>
                <w:szCs w:val="20"/>
                <w:color w:val="auto"/>
              </w:rPr>
            </w:pPr>
            <w:r>
              <w:rPr>
                <w:rFonts w:ascii="Arial" w:cs="Arial" w:eastAsia="Arial" w:hAnsi="Arial"/>
                <w:sz w:val="14"/>
                <w:szCs w:val="14"/>
                <w:color w:val="auto"/>
              </w:rPr>
              <w:t>Gross</w:t>
            </w:r>
          </w:p>
        </w:tc>
        <w:tc>
          <w:tcPr>
            <w:tcW w:w="500" w:type="dxa"/>
            <w:vAlign w:val="bottom"/>
          </w:tcPr>
          <w:p>
            <w:pPr>
              <w:spacing w:after="0"/>
              <w:rPr>
                <w:sz w:val="10"/>
                <w:szCs w:val="10"/>
                <w:color w:val="auto"/>
              </w:rPr>
            </w:pPr>
          </w:p>
        </w:tc>
        <w:tc>
          <w:tcPr>
            <w:tcW w:w="660" w:type="dxa"/>
            <w:vAlign w:val="bottom"/>
          </w:tcPr>
          <w:p>
            <w:pPr>
              <w:spacing w:after="0"/>
              <w:rPr>
                <w:sz w:val="10"/>
                <w:szCs w:val="10"/>
                <w:color w:val="auto"/>
              </w:rPr>
            </w:pPr>
          </w:p>
        </w:tc>
      </w:tr>
      <w:tr>
        <w:trPr>
          <w:trHeight w:val="149"/>
        </w:trPr>
        <w:tc>
          <w:tcPr>
            <w:tcW w:w="468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560" w:type="dxa"/>
            <w:vAlign w:val="bottom"/>
          </w:tcPr>
          <w:p>
            <w:pPr>
              <w:spacing w:after="0"/>
              <w:rPr>
                <w:sz w:val="12"/>
                <w:szCs w:val="12"/>
                <w:color w:val="auto"/>
              </w:rPr>
            </w:pPr>
          </w:p>
        </w:tc>
        <w:tc>
          <w:tcPr>
            <w:tcW w:w="1040" w:type="dxa"/>
            <w:vAlign w:val="bottom"/>
            <w:gridSpan w:val="2"/>
          </w:tcPr>
          <w:p>
            <w:pPr>
              <w:jc w:val="right"/>
              <w:ind w:right="118"/>
              <w:spacing w:after="0" w:line="149" w:lineRule="exact"/>
              <w:rPr>
                <w:sz w:val="20"/>
                <w:szCs w:val="20"/>
                <w:color w:val="auto"/>
              </w:rPr>
            </w:pPr>
            <w:r>
              <w:rPr>
                <w:rFonts w:ascii="Arial" w:cs="Arial" w:eastAsia="Arial" w:hAnsi="Arial"/>
                <w:sz w:val="14"/>
                <w:szCs w:val="14"/>
                <w:b w:val="1"/>
                <w:bCs w:val="1"/>
                <w:color w:val="auto"/>
              </w:rPr>
              <w:t>Carrying</w:t>
            </w:r>
          </w:p>
        </w:tc>
        <w:tc>
          <w:tcPr>
            <w:tcW w:w="1260" w:type="dxa"/>
            <w:vAlign w:val="bottom"/>
            <w:gridSpan w:val="2"/>
          </w:tcPr>
          <w:p>
            <w:pPr>
              <w:ind w:left="200"/>
              <w:spacing w:after="0" w:line="149" w:lineRule="exact"/>
              <w:rPr>
                <w:sz w:val="20"/>
                <w:szCs w:val="20"/>
                <w:color w:val="auto"/>
              </w:rPr>
            </w:pPr>
            <w:r>
              <w:rPr>
                <w:rFonts w:ascii="Arial" w:cs="Arial" w:eastAsia="Arial" w:hAnsi="Arial"/>
                <w:sz w:val="14"/>
                <w:szCs w:val="14"/>
                <w:b w:val="1"/>
                <w:bCs w:val="1"/>
                <w:color w:val="auto"/>
              </w:rPr>
              <w:t>Accumulated</w:t>
            </w:r>
          </w:p>
        </w:tc>
        <w:tc>
          <w:tcPr>
            <w:tcW w:w="780" w:type="dxa"/>
            <w:vAlign w:val="bottom"/>
          </w:tcPr>
          <w:p>
            <w:pPr>
              <w:jc w:val="right"/>
              <w:spacing w:after="0" w:line="149" w:lineRule="exact"/>
              <w:rPr>
                <w:sz w:val="20"/>
                <w:szCs w:val="20"/>
                <w:color w:val="auto"/>
              </w:rPr>
            </w:pPr>
            <w:r>
              <w:rPr>
                <w:rFonts w:ascii="Arial" w:cs="Arial" w:eastAsia="Arial" w:hAnsi="Arial"/>
                <w:sz w:val="14"/>
                <w:szCs w:val="14"/>
                <w:color w:val="auto"/>
              </w:rPr>
              <w:t>Carrying</w:t>
            </w:r>
          </w:p>
        </w:tc>
        <w:tc>
          <w:tcPr>
            <w:tcW w:w="1160" w:type="dxa"/>
            <w:vAlign w:val="bottom"/>
            <w:gridSpan w:val="2"/>
          </w:tcPr>
          <w:p>
            <w:pPr>
              <w:ind w:left="320"/>
              <w:spacing w:after="0" w:line="149" w:lineRule="exact"/>
              <w:rPr>
                <w:sz w:val="20"/>
                <w:szCs w:val="20"/>
                <w:color w:val="auto"/>
              </w:rPr>
            </w:pPr>
            <w:r>
              <w:rPr>
                <w:rFonts w:ascii="Arial" w:cs="Arial" w:eastAsia="Arial" w:hAnsi="Arial"/>
                <w:sz w:val="14"/>
                <w:szCs w:val="14"/>
                <w:color w:val="auto"/>
              </w:rPr>
              <w:t>Accumulated</w:t>
            </w:r>
          </w:p>
        </w:tc>
      </w:tr>
      <w:tr>
        <w:trPr>
          <w:trHeight w:val="165"/>
        </w:trPr>
        <w:tc>
          <w:tcPr>
            <w:tcW w:w="4680" w:type="dxa"/>
            <w:vAlign w:val="bottom"/>
            <w:tcBorders>
              <w:bottom w:val="single" w:sz="8" w:color="auto"/>
            </w:tcBorders>
          </w:tcPr>
          <w:p>
            <w:pPr>
              <w:spacing w:after="0"/>
              <w:rPr>
                <w:sz w:val="20"/>
                <w:szCs w:val="20"/>
                <w:color w:val="auto"/>
              </w:rPr>
            </w:pPr>
            <w:r>
              <w:rPr>
                <w:rFonts w:ascii="Arial" w:cs="Arial" w:eastAsia="Arial" w:hAnsi="Arial"/>
                <w:sz w:val="14"/>
                <w:szCs w:val="14"/>
                <w:color w:val="auto"/>
              </w:rPr>
              <w:t>December 31 (in millions)</w:t>
            </w:r>
          </w:p>
        </w:tc>
        <w:tc>
          <w:tcPr>
            <w:tcW w:w="180" w:type="dxa"/>
            <w:vAlign w:val="bottom"/>
            <w:tcBorders>
              <w:bottom w:val="single" w:sz="8" w:color="auto"/>
            </w:tcBorders>
          </w:tcPr>
          <w:p>
            <w:pPr>
              <w:spacing w:after="0"/>
              <w:rPr>
                <w:sz w:val="14"/>
                <w:szCs w:val="14"/>
                <w:color w:val="auto"/>
              </w:rPr>
            </w:pPr>
          </w:p>
        </w:tc>
        <w:tc>
          <w:tcPr>
            <w:tcW w:w="620" w:type="dxa"/>
            <w:vAlign w:val="bottom"/>
            <w:tcBorders>
              <w:bottom w:val="single" w:sz="8" w:color="auto"/>
            </w:tcBorders>
          </w:tcPr>
          <w:p>
            <w:pPr>
              <w:spacing w:after="0"/>
              <w:rPr>
                <w:sz w:val="14"/>
                <w:szCs w:val="14"/>
                <w:color w:val="auto"/>
              </w:rPr>
            </w:pPr>
          </w:p>
        </w:tc>
        <w:tc>
          <w:tcPr>
            <w:tcW w:w="20" w:type="dxa"/>
            <w:vAlign w:val="bottom"/>
            <w:tcBorders>
              <w:bottom w:val="single" w:sz="8" w:color="auto"/>
            </w:tcBorders>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1560" w:type="dxa"/>
            <w:vAlign w:val="bottom"/>
            <w:tcBorders>
              <w:bottom w:val="single" w:sz="8" w:color="auto"/>
            </w:tcBorders>
          </w:tcPr>
          <w:p>
            <w:pPr>
              <w:jc w:val="right"/>
              <w:ind w:right="115"/>
              <w:spacing w:after="0"/>
              <w:rPr>
                <w:sz w:val="20"/>
                <w:szCs w:val="20"/>
                <w:color w:val="auto"/>
              </w:rPr>
            </w:pPr>
            <w:r>
              <w:rPr>
                <w:rFonts w:ascii="Arial" w:cs="Arial" w:eastAsia="Arial" w:hAnsi="Arial"/>
                <w:sz w:val="14"/>
                <w:szCs w:val="14"/>
                <w:color w:val="auto"/>
              </w:rPr>
              <w:t>Useful Life</w:t>
            </w:r>
          </w:p>
        </w:tc>
        <w:tc>
          <w:tcPr>
            <w:tcW w:w="300" w:type="dxa"/>
            <w:vAlign w:val="bottom"/>
            <w:tcBorders>
              <w:bottom w:val="single" w:sz="8" w:color="auto"/>
            </w:tcBorders>
          </w:tcPr>
          <w:p>
            <w:pPr>
              <w:spacing w:after="0"/>
              <w:rPr>
                <w:sz w:val="14"/>
                <w:szCs w:val="14"/>
                <w:color w:val="auto"/>
              </w:rPr>
            </w:pPr>
          </w:p>
        </w:tc>
        <w:tc>
          <w:tcPr>
            <w:tcW w:w="740" w:type="dxa"/>
            <w:vAlign w:val="bottom"/>
            <w:tcBorders>
              <w:bottom w:val="single" w:sz="8" w:color="auto"/>
            </w:tcBorders>
          </w:tcPr>
          <w:p>
            <w:pPr>
              <w:jc w:val="right"/>
              <w:ind w:right="118"/>
              <w:spacing w:after="0"/>
              <w:rPr>
                <w:sz w:val="20"/>
                <w:szCs w:val="20"/>
                <w:color w:val="auto"/>
              </w:rPr>
            </w:pPr>
            <w:r>
              <w:rPr>
                <w:rFonts w:ascii="Arial" w:cs="Arial" w:eastAsia="Arial" w:hAnsi="Arial"/>
                <w:sz w:val="14"/>
                <w:szCs w:val="14"/>
                <w:b w:val="1"/>
                <w:bCs w:val="1"/>
                <w:color w:val="auto"/>
                <w:w w:val="98"/>
              </w:rPr>
              <w:t>Amount</w:t>
            </w:r>
          </w:p>
        </w:tc>
        <w:tc>
          <w:tcPr>
            <w:tcW w:w="1260" w:type="dxa"/>
            <w:vAlign w:val="bottom"/>
            <w:tcBorders>
              <w:bottom w:val="single" w:sz="8" w:color="auto"/>
            </w:tcBorders>
            <w:gridSpan w:val="2"/>
          </w:tcPr>
          <w:p>
            <w:pPr>
              <w:ind w:left="220"/>
              <w:spacing w:after="0"/>
              <w:rPr>
                <w:sz w:val="20"/>
                <w:szCs w:val="20"/>
                <w:color w:val="auto"/>
              </w:rPr>
            </w:pPr>
            <w:r>
              <w:rPr>
                <w:rFonts w:ascii="Arial" w:cs="Arial" w:eastAsia="Arial" w:hAnsi="Arial"/>
                <w:sz w:val="14"/>
                <w:szCs w:val="14"/>
                <w:b w:val="1"/>
                <w:bCs w:val="1"/>
                <w:color w:val="auto"/>
              </w:rPr>
              <w:t>Amortization</w:t>
            </w:r>
          </w:p>
        </w:tc>
        <w:tc>
          <w:tcPr>
            <w:tcW w:w="78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Amount</w:t>
            </w:r>
          </w:p>
        </w:tc>
        <w:tc>
          <w:tcPr>
            <w:tcW w:w="1160" w:type="dxa"/>
            <w:vAlign w:val="bottom"/>
            <w:tcBorders>
              <w:bottom w:val="single" w:sz="8" w:color="auto"/>
            </w:tcBorders>
            <w:gridSpan w:val="2"/>
          </w:tcPr>
          <w:p>
            <w:pPr>
              <w:jc w:val="right"/>
              <w:spacing w:after="0"/>
              <w:rPr>
                <w:sz w:val="20"/>
                <w:szCs w:val="20"/>
                <w:color w:val="auto"/>
              </w:rPr>
            </w:pPr>
            <w:r>
              <w:rPr>
                <w:rFonts w:ascii="Arial" w:cs="Arial" w:eastAsia="Arial" w:hAnsi="Arial"/>
                <w:sz w:val="14"/>
                <w:szCs w:val="14"/>
                <w:color w:val="auto"/>
              </w:rPr>
              <w:t>Amortization</w:t>
            </w:r>
          </w:p>
        </w:tc>
      </w:tr>
      <w:tr>
        <w:trPr>
          <w:trHeight w:val="177"/>
        </w:trPr>
        <w:tc>
          <w:tcPr>
            <w:tcW w:w="4680" w:type="dxa"/>
            <w:vAlign w:val="bottom"/>
          </w:tcPr>
          <w:p>
            <w:pPr>
              <w:spacing w:after="0" w:line="177" w:lineRule="exact"/>
              <w:rPr>
                <w:sz w:val="20"/>
                <w:szCs w:val="20"/>
                <w:color w:val="auto"/>
              </w:rPr>
            </w:pPr>
            <w:r>
              <w:rPr>
                <w:rFonts w:ascii="Arial" w:cs="Arial" w:eastAsia="Arial" w:hAnsi="Arial"/>
                <w:sz w:val="18"/>
                <w:szCs w:val="18"/>
                <w:color w:val="auto"/>
              </w:rPr>
              <w:t>Franchise-related customer relationships</w:t>
            </w:r>
          </w:p>
        </w:tc>
        <w:tc>
          <w:tcPr>
            <w:tcW w:w="18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560" w:type="dxa"/>
            <w:vAlign w:val="bottom"/>
          </w:tcPr>
          <w:p>
            <w:pPr>
              <w:jc w:val="right"/>
              <w:ind w:right="115"/>
              <w:spacing w:after="0" w:line="177" w:lineRule="exact"/>
              <w:rPr>
                <w:sz w:val="20"/>
                <w:szCs w:val="20"/>
                <w:color w:val="auto"/>
              </w:rPr>
            </w:pPr>
            <w:r>
              <w:rPr>
                <w:rFonts w:ascii="Arial" w:cs="Arial" w:eastAsia="Arial" w:hAnsi="Arial"/>
                <w:sz w:val="18"/>
                <w:szCs w:val="18"/>
                <w:color w:val="auto"/>
              </w:rPr>
              <w:t>4 – 11 years</w:t>
            </w:r>
          </w:p>
        </w:tc>
        <w:tc>
          <w:tcPr>
            <w:tcW w:w="300" w:type="dxa"/>
            <w:vAlign w:val="bottom"/>
          </w:tcPr>
          <w:p>
            <w:pPr>
              <w:jc w:val="right"/>
              <w:spacing w:after="0" w:line="177" w:lineRule="exact"/>
              <w:rPr>
                <w:sz w:val="20"/>
                <w:szCs w:val="20"/>
                <w:color w:val="auto"/>
              </w:rPr>
            </w:pPr>
            <w:r>
              <w:rPr>
                <w:rFonts w:ascii="Arial" w:cs="Arial" w:eastAsia="Arial" w:hAnsi="Arial"/>
                <w:sz w:val="18"/>
                <w:szCs w:val="18"/>
                <w:b w:val="1"/>
                <w:bCs w:val="1"/>
                <w:color w:val="auto"/>
              </w:rPr>
              <w:t>$</w:t>
            </w:r>
          </w:p>
        </w:tc>
        <w:tc>
          <w:tcPr>
            <w:tcW w:w="740" w:type="dxa"/>
            <w:vAlign w:val="bottom"/>
          </w:tcPr>
          <w:p>
            <w:pPr>
              <w:jc w:val="right"/>
              <w:ind w:right="118"/>
              <w:spacing w:after="0" w:line="177" w:lineRule="exact"/>
              <w:rPr>
                <w:sz w:val="20"/>
                <w:szCs w:val="20"/>
                <w:color w:val="auto"/>
              </w:rPr>
            </w:pPr>
            <w:r>
              <w:rPr>
                <w:rFonts w:ascii="Arial" w:cs="Arial" w:eastAsia="Arial" w:hAnsi="Arial"/>
                <w:sz w:val="18"/>
                <w:szCs w:val="18"/>
                <w:b w:val="1"/>
                <w:bCs w:val="1"/>
                <w:color w:val="auto"/>
              </w:rPr>
              <w:t>4,954</w:t>
            </w:r>
          </w:p>
        </w:tc>
        <w:tc>
          <w:tcPr>
            <w:tcW w:w="420" w:type="dxa"/>
            <w:vAlign w:val="bottom"/>
          </w:tcPr>
          <w:p>
            <w:pPr>
              <w:ind w:left="180"/>
              <w:spacing w:after="0" w:line="177" w:lineRule="exact"/>
              <w:rPr>
                <w:sz w:val="20"/>
                <w:szCs w:val="20"/>
                <w:color w:val="auto"/>
              </w:rPr>
            </w:pPr>
            <w:r>
              <w:rPr>
                <w:rFonts w:ascii="Arial" w:cs="Arial" w:eastAsia="Arial" w:hAnsi="Arial"/>
                <w:sz w:val="18"/>
                <w:szCs w:val="18"/>
                <w:b w:val="1"/>
                <w:bCs w:val="1"/>
                <w:color w:val="auto"/>
              </w:rPr>
              <w:t>$</w:t>
            </w:r>
          </w:p>
        </w:tc>
        <w:tc>
          <w:tcPr>
            <w:tcW w:w="840" w:type="dxa"/>
            <w:vAlign w:val="bottom"/>
          </w:tcPr>
          <w:p>
            <w:pPr>
              <w:jc w:val="right"/>
              <w:ind w:right="72"/>
              <w:spacing w:after="0" w:line="177" w:lineRule="exact"/>
              <w:rPr>
                <w:sz w:val="20"/>
                <w:szCs w:val="20"/>
                <w:color w:val="auto"/>
              </w:rPr>
            </w:pPr>
            <w:r>
              <w:rPr>
                <w:rFonts w:ascii="Arial" w:cs="Arial" w:eastAsia="Arial" w:hAnsi="Arial"/>
                <w:sz w:val="18"/>
                <w:szCs w:val="18"/>
                <w:b w:val="1"/>
                <w:bCs w:val="1"/>
                <w:color w:val="auto"/>
              </w:rPr>
              <w:t>(3,188)</w:t>
            </w:r>
          </w:p>
        </w:tc>
        <w:tc>
          <w:tcPr>
            <w:tcW w:w="780" w:type="dxa"/>
            <w:vAlign w:val="bottom"/>
          </w:tcPr>
          <w:p>
            <w:pPr>
              <w:jc w:val="right"/>
              <w:spacing w:after="0" w:line="177" w:lineRule="exact"/>
              <w:rPr>
                <w:sz w:val="20"/>
                <w:szCs w:val="20"/>
                <w:color w:val="auto"/>
              </w:rPr>
            </w:pPr>
            <w:r>
              <w:rPr>
                <w:rFonts w:ascii="Arial" w:cs="Arial" w:eastAsia="Arial" w:hAnsi="Arial"/>
                <w:sz w:val="18"/>
                <w:szCs w:val="18"/>
                <w:color w:val="auto"/>
              </w:rPr>
              <w:t>$3,273</w:t>
            </w:r>
          </w:p>
        </w:tc>
        <w:tc>
          <w:tcPr>
            <w:tcW w:w="500" w:type="dxa"/>
            <w:vAlign w:val="bottom"/>
          </w:tcPr>
          <w:p>
            <w:pPr>
              <w:ind w:left="300"/>
              <w:spacing w:after="0" w:line="177" w:lineRule="exact"/>
              <w:rPr>
                <w:sz w:val="20"/>
                <w:szCs w:val="20"/>
                <w:color w:val="auto"/>
              </w:rPr>
            </w:pPr>
            <w:r>
              <w:rPr>
                <w:rFonts w:ascii="Arial" w:cs="Arial" w:eastAsia="Arial" w:hAnsi="Arial"/>
                <w:sz w:val="18"/>
                <w:szCs w:val="18"/>
                <w:color w:val="auto"/>
              </w:rPr>
              <w:t>$</w:t>
            </w:r>
          </w:p>
        </w:tc>
        <w:tc>
          <w:tcPr>
            <w:tcW w:w="660" w:type="dxa"/>
            <w:vAlign w:val="bottom"/>
          </w:tcPr>
          <w:p>
            <w:pPr>
              <w:jc w:val="right"/>
              <w:spacing w:after="0" w:line="177" w:lineRule="exact"/>
              <w:rPr>
                <w:sz w:val="20"/>
                <w:szCs w:val="20"/>
                <w:color w:val="auto"/>
              </w:rPr>
            </w:pPr>
            <w:r>
              <w:rPr>
                <w:rFonts w:ascii="Arial" w:cs="Arial" w:eastAsia="Arial" w:hAnsi="Arial"/>
                <w:sz w:val="18"/>
                <w:szCs w:val="18"/>
                <w:color w:val="auto"/>
              </w:rPr>
              <w:t>(2,701)</w:t>
            </w:r>
          </w:p>
        </w:tc>
      </w:tr>
      <w:tr>
        <w:trPr>
          <w:trHeight w:val="203"/>
        </w:trPr>
        <w:tc>
          <w:tcPr>
            <w:tcW w:w="4680" w:type="dxa"/>
            <w:vAlign w:val="bottom"/>
          </w:tcPr>
          <w:p>
            <w:pPr>
              <w:spacing w:after="0" w:line="202" w:lineRule="exact"/>
              <w:rPr>
                <w:sz w:val="20"/>
                <w:szCs w:val="20"/>
                <w:color w:val="auto"/>
              </w:rPr>
            </w:pPr>
            <w:r>
              <w:rPr>
                <w:rFonts w:ascii="Arial" w:cs="Arial" w:eastAsia="Arial" w:hAnsi="Arial"/>
                <w:sz w:val="18"/>
                <w:szCs w:val="18"/>
                <w:color w:val="auto"/>
              </w:rPr>
              <w:t>Cable and satellite television distribution rights</w:t>
            </w:r>
          </w:p>
        </w:tc>
        <w:tc>
          <w:tcPr>
            <w:tcW w:w="180" w:type="dxa"/>
            <w:vAlign w:val="bottom"/>
          </w:tcPr>
          <w:p>
            <w:pPr>
              <w:spacing w:after="0"/>
              <w:rPr>
                <w:sz w:val="17"/>
                <w:szCs w:val="17"/>
                <w:color w:val="auto"/>
              </w:rPr>
            </w:pPr>
          </w:p>
        </w:tc>
        <w:tc>
          <w:tcPr>
            <w:tcW w:w="6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560" w:type="dxa"/>
            <w:vAlign w:val="bottom"/>
          </w:tcPr>
          <w:p>
            <w:pPr>
              <w:jc w:val="right"/>
              <w:ind w:right="115"/>
              <w:spacing w:after="0" w:line="202" w:lineRule="exact"/>
              <w:rPr>
                <w:sz w:val="20"/>
                <w:szCs w:val="20"/>
                <w:color w:val="auto"/>
              </w:rPr>
            </w:pPr>
            <w:r>
              <w:rPr>
                <w:rFonts w:ascii="Arial" w:cs="Arial" w:eastAsia="Arial" w:hAnsi="Arial"/>
                <w:sz w:val="18"/>
                <w:szCs w:val="18"/>
                <w:color w:val="auto"/>
              </w:rPr>
              <w:t>5 – 11 years</w:t>
            </w:r>
          </w:p>
        </w:tc>
        <w:tc>
          <w:tcPr>
            <w:tcW w:w="300" w:type="dxa"/>
            <w:vAlign w:val="bottom"/>
          </w:tcPr>
          <w:p>
            <w:pPr>
              <w:spacing w:after="0"/>
              <w:rPr>
                <w:sz w:val="17"/>
                <w:szCs w:val="17"/>
                <w:color w:val="auto"/>
              </w:rPr>
            </w:pPr>
          </w:p>
        </w:tc>
        <w:tc>
          <w:tcPr>
            <w:tcW w:w="740" w:type="dxa"/>
            <w:vAlign w:val="bottom"/>
          </w:tcPr>
          <w:p>
            <w:pPr>
              <w:jc w:val="right"/>
              <w:ind w:right="118"/>
              <w:spacing w:after="0" w:line="202" w:lineRule="exact"/>
              <w:rPr>
                <w:sz w:val="20"/>
                <w:szCs w:val="20"/>
                <w:color w:val="auto"/>
              </w:rPr>
            </w:pPr>
            <w:r>
              <w:rPr>
                <w:rFonts w:ascii="Arial" w:cs="Arial" w:eastAsia="Arial" w:hAnsi="Arial"/>
                <w:sz w:val="18"/>
                <w:szCs w:val="18"/>
                <w:b w:val="1"/>
                <w:bCs w:val="1"/>
                <w:color w:val="auto"/>
              </w:rPr>
              <w:t>1,267</w:t>
            </w:r>
          </w:p>
        </w:tc>
        <w:tc>
          <w:tcPr>
            <w:tcW w:w="420" w:type="dxa"/>
            <w:vAlign w:val="bottom"/>
          </w:tcPr>
          <w:p>
            <w:pPr>
              <w:spacing w:after="0"/>
              <w:rPr>
                <w:sz w:val="17"/>
                <w:szCs w:val="17"/>
                <w:color w:val="auto"/>
              </w:rPr>
            </w:pPr>
          </w:p>
        </w:tc>
        <w:tc>
          <w:tcPr>
            <w:tcW w:w="840" w:type="dxa"/>
            <w:vAlign w:val="bottom"/>
          </w:tcPr>
          <w:p>
            <w:pPr>
              <w:jc w:val="right"/>
              <w:ind w:right="72"/>
              <w:spacing w:after="0" w:line="202" w:lineRule="exact"/>
              <w:rPr>
                <w:sz w:val="20"/>
                <w:szCs w:val="20"/>
                <w:color w:val="auto"/>
              </w:rPr>
            </w:pPr>
            <w:r>
              <w:rPr>
                <w:rFonts w:ascii="Arial" w:cs="Arial" w:eastAsia="Arial" w:hAnsi="Arial"/>
                <w:sz w:val="18"/>
                <w:szCs w:val="18"/>
                <w:b w:val="1"/>
                <w:bCs w:val="1"/>
                <w:color w:val="auto"/>
              </w:rPr>
              <w:t>(533)</w:t>
            </w:r>
          </w:p>
        </w:tc>
        <w:tc>
          <w:tcPr>
            <w:tcW w:w="780" w:type="dxa"/>
            <w:vAlign w:val="bottom"/>
          </w:tcPr>
          <w:p>
            <w:pPr>
              <w:jc w:val="right"/>
              <w:spacing w:after="0" w:line="202" w:lineRule="exact"/>
              <w:rPr>
                <w:sz w:val="20"/>
                <w:szCs w:val="20"/>
                <w:color w:val="auto"/>
              </w:rPr>
            </w:pPr>
            <w:r>
              <w:rPr>
                <w:rFonts w:ascii="Arial" w:cs="Arial" w:eastAsia="Arial" w:hAnsi="Arial"/>
                <w:sz w:val="18"/>
                <w:szCs w:val="18"/>
                <w:color w:val="auto"/>
              </w:rPr>
              <w:t>1,333</w:t>
            </w:r>
          </w:p>
        </w:tc>
        <w:tc>
          <w:tcPr>
            <w:tcW w:w="500" w:type="dxa"/>
            <w:vAlign w:val="bottom"/>
          </w:tcPr>
          <w:p>
            <w:pPr>
              <w:spacing w:after="0"/>
              <w:rPr>
                <w:sz w:val="17"/>
                <w:szCs w:val="17"/>
                <w:color w:val="auto"/>
              </w:rPr>
            </w:pPr>
          </w:p>
        </w:tc>
        <w:tc>
          <w:tcPr>
            <w:tcW w:w="660" w:type="dxa"/>
            <w:vAlign w:val="bottom"/>
          </w:tcPr>
          <w:p>
            <w:pPr>
              <w:jc w:val="right"/>
              <w:spacing w:after="0" w:line="202" w:lineRule="exact"/>
              <w:rPr>
                <w:sz w:val="20"/>
                <w:szCs w:val="20"/>
                <w:color w:val="auto"/>
              </w:rPr>
            </w:pPr>
            <w:r>
              <w:rPr>
                <w:rFonts w:ascii="Arial" w:cs="Arial" w:eastAsia="Arial" w:hAnsi="Arial"/>
                <w:sz w:val="18"/>
                <w:szCs w:val="18"/>
                <w:color w:val="auto"/>
              </w:rPr>
              <w:t>(685)</w:t>
            </w:r>
          </w:p>
        </w:tc>
      </w:tr>
      <w:tr>
        <w:trPr>
          <w:trHeight w:val="203"/>
        </w:trPr>
        <w:tc>
          <w:tcPr>
            <w:tcW w:w="4860" w:type="dxa"/>
            <w:vAlign w:val="bottom"/>
            <w:gridSpan w:val="2"/>
          </w:tcPr>
          <w:p>
            <w:pPr>
              <w:spacing w:after="0" w:line="202" w:lineRule="exact"/>
              <w:rPr>
                <w:sz w:val="20"/>
                <w:szCs w:val="20"/>
                <w:color w:val="auto"/>
              </w:rPr>
            </w:pPr>
            <w:r>
              <w:rPr>
                <w:rFonts w:ascii="Arial" w:cs="Arial" w:eastAsia="Arial" w:hAnsi="Arial"/>
                <w:sz w:val="18"/>
                <w:szCs w:val="18"/>
                <w:color w:val="auto"/>
                <w:w w:val="97"/>
              </w:rPr>
              <w:t>Cable franchise renewal costs and contractual operating rights</w:t>
            </w:r>
          </w:p>
        </w:tc>
        <w:tc>
          <w:tcPr>
            <w:tcW w:w="6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560" w:type="dxa"/>
            <w:vAlign w:val="bottom"/>
          </w:tcPr>
          <w:p>
            <w:pPr>
              <w:jc w:val="right"/>
              <w:ind w:right="115"/>
              <w:spacing w:after="0" w:line="202" w:lineRule="exact"/>
              <w:rPr>
                <w:sz w:val="20"/>
                <w:szCs w:val="20"/>
                <w:color w:val="auto"/>
              </w:rPr>
            </w:pPr>
            <w:r>
              <w:rPr>
                <w:rFonts w:ascii="Arial" w:cs="Arial" w:eastAsia="Arial" w:hAnsi="Arial"/>
                <w:sz w:val="18"/>
                <w:szCs w:val="18"/>
                <w:color w:val="auto"/>
              </w:rPr>
              <w:t>10 years</w:t>
            </w:r>
          </w:p>
        </w:tc>
        <w:tc>
          <w:tcPr>
            <w:tcW w:w="300" w:type="dxa"/>
            <w:vAlign w:val="bottom"/>
          </w:tcPr>
          <w:p>
            <w:pPr>
              <w:spacing w:after="0"/>
              <w:rPr>
                <w:sz w:val="17"/>
                <w:szCs w:val="17"/>
                <w:color w:val="auto"/>
              </w:rPr>
            </w:pPr>
          </w:p>
        </w:tc>
        <w:tc>
          <w:tcPr>
            <w:tcW w:w="740" w:type="dxa"/>
            <w:vAlign w:val="bottom"/>
          </w:tcPr>
          <w:p>
            <w:pPr>
              <w:jc w:val="right"/>
              <w:ind w:right="118"/>
              <w:spacing w:after="0" w:line="202" w:lineRule="exact"/>
              <w:rPr>
                <w:sz w:val="20"/>
                <w:szCs w:val="20"/>
                <w:color w:val="auto"/>
              </w:rPr>
            </w:pPr>
            <w:r>
              <w:rPr>
                <w:rFonts w:ascii="Arial" w:cs="Arial" w:eastAsia="Arial" w:hAnsi="Arial"/>
                <w:sz w:val="18"/>
                <w:szCs w:val="18"/>
                <w:b w:val="1"/>
                <w:bCs w:val="1"/>
                <w:color w:val="auto"/>
              </w:rPr>
              <w:t>982</w:t>
            </w:r>
          </w:p>
        </w:tc>
        <w:tc>
          <w:tcPr>
            <w:tcW w:w="420" w:type="dxa"/>
            <w:vAlign w:val="bottom"/>
          </w:tcPr>
          <w:p>
            <w:pPr>
              <w:spacing w:after="0"/>
              <w:rPr>
                <w:sz w:val="17"/>
                <w:szCs w:val="17"/>
                <w:color w:val="auto"/>
              </w:rPr>
            </w:pPr>
          </w:p>
        </w:tc>
        <w:tc>
          <w:tcPr>
            <w:tcW w:w="840" w:type="dxa"/>
            <w:vAlign w:val="bottom"/>
          </w:tcPr>
          <w:p>
            <w:pPr>
              <w:jc w:val="right"/>
              <w:ind w:right="72"/>
              <w:spacing w:after="0" w:line="202" w:lineRule="exact"/>
              <w:rPr>
                <w:sz w:val="20"/>
                <w:szCs w:val="20"/>
                <w:color w:val="auto"/>
              </w:rPr>
            </w:pPr>
            <w:r>
              <w:rPr>
                <w:rFonts w:ascii="Arial" w:cs="Arial" w:eastAsia="Arial" w:hAnsi="Arial"/>
                <w:sz w:val="18"/>
                <w:szCs w:val="18"/>
                <w:b w:val="1"/>
                <w:bCs w:val="1"/>
                <w:color w:val="auto"/>
              </w:rPr>
              <w:t>(283)</w:t>
            </w:r>
          </w:p>
        </w:tc>
        <w:tc>
          <w:tcPr>
            <w:tcW w:w="780" w:type="dxa"/>
            <w:vAlign w:val="bottom"/>
          </w:tcPr>
          <w:p>
            <w:pPr>
              <w:jc w:val="right"/>
              <w:spacing w:after="0" w:line="202" w:lineRule="exact"/>
              <w:rPr>
                <w:sz w:val="20"/>
                <w:szCs w:val="20"/>
                <w:color w:val="auto"/>
              </w:rPr>
            </w:pPr>
            <w:r>
              <w:rPr>
                <w:rFonts w:ascii="Arial" w:cs="Arial" w:eastAsia="Arial" w:hAnsi="Arial"/>
                <w:sz w:val="18"/>
                <w:szCs w:val="18"/>
                <w:color w:val="auto"/>
              </w:rPr>
              <w:t>863</w:t>
            </w:r>
          </w:p>
        </w:tc>
        <w:tc>
          <w:tcPr>
            <w:tcW w:w="500" w:type="dxa"/>
            <w:vAlign w:val="bottom"/>
          </w:tcPr>
          <w:p>
            <w:pPr>
              <w:spacing w:after="0"/>
              <w:rPr>
                <w:sz w:val="17"/>
                <w:szCs w:val="17"/>
                <w:color w:val="auto"/>
              </w:rPr>
            </w:pPr>
          </w:p>
        </w:tc>
        <w:tc>
          <w:tcPr>
            <w:tcW w:w="660" w:type="dxa"/>
            <w:vAlign w:val="bottom"/>
          </w:tcPr>
          <w:p>
            <w:pPr>
              <w:jc w:val="right"/>
              <w:spacing w:after="0" w:line="202" w:lineRule="exact"/>
              <w:rPr>
                <w:sz w:val="20"/>
                <w:szCs w:val="20"/>
                <w:color w:val="auto"/>
              </w:rPr>
            </w:pPr>
            <w:r>
              <w:rPr>
                <w:rFonts w:ascii="Arial" w:cs="Arial" w:eastAsia="Arial" w:hAnsi="Arial"/>
                <w:sz w:val="18"/>
                <w:szCs w:val="18"/>
                <w:color w:val="auto"/>
              </w:rPr>
              <w:t>(198)</w:t>
            </w:r>
          </w:p>
        </w:tc>
      </w:tr>
      <w:tr>
        <w:trPr>
          <w:trHeight w:val="203"/>
        </w:trPr>
        <w:tc>
          <w:tcPr>
            <w:tcW w:w="4680" w:type="dxa"/>
            <w:vAlign w:val="bottom"/>
          </w:tcPr>
          <w:p>
            <w:pPr>
              <w:spacing w:after="0" w:line="202" w:lineRule="exact"/>
              <w:rPr>
                <w:sz w:val="20"/>
                <w:szCs w:val="20"/>
                <w:color w:val="auto"/>
              </w:rPr>
            </w:pPr>
            <w:r>
              <w:rPr>
                <w:rFonts w:ascii="Arial" w:cs="Arial" w:eastAsia="Arial" w:hAnsi="Arial"/>
                <w:sz w:val="18"/>
                <w:szCs w:val="18"/>
                <w:color w:val="auto"/>
              </w:rPr>
              <w:t>Computer software</w:t>
            </w:r>
          </w:p>
        </w:tc>
        <w:tc>
          <w:tcPr>
            <w:tcW w:w="180" w:type="dxa"/>
            <w:vAlign w:val="bottom"/>
          </w:tcPr>
          <w:p>
            <w:pPr>
              <w:spacing w:after="0"/>
              <w:rPr>
                <w:sz w:val="17"/>
                <w:szCs w:val="17"/>
                <w:color w:val="auto"/>
              </w:rPr>
            </w:pPr>
          </w:p>
        </w:tc>
        <w:tc>
          <w:tcPr>
            <w:tcW w:w="6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560" w:type="dxa"/>
            <w:vAlign w:val="bottom"/>
          </w:tcPr>
          <w:p>
            <w:pPr>
              <w:jc w:val="right"/>
              <w:ind w:right="115"/>
              <w:spacing w:after="0" w:line="202" w:lineRule="exact"/>
              <w:rPr>
                <w:sz w:val="20"/>
                <w:szCs w:val="20"/>
                <w:color w:val="auto"/>
              </w:rPr>
            </w:pPr>
            <w:r>
              <w:rPr>
                <w:rFonts w:ascii="Arial" w:cs="Arial" w:eastAsia="Arial" w:hAnsi="Arial"/>
                <w:sz w:val="18"/>
                <w:szCs w:val="18"/>
                <w:color w:val="auto"/>
              </w:rPr>
              <w:t>1 – 5 years</w:t>
            </w:r>
          </w:p>
        </w:tc>
        <w:tc>
          <w:tcPr>
            <w:tcW w:w="300" w:type="dxa"/>
            <w:vAlign w:val="bottom"/>
          </w:tcPr>
          <w:p>
            <w:pPr>
              <w:spacing w:after="0"/>
              <w:rPr>
                <w:sz w:val="17"/>
                <w:szCs w:val="17"/>
                <w:color w:val="auto"/>
              </w:rPr>
            </w:pPr>
          </w:p>
        </w:tc>
        <w:tc>
          <w:tcPr>
            <w:tcW w:w="740" w:type="dxa"/>
            <w:vAlign w:val="bottom"/>
          </w:tcPr>
          <w:p>
            <w:pPr>
              <w:jc w:val="right"/>
              <w:ind w:right="118"/>
              <w:spacing w:after="0" w:line="202" w:lineRule="exact"/>
              <w:rPr>
                <w:sz w:val="20"/>
                <w:szCs w:val="20"/>
                <w:color w:val="auto"/>
              </w:rPr>
            </w:pPr>
            <w:r>
              <w:rPr>
                <w:rFonts w:ascii="Arial" w:cs="Arial" w:eastAsia="Arial" w:hAnsi="Arial"/>
                <w:sz w:val="18"/>
                <w:szCs w:val="18"/>
                <w:b w:val="1"/>
                <w:bCs w:val="1"/>
                <w:color w:val="auto"/>
              </w:rPr>
              <w:t>1,104</w:t>
            </w:r>
          </w:p>
        </w:tc>
        <w:tc>
          <w:tcPr>
            <w:tcW w:w="420" w:type="dxa"/>
            <w:vAlign w:val="bottom"/>
          </w:tcPr>
          <w:p>
            <w:pPr>
              <w:spacing w:after="0"/>
              <w:rPr>
                <w:sz w:val="17"/>
                <w:szCs w:val="17"/>
                <w:color w:val="auto"/>
              </w:rPr>
            </w:pPr>
          </w:p>
        </w:tc>
        <w:tc>
          <w:tcPr>
            <w:tcW w:w="840" w:type="dxa"/>
            <w:vAlign w:val="bottom"/>
          </w:tcPr>
          <w:p>
            <w:pPr>
              <w:jc w:val="right"/>
              <w:ind w:right="72"/>
              <w:spacing w:after="0" w:line="202" w:lineRule="exact"/>
              <w:rPr>
                <w:sz w:val="20"/>
                <w:szCs w:val="20"/>
                <w:color w:val="auto"/>
              </w:rPr>
            </w:pPr>
            <w:r>
              <w:rPr>
                <w:rFonts w:ascii="Arial" w:cs="Arial" w:eastAsia="Arial" w:hAnsi="Arial"/>
                <w:sz w:val="18"/>
                <w:szCs w:val="18"/>
                <w:b w:val="1"/>
                <w:bCs w:val="1"/>
                <w:color w:val="auto"/>
              </w:rPr>
              <w:t>(515)</w:t>
            </w:r>
          </w:p>
        </w:tc>
        <w:tc>
          <w:tcPr>
            <w:tcW w:w="780" w:type="dxa"/>
            <w:vAlign w:val="bottom"/>
          </w:tcPr>
          <w:p>
            <w:pPr>
              <w:jc w:val="right"/>
              <w:spacing w:after="0" w:line="202" w:lineRule="exact"/>
              <w:rPr>
                <w:sz w:val="20"/>
                <w:szCs w:val="20"/>
                <w:color w:val="auto"/>
              </w:rPr>
            </w:pPr>
            <w:r>
              <w:rPr>
                <w:rFonts w:ascii="Arial" w:cs="Arial" w:eastAsia="Arial" w:hAnsi="Arial"/>
                <w:sz w:val="18"/>
                <w:szCs w:val="18"/>
                <w:color w:val="auto"/>
              </w:rPr>
              <w:t>871</w:t>
            </w:r>
          </w:p>
        </w:tc>
        <w:tc>
          <w:tcPr>
            <w:tcW w:w="500" w:type="dxa"/>
            <w:vAlign w:val="bottom"/>
          </w:tcPr>
          <w:p>
            <w:pPr>
              <w:spacing w:after="0"/>
              <w:rPr>
                <w:sz w:val="17"/>
                <w:szCs w:val="17"/>
                <w:color w:val="auto"/>
              </w:rPr>
            </w:pPr>
          </w:p>
        </w:tc>
        <w:tc>
          <w:tcPr>
            <w:tcW w:w="660" w:type="dxa"/>
            <w:vAlign w:val="bottom"/>
          </w:tcPr>
          <w:p>
            <w:pPr>
              <w:jc w:val="right"/>
              <w:spacing w:after="0" w:line="202" w:lineRule="exact"/>
              <w:rPr>
                <w:sz w:val="20"/>
                <w:szCs w:val="20"/>
                <w:color w:val="auto"/>
              </w:rPr>
            </w:pPr>
            <w:r>
              <w:rPr>
                <w:rFonts w:ascii="Arial" w:cs="Arial" w:eastAsia="Arial" w:hAnsi="Arial"/>
                <w:sz w:val="18"/>
                <w:szCs w:val="18"/>
                <w:color w:val="auto"/>
              </w:rPr>
              <w:t>(252)</w:t>
            </w:r>
          </w:p>
        </w:tc>
      </w:tr>
      <w:tr>
        <w:trPr>
          <w:trHeight w:val="203"/>
        </w:trPr>
        <w:tc>
          <w:tcPr>
            <w:tcW w:w="4680" w:type="dxa"/>
            <w:vAlign w:val="bottom"/>
          </w:tcPr>
          <w:p>
            <w:pPr>
              <w:spacing w:after="0" w:line="202" w:lineRule="exact"/>
              <w:rPr>
                <w:sz w:val="20"/>
                <w:szCs w:val="20"/>
                <w:color w:val="auto"/>
              </w:rPr>
            </w:pPr>
            <w:r>
              <w:rPr>
                <w:rFonts w:ascii="Arial" w:cs="Arial" w:eastAsia="Arial" w:hAnsi="Arial"/>
                <w:sz w:val="18"/>
                <w:szCs w:val="18"/>
                <w:color w:val="auto"/>
              </w:rPr>
              <w:t>Patents and other technology rights</w:t>
            </w:r>
          </w:p>
        </w:tc>
        <w:tc>
          <w:tcPr>
            <w:tcW w:w="180" w:type="dxa"/>
            <w:vAlign w:val="bottom"/>
          </w:tcPr>
          <w:p>
            <w:pPr>
              <w:spacing w:after="0"/>
              <w:rPr>
                <w:sz w:val="17"/>
                <w:szCs w:val="17"/>
                <w:color w:val="auto"/>
              </w:rPr>
            </w:pPr>
          </w:p>
        </w:tc>
        <w:tc>
          <w:tcPr>
            <w:tcW w:w="6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560" w:type="dxa"/>
            <w:vAlign w:val="bottom"/>
          </w:tcPr>
          <w:p>
            <w:pPr>
              <w:jc w:val="right"/>
              <w:ind w:right="115"/>
              <w:spacing w:after="0" w:line="202" w:lineRule="exact"/>
              <w:rPr>
                <w:sz w:val="20"/>
                <w:szCs w:val="20"/>
                <w:color w:val="auto"/>
              </w:rPr>
            </w:pPr>
            <w:r>
              <w:rPr>
                <w:rFonts w:ascii="Arial" w:cs="Arial" w:eastAsia="Arial" w:hAnsi="Arial"/>
                <w:sz w:val="18"/>
                <w:szCs w:val="18"/>
                <w:color w:val="auto"/>
              </w:rPr>
              <w:t>3 – 12 years</w:t>
            </w:r>
          </w:p>
        </w:tc>
        <w:tc>
          <w:tcPr>
            <w:tcW w:w="300" w:type="dxa"/>
            <w:vAlign w:val="bottom"/>
          </w:tcPr>
          <w:p>
            <w:pPr>
              <w:spacing w:after="0"/>
              <w:rPr>
                <w:sz w:val="17"/>
                <w:szCs w:val="17"/>
                <w:color w:val="auto"/>
              </w:rPr>
            </w:pPr>
          </w:p>
        </w:tc>
        <w:tc>
          <w:tcPr>
            <w:tcW w:w="740" w:type="dxa"/>
            <w:vAlign w:val="bottom"/>
          </w:tcPr>
          <w:p>
            <w:pPr>
              <w:jc w:val="right"/>
              <w:ind w:right="118"/>
              <w:spacing w:after="0" w:line="202" w:lineRule="exact"/>
              <w:rPr>
                <w:sz w:val="20"/>
                <w:szCs w:val="20"/>
                <w:color w:val="auto"/>
              </w:rPr>
            </w:pPr>
            <w:r>
              <w:rPr>
                <w:rFonts w:ascii="Arial" w:cs="Arial" w:eastAsia="Arial" w:hAnsi="Arial"/>
                <w:sz w:val="18"/>
                <w:szCs w:val="18"/>
                <w:b w:val="1"/>
                <w:bCs w:val="1"/>
                <w:color w:val="auto"/>
              </w:rPr>
              <w:t>214</w:t>
            </w:r>
          </w:p>
        </w:tc>
        <w:tc>
          <w:tcPr>
            <w:tcW w:w="420" w:type="dxa"/>
            <w:vAlign w:val="bottom"/>
          </w:tcPr>
          <w:p>
            <w:pPr>
              <w:spacing w:after="0"/>
              <w:rPr>
                <w:sz w:val="17"/>
                <w:szCs w:val="17"/>
                <w:color w:val="auto"/>
              </w:rPr>
            </w:pPr>
          </w:p>
        </w:tc>
        <w:tc>
          <w:tcPr>
            <w:tcW w:w="840" w:type="dxa"/>
            <w:vAlign w:val="bottom"/>
          </w:tcPr>
          <w:p>
            <w:pPr>
              <w:jc w:val="right"/>
              <w:ind w:right="72"/>
              <w:spacing w:after="0" w:line="202" w:lineRule="exact"/>
              <w:rPr>
                <w:sz w:val="20"/>
                <w:szCs w:val="20"/>
                <w:color w:val="auto"/>
              </w:rPr>
            </w:pPr>
            <w:r>
              <w:rPr>
                <w:rFonts w:ascii="Arial" w:cs="Arial" w:eastAsia="Arial" w:hAnsi="Arial"/>
                <w:sz w:val="18"/>
                <w:szCs w:val="18"/>
                <w:b w:val="1"/>
                <w:bCs w:val="1"/>
                <w:color w:val="auto"/>
              </w:rPr>
              <w:t>(62)</w:t>
            </w:r>
          </w:p>
        </w:tc>
        <w:tc>
          <w:tcPr>
            <w:tcW w:w="780" w:type="dxa"/>
            <w:vAlign w:val="bottom"/>
          </w:tcPr>
          <w:p>
            <w:pPr>
              <w:jc w:val="right"/>
              <w:spacing w:after="0" w:line="202" w:lineRule="exact"/>
              <w:rPr>
                <w:sz w:val="20"/>
                <w:szCs w:val="20"/>
                <w:color w:val="auto"/>
              </w:rPr>
            </w:pPr>
            <w:r>
              <w:rPr>
                <w:rFonts w:ascii="Arial" w:cs="Arial" w:eastAsia="Arial" w:hAnsi="Arial"/>
                <w:sz w:val="18"/>
                <w:szCs w:val="18"/>
                <w:color w:val="auto"/>
              </w:rPr>
              <w:t>214</w:t>
            </w:r>
          </w:p>
        </w:tc>
        <w:tc>
          <w:tcPr>
            <w:tcW w:w="500" w:type="dxa"/>
            <w:vAlign w:val="bottom"/>
          </w:tcPr>
          <w:p>
            <w:pPr>
              <w:spacing w:after="0"/>
              <w:rPr>
                <w:sz w:val="17"/>
                <w:szCs w:val="17"/>
                <w:color w:val="auto"/>
              </w:rPr>
            </w:pPr>
          </w:p>
        </w:tc>
        <w:tc>
          <w:tcPr>
            <w:tcW w:w="660" w:type="dxa"/>
            <w:vAlign w:val="bottom"/>
          </w:tcPr>
          <w:p>
            <w:pPr>
              <w:jc w:val="right"/>
              <w:spacing w:after="0" w:line="202" w:lineRule="exact"/>
              <w:rPr>
                <w:sz w:val="20"/>
                <w:szCs w:val="20"/>
                <w:color w:val="auto"/>
              </w:rPr>
            </w:pPr>
            <w:r>
              <w:rPr>
                <w:rFonts w:ascii="Arial" w:cs="Arial" w:eastAsia="Arial" w:hAnsi="Arial"/>
                <w:sz w:val="18"/>
                <w:szCs w:val="18"/>
                <w:color w:val="auto"/>
              </w:rPr>
              <w:t>(62)</w:t>
            </w:r>
          </w:p>
        </w:tc>
      </w:tr>
      <w:tr>
        <w:trPr>
          <w:trHeight w:val="203"/>
        </w:trPr>
        <w:tc>
          <w:tcPr>
            <w:tcW w:w="4680" w:type="dxa"/>
            <w:vAlign w:val="bottom"/>
          </w:tcPr>
          <w:p>
            <w:pPr>
              <w:spacing w:after="0" w:line="202" w:lineRule="exact"/>
              <w:rPr>
                <w:sz w:val="20"/>
                <w:szCs w:val="20"/>
                <w:color w:val="auto"/>
              </w:rPr>
            </w:pPr>
            <w:r>
              <w:rPr>
                <w:rFonts w:ascii="Arial" w:cs="Arial" w:eastAsia="Arial" w:hAnsi="Arial"/>
                <w:sz w:val="18"/>
                <w:szCs w:val="18"/>
                <w:color w:val="auto"/>
              </w:rPr>
              <w:t>Programming agreements and rights</w:t>
            </w:r>
          </w:p>
        </w:tc>
        <w:tc>
          <w:tcPr>
            <w:tcW w:w="180" w:type="dxa"/>
            <w:vAlign w:val="bottom"/>
          </w:tcPr>
          <w:p>
            <w:pPr>
              <w:spacing w:after="0"/>
              <w:rPr>
                <w:sz w:val="17"/>
                <w:szCs w:val="17"/>
                <w:color w:val="auto"/>
              </w:rPr>
            </w:pPr>
          </w:p>
        </w:tc>
        <w:tc>
          <w:tcPr>
            <w:tcW w:w="6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560" w:type="dxa"/>
            <w:vAlign w:val="bottom"/>
          </w:tcPr>
          <w:p>
            <w:pPr>
              <w:jc w:val="right"/>
              <w:ind w:right="115"/>
              <w:spacing w:after="0" w:line="202" w:lineRule="exact"/>
              <w:rPr>
                <w:sz w:val="20"/>
                <w:szCs w:val="20"/>
                <w:color w:val="auto"/>
              </w:rPr>
            </w:pPr>
            <w:r>
              <w:rPr>
                <w:rFonts w:ascii="Arial" w:cs="Arial" w:eastAsia="Arial" w:hAnsi="Arial"/>
                <w:sz w:val="18"/>
                <w:szCs w:val="18"/>
                <w:color w:val="auto"/>
              </w:rPr>
              <w:t>2 – 4 years</w:t>
            </w:r>
          </w:p>
        </w:tc>
        <w:tc>
          <w:tcPr>
            <w:tcW w:w="300" w:type="dxa"/>
            <w:vAlign w:val="bottom"/>
          </w:tcPr>
          <w:p>
            <w:pPr>
              <w:spacing w:after="0"/>
              <w:rPr>
                <w:sz w:val="17"/>
                <w:szCs w:val="17"/>
                <w:color w:val="auto"/>
              </w:rPr>
            </w:pPr>
          </w:p>
        </w:tc>
        <w:tc>
          <w:tcPr>
            <w:tcW w:w="740" w:type="dxa"/>
            <w:vAlign w:val="bottom"/>
          </w:tcPr>
          <w:p>
            <w:pPr>
              <w:jc w:val="right"/>
              <w:ind w:right="118"/>
              <w:spacing w:after="0" w:line="202" w:lineRule="exact"/>
              <w:rPr>
                <w:sz w:val="20"/>
                <w:szCs w:val="20"/>
                <w:color w:val="auto"/>
              </w:rPr>
            </w:pPr>
            <w:r>
              <w:rPr>
                <w:rFonts w:ascii="Arial" w:cs="Arial" w:eastAsia="Arial" w:hAnsi="Arial"/>
                <w:sz w:val="18"/>
                <w:szCs w:val="18"/>
                <w:b w:val="1"/>
                <w:bCs w:val="1"/>
                <w:color w:val="auto"/>
              </w:rPr>
              <w:t>1,026</w:t>
            </w:r>
          </w:p>
        </w:tc>
        <w:tc>
          <w:tcPr>
            <w:tcW w:w="420" w:type="dxa"/>
            <w:vAlign w:val="bottom"/>
          </w:tcPr>
          <w:p>
            <w:pPr>
              <w:spacing w:after="0"/>
              <w:rPr>
                <w:sz w:val="17"/>
                <w:szCs w:val="17"/>
                <w:color w:val="auto"/>
              </w:rPr>
            </w:pPr>
          </w:p>
        </w:tc>
        <w:tc>
          <w:tcPr>
            <w:tcW w:w="840" w:type="dxa"/>
            <w:vAlign w:val="bottom"/>
          </w:tcPr>
          <w:p>
            <w:pPr>
              <w:jc w:val="right"/>
              <w:ind w:right="72"/>
              <w:spacing w:after="0" w:line="202" w:lineRule="exact"/>
              <w:rPr>
                <w:sz w:val="20"/>
                <w:szCs w:val="20"/>
                <w:color w:val="auto"/>
              </w:rPr>
            </w:pPr>
            <w:r>
              <w:rPr>
                <w:rFonts w:ascii="Arial" w:cs="Arial" w:eastAsia="Arial" w:hAnsi="Arial"/>
                <w:sz w:val="18"/>
                <w:szCs w:val="18"/>
                <w:b w:val="1"/>
                <w:bCs w:val="1"/>
                <w:color w:val="auto"/>
              </w:rPr>
              <w:t>(782)</w:t>
            </w:r>
          </w:p>
        </w:tc>
        <w:tc>
          <w:tcPr>
            <w:tcW w:w="780" w:type="dxa"/>
            <w:vAlign w:val="bottom"/>
          </w:tcPr>
          <w:p>
            <w:pPr>
              <w:jc w:val="right"/>
              <w:spacing w:after="0" w:line="202" w:lineRule="exact"/>
              <w:rPr>
                <w:sz w:val="20"/>
                <w:szCs w:val="20"/>
                <w:color w:val="auto"/>
              </w:rPr>
            </w:pPr>
            <w:r>
              <w:rPr>
                <w:rFonts w:ascii="Arial" w:cs="Arial" w:eastAsia="Arial" w:hAnsi="Arial"/>
                <w:sz w:val="18"/>
                <w:szCs w:val="18"/>
                <w:color w:val="auto"/>
              </w:rPr>
              <w:t>772</w:t>
            </w:r>
          </w:p>
        </w:tc>
        <w:tc>
          <w:tcPr>
            <w:tcW w:w="500" w:type="dxa"/>
            <w:vAlign w:val="bottom"/>
          </w:tcPr>
          <w:p>
            <w:pPr>
              <w:spacing w:after="0"/>
              <w:rPr>
                <w:sz w:val="17"/>
                <w:szCs w:val="17"/>
                <w:color w:val="auto"/>
              </w:rPr>
            </w:pPr>
          </w:p>
        </w:tc>
        <w:tc>
          <w:tcPr>
            <w:tcW w:w="660" w:type="dxa"/>
            <w:vAlign w:val="bottom"/>
          </w:tcPr>
          <w:p>
            <w:pPr>
              <w:jc w:val="right"/>
              <w:spacing w:after="0" w:line="202" w:lineRule="exact"/>
              <w:rPr>
                <w:sz w:val="20"/>
                <w:szCs w:val="20"/>
                <w:color w:val="auto"/>
              </w:rPr>
            </w:pPr>
            <w:r>
              <w:rPr>
                <w:rFonts w:ascii="Arial" w:cs="Arial" w:eastAsia="Arial" w:hAnsi="Arial"/>
                <w:sz w:val="18"/>
                <w:szCs w:val="18"/>
                <w:color w:val="auto"/>
              </w:rPr>
              <w:t>(520)</w:t>
            </w:r>
          </w:p>
        </w:tc>
      </w:tr>
      <w:tr>
        <w:trPr>
          <w:trHeight w:val="221"/>
        </w:trPr>
        <w:tc>
          <w:tcPr>
            <w:tcW w:w="468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Other agreements and rights</w:t>
            </w:r>
          </w:p>
        </w:tc>
        <w:tc>
          <w:tcPr>
            <w:tcW w:w="180" w:type="dxa"/>
            <w:vAlign w:val="bottom"/>
            <w:tcBorders>
              <w:bottom w:val="single" w:sz="8" w:color="auto"/>
            </w:tcBorders>
          </w:tcPr>
          <w:p>
            <w:pPr>
              <w:spacing w:after="0"/>
              <w:rPr>
                <w:sz w:val="19"/>
                <w:szCs w:val="19"/>
                <w:color w:val="auto"/>
              </w:rPr>
            </w:pPr>
          </w:p>
        </w:tc>
        <w:tc>
          <w:tcPr>
            <w:tcW w:w="620" w:type="dxa"/>
            <w:vAlign w:val="bottom"/>
            <w:tcBorders>
              <w:bottom w:val="single" w:sz="8" w:color="auto"/>
            </w:tcBorders>
          </w:tcPr>
          <w:p>
            <w:pPr>
              <w:spacing w:after="0"/>
              <w:rPr>
                <w:sz w:val="19"/>
                <w:szCs w:val="19"/>
                <w:color w:val="auto"/>
              </w:rPr>
            </w:pPr>
          </w:p>
        </w:tc>
        <w:tc>
          <w:tcPr>
            <w:tcW w:w="20" w:type="dxa"/>
            <w:vAlign w:val="bottom"/>
            <w:tcBorders>
              <w:bottom w:val="single" w:sz="8" w:color="auto"/>
            </w:tcBorders>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1560" w:type="dxa"/>
            <w:vAlign w:val="bottom"/>
            <w:tcBorders>
              <w:bottom w:val="single" w:sz="8" w:color="auto"/>
            </w:tcBorders>
          </w:tcPr>
          <w:p>
            <w:pPr>
              <w:jc w:val="right"/>
              <w:ind w:right="115"/>
              <w:spacing w:after="0"/>
              <w:rPr>
                <w:sz w:val="20"/>
                <w:szCs w:val="20"/>
                <w:color w:val="auto"/>
              </w:rPr>
            </w:pPr>
            <w:r>
              <w:rPr>
                <w:rFonts w:ascii="Arial" w:cs="Arial" w:eastAsia="Arial" w:hAnsi="Arial"/>
                <w:sz w:val="18"/>
                <w:szCs w:val="18"/>
                <w:color w:val="auto"/>
              </w:rPr>
              <w:t>2 – 22 years</w:t>
            </w:r>
          </w:p>
        </w:tc>
        <w:tc>
          <w:tcPr>
            <w:tcW w:w="300" w:type="dxa"/>
            <w:vAlign w:val="bottom"/>
            <w:tcBorders>
              <w:bottom w:val="single" w:sz="8" w:color="auto"/>
            </w:tcBorders>
          </w:tcPr>
          <w:p>
            <w:pPr>
              <w:spacing w:after="0"/>
              <w:rPr>
                <w:sz w:val="19"/>
                <w:szCs w:val="19"/>
                <w:color w:val="auto"/>
              </w:rPr>
            </w:pPr>
          </w:p>
        </w:tc>
        <w:tc>
          <w:tcPr>
            <w:tcW w:w="740" w:type="dxa"/>
            <w:vAlign w:val="bottom"/>
            <w:tcBorders>
              <w:bottom w:val="single" w:sz="8" w:color="auto"/>
            </w:tcBorders>
          </w:tcPr>
          <w:p>
            <w:pPr>
              <w:jc w:val="right"/>
              <w:ind w:right="118"/>
              <w:spacing w:after="0"/>
              <w:rPr>
                <w:sz w:val="20"/>
                <w:szCs w:val="20"/>
                <w:color w:val="auto"/>
              </w:rPr>
            </w:pPr>
            <w:r>
              <w:rPr>
                <w:rFonts w:ascii="Arial" w:cs="Arial" w:eastAsia="Arial" w:hAnsi="Arial"/>
                <w:sz w:val="18"/>
                <w:szCs w:val="18"/>
                <w:b w:val="1"/>
                <w:bCs w:val="1"/>
                <w:color w:val="auto"/>
              </w:rPr>
              <w:t>877</w:t>
            </w:r>
          </w:p>
        </w:tc>
        <w:tc>
          <w:tcPr>
            <w:tcW w:w="420" w:type="dxa"/>
            <w:vAlign w:val="bottom"/>
            <w:tcBorders>
              <w:bottom w:val="single" w:sz="8" w:color="auto"/>
            </w:tcBorders>
          </w:tcPr>
          <w:p>
            <w:pPr>
              <w:spacing w:after="0"/>
              <w:rPr>
                <w:sz w:val="19"/>
                <w:szCs w:val="19"/>
                <w:color w:val="auto"/>
              </w:rPr>
            </w:pPr>
          </w:p>
        </w:tc>
        <w:tc>
          <w:tcPr>
            <w:tcW w:w="840" w:type="dxa"/>
            <w:vAlign w:val="bottom"/>
            <w:tcBorders>
              <w:bottom w:val="single" w:sz="8" w:color="auto"/>
            </w:tcBorders>
          </w:tcPr>
          <w:p>
            <w:pPr>
              <w:jc w:val="right"/>
              <w:ind w:right="72"/>
              <w:spacing w:after="0"/>
              <w:rPr>
                <w:sz w:val="20"/>
                <w:szCs w:val="20"/>
                <w:color w:val="auto"/>
              </w:rPr>
            </w:pPr>
            <w:r>
              <w:rPr>
                <w:rFonts w:ascii="Arial" w:cs="Arial" w:eastAsia="Arial" w:hAnsi="Arial"/>
                <w:sz w:val="18"/>
                <w:szCs w:val="18"/>
                <w:b w:val="1"/>
                <w:bCs w:val="1"/>
                <w:color w:val="auto"/>
              </w:rPr>
              <w:t>(180)</w:t>
            </w:r>
          </w:p>
        </w:tc>
        <w:tc>
          <w:tcPr>
            <w:tcW w:w="7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427</w:t>
            </w:r>
          </w:p>
        </w:tc>
        <w:tc>
          <w:tcPr>
            <w:tcW w:w="500" w:type="dxa"/>
            <w:vAlign w:val="bottom"/>
            <w:tcBorders>
              <w:bottom w:val="single" w:sz="8" w:color="auto"/>
            </w:tcBorders>
          </w:tcPr>
          <w:p>
            <w:pPr>
              <w:spacing w:after="0"/>
              <w:rPr>
                <w:sz w:val="19"/>
                <w:szCs w:val="19"/>
                <w:color w:val="auto"/>
              </w:rPr>
            </w:pPr>
          </w:p>
        </w:tc>
        <w:tc>
          <w:tcPr>
            <w:tcW w:w="6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(217)</w:t>
            </w:r>
          </w:p>
        </w:tc>
      </w:tr>
      <w:tr>
        <w:trPr>
          <w:trHeight w:val="196"/>
        </w:trPr>
        <w:tc>
          <w:tcPr>
            <w:tcW w:w="4680" w:type="dxa"/>
            <w:vAlign w:val="bottom"/>
            <w:tcBorders>
              <w:bottom w:val="single" w:sz="8" w:color="35BF85"/>
            </w:tcBorders>
          </w:tcPr>
          <w:p>
            <w:pPr>
              <w:spacing w:after="0" w:line="196" w:lineRule="exact"/>
              <w:rPr>
                <w:sz w:val="20"/>
                <w:szCs w:val="20"/>
                <w:color w:val="auto"/>
              </w:rPr>
            </w:pPr>
            <w:r>
              <w:rPr>
                <w:rFonts w:ascii="Arial" w:cs="Arial" w:eastAsia="Arial" w:hAnsi="Arial"/>
                <w:sz w:val="18"/>
                <w:szCs w:val="18"/>
                <w:color w:val="auto"/>
              </w:rPr>
              <w:t>Total</w:t>
            </w:r>
          </w:p>
        </w:tc>
        <w:tc>
          <w:tcPr>
            <w:tcW w:w="180" w:type="dxa"/>
            <w:vAlign w:val="bottom"/>
            <w:tcBorders>
              <w:bottom w:val="single" w:sz="8" w:color="35BF85"/>
            </w:tcBorders>
          </w:tcPr>
          <w:p>
            <w:pPr>
              <w:spacing w:after="0"/>
              <w:rPr>
                <w:sz w:val="17"/>
                <w:szCs w:val="17"/>
                <w:color w:val="auto"/>
              </w:rPr>
            </w:pPr>
          </w:p>
        </w:tc>
        <w:tc>
          <w:tcPr>
            <w:tcW w:w="620" w:type="dxa"/>
            <w:vAlign w:val="bottom"/>
            <w:tcBorders>
              <w:bottom w:val="single" w:sz="8" w:color="35BF85"/>
            </w:tcBorders>
          </w:tcPr>
          <w:p>
            <w:pPr>
              <w:spacing w:after="0"/>
              <w:rPr>
                <w:sz w:val="17"/>
                <w:szCs w:val="17"/>
                <w:color w:val="auto"/>
              </w:rPr>
            </w:pPr>
          </w:p>
        </w:tc>
        <w:tc>
          <w:tcPr>
            <w:tcW w:w="20" w:type="dxa"/>
            <w:vAlign w:val="bottom"/>
            <w:tcBorders>
              <w:bottom w:val="single" w:sz="8" w:color="35BF85"/>
            </w:tcBorders>
          </w:tcPr>
          <w:p>
            <w:pPr>
              <w:spacing w:after="0"/>
              <w:rPr>
                <w:sz w:val="17"/>
                <w:szCs w:val="17"/>
                <w:color w:val="auto"/>
              </w:rPr>
            </w:pPr>
          </w:p>
        </w:tc>
        <w:tc>
          <w:tcPr>
            <w:tcW w:w="120" w:type="dxa"/>
            <w:vAlign w:val="bottom"/>
            <w:tcBorders>
              <w:bottom w:val="single" w:sz="8" w:color="35BF85"/>
            </w:tcBorders>
          </w:tcPr>
          <w:p>
            <w:pPr>
              <w:spacing w:after="0"/>
              <w:rPr>
                <w:sz w:val="17"/>
                <w:szCs w:val="17"/>
                <w:color w:val="auto"/>
              </w:rPr>
            </w:pPr>
          </w:p>
        </w:tc>
        <w:tc>
          <w:tcPr>
            <w:tcW w:w="1560" w:type="dxa"/>
            <w:vAlign w:val="bottom"/>
            <w:tcBorders>
              <w:bottom w:val="single" w:sz="8" w:color="35BF85"/>
            </w:tcBorders>
          </w:tcPr>
          <w:p>
            <w:pPr>
              <w:spacing w:after="0"/>
              <w:rPr>
                <w:sz w:val="17"/>
                <w:szCs w:val="17"/>
                <w:color w:val="auto"/>
              </w:rPr>
            </w:pPr>
          </w:p>
        </w:tc>
        <w:tc>
          <w:tcPr>
            <w:tcW w:w="300" w:type="dxa"/>
            <w:vAlign w:val="bottom"/>
            <w:tcBorders>
              <w:bottom w:val="single" w:sz="8" w:color="35BF85"/>
            </w:tcBorders>
          </w:tcPr>
          <w:p>
            <w:pPr>
              <w:jc w:val="right"/>
              <w:spacing w:after="0" w:line="196" w:lineRule="exact"/>
              <w:rPr>
                <w:sz w:val="20"/>
                <w:szCs w:val="20"/>
                <w:color w:val="auto"/>
              </w:rPr>
            </w:pPr>
            <w:r>
              <w:rPr>
                <w:rFonts w:ascii="Arial" w:cs="Arial" w:eastAsia="Arial" w:hAnsi="Arial"/>
                <w:sz w:val="18"/>
                <w:szCs w:val="18"/>
                <w:b w:val="1"/>
                <w:bCs w:val="1"/>
                <w:color w:val="auto"/>
              </w:rPr>
              <w:t>$</w:t>
            </w:r>
          </w:p>
        </w:tc>
        <w:tc>
          <w:tcPr>
            <w:tcW w:w="740" w:type="dxa"/>
            <w:vAlign w:val="bottom"/>
            <w:tcBorders>
              <w:bottom w:val="single" w:sz="8" w:color="35BF85"/>
            </w:tcBorders>
          </w:tcPr>
          <w:p>
            <w:pPr>
              <w:jc w:val="right"/>
              <w:ind w:right="118"/>
              <w:spacing w:after="0" w:line="196" w:lineRule="exact"/>
              <w:rPr>
                <w:sz w:val="20"/>
                <w:szCs w:val="20"/>
                <w:color w:val="auto"/>
              </w:rPr>
            </w:pPr>
            <w:r>
              <w:rPr>
                <w:rFonts w:ascii="Arial" w:cs="Arial" w:eastAsia="Arial" w:hAnsi="Arial"/>
                <w:sz w:val="18"/>
                <w:szCs w:val="18"/>
                <w:b w:val="1"/>
                <w:bCs w:val="1"/>
                <w:color w:val="auto"/>
                <w:w w:val="94"/>
              </w:rPr>
              <w:t>10,424</w:t>
            </w:r>
          </w:p>
        </w:tc>
        <w:tc>
          <w:tcPr>
            <w:tcW w:w="420" w:type="dxa"/>
            <w:vAlign w:val="bottom"/>
            <w:tcBorders>
              <w:bottom w:val="single" w:sz="8" w:color="35BF85"/>
            </w:tcBorders>
          </w:tcPr>
          <w:p>
            <w:pPr>
              <w:ind w:left="180"/>
              <w:spacing w:after="0" w:line="196" w:lineRule="exact"/>
              <w:rPr>
                <w:sz w:val="20"/>
                <w:szCs w:val="20"/>
                <w:color w:val="auto"/>
              </w:rPr>
            </w:pPr>
            <w:r>
              <w:rPr>
                <w:rFonts w:ascii="Arial" w:cs="Arial" w:eastAsia="Arial" w:hAnsi="Arial"/>
                <w:sz w:val="18"/>
                <w:szCs w:val="18"/>
                <w:b w:val="1"/>
                <w:bCs w:val="1"/>
                <w:color w:val="auto"/>
              </w:rPr>
              <w:t>$</w:t>
            </w:r>
          </w:p>
        </w:tc>
        <w:tc>
          <w:tcPr>
            <w:tcW w:w="840" w:type="dxa"/>
            <w:vAlign w:val="bottom"/>
            <w:tcBorders>
              <w:bottom w:val="single" w:sz="8" w:color="35BF85"/>
            </w:tcBorders>
          </w:tcPr>
          <w:p>
            <w:pPr>
              <w:jc w:val="right"/>
              <w:ind w:right="72"/>
              <w:spacing w:after="0" w:line="196" w:lineRule="exact"/>
              <w:rPr>
                <w:sz w:val="20"/>
                <w:szCs w:val="20"/>
                <w:color w:val="auto"/>
              </w:rPr>
            </w:pPr>
            <w:r>
              <w:rPr>
                <w:rFonts w:ascii="Arial" w:cs="Arial" w:eastAsia="Arial" w:hAnsi="Arial"/>
                <w:sz w:val="18"/>
                <w:szCs w:val="18"/>
                <w:b w:val="1"/>
                <w:bCs w:val="1"/>
                <w:color w:val="auto"/>
              </w:rPr>
              <w:t>(5,543)</w:t>
            </w:r>
          </w:p>
        </w:tc>
        <w:tc>
          <w:tcPr>
            <w:tcW w:w="780" w:type="dxa"/>
            <w:vAlign w:val="bottom"/>
            <w:tcBorders>
              <w:bottom w:val="single" w:sz="8" w:color="35BF85"/>
            </w:tcBorders>
          </w:tcPr>
          <w:p>
            <w:pPr>
              <w:jc w:val="right"/>
              <w:spacing w:after="0" w:line="196" w:lineRule="exact"/>
              <w:rPr>
                <w:sz w:val="20"/>
                <w:szCs w:val="20"/>
                <w:color w:val="auto"/>
              </w:rPr>
            </w:pPr>
            <w:r>
              <w:rPr>
                <w:rFonts w:ascii="Arial" w:cs="Arial" w:eastAsia="Arial" w:hAnsi="Arial"/>
                <w:sz w:val="18"/>
                <w:szCs w:val="18"/>
                <w:color w:val="auto"/>
              </w:rPr>
              <w:t>$7,753</w:t>
            </w:r>
          </w:p>
        </w:tc>
        <w:tc>
          <w:tcPr>
            <w:tcW w:w="500" w:type="dxa"/>
            <w:vAlign w:val="bottom"/>
            <w:tcBorders>
              <w:bottom w:val="single" w:sz="8" w:color="35BF85"/>
            </w:tcBorders>
          </w:tcPr>
          <w:p>
            <w:pPr>
              <w:ind w:left="300"/>
              <w:spacing w:after="0" w:line="196" w:lineRule="exact"/>
              <w:rPr>
                <w:sz w:val="20"/>
                <w:szCs w:val="20"/>
                <w:color w:val="auto"/>
              </w:rPr>
            </w:pPr>
            <w:r>
              <w:rPr>
                <w:rFonts w:ascii="Arial" w:cs="Arial" w:eastAsia="Arial" w:hAnsi="Arial"/>
                <w:sz w:val="18"/>
                <w:szCs w:val="18"/>
                <w:color w:val="auto"/>
              </w:rPr>
              <w:t>$</w:t>
            </w:r>
          </w:p>
        </w:tc>
        <w:tc>
          <w:tcPr>
            <w:tcW w:w="660" w:type="dxa"/>
            <w:vAlign w:val="bottom"/>
            <w:tcBorders>
              <w:bottom w:val="single" w:sz="8" w:color="35BF85"/>
            </w:tcBorders>
          </w:tcPr>
          <w:p>
            <w:pPr>
              <w:jc w:val="right"/>
              <w:spacing w:after="0" w:line="196" w:lineRule="exact"/>
              <w:rPr>
                <w:sz w:val="20"/>
                <w:szCs w:val="20"/>
                <w:color w:val="auto"/>
              </w:rPr>
            </w:pPr>
            <w:r>
              <w:rPr>
                <w:rFonts w:ascii="Arial" w:cs="Arial" w:eastAsia="Arial" w:hAnsi="Arial"/>
                <w:sz w:val="18"/>
                <w:szCs w:val="18"/>
                <w:color w:val="auto"/>
              </w:rPr>
              <w:t>(4,635)</w:t>
            </w:r>
          </w:p>
        </w:tc>
      </w:tr>
      <w:tr>
        <w:trPr>
          <w:trHeight w:val="483"/>
        </w:trPr>
        <w:tc>
          <w:tcPr>
            <w:tcW w:w="7180" w:type="dxa"/>
            <w:vAlign w:val="bottom"/>
            <w:gridSpan w:val="6"/>
          </w:tcPr>
          <w:p>
            <w:pPr>
              <w:spacing w:after="0"/>
              <w:rPr>
                <w:sz w:val="20"/>
                <w:szCs w:val="20"/>
                <w:color w:val="auto"/>
              </w:rPr>
            </w:pPr>
            <w:r>
              <w:rPr>
                <w:rFonts w:ascii="Arial" w:cs="Arial" w:eastAsia="Arial" w:hAnsi="Arial"/>
                <w:sz w:val="18"/>
                <w:szCs w:val="18"/>
                <w:color w:val="auto"/>
              </w:rPr>
              <w:t>Estimated amortization expense for each of the next five years is as</w:t>
            </w:r>
          </w:p>
        </w:tc>
        <w:tc>
          <w:tcPr>
            <w:tcW w:w="30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660" w:type="dxa"/>
            <w:vAlign w:val="bottom"/>
          </w:tcPr>
          <w:p>
            <w:pPr>
              <w:spacing w:after="0"/>
              <w:rPr>
                <w:sz w:val="24"/>
                <w:szCs w:val="24"/>
                <w:color w:val="auto"/>
              </w:rPr>
            </w:pPr>
          </w:p>
        </w:tc>
      </w:tr>
      <w:tr>
        <w:trPr>
          <w:trHeight w:val="211"/>
        </w:trPr>
        <w:tc>
          <w:tcPr>
            <w:tcW w:w="4680" w:type="dxa"/>
            <w:vAlign w:val="bottom"/>
          </w:tcPr>
          <w:p>
            <w:pPr>
              <w:spacing w:after="0"/>
              <w:rPr>
                <w:sz w:val="20"/>
                <w:szCs w:val="20"/>
                <w:color w:val="auto"/>
              </w:rPr>
            </w:pPr>
            <w:r>
              <w:rPr>
                <w:rFonts w:ascii="Arial" w:cs="Arial" w:eastAsia="Arial" w:hAnsi="Arial"/>
                <w:sz w:val="18"/>
                <w:szCs w:val="18"/>
                <w:color w:val="auto"/>
              </w:rPr>
              <w:t>follows:</w:t>
            </w:r>
          </w:p>
        </w:tc>
        <w:tc>
          <w:tcPr>
            <w:tcW w:w="18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56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660" w:type="dxa"/>
            <w:vAlign w:val="bottom"/>
          </w:tcPr>
          <w:p>
            <w:pPr>
              <w:spacing w:after="0"/>
              <w:rPr>
                <w:sz w:val="18"/>
                <w:szCs w:val="18"/>
                <w:color w:val="auto"/>
              </w:rPr>
            </w:pPr>
          </w:p>
        </w:tc>
      </w:tr>
      <w:tr>
        <w:trPr>
          <w:trHeight w:val="339"/>
        </w:trPr>
        <w:tc>
          <w:tcPr>
            <w:tcW w:w="46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2320" w:type="dxa"/>
            <w:vAlign w:val="bottom"/>
            <w:gridSpan w:val="4"/>
          </w:tcPr>
          <w:p>
            <w:pPr>
              <w:jc w:val="right"/>
              <w:ind w:right="1615"/>
              <w:spacing w:after="0"/>
              <w:rPr>
                <w:sz w:val="20"/>
                <w:szCs w:val="20"/>
                <w:color w:val="auto"/>
              </w:rPr>
            </w:pPr>
            <w:r>
              <w:rPr>
                <w:rFonts w:ascii="Arial" w:cs="Arial" w:eastAsia="Arial" w:hAnsi="Arial"/>
                <w:sz w:val="14"/>
                <w:szCs w:val="14"/>
                <w:color w:val="auto"/>
                <w:w w:val="96"/>
              </w:rPr>
              <w:t>Estimated</w:t>
            </w:r>
          </w:p>
        </w:tc>
        <w:tc>
          <w:tcPr>
            <w:tcW w:w="30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660" w:type="dxa"/>
            <w:vAlign w:val="bottom"/>
          </w:tcPr>
          <w:p>
            <w:pPr>
              <w:spacing w:after="0"/>
              <w:rPr>
                <w:sz w:val="24"/>
                <w:szCs w:val="24"/>
                <w:color w:val="auto"/>
              </w:rPr>
            </w:pPr>
          </w:p>
        </w:tc>
      </w:tr>
      <w:tr>
        <w:trPr>
          <w:trHeight w:val="149"/>
        </w:trPr>
        <w:tc>
          <w:tcPr>
            <w:tcW w:w="4680" w:type="dxa"/>
            <w:vAlign w:val="bottom"/>
          </w:tcPr>
          <w:p>
            <w:pPr>
              <w:ind w:left="20"/>
              <w:spacing w:after="0" w:line="149" w:lineRule="exact"/>
              <w:rPr>
                <w:sz w:val="20"/>
                <w:szCs w:val="20"/>
                <w:color w:val="auto"/>
              </w:rPr>
            </w:pPr>
            <w:r>
              <w:rPr>
                <w:rFonts w:ascii="Arial" w:cs="Arial" w:eastAsia="Arial" w:hAnsi="Arial"/>
                <w:sz w:val="14"/>
                <w:szCs w:val="14"/>
                <w:color w:val="auto"/>
              </w:rPr>
              <w:t>(in millions)</w:t>
            </w:r>
          </w:p>
        </w:tc>
        <w:tc>
          <w:tcPr>
            <w:tcW w:w="2500" w:type="dxa"/>
            <w:vAlign w:val="bottom"/>
            <w:gridSpan w:val="5"/>
          </w:tcPr>
          <w:p>
            <w:pPr>
              <w:jc w:val="right"/>
              <w:ind w:right="1615"/>
              <w:spacing w:after="0" w:line="149" w:lineRule="exact"/>
              <w:rPr>
                <w:sz w:val="20"/>
                <w:szCs w:val="20"/>
                <w:color w:val="auto"/>
              </w:rPr>
            </w:pPr>
            <w:r>
              <w:rPr>
                <w:rFonts w:ascii="Arial" w:cs="Arial" w:eastAsia="Arial" w:hAnsi="Arial"/>
                <w:sz w:val="14"/>
                <w:szCs w:val="14"/>
                <w:color w:val="auto"/>
              </w:rPr>
              <w:t>Amortization</w:t>
            </w:r>
          </w:p>
        </w:tc>
        <w:tc>
          <w:tcPr>
            <w:tcW w:w="30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420" w:type="dxa"/>
            <w:vAlign w:val="bottom"/>
          </w:tcPr>
          <w:p>
            <w:pPr>
              <w:spacing w:after="0"/>
              <w:rPr>
                <w:sz w:val="12"/>
                <w:szCs w:val="12"/>
                <w:color w:val="auto"/>
              </w:rPr>
            </w:pPr>
          </w:p>
        </w:tc>
        <w:tc>
          <w:tcPr>
            <w:tcW w:w="84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660" w:type="dxa"/>
            <w:vAlign w:val="bottom"/>
          </w:tcPr>
          <w:p>
            <w:pPr>
              <w:spacing w:after="0"/>
              <w:rPr>
                <w:sz w:val="12"/>
                <w:szCs w:val="12"/>
                <w:color w:val="auto"/>
              </w:rPr>
            </w:pPr>
          </w:p>
        </w:tc>
      </w:tr>
      <w:tr>
        <w:trPr>
          <w:trHeight w:val="199"/>
        </w:trPr>
        <w:tc>
          <w:tcPr>
            <w:tcW w:w="4680" w:type="dxa"/>
            <w:vAlign w:val="bottom"/>
            <w:tcBorders>
              <w:top w:val="single" w:sz="8" w:color="auto"/>
            </w:tcBorders>
          </w:tcPr>
          <w:p>
            <w:pPr>
              <w:ind w:left="20"/>
              <w:spacing w:after="0" w:line="200" w:lineRule="exact"/>
              <w:rPr>
                <w:sz w:val="20"/>
                <w:szCs w:val="20"/>
                <w:color w:val="auto"/>
              </w:rPr>
            </w:pPr>
            <w:r>
              <w:rPr>
                <w:rFonts w:ascii="Arial" w:cs="Arial" w:eastAsia="Arial" w:hAnsi="Arial"/>
                <w:sz w:val="18"/>
                <w:szCs w:val="18"/>
                <w:color w:val="auto"/>
              </w:rPr>
              <w:t>2007</w:t>
            </w:r>
          </w:p>
        </w:tc>
        <w:tc>
          <w:tcPr>
            <w:tcW w:w="180" w:type="dxa"/>
            <w:vAlign w:val="bottom"/>
            <w:tcBorders>
              <w:top w:val="single" w:sz="8" w:color="auto"/>
            </w:tcBorders>
          </w:tcPr>
          <w:p>
            <w:pPr>
              <w:jc w:val="right"/>
              <w:spacing w:after="0" w:line="200" w:lineRule="exact"/>
              <w:rPr>
                <w:sz w:val="20"/>
                <w:szCs w:val="20"/>
                <w:color w:val="auto"/>
              </w:rPr>
            </w:pPr>
            <w:r>
              <w:rPr>
                <w:rFonts w:ascii="Arial" w:cs="Arial" w:eastAsia="Arial" w:hAnsi="Arial"/>
                <w:sz w:val="18"/>
                <w:szCs w:val="18"/>
                <w:color w:val="auto"/>
              </w:rPr>
              <w:t>$</w:t>
            </w:r>
          </w:p>
        </w:tc>
        <w:tc>
          <w:tcPr>
            <w:tcW w:w="640" w:type="dxa"/>
            <w:vAlign w:val="bottom"/>
            <w:tcBorders>
              <w:top w:val="single" w:sz="8" w:color="auto"/>
            </w:tcBorders>
            <w:gridSpan w:val="2"/>
          </w:tcPr>
          <w:p>
            <w:pPr>
              <w:jc w:val="right"/>
              <w:ind w:right="20"/>
              <w:spacing w:after="0" w:line="200" w:lineRule="exact"/>
              <w:rPr>
                <w:sz w:val="20"/>
                <w:szCs w:val="20"/>
                <w:color w:val="auto"/>
              </w:rPr>
            </w:pPr>
            <w:r>
              <w:rPr>
                <w:rFonts w:ascii="Arial" w:cs="Arial" w:eastAsia="Arial" w:hAnsi="Arial"/>
                <w:sz w:val="18"/>
                <w:szCs w:val="18"/>
                <w:color w:val="auto"/>
              </w:rPr>
              <w:t>997</w:t>
            </w:r>
          </w:p>
        </w:tc>
        <w:tc>
          <w:tcPr>
            <w:tcW w:w="120" w:type="dxa"/>
            <w:vAlign w:val="bottom"/>
          </w:tcPr>
          <w:p>
            <w:pPr>
              <w:spacing w:after="0"/>
              <w:rPr>
                <w:sz w:val="17"/>
                <w:szCs w:val="17"/>
                <w:color w:val="auto"/>
              </w:rPr>
            </w:pPr>
          </w:p>
        </w:tc>
        <w:tc>
          <w:tcPr>
            <w:tcW w:w="156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500" w:type="dxa"/>
            <w:vAlign w:val="bottom"/>
          </w:tcPr>
          <w:p>
            <w:pPr>
              <w:spacing w:after="0"/>
              <w:rPr>
                <w:sz w:val="17"/>
                <w:szCs w:val="17"/>
                <w:color w:val="auto"/>
              </w:rPr>
            </w:pPr>
          </w:p>
        </w:tc>
        <w:tc>
          <w:tcPr>
            <w:tcW w:w="660" w:type="dxa"/>
            <w:vAlign w:val="bottom"/>
          </w:tcPr>
          <w:p>
            <w:pPr>
              <w:spacing w:after="0"/>
              <w:rPr>
                <w:sz w:val="17"/>
                <w:szCs w:val="17"/>
                <w:color w:val="auto"/>
              </w:rPr>
            </w:pPr>
          </w:p>
        </w:tc>
      </w:tr>
      <w:tr>
        <w:trPr>
          <w:trHeight w:val="203"/>
        </w:trPr>
        <w:tc>
          <w:tcPr>
            <w:tcW w:w="4680" w:type="dxa"/>
            <w:vAlign w:val="bottom"/>
          </w:tcPr>
          <w:p>
            <w:pPr>
              <w:ind w:left="20"/>
              <w:spacing w:after="0" w:line="202" w:lineRule="exact"/>
              <w:rPr>
                <w:sz w:val="20"/>
                <w:szCs w:val="20"/>
                <w:color w:val="auto"/>
              </w:rPr>
            </w:pPr>
            <w:r>
              <w:rPr>
                <w:rFonts w:ascii="Arial" w:cs="Arial" w:eastAsia="Arial" w:hAnsi="Arial"/>
                <w:sz w:val="18"/>
                <w:szCs w:val="18"/>
                <w:color w:val="auto"/>
              </w:rPr>
              <w:t>2008</w:t>
            </w:r>
          </w:p>
        </w:tc>
        <w:tc>
          <w:tcPr>
            <w:tcW w:w="180" w:type="dxa"/>
            <w:vAlign w:val="bottom"/>
          </w:tcPr>
          <w:p>
            <w:pPr>
              <w:spacing w:after="0"/>
              <w:rPr>
                <w:sz w:val="17"/>
                <w:szCs w:val="17"/>
                <w:color w:val="auto"/>
              </w:rPr>
            </w:pPr>
          </w:p>
        </w:tc>
        <w:tc>
          <w:tcPr>
            <w:tcW w:w="640" w:type="dxa"/>
            <w:vAlign w:val="bottom"/>
            <w:gridSpan w:val="2"/>
          </w:tcPr>
          <w:p>
            <w:pPr>
              <w:jc w:val="right"/>
              <w:ind w:right="20"/>
              <w:spacing w:after="0" w:line="202" w:lineRule="exact"/>
              <w:rPr>
                <w:sz w:val="20"/>
                <w:szCs w:val="20"/>
                <w:color w:val="auto"/>
              </w:rPr>
            </w:pPr>
            <w:r>
              <w:rPr>
                <w:rFonts w:ascii="Arial" w:cs="Arial" w:eastAsia="Arial" w:hAnsi="Arial"/>
                <w:sz w:val="18"/>
                <w:szCs w:val="18"/>
                <w:color w:val="auto"/>
              </w:rPr>
              <w:t>751</w:t>
            </w:r>
          </w:p>
        </w:tc>
        <w:tc>
          <w:tcPr>
            <w:tcW w:w="120" w:type="dxa"/>
            <w:vAlign w:val="bottom"/>
          </w:tcPr>
          <w:p>
            <w:pPr>
              <w:spacing w:after="0"/>
              <w:rPr>
                <w:sz w:val="17"/>
                <w:szCs w:val="17"/>
                <w:color w:val="auto"/>
              </w:rPr>
            </w:pPr>
          </w:p>
        </w:tc>
        <w:tc>
          <w:tcPr>
            <w:tcW w:w="156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500" w:type="dxa"/>
            <w:vAlign w:val="bottom"/>
          </w:tcPr>
          <w:p>
            <w:pPr>
              <w:spacing w:after="0"/>
              <w:rPr>
                <w:sz w:val="17"/>
                <w:szCs w:val="17"/>
                <w:color w:val="auto"/>
              </w:rPr>
            </w:pPr>
          </w:p>
        </w:tc>
        <w:tc>
          <w:tcPr>
            <w:tcW w:w="660" w:type="dxa"/>
            <w:vAlign w:val="bottom"/>
          </w:tcPr>
          <w:p>
            <w:pPr>
              <w:spacing w:after="0"/>
              <w:rPr>
                <w:sz w:val="17"/>
                <w:szCs w:val="17"/>
                <w:color w:val="auto"/>
              </w:rPr>
            </w:pPr>
          </w:p>
        </w:tc>
      </w:tr>
      <w:tr>
        <w:trPr>
          <w:trHeight w:val="203"/>
        </w:trPr>
        <w:tc>
          <w:tcPr>
            <w:tcW w:w="4680" w:type="dxa"/>
            <w:vAlign w:val="bottom"/>
          </w:tcPr>
          <w:p>
            <w:pPr>
              <w:ind w:left="20"/>
              <w:spacing w:after="0" w:line="202" w:lineRule="exact"/>
              <w:rPr>
                <w:sz w:val="20"/>
                <w:szCs w:val="20"/>
                <w:color w:val="auto"/>
              </w:rPr>
            </w:pPr>
            <w:r>
              <w:rPr>
                <w:rFonts w:ascii="Arial" w:cs="Arial" w:eastAsia="Arial" w:hAnsi="Arial"/>
                <w:sz w:val="18"/>
                <w:szCs w:val="18"/>
                <w:color w:val="auto"/>
              </w:rPr>
              <w:t>2009</w:t>
            </w:r>
          </w:p>
        </w:tc>
        <w:tc>
          <w:tcPr>
            <w:tcW w:w="180" w:type="dxa"/>
            <w:vAlign w:val="bottom"/>
          </w:tcPr>
          <w:p>
            <w:pPr>
              <w:spacing w:after="0"/>
              <w:rPr>
                <w:sz w:val="17"/>
                <w:szCs w:val="17"/>
                <w:color w:val="auto"/>
              </w:rPr>
            </w:pPr>
          </w:p>
        </w:tc>
        <w:tc>
          <w:tcPr>
            <w:tcW w:w="640" w:type="dxa"/>
            <w:vAlign w:val="bottom"/>
            <w:gridSpan w:val="2"/>
          </w:tcPr>
          <w:p>
            <w:pPr>
              <w:jc w:val="right"/>
              <w:ind w:right="20"/>
              <w:spacing w:after="0" w:line="202" w:lineRule="exact"/>
              <w:rPr>
                <w:sz w:val="20"/>
                <w:szCs w:val="20"/>
                <w:color w:val="auto"/>
              </w:rPr>
            </w:pPr>
            <w:r>
              <w:rPr>
                <w:rFonts w:ascii="Arial" w:cs="Arial" w:eastAsia="Arial" w:hAnsi="Arial"/>
                <w:sz w:val="18"/>
                <w:szCs w:val="18"/>
                <w:color w:val="auto"/>
              </w:rPr>
              <w:t>679</w:t>
            </w:r>
          </w:p>
        </w:tc>
        <w:tc>
          <w:tcPr>
            <w:tcW w:w="120" w:type="dxa"/>
            <w:vAlign w:val="bottom"/>
          </w:tcPr>
          <w:p>
            <w:pPr>
              <w:spacing w:after="0"/>
              <w:rPr>
                <w:sz w:val="17"/>
                <w:szCs w:val="17"/>
                <w:color w:val="auto"/>
              </w:rPr>
            </w:pPr>
          </w:p>
        </w:tc>
        <w:tc>
          <w:tcPr>
            <w:tcW w:w="156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500" w:type="dxa"/>
            <w:vAlign w:val="bottom"/>
          </w:tcPr>
          <w:p>
            <w:pPr>
              <w:spacing w:after="0"/>
              <w:rPr>
                <w:sz w:val="17"/>
                <w:szCs w:val="17"/>
                <w:color w:val="auto"/>
              </w:rPr>
            </w:pPr>
          </w:p>
        </w:tc>
        <w:tc>
          <w:tcPr>
            <w:tcW w:w="660" w:type="dxa"/>
            <w:vAlign w:val="bottom"/>
          </w:tcPr>
          <w:p>
            <w:pPr>
              <w:spacing w:after="0"/>
              <w:rPr>
                <w:sz w:val="17"/>
                <w:szCs w:val="17"/>
                <w:color w:val="auto"/>
              </w:rPr>
            </w:pPr>
          </w:p>
        </w:tc>
      </w:tr>
      <w:tr>
        <w:trPr>
          <w:trHeight w:val="203"/>
        </w:trPr>
        <w:tc>
          <w:tcPr>
            <w:tcW w:w="4680" w:type="dxa"/>
            <w:vAlign w:val="bottom"/>
          </w:tcPr>
          <w:p>
            <w:pPr>
              <w:ind w:left="20"/>
              <w:spacing w:after="0" w:line="202" w:lineRule="exact"/>
              <w:rPr>
                <w:sz w:val="20"/>
                <w:szCs w:val="20"/>
                <w:color w:val="auto"/>
              </w:rPr>
            </w:pPr>
            <w:r>
              <w:rPr>
                <w:rFonts w:ascii="Arial" w:cs="Arial" w:eastAsia="Arial" w:hAnsi="Arial"/>
                <w:sz w:val="18"/>
                <w:szCs w:val="18"/>
                <w:color w:val="auto"/>
              </w:rPr>
              <w:t>2010</w:t>
            </w:r>
          </w:p>
        </w:tc>
        <w:tc>
          <w:tcPr>
            <w:tcW w:w="180" w:type="dxa"/>
            <w:vAlign w:val="bottom"/>
          </w:tcPr>
          <w:p>
            <w:pPr>
              <w:spacing w:after="0"/>
              <w:rPr>
                <w:sz w:val="17"/>
                <w:szCs w:val="17"/>
                <w:color w:val="auto"/>
              </w:rPr>
            </w:pPr>
          </w:p>
        </w:tc>
        <w:tc>
          <w:tcPr>
            <w:tcW w:w="640" w:type="dxa"/>
            <w:vAlign w:val="bottom"/>
            <w:gridSpan w:val="2"/>
          </w:tcPr>
          <w:p>
            <w:pPr>
              <w:jc w:val="right"/>
              <w:ind w:right="20"/>
              <w:spacing w:after="0" w:line="202" w:lineRule="exact"/>
              <w:rPr>
                <w:sz w:val="20"/>
                <w:szCs w:val="20"/>
                <w:color w:val="auto"/>
              </w:rPr>
            </w:pPr>
            <w:r>
              <w:rPr>
                <w:rFonts w:ascii="Arial" w:cs="Arial" w:eastAsia="Arial" w:hAnsi="Arial"/>
                <w:sz w:val="18"/>
                <w:szCs w:val="18"/>
                <w:color w:val="auto"/>
              </w:rPr>
              <w:t>561</w:t>
            </w:r>
          </w:p>
        </w:tc>
        <w:tc>
          <w:tcPr>
            <w:tcW w:w="120" w:type="dxa"/>
            <w:vAlign w:val="bottom"/>
          </w:tcPr>
          <w:p>
            <w:pPr>
              <w:spacing w:after="0"/>
              <w:rPr>
                <w:sz w:val="17"/>
                <w:szCs w:val="17"/>
                <w:color w:val="auto"/>
              </w:rPr>
            </w:pPr>
          </w:p>
        </w:tc>
        <w:tc>
          <w:tcPr>
            <w:tcW w:w="156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500" w:type="dxa"/>
            <w:vAlign w:val="bottom"/>
          </w:tcPr>
          <w:p>
            <w:pPr>
              <w:spacing w:after="0"/>
              <w:rPr>
                <w:sz w:val="17"/>
                <w:szCs w:val="17"/>
                <w:color w:val="auto"/>
              </w:rPr>
            </w:pPr>
          </w:p>
        </w:tc>
        <w:tc>
          <w:tcPr>
            <w:tcW w:w="660" w:type="dxa"/>
            <w:vAlign w:val="bottom"/>
          </w:tcPr>
          <w:p>
            <w:pPr>
              <w:spacing w:after="0"/>
              <w:rPr>
                <w:sz w:val="17"/>
                <w:szCs w:val="17"/>
                <w:color w:val="auto"/>
              </w:rPr>
            </w:pPr>
          </w:p>
        </w:tc>
      </w:tr>
      <w:tr>
        <w:trPr>
          <w:trHeight w:val="199"/>
        </w:trPr>
        <w:tc>
          <w:tcPr>
            <w:tcW w:w="4680" w:type="dxa"/>
            <w:vAlign w:val="bottom"/>
            <w:tcBorders>
              <w:bottom w:val="single" w:sz="8" w:color="35BF85"/>
            </w:tcBorders>
          </w:tcPr>
          <w:p>
            <w:pPr>
              <w:ind w:left="20"/>
              <w:spacing w:after="0" w:line="200" w:lineRule="exact"/>
              <w:rPr>
                <w:sz w:val="20"/>
                <w:szCs w:val="20"/>
                <w:color w:val="auto"/>
              </w:rPr>
            </w:pPr>
            <w:r>
              <w:rPr>
                <w:rFonts w:ascii="Arial" w:cs="Arial" w:eastAsia="Arial" w:hAnsi="Arial"/>
                <w:sz w:val="18"/>
                <w:szCs w:val="18"/>
                <w:color w:val="auto"/>
              </w:rPr>
              <w:t>2011</w:t>
            </w:r>
          </w:p>
        </w:tc>
        <w:tc>
          <w:tcPr>
            <w:tcW w:w="180" w:type="dxa"/>
            <w:vAlign w:val="bottom"/>
            <w:tcBorders>
              <w:bottom w:val="single" w:sz="8" w:color="35BF85"/>
            </w:tcBorders>
          </w:tcPr>
          <w:p>
            <w:pPr>
              <w:spacing w:after="0"/>
              <w:rPr>
                <w:sz w:val="17"/>
                <w:szCs w:val="17"/>
                <w:color w:val="auto"/>
              </w:rPr>
            </w:pPr>
          </w:p>
        </w:tc>
        <w:tc>
          <w:tcPr>
            <w:tcW w:w="620" w:type="dxa"/>
            <w:vAlign w:val="bottom"/>
            <w:tcBorders>
              <w:bottom w:val="single" w:sz="8" w:color="35BF85"/>
            </w:tcBorders>
          </w:tcPr>
          <w:p>
            <w:pPr>
              <w:jc w:val="right"/>
              <w:spacing w:after="0" w:line="200" w:lineRule="exact"/>
              <w:rPr>
                <w:sz w:val="20"/>
                <w:szCs w:val="20"/>
                <w:color w:val="auto"/>
              </w:rPr>
            </w:pPr>
            <w:r>
              <w:rPr>
                <w:rFonts w:ascii="Arial" w:cs="Arial" w:eastAsia="Arial" w:hAnsi="Arial"/>
                <w:sz w:val="18"/>
                <w:szCs w:val="18"/>
                <w:color w:val="auto"/>
              </w:rPr>
              <w:t>375</w:t>
            </w:r>
          </w:p>
        </w:tc>
        <w:tc>
          <w:tcPr>
            <w:tcW w:w="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56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500" w:type="dxa"/>
            <w:vAlign w:val="bottom"/>
          </w:tcPr>
          <w:p>
            <w:pPr>
              <w:spacing w:after="0"/>
              <w:rPr>
                <w:sz w:val="17"/>
                <w:szCs w:val="17"/>
                <w:color w:val="auto"/>
              </w:rPr>
            </w:pPr>
          </w:p>
        </w:tc>
        <w:tc>
          <w:tcPr>
            <w:tcW w:w="660" w:type="dxa"/>
            <w:vAlign w:val="bottom"/>
          </w:tcPr>
          <w:p>
            <w:pPr>
              <w:spacing w:after="0"/>
              <w:rPr>
                <w:sz w:val="17"/>
                <w:szCs w:val="17"/>
                <w:color w:val="auto"/>
              </w:rPr>
            </w:pPr>
          </w:p>
        </w:tc>
      </w:tr>
      <w:tr>
        <w:trPr>
          <w:trHeight w:val="358"/>
        </w:trPr>
        <w:tc>
          <w:tcPr>
            <w:tcW w:w="4680" w:type="dxa"/>
            <w:vAlign w:val="bottom"/>
          </w:tcPr>
          <w:p>
            <w:pPr>
              <w:spacing w:after="0"/>
              <w:rPr>
                <w:sz w:val="20"/>
                <w:szCs w:val="20"/>
                <w:color w:val="auto"/>
              </w:rPr>
            </w:pPr>
            <w:r>
              <w:rPr>
                <w:rFonts w:ascii="Arial" w:cs="Arial" w:eastAsia="Arial" w:hAnsi="Arial"/>
                <w:sz w:val="14"/>
                <w:szCs w:val="14"/>
                <w:b w:val="1"/>
                <w:bCs w:val="1"/>
                <w:color w:val="auto"/>
                <w:w w:val="97"/>
              </w:rPr>
              <w:t xml:space="preserve">Notes to Consolidated Financial Statements </w:t>
            </w:r>
            <w:r>
              <w:rPr>
                <w:rFonts w:ascii="Arial" w:cs="Arial" w:eastAsia="Arial" w:hAnsi="Arial"/>
                <w:sz w:val="14"/>
                <w:szCs w:val="14"/>
                <w:color w:val="auto"/>
                <w:w w:val="97"/>
              </w:rPr>
              <w:t>Comcast 2006 Annual Report</w:t>
            </w:r>
          </w:p>
        </w:tc>
        <w:tc>
          <w:tcPr>
            <w:tcW w:w="180" w:type="dxa"/>
            <w:vAlign w:val="bottom"/>
          </w:tcPr>
          <w:p>
            <w:pPr>
              <w:spacing w:after="0"/>
              <w:rPr>
                <w:sz w:val="24"/>
                <w:szCs w:val="24"/>
                <w:color w:val="auto"/>
              </w:rPr>
            </w:pPr>
          </w:p>
        </w:tc>
        <w:tc>
          <w:tcPr>
            <w:tcW w:w="2320" w:type="dxa"/>
            <w:vAlign w:val="bottom"/>
            <w:gridSpan w:val="4"/>
          </w:tcPr>
          <w:p>
            <w:pPr>
              <w:jc w:val="right"/>
              <w:ind w:right="1255"/>
              <w:spacing w:after="0"/>
              <w:rPr>
                <w:sz w:val="20"/>
                <w:szCs w:val="20"/>
                <w:color w:val="auto"/>
              </w:rPr>
            </w:pPr>
            <w:r>
              <w:rPr>
                <w:rFonts w:ascii="Arial" w:cs="Arial" w:eastAsia="Arial" w:hAnsi="Arial"/>
                <w:sz w:val="14"/>
                <w:szCs w:val="14"/>
                <w:b w:val="1"/>
                <w:bCs w:val="1"/>
                <w:color w:val="auto"/>
              </w:rPr>
              <w:t>54</w:t>
            </w:r>
          </w:p>
        </w:tc>
        <w:tc>
          <w:tcPr>
            <w:tcW w:w="30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660" w:type="dxa"/>
            <w:vAlign w:val="bottom"/>
          </w:tcPr>
          <w:p>
            <w:pPr>
              <w:spacing w:after="0"/>
              <w:rPr>
                <w:sz w:val="24"/>
                <w:szCs w:val="24"/>
                <w:color w:val="auto"/>
              </w:rPr>
            </w:pPr>
          </w:p>
        </w:tc>
      </w:tr>
    </w:tbl>
    <w:p>
      <w:pPr>
        <w:sectPr>
          <w:pgSz w:w="11900" w:h="16838" w:orient="portrait"/>
          <w:cols w:equalWidth="0" w:num="1">
            <w:col w:w="11420"/>
          </w:cols>
          <w:pgMar w:left="240" w:top="459" w:right="239" w:bottom="1440" w:gutter="0" w:footer="0" w:header="0"/>
        </w:sectPr>
      </w:pPr>
    </w:p>
    <w:bookmarkStart w:id="131" w:name="page132"/>
    <w:bookmarkEnd w:id="131"/>
    <w:p>
      <w:pPr>
        <w:spacing w:after="0"/>
        <w:rPr>
          <w:rFonts w:ascii="Arial" w:cs="Arial" w:eastAsia="Arial" w:hAnsi="Arial"/>
          <w:sz w:val="18"/>
          <w:szCs w:val="18"/>
          <w:b w:val="1"/>
          <w:bCs w:val="1"/>
          <w:u w:val="single" w:color="auto"/>
          <w:color w:val="0000EE"/>
        </w:rPr>
      </w:pPr>
      <w:hyperlink w:anchor="page3">
        <w:r>
          <w:rPr>
            <w:rFonts w:ascii="Arial" w:cs="Arial" w:eastAsia="Arial" w:hAnsi="Arial"/>
            <w:sz w:val="18"/>
            <w:szCs w:val="18"/>
            <w:b w:val="1"/>
            <w:bCs w:val="1"/>
            <w:u w:val="single" w:color="auto"/>
            <w:color w:val="0000EE"/>
          </w:rPr>
          <w:t>Table of Contents</w:t>
        </w:r>
      </w:hyperlink>
    </w:p>
    <w:p>
      <w:pPr>
        <w:spacing w:after="0" w:line="200" w:lineRule="exact"/>
        <w:rPr>
          <w:sz w:val="20"/>
          <w:szCs w:val="20"/>
          <w:color w:val="auto"/>
        </w:rPr>
      </w:pPr>
    </w:p>
    <w:p>
      <w:pPr>
        <w:spacing w:after="0" w:line="254" w:lineRule="exact"/>
        <w:rPr>
          <w:sz w:val="20"/>
          <w:szCs w:val="20"/>
          <w:color w:val="auto"/>
        </w:rPr>
      </w:pPr>
    </w:p>
    <w:p>
      <w:pPr>
        <w:spacing w:after="0"/>
        <w:rPr>
          <w:sz w:val="20"/>
          <w:szCs w:val="20"/>
          <w:color w:val="auto"/>
        </w:rPr>
      </w:pPr>
      <w:r>
        <w:rPr>
          <w:rFonts w:ascii="Arial" w:cs="Arial" w:eastAsia="Arial" w:hAnsi="Arial"/>
          <w:sz w:val="18"/>
          <w:szCs w:val="18"/>
          <w:b w:val="1"/>
          <w:bCs w:val="1"/>
          <w:color w:val="35BF85"/>
        </w:rPr>
        <w:t>Note 8: Long-Term Debt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77470</wp:posOffset>
            </wp:positionV>
            <wp:extent cx="3481705" cy="8890"/>
            <wp:wrapNone/>
            <wp:docPr id="196" name="Picture 1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6"/>
                    <pic:cNvPicPr>
                      <a:picLocks noChangeAspect="1" noChangeArrowheads="1"/>
                    </pic:cNvPicPr>
                  </pic:nvPicPr>
                  <pic:blipFill>
                    <a:blip r:embed="rId203">
                      <a:extLst>
                        <a:ext uri="{28A0092B-C50C-407E-A947-70E740481C1C}"/>
                      </a:extLst>
                    </a:blip>
                    <a:srcRect/>
                    <a:stretch>
                      <a:fillRect/>
                    </a:stretch>
                  </pic:blipFill>
                  <pic:spPr bwMode="auto">
                    <a:xfrm>
                      <a:off x="0" y="0"/>
                      <a:ext cx="3481705" cy="8890"/>
                    </a:xfrm>
                    <a:prstGeom prst="rect">
                      <a:avLst/>
                    </a:prstGeom>
                    <a:noFill/>
                  </pic:spPr>
                </pic:pic>
              </a:graphicData>
            </a:graphic>
          </wp:anchor>
        </w:drawing>
      </w:r>
    </w:p>
    <w:p>
      <w:pPr>
        <w:spacing w:after="0" w:line="200" w:lineRule="exact"/>
        <w:rPr>
          <w:sz w:val="20"/>
          <w:szCs w:val="20"/>
          <w:color w:val="auto"/>
        </w:rPr>
      </w:pPr>
    </w:p>
    <w:p>
      <w:pPr>
        <w:spacing w:after="0" w:line="213"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00" w:type="dxa"/>
            <w:vAlign w:val="bottom"/>
          </w:tcPr>
          <w:p>
            <w:pPr>
              <w:spacing w:after="0"/>
              <w:rPr>
                <w:sz w:val="14"/>
                <w:szCs w:val="14"/>
                <w:color w:val="auto"/>
              </w:rPr>
            </w:pPr>
          </w:p>
        </w:tc>
        <w:tc>
          <w:tcPr>
            <w:tcW w:w="1580" w:type="dxa"/>
            <w:vAlign w:val="bottom"/>
          </w:tcPr>
          <w:p>
            <w:pPr>
              <w:jc w:val="right"/>
              <w:ind w:right="158"/>
              <w:spacing w:after="0"/>
              <w:rPr>
                <w:sz w:val="20"/>
                <w:szCs w:val="20"/>
                <w:color w:val="auto"/>
              </w:rPr>
            </w:pPr>
            <w:r>
              <w:rPr>
                <w:rFonts w:ascii="Arial" w:cs="Arial" w:eastAsia="Arial" w:hAnsi="Arial"/>
                <w:sz w:val="14"/>
                <w:szCs w:val="14"/>
                <w:color w:val="auto"/>
              </w:rPr>
              <w:t>Weighted Average</w:t>
            </w:r>
          </w:p>
        </w:tc>
        <w:tc>
          <w:tcPr>
            <w:tcW w:w="20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9"/>
        </w:trPr>
        <w:tc>
          <w:tcPr>
            <w:tcW w:w="2000" w:type="dxa"/>
            <w:vAlign w:val="bottom"/>
          </w:tcPr>
          <w:p>
            <w:pPr>
              <w:spacing w:after="0"/>
              <w:rPr>
                <w:sz w:val="12"/>
                <w:szCs w:val="12"/>
                <w:color w:val="auto"/>
              </w:rPr>
            </w:pPr>
          </w:p>
        </w:tc>
        <w:tc>
          <w:tcPr>
            <w:tcW w:w="1580" w:type="dxa"/>
            <w:vAlign w:val="bottom"/>
          </w:tcPr>
          <w:p>
            <w:pPr>
              <w:jc w:val="right"/>
              <w:ind w:right="158"/>
              <w:spacing w:after="0" w:line="149" w:lineRule="exact"/>
              <w:rPr>
                <w:sz w:val="20"/>
                <w:szCs w:val="20"/>
                <w:color w:val="auto"/>
              </w:rPr>
            </w:pPr>
            <w:r>
              <w:rPr>
                <w:rFonts w:ascii="Arial" w:cs="Arial" w:eastAsia="Arial" w:hAnsi="Arial"/>
                <w:sz w:val="14"/>
                <w:szCs w:val="14"/>
                <w:color w:val="auto"/>
              </w:rPr>
              <w:t>Interest Rate as of</w:t>
            </w:r>
          </w:p>
        </w:tc>
        <w:tc>
          <w:tcPr>
            <w:tcW w:w="200" w:type="dxa"/>
            <w:vAlign w:val="bottom"/>
          </w:tcPr>
          <w:p>
            <w:pPr>
              <w:spacing w:after="0"/>
              <w:rPr>
                <w:sz w:val="12"/>
                <w:szCs w:val="12"/>
                <w:color w:val="auto"/>
              </w:rPr>
            </w:pPr>
          </w:p>
        </w:tc>
        <w:tc>
          <w:tcPr>
            <w:tcW w:w="660" w:type="dxa"/>
            <w:vAlign w:val="bottom"/>
            <w:vMerge w:val="restart"/>
          </w:tcPr>
          <w:p>
            <w:pPr>
              <w:jc w:val="right"/>
              <w:ind w:right="34"/>
              <w:spacing w:after="0"/>
              <w:rPr>
                <w:sz w:val="20"/>
                <w:szCs w:val="20"/>
                <w:color w:val="auto"/>
              </w:rPr>
            </w:pPr>
            <w:r>
              <w:rPr>
                <w:rFonts w:ascii="Arial" w:cs="Arial" w:eastAsia="Arial" w:hAnsi="Arial"/>
                <w:sz w:val="14"/>
                <w:szCs w:val="14"/>
                <w:b w:val="1"/>
                <w:bCs w:val="1"/>
                <w:color w:val="auto"/>
              </w:rPr>
              <w:t>2006</w:t>
            </w:r>
          </w:p>
        </w:tc>
        <w:tc>
          <w:tcPr>
            <w:tcW w:w="24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00" w:type="dxa"/>
            <w:vAlign w:val="bottom"/>
            <w:tcBorders>
              <w:bottom w:val="single" w:sz="8" w:color="auto"/>
            </w:tcBorders>
          </w:tcPr>
          <w:p>
            <w:pPr>
              <w:ind w:left="20"/>
              <w:spacing w:after="0" w:line="149" w:lineRule="exact"/>
              <w:rPr>
                <w:sz w:val="20"/>
                <w:szCs w:val="20"/>
                <w:color w:val="auto"/>
              </w:rPr>
            </w:pPr>
            <w:r>
              <w:rPr>
                <w:rFonts w:ascii="Arial" w:cs="Arial" w:eastAsia="Arial" w:hAnsi="Arial"/>
                <w:sz w:val="14"/>
                <w:szCs w:val="14"/>
                <w:color w:val="auto"/>
              </w:rPr>
              <w:t>December 31 (in millions)</w:t>
            </w:r>
          </w:p>
        </w:tc>
        <w:tc>
          <w:tcPr>
            <w:tcW w:w="1580" w:type="dxa"/>
            <w:vAlign w:val="bottom"/>
            <w:tcBorders>
              <w:bottom w:val="single" w:sz="8" w:color="auto"/>
            </w:tcBorders>
          </w:tcPr>
          <w:p>
            <w:pPr>
              <w:jc w:val="right"/>
              <w:ind w:right="158"/>
              <w:spacing w:after="0" w:line="149" w:lineRule="exact"/>
              <w:rPr>
                <w:sz w:val="20"/>
                <w:szCs w:val="20"/>
                <w:color w:val="auto"/>
              </w:rPr>
            </w:pPr>
            <w:r>
              <w:rPr>
                <w:rFonts w:ascii="Arial" w:cs="Arial" w:eastAsia="Arial" w:hAnsi="Arial"/>
                <w:sz w:val="14"/>
                <w:szCs w:val="14"/>
                <w:color w:val="auto"/>
              </w:rPr>
              <w:t>December 31, 2006</w:t>
            </w:r>
          </w:p>
        </w:tc>
        <w:tc>
          <w:tcPr>
            <w:tcW w:w="200" w:type="dxa"/>
            <w:vAlign w:val="bottom"/>
            <w:tcBorders>
              <w:bottom w:val="single" w:sz="8" w:color="auto"/>
            </w:tcBorders>
          </w:tcPr>
          <w:p>
            <w:pPr>
              <w:spacing w:after="0"/>
              <w:rPr>
                <w:sz w:val="12"/>
                <w:szCs w:val="12"/>
                <w:color w:val="auto"/>
              </w:rPr>
            </w:pPr>
          </w:p>
        </w:tc>
        <w:tc>
          <w:tcPr>
            <w:tcW w:w="660" w:type="dxa"/>
            <w:vAlign w:val="bottom"/>
            <w:tcBorders>
              <w:bottom w:val="single" w:sz="8" w:color="auto"/>
            </w:tcBorders>
            <w:vMerge w:val="continue"/>
          </w:tcPr>
          <w:p>
            <w:pPr>
              <w:spacing w:after="0"/>
              <w:rPr>
                <w:sz w:val="12"/>
                <w:szCs w:val="12"/>
                <w:color w:val="auto"/>
              </w:rPr>
            </w:pPr>
          </w:p>
        </w:tc>
        <w:tc>
          <w:tcPr>
            <w:tcW w:w="240" w:type="dxa"/>
            <w:vAlign w:val="bottom"/>
            <w:tcBorders>
              <w:bottom w:val="single" w:sz="8" w:color="auto"/>
            </w:tcBorders>
          </w:tcPr>
          <w:p>
            <w:pPr>
              <w:spacing w:after="0"/>
              <w:rPr>
                <w:sz w:val="12"/>
                <w:szCs w:val="12"/>
                <w:color w:val="auto"/>
              </w:rPr>
            </w:pPr>
          </w:p>
        </w:tc>
        <w:tc>
          <w:tcPr>
            <w:tcW w:w="800" w:type="dxa"/>
            <w:vAlign w:val="bottom"/>
            <w:tcBorders>
              <w:bottom w:val="single" w:sz="8" w:color="auto"/>
            </w:tcBorders>
          </w:tcPr>
          <w:p>
            <w:pPr>
              <w:jc w:val="right"/>
              <w:ind w:right="174"/>
              <w:spacing w:after="0" w:line="149" w:lineRule="exact"/>
              <w:rPr>
                <w:sz w:val="20"/>
                <w:szCs w:val="20"/>
                <w:color w:val="auto"/>
              </w:rPr>
            </w:pPr>
            <w:r>
              <w:rPr>
                <w:rFonts w:ascii="Arial" w:cs="Arial" w:eastAsia="Arial" w:hAnsi="Arial"/>
                <w:sz w:val="14"/>
                <w:szCs w:val="14"/>
                <w:color w:val="auto"/>
              </w:rPr>
              <w:t>2005</w:t>
            </w:r>
          </w:p>
        </w:tc>
        <w:tc>
          <w:tcPr>
            <w:tcW w:w="0" w:type="dxa"/>
            <w:vAlign w:val="bottom"/>
          </w:tcPr>
          <w:p>
            <w:pPr>
              <w:spacing w:after="0"/>
              <w:rPr>
                <w:sz w:val="1"/>
                <w:szCs w:val="1"/>
                <w:color w:val="auto"/>
              </w:rPr>
            </w:pPr>
          </w:p>
        </w:tc>
      </w:tr>
      <w:tr>
        <w:trPr>
          <w:trHeight w:val="177"/>
        </w:trPr>
        <w:tc>
          <w:tcPr>
            <w:tcW w:w="2000" w:type="dxa"/>
            <w:vAlign w:val="bottom"/>
          </w:tcPr>
          <w:p>
            <w:pPr>
              <w:ind w:left="20"/>
              <w:spacing w:after="0" w:line="177" w:lineRule="exact"/>
              <w:rPr>
                <w:sz w:val="20"/>
                <w:szCs w:val="20"/>
                <w:color w:val="auto"/>
              </w:rPr>
            </w:pPr>
            <w:r>
              <w:rPr>
                <w:rFonts w:ascii="Arial" w:cs="Arial" w:eastAsia="Arial" w:hAnsi="Arial"/>
                <w:sz w:val="18"/>
                <w:szCs w:val="18"/>
                <w:color w:val="auto"/>
              </w:rPr>
              <w:t>Commercial paper</w:t>
            </w:r>
          </w:p>
        </w:tc>
        <w:tc>
          <w:tcPr>
            <w:tcW w:w="1580" w:type="dxa"/>
            <w:vAlign w:val="bottom"/>
          </w:tcPr>
          <w:p>
            <w:pPr>
              <w:jc w:val="right"/>
              <w:spacing w:after="0" w:line="177" w:lineRule="exact"/>
              <w:rPr>
                <w:sz w:val="20"/>
                <w:szCs w:val="20"/>
                <w:color w:val="auto"/>
              </w:rPr>
            </w:pPr>
            <w:r>
              <w:rPr>
                <w:rFonts w:ascii="Arial" w:cs="Arial" w:eastAsia="Arial" w:hAnsi="Arial"/>
                <w:sz w:val="18"/>
                <w:szCs w:val="18"/>
                <w:color w:val="auto"/>
              </w:rPr>
              <w:t>5.42%</w:t>
            </w:r>
          </w:p>
        </w:tc>
        <w:tc>
          <w:tcPr>
            <w:tcW w:w="200" w:type="dxa"/>
            <w:vAlign w:val="bottom"/>
          </w:tcPr>
          <w:p>
            <w:pPr>
              <w:jc w:val="right"/>
              <w:spacing w:after="0" w:line="177" w:lineRule="exact"/>
              <w:rPr>
                <w:sz w:val="20"/>
                <w:szCs w:val="20"/>
                <w:color w:val="auto"/>
              </w:rPr>
            </w:pPr>
            <w:r>
              <w:rPr>
                <w:rFonts w:ascii="Arial" w:cs="Arial" w:eastAsia="Arial" w:hAnsi="Arial"/>
                <w:sz w:val="18"/>
                <w:szCs w:val="18"/>
                <w:b w:val="1"/>
                <w:bCs w:val="1"/>
                <w:color w:val="auto"/>
              </w:rPr>
              <w:t>$</w:t>
            </w:r>
          </w:p>
        </w:tc>
        <w:tc>
          <w:tcPr>
            <w:tcW w:w="660" w:type="dxa"/>
            <w:vAlign w:val="bottom"/>
          </w:tcPr>
          <w:p>
            <w:pPr>
              <w:jc w:val="right"/>
              <w:ind w:right="34"/>
              <w:spacing w:after="0" w:line="177" w:lineRule="exact"/>
              <w:rPr>
                <w:sz w:val="20"/>
                <w:szCs w:val="20"/>
                <w:color w:val="auto"/>
              </w:rPr>
            </w:pPr>
            <w:r>
              <w:rPr>
                <w:rFonts w:ascii="Arial" w:cs="Arial" w:eastAsia="Arial" w:hAnsi="Arial"/>
                <w:sz w:val="18"/>
                <w:szCs w:val="18"/>
                <w:b w:val="1"/>
                <w:bCs w:val="1"/>
                <w:color w:val="auto"/>
              </w:rPr>
              <w:t>199</w:t>
            </w:r>
          </w:p>
        </w:tc>
        <w:tc>
          <w:tcPr>
            <w:tcW w:w="240" w:type="dxa"/>
            <w:vAlign w:val="bottom"/>
          </w:tcPr>
          <w:p>
            <w:pPr>
              <w:jc w:val="right"/>
              <w:spacing w:after="0" w:line="177" w:lineRule="exact"/>
              <w:rPr>
                <w:sz w:val="20"/>
                <w:szCs w:val="20"/>
                <w:color w:val="auto"/>
              </w:rPr>
            </w:pPr>
            <w:r>
              <w:rPr>
                <w:rFonts w:ascii="Arial" w:cs="Arial" w:eastAsia="Arial" w:hAnsi="Arial"/>
                <w:sz w:val="18"/>
                <w:szCs w:val="18"/>
                <w:color w:val="auto"/>
              </w:rPr>
              <w:t>$</w:t>
            </w:r>
          </w:p>
        </w:tc>
        <w:tc>
          <w:tcPr>
            <w:tcW w:w="800" w:type="dxa"/>
            <w:vAlign w:val="bottom"/>
          </w:tcPr>
          <w:p>
            <w:pPr>
              <w:jc w:val="right"/>
              <w:ind w:right="174"/>
              <w:spacing w:after="0" w:line="177" w:lineRule="exact"/>
              <w:rPr>
                <w:sz w:val="20"/>
                <w:szCs w:val="20"/>
                <w:color w:val="auto"/>
              </w:rPr>
            </w:pPr>
            <w:r>
              <w:rPr>
                <w:rFonts w:ascii="Arial" w:cs="Arial" w:eastAsia="Arial" w:hAnsi="Arial"/>
                <w:sz w:val="18"/>
                <w:szCs w:val="18"/>
                <w:color w:val="auto"/>
              </w:rPr>
              <w:t>549</w:t>
            </w:r>
          </w:p>
        </w:tc>
        <w:tc>
          <w:tcPr>
            <w:tcW w:w="0" w:type="dxa"/>
            <w:vAlign w:val="bottom"/>
          </w:tcPr>
          <w:p>
            <w:pPr>
              <w:spacing w:after="0"/>
              <w:rPr>
                <w:sz w:val="1"/>
                <w:szCs w:val="1"/>
                <w:color w:val="auto"/>
              </w:rPr>
            </w:pPr>
          </w:p>
        </w:tc>
      </w:tr>
      <w:tr>
        <w:trPr>
          <w:trHeight w:val="225"/>
        </w:trPr>
        <w:tc>
          <w:tcPr>
            <w:tcW w:w="2000" w:type="dxa"/>
            <w:vAlign w:val="bottom"/>
          </w:tcPr>
          <w:p>
            <w:pPr>
              <w:ind w:left="20"/>
              <w:spacing w:after="0"/>
              <w:rPr>
                <w:sz w:val="20"/>
                <w:szCs w:val="20"/>
                <w:color w:val="auto"/>
              </w:rPr>
            </w:pPr>
            <w:r>
              <w:rPr>
                <w:rFonts w:ascii="Arial" w:cs="Arial" w:eastAsia="Arial" w:hAnsi="Arial"/>
                <w:sz w:val="18"/>
                <w:szCs w:val="18"/>
                <w:color w:val="auto"/>
              </w:rPr>
              <w:t>Term loan, due 2008</w:t>
            </w:r>
          </w:p>
        </w:tc>
        <w:tc>
          <w:tcPr>
            <w:tcW w:w="1580" w:type="dxa"/>
            <w:vAlign w:val="bottom"/>
          </w:tcPr>
          <w:p>
            <w:pPr>
              <w:jc w:val="right"/>
              <w:spacing w:after="0"/>
              <w:rPr>
                <w:sz w:val="20"/>
                <w:szCs w:val="20"/>
                <w:color w:val="auto"/>
              </w:rPr>
            </w:pPr>
            <w:r>
              <w:rPr>
                <w:rFonts w:ascii="Arial" w:cs="Arial" w:eastAsia="Arial" w:hAnsi="Arial"/>
                <w:sz w:val="18"/>
                <w:szCs w:val="18"/>
                <w:color w:val="auto"/>
              </w:rPr>
              <w:t>5.85%</w:t>
            </w:r>
          </w:p>
        </w:tc>
        <w:tc>
          <w:tcPr>
            <w:tcW w:w="200" w:type="dxa"/>
            <w:vAlign w:val="bottom"/>
          </w:tcPr>
          <w:p>
            <w:pPr>
              <w:spacing w:after="0"/>
              <w:rPr>
                <w:sz w:val="19"/>
                <w:szCs w:val="19"/>
                <w:color w:val="auto"/>
              </w:rPr>
            </w:pPr>
          </w:p>
        </w:tc>
        <w:tc>
          <w:tcPr>
            <w:tcW w:w="660" w:type="dxa"/>
            <w:vAlign w:val="bottom"/>
          </w:tcPr>
          <w:p>
            <w:pPr>
              <w:jc w:val="right"/>
              <w:ind w:right="34"/>
              <w:spacing w:after="0"/>
              <w:rPr>
                <w:sz w:val="20"/>
                <w:szCs w:val="20"/>
                <w:color w:val="auto"/>
              </w:rPr>
            </w:pPr>
            <w:r>
              <w:rPr>
                <w:rFonts w:ascii="Arial" w:cs="Arial" w:eastAsia="Arial" w:hAnsi="Arial"/>
                <w:sz w:val="18"/>
                <w:szCs w:val="18"/>
                <w:b w:val="1"/>
                <w:bCs w:val="1"/>
                <w:color w:val="auto"/>
              </w:rPr>
              <w:t>185</w:t>
            </w:r>
          </w:p>
        </w:tc>
        <w:tc>
          <w:tcPr>
            <w:tcW w:w="240" w:type="dxa"/>
            <w:vAlign w:val="bottom"/>
          </w:tcPr>
          <w:p>
            <w:pPr>
              <w:spacing w:after="0"/>
              <w:rPr>
                <w:sz w:val="19"/>
                <w:szCs w:val="19"/>
                <w:color w:val="auto"/>
              </w:rPr>
            </w:pPr>
          </w:p>
        </w:tc>
        <w:tc>
          <w:tcPr>
            <w:tcW w:w="800" w:type="dxa"/>
            <w:vAlign w:val="bottom"/>
          </w:tcPr>
          <w:p>
            <w:pPr>
              <w:jc w:val="right"/>
              <w:ind w:right="174"/>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03"/>
        </w:trPr>
        <w:tc>
          <w:tcPr>
            <w:tcW w:w="2000" w:type="dxa"/>
            <w:vAlign w:val="bottom"/>
          </w:tcPr>
          <w:p>
            <w:pPr>
              <w:ind w:left="20"/>
              <w:spacing w:after="0" w:line="202" w:lineRule="exact"/>
              <w:rPr>
                <w:sz w:val="20"/>
                <w:szCs w:val="20"/>
                <w:color w:val="auto"/>
              </w:rPr>
            </w:pPr>
            <w:r>
              <w:rPr>
                <w:rFonts w:ascii="Arial" w:cs="Arial" w:eastAsia="Arial" w:hAnsi="Arial"/>
                <w:sz w:val="18"/>
                <w:szCs w:val="18"/>
                <w:color w:val="auto"/>
              </w:rPr>
              <w:t>Senior notes, due 2006</w:t>
            </w:r>
          </w:p>
        </w:tc>
        <w:tc>
          <w:tcPr>
            <w:tcW w:w="158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660" w:type="dxa"/>
            <w:vAlign w:val="bottom"/>
            <w:vMerge w:val="restart"/>
          </w:tcPr>
          <w:p>
            <w:pPr>
              <w:jc w:val="right"/>
              <w:ind w:right="34"/>
              <w:spacing w:after="0"/>
              <w:rPr>
                <w:sz w:val="20"/>
                <w:szCs w:val="20"/>
                <w:color w:val="auto"/>
              </w:rPr>
            </w:pPr>
            <w:r>
              <w:rPr>
                <w:rFonts w:ascii="Arial" w:cs="Arial" w:eastAsia="Arial" w:hAnsi="Arial"/>
                <w:sz w:val="18"/>
                <w:szCs w:val="18"/>
                <w:b w:val="1"/>
                <w:bCs w:val="1"/>
                <w:color w:val="auto"/>
                <w:w w:val="94"/>
              </w:rPr>
              <w:t>26,942</w:t>
            </w:r>
          </w:p>
        </w:tc>
        <w:tc>
          <w:tcPr>
            <w:tcW w:w="24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000" w:type="dxa"/>
            <w:vAlign w:val="bottom"/>
          </w:tcPr>
          <w:p>
            <w:pPr>
              <w:ind w:left="220"/>
              <w:spacing w:after="0" w:line="202" w:lineRule="exact"/>
              <w:rPr>
                <w:sz w:val="20"/>
                <w:szCs w:val="20"/>
                <w:color w:val="auto"/>
              </w:rPr>
            </w:pPr>
            <w:r>
              <w:rPr>
                <w:rFonts w:ascii="Arial" w:cs="Arial" w:eastAsia="Arial" w:hAnsi="Arial"/>
                <w:sz w:val="18"/>
                <w:szCs w:val="18"/>
                <w:color w:val="auto"/>
              </w:rPr>
              <w:t>– 2097</w:t>
            </w:r>
          </w:p>
        </w:tc>
        <w:tc>
          <w:tcPr>
            <w:tcW w:w="1580" w:type="dxa"/>
            <w:vAlign w:val="bottom"/>
          </w:tcPr>
          <w:p>
            <w:pPr>
              <w:jc w:val="right"/>
              <w:spacing w:after="0" w:line="202" w:lineRule="exact"/>
              <w:rPr>
                <w:sz w:val="20"/>
                <w:szCs w:val="20"/>
                <w:color w:val="auto"/>
              </w:rPr>
            </w:pPr>
            <w:r>
              <w:rPr>
                <w:rFonts w:ascii="Arial" w:cs="Arial" w:eastAsia="Arial" w:hAnsi="Arial"/>
                <w:sz w:val="18"/>
                <w:szCs w:val="18"/>
                <w:color w:val="auto"/>
              </w:rPr>
              <w:t>6.93%</w:t>
            </w:r>
          </w:p>
        </w:tc>
        <w:tc>
          <w:tcPr>
            <w:tcW w:w="200" w:type="dxa"/>
            <w:vAlign w:val="bottom"/>
          </w:tcPr>
          <w:p>
            <w:pPr>
              <w:spacing w:after="0"/>
              <w:rPr>
                <w:sz w:val="17"/>
                <w:szCs w:val="17"/>
                <w:color w:val="auto"/>
              </w:rPr>
            </w:pPr>
          </w:p>
        </w:tc>
        <w:tc>
          <w:tcPr>
            <w:tcW w:w="660" w:type="dxa"/>
            <w:vAlign w:val="bottom"/>
            <w:vMerge w:val="continue"/>
          </w:tcPr>
          <w:p>
            <w:pPr>
              <w:spacing w:after="0"/>
              <w:rPr>
                <w:sz w:val="17"/>
                <w:szCs w:val="17"/>
                <w:color w:val="auto"/>
              </w:rPr>
            </w:pPr>
          </w:p>
        </w:tc>
        <w:tc>
          <w:tcPr>
            <w:tcW w:w="240" w:type="dxa"/>
            <w:vAlign w:val="bottom"/>
          </w:tcPr>
          <w:p>
            <w:pPr>
              <w:spacing w:after="0"/>
              <w:rPr>
                <w:sz w:val="17"/>
                <w:szCs w:val="17"/>
                <w:color w:val="auto"/>
              </w:rPr>
            </w:pPr>
          </w:p>
        </w:tc>
        <w:tc>
          <w:tcPr>
            <w:tcW w:w="800" w:type="dxa"/>
            <w:vAlign w:val="bottom"/>
          </w:tcPr>
          <w:p>
            <w:pPr>
              <w:jc w:val="right"/>
              <w:ind w:right="174"/>
              <w:spacing w:after="0" w:line="202" w:lineRule="exact"/>
              <w:rPr>
                <w:sz w:val="20"/>
                <w:szCs w:val="20"/>
                <w:color w:val="auto"/>
              </w:rPr>
            </w:pPr>
            <w:r>
              <w:rPr>
                <w:rFonts w:ascii="Arial" w:cs="Arial" w:eastAsia="Arial" w:hAnsi="Arial"/>
                <w:sz w:val="18"/>
                <w:szCs w:val="18"/>
                <w:color w:val="auto"/>
                <w:w w:val="94"/>
              </w:rPr>
              <w:t>20,993</w:t>
            </w:r>
          </w:p>
        </w:tc>
        <w:tc>
          <w:tcPr>
            <w:tcW w:w="0" w:type="dxa"/>
            <w:vAlign w:val="bottom"/>
          </w:tcPr>
          <w:p>
            <w:pPr>
              <w:spacing w:after="0"/>
              <w:rPr>
                <w:sz w:val="1"/>
                <w:szCs w:val="1"/>
                <w:color w:val="auto"/>
              </w:rPr>
            </w:pPr>
          </w:p>
        </w:tc>
      </w:tr>
      <w:tr>
        <w:trPr>
          <w:trHeight w:val="203"/>
        </w:trPr>
        <w:tc>
          <w:tcPr>
            <w:tcW w:w="2000" w:type="dxa"/>
            <w:vAlign w:val="bottom"/>
          </w:tcPr>
          <w:p>
            <w:pPr>
              <w:ind w:left="20"/>
              <w:spacing w:after="0" w:line="202" w:lineRule="exact"/>
              <w:rPr>
                <w:sz w:val="20"/>
                <w:szCs w:val="20"/>
                <w:color w:val="auto"/>
              </w:rPr>
            </w:pPr>
            <w:r>
              <w:rPr>
                <w:rFonts w:ascii="Arial" w:cs="Arial" w:eastAsia="Arial" w:hAnsi="Arial"/>
                <w:sz w:val="18"/>
                <w:szCs w:val="18"/>
                <w:color w:val="auto"/>
              </w:rPr>
              <w:t>Senior subordinated</w:t>
            </w:r>
          </w:p>
        </w:tc>
        <w:tc>
          <w:tcPr>
            <w:tcW w:w="158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000" w:type="dxa"/>
            <w:vAlign w:val="bottom"/>
          </w:tcPr>
          <w:p>
            <w:pPr>
              <w:ind w:left="220"/>
              <w:spacing w:after="0" w:line="202" w:lineRule="exact"/>
              <w:rPr>
                <w:sz w:val="20"/>
                <w:szCs w:val="20"/>
                <w:color w:val="auto"/>
              </w:rPr>
            </w:pPr>
            <w:r>
              <w:rPr>
                <w:rFonts w:ascii="Arial" w:cs="Arial" w:eastAsia="Arial" w:hAnsi="Arial"/>
                <w:sz w:val="18"/>
                <w:szCs w:val="18"/>
                <w:color w:val="auto"/>
              </w:rPr>
              <w:t>notes, due 2006 –</w:t>
            </w:r>
          </w:p>
        </w:tc>
        <w:tc>
          <w:tcPr>
            <w:tcW w:w="158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660" w:type="dxa"/>
            <w:vAlign w:val="bottom"/>
            <w:vMerge w:val="restart"/>
          </w:tcPr>
          <w:p>
            <w:pPr>
              <w:jc w:val="right"/>
              <w:ind w:right="34"/>
              <w:spacing w:after="0"/>
              <w:rPr>
                <w:sz w:val="20"/>
                <w:szCs w:val="20"/>
                <w:color w:val="auto"/>
              </w:rPr>
            </w:pPr>
            <w:r>
              <w:rPr>
                <w:rFonts w:ascii="Arial" w:cs="Arial" w:eastAsia="Arial" w:hAnsi="Arial"/>
                <w:sz w:val="18"/>
                <w:szCs w:val="18"/>
                <w:b w:val="1"/>
                <w:bCs w:val="1"/>
                <w:color w:val="auto"/>
              </w:rPr>
              <w:t>202</w:t>
            </w:r>
          </w:p>
        </w:tc>
        <w:tc>
          <w:tcPr>
            <w:tcW w:w="24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81"/>
        </w:trPr>
        <w:tc>
          <w:tcPr>
            <w:tcW w:w="2000" w:type="dxa"/>
            <w:vAlign w:val="bottom"/>
          </w:tcPr>
          <w:p>
            <w:pPr>
              <w:ind w:left="220"/>
              <w:spacing w:after="0" w:line="181" w:lineRule="exact"/>
              <w:rPr>
                <w:sz w:val="20"/>
                <w:szCs w:val="20"/>
                <w:color w:val="auto"/>
              </w:rPr>
            </w:pPr>
            <w:r>
              <w:rPr>
                <w:rFonts w:ascii="Arial" w:cs="Arial" w:eastAsia="Arial" w:hAnsi="Arial"/>
                <w:sz w:val="18"/>
                <w:szCs w:val="18"/>
                <w:color w:val="auto"/>
              </w:rPr>
              <w:t>2012</w:t>
            </w:r>
          </w:p>
        </w:tc>
        <w:tc>
          <w:tcPr>
            <w:tcW w:w="1580" w:type="dxa"/>
            <w:vAlign w:val="bottom"/>
          </w:tcPr>
          <w:p>
            <w:pPr>
              <w:jc w:val="right"/>
              <w:spacing w:after="0" w:line="181" w:lineRule="exact"/>
              <w:rPr>
                <w:sz w:val="20"/>
                <w:szCs w:val="20"/>
                <w:color w:val="auto"/>
              </w:rPr>
            </w:pPr>
            <w:r>
              <w:rPr>
                <w:rFonts w:ascii="Arial" w:cs="Arial" w:eastAsia="Arial" w:hAnsi="Arial"/>
                <w:sz w:val="18"/>
                <w:szCs w:val="18"/>
                <w:color w:val="auto"/>
              </w:rPr>
              <w:t>10.63%</w:t>
            </w:r>
          </w:p>
        </w:tc>
        <w:tc>
          <w:tcPr>
            <w:tcW w:w="200" w:type="dxa"/>
            <w:vAlign w:val="bottom"/>
          </w:tcPr>
          <w:p>
            <w:pPr>
              <w:spacing w:after="0"/>
              <w:rPr>
                <w:sz w:val="15"/>
                <w:szCs w:val="15"/>
                <w:color w:val="auto"/>
              </w:rPr>
            </w:pPr>
          </w:p>
        </w:tc>
        <w:tc>
          <w:tcPr>
            <w:tcW w:w="660" w:type="dxa"/>
            <w:vAlign w:val="bottom"/>
            <w:vMerge w:val="continue"/>
          </w:tcPr>
          <w:p>
            <w:pPr>
              <w:spacing w:after="0"/>
              <w:rPr>
                <w:sz w:val="15"/>
                <w:szCs w:val="15"/>
                <w:color w:val="auto"/>
              </w:rPr>
            </w:pPr>
          </w:p>
        </w:tc>
        <w:tc>
          <w:tcPr>
            <w:tcW w:w="240" w:type="dxa"/>
            <w:vAlign w:val="bottom"/>
          </w:tcPr>
          <w:p>
            <w:pPr>
              <w:spacing w:after="0"/>
              <w:rPr>
                <w:sz w:val="15"/>
                <w:szCs w:val="15"/>
                <w:color w:val="auto"/>
              </w:rPr>
            </w:pPr>
          </w:p>
        </w:tc>
        <w:tc>
          <w:tcPr>
            <w:tcW w:w="800" w:type="dxa"/>
            <w:vAlign w:val="bottom"/>
          </w:tcPr>
          <w:p>
            <w:pPr>
              <w:jc w:val="right"/>
              <w:ind w:right="174"/>
              <w:spacing w:after="0" w:line="181" w:lineRule="exact"/>
              <w:rPr>
                <w:sz w:val="20"/>
                <w:szCs w:val="20"/>
                <w:color w:val="auto"/>
              </w:rPr>
            </w:pPr>
            <w:r>
              <w:rPr>
                <w:rFonts w:ascii="Arial" w:cs="Arial" w:eastAsia="Arial" w:hAnsi="Arial"/>
                <w:sz w:val="18"/>
                <w:szCs w:val="18"/>
                <w:color w:val="auto"/>
              </w:rPr>
              <w:t>349</w:t>
            </w:r>
          </w:p>
        </w:tc>
        <w:tc>
          <w:tcPr>
            <w:tcW w:w="0" w:type="dxa"/>
            <w:vAlign w:val="bottom"/>
          </w:tcPr>
          <w:p>
            <w:pPr>
              <w:spacing w:after="0"/>
              <w:rPr>
                <w:sz w:val="1"/>
                <w:szCs w:val="1"/>
                <w:color w:val="auto"/>
              </w:rPr>
            </w:pPr>
          </w:p>
        </w:tc>
      </w:tr>
      <w:tr>
        <w:trPr>
          <w:trHeight w:val="225"/>
        </w:trPr>
        <w:tc>
          <w:tcPr>
            <w:tcW w:w="2000" w:type="dxa"/>
            <w:vAlign w:val="bottom"/>
          </w:tcPr>
          <w:p>
            <w:pPr>
              <w:ind w:left="20"/>
              <w:spacing w:after="0"/>
              <w:rPr>
                <w:sz w:val="20"/>
                <w:szCs w:val="20"/>
                <w:color w:val="auto"/>
              </w:rPr>
            </w:pPr>
            <w:r>
              <w:rPr>
                <w:rFonts w:ascii="Arial" w:cs="Arial" w:eastAsia="Arial" w:hAnsi="Arial"/>
                <w:sz w:val="18"/>
                <w:szCs w:val="18"/>
                <w:color w:val="auto"/>
              </w:rPr>
              <w:t>ZONES due 2029</w:t>
            </w:r>
          </w:p>
        </w:tc>
        <w:tc>
          <w:tcPr>
            <w:tcW w:w="1580" w:type="dxa"/>
            <w:vAlign w:val="bottom"/>
          </w:tcPr>
          <w:p>
            <w:pPr>
              <w:jc w:val="right"/>
              <w:spacing w:after="0"/>
              <w:rPr>
                <w:sz w:val="20"/>
                <w:szCs w:val="20"/>
                <w:color w:val="auto"/>
              </w:rPr>
            </w:pPr>
            <w:r>
              <w:rPr>
                <w:rFonts w:ascii="Arial" w:cs="Arial" w:eastAsia="Arial" w:hAnsi="Arial"/>
                <w:sz w:val="18"/>
                <w:szCs w:val="18"/>
                <w:color w:val="auto"/>
              </w:rPr>
              <w:t>2.00%</w:t>
            </w:r>
          </w:p>
        </w:tc>
        <w:tc>
          <w:tcPr>
            <w:tcW w:w="200" w:type="dxa"/>
            <w:vAlign w:val="bottom"/>
          </w:tcPr>
          <w:p>
            <w:pPr>
              <w:spacing w:after="0"/>
              <w:rPr>
                <w:sz w:val="19"/>
                <w:szCs w:val="19"/>
                <w:color w:val="auto"/>
              </w:rPr>
            </w:pPr>
          </w:p>
        </w:tc>
        <w:tc>
          <w:tcPr>
            <w:tcW w:w="660" w:type="dxa"/>
            <w:vAlign w:val="bottom"/>
          </w:tcPr>
          <w:p>
            <w:pPr>
              <w:jc w:val="right"/>
              <w:ind w:right="34"/>
              <w:spacing w:after="0"/>
              <w:rPr>
                <w:sz w:val="20"/>
                <w:szCs w:val="20"/>
                <w:color w:val="auto"/>
              </w:rPr>
            </w:pPr>
            <w:r>
              <w:rPr>
                <w:rFonts w:ascii="Arial" w:cs="Arial" w:eastAsia="Arial" w:hAnsi="Arial"/>
                <w:sz w:val="18"/>
                <w:szCs w:val="18"/>
                <w:b w:val="1"/>
                <w:bCs w:val="1"/>
                <w:color w:val="auto"/>
              </w:rPr>
              <w:t>747</w:t>
            </w:r>
          </w:p>
        </w:tc>
        <w:tc>
          <w:tcPr>
            <w:tcW w:w="240" w:type="dxa"/>
            <w:vAlign w:val="bottom"/>
          </w:tcPr>
          <w:p>
            <w:pPr>
              <w:spacing w:after="0"/>
              <w:rPr>
                <w:sz w:val="19"/>
                <w:szCs w:val="19"/>
                <w:color w:val="auto"/>
              </w:rPr>
            </w:pPr>
          </w:p>
        </w:tc>
        <w:tc>
          <w:tcPr>
            <w:tcW w:w="800" w:type="dxa"/>
            <w:vAlign w:val="bottom"/>
          </w:tcPr>
          <w:p>
            <w:pPr>
              <w:jc w:val="right"/>
              <w:ind w:right="174"/>
              <w:spacing w:after="0"/>
              <w:rPr>
                <w:sz w:val="20"/>
                <w:szCs w:val="20"/>
                <w:color w:val="auto"/>
              </w:rPr>
            </w:pPr>
            <w:r>
              <w:rPr>
                <w:rFonts w:ascii="Arial" w:cs="Arial" w:eastAsia="Arial" w:hAnsi="Arial"/>
                <w:sz w:val="18"/>
                <w:szCs w:val="18"/>
                <w:color w:val="auto"/>
              </w:rPr>
              <w:t>752</w:t>
            </w:r>
          </w:p>
        </w:tc>
        <w:tc>
          <w:tcPr>
            <w:tcW w:w="0" w:type="dxa"/>
            <w:vAlign w:val="bottom"/>
          </w:tcPr>
          <w:p>
            <w:pPr>
              <w:spacing w:after="0"/>
              <w:rPr>
                <w:sz w:val="1"/>
                <w:szCs w:val="1"/>
                <w:color w:val="auto"/>
              </w:rPr>
            </w:pPr>
          </w:p>
        </w:tc>
      </w:tr>
      <w:tr>
        <w:trPr>
          <w:trHeight w:val="203"/>
        </w:trPr>
        <w:tc>
          <w:tcPr>
            <w:tcW w:w="2000" w:type="dxa"/>
            <w:vAlign w:val="bottom"/>
          </w:tcPr>
          <w:p>
            <w:pPr>
              <w:ind w:left="20"/>
              <w:spacing w:after="0" w:line="202" w:lineRule="exact"/>
              <w:rPr>
                <w:sz w:val="20"/>
                <w:szCs w:val="20"/>
                <w:color w:val="auto"/>
              </w:rPr>
            </w:pPr>
            <w:r>
              <w:rPr>
                <w:rFonts w:ascii="Arial" w:cs="Arial" w:eastAsia="Arial" w:hAnsi="Arial"/>
                <w:sz w:val="18"/>
                <w:szCs w:val="18"/>
                <w:color w:val="auto"/>
              </w:rPr>
              <w:t>Debt supporting Trust</w:t>
            </w:r>
          </w:p>
        </w:tc>
        <w:tc>
          <w:tcPr>
            <w:tcW w:w="158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000" w:type="dxa"/>
            <w:vAlign w:val="bottom"/>
          </w:tcPr>
          <w:p>
            <w:pPr>
              <w:ind w:left="20"/>
              <w:spacing w:after="0" w:line="202" w:lineRule="exact"/>
              <w:rPr>
                <w:sz w:val="20"/>
                <w:szCs w:val="20"/>
                <w:color w:val="auto"/>
              </w:rPr>
            </w:pPr>
            <w:r>
              <w:rPr>
                <w:rFonts w:ascii="Arial" w:cs="Arial" w:eastAsia="Arial" w:hAnsi="Arial"/>
                <w:sz w:val="18"/>
                <w:szCs w:val="18"/>
                <w:color w:val="auto"/>
              </w:rPr>
              <w:t>Preferred Securities,</w:t>
            </w:r>
          </w:p>
        </w:tc>
        <w:tc>
          <w:tcPr>
            <w:tcW w:w="158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660" w:type="dxa"/>
            <w:vAlign w:val="bottom"/>
            <w:vMerge w:val="restart"/>
          </w:tcPr>
          <w:p>
            <w:pPr>
              <w:jc w:val="right"/>
              <w:ind w:right="34"/>
              <w:spacing w:after="0"/>
              <w:rPr>
                <w:sz w:val="20"/>
                <w:szCs w:val="20"/>
                <w:color w:val="auto"/>
              </w:rPr>
            </w:pPr>
            <w:r>
              <w:rPr>
                <w:rFonts w:ascii="Arial" w:cs="Arial" w:eastAsia="Arial" w:hAnsi="Arial"/>
                <w:sz w:val="18"/>
                <w:szCs w:val="18"/>
                <w:b w:val="1"/>
                <w:bCs w:val="1"/>
                <w:color w:val="auto"/>
              </w:rPr>
              <w:t>283</w:t>
            </w:r>
          </w:p>
        </w:tc>
        <w:tc>
          <w:tcPr>
            <w:tcW w:w="24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000" w:type="dxa"/>
            <w:vAlign w:val="bottom"/>
          </w:tcPr>
          <w:p>
            <w:pPr>
              <w:ind w:left="220"/>
              <w:spacing w:after="0" w:line="202" w:lineRule="exact"/>
              <w:rPr>
                <w:sz w:val="20"/>
                <w:szCs w:val="20"/>
                <w:color w:val="auto"/>
              </w:rPr>
            </w:pPr>
            <w:r>
              <w:rPr>
                <w:rFonts w:ascii="Arial" w:cs="Arial" w:eastAsia="Arial" w:hAnsi="Arial"/>
                <w:sz w:val="18"/>
                <w:szCs w:val="18"/>
                <w:color w:val="auto"/>
              </w:rPr>
              <w:t>due 2027</w:t>
            </w:r>
          </w:p>
        </w:tc>
        <w:tc>
          <w:tcPr>
            <w:tcW w:w="1580" w:type="dxa"/>
            <w:vAlign w:val="bottom"/>
          </w:tcPr>
          <w:p>
            <w:pPr>
              <w:jc w:val="right"/>
              <w:spacing w:after="0" w:line="202" w:lineRule="exact"/>
              <w:rPr>
                <w:sz w:val="20"/>
                <w:szCs w:val="20"/>
                <w:color w:val="auto"/>
              </w:rPr>
            </w:pPr>
            <w:r>
              <w:rPr>
                <w:rFonts w:ascii="Arial" w:cs="Arial" w:eastAsia="Arial" w:hAnsi="Arial"/>
                <w:sz w:val="18"/>
                <w:szCs w:val="18"/>
                <w:color w:val="auto"/>
              </w:rPr>
              <w:t>9.65%</w:t>
            </w:r>
          </w:p>
        </w:tc>
        <w:tc>
          <w:tcPr>
            <w:tcW w:w="200" w:type="dxa"/>
            <w:vAlign w:val="bottom"/>
          </w:tcPr>
          <w:p>
            <w:pPr>
              <w:spacing w:after="0"/>
              <w:rPr>
                <w:sz w:val="17"/>
                <w:szCs w:val="17"/>
                <w:color w:val="auto"/>
              </w:rPr>
            </w:pPr>
          </w:p>
        </w:tc>
        <w:tc>
          <w:tcPr>
            <w:tcW w:w="660" w:type="dxa"/>
            <w:vAlign w:val="bottom"/>
            <w:vMerge w:val="continue"/>
          </w:tcPr>
          <w:p>
            <w:pPr>
              <w:spacing w:after="0"/>
              <w:rPr>
                <w:sz w:val="17"/>
                <w:szCs w:val="17"/>
                <w:color w:val="auto"/>
              </w:rPr>
            </w:pPr>
          </w:p>
        </w:tc>
        <w:tc>
          <w:tcPr>
            <w:tcW w:w="240" w:type="dxa"/>
            <w:vAlign w:val="bottom"/>
          </w:tcPr>
          <w:p>
            <w:pPr>
              <w:spacing w:after="0"/>
              <w:rPr>
                <w:sz w:val="17"/>
                <w:szCs w:val="17"/>
                <w:color w:val="auto"/>
              </w:rPr>
            </w:pPr>
          </w:p>
        </w:tc>
        <w:tc>
          <w:tcPr>
            <w:tcW w:w="800" w:type="dxa"/>
            <w:vAlign w:val="bottom"/>
          </w:tcPr>
          <w:p>
            <w:pPr>
              <w:jc w:val="right"/>
              <w:ind w:right="174"/>
              <w:spacing w:after="0" w:line="202" w:lineRule="exact"/>
              <w:rPr>
                <w:sz w:val="20"/>
                <w:szCs w:val="20"/>
                <w:color w:val="auto"/>
              </w:rPr>
            </w:pPr>
            <w:r>
              <w:rPr>
                <w:rFonts w:ascii="Arial" w:cs="Arial" w:eastAsia="Arial" w:hAnsi="Arial"/>
                <w:sz w:val="18"/>
                <w:szCs w:val="18"/>
                <w:color w:val="auto"/>
              </w:rPr>
              <w:t>284</w:t>
            </w:r>
          </w:p>
        </w:tc>
        <w:tc>
          <w:tcPr>
            <w:tcW w:w="0" w:type="dxa"/>
            <w:vAlign w:val="bottom"/>
          </w:tcPr>
          <w:p>
            <w:pPr>
              <w:spacing w:after="0"/>
              <w:rPr>
                <w:sz w:val="1"/>
                <w:szCs w:val="1"/>
                <w:color w:val="auto"/>
              </w:rPr>
            </w:pPr>
          </w:p>
        </w:tc>
      </w:tr>
      <w:tr>
        <w:trPr>
          <w:trHeight w:val="203"/>
        </w:trPr>
        <w:tc>
          <w:tcPr>
            <w:tcW w:w="2000" w:type="dxa"/>
            <w:vAlign w:val="bottom"/>
          </w:tcPr>
          <w:p>
            <w:pPr>
              <w:ind w:left="20"/>
              <w:spacing w:after="0" w:line="202" w:lineRule="exact"/>
              <w:rPr>
                <w:sz w:val="20"/>
                <w:szCs w:val="20"/>
                <w:color w:val="auto"/>
              </w:rPr>
            </w:pPr>
            <w:r>
              <w:rPr>
                <w:rFonts w:ascii="Arial" w:cs="Arial" w:eastAsia="Arial" w:hAnsi="Arial"/>
                <w:sz w:val="18"/>
                <w:szCs w:val="18"/>
                <w:color w:val="auto"/>
              </w:rPr>
              <w:t>Exchangeable notes,</w:t>
            </w:r>
          </w:p>
        </w:tc>
        <w:tc>
          <w:tcPr>
            <w:tcW w:w="158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660" w:type="dxa"/>
            <w:vAlign w:val="bottom"/>
            <w:vMerge w:val="restart"/>
          </w:tcPr>
          <w:p>
            <w:pPr>
              <w:jc w:val="right"/>
              <w:ind w:right="34"/>
              <w:spacing w:after="0"/>
              <w:rPr>
                <w:sz w:val="20"/>
                <w:szCs w:val="20"/>
                <w:color w:val="auto"/>
              </w:rPr>
            </w:pPr>
            <w:r>
              <w:rPr>
                <w:rFonts w:ascii="Arial" w:cs="Arial" w:eastAsia="Arial" w:hAnsi="Arial"/>
                <w:sz w:val="18"/>
                <w:szCs w:val="18"/>
                <w:b w:val="1"/>
                <w:bCs w:val="1"/>
                <w:color w:val="auto"/>
              </w:rPr>
              <w:t>49</w:t>
            </w:r>
          </w:p>
        </w:tc>
        <w:tc>
          <w:tcPr>
            <w:tcW w:w="24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000" w:type="dxa"/>
            <w:vAlign w:val="bottom"/>
          </w:tcPr>
          <w:p>
            <w:pPr>
              <w:ind w:left="220"/>
              <w:spacing w:after="0" w:line="202" w:lineRule="exact"/>
              <w:rPr>
                <w:sz w:val="20"/>
                <w:szCs w:val="20"/>
                <w:color w:val="auto"/>
              </w:rPr>
            </w:pPr>
            <w:r>
              <w:rPr>
                <w:rFonts w:ascii="Arial" w:cs="Arial" w:eastAsia="Arial" w:hAnsi="Arial"/>
                <w:sz w:val="18"/>
                <w:szCs w:val="18"/>
                <w:color w:val="auto"/>
              </w:rPr>
              <w:t>due 2007</w:t>
            </w:r>
          </w:p>
        </w:tc>
        <w:tc>
          <w:tcPr>
            <w:tcW w:w="1580" w:type="dxa"/>
            <w:vAlign w:val="bottom"/>
          </w:tcPr>
          <w:p>
            <w:pPr>
              <w:jc w:val="right"/>
              <w:spacing w:after="0" w:line="202" w:lineRule="exact"/>
              <w:rPr>
                <w:sz w:val="20"/>
                <w:szCs w:val="20"/>
                <w:color w:val="auto"/>
              </w:rPr>
            </w:pPr>
            <w:r>
              <w:rPr>
                <w:rFonts w:ascii="Arial" w:cs="Arial" w:eastAsia="Arial" w:hAnsi="Arial"/>
                <w:sz w:val="18"/>
                <w:szCs w:val="18"/>
                <w:color w:val="auto"/>
              </w:rPr>
              <w:t>5.77%</w:t>
            </w:r>
          </w:p>
        </w:tc>
        <w:tc>
          <w:tcPr>
            <w:tcW w:w="200" w:type="dxa"/>
            <w:vAlign w:val="bottom"/>
          </w:tcPr>
          <w:p>
            <w:pPr>
              <w:spacing w:after="0"/>
              <w:rPr>
                <w:sz w:val="17"/>
                <w:szCs w:val="17"/>
                <w:color w:val="auto"/>
              </w:rPr>
            </w:pPr>
          </w:p>
        </w:tc>
        <w:tc>
          <w:tcPr>
            <w:tcW w:w="660" w:type="dxa"/>
            <w:vAlign w:val="bottom"/>
            <w:vMerge w:val="continue"/>
          </w:tcPr>
          <w:p>
            <w:pPr>
              <w:spacing w:after="0"/>
              <w:rPr>
                <w:sz w:val="17"/>
                <w:szCs w:val="17"/>
                <w:color w:val="auto"/>
              </w:rPr>
            </w:pPr>
          </w:p>
        </w:tc>
        <w:tc>
          <w:tcPr>
            <w:tcW w:w="240" w:type="dxa"/>
            <w:vAlign w:val="bottom"/>
          </w:tcPr>
          <w:p>
            <w:pPr>
              <w:spacing w:after="0"/>
              <w:rPr>
                <w:sz w:val="17"/>
                <w:szCs w:val="17"/>
                <w:color w:val="auto"/>
              </w:rPr>
            </w:pPr>
          </w:p>
        </w:tc>
        <w:tc>
          <w:tcPr>
            <w:tcW w:w="800" w:type="dxa"/>
            <w:vAlign w:val="bottom"/>
          </w:tcPr>
          <w:p>
            <w:pPr>
              <w:jc w:val="right"/>
              <w:ind w:right="174"/>
              <w:spacing w:after="0" w:line="202" w:lineRule="exact"/>
              <w:rPr>
                <w:sz w:val="20"/>
                <w:szCs w:val="20"/>
                <w:color w:val="auto"/>
              </w:rPr>
            </w:pPr>
            <w:r>
              <w:rPr>
                <w:rFonts w:ascii="Arial" w:cs="Arial" w:eastAsia="Arial" w:hAnsi="Arial"/>
                <w:sz w:val="18"/>
                <w:szCs w:val="18"/>
                <w:color w:val="auto"/>
              </w:rPr>
              <w:t>46</w:t>
            </w:r>
          </w:p>
        </w:tc>
        <w:tc>
          <w:tcPr>
            <w:tcW w:w="0" w:type="dxa"/>
            <w:vAlign w:val="bottom"/>
          </w:tcPr>
          <w:p>
            <w:pPr>
              <w:spacing w:after="0"/>
              <w:rPr>
                <w:sz w:val="1"/>
                <w:szCs w:val="1"/>
                <w:color w:val="auto"/>
              </w:rPr>
            </w:pPr>
          </w:p>
        </w:tc>
      </w:tr>
      <w:tr>
        <w:trPr>
          <w:trHeight w:val="203"/>
        </w:trPr>
        <w:tc>
          <w:tcPr>
            <w:tcW w:w="2000" w:type="dxa"/>
            <w:vAlign w:val="bottom"/>
          </w:tcPr>
          <w:p>
            <w:pPr>
              <w:ind w:left="20"/>
              <w:spacing w:after="0" w:line="202" w:lineRule="exact"/>
              <w:rPr>
                <w:sz w:val="20"/>
                <w:szCs w:val="20"/>
                <w:color w:val="auto"/>
              </w:rPr>
            </w:pPr>
            <w:r>
              <w:rPr>
                <w:rFonts w:ascii="Arial" w:cs="Arial" w:eastAsia="Arial" w:hAnsi="Arial"/>
                <w:sz w:val="18"/>
                <w:szCs w:val="18"/>
                <w:color w:val="auto"/>
              </w:rPr>
              <w:t>Other, including capital</w:t>
            </w:r>
          </w:p>
        </w:tc>
        <w:tc>
          <w:tcPr>
            <w:tcW w:w="158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660" w:type="dxa"/>
            <w:vAlign w:val="bottom"/>
            <w:vMerge w:val="restart"/>
          </w:tcPr>
          <w:p>
            <w:pPr>
              <w:jc w:val="right"/>
              <w:ind w:right="34"/>
              <w:spacing w:after="0"/>
              <w:rPr>
                <w:sz w:val="20"/>
                <w:szCs w:val="20"/>
                <w:color w:val="auto"/>
              </w:rPr>
            </w:pPr>
            <w:r>
              <w:rPr>
                <w:rFonts w:ascii="Arial" w:cs="Arial" w:eastAsia="Arial" w:hAnsi="Arial"/>
                <w:sz w:val="18"/>
                <w:szCs w:val="18"/>
                <w:b w:val="1"/>
                <w:bCs w:val="1"/>
                <w:color w:val="auto"/>
              </w:rPr>
              <w:t>368</w:t>
            </w:r>
          </w:p>
        </w:tc>
        <w:tc>
          <w:tcPr>
            <w:tcW w:w="24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9"/>
        </w:trPr>
        <w:tc>
          <w:tcPr>
            <w:tcW w:w="2000" w:type="dxa"/>
            <w:vAlign w:val="bottom"/>
            <w:tcBorders>
              <w:bottom w:val="single" w:sz="8" w:color="auto"/>
            </w:tcBorders>
          </w:tcPr>
          <w:p>
            <w:pPr>
              <w:ind w:left="220"/>
              <w:spacing w:after="0" w:line="200" w:lineRule="exact"/>
              <w:rPr>
                <w:sz w:val="20"/>
                <w:szCs w:val="20"/>
                <w:color w:val="auto"/>
              </w:rPr>
            </w:pPr>
            <w:r>
              <w:rPr>
                <w:rFonts w:ascii="Arial" w:cs="Arial" w:eastAsia="Arial" w:hAnsi="Arial"/>
                <w:sz w:val="18"/>
                <w:szCs w:val="18"/>
                <w:color w:val="auto"/>
              </w:rPr>
              <w:t>lease obligations</w:t>
            </w:r>
          </w:p>
        </w:tc>
        <w:tc>
          <w:tcPr>
            <w:tcW w:w="1580" w:type="dxa"/>
            <w:vAlign w:val="bottom"/>
            <w:tcBorders>
              <w:bottom w:val="single" w:sz="8" w:color="auto"/>
            </w:tcBorders>
          </w:tcPr>
          <w:p>
            <w:pPr>
              <w:jc w:val="right"/>
              <w:ind w:right="158"/>
              <w:spacing w:after="0" w:line="200" w:lineRule="exact"/>
              <w:rPr>
                <w:sz w:val="20"/>
                <w:szCs w:val="20"/>
                <w:color w:val="auto"/>
              </w:rPr>
            </w:pPr>
            <w:r>
              <w:rPr>
                <w:rFonts w:ascii="Arial" w:cs="Arial" w:eastAsia="Arial" w:hAnsi="Arial"/>
                <w:sz w:val="18"/>
                <w:szCs w:val="18"/>
                <w:color w:val="auto"/>
              </w:rPr>
              <w:t>—</w:t>
            </w:r>
          </w:p>
        </w:tc>
        <w:tc>
          <w:tcPr>
            <w:tcW w:w="200" w:type="dxa"/>
            <w:vAlign w:val="bottom"/>
            <w:tcBorders>
              <w:bottom w:val="single" w:sz="8" w:color="auto"/>
            </w:tcBorders>
          </w:tcPr>
          <w:p>
            <w:pPr>
              <w:spacing w:after="0"/>
              <w:rPr>
                <w:sz w:val="17"/>
                <w:szCs w:val="17"/>
                <w:color w:val="auto"/>
              </w:rPr>
            </w:pPr>
          </w:p>
        </w:tc>
        <w:tc>
          <w:tcPr>
            <w:tcW w:w="660" w:type="dxa"/>
            <w:vAlign w:val="bottom"/>
            <w:tcBorders>
              <w:bottom w:val="single" w:sz="8" w:color="auto"/>
            </w:tcBorders>
            <w:vMerge w:val="continue"/>
          </w:tcPr>
          <w:p>
            <w:pPr>
              <w:spacing w:after="0"/>
              <w:rPr>
                <w:sz w:val="17"/>
                <w:szCs w:val="17"/>
                <w:color w:val="auto"/>
              </w:rPr>
            </w:pPr>
          </w:p>
        </w:tc>
        <w:tc>
          <w:tcPr>
            <w:tcW w:w="240" w:type="dxa"/>
            <w:vAlign w:val="bottom"/>
            <w:tcBorders>
              <w:bottom w:val="single" w:sz="8" w:color="auto"/>
            </w:tcBorders>
          </w:tcPr>
          <w:p>
            <w:pPr>
              <w:spacing w:after="0"/>
              <w:rPr>
                <w:sz w:val="17"/>
                <w:szCs w:val="17"/>
                <w:color w:val="auto"/>
              </w:rPr>
            </w:pPr>
          </w:p>
        </w:tc>
        <w:tc>
          <w:tcPr>
            <w:tcW w:w="800" w:type="dxa"/>
            <w:vAlign w:val="bottom"/>
            <w:tcBorders>
              <w:bottom w:val="single" w:sz="8" w:color="auto"/>
            </w:tcBorders>
          </w:tcPr>
          <w:p>
            <w:pPr>
              <w:jc w:val="right"/>
              <w:ind w:right="174"/>
              <w:spacing w:after="0" w:line="200" w:lineRule="exact"/>
              <w:rPr>
                <w:sz w:val="20"/>
                <w:szCs w:val="20"/>
                <w:color w:val="auto"/>
              </w:rPr>
            </w:pPr>
            <w:r>
              <w:rPr>
                <w:rFonts w:ascii="Arial" w:cs="Arial" w:eastAsia="Arial" w:hAnsi="Arial"/>
                <w:sz w:val="18"/>
                <w:szCs w:val="18"/>
                <w:color w:val="auto"/>
              </w:rPr>
              <w:t>398</w:t>
            </w:r>
          </w:p>
        </w:tc>
        <w:tc>
          <w:tcPr>
            <w:tcW w:w="0" w:type="dxa"/>
            <w:vAlign w:val="bottom"/>
          </w:tcPr>
          <w:p>
            <w:pPr>
              <w:spacing w:after="0"/>
              <w:rPr>
                <w:sz w:val="1"/>
                <w:szCs w:val="1"/>
                <w:color w:val="auto"/>
              </w:rPr>
            </w:pPr>
          </w:p>
        </w:tc>
      </w:tr>
      <w:tr>
        <w:trPr>
          <w:trHeight w:val="177"/>
        </w:trPr>
        <w:tc>
          <w:tcPr>
            <w:tcW w:w="2000" w:type="dxa"/>
            <w:vAlign w:val="bottom"/>
          </w:tcPr>
          <w:p>
            <w:pPr>
              <w:ind w:left="20"/>
              <w:spacing w:after="0" w:line="177" w:lineRule="exact"/>
              <w:rPr>
                <w:sz w:val="20"/>
                <w:szCs w:val="20"/>
                <w:color w:val="auto"/>
              </w:rPr>
            </w:pPr>
            <w:r>
              <w:rPr>
                <w:rFonts w:ascii="Arial" w:cs="Arial" w:eastAsia="Arial" w:hAnsi="Arial"/>
                <w:sz w:val="18"/>
                <w:szCs w:val="18"/>
                <w:color w:val="auto"/>
              </w:rPr>
              <w:t>Total debt</w:t>
            </w:r>
          </w:p>
        </w:tc>
        <w:tc>
          <w:tcPr>
            <w:tcW w:w="158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660" w:type="dxa"/>
            <w:vAlign w:val="bottom"/>
          </w:tcPr>
          <w:p>
            <w:pPr>
              <w:jc w:val="right"/>
              <w:ind w:right="34"/>
              <w:spacing w:after="0" w:line="177" w:lineRule="exact"/>
              <w:rPr>
                <w:sz w:val="20"/>
                <w:szCs w:val="20"/>
                <w:color w:val="auto"/>
              </w:rPr>
            </w:pPr>
            <w:r>
              <w:rPr>
                <w:rFonts w:ascii="Arial" w:cs="Arial" w:eastAsia="Arial" w:hAnsi="Arial"/>
                <w:sz w:val="18"/>
                <w:szCs w:val="18"/>
                <w:b w:val="1"/>
                <w:bCs w:val="1"/>
                <w:color w:val="auto"/>
                <w:w w:val="94"/>
              </w:rPr>
              <w:t>28,975</w:t>
            </w:r>
          </w:p>
        </w:tc>
        <w:tc>
          <w:tcPr>
            <w:tcW w:w="240" w:type="dxa"/>
            <w:vAlign w:val="bottom"/>
          </w:tcPr>
          <w:p>
            <w:pPr>
              <w:spacing w:after="0"/>
              <w:rPr>
                <w:sz w:val="15"/>
                <w:szCs w:val="15"/>
                <w:color w:val="auto"/>
              </w:rPr>
            </w:pPr>
          </w:p>
        </w:tc>
        <w:tc>
          <w:tcPr>
            <w:tcW w:w="800" w:type="dxa"/>
            <w:vAlign w:val="bottom"/>
          </w:tcPr>
          <w:p>
            <w:pPr>
              <w:jc w:val="right"/>
              <w:ind w:right="174"/>
              <w:spacing w:after="0" w:line="177" w:lineRule="exact"/>
              <w:rPr>
                <w:sz w:val="20"/>
                <w:szCs w:val="20"/>
                <w:color w:val="auto"/>
              </w:rPr>
            </w:pPr>
            <w:r>
              <w:rPr>
                <w:rFonts w:ascii="Arial" w:cs="Arial" w:eastAsia="Arial" w:hAnsi="Arial"/>
                <w:sz w:val="18"/>
                <w:szCs w:val="18"/>
                <w:color w:val="auto"/>
                <w:w w:val="94"/>
              </w:rPr>
              <w:t>23,371</w:t>
            </w:r>
          </w:p>
        </w:tc>
        <w:tc>
          <w:tcPr>
            <w:tcW w:w="0" w:type="dxa"/>
            <w:vAlign w:val="bottom"/>
          </w:tcPr>
          <w:p>
            <w:pPr>
              <w:spacing w:after="0"/>
              <w:rPr>
                <w:sz w:val="1"/>
                <w:szCs w:val="1"/>
                <w:color w:val="auto"/>
              </w:rPr>
            </w:pPr>
          </w:p>
        </w:tc>
      </w:tr>
      <w:tr>
        <w:trPr>
          <w:trHeight w:val="221"/>
        </w:trPr>
        <w:tc>
          <w:tcPr>
            <w:tcW w:w="2000" w:type="dxa"/>
            <w:vAlign w:val="bottom"/>
            <w:tcBorders>
              <w:bottom w:val="single" w:sz="8" w:color="auto"/>
            </w:tcBorders>
          </w:tcPr>
          <w:p>
            <w:pPr>
              <w:ind w:left="20"/>
              <w:spacing w:after="0"/>
              <w:rPr>
                <w:sz w:val="20"/>
                <w:szCs w:val="20"/>
                <w:color w:val="auto"/>
              </w:rPr>
            </w:pPr>
            <w:r>
              <w:rPr>
                <w:rFonts w:ascii="Arial" w:cs="Arial" w:eastAsia="Arial" w:hAnsi="Arial"/>
                <w:sz w:val="18"/>
                <w:szCs w:val="18"/>
                <w:color w:val="auto"/>
              </w:rPr>
              <w:t>Less: current portion</w:t>
            </w:r>
          </w:p>
        </w:tc>
        <w:tc>
          <w:tcPr>
            <w:tcW w:w="1580" w:type="dxa"/>
            <w:vAlign w:val="bottom"/>
            <w:tcBorders>
              <w:bottom w:val="single" w:sz="8" w:color="auto"/>
            </w:tcBorders>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660" w:type="dxa"/>
            <w:vAlign w:val="bottom"/>
            <w:tcBorders>
              <w:bottom w:val="single" w:sz="8" w:color="auto"/>
            </w:tcBorders>
          </w:tcPr>
          <w:p>
            <w:pPr>
              <w:jc w:val="right"/>
              <w:ind w:right="34"/>
              <w:spacing w:after="0"/>
              <w:rPr>
                <w:sz w:val="20"/>
                <w:szCs w:val="20"/>
                <w:color w:val="auto"/>
              </w:rPr>
            </w:pPr>
            <w:r>
              <w:rPr>
                <w:rFonts w:ascii="Arial" w:cs="Arial" w:eastAsia="Arial" w:hAnsi="Arial"/>
                <w:sz w:val="18"/>
                <w:szCs w:val="18"/>
                <w:b w:val="1"/>
                <w:bCs w:val="1"/>
                <w:color w:val="auto"/>
              </w:rPr>
              <w:t>983</w:t>
            </w:r>
          </w:p>
        </w:tc>
        <w:tc>
          <w:tcPr>
            <w:tcW w:w="240" w:type="dxa"/>
            <w:vAlign w:val="bottom"/>
            <w:tcBorders>
              <w:bottom w:val="single" w:sz="8" w:color="auto"/>
            </w:tcBorders>
          </w:tcPr>
          <w:p>
            <w:pPr>
              <w:spacing w:after="0"/>
              <w:rPr>
                <w:sz w:val="19"/>
                <w:szCs w:val="19"/>
                <w:color w:val="auto"/>
              </w:rPr>
            </w:pPr>
          </w:p>
        </w:tc>
        <w:tc>
          <w:tcPr>
            <w:tcW w:w="800" w:type="dxa"/>
            <w:vAlign w:val="bottom"/>
            <w:tcBorders>
              <w:bottom w:val="single" w:sz="8" w:color="auto"/>
            </w:tcBorders>
          </w:tcPr>
          <w:p>
            <w:pPr>
              <w:jc w:val="right"/>
              <w:ind w:right="174"/>
              <w:spacing w:after="0"/>
              <w:rPr>
                <w:sz w:val="20"/>
                <w:szCs w:val="20"/>
                <w:color w:val="auto"/>
              </w:rPr>
            </w:pPr>
            <w:r>
              <w:rPr>
                <w:rFonts w:ascii="Arial" w:cs="Arial" w:eastAsia="Arial" w:hAnsi="Arial"/>
                <w:sz w:val="18"/>
                <w:szCs w:val="18"/>
                <w:color w:val="auto"/>
              </w:rPr>
              <w:t>1,689</w:t>
            </w:r>
          </w:p>
        </w:tc>
        <w:tc>
          <w:tcPr>
            <w:tcW w:w="0" w:type="dxa"/>
            <w:vAlign w:val="bottom"/>
          </w:tcPr>
          <w:p>
            <w:pPr>
              <w:spacing w:after="0"/>
              <w:rPr>
                <w:sz w:val="1"/>
                <w:szCs w:val="1"/>
                <w:color w:val="auto"/>
              </w:rPr>
            </w:pPr>
          </w:p>
        </w:tc>
      </w:tr>
      <w:tr>
        <w:trPr>
          <w:trHeight w:val="196"/>
        </w:trPr>
        <w:tc>
          <w:tcPr>
            <w:tcW w:w="2000" w:type="dxa"/>
            <w:vAlign w:val="bottom"/>
            <w:tcBorders>
              <w:bottom w:val="single" w:sz="8" w:color="35BF85"/>
            </w:tcBorders>
          </w:tcPr>
          <w:p>
            <w:pPr>
              <w:ind w:left="20"/>
              <w:spacing w:after="0" w:line="196" w:lineRule="exact"/>
              <w:rPr>
                <w:sz w:val="20"/>
                <w:szCs w:val="20"/>
                <w:color w:val="auto"/>
              </w:rPr>
            </w:pPr>
            <w:r>
              <w:rPr>
                <w:rFonts w:ascii="Arial" w:cs="Arial" w:eastAsia="Arial" w:hAnsi="Arial"/>
                <w:sz w:val="18"/>
                <w:szCs w:val="18"/>
                <w:color w:val="auto"/>
              </w:rPr>
              <w:t>Long-term debt</w:t>
            </w:r>
          </w:p>
        </w:tc>
        <w:tc>
          <w:tcPr>
            <w:tcW w:w="1580" w:type="dxa"/>
            <w:vAlign w:val="bottom"/>
            <w:tcBorders>
              <w:bottom w:val="single" w:sz="8" w:color="35BF85"/>
            </w:tcBorders>
          </w:tcPr>
          <w:p>
            <w:pPr>
              <w:spacing w:after="0"/>
              <w:rPr>
                <w:sz w:val="17"/>
                <w:szCs w:val="17"/>
                <w:color w:val="auto"/>
              </w:rPr>
            </w:pPr>
          </w:p>
        </w:tc>
        <w:tc>
          <w:tcPr>
            <w:tcW w:w="200" w:type="dxa"/>
            <w:vAlign w:val="bottom"/>
            <w:tcBorders>
              <w:bottom w:val="single" w:sz="8" w:color="35BF85"/>
            </w:tcBorders>
          </w:tcPr>
          <w:p>
            <w:pPr>
              <w:jc w:val="right"/>
              <w:spacing w:after="0" w:line="196" w:lineRule="exact"/>
              <w:rPr>
                <w:sz w:val="20"/>
                <w:szCs w:val="20"/>
                <w:color w:val="auto"/>
              </w:rPr>
            </w:pPr>
            <w:r>
              <w:rPr>
                <w:rFonts w:ascii="Arial" w:cs="Arial" w:eastAsia="Arial" w:hAnsi="Arial"/>
                <w:sz w:val="18"/>
                <w:szCs w:val="18"/>
                <w:b w:val="1"/>
                <w:bCs w:val="1"/>
                <w:color w:val="auto"/>
              </w:rPr>
              <w:t>$</w:t>
            </w:r>
          </w:p>
        </w:tc>
        <w:tc>
          <w:tcPr>
            <w:tcW w:w="660" w:type="dxa"/>
            <w:vAlign w:val="bottom"/>
            <w:tcBorders>
              <w:bottom w:val="single" w:sz="8" w:color="35BF85"/>
            </w:tcBorders>
          </w:tcPr>
          <w:p>
            <w:pPr>
              <w:jc w:val="right"/>
              <w:ind w:right="34"/>
              <w:spacing w:after="0" w:line="196" w:lineRule="exact"/>
              <w:rPr>
                <w:sz w:val="20"/>
                <w:szCs w:val="20"/>
                <w:color w:val="auto"/>
              </w:rPr>
            </w:pPr>
            <w:r>
              <w:rPr>
                <w:rFonts w:ascii="Arial" w:cs="Arial" w:eastAsia="Arial" w:hAnsi="Arial"/>
                <w:sz w:val="18"/>
                <w:szCs w:val="18"/>
                <w:b w:val="1"/>
                <w:bCs w:val="1"/>
                <w:color w:val="auto"/>
                <w:w w:val="94"/>
              </w:rPr>
              <w:t>27,992</w:t>
            </w:r>
          </w:p>
        </w:tc>
        <w:tc>
          <w:tcPr>
            <w:tcW w:w="240" w:type="dxa"/>
            <w:vAlign w:val="bottom"/>
            <w:tcBorders>
              <w:bottom w:val="single" w:sz="8" w:color="35BF85"/>
            </w:tcBorders>
          </w:tcPr>
          <w:p>
            <w:pPr>
              <w:jc w:val="right"/>
              <w:spacing w:after="0" w:line="196" w:lineRule="exact"/>
              <w:rPr>
                <w:sz w:val="20"/>
                <w:szCs w:val="20"/>
                <w:color w:val="auto"/>
              </w:rPr>
            </w:pPr>
            <w:r>
              <w:rPr>
                <w:rFonts w:ascii="Arial" w:cs="Arial" w:eastAsia="Arial" w:hAnsi="Arial"/>
                <w:sz w:val="18"/>
                <w:szCs w:val="18"/>
                <w:color w:val="auto"/>
              </w:rPr>
              <w:t>$</w:t>
            </w:r>
          </w:p>
        </w:tc>
        <w:tc>
          <w:tcPr>
            <w:tcW w:w="800" w:type="dxa"/>
            <w:vAlign w:val="bottom"/>
            <w:tcBorders>
              <w:bottom w:val="single" w:sz="8" w:color="35BF85"/>
            </w:tcBorders>
          </w:tcPr>
          <w:p>
            <w:pPr>
              <w:jc w:val="right"/>
              <w:ind w:right="174"/>
              <w:spacing w:after="0" w:line="196" w:lineRule="exact"/>
              <w:rPr>
                <w:sz w:val="20"/>
                <w:szCs w:val="20"/>
                <w:color w:val="auto"/>
              </w:rPr>
            </w:pPr>
            <w:r>
              <w:rPr>
                <w:rFonts w:ascii="Arial" w:cs="Arial" w:eastAsia="Arial" w:hAnsi="Arial"/>
                <w:sz w:val="18"/>
                <w:szCs w:val="18"/>
                <w:color w:val="auto"/>
                <w:w w:val="94"/>
              </w:rPr>
              <w:t>21,682</w:t>
            </w:r>
          </w:p>
        </w:tc>
        <w:tc>
          <w:tcPr>
            <w:tcW w:w="0" w:type="dxa"/>
            <w:vAlign w:val="bottom"/>
          </w:tcPr>
          <w:p>
            <w:pPr>
              <w:spacing w:after="0"/>
              <w:rPr>
                <w:sz w:val="1"/>
                <w:szCs w:val="1"/>
                <w:color w:val="auto"/>
              </w:rPr>
            </w:pPr>
          </w:p>
        </w:tc>
      </w:tr>
    </w:tbl>
    <w:p>
      <w:pPr>
        <w:spacing w:after="0" w:line="165" w:lineRule="exact"/>
        <w:rPr>
          <w:sz w:val="20"/>
          <w:szCs w:val="20"/>
          <w:color w:val="auto"/>
        </w:rPr>
      </w:pPr>
    </w:p>
    <w:p>
      <w:pPr>
        <w:jc w:val="both"/>
        <w:spacing w:after="0" w:line="239" w:lineRule="auto"/>
        <w:rPr>
          <w:sz w:val="20"/>
          <w:szCs w:val="20"/>
          <w:color w:val="auto"/>
        </w:rPr>
      </w:pPr>
      <w:r>
        <w:rPr>
          <w:rFonts w:ascii="Arial" w:cs="Arial" w:eastAsia="Arial" w:hAnsi="Arial"/>
          <w:sz w:val="18"/>
          <w:szCs w:val="18"/>
          <w:color w:val="auto"/>
        </w:rPr>
        <w:t>As of December 31, 2006, maturities of long-term debt outstanding were as follows:</w:t>
      </w:r>
    </w:p>
    <w:p>
      <w:pPr>
        <w:spacing w:after="0" w:line="180"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820" w:type="dxa"/>
            <w:vAlign w:val="bottom"/>
            <w:tcBorders>
              <w:bottom w:val="single" w:sz="8" w:color="auto"/>
            </w:tcBorders>
          </w:tcPr>
          <w:p>
            <w:pPr>
              <w:ind w:left="20"/>
              <w:spacing w:after="0"/>
              <w:rPr>
                <w:sz w:val="20"/>
                <w:szCs w:val="20"/>
                <w:color w:val="auto"/>
              </w:rPr>
            </w:pPr>
            <w:r>
              <w:rPr>
                <w:rFonts w:ascii="Arial" w:cs="Arial" w:eastAsia="Arial" w:hAnsi="Arial"/>
                <w:sz w:val="14"/>
                <w:szCs w:val="14"/>
                <w:color w:val="auto"/>
              </w:rPr>
              <w:t>(in millions)</w:t>
            </w:r>
          </w:p>
        </w:tc>
        <w:tc>
          <w:tcPr>
            <w:tcW w:w="266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Maturities</w:t>
            </w:r>
          </w:p>
        </w:tc>
      </w:tr>
      <w:tr>
        <w:trPr>
          <w:trHeight w:val="199"/>
        </w:trPr>
        <w:tc>
          <w:tcPr>
            <w:tcW w:w="2820" w:type="dxa"/>
            <w:vAlign w:val="bottom"/>
          </w:tcPr>
          <w:p>
            <w:pPr>
              <w:ind w:left="20"/>
              <w:spacing w:after="0" w:line="200" w:lineRule="exact"/>
              <w:rPr>
                <w:sz w:val="20"/>
                <w:szCs w:val="20"/>
                <w:color w:val="auto"/>
              </w:rPr>
            </w:pPr>
            <w:r>
              <w:rPr>
                <w:rFonts w:ascii="Arial" w:cs="Arial" w:eastAsia="Arial" w:hAnsi="Arial"/>
                <w:sz w:val="18"/>
                <w:szCs w:val="18"/>
                <w:color w:val="auto"/>
              </w:rPr>
              <w:t>2007</w:t>
            </w:r>
          </w:p>
        </w:tc>
        <w:tc>
          <w:tcPr>
            <w:tcW w:w="2660" w:type="dxa"/>
            <w:vAlign w:val="bottom"/>
          </w:tcPr>
          <w:p>
            <w:pPr>
              <w:jc w:val="right"/>
              <w:spacing w:after="0" w:line="200" w:lineRule="exact"/>
              <w:rPr>
                <w:sz w:val="20"/>
                <w:szCs w:val="20"/>
                <w:color w:val="auto"/>
              </w:rPr>
            </w:pPr>
            <w:r>
              <w:rPr>
                <w:rFonts w:ascii="Arial" w:cs="Arial" w:eastAsia="Arial" w:hAnsi="Arial"/>
                <w:sz w:val="18"/>
                <w:szCs w:val="18"/>
                <w:color w:val="auto"/>
              </w:rPr>
              <w:t>$   983</w:t>
            </w:r>
          </w:p>
        </w:tc>
      </w:tr>
      <w:tr>
        <w:trPr>
          <w:trHeight w:val="203"/>
        </w:trPr>
        <w:tc>
          <w:tcPr>
            <w:tcW w:w="2820" w:type="dxa"/>
            <w:vAlign w:val="bottom"/>
          </w:tcPr>
          <w:p>
            <w:pPr>
              <w:ind w:left="20"/>
              <w:spacing w:after="0" w:line="202" w:lineRule="exact"/>
              <w:rPr>
                <w:sz w:val="20"/>
                <w:szCs w:val="20"/>
                <w:color w:val="auto"/>
              </w:rPr>
            </w:pPr>
            <w:r>
              <w:rPr>
                <w:rFonts w:ascii="Arial" w:cs="Arial" w:eastAsia="Arial" w:hAnsi="Arial"/>
                <w:sz w:val="18"/>
                <w:szCs w:val="18"/>
                <w:color w:val="auto"/>
              </w:rPr>
              <w:t>2008</w:t>
            </w:r>
          </w:p>
        </w:tc>
        <w:tc>
          <w:tcPr>
            <w:tcW w:w="2660" w:type="dxa"/>
            <w:vAlign w:val="bottom"/>
          </w:tcPr>
          <w:p>
            <w:pPr>
              <w:jc w:val="right"/>
              <w:spacing w:after="0" w:line="202" w:lineRule="exact"/>
              <w:rPr>
                <w:sz w:val="20"/>
                <w:szCs w:val="20"/>
                <w:color w:val="auto"/>
              </w:rPr>
            </w:pPr>
            <w:r>
              <w:rPr>
                <w:rFonts w:ascii="Arial" w:cs="Arial" w:eastAsia="Arial" w:hAnsi="Arial"/>
                <w:sz w:val="18"/>
                <w:szCs w:val="18"/>
                <w:color w:val="auto"/>
              </w:rPr>
              <w:t>1,668</w:t>
            </w:r>
          </w:p>
        </w:tc>
      </w:tr>
      <w:tr>
        <w:trPr>
          <w:trHeight w:val="203"/>
        </w:trPr>
        <w:tc>
          <w:tcPr>
            <w:tcW w:w="2820" w:type="dxa"/>
            <w:vAlign w:val="bottom"/>
          </w:tcPr>
          <w:p>
            <w:pPr>
              <w:ind w:left="20"/>
              <w:spacing w:after="0" w:line="202" w:lineRule="exact"/>
              <w:rPr>
                <w:sz w:val="20"/>
                <w:szCs w:val="20"/>
                <w:color w:val="auto"/>
              </w:rPr>
            </w:pPr>
            <w:r>
              <w:rPr>
                <w:rFonts w:ascii="Arial" w:cs="Arial" w:eastAsia="Arial" w:hAnsi="Arial"/>
                <w:sz w:val="18"/>
                <w:szCs w:val="18"/>
                <w:color w:val="auto"/>
              </w:rPr>
              <w:t>2009</w:t>
            </w:r>
          </w:p>
        </w:tc>
        <w:tc>
          <w:tcPr>
            <w:tcW w:w="2660" w:type="dxa"/>
            <w:vAlign w:val="bottom"/>
          </w:tcPr>
          <w:p>
            <w:pPr>
              <w:jc w:val="right"/>
              <w:spacing w:after="0" w:line="202" w:lineRule="exact"/>
              <w:rPr>
                <w:sz w:val="20"/>
                <w:szCs w:val="20"/>
                <w:color w:val="auto"/>
              </w:rPr>
            </w:pPr>
            <w:r>
              <w:rPr>
                <w:rFonts w:ascii="Arial" w:cs="Arial" w:eastAsia="Arial" w:hAnsi="Arial"/>
                <w:sz w:val="18"/>
                <w:szCs w:val="18"/>
                <w:color w:val="auto"/>
              </w:rPr>
              <w:t>2,249</w:t>
            </w:r>
          </w:p>
        </w:tc>
      </w:tr>
      <w:tr>
        <w:trPr>
          <w:trHeight w:val="203"/>
        </w:trPr>
        <w:tc>
          <w:tcPr>
            <w:tcW w:w="2820" w:type="dxa"/>
            <w:vAlign w:val="bottom"/>
          </w:tcPr>
          <w:p>
            <w:pPr>
              <w:ind w:left="20"/>
              <w:spacing w:after="0" w:line="202" w:lineRule="exact"/>
              <w:rPr>
                <w:sz w:val="20"/>
                <w:szCs w:val="20"/>
                <w:color w:val="auto"/>
              </w:rPr>
            </w:pPr>
            <w:r>
              <w:rPr>
                <w:rFonts w:ascii="Arial" w:cs="Arial" w:eastAsia="Arial" w:hAnsi="Arial"/>
                <w:sz w:val="18"/>
                <w:szCs w:val="18"/>
                <w:color w:val="auto"/>
              </w:rPr>
              <w:t>2010</w:t>
            </w:r>
          </w:p>
        </w:tc>
        <w:tc>
          <w:tcPr>
            <w:tcW w:w="2660" w:type="dxa"/>
            <w:vAlign w:val="bottom"/>
          </w:tcPr>
          <w:p>
            <w:pPr>
              <w:jc w:val="right"/>
              <w:spacing w:after="0" w:line="202" w:lineRule="exact"/>
              <w:rPr>
                <w:sz w:val="20"/>
                <w:szCs w:val="20"/>
                <w:color w:val="auto"/>
              </w:rPr>
            </w:pPr>
            <w:r>
              <w:rPr>
                <w:rFonts w:ascii="Arial" w:cs="Arial" w:eastAsia="Arial" w:hAnsi="Arial"/>
                <w:sz w:val="18"/>
                <w:szCs w:val="18"/>
                <w:color w:val="auto"/>
              </w:rPr>
              <w:t>1,320</w:t>
            </w:r>
          </w:p>
        </w:tc>
      </w:tr>
      <w:tr>
        <w:trPr>
          <w:trHeight w:val="203"/>
        </w:trPr>
        <w:tc>
          <w:tcPr>
            <w:tcW w:w="2820" w:type="dxa"/>
            <w:vAlign w:val="bottom"/>
          </w:tcPr>
          <w:p>
            <w:pPr>
              <w:ind w:left="20"/>
              <w:spacing w:after="0" w:line="202" w:lineRule="exact"/>
              <w:rPr>
                <w:sz w:val="20"/>
                <w:szCs w:val="20"/>
                <w:color w:val="auto"/>
              </w:rPr>
            </w:pPr>
            <w:r>
              <w:rPr>
                <w:rFonts w:ascii="Arial" w:cs="Arial" w:eastAsia="Arial" w:hAnsi="Arial"/>
                <w:sz w:val="18"/>
                <w:szCs w:val="18"/>
                <w:color w:val="auto"/>
              </w:rPr>
              <w:t>2011</w:t>
            </w:r>
          </w:p>
        </w:tc>
        <w:tc>
          <w:tcPr>
            <w:tcW w:w="2660" w:type="dxa"/>
            <w:vAlign w:val="bottom"/>
          </w:tcPr>
          <w:p>
            <w:pPr>
              <w:jc w:val="right"/>
              <w:spacing w:after="0" w:line="202" w:lineRule="exact"/>
              <w:rPr>
                <w:sz w:val="20"/>
                <w:szCs w:val="20"/>
                <w:color w:val="auto"/>
              </w:rPr>
            </w:pPr>
            <w:r>
              <w:rPr>
                <w:rFonts w:ascii="Arial" w:cs="Arial" w:eastAsia="Arial" w:hAnsi="Arial"/>
                <w:sz w:val="18"/>
                <w:szCs w:val="18"/>
                <w:color w:val="auto"/>
              </w:rPr>
              <w:t>1,767</w:t>
            </w:r>
          </w:p>
        </w:tc>
      </w:tr>
      <w:tr>
        <w:trPr>
          <w:trHeight w:val="199"/>
        </w:trPr>
        <w:tc>
          <w:tcPr>
            <w:tcW w:w="2820" w:type="dxa"/>
            <w:vAlign w:val="bottom"/>
            <w:tcBorders>
              <w:bottom w:val="single" w:sz="8" w:color="35BF85"/>
            </w:tcBorders>
          </w:tcPr>
          <w:p>
            <w:pPr>
              <w:ind w:left="20"/>
              <w:spacing w:after="0" w:line="200" w:lineRule="exact"/>
              <w:rPr>
                <w:sz w:val="20"/>
                <w:szCs w:val="20"/>
                <w:color w:val="auto"/>
              </w:rPr>
            </w:pPr>
            <w:r>
              <w:rPr>
                <w:rFonts w:ascii="Arial" w:cs="Arial" w:eastAsia="Arial" w:hAnsi="Arial"/>
                <w:sz w:val="18"/>
                <w:szCs w:val="18"/>
                <w:color w:val="auto"/>
              </w:rPr>
              <w:t>Thereafter</w:t>
            </w:r>
          </w:p>
        </w:tc>
        <w:tc>
          <w:tcPr>
            <w:tcW w:w="2660" w:type="dxa"/>
            <w:vAlign w:val="bottom"/>
            <w:tcBorders>
              <w:bottom w:val="single" w:sz="8" w:color="35BF85"/>
            </w:tcBorders>
          </w:tcPr>
          <w:p>
            <w:pPr>
              <w:jc w:val="right"/>
              <w:spacing w:after="0" w:line="200" w:lineRule="exact"/>
              <w:rPr>
                <w:sz w:val="20"/>
                <w:szCs w:val="20"/>
                <w:color w:val="auto"/>
              </w:rPr>
            </w:pPr>
            <w:r>
              <w:rPr>
                <w:rFonts w:ascii="Arial" w:cs="Arial" w:eastAsia="Arial" w:hAnsi="Arial"/>
                <w:sz w:val="18"/>
                <w:szCs w:val="18"/>
                <w:color w:val="auto"/>
              </w:rPr>
              <w:t>20,988</w:t>
            </w:r>
          </w:p>
        </w:tc>
      </w:tr>
    </w:tbl>
    <w:p>
      <w:pPr>
        <w:spacing w:after="0" w:line="14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Guarantee Structures</w:t>
      </w:r>
    </w:p>
    <w:p>
      <w:pPr>
        <w:spacing w:after="0" w:line="18" w:lineRule="exact"/>
        <w:rPr>
          <w:sz w:val="20"/>
          <w:szCs w:val="20"/>
          <w:color w:val="auto"/>
        </w:rPr>
      </w:pPr>
    </w:p>
    <w:p>
      <w:pPr>
        <w:jc w:val="both"/>
        <w:spacing w:after="0" w:line="236" w:lineRule="auto"/>
        <w:rPr>
          <w:sz w:val="20"/>
          <w:szCs w:val="20"/>
          <w:color w:val="auto"/>
        </w:rPr>
      </w:pPr>
      <w:r>
        <w:rPr>
          <w:rFonts w:ascii="Arial" w:cs="Arial" w:eastAsia="Arial" w:hAnsi="Arial"/>
          <w:sz w:val="18"/>
          <w:szCs w:val="18"/>
          <w:color w:val="auto"/>
        </w:rPr>
        <w:t>Comcast Corporation (our parent corporation) and a number of our wholly owned subsidiaries that hold substantially all of our cable assets have unconditionally guaranteed each other’s debt securities and indebtedness for borrowed money, including amounts outstanding under our $5.0 billion revolving bank credit facility. As of December 31, 2006, $27.141 billion of our debt was included in this cross-guarantee structure.</w:t>
      </w:r>
    </w:p>
    <w:p>
      <w:pPr>
        <w:spacing w:after="0" w:line="155" w:lineRule="exact"/>
        <w:rPr>
          <w:sz w:val="20"/>
          <w:szCs w:val="20"/>
          <w:color w:val="auto"/>
        </w:rPr>
      </w:pPr>
    </w:p>
    <w:p>
      <w:pPr>
        <w:jc w:val="both"/>
        <w:spacing w:after="0" w:line="238" w:lineRule="auto"/>
        <w:rPr>
          <w:sz w:val="20"/>
          <w:szCs w:val="20"/>
          <w:color w:val="auto"/>
        </w:rPr>
      </w:pPr>
      <w:r>
        <w:rPr>
          <w:rFonts w:ascii="Arial" w:cs="Arial" w:eastAsia="Arial" w:hAnsi="Arial"/>
          <w:sz w:val="18"/>
          <w:szCs w:val="18"/>
          <w:color w:val="auto"/>
        </w:rPr>
        <w:t>Comcast Holdings Corporation (“Comcast Holdings”), our wholly owned subsidiary, is not part of the cross-guarantee structure. However, Comcast Corporation has unconditionally guaranteed</w:t>
      </w:r>
    </w:p>
    <w:p>
      <w:pPr>
        <w:spacing w:after="0"/>
        <w:rPr>
          <w:sz w:val="20"/>
          <w:szCs w:val="20"/>
          <w:color w:val="auto"/>
        </w:rPr>
      </w:pPr>
      <w:r>
        <w:rPr>
          <w:rFonts w:ascii="Arial" w:cs="Arial" w:eastAsia="Arial" w:hAnsi="Arial"/>
          <w:sz w:val="17"/>
          <w:szCs w:val="17"/>
          <w:color w:val="auto"/>
        </w:rPr>
        <w:t xml:space="preserve">Comcast Holdings’ ZONES due October 2029 and its 10 </w:t>
      </w:r>
      <w:r>
        <w:rPr>
          <w:rFonts w:ascii="Arial" w:cs="Arial" w:eastAsia="Arial" w:hAnsi="Arial"/>
          <w:sz w:val="21"/>
          <w:szCs w:val="21"/>
          <w:color w:val="auto"/>
          <w:vertAlign w:val="superscript"/>
        </w:rPr>
        <w:t>5</w:t>
      </w:r>
      <w:r>
        <w:rPr>
          <w:rFonts w:ascii="Arial" w:cs="Arial" w:eastAsia="Arial" w:hAnsi="Arial"/>
          <w:sz w:val="17"/>
          <w:szCs w:val="17"/>
          <w:color w:val="auto"/>
        </w:rPr>
        <w:t>/</w:t>
      </w:r>
      <w:r>
        <w:rPr>
          <w:rFonts w:ascii="Arial" w:cs="Arial" w:eastAsia="Arial" w:hAnsi="Arial"/>
          <w:sz w:val="21"/>
          <w:szCs w:val="21"/>
          <w:color w:val="auto"/>
          <w:vertAlign w:val="subscript"/>
        </w:rPr>
        <w:t>8</w:t>
      </w:r>
      <w:r>
        <w:rPr>
          <w:rFonts w:ascii="Arial" w:cs="Arial" w:eastAsia="Arial" w:hAnsi="Arial"/>
          <w:sz w:val="17"/>
          <w:szCs w:val="17"/>
          <w:color w:val="auto"/>
        </w:rPr>
        <w:t>% Senior</w:t>
      </w:r>
    </w:p>
    <w:p>
      <w:pPr>
        <w:spacing w:after="0" w:line="47" w:lineRule="exact"/>
        <w:rPr>
          <w:sz w:val="20"/>
          <w:szCs w:val="20"/>
          <w:color w:val="auto"/>
        </w:rPr>
      </w:pPr>
    </w:p>
    <w:p>
      <w:pPr>
        <w:jc w:val="both"/>
        <w:spacing w:after="0" w:line="238" w:lineRule="auto"/>
        <w:rPr>
          <w:sz w:val="20"/>
          <w:szCs w:val="20"/>
          <w:color w:val="auto"/>
        </w:rPr>
      </w:pPr>
      <w:r>
        <w:rPr>
          <w:rFonts w:ascii="Arial" w:cs="Arial" w:eastAsia="Arial" w:hAnsi="Arial"/>
          <w:sz w:val="18"/>
          <w:szCs w:val="18"/>
          <w:color w:val="auto"/>
        </w:rPr>
        <w:t>Subordinated Debentures due 2012, which totaled $683 million as of December 31, 2006. The Comcast Holdings guarantee is subordinate to the guarantees under the cross-guarantee structure.</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41" w:lineRule="exact"/>
        <w:rPr>
          <w:sz w:val="20"/>
          <w:szCs w:val="20"/>
          <w:color w:val="auto"/>
        </w:rPr>
      </w:pPr>
    </w:p>
    <w:p>
      <w:pPr>
        <w:ind w:left="140"/>
        <w:spacing w:after="0"/>
        <w:rPr>
          <w:sz w:val="20"/>
          <w:szCs w:val="20"/>
          <w:color w:val="auto"/>
        </w:rPr>
      </w:pPr>
      <w:r>
        <w:rPr>
          <w:rFonts w:ascii="Arial" w:cs="Arial" w:eastAsia="Arial" w:hAnsi="Arial"/>
          <w:sz w:val="18"/>
          <w:szCs w:val="18"/>
          <w:b w:val="1"/>
          <w:bCs w:val="1"/>
          <w:color w:val="auto"/>
        </w:rPr>
        <w:t>Debt Borrowings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-3602990</wp:posOffset>
            </wp:positionH>
            <wp:positionV relativeFrom="paragraph">
              <wp:posOffset>-753745</wp:posOffset>
            </wp:positionV>
            <wp:extent cx="7267575" cy="27940"/>
            <wp:wrapNone/>
            <wp:docPr id="197" name="Picture 1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7"/>
                    <pic:cNvPicPr>
                      <a:picLocks noChangeAspect="1" noChangeArrowheads="1"/>
                    </pic:cNvPicPr>
                  </pic:nvPicPr>
                  <pic:blipFill>
                    <a:blip r:embed="rId204">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p>
    <w:p>
      <w:pPr>
        <w:jc w:val="both"/>
        <w:ind w:left="140" w:right="140"/>
        <w:spacing w:after="0" w:line="239" w:lineRule="auto"/>
        <w:rPr>
          <w:sz w:val="20"/>
          <w:szCs w:val="20"/>
          <w:color w:val="auto"/>
        </w:rPr>
      </w:pPr>
      <w:r>
        <w:rPr>
          <w:rFonts w:ascii="Arial" w:cs="Arial" w:eastAsia="Arial" w:hAnsi="Arial"/>
          <w:sz w:val="18"/>
          <w:szCs w:val="18"/>
          <w:color w:val="auto"/>
        </w:rPr>
        <w:t>During 2006, we issued $7.485 billion aggregate principal amount of senior notes as follows:</w:t>
      </w:r>
    </w:p>
    <w:p>
      <w:pPr>
        <w:spacing w:after="0" w:line="180" w:lineRule="exact"/>
        <w:rPr>
          <w:sz w:val="20"/>
          <w:szCs w:val="20"/>
          <w:color w:val="auto"/>
        </w:rPr>
      </w:pPr>
    </w:p>
    <w:tbl>
      <w:tblPr>
        <w:tblLayout w:type="fixed"/>
        <w:tblInd w:w="140" w:type="dxa"/>
        <w:tblCellMar>
          <w:top w:w="0" w:type="dxa"/>
          <w:left w:w="0" w:type="dxa"/>
          <w:bottom w:w="0" w:type="dxa"/>
          <w:right w:w="0" w:type="dxa"/>
        </w:tblCellMar>
      </w:tblPr>
      <w:tr>
        <w:trPr>
          <w:trHeight w:val="161"/>
        </w:trPr>
        <w:tc>
          <w:tcPr>
            <w:tcW w:w="4260" w:type="dxa"/>
            <w:vAlign w:val="bottom"/>
            <w:tcBorders>
              <w:bottom w:val="single" w:sz="8" w:color="auto"/>
            </w:tcBorders>
          </w:tcPr>
          <w:p>
            <w:pPr>
              <w:spacing w:after="0"/>
              <w:rPr>
                <w:sz w:val="20"/>
                <w:szCs w:val="20"/>
                <w:color w:val="auto"/>
              </w:rPr>
            </w:pPr>
            <w:r>
              <w:rPr>
                <w:rFonts w:ascii="Arial" w:cs="Arial" w:eastAsia="Arial" w:hAnsi="Arial"/>
                <w:sz w:val="14"/>
                <w:szCs w:val="14"/>
                <w:color w:val="auto"/>
              </w:rPr>
              <w:t>(in millions)</w:t>
            </w:r>
          </w:p>
        </w:tc>
        <w:tc>
          <w:tcPr>
            <w:tcW w:w="122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Principal</w:t>
            </w:r>
          </w:p>
        </w:tc>
      </w:tr>
      <w:tr>
        <w:trPr>
          <w:trHeight w:val="199"/>
        </w:trPr>
        <w:tc>
          <w:tcPr>
            <w:tcW w:w="4260" w:type="dxa"/>
            <w:vAlign w:val="bottom"/>
          </w:tcPr>
          <w:p>
            <w:pPr>
              <w:spacing w:after="0" w:line="200" w:lineRule="exact"/>
              <w:rPr>
                <w:sz w:val="20"/>
                <w:szCs w:val="20"/>
                <w:color w:val="auto"/>
              </w:rPr>
            </w:pPr>
            <w:r>
              <w:rPr>
                <w:rFonts w:ascii="Arial" w:cs="Arial" w:eastAsia="Arial" w:hAnsi="Arial"/>
                <w:sz w:val="18"/>
                <w:szCs w:val="18"/>
                <w:color w:val="auto"/>
              </w:rPr>
              <w:t>Floating-rate notes (LIBOR + 0.3%), due 2009</w:t>
            </w:r>
          </w:p>
        </w:tc>
        <w:tc>
          <w:tcPr>
            <w:tcW w:w="1220" w:type="dxa"/>
            <w:vAlign w:val="bottom"/>
          </w:tcPr>
          <w:p>
            <w:pPr>
              <w:jc w:val="right"/>
              <w:spacing w:after="0" w:line="200" w:lineRule="exact"/>
              <w:rPr>
                <w:sz w:val="20"/>
                <w:szCs w:val="20"/>
                <w:color w:val="auto"/>
              </w:rPr>
            </w:pPr>
            <w:r>
              <w:rPr>
                <w:rFonts w:ascii="Arial" w:cs="Arial" w:eastAsia="Arial" w:hAnsi="Arial"/>
                <w:sz w:val="18"/>
                <w:szCs w:val="18"/>
                <w:color w:val="auto"/>
              </w:rPr>
              <w:t>$1,250</w:t>
            </w:r>
          </w:p>
        </w:tc>
      </w:tr>
      <w:tr>
        <w:trPr>
          <w:trHeight w:val="203"/>
        </w:trPr>
        <w:tc>
          <w:tcPr>
            <w:tcW w:w="4260" w:type="dxa"/>
            <w:vAlign w:val="bottom"/>
          </w:tcPr>
          <w:p>
            <w:pPr>
              <w:spacing w:after="0" w:line="202" w:lineRule="exact"/>
              <w:rPr>
                <w:sz w:val="20"/>
                <w:szCs w:val="20"/>
                <w:color w:val="auto"/>
              </w:rPr>
            </w:pPr>
            <w:r>
              <w:rPr>
                <w:rFonts w:ascii="Arial" w:cs="Arial" w:eastAsia="Arial" w:hAnsi="Arial"/>
                <w:sz w:val="18"/>
                <w:szCs w:val="18"/>
                <w:color w:val="auto"/>
              </w:rPr>
              <w:t>5.90% Senior notes, due 2016</w:t>
            </w:r>
          </w:p>
        </w:tc>
        <w:tc>
          <w:tcPr>
            <w:tcW w:w="1220" w:type="dxa"/>
            <w:vAlign w:val="bottom"/>
          </w:tcPr>
          <w:p>
            <w:pPr>
              <w:jc w:val="right"/>
              <w:spacing w:after="0" w:line="202" w:lineRule="exact"/>
              <w:rPr>
                <w:sz w:val="20"/>
                <w:szCs w:val="20"/>
                <w:color w:val="auto"/>
              </w:rPr>
            </w:pPr>
            <w:r>
              <w:rPr>
                <w:rFonts w:ascii="Arial" w:cs="Arial" w:eastAsia="Arial" w:hAnsi="Arial"/>
                <w:sz w:val="18"/>
                <w:szCs w:val="18"/>
                <w:color w:val="auto"/>
              </w:rPr>
              <w:t>1,000</w:t>
            </w:r>
          </w:p>
        </w:tc>
      </w:tr>
      <w:tr>
        <w:trPr>
          <w:trHeight w:val="203"/>
        </w:trPr>
        <w:tc>
          <w:tcPr>
            <w:tcW w:w="4260" w:type="dxa"/>
            <w:vAlign w:val="bottom"/>
          </w:tcPr>
          <w:p>
            <w:pPr>
              <w:spacing w:after="0" w:line="202" w:lineRule="exact"/>
              <w:rPr>
                <w:sz w:val="20"/>
                <w:szCs w:val="20"/>
                <w:color w:val="auto"/>
              </w:rPr>
            </w:pPr>
            <w:r>
              <w:rPr>
                <w:rFonts w:ascii="Arial" w:cs="Arial" w:eastAsia="Arial" w:hAnsi="Arial"/>
                <w:sz w:val="18"/>
                <w:szCs w:val="18"/>
                <w:color w:val="auto"/>
              </w:rPr>
              <w:t>6.50% Senior notes, due 2017</w:t>
            </w:r>
          </w:p>
        </w:tc>
        <w:tc>
          <w:tcPr>
            <w:tcW w:w="1220" w:type="dxa"/>
            <w:vAlign w:val="bottom"/>
          </w:tcPr>
          <w:p>
            <w:pPr>
              <w:jc w:val="right"/>
              <w:spacing w:after="0" w:line="202" w:lineRule="exact"/>
              <w:rPr>
                <w:sz w:val="20"/>
                <w:szCs w:val="20"/>
                <w:color w:val="auto"/>
              </w:rPr>
            </w:pPr>
            <w:r>
              <w:rPr>
                <w:rFonts w:ascii="Arial" w:cs="Arial" w:eastAsia="Arial" w:hAnsi="Arial"/>
                <w:sz w:val="18"/>
                <w:szCs w:val="18"/>
                <w:color w:val="auto"/>
              </w:rPr>
              <w:t>1,000</w:t>
            </w:r>
          </w:p>
        </w:tc>
      </w:tr>
      <w:tr>
        <w:trPr>
          <w:trHeight w:val="203"/>
        </w:trPr>
        <w:tc>
          <w:tcPr>
            <w:tcW w:w="4260" w:type="dxa"/>
            <w:vAlign w:val="bottom"/>
          </w:tcPr>
          <w:p>
            <w:pPr>
              <w:spacing w:after="0" w:line="202" w:lineRule="exact"/>
              <w:rPr>
                <w:sz w:val="20"/>
                <w:szCs w:val="20"/>
                <w:color w:val="auto"/>
              </w:rPr>
            </w:pPr>
            <w:r>
              <w:rPr>
                <w:rFonts w:ascii="Arial" w:cs="Arial" w:eastAsia="Arial" w:hAnsi="Arial"/>
                <w:sz w:val="18"/>
                <w:szCs w:val="18"/>
                <w:color w:val="auto"/>
              </w:rPr>
              <w:t>5.875% Senior notes, due 2018</w:t>
            </w:r>
          </w:p>
        </w:tc>
        <w:tc>
          <w:tcPr>
            <w:tcW w:w="1220" w:type="dxa"/>
            <w:vAlign w:val="bottom"/>
          </w:tcPr>
          <w:p>
            <w:pPr>
              <w:jc w:val="right"/>
              <w:spacing w:after="0" w:line="202" w:lineRule="exact"/>
              <w:rPr>
                <w:sz w:val="20"/>
                <w:szCs w:val="20"/>
                <w:color w:val="auto"/>
              </w:rPr>
            </w:pPr>
            <w:r>
              <w:rPr>
                <w:rFonts w:ascii="Arial" w:cs="Arial" w:eastAsia="Arial" w:hAnsi="Arial"/>
                <w:sz w:val="18"/>
                <w:szCs w:val="18"/>
                <w:color w:val="auto"/>
              </w:rPr>
              <w:t>900</w:t>
            </w:r>
          </w:p>
        </w:tc>
      </w:tr>
      <w:tr>
        <w:trPr>
          <w:trHeight w:val="203"/>
        </w:trPr>
        <w:tc>
          <w:tcPr>
            <w:tcW w:w="4260" w:type="dxa"/>
            <w:vAlign w:val="bottom"/>
          </w:tcPr>
          <w:p>
            <w:pPr>
              <w:spacing w:after="0" w:line="202" w:lineRule="exact"/>
              <w:rPr>
                <w:sz w:val="20"/>
                <w:szCs w:val="20"/>
                <w:color w:val="auto"/>
              </w:rPr>
            </w:pPr>
            <w:r>
              <w:rPr>
                <w:rFonts w:ascii="Arial" w:cs="Arial" w:eastAsia="Arial" w:hAnsi="Arial"/>
                <w:sz w:val="18"/>
                <w:szCs w:val="18"/>
                <w:color w:val="auto"/>
              </w:rPr>
              <w:t>6.45% Senior notes, due 2037</w:t>
            </w:r>
          </w:p>
        </w:tc>
        <w:tc>
          <w:tcPr>
            <w:tcW w:w="1220" w:type="dxa"/>
            <w:vAlign w:val="bottom"/>
          </w:tcPr>
          <w:p>
            <w:pPr>
              <w:jc w:val="right"/>
              <w:spacing w:after="0" w:line="202" w:lineRule="exact"/>
              <w:rPr>
                <w:sz w:val="20"/>
                <w:szCs w:val="20"/>
                <w:color w:val="auto"/>
              </w:rPr>
            </w:pPr>
            <w:r>
              <w:rPr>
                <w:rFonts w:ascii="Arial" w:cs="Arial" w:eastAsia="Arial" w:hAnsi="Arial"/>
                <w:sz w:val="18"/>
                <w:szCs w:val="18"/>
                <w:color w:val="auto"/>
              </w:rPr>
              <w:t>1,865</w:t>
            </w:r>
          </w:p>
        </w:tc>
      </w:tr>
      <w:tr>
        <w:trPr>
          <w:trHeight w:val="199"/>
        </w:trPr>
        <w:tc>
          <w:tcPr>
            <w:tcW w:w="4260" w:type="dxa"/>
            <w:vAlign w:val="bottom"/>
            <w:tcBorders>
              <w:bottom w:val="single" w:sz="8" w:color="auto"/>
            </w:tcBorders>
          </w:tcPr>
          <w:p>
            <w:pPr>
              <w:spacing w:after="0" w:line="200" w:lineRule="exact"/>
              <w:rPr>
                <w:sz w:val="20"/>
                <w:szCs w:val="20"/>
                <w:color w:val="auto"/>
              </w:rPr>
            </w:pPr>
            <w:r>
              <w:rPr>
                <w:rFonts w:ascii="Arial" w:cs="Arial" w:eastAsia="Arial" w:hAnsi="Arial"/>
                <w:sz w:val="18"/>
                <w:szCs w:val="18"/>
                <w:color w:val="auto"/>
              </w:rPr>
              <w:t>7.00% Senior notes, due 2055</w:t>
            </w:r>
          </w:p>
        </w:tc>
        <w:tc>
          <w:tcPr>
            <w:tcW w:w="1220" w:type="dxa"/>
            <w:vAlign w:val="bottom"/>
            <w:tcBorders>
              <w:bottom w:val="single" w:sz="8" w:color="auto"/>
            </w:tcBorders>
          </w:tcPr>
          <w:p>
            <w:pPr>
              <w:jc w:val="right"/>
              <w:spacing w:after="0" w:line="200" w:lineRule="exact"/>
              <w:rPr>
                <w:sz w:val="20"/>
                <w:szCs w:val="20"/>
                <w:color w:val="auto"/>
              </w:rPr>
            </w:pPr>
            <w:r>
              <w:rPr>
                <w:rFonts w:ascii="Arial" w:cs="Arial" w:eastAsia="Arial" w:hAnsi="Arial"/>
                <w:sz w:val="18"/>
                <w:szCs w:val="18"/>
                <w:color w:val="auto"/>
              </w:rPr>
              <w:t>1,470</w:t>
            </w:r>
          </w:p>
        </w:tc>
      </w:tr>
      <w:tr>
        <w:trPr>
          <w:trHeight w:val="196"/>
        </w:trPr>
        <w:tc>
          <w:tcPr>
            <w:tcW w:w="4260" w:type="dxa"/>
            <w:vAlign w:val="bottom"/>
            <w:tcBorders>
              <w:bottom w:val="single" w:sz="8" w:color="35BF85"/>
            </w:tcBorders>
          </w:tcPr>
          <w:p>
            <w:pPr>
              <w:spacing w:after="0"/>
              <w:rPr>
                <w:sz w:val="17"/>
                <w:szCs w:val="17"/>
                <w:color w:val="auto"/>
              </w:rPr>
            </w:pPr>
          </w:p>
        </w:tc>
        <w:tc>
          <w:tcPr>
            <w:tcW w:w="1220" w:type="dxa"/>
            <w:vAlign w:val="bottom"/>
            <w:tcBorders>
              <w:bottom w:val="single" w:sz="8" w:color="35BF85"/>
            </w:tcBorders>
          </w:tcPr>
          <w:p>
            <w:pPr>
              <w:jc w:val="right"/>
              <w:spacing w:after="0" w:line="196" w:lineRule="exact"/>
              <w:rPr>
                <w:sz w:val="20"/>
                <w:szCs w:val="20"/>
                <w:color w:val="auto"/>
              </w:rPr>
            </w:pPr>
            <w:r>
              <w:rPr>
                <w:rFonts w:ascii="Arial" w:cs="Arial" w:eastAsia="Arial" w:hAnsi="Arial"/>
                <w:sz w:val="18"/>
                <w:szCs w:val="18"/>
                <w:color w:val="auto"/>
              </w:rPr>
              <w:t>$7,485</w:t>
            </w:r>
          </w:p>
        </w:tc>
      </w:tr>
    </w:tbl>
    <w:p>
      <w:pPr>
        <w:spacing w:after="0" w:line="165" w:lineRule="exact"/>
        <w:rPr>
          <w:sz w:val="20"/>
          <w:szCs w:val="20"/>
          <w:color w:val="auto"/>
        </w:rPr>
      </w:pPr>
    </w:p>
    <w:p>
      <w:pPr>
        <w:jc w:val="both"/>
        <w:ind w:left="140" w:right="120"/>
        <w:spacing w:after="0" w:line="236" w:lineRule="auto"/>
        <w:rPr>
          <w:rFonts w:ascii="Arial" w:cs="Arial" w:eastAsia="Arial" w:hAnsi="Arial"/>
          <w:sz w:val="18"/>
          <w:szCs w:val="18"/>
          <w:color w:val="auto"/>
        </w:rPr>
      </w:pPr>
      <w:r>
        <w:rPr>
          <w:rFonts w:ascii="Arial" w:cs="Arial" w:eastAsia="Arial" w:hAnsi="Arial"/>
          <w:sz w:val="18"/>
          <w:szCs w:val="18"/>
          <w:color w:val="auto"/>
        </w:rPr>
        <w:t xml:space="preserve">We used the net proceeds of these offerings for working capital and general corporate purposes, including the repayment of commercial paper obligations (see below), the Adelphia and Time Warner transactions, the refinancing of debt associated with the Houston Asset Pool, and the acquisition of the remaining portion of E! Entertainment Television that we did not already own (see </w:t>
      </w:r>
      <w:hyperlink w:anchor="page126">
        <w:r>
          <w:rPr>
            <w:rFonts w:ascii="Arial" w:cs="Arial" w:eastAsia="Arial" w:hAnsi="Arial"/>
            <w:sz w:val="18"/>
            <w:szCs w:val="18"/>
            <w:u w:val="single" w:color="auto"/>
            <w:color w:val="0000EE"/>
          </w:rPr>
          <w:t>Note 5</w:t>
        </w:r>
      </w:hyperlink>
      <w:r>
        <w:rPr>
          <w:rFonts w:ascii="Arial" w:cs="Arial" w:eastAsia="Arial" w:hAnsi="Arial"/>
          <w:sz w:val="18"/>
          <w:szCs w:val="18"/>
          <w:color w:val="auto"/>
        </w:rPr>
        <w:t>).</w:t>
      </w:r>
    </w:p>
    <w:p>
      <w:pPr>
        <w:spacing w:after="0" w:line="134" w:lineRule="exact"/>
        <w:rPr>
          <w:sz w:val="20"/>
          <w:szCs w:val="20"/>
          <w:color w:val="auto"/>
        </w:rPr>
      </w:pPr>
    </w:p>
    <w:p>
      <w:pPr>
        <w:ind w:left="140"/>
        <w:spacing w:after="0"/>
        <w:rPr>
          <w:sz w:val="20"/>
          <w:szCs w:val="20"/>
          <w:color w:val="auto"/>
        </w:rPr>
      </w:pPr>
      <w:r>
        <w:rPr>
          <w:rFonts w:ascii="Arial" w:cs="Arial" w:eastAsia="Arial" w:hAnsi="Arial"/>
          <w:sz w:val="18"/>
          <w:szCs w:val="18"/>
          <w:b w:val="1"/>
          <w:bCs w:val="1"/>
          <w:color w:val="auto"/>
        </w:rPr>
        <w:t>Debt Repayments</w:t>
      </w:r>
    </w:p>
    <w:p>
      <w:pPr>
        <w:spacing w:after="0" w:line="18" w:lineRule="exact"/>
        <w:rPr>
          <w:sz w:val="20"/>
          <w:szCs w:val="20"/>
          <w:color w:val="auto"/>
        </w:rPr>
      </w:pPr>
    </w:p>
    <w:p>
      <w:pPr>
        <w:jc w:val="both"/>
        <w:ind w:left="140" w:right="120"/>
        <w:spacing w:after="0" w:line="238" w:lineRule="auto"/>
        <w:rPr>
          <w:sz w:val="20"/>
          <w:szCs w:val="20"/>
          <w:color w:val="auto"/>
        </w:rPr>
      </w:pPr>
      <w:r>
        <w:rPr>
          <w:rFonts w:ascii="Arial" w:cs="Arial" w:eastAsia="Arial" w:hAnsi="Arial"/>
          <w:sz w:val="18"/>
          <w:szCs w:val="18"/>
          <w:color w:val="auto"/>
        </w:rPr>
        <w:t>During 2006, we repaid $1.607 billion aggregate principal amount of senior notes and senior subordinated notes at their scheduled maturity dates as follows:</w:t>
      </w:r>
    </w:p>
    <w:p>
      <w:pPr>
        <w:spacing w:after="0" w:line="179" w:lineRule="exact"/>
        <w:rPr>
          <w:sz w:val="20"/>
          <w:szCs w:val="20"/>
          <w:color w:val="auto"/>
        </w:rPr>
      </w:pPr>
    </w:p>
    <w:tbl>
      <w:tblPr>
        <w:tblLayout w:type="fixed"/>
        <w:tblInd w:w="140" w:type="dxa"/>
        <w:tblCellMar>
          <w:top w:w="0" w:type="dxa"/>
          <w:left w:w="0" w:type="dxa"/>
          <w:bottom w:w="0" w:type="dxa"/>
          <w:right w:w="0" w:type="dxa"/>
        </w:tblCellMar>
      </w:tblPr>
      <w:tr>
        <w:trPr>
          <w:trHeight w:val="161"/>
        </w:trPr>
        <w:tc>
          <w:tcPr>
            <w:tcW w:w="3760" w:type="dxa"/>
            <w:vAlign w:val="bottom"/>
            <w:tcBorders>
              <w:bottom w:val="single" w:sz="8" w:color="auto"/>
            </w:tcBorders>
          </w:tcPr>
          <w:p>
            <w:pPr>
              <w:spacing w:after="0"/>
              <w:rPr>
                <w:sz w:val="20"/>
                <w:szCs w:val="20"/>
                <w:color w:val="auto"/>
              </w:rPr>
            </w:pPr>
            <w:r>
              <w:rPr>
                <w:rFonts w:ascii="Arial" w:cs="Arial" w:eastAsia="Arial" w:hAnsi="Arial"/>
                <w:sz w:val="14"/>
                <w:szCs w:val="14"/>
                <w:color w:val="auto"/>
              </w:rPr>
              <w:t>(in millions)</w:t>
            </w:r>
          </w:p>
        </w:tc>
        <w:tc>
          <w:tcPr>
            <w:tcW w:w="1720" w:type="dxa"/>
            <w:vAlign w:val="bottom"/>
            <w:tcBorders>
              <w:bottom w:val="single" w:sz="8" w:color="auto"/>
            </w:tcBorders>
            <w:gridSpan w:val="2"/>
          </w:tcPr>
          <w:p>
            <w:pPr>
              <w:jc w:val="right"/>
              <w:spacing w:after="0"/>
              <w:rPr>
                <w:sz w:val="20"/>
                <w:szCs w:val="20"/>
                <w:color w:val="auto"/>
              </w:rPr>
            </w:pPr>
            <w:r>
              <w:rPr>
                <w:rFonts w:ascii="Arial" w:cs="Arial" w:eastAsia="Arial" w:hAnsi="Arial"/>
                <w:sz w:val="14"/>
                <w:szCs w:val="14"/>
                <w:color w:val="auto"/>
              </w:rPr>
              <w:t>Principal</w:t>
            </w:r>
          </w:p>
        </w:tc>
      </w:tr>
      <w:tr>
        <w:trPr>
          <w:trHeight w:val="199"/>
        </w:trPr>
        <w:tc>
          <w:tcPr>
            <w:tcW w:w="3760" w:type="dxa"/>
            <w:vAlign w:val="bottom"/>
          </w:tcPr>
          <w:p>
            <w:pPr>
              <w:spacing w:after="0" w:line="200" w:lineRule="exact"/>
              <w:rPr>
                <w:sz w:val="20"/>
                <w:szCs w:val="20"/>
                <w:color w:val="auto"/>
              </w:rPr>
            </w:pPr>
            <w:r>
              <w:rPr>
                <w:rFonts w:ascii="Arial" w:cs="Arial" w:eastAsia="Arial" w:hAnsi="Arial"/>
                <w:sz w:val="18"/>
                <w:szCs w:val="18"/>
                <w:color w:val="auto"/>
              </w:rPr>
              <w:t>6.375% Senior notes</w:t>
            </w:r>
          </w:p>
        </w:tc>
        <w:tc>
          <w:tcPr>
            <w:tcW w:w="1260" w:type="dxa"/>
            <w:vAlign w:val="bottom"/>
          </w:tcPr>
          <w:p>
            <w:pPr>
              <w:jc w:val="right"/>
              <w:spacing w:after="0" w:line="200" w:lineRule="exact"/>
              <w:rPr>
                <w:sz w:val="20"/>
                <w:szCs w:val="20"/>
                <w:color w:val="auto"/>
              </w:rPr>
            </w:pPr>
            <w:r>
              <w:rPr>
                <w:rFonts w:ascii="Arial" w:cs="Arial" w:eastAsia="Arial" w:hAnsi="Arial"/>
                <w:sz w:val="18"/>
                <w:szCs w:val="18"/>
                <w:color w:val="auto"/>
              </w:rPr>
              <w:t>$</w:t>
            </w:r>
          </w:p>
        </w:tc>
        <w:tc>
          <w:tcPr>
            <w:tcW w:w="460" w:type="dxa"/>
            <w:vAlign w:val="bottom"/>
          </w:tcPr>
          <w:p>
            <w:pPr>
              <w:jc w:val="right"/>
              <w:spacing w:after="0" w:line="200" w:lineRule="exact"/>
              <w:rPr>
                <w:sz w:val="20"/>
                <w:szCs w:val="20"/>
                <w:color w:val="auto"/>
              </w:rPr>
            </w:pPr>
            <w:r>
              <w:rPr>
                <w:rFonts w:ascii="Arial" w:cs="Arial" w:eastAsia="Arial" w:hAnsi="Arial"/>
                <w:sz w:val="18"/>
                <w:szCs w:val="18"/>
                <w:color w:val="auto"/>
              </w:rPr>
              <w:t>500</w:t>
            </w:r>
          </w:p>
        </w:tc>
      </w:tr>
      <w:tr>
        <w:trPr>
          <w:trHeight w:val="203"/>
        </w:trPr>
        <w:tc>
          <w:tcPr>
            <w:tcW w:w="3760" w:type="dxa"/>
            <w:vAlign w:val="bottom"/>
          </w:tcPr>
          <w:p>
            <w:pPr>
              <w:spacing w:after="0" w:line="202" w:lineRule="exact"/>
              <w:rPr>
                <w:sz w:val="20"/>
                <w:szCs w:val="20"/>
                <w:color w:val="auto"/>
              </w:rPr>
            </w:pPr>
            <w:r>
              <w:rPr>
                <w:rFonts w:ascii="Arial" w:cs="Arial" w:eastAsia="Arial" w:hAnsi="Arial"/>
                <w:sz w:val="18"/>
                <w:szCs w:val="18"/>
                <w:color w:val="auto"/>
              </w:rPr>
              <w:t>6.875% Senior notes</w:t>
            </w:r>
          </w:p>
        </w:tc>
        <w:tc>
          <w:tcPr>
            <w:tcW w:w="1260" w:type="dxa"/>
            <w:vAlign w:val="bottom"/>
          </w:tcPr>
          <w:p>
            <w:pPr>
              <w:spacing w:after="0"/>
              <w:rPr>
                <w:sz w:val="17"/>
                <w:szCs w:val="17"/>
                <w:color w:val="auto"/>
              </w:rPr>
            </w:pPr>
          </w:p>
        </w:tc>
        <w:tc>
          <w:tcPr>
            <w:tcW w:w="460" w:type="dxa"/>
            <w:vAlign w:val="bottom"/>
          </w:tcPr>
          <w:p>
            <w:pPr>
              <w:jc w:val="right"/>
              <w:spacing w:after="0" w:line="202" w:lineRule="exact"/>
              <w:rPr>
                <w:sz w:val="20"/>
                <w:szCs w:val="20"/>
                <w:color w:val="auto"/>
              </w:rPr>
            </w:pPr>
            <w:r>
              <w:rPr>
                <w:rFonts w:ascii="Arial" w:cs="Arial" w:eastAsia="Arial" w:hAnsi="Arial"/>
                <w:sz w:val="18"/>
                <w:szCs w:val="18"/>
                <w:color w:val="auto"/>
              </w:rPr>
              <w:t>388</w:t>
            </w:r>
          </w:p>
        </w:tc>
      </w:tr>
      <w:tr>
        <w:trPr>
          <w:trHeight w:val="203"/>
        </w:trPr>
        <w:tc>
          <w:tcPr>
            <w:tcW w:w="3760" w:type="dxa"/>
            <w:vAlign w:val="bottom"/>
          </w:tcPr>
          <w:p>
            <w:pPr>
              <w:spacing w:after="0" w:line="202" w:lineRule="exact"/>
              <w:rPr>
                <w:sz w:val="20"/>
                <w:szCs w:val="20"/>
                <w:color w:val="auto"/>
              </w:rPr>
            </w:pPr>
            <w:r>
              <w:rPr>
                <w:rFonts w:ascii="Arial" w:cs="Arial" w:eastAsia="Arial" w:hAnsi="Arial"/>
                <w:sz w:val="18"/>
                <w:szCs w:val="18"/>
                <w:color w:val="auto"/>
              </w:rPr>
              <w:t>8.3% Senior notes</w:t>
            </w:r>
          </w:p>
        </w:tc>
        <w:tc>
          <w:tcPr>
            <w:tcW w:w="1260" w:type="dxa"/>
            <w:vAlign w:val="bottom"/>
          </w:tcPr>
          <w:p>
            <w:pPr>
              <w:spacing w:after="0"/>
              <w:rPr>
                <w:sz w:val="17"/>
                <w:szCs w:val="17"/>
                <w:color w:val="auto"/>
              </w:rPr>
            </w:pPr>
          </w:p>
        </w:tc>
        <w:tc>
          <w:tcPr>
            <w:tcW w:w="460" w:type="dxa"/>
            <w:vAlign w:val="bottom"/>
          </w:tcPr>
          <w:p>
            <w:pPr>
              <w:jc w:val="right"/>
              <w:spacing w:after="0" w:line="202" w:lineRule="exact"/>
              <w:rPr>
                <w:sz w:val="20"/>
                <w:szCs w:val="20"/>
                <w:color w:val="auto"/>
              </w:rPr>
            </w:pPr>
            <w:r>
              <w:rPr>
                <w:rFonts w:ascii="Arial" w:cs="Arial" w:eastAsia="Arial" w:hAnsi="Arial"/>
                <w:sz w:val="18"/>
                <w:szCs w:val="18"/>
                <w:color w:val="auto"/>
              </w:rPr>
              <w:t>600</w:t>
            </w:r>
          </w:p>
        </w:tc>
      </w:tr>
      <w:tr>
        <w:trPr>
          <w:trHeight w:val="199"/>
        </w:trPr>
        <w:tc>
          <w:tcPr>
            <w:tcW w:w="3760" w:type="dxa"/>
            <w:vAlign w:val="bottom"/>
            <w:tcBorders>
              <w:bottom w:val="single" w:sz="8" w:color="auto"/>
            </w:tcBorders>
          </w:tcPr>
          <w:p>
            <w:pPr>
              <w:spacing w:after="0" w:line="200" w:lineRule="exact"/>
              <w:rPr>
                <w:sz w:val="20"/>
                <w:szCs w:val="20"/>
                <w:color w:val="auto"/>
              </w:rPr>
            </w:pPr>
            <w:r>
              <w:rPr>
                <w:rFonts w:ascii="Arial" w:cs="Arial" w:eastAsia="Arial" w:hAnsi="Arial"/>
                <w:sz w:val="18"/>
                <w:szCs w:val="18"/>
                <w:color w:val="auto"/>
              </w:rPr>
              <w:t>10.5% Senior subordinated notes</w:t>
            </w:r>
          </w:p>
        </w:tc>
        <w:tc>
          <w:tcPr>
            <w:tcW w:w="1260" w:type="dxa"/>
            <w:vAlign w:val="bottom"/>
            <w:tcBorders>
              <w:bottom w:val="single" w:sz="8" w:color="auto"/>
            </w:tcBorders>
          </w:tcPr>
          <w:p>
            <w:pPr>
              <w:spacing w:after="0"/>
              <w:rPr>
                <w:sz w:val="17"/>
                <w:szCs w:val="17"/>
                <w:color w:val="auto"/>
              </w:rPr>
            </w:pPr>
          </w:p>
        </w:tc>
        <w:tc>
          <w:tcPr>
            <w:tcW w:w="460" w:type="dxa"/>
            <w:vAlign w:val="bottom"/>
            <w:tcBorders>
              <w:bottom w:val="single" w:sz="8" w:color="auto"/>
            </w:tcBorders>
          </w:tcPr>
          <w:p>
            <w:pPr>
              <w:jc w:val="right"/>
              <w:spacing w:after="0" w:line="200" w:lineRule="exact"/>
              <w:rPr>
                <w:sz w:val="20"/>
                <w:szCs w:val="20"/>
                <w:color w:val="auto"/>
              </w:rPr>
            </w:pPr>
            <w:r>
              <w:rPr>
                <w:rFonts w:ascii="Arial" w:cs="Arial" w:eastAsia="Arial" w:hAnsi="Arial"/>
                <w:sz w:val="18"/>
                <w:szCs w:val="18"/>
                <w:color w:val="auto"/>
              </w:rPr>
              <w:t>119</w:t>
            </w:r>
          </w:p>
        </w:tc>
      </w:tr>
      <w:tr>
        <w:trPr>
          <w:trHeight w:val="196"/>
        </w:trPr>
        <w:tc>
          <w:tcPr>
            <w:tcW w:w="3760" w:type="dxa"/>
            <w:vAlign w:val="bottom"/>
            <w:tcBorders>
              <w:bottom w:val="single" w:sz="8" w:color="35BF85"/>
            </w:tcBorders>
          </w:tcPr>
          <w:p>
            <w:pPr>
              <w:spacing w:after="0"/>
              <w:rPr>
                <w:sz w:val="17"/>
                <w:szCs w:val="17"/>
                <w:color w:val="auto"/>
              </w:rPr>
            </w:pPr>
          </w:p>
        </w:tc>
        <w:tc>
          <w:tcPr>
            <w:tcW w:w="1260" w:type="dxa"/>
            <w:vAlign w:val="bottom"/>
            <w:tcBorders>
              <w:bottom w:val="single" w:sz="8" w:color="35BF85"/>
            </w:tcBorders>
          </w:tcPr>
          <w:p>
            <w:pPr>
              <w:jc w:val="right"/>
              <w:spacing w:after="0" w:line="196" w:lineRule="exact"/>
              <w:rPr>
                <w:sz w:val="20"/>
                <w:szCs w:val="20"/>
                <w:color w:val="auto"/>
              </w:rPr>
            </w:pPr>
            <w:r>
              <w:rPr>
                <w:rFonts w:ascii="Arial" w:cs="Arial" w:eastAsia="Arial" w:hAnsi="Arial"/>
                <w:sz w:val="18"/>
                <w:szCs w:val="18"/>
                <w:color w:val="auto"/>
              </w:rPr>
              <w:t>$</w:t>
            </w:r>
          </w:p>
        </w:tc>
        <w:tc>
          <w:tcPr>
            <w:tcW w:w="460" w:type="dxa"/>
            <w:vAlign w:val="bottom"/>
            <w:tcBorders>
              <w:bottom w:val="single" w:sz="8" w:color="35BF85"/>
            </w:tcBorders>
          </w:tcPr>
          <w:p>
            <w:pPr>
              <w:jc w:val="right"/>
              <w:spacing w:after="0" w:line="196" w:lineRule="exact"/>
              <w:rPr>
                <w:sz w:val="20"/>
                <w:szCs w:val="20"/>
                <w:color w:val="auto"/>
              </w:rPr>
            </w:pPr>
            <w:r>
              <w:rPr>
                <w:rFonts w:ascii="Arial" w:cs="Arial" w:eastAsia="Arial" w:hAnsi="Arial"/>
                <w:sz w:val="18"/>
                <w:szCs w:val="18"/>
                <w:color w:val="auto"/>
                <w:w w:val="97"/>
              </w:rPr>
              <w:t>1,607</w:t>
            </w:r>
          </w:p>
        </w:tc>
      </w:tr>
    </w:tbl>
    <w:p>
      <w:pPr>
        <w:spacing w:after="0" w:line="165" w:lineRule="exact"/>
        <w:rPr>
          <w:sz w:val="20"/>
          <w:szCs w:val="20"/>
          <w:color w:val="auto"/>
        </w:rPr>
      </w:pPr>
    </w:p>
    <w:p>
      <w:pPr>
        <w:ind w:left="140" w:right="680"/>
        <w:spacing w:after="0" w:line="239" w:lineRule="auto"/>
        <w:rPr>
          <w:sz w:val="20"/>
          <w:szCs w:val="20"/>
          <w:color w:val="auto"/>
        </w:rPr>
      </w:pPr>
      <w:r>
        <w:rPr>
          <w:rFonts w:ascii="Arial" w:cs="Arial" w:eastAsia="Arial" w:hAnsi="Arial"/>
          <w:sz w:val="18"/>
          <w:szCs w:val="18"/>
          <w:color w:val="auto"/>
        </w:rPr>
        <w:t>During 2006, we also repaid $350 million outstanding under our commercial paper program and $82 million of other debt.</w:t>
      </w:r>
    </w:p>
    <w:p>
      <w:pPr>
        <w:spacing w:after="0" w:line="133" w:lineRule="exact"/>
        <w:rPr>
          <w:sz w:val="20"/>
          <w:szCs w:val="20"/>
          <w:color w:val="auto"/>
        </w:rPr>
      </w:pPr>
    </w:p>
    <w:p>
      <w:pPr>
        <w:ind w:left="140"/>
        <w:spacing w:after="0"/>
        <w:rPr>
          <w:sz w:val="20"/>
          <w:szCs w:val="20"/>
          <w:color w:val="auto"/>
        </w:rPr>
      </w:pPr>
      <w:r>
        <w:rPr>
          <w:rFonts w:ascii="Arial" w:cs="Arial" w:eastAsia="Arial" w:hAnsi="Arial"/>
          <w:sz w:val="18"/>
          <w:szCs w:val="18"/>
          <w:b w:val="1"/>
          <w:bCs w:val="1"/>
          <w:color w:val="auto"/>
        </w:rPr>
        <w:t>Commercial Paper</w:t>
      </w:r>
    </w:p>
    <w:p>
      <w:pPr>
        <w:spacing w:after="0" w:line="18" w:lineRule="exact"/>
        <w:rPr>
          <w:sz w:val="20"/>
          <w:szCs w:val="20"/>
          <w:color w:val="auto"/>
        </w:rPr>
      </w:pPr>
    </w:p>
    <w:p>
      <w:pPr>
        <w:jc w:val="both"/>
        <w:ind w:left="140" w:right="120"/>
        <w:spacing w:after="0" w:line="235" w:lineRule="auto"/>
        <w:rPr>
          <w:sz w:val="20"/>
          <w:szCs w:val="20"/>
          <w:color w:val="auto"/>
        </w:rPr>
      </w:pPr>
      <w:r>
        <w:rPr>
          <w:rFonts w:ascii="Arial" w:cs="Arial" w:eastAsia="Arial" w:hAnsi="Arial"/>
          <w:sz w:val="18"/>
          <w:szCs w:val="18"/>
          <w:color w:val="auto"/>
        </w:rPr>
        <w:t>Our commercial paper program provides a lower cost borrowing source of liquidity to fund our short-term working capital requirements. The program allows for a maximum of $2.25 billion of commercial paper to be issued at any one time. Our revolving bank credit facility supports this program. Amounts outstanding under the program are classified as long-term in our consolidated balance sheet because we have both the ability and the intent to refinance these obligations, if necessary, on a long-term basis with amounts available under our revolving bank credit facility.</w:t>
      </w:r>
    </w:p>
    <w:p>
      <w:pPr>
        <w:spacing w:after="0" w:line="139" w:lineRule="exact"/>
        <w:rPr>
          <w:sz w:val="20"/>
          <w:szCs w:val="20"/>
          <w:color w:val="auto"/>
        </w:rPr>
      </w:pPr>
    </w:p>
    <w:p>
      <w:pPr>
        <w:ind w:left="140"/>
        <w:spacing w:after="0"/>
        <w:rPr>
          <w:sz w:val="20"/>
          <w:szCs w:val="20"/>
          <w:color w:val="auto"/>
        </w:rPr>
      </w:pPr>
      <w:r>
        <w:rPr>
          <w:rFonts w:ascii="Arial" w:cs="Arial" w:eastAsia="Arial" w:hAnsi="Arial"/>
          <w:sz w:val="18"/>
          <w:szCs w:val="18"/>
          <w:b w:val="1"/>
          <w:bCs w:val="1"/>
          <w:color w:val="auto"/>
        </w:rPr>
        <w:t>Revolving Bank Credit Facility</w:t>
      </w:r>
    </w:p>
    <w:p>
      <w:pPr>
        <w:spacing w:after="0" w:line="18" w:lineRule="exact"/>
        <w:rPr>
          <w:sz w:val="20"/>
          <w:szCs w:val="20"/>
          <w:color w:val="auto"/>
        </w:rPr>
      </w:pPr>
    </w:p>
    <w:p>
      <w:pPr>
        <w:jc w:val="both"/>
        <w:ind w:left="140" w:right="120"/>
        <w:spacing w:after="0" w:line="270" w:lineRule="auto"/>
        <w:rPr>
          <w:sz w:val="20"/>
          <w:szCs w:val="20"/>
          <w:color w:val="auto"/>
        </w:rPr>
      </w:pPr>
      <w:r>
        <w:rPr>
          <w:rFonts w:ascii="Arial" w:cs="Arial" w:eastAsia="Arial" w:hAnsi="Arial"/>
          <w:sz w:val="16"/>
          <w:szCs w:val="16"/>
          <w:color w:val="auto"/>
        </w:rPr>
        <w:t>We have a $5.0 billion revolving bank credit facility due October 2010 (the “credit facility”) with a syndicate of banks. The base rate, chosen at our option, is either London Interbank Offered Rate (“LIBOR”) or the greater of the prime rate or the Federal Funds rate plus 0.5%. The borrowing margin is based on our senior unsecured debt ratings. As of December 31, 2006, the interest rate for borrowings under the credit facility is LIBOR plus 0.35% based on our credit ratings.</w:t>
      </w:r>
    </w:p>
    <w:p>
      <w:pPr>
        <w:spacing w:after="0" w:line="152" w:lineRule="exact"/>
        <w:rPr>
          <w:sz w:val="20"/>
          <w:szCs w:val="20"/>
          <w:color w:val="auto"/>
        </w:rPr>
      </w:pPr>
    </w:p>
    <w:p>
      <w:pPr>
        <w:spacing w:after="0"/>
        <w:tabs>
          <w:tab w:leader="none" w:pos="1080" w:val="left"/>
        </w:tabs>
        <w:rPr>
          <w:sz w:val="20"/>
          <w:szCs w:val="20"/>
          <w:color w:val="auto"/>
        </w:rPr>
      </w:pPr>
      <w:r>
        <w:rPr>
          <w:rFonts w:ascii="Arial" w:cs="Arial" w:eastAsia="Arial" w:hAnsi="Arial"/>
          <w:sz w:val="12"/>
          <w:szCs w:val="12"/>
          <w:b w:val="1"/>
          <w:bCs w:val="1"/>
          <w:color w:val="auto"/>
        </w:rPr>
        <w:t>55</w:t>
      </w:r>
      <w:r>
        <w:rPr>
          <w:sz w:val="20"/>
          <w:szCs w:val="20"/>
          <w:color w:val="auto"/>
        </w:rPr>
        <w:tab/>
      </w:r>
      <w:r>
        <w:rPr>
          <w:rFonts w:ascii="Arial" w:cs="Arial" w:eastAsia="Arial" w:hAnsi="Arial"/>
          <w:sz w:val="12"/>
          <w:szCs w:val="12"/>
          <w:color w:val="auto"/>
        </w:rPr>
        <w:t xml:space="preserve">Comcast 2006 Annual Report </w:t>
      </w:r>
      <w:r>
        <w:rPr>
          <w:rFonts w:ascii="Arial" w:cs="Arial" w:eastAsia="Arial" w:hAnsi="Arial"/>
          <w:sz w:val="12"/>
          <w:szCs w:val="12"/>
          <w:b w:val="1"/>
          <w:bCs w:val="1"/>
          <w:color w:val="auto"/>
        </w:rPr>
        <w:t>Notes to Consolidated Financial Statements</w:t>
      </w:r>
    </w:p>
    <w:p>
      <w:pPr>
        <w:sectPr>
          <w:pgSz w:w="11900" w:h="16838" w:orient="portrait"/>
          <w:cols w:equalWidth="0" w:num="2">
            <w:col w:w="5480" w:space="200"/>
            <w:col w:w="5740"/>
          </w:cols>
          <w:pgMar w:left="240" w:top="459" w:right="239" w:bottom="1440" w:gutter="0" w:footer="0" w:header="0"/>
        </w:sectPr>
      </w:pPr>
    </w:p>
    <w:bookmarkStart w:id="132" w:name="page133"/>
    <w:bookmarkEnd w:id="132"/>
    <w:p>
      <w:pPr>
        <w:spacing w:after="0"/>
        <w:rPr>
          <w:rFonts w:ascii="Arial" w:cs="Arial" w:eastAsia="Arial" w:hAnsi="Arial"/>
          <w:sz w:val="18"/>
          <w:szCs w:val="18"/>
          <w:b w:val="1"/>
          <w:bCs w:val="1"/>
          <w:u w:val="single" w:color="auto"/>
          <w:color w:val="0000EE"/>
        </w:rPr>
      </w:pPr>
      <w:hyperlink w:anchor="page3">
        <w:r>
          <w:rPr>
            <w:rFonts w:ascii="Arial" w:cs="Arial" w:eastAsia="Arial" w:hAnsi="Arial"/>
            <w:sz w:val="18"/>
            <w:szCs w:val="18"/>
            <w:b w:val="1"/>
            <w:bCs w:val="1"/>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1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Lines and Letters of Credit</w:t>
      </w:r>
    </w:p>
    <w:p>
      <w:pPr>
        <w:spacing w:after="0" w:line="18" w:lineRule="exact"/>
        <w:rPr>
          <w:sz w:val="20"/>
          <w:szCs w:val="20"/>
          <w:color w:val="auto"/>
        </w:rPr>
      </w:pPr>
    </w:p>
    <w:p>
      <w:pPr>
        <w:jc w:val="both"/>
        <w:spacing w:after="0" w:line="237" w:lineRule="auto"/>
        <w:rPr>
          <w:sz w:val="20"/>
          <w:szCs w:val="20"/>
          <w:color w:val="auto"/>
        </w:rPr>
      </w:pPr>
      <w:r>
        <w:rPr>
          <w:rFonts w:ascii="Arial" w:cs="Arial" w:eastAsia="Arial" w:hAnsi="Arial"/>
          <w:sz w:val="18"/>
          <w:szCs w:val="18"/>
          <w:color w:val="auto"/>
        </w:rPr>
        <w:t>As of December 31, 2006, we and certain of our subsidiaries had unused lines of credit totaling $4.464 billion under various credit facilities and unused irrevocable standby letters of credit totaling $377 million to cover potential fundings under various agreements.</w:t>
      </w:r>
    </w:p>
    <w:p>
      <w:pPr>
        <w:spacing w:after="0" w:line="13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ZONES</w:t>
      </w:r>
    </w:p>
    <w:p>
      <w:pPr>
        <w:spacing w:after="0" w:line="18" w:lineRule="exact"/>
        <w:rPr>
          <w:sz w:val="20"/>
          <w:szCs w:val="20"/>
          <w:color w:val="auto"/>
        </w:rPr>
      </w:pPr>
    </w:p>
    <w:p>
      <w:pPr>
        <w:jc w:val="both"/>
        <w:spacing w:after="0" w:line="235" w:lineRule="auto"/>
        <w:rPr>
          <w:sz w:val="20"/>
          <w:szCs w:val="20"/>
          <w:color w:val="auto"/>
        </w:rPr>
      </w:pPr>
      <w:r>
        <w:rPr>
          <w:rFonts w:ascii="Arial" w:cs="Arial" w:eastAsia="Arial" w:hAnsi="Arial"/>
          <w:sz w:val="18"/>
          <w:szCs w:val="18"/>
          <w:color w:val="auto"/>
        </w:rPr>
        <w:t>At maturity, holders of our 2.0% Exchangeable Subordinated Debentures due 2029 (the “ZONES”) are entitled to receive in cash an amount equal to the higher of the principal amount of the outstanding ZONES of $1.807 billion or the market value of 24,124,398 shares of Sprint Nextel common stock and 1,205,049 shares of Embarq common stock. Prior to maturity, each ZONES is exchangeable at the holder’s option for an amount of cash equal to 95% of the aggregate market value of one share of Sprint Nextel common stock and 0.05 shares of Embarq common stock.</w:t>
      </w:r>
    </w:p>
    <w:p>
      <w:pPr>
        <w:spacing w:after="0" w:line="161" w:lineRule="exact"/>
        <w:rPr>
          <w:sz w:val="20"/>
          <w:szCs w:val="20"/>
          <w:color w:val="auto"/>
        </w:rPr>
      </w:pPr>
    </w:p>
    <w:p>
      <w:pPr>
        <w:jc w:val="both"/>
        <w:spacing w:after="0" w:line="237" w:lineRule="auto"/>
        <w:rPr>
          <w:rFonts w:ascii="Arial" w:cs="Arial" w:eastAsia="Arial" w:hAnsi="Arial"/>
          <w:sz w:val="18"/>
          <w:szCs w:val="18"/>
          <w:color w:val="auto"/>
        </w:rPr>
      </w:pPr>
      <w:r>
        <w:rPr>
          <w:rFonts w:ascii="Arial" w:cs="Arial" w:eastAsia="Arial" w:hAnsi="Arial"/>
          <w:sz w:val="18"/>
          <w:szCs w:val="18"/>
          <w:color w:val="auto"/>
        </w:rPr>
        <w:t xml:space="preserve">We separate the accounting for the ZONES into derivative and debt components. We record the change in the fair value of the derivative component of the ZONES (see </w:t>
      </w:r>
      <w:hyperlink w:anchor="page128">
        <w:r>
          <w:rPr>
            <w:rFonts w:ascii="Arial" w:cs="Arial" w:eastAsia="Arial" w:hAnsi="Arial"/>
            <w:sz w:val="18"/>
            <w:szCs w:val="18"/>
            <w:u w:val="single" w:color="auto"/>
            <w:color w:val="0000EE"/>
          </w:rPr>
          <w:t>Note 6</w:t>
        </w:r>
      </w:hyperlink>
      <w:r>
        <w:rPr>
          <w:rFonts w:ascii="Arial" w:cs="Arial" w:eastAsia="Arial" w:hAnsi="Arial"/>
          <w:sz w:val="18"/>
          <w:szCs w:val="18"/>
          <w:color w:val="auto"/>
        </w:rPr>
        <w:t>) and the change in the carrying value of the debt component of the ZONES as follows:</w:t>
      </w:r>
    </w:p>
    <w:p>
      <w:pPr>
        <w:spacing w:after="0" w:line="179" w:lineRule="exact"/>
        <w:rPr>
          <w:sz w:val="20"/>
          <w:szCs w:val="20"/>
          <w:color w:val="auto"/>
        </w:rPr>
      </w:pPr>
    </w:p>
    <w:p>
      <w:pPr>
        <w:ind w:left="20"/>
        <w:spacing w:after="0"/>
        <w:tabs>
          <w:tab w:leader="none" w:pos="2980" w:val="left"/>
          <w:tab w:leader="none" w:pos="3880" w:val="left"/>
        </w:tabs>
        <w:rPr>
          <w:sz w:val="20"/>
          <w:szCs w:val="20"/>
          <w:color w:val="auto"/>
        </w:rPr>
      </w:pPr>
      <w:r>
        <w:rPr>
          <w:rFonts w:ascii="Arial" w:cs="Arial" w:eastAsia="Arial" w:hAnsi="Arial"/>
          <w:sz w:val="14"/>
          <w:szCs w:val="14"/>
          <w:color w:val="auto"/>
        </w:rPr>
        <w:t>Year Ended December 31, 2006</w:t>
      </w:r>
      <w:r>
        <w:rPr>
          <w:sz w:val="20"/>
          <w:szCs w:val="20"/>
          <w:color w:val="auto"/>
        </w:rPr>
        <w:tab/>
      </w:r>
      <w:r>
        <w:rPr>
          <w:rFonts w:ascii="Arial" w:cs="Arial" w:eastAsia="Arial" w:hAnsi="Arial"/>
          <w:sz w:val="14"/>
          <w:szCs w:val="14"/>
          <w:color w:val="auto"/>
        </w:rPr>
        <w:t>Debt</w:t>
      </w:r>
      <w:r>
        <w:rPr>
          <w:sz w:val="20"/>
          <w:szCs w:val="20"/>
          <w:color w:val="auto"/>
        </w:rPr>
        <w:tab/>
      </w:r>
      <w:r>
        <w:rPr>
          <w:rFonts w:ascii="Arial" w:cs="Arial" w:eastAsia="Arial" w:hAnsi="Arial"/>
          <w:sz w:val="12"/>
          <w:szCs w:val="12"/>
          <w:color w:val="auto"/>
        </w:rPr>
        <w:t>Derivative</w:t>
      </w:r>
    </w:p>
    <w:p>
      <w:pPr>
        <w:ind w:left="20"/>
        <w:spacing w:after="0"/>
        <w:tabs>
          <w:tab w:leader="none" w:pos="2560" w:val="left"/>
          <w:tab w:leader="none" w:pos="3780" w:val="left"/>
          <w:tab w:leader="none" w:pos="5100" w:val="left"/>
        </w:tabs>
        <w:rPr>
          <w:sz w:val="20"/>
          <w:szCs w:val="20"/>
          <w:color w:val="auto"/>
        </w:rPr>
      </w:pPr>
      <w:r>
        <w:rPr>
          <w:rFonts w:ascii="Arial" w:cs="Arial" w:eastAsia="Arial" w:hAnsi="Arial"/>
          <w:sz w:val="14"/>
          <w:szCs w:val="14"/>
          <w:color w:val="auto"/>
        </w:rPr>
        <w:t>(in millions)</w:t>
      </w:r>
      <w:r>
        <w:rPr>
          <w:sz w:val="20"/>
          <w:szCs w:val="20"/>
          <w:color w:val="auto"/>
        </w:rPr>
        <w:tab/>
      </w:r>
      <w:r>
        <w:rPr>
          <w:rFonts w:ascii="Arial" w:cs="Arial" w:eastAsia="Arial" w:hAnsi="Arial"/>
          <w:sz w:val="14"/>
          <w:szCs w:val="14"/>
          <w:color w:val="auto"/>
        </w:rPr>
        <w:t>Component</w:t>
      </w:r>
      <w:r>
        <w:rPr>
          <w:sz w:val="20"/>
          <w:szCs w:val="20"/>
          <w:color w:val="auto"/>
        </w:rPr>
        <w:tab/>
      </w:r>
      <w:r>
        <w:rPr>
          <w:rFonts w:ascii="Arial" w:cs="Arial" w:eastAsia="Arial" w:hAnsi="Arial"/>
          <w:sz w:val="14"/>
          <w:szCs w:val="14"/>
          <w:color w:val="auto"/>
        </w:rPr>
        <w:t>Component</w:t>
      </w:r>
      <w:r>
        <w:rPr>
          <w:sz w:val="20"/>
          <w:szCs w:val="20"/>
          <w:color w:val="auto"/>
        </w:rPr>
        <w:tab/>
      </w:r>
      <w:r>
        <w:rPr>
          <w:rFonts w:ascii="Arial" w:cs="Arial" w:eastAsia="Arial" w:hAnsi="Arial"/>
          <w:sz w:val="12"/>
          <w:szCs w:val="12"/>
          <w:color w:val="auto"/>
        </w:rPr>
        <w:t>Total</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4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Interest Rates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-3691890</wp:posOffset>
            </wp:positionH>
            <wp:positionV relativeFrom="paragraph">
              <wp:posOffset>-753110</wp:posOffset>
            </wp:positionV>
            <wp:extent cx="7267575" cy="27940"/>
            <wp:wrapNone/>
            <wp:docPr id="198" name="Picture 1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8"/>
                    <pic:cNvPicPr>
                      <a:picLocks noChangeAspect="1" noChangeArrowheads="1"/>
                    </pic:cNvPicPr>
                  </pic:nvPicPr>
                  <pic:blipFill>
                    <a:blip r:embed="rId205">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p>
    <w:p>
      <w:pPr>
        <w:jc w:val="both"/>
        <w:ind w:right="120"/>
        <w:spacing w:after="0" w:line="236" w:lineRule="auto"/>
        <w:rPr>
          <w:sz w:val="20"/>
          <w:szCs w:val="20"/>
          <w:color w:val="auto"/>
        </w:rPr>
      </w:pPr>
      <w:r>
        <w:rPr>
          <w:rFonts w:ascii="Arial" w:cs="Arial" w:eastAsia="Arial" w:hAnsi="Arial"/>
          <w:sz w:val="18"/>
          <w:szCs w:val="18"/>
          <w:color w:val="auto"/>
        </w:rPr>
        <w:t>Excluding the derivative component of our Exchangeable Notes due 2007 and the ZONES whose changes in fair value are recorded to investment income (loss), net, our effective weighted-average interest rate on our total debt outstanding was 7.07% and 7.32% as of December 31, 2006 and 2005, respectively. As of December 31, 2006 and 2005, accrued interest was $501 million and $422 million, respectively.</w:t>
      </w:r>
    </w:p>
    <w:p>
      <w:pPr>
        <w:spacing w:after="0" w:line="13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Interest Rate Risk Management</w:t>
      </w:r>
    </w:p>
    <w:p>
      <w:pPr>
        <w:spacing w:after="0" w:line="18" w:lineRule="exact"/>
        <w:rPr>
          <w:sz w:val="20"/>
          <w:szCs w:val="20"/>
          <w:color w:val="auto"/>
        </w:rPr>
      </w:pPr>
    </w:p>
    <w:p>
      <w:pPr>
        <w:jc w:val="both"/>
        <w:ind w:right="120"/>
        <w:spacing w:after="0" w:line="275" w:lineRule="auto"/>
        <w:rPr>
          <w:sz w:val="20"/>
          <w:szCs w:val="20"/>
          <w:color w:val="auto"/>
        </w:rPr>
      </w:pPr>
      <w:r>
        <w:rPr>
          <w:rFonts w:ascii="Arial" w:cs="Arial" w:eastAsia="Arial" w:hAnsi="Arial"/>
          <w:sz w:val="16"/>
          <w:szCs w:val="16"/>
          <w:color w:val="auto"/>
        </w:rPr>
        <w:t>We are exposed to the market risk of adverse changes in interest rates. To manage the volatility relating to these exposures, our policy is to maintain a mix of fixed-rate and variable-rate debt and to enter into various interest rate derivative transactions as described below.</w:t>
      </w:r>
    </w:p>
    <w:p>
      <w:pPr>
        <w:spacing w:after="0" w:line="129" w:lineRule="exact"/>
        <w:rPr>
          <w:sz w:val="20"/>
          <w:szCs w:val="20"/>
          <w:color w:val="auto"/>
        </w:rPr>
      </w:pPr>
    </w:p>
    <w:p>
      <w:pPr>
        <w:jc w:val="both"/>
        <w:ind w:right="120"/>
        <w:spacing w:after="0" w:line="271" w:lineRule="auto"/>
        <w:rPr>
          <w:sz w:val="20"/>
          <w:szCs w:val="20"/>
          <w:color w:val="auto"/>
        </w:rPr>
      </w:pPr>
      <w:r>
        <w:rPr>
          <w:rFonts w:ascii="Arial" w:cs="Arial" w:eastAsia="Arial" w:hAnsi="Arial"/>
          <w:sz w:val="16"/>
          <w:szCs w:val="16"/>
          <w:color w:val="auto"/>
        </w:rPr>
        <w:t>Using swaps, we agree to exchange, at specified intervals, the difference between fixed and variable interest amounts calculated by reference to an agreed-upon notional principal amount. Rate locks are sometimes used to hedge the risk that the cash flows related to the interest payments on an anticipated issuance or assumption of fixed-rate debt may be adversely affected by interest rate fluctuations.</w:t>
      </w:r>
    </w:p>
    <w:p>
      <w:pPr>
        <w:spacing w:after="0" w:line="131" w:lineRule="exact"/>
        <w:rPr>
          <w:sz w:val="20"/>
          <w:szCs w:val="20"/>
          <w:color w:val="auto"/>
        </w:rPr>
      </w:pPr>
    </w:p>
    <w:p>
      <w:pPr>
        <w:spacing w:after="0"/>
        <w:rPr>
          <w:sz w:val="20"/>
          <w:szCs w:val="20"/>
          <w:color w:val="auto"/>
        </w:rPr>
      </w:pPr>
      <w:r>
        <w:rPr>
          <w:rFonts w:ascii="Arial" w:cs="Arial" w:eastAsia="Arial" w:hAnsi="Arial"/>
          <w:sz w:val="18"/>
          <w:szCs w:val="18"/>
          <w:color w:val="auto"/>
        </w:rPr>
        <w:t>The following table summarizes the terms of our existing swaps:</w:t>
      </w:r>
    </w:p>
    <w:p>
      <w:pPr>
        <w:spacing w:after="0" w:line="290" w:lineRule="exact"/>
        <w:rPr>
          <w:sz w:val="20"/>
          <w:szCs w:val="20"/>
          <w:color w:val="auto"/>
        </w:rPr>
      </w:pPr>
    </w:p>
    <w:p>
      <w:pPr>
        <w:sectPr>
          <w:pgSz w:w="11900" w:h="16838" w:orient="portrait"/>
          <w:cols w:equalWidth="0" w:num="2">
            <w:col w:w="5480" w:space="340"/>
            <w:col w:w="5600"/>
          </w:cols>
          <w:pgMar w:left="240" w:top="459" w:right="239" w:bottom="1440" w:gutter="0" w:footer="0" w:header="0"/>
        </w:sectPr>
      </w:pPr>
    </w:p>
    <w:tbl>
      <w:tblPr>
        <w:tblLayout w:type="fixed"/>
        <w:tblInd w:w="0" w:type="dxa"/>
        <w:tblCellMar>
          <w:top w:w="0" w:type="dxa"/>
          <w:left w:w="0" w:type="dxa"/>
          <w:bottom w:w="0" w:type="dxa"/>
          <w:right w:w="0" w:type="dxa"/>
        </w:tblCellMar>
      </w:tblPr>
      <w:tr>
        <w:trPr>
          <w:trHeight w:val="199"/>
        </w:trPr>
        <w:tc>
          <w:tcPr>
            <w:tcW w:w="2320" w:type="dxa"/>
            <w:vAlign w:val="bottom"/>
            <w:tcBorders>
              <w:top w:val="single" w:sz="8" w:color="auto"/>
            </w:tcBorders>
          </w:tcPr>
          <w:p>
            <w:pPr>
              <w:ind w:left="20"/>
              <w:spacing w:after="0" w:line="200" w:lineRule="exact"/>
              <w:rPr>
                <w:sz w:val="20"/>
                <w:szCs w:val="20"/>
                <w:color w:val="auto"/>
              </w:rPr>
            </w:pPr>
            <w:r>
              <w:rPr>
                <w:rFonts w:ascii="Arial" w:cs="Arial" w:eastAsia="Arial" w:hAnsi="Arial"/>
                <w:sz w:val="18"/>
                <w:szCs w:val="18"/>
                <w:color w:val="auto"/>
              </w:rPr>
              <w:t>Balance at beginning of</w:t>
            </w:r>
          </w:p>
        </w:tc>
        <w:tc>
          <w:tcPr>
            <w:tcW w:w="520" w:type="dxa"/>
            <w:vAlign w:val="bottom"/>
            <w:tcBorders>
              <w:top w:val="single" w:sz="8" w:color="auto"/>
            </w:tcBorders>
          </w:tcPr>
          <w:p>
            <w:pPr>
              <w:spacing w:after="0"/>
              <w:rPr>
                <w:sz w:val="17"/>
                <w:szCs w:val="17"/>
                <w:color w:val="auto"/>
              </w:rPr>
            </w:pPr>
          </w:p>
        </w:tc>
        <w:tc>
          <w:tcPr>
            <w:tcW w:w="700" w:type="dxa"/>
            <w:vAlign w:val="bottom"/>
            <w:tcBorders>
              <w:top w:val="single" w:sz="8" w:color="auto"/>
            </w:tcBorders>
          </w:tcPr>
          <w:p>
            <w:pPr>
              <w:spacing w:after="0"/>
              <w:rPr>
                <w:sz w:val="17"/>
                <w:szCs w:val="17"/>
                <w:color w:val="auto"/>
              </w:rPr>
            </w:pPr>
          </w:p>
        </w:tc>
        <w:tc>
          <w:tcPr>
            <w:tcW w:w="500" w:type="dxa"/>
            <w:vAlign w:val="bottom"/>
            <w:tcBorders>
              <w:top w:val="single" w:sz="8" w:color="auto"/>
            </w:tcBorders>
          </w:tcPr>
          <w:p>
            <w:pPr>
              <w:spacing w:after="0"/>
              <w:rPr>
                <w:sz w:val="17"/>
                <w:szCs w:val="17"/>
                <w:color w:val="auto"/>
              </w:rPr>
            </w:pPr>
          </w:p>
        </w:tc>
        <w:tc>
          <w:tcPr>
            <w:tcW w:w="740" w:type="dxa"/>
            <w:vAlign w:val="bottom"/>
            <w:tcBorders>
              <w:top w:val="single" w:sz="8" w:color="auto"/>
            </w:tcBorders>
          </w:tcPr>
          <w:p>
            <w:pPr>
              <w:spacing w:after="0"/>
              <w:rPr>
                <w:sz w:val="17"/>
                <w:szCs w:val="17"/>
                <w:color w:val="auto"/>
              </w:rPr>
            </w:pPr>
          </w:p>
        </w:tc>
        <w:tc>
          <w:tcPr>
            <w:tcW w:w="700" w:type="dxa"/>
            <w:vAlign w:val="bottom"/>
            <w:tcBorders>
              <w:top w:val="single" w:sz="8" w:color="auto"/>
            </w:tcBorders>
          </w:tcPr>
          <w:p>
            <w:pPr>
              <w:spacing w:after="0"/>
              <w:rPr>
                <w:sz w:val="17"/>
                <w:szCs w:val="17"/>
                <w:color w:val="auto"/>
              </w:rPr>
            </w:pPr>
          </w:p>
        </w:tc>
        <w:tc>
          <w:tcPr>
            <w:tcW w:w="1800" w:type="dxa"/>
            <w:vAlign w:val="bottom"/>
          </w:tcPr>
          <w:p>
            <w:pPr>
              <w:spacing w:after="0"/>
              <w:rPr>
                <w:sz w:val="17"/>
                <w:szCs w:val="17"/>
                <w:color w:val="auto"/>
              </w:rPr>
            </w:pPr>
          </w:p>
        </w:tc>
        <w:tc>
          <w:tcPr>
            <w:tcW w:w="136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5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320" w:type="dxa"/>
            <w:vAlign w:val="bottom"/>
          </w:tcPr>
          <w:p>
            <w:pPr>
              <w:ind w:left="220"/>
              <w:spacing w:after="0" w:line="202" w:lineRule="exact"/>
              <w:rPr>
                <w:sz w:val="20"/>
                <w:szCs w:val="20"/>
                <w:color w:val="auto"/>
              </w:rPr>
            </w:pPr>
            <w:r>
              <w:rPr>
                <w:rFonts w:ascii="Arial" w:cs="Arial" w:eastAsia="Arial" w:hAnsi="Arial"/>
                <w:sz w:val="18"/>
                <w:szCs w:val="18"/>
                <w:color w:val="auto"/>
              </w:rPr>
              <w:t>year</w:t>
            </w:r>
          </w:p>
        </w:tc>
        <w:tc>
          <w:tcPr>
            <w:tcW w:w="520" w:type="dxa"/>
            <w:vAlign w:val="bottom"/>
          </w:tcPr>
          <w:p>
            <w:pPr>
              <w:jc w:val="right"/>
              <w:ind w:right="72"/>
              <w:spacing w:after="0" w:line="202" w:lineRule="exact"/>
              <w:rPr>
                <w:sz w:val="20"/>
                <w:szCs w:val="20"/>
                <w:color w:val="auto"/>
              </w:rPr>
            </w:pPr>
            <w:r>
              <w:rPr>
                <w:rFonts w:ascii="Arial" w:cs="Arial" w:eastAsia="Arial" w:hAnsi="Arial"/>
                <w:sz w:val="18"/>
                <w:szCs w:val="18"/>
                <w:color w:val="auto"/>
              </w:rPr>
              <w:t>$</w:t>
            </w:r>
          </w:p>
        </w:tc>
        <w:tc>
          <w:tcPr>
            <w:tcW w:w="700" w:type="dxa"/>
            <w:vAlign w:val="bottom"/>
          </w:tcPr>
          <w:p>
            <w:pPr>
              <w:jc w:val="right"/>
              <w:ind w:right="172"/>
              <w:spacing w:after="0" w:line="202" w:lineRule="exact"/>
              <w:rPr>
                <w:sz w:val="20"/>
                <w:szCs w:val="20"/>
                <w:color w:val="auto"/>
              </w:rPr>
            </w:pPr>
            <w:r>
              <w:rPr>
                <w:rFonts w:ascii="Arial" w:cs="Arial" w:eastAsia="Arial" w:hAnsi="Arial"/>
                <w:sz w:val="18"/>
                <w:szCs w:val="18"/>
                <w:color w:val="auto"/>
              </w:rPr>
              <w:t>568</w:t>
            </w:r>
          </w:p>
        </w:tc>
        <w:tc>
          <w:tcPr>
            <w:tcW w:w="500" w:type="dxa"/>
            <w:vAlign w:val="bottom"/>
          </w:tcPr>
          <w:p>
            <w:pPr>
              <w:jc w:val="right"/>
              <w:ind w:right="52"/>
              <w:spacing w:after="0" w:line="202" w:lineRule="exact"/>
              <w:rPr>
                <w:sz w:val="20"/>
                <w:szCs w:val="20"/>
                <w:color w:val="auto"/>
              </w:rPr>
            </w:pPr>
            <w:r>
              <w:rPr>
                <w:rFonts w:ascii="Arial" w:cs="Arial" w:eastAsia="Arial" w:hAnsi="Arial"/>
                <w:sz w:val="18"/>
                <w:szCs w:val="18"/>
                <w:color w:val="auto"/>
              </w:rPr>
              <w:t>$</w:t>
            </w:r>
          </w:p>
        </w:tc>
        <w:tc>
          <w:tcPr>
            <w:tcW w:w="740" w:type="dxa"/>
            <w:vAlign w:val="bottom"/>
          </w:tcPr>
          <w:p>
            <w:pPr>
              <w:jc w:val="right"/>
              <w:ind w:right="192"/>
              <w:spacing w:after="0" w:line="202" w:lineRule="exact"/>
              <w:rPr>
                <w:sz w:val="20"/>
                <w:szCs w:val="20"/>
                <w:color w:val="auto"/>
              </w:rPr>
            </w:pPr>
            <w:r>
              <w:rPr>
                <w:rFonts w:ascii="Arial" w:cs="Arial" w:eastAsia="Arial" w:hAnsi="Arial"/>
                <w:sz w:val="18"/>
                <w:szCs w:val="18"/>
                <w:color w:val="auto"/>
              </w:rPr>
              <w:t>184</w:t>
            </w:r>
          </w:p>
        </w:tc>
        <w:tc>
          <w:tcPr>
            <w:tcW w:w="700" w:type="dxa"/>
            <w:vAlign w:val="bottom"/>
          </w:tcPr>
          <w:p>
            <w:pPr>
              <w:jc w:val="right"/>
              <w:spacing w:after="0" w:line="202" w:lineRule="exact"/>
              <w:rPr>
                <w:sz w:val="20"/>
                <w:szCs w:val="20"/>
                <w:color w:val="auto"/>
              </w:rPr>
            </w:pPr>
            <w:r>
              <w:rPr>
                <w:rFonts w:ascii="Arial" w:cs="Arial" w:eastAsia="Arial" w:hAnsi="Arial"/>
                <w:sz w:val="18"/>
                <w:szCs w:val="18"/>
                <w:color w:val="auto"/>
              </w:rPr>
              <w:t>$752</w:t>
            </w:r>
          </w:p>
        </w:tc>
        <w:tc>
          <w:tcPr>
            <w:tcW w:w="1800" w:type="dxa"/>
            <w:vAlign w:val="bottom"/>
          </w:tcPr>
          <w:p>
            <w:pPr>
              <w:spacing w:after="0"/>
              <w:rPr>
                <w:sz w:val="17"/>
                <w:szCs w:val="17"/>
                <w:color w:val="auto"/>
              </w:rPr>
            </w:pPr>
          </w:p>
        </w:tc>
        <w:tc>
          <w:tcPr>
            <w:tcW w:w="136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5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320" w:type="dxa"/>
            <w:vAlign w:val="bottom"/>
          </w:tcPr>
          <w:p>
            <w:pPr>
              <w:ind w:left="20"/>
              <w:spacing w:after="0" w:line="202" w:lineRule="exact"/>
              <w:rPr>
                <w:sz w:val="20"/>
                <w:szCs w:val="20"/>
                <w:color w:val="auto"/>
              </w:rPr>
            </w:pPr>
            <w:r>
              <w:rPr>
                <w:rFonts w:ascii="Arial" w:cs="Arial" w:eastAsia="Arial" w:hAnsi="Arial"/>
                <w:sz w:val="18"/>
                <w:szCs w:val="18"/>
                <w:color w:val="auto"/>
              </w:rPr>
              <w:t>Change in debt</w:t>
            </w:r>
          </w:p>
        </w:tc>
        <w:tc>
          <w:tcPr>
            <w:tcW w:w="52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50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1800" w:type="dxa"/>
            <w:vAlign w:val="bottom"/>
          </w:tcPr>
          <w:p>
            <w:pPr>
              <w:spacing w:after="0"/>
              <w:rPr>
                <w:sz w:val="17"/>
                <w:szCs w:val="17"/>
                <w:color w:val="auto"/>
              </w:rPr>
            </w:pPr>
          </w:p>
        </w:tc>
        <w:tc>
          <w:tcPr>
            <w:tcW w:w="136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5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320" w:type="dxa"/>
            <w:vAlign w:val="bottom"/>
          </w:tcPr>
          <w:p>
            <w:pPr>
              <w:ind w:left="220"/>
              <w:spacing w:after="0" w:line="202" w:lineRule="exact"/>
              <w:rPr>
                <w:sz w:val="20"/>
                <w:szCs w:val="20"/>
                <w:color w:val="auto"/>
              </w:rPr>
            </w:pPr>
            <w:r>
              <w:rPr>
                <w:rFonts w:ascii="Arial" w:cs="Arial" w:eastAsia="Arial" w:hAnsi="Arial"/>
                <w:sz w:val="18"/>
                <w:szCs w:val="18"/>
                <w:color w:val="auto"/>
              </w:rPr>
              <w:t>component to interest</w:t>
            </w:r>
          </w:p>
        </w:tc>
        <w:tc>
          <w:tcPr>
            <w:tcW w:w="52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50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1800" w:type="dxa"/>
            <w:vAlign w:val="bottom"/>
          </w:tcPr>
          <w:p>
            <w:pPr>
              <w:spacing w:after="0"/>
              <w:rPr>
                <w:sz w:val="17"/>
                <w:szCs w:val="17"/>
                <w:color w:val="auto"/>
              </w:rPr>
            </w:pPr>
          </w:p>
        </w:tc>
        <w:tc>
          <w:tcPr>
            <w:tcW w:w="136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5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320" w:type="dxa"/>
            <w:vAlign w:val="bottom"/>
          </w:tcPr>
          <w:p>
            <w:pPr>
              <w:ind w:left="220"/>
              <w:spacing w:after="0" w:line="202" w:lineRule="exact"/>
              <w:rPr>
                <w:sz w:val="20"/>
                <w:szCs w:val="20"/>
                <w:color w:val="auto"/>
              </w:rPr>
            </w:pPr>
            <w:r>
              <w:rPr>
                <w:rFonts w:ascii="Arial" w:cs="Arial" w:eastAsia="Arial" w:hAnsi="Arial"/>
                <w:sz w:val="18"/>
                <w:szCs w:val="18"/>
                <w:color w:val="auto"/>
              </w:rPr>
              <w:t>expense</w:t>
            </w:r>
          </w:p>
        </w:tc>
        <w:tc>
          <w:tcPr>
            <w:tcW w:w="520" w:type="dxa"/>
            <w:vAlign w:val="bottom"/>
          </w:tcPr>
          <w:p>
            <w:pPr>
              <w:spacing w:after="0"/>
              <w:rPr>
                <w:sz w:val="17"/>
                <w:szCs w:val="17"/>
                <w:color w:val="auto"/>
              </w:rPr>
            </w:pPr>
          </w:p>
        </w:tc>
        <w:tc>
          <w:tcPr>
            <w:tcW w:w="700" w:type="dxa"/>
            <w:vAlign w:val="bottom"/>
          </w:tcPr>
          <w:p>
            <w:pPr>
              <w:jc w:val="right"/>
              <w:ind w:right="172"/>
              <w:spacing w:after="0" w:line="202" w:lineRule="exact"/>
              <w:rPr>
                <w:sz w:val="20"/>
                <w:szCs w:val="20"/>
                <w:color w:val="auto"/>
              </w:rPr>
            </w:pPr>
            <w:r>
              <w:rPr>
                <w:rFonts w:ascii="Arial" w:cs="Arial" w:eastAsia="Arial" w:hAnsi="Arial"/>
                <w:sz w:val="18"/>
                <w:szCs w:val="18"/>
                <w:color w:val="auto"/>
              </w:rPr>
              <w:t>28</w:t>
            </w:r>
          </w:p>
        </w:tc>
        <w:tc>
          <w:tcPr>
            <w:tcW w:w="500" w:type="dxa"/>
            <w:vAlign w:val="bottom"/>
          </w:tcPr>
          <w:p>
            <w:pPr>
              <w:spacing w:after="0"/>
              <w:rPr>
                <w:sz w:val="17"/>
                <w:szCs w:val="17"/>
                <w:color w:val="auto"/>
              </w:rPr>
            </w:pPr>
          </w:p>
        </w:tc>
        <w:tc>
          <w:tcPr>
            <w:tcW w:w="740" w:type="dxa"/>
            <w:vAlign w:val="bottom"/>
          </w:tcPr>
          <w:p>
            <w:pPr>
              <w:jc w:val="right"/>
              <w:ind w:right="292"/>
              <w:spacing w:after="0" w:line="202" w:lineRule="exact"/>
              <w:rPr>
                <w:sz w:val="20"/>
                <w:szCs w:val="20"/>
                <w:color w:val="auto"/>
              </w:rPr>
            </w:pPr>
            <w:r>
              <w:rPr>
                <w:rFonts w:ascii="Arial" w:cs="Arial" w:eastAsia="Arial" w:hAnsi="Arial"/>
                <w:sz w:val="18"/>
                <w:szCs w:val="18"/>
                <w:color w:val="auto"/>
              </w:rPr>
              <w:t>—</w:t>
            </w:r>
          </w:p>
        </w:tc>
        <w:tc>
          <w:tcPr>
            <w:tcW w:w="700" w:type="dxa"/>
            <w:vAlign w:val="bottom"/>
          </w:tcPr>
          <w:p>
            <w:pPr>
              <w:jc w:val="right"/>
              <w:spacing w:after="0" w:line="202" w:lineRule="exact"/>
              <w:rPr>
                <w:sz w:val="20"/>
                <w:szCs w:val="20"/>
                <w:color w:val="auto"/>
              </w:rPr>
            </w:pPr>
            <w:r>
              <w:rPr>
                <w:rFonts w:ascii="Arial" w:cs="Arial" w:eastAsia="Arial" w:hAnsi="Arial"/>
                <w:sz w:val="18"/>
                <w:szCs w:val="18"/>
                <w:color w:val="auto"/>
              </w:rPr>
              <w:t>28</w:t>
            </w:r>
          </w:p>
        </w:tc>
        <w:tc>
          <w:tcPr>
            <w:tcW w:w="1800" w:type="dxa"/>
            <w:vAlign w:val="bottom"/>
          </w:tcPr>
          <w:p>
            <w:pPr>
              <w:spacing w:after="0"/>
              <w:rPr>
                <w:sz w:val="17"/>
                <w:szCs w:val="17"/>
                <w:color w:val="auto"/>
              </w:rPr>
            </w:pPr>
          </w:p>
        </w:tc>
        <w:tc>
          <w:tcPr>
            <w:tcW w:w="136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5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320" w:type="dxa"/>
            <w:vAlign w:val="bottom"/>
          </w:tcPr>
          <w:p>
            <w:pPr>
              <w:ind w:left="20"/>
              <w:spacing w:after="0" w:line="202" w:lineRule="exact"/>
              <w:rPr>
                <w:sz w:val="20"/>
                <w:szCs w:val="20"/>
                <w:color w:val="auto"/>
              </w:rPr>
            </w:pPr>
            <w:r>
              <w:rPr>
                <w:rFonts w:ascii="Arial" w:cs="Arial" w:eastAsia="Arial" w:hAnsi="Arial"/>
                <w:sz w:val="18"/>
                <w:szCs w:val="18"/>
                <w:color w:val="auto"/>
              </w:rPr>
              <w:t>Change in derivative</w:t>
            </w:r>
          </w:p>
        </w:tc>
        <w:tc>
          <w:tcPr>
            <w:tcW w:w="52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50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1800" w:type="dxa"/>
            <w:vAlign w:val="bottom"/>
          </w:tcPr>
          <w:p>
            <w:pPr>
              <w:spacing w:after="0"/>
              <w:rPr>
                <w:sz w:val="17"/>
                <w:szCs w:val="17"/>
                <w:color w:val="auto"/>
              </w:rPr>
            </w:pPr>
          </w:p>
        </w:tc>
        <w:tc>
          <w:tcPr>
            <w:tcW w:w="136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5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320" w:type="dxa"/>
            <w:vAlign w:val="bottom"/>
          </w:tcPr>
          <w:p>
            <w:pPr>
              <w:ind w:left="220"/>
              <w:spacing w:after="0" w:line="202" w:lineRule="exact"/>
              <w:rPr>
                <w:sz w:val="20"/>
                <w:szCs w:val="20"/>
                <w:color w:val="auto"/>
              </w:rPr>
            </w:pPr>
            <w:r>
              <w:rPr>
                <w:rFonts w:ascii="Arial" w:cs="Arial" w:eastAsia="Arial" w:hAnsi="Arial"/>
                <w:sz w:val="18"/>
                <w:szCs w:val="18"/>
                <w:color w:val="auto"/>
              </w:rPr>
              <w:t>component to</w:t>
            </w:r>
          </w:p>
        </w:tc>
        <w:tc>
          <w:tcPr>
            <w:tcW w:w="52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50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1800" w:type="dxa"/>
            <w:vAlign w:val="bottom"/>
          </w:tcPr>
          <w:p>
            <w:pPr>
              <w:spacing w:after="0"/>
              <w:rPr>
                <w:sz w:val="17"/>
                <w:szCs w:val="17"/>
                <w:color w:val="auto"/>
              </w:rPr>
            </w:pPr>
          </w:p>
        </w:tc>
        <w:tc>
          <w:tcPr>
            <w:tcW w:w="136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5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320" w:type="dxa"/>
            <w:vAlign w:val="bottom"/>
          </w:tcPr>
          <w:p>
            <w:pPr>
              <w:ind w:left="220"/>
              <w:spacing w:after="0" w:line="202" w:lineRule="exact"/>
              <w:rPr>
                <w:sz w:val="20"/>
                <w:szCs w:val="20"/>
                <w:color w:val="auto"/>
              </w:rPr>
            </w:pPr>
            <w:r>
              <w:rPr>
                <w:rFonts w:ascii="Arial" w:cs="Arial" w:eastAsia="Arial" w:hAnsi="Arial"/>
                <w:sz w:val="18"/>
                <w:szCs w:val="18"/>
                <w:color w:val="auto"/>
              </w:rPr>
              <w:t>investment income</w:t>
            </w:r>
          </w:p>
        </w:tc>
        <w:tc>
          <w:tcPr>
            <w:tcW w:w="52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50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1800" w:type="dxa"/>
            <w:vAlign w:val="bottom"/>
          </w:tcPr>
          <w:p>
            <w:pPr>
              <w:spacing w:after="0"/>
              <w:rPr>
                <w:sz w:val="17"/>
                <w:szCs w:val="17"/>
                <w:color w:val="auto"/>
              </w:rPr>
            </w:pPr>
          </w:p>
        </w:tc>
        <w:tc>
          <w:tcPr>
            <w:tcW w:w="136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5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9"/>
        </w:trPr>
        <w:tc>
          <w:tcPr>
            <w:tcW w:w="2320" w:type="dxa"/>
            <w:vAlign w:val="bottom"/>
            <w:tcBorders>
              <w:bottom w:val="single" w:sz="8" w:color="auto"/>
            </w:tcBorders>
          </w:tcPr>
          <w:p>
            <w:pPr>
              <w:ind w:left="220"/>
              <w:spacing w:after="0" w:line="200" w:lineRule="exact"/>
              <w:rPr>
                <w:sz w:val="20"/>
                <w:szCs w:val="20"/>
                <w:color w:val="auto"/>
              </w:rPr>
            </w:pPr>
            <w:r>
              <w:rPr>
                <w:rFonts w:ascii="Arial" w:cs="Arial" w:eastAsia="Arial" w:hAnsi="Arial"/>
                <w:sz w:val="18"/>
                <w:szCs w:val="18"/>
                <w:color w:val="auto"/>
              </w:rPr>
              <w:t>(loss), net</w:t>
            </w:r>
          </w:p>
        </w:tc>
        <w:tc>
          <w:tcPr>
            <w:tcW w:w="520" w:type="dxa"/>
            <w:vAlign w:val="bottom"/>
            <w:tcBorders>
              <w:bottom w:val="single" w:sz="8" w:color="auto"/>
            </w:tcBorders>
          </w:tcPr>
          <w:p>
            <w:pPr>
              <w:spacing w:after="0"/>
              <w:rPr>
                <w:sz w:val="17"/>
                <w:szCs w:val="17"/>
                <w:color w:val="auto"/>
              </w:rPr>
            </w:pPr>
          </w:p>
        </w:tc>
        <w:tc>
          <w:tcPr>
            <w:tcW w:w="700" w:type="dxa"/>
            <w:vAlign w:val="bottom"/>
            <w:tcBorders>
              <w:bottom w:val="single" w:sz="8" w:color="auto"/>
            </w:tcBorders>
          </w:tcPr>
          <w:p>
            <w:pPr>
              <w:jc w:val="right"/>
              <w:ind w:right="272"/>
              <w:spacing w:after="0" w:line="200" w:lineRule="exact"/>
              <w:rPr>
                <w:sz w:val="20"/>
                <w:szCs w:val="20"/>
                <w:color w:val="auto"/>
              </w:rPr>
            </w:pPr>
            <w:r>
              <w:rPr>
                <w:rFonts w:ascii="Arial" w:cs="Arial" w:eastAsia="Arial" w:hAnsi="Arial"/>
                <w:sz w:val="18"/>
                <w:szCs w:val="18"/>
                <w:color w:val="auto"/>
              </w:rPr>
              <w:t>—</w:t>
            </w:r>
          </w:p>
        </w:tc>
        <w:tc>
          <w:tcPr>
            <w:tcW w:w="500" w:type="dxa"/>
            <w:vAlign w:val="bottom"/>
            <w:tcBorders>
              <w:bottom w:val="single" w:sz="8" w:color="auto"/>
            </w:tcBorders>
          </w:tcPr>
          <w:p>
            <w:pPr>
              <w:spacing w:after="0"/>
              <w:rPr>
                <w:sz w:val="17"/>
                <w:szCs w:val="17"/>
                <w:color w:val="auto"/>
              </w:rPr>
            </w:pPr>
          </w:p>
        </w:tc>
        <w:tc>
          <w:tcPr>
            <w:tcW w:w="740" w:type="dxa"/>
            <w:vAlign w:val="bottom"/>
            <w:tcBorders>
              <w:bottom w:val="single" w:sz="8" w:color="auto"/>
            </w:tcBorders>
          </w:tcPr>
          <w:p>
            <w:pPr>
              <w:jc w:val="right"/>
              <w:ind w:right="132"/>
              <w:spacing w:after="0" w:line="200" w:lineRule="exact"/>
              <w:rPr>
                <w:sz w:val="20"/>
                <w:szCs w:val="20"/>
                <w:color w:val="auto"/>
              </w:rPr>
            </w:pPr>
            <w:r>
              <w:rPr>
                <w:rFonts w:ascii="Arial" w:cs="Arial" w:eastAsia="Arial" w:hAnsi="Arial"/>
                <w:sz w:val="18"/>
                <w:szCs w:val="18"/>
                <w:color w:val="auto"/>
              </w:rPr>
              <w:t>(33)</w:t>
            </w:r>
          </w:p>
        </w:tc>
        <w:tc>
          <w:tcPr>
            <w:tcW w:w="700" w:type="dxa"/>
            <w:vAlign w:val="bottom"/>
            <w:tcBorders>
              <w:bottom w:val="single" w:sz="8" w:color="auto"/>
            </w:tcBorders>
          </w:tcPr>
          <w:p>
            <w:pPr>
              <w:jc w:val="right"/>
              <w:spacing w:after="0" w:line="200" w:lineRule="exact"/>
              <w:rPr>
                <w:sz w:val="20"/>
                <w:szCs w:val="20"/>
                <w:color w:val="auto"/>
              </w:rPr>
            </w:pPr>
            <w:r>
              <w:rPr>
                <w:rFonts w:ascii="Arial" w:cs="Arial" w:eastAsia="Arial" w:hAnsi="Arial"/>
                <w:sz w:val="18"/>
                <w:szCs w:val="18"/>
                <w:color w:val="auto"/>
              </w:rPr>
              <w:t>(33)</w:t>
            </w:r>
          </w:p>
        </w:tc>
        <w:tc>
          <w:tcPr>
            <w:tcW w:w="1800" w:type="dxa"/>
            <w:vAlign w:val="bottom"/>
          </w:tcPr>
          <w:p>
            <w:pPr>
              <w:spacing w:after="0"/>
              <w:rPr>
                <w:sz w:val="17"/>
                <w:szCs w:val="17"/>
                <w:color w:val="auto"/>
              </w:rPr>
            </w:pPr>
          </w:p>
        </w:tc>
        <w:tc>
          <w:tcPr>
            <w:tcW w:w="136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5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2320" w:type="dxa"/>
            <w:vAlign w:val="bottom"/>
            <w:tcBorders>
              <w:bottom w:val="single" w:sz="8" w:color="35BF85"/>
            </w:tcBorders>
          </w:tcPr>
          <w:p>
            <w:pPr>
              <w:ind w:left="20"/>
              <w:spacing w:after="0" w:line="196" w:lineRule="exact"/>
              <w:rPr>
                <w:sz w:val="20"/>
                <w:szCs w:val="20"/>
                <w:color w:val="auto"/>
              </w:rPr>
            </w:pPr>
            <w:r>
              <w:rPr>
                <w:rFonts w:ascii="Arial" w:cs="Arial" w:eastAsia="Arial" w:hAnsi="Arial"/>
                <w:sz w:val="18"/>
                <w:szCs w:val="18"/>
                <w:color w:val="auto"/>
              </w:rPr>
              <w:t>Balance at end of year</w:t>
            </w:r>
          </w:p>
        </w:tc>
        <w:tc>
          <w:tcPr>
            <w:tcW w:w="520" w:type="dxa"/>
            <w:vAlign w:val="bottom"/>
            <w:tcBorders>
              <w:bottom w:val="single" w:sz="8" w:color="35BF85"/>
            </w:tcBorders>
          </w:tcPr>
          <w:p>
            <w:pPr>
              <w:jc w:val="right"/>
              <w:ind w:right="72"/>
              <w:spacing w:after="0" w:line="196" w:lineRule="exact"/>
              <w:rPr>
                <w:sz w:val="20"/>
                <w:szCs w:val="20"/>
                <w:color w:val="auto"/>
              </w:rPr>
            </w:pPr>
            <w:r>
              <w:rPr>
                <w:rFonts w:ascii="Arial" w:cs="Arial" w:eastAsia="Arial" w:hAnsi="Arial"/>
                <w:sz w:val="18"/>
                <w:szCs w:val="18"/>
                <w:color w:val="auto"/>
              </w:rPr>
              <w:t>$</w:t>
            </w:r>
          </w:p>
        </w:tc>
        <w:tc>
          <w:tcPr>
            <w:tcW w:w="700" w:type="dxa"/>
            <w:vAlign w:val="bottom"/>
            <w:tcBorders>
              <w:bottom w:val="single" w:sz="8" w:color="35BF85"/>
            </w:tcBorders>
          </w:tcPr>
          <w:p>
            <w:pPr>
              <w:jc w:val="right"/>
              <w:ind w:right="172"/>
              <w:spacing w:after="0" w:line="196" w:lineRule="exact"/>
              <w:rPr>
                <w:sz w:val="20"/>
                <w:szCs w:val="20"/>
                <w:color w:val="auto"/>
              </w:rPr>
            </w:pPr>
            <w:r>
              <w:rPr>
                <w:rFonts w:ascii="Arial" w:cs="Arial" w:eastAsia="Arial" w:hAnsi="Arial"/>
                <w:sz w:val="18"/>
                <w:szCs w:val="18"/>
                <w:color w:val="auto"/>
              </w:rPr>
              <w:t>596</w:t>
            </w:r>
          </w:p>
        </w:tc>
        <w:tc>
          <w:tcPr>
            <w:tcW w:w="500" w:type="dxa"/>
            <w:vAlign w:val="bottom"/>
            <w:tcBorders>
              <w:bottom w:val="single" w:sz="8" w:color="35BF85"/>
            </w:tcBorders>
          </w:tcPr>
          <w:p>
            <w:pPr>
              <w:jc w:val="right"/>
              <w:ind w:right="52"/>
              <w:spacing w:after="0" w:line="196" w:lineRule="exact"/>
              <w:rPr>
                <w:sz w:val="20"/>
                <w:szCs w:val="20"/>
                <w:color w:val="auto"/>
              </w:rPr>
            </w:pPr>
            <w:r>
              <w:rPr>
                <w:rFonts w:ascii="Arial" w:cs="Arial" w:eastAsia="Arial" w:hAnsi="Arial"/>
                <w:sz w:val="18"/>
                <w:szCs w:val="18"/>
                <w:color w:val="auto"/>
              </w:rPr>
              <w:t>$</w:t>
            </w:r>
          </w:p>
        </w:tc>
        <w:tc>
          <w:tcPr>
            <w:tcW w:w="740" w:type="dxa"/>
            <w:vAlign w:val="bottom"/>
            <w:tcBorders>
              <w:bottom w:val="single" w:sz="8" w:color="35BF85"/>
            </w:tcBorders>
          </w:tcPr>
          <w:p>
            <w:pPr>
              <w:jc w:val="right"/>
              <w:ind w:right="192"/>
              <w:spacing w:after="0" w:line="196" w:lineRule="exact"/>
              <w:rPr>
                <w:sz w:val="20"/>
                <w:szCs w:val="20"/>
                <w:color w:val="auto"/>
              </w:rPr>
            </w:pPr>
            <w:r>
              <w:rPr>
                <w:rFonts w:ascii="Arial" w:cs="Arial" w:eastAsia="Arial" w:hAnsi="Arial"/>
                <w:sz w:val="18"/>
                <w:szCs w:val="18"/>
                <w:color w:val="auto"/>
              </w:rPr>
              <w:t>151</w:t>
            </w:r>
          </w:p>
        </w:tc>
        <w:tc>
          <w:tcPr>
            <w:tcW w:w="700" w:type="dxa"/>
            <w:vAlign w:val="bottom"/>
            <w:tcBorders>
              <w:bottom w:val="single" w:sz="8" w:color="35BF85"/>
            </w:tcBorders>
          </w:tcPr>
          <w:p>
            <w:pPr>
              <w:jc w:val="right"/>
              <w:spacing w:after="0" w:line="196" w:lineRule="exact"/>
              <w:rPr>
                <w:sz w:val="20"/>
                <w:szCs w:val="20"/>
                <w:color w:val="auto"/>
              </w:rPr>
            </w:pPr>
            <w:r>
              <w:rPr>
                <w:rFonts w:ascii="Arial" w:cs="Arial" w:eastAsia="Arial" w:hAnsi="Arial"/>
                <w:sz w:val="18"/>
                <w:szCs w:val="18"/>
                <w:color w:val="auto"/>
              </w:rPr>
              <w:t>$747</w:t>
            </w:r>
          </w:p>
        </w:tc>
        <w:tc>
          <w:tcPr>
            <w:tcW w:w="1800" w:type="dxa"/>
            <w:vAlign w:val="bottom"/>
          </w:tcPr>
          <w:p>
            <w:pPr>
              <w:spacing w:after="0"/>
              <w:rPr>
                <w:sz w:val="17"/>
                <w:szCs w:val="17"/>
                <w:color w:val="auto"/>
              </w:rPr>
            </w:pPr>
          </w:p>
        </w:tc>
        <w:tc>
          <w:tcPr>
            <w:tcW w:w="136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5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547"/>
        </w:trPr>
        <w:tc>
          <w:tcPr>
            <w:tcW w:w="232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1800" w:type="dxa"/>
            <w:vAlign w:val="bottom"/>
          </w:tcPr>
          <w:p>
            <w:pPr>
              <w:spacing w:after="0"/>
              <w:rPr>
                <w:sz w:val="24"/>
                <w:szCs w:val="24"/>
                <w:color w:val="auto"/>
              </w:rPr>
            </w:pPr>
          </w:p>
        </w:tc>
        <w:tc>
          <w:tcPr>
            <w:tcW w:w="1360" w:type="dxa"/>
            <w:vAlign w:val="bottom"/>
          </w:tcPr>
          <w:p>
            <w:pPr>
              <w:spacing w:after="0"/>
              <w:rPr>
                <w:sz w:val="24"/>
                <w:szCs w:val="24"/>
                <w:color w:val="auto"/>
              </w:rPr>
            </w:pPr>
          </w:p>
        </w:tc>
        <w:tc>
          <w:tcPr>
            <w:tcW w:w="1000" w:type="dxa"/>
            <w:vAlign w:val="bottom"/>
          </w:tcPr>
          <w:p>
            <w:pPr>
              <w:jc w:val="right"/>
              <w:ind w:right="224"/>
              <w:spacing w:after="0"/>
              <w:rPr>
                <w:sz w:val="20"/>
                <w:szCs w:val="20"/>
                <w:color w:val="auto"/>
              </w:rPr>
            </w:pPr>
            <w:r>
              <w:rPr>
                <w:rFonts w:ascii="Arial" w:cs="Arial" w:eastAsia="Arial" w:hAnsi="Arial"/>
                <w:sz w:val="14"/>
                <w:szCs w:val="14"/>
                <w:color w:val="auto"/>
              </w:rPr>
              <w:t>Average</w:t>
            </w:r>
          </w:p>
        </w:tc>
        <w:tc>
          <w:tcPr>
            <w:tcW w:w="960" w:type="dxa"/>
            <w:vAlign w:val="bottom"/>
          </w:tcPr>
          <w:p>
            <w:pPr>
              <w:jc w:val="right"/>
              <w:ind w:right="224"/>
              <w:spacing w:after="0"/>
              <w:rPr>
                <w:sz w:val="20"/>
                <w:szCs w:val="20"/>
                <w:color w:val="auto"/>
              </w:rPr>
            </w:pPr>
            <w:r>
              <w:rPr>
                <w:rFonts w:ascii="Arial" w:cs="Arial" w:eastAsia="Arial" w:hAnsi="Arial"/>
                <w:sz w:val="14"/>
                <w:szCs w:val="14"/>
                <w:color w:val="auto"/>
              </w:rPr>
              <w:t>Average</w:t>
            </w:r>
          </w:p>
        </w:tc>
        <w:tc>
          <w:tcPr>
            <w:tcW w:w="32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49"/>
        </w:trPr>
        <w:tc>
          <w:tcPr>
            <w:tcW w:w="232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1800" w:type="dxa"/>
            <w:vAlign w:val="bottom"/>
          </w:tcPr>
          <w:p>
            <w:pPr>
              <w:jc w:val="right"/>
              <w:ind w:right="132"/>
              <w:spacing w:after="0" w:line="149" w:lineRule="exact"/>
              <w:rPr>
                <w:sz w:val="20"/>
                <w:szCs w:val="20"/>
                <w:color w:val="auto"/>
              </w:rPr>
            </w:pPr>
            <w:r>
              <w:rPr>
                <w:rFonts w:ascii="Arial" w:cs="Arial" w:eastAsia="Arial" w:hAnsi="Arial"/>
                <w:sz w:val="14"/>
                <w:szCs w:val="14"/>
                <w:color w:val="auto"/>
              </w:rPr>
              <w:t>Notional</w:t>
            </w:r>
          </w:p>
        </w:tc>
        <w:tc>
          <w:tcPr>
            <w:tcW w:w="1360" w:type="dxa"/>
            <w:vAlign w:val="bottom"/>
          </w:tcPr>
          <w:p>
            <w:pPr>
              <w:spacing w:after="0"/>
              <w:rPr>
                <w:sz w:val="12"/>
                <w:szCs w:val="12"/>
                <w:color w:val="auto"/>
              </w:rPr>
            </w:pPr>
          </w:p>
        </w:tc>
        <w:tc>
          <w:tcPr>
            <w:tcW w:w="1000" w:type="dxa"/>
            <w:vAlign w:val="bottom"/>
          </w:tcPr>
          <w:p>
            <w:pPr>
              <w:jc w:val="right"/>
              <w:ind w:right="224"/>
              <w:spacing w:after="0" w:line="149" w:lineRule="exact"/>
              <w:rPr>
                <w:sz w:val="20"/>
                <w:szCs w:val="20"/>
                <w:color w:val="auto"/>
              </w:rPr>
            </w:pPr>
            <w:r>
              <w:rPr>
                <w:rFonts w:ascii="Arial" w:cs="Arial" w:eastAsia="Arial" w:hAnsi="Arial"/>
                <w:sz w:val="14"/>
                <w:szCs w:val="14"/>
                <w:color w:val="auto"/>
              </w:rPr>
              <w:t>Pay</w:t>
            </w:r>
          </w:p>
        </w:tc>
        <w:tc>
          <w:tcPr>
            <w:tcW w:w="960" w:type="dxa"/>
            <w:vAlign w:val="bottom"/>
          </w:tcPr>
          <w:p>
            <w:pPr>
              <w:jc w:val="right"/>
              <w:ind w:right="224"/>
              <w:spacing w:after="0" w:line="149" w:lineRule="exact"/>
              <w:rPr>
                <w:sz w:val="20"/>
                <w:szCs w:val="20"/>
                <w:color w:val="auto"/>
              </w:rPr>
            </w:pPr>
            <w:r>
              <w:rPr>
                <w:rFonts w:ascii="Arial" w:cs="Arial" w:eastAsia="Arial" w:hAnsi="Arial"/>
                <w:sz w:val="14"/>
                <w:szCs w:val="14"/>
                <w:color w:val="auto"/>
              </w:rPr>
              <w:t>Receive</w:t>
            </w:r>
          </w:p>
        </w:tc>
        <w:tc>
          <w:tcPr>
            <w:tcW w:w="820" w:type="dxa"/>
            <w:vAlign w:val="bottom"/>
            <w:gridSpan w:val="2"/>
          </w:tcPr>
          <w:p>
            <w:pPr>
              <w:ind w:left="160"/>
              <w:spacing w:after="0" w:line="149" w:lineRule="exact"/>
              <w:rPr>
                <w:sz w:val="20"/>
                <w:szCs w:val="20"/>
                <w:color w:val="auto"/>
              </w:rPr>
            </w:pPr>
            <w:r>
              <w:rPr>
                <w:rFonts w:ascii="Arial" w:cs="Arial" w:eastAsia="Arial" w:hAnsi="Arial"/>
                <w:sz w:val="14"/>
                <w:szCs w:val="14"/>
                <w:color w:val="auto"/>
              </w:rPr>
              <w:t>Estimated</w:t>
            </w:r>
          </w:p>
        </w:tc>
        <w:tc>
          <w:tcPr>
            <w:tcW w:w="0" w:type="dxa"/>
            <w:vAlign w:val="bottom"/>
          </w:tcPr>
          <w:p>
            <w:pPr>
              <w:spacing w:after="0"/>
              <w:rPr>
                <w:sz w:val="1"/>
                <w:szCs w:val="1"/>
                <w:color w:val="auto"/>
              </w:rPr>
            </w:pPr>
          </w:p>
        </w:tc>
      </w:tr>
      <w:tr>
        <w:trPr>
          <w:trHeight w:val="149"/>
        </w:trPr>
        <w:tc>
          <w:tcPr>
            <w:tcW w:w="2320" w:type="dxa"/>
            <w:vAlign w:val="bottom"/>
            <w:tcBorders>
              <w:bottom w:val="single" w:sz="8" w:color="auto"/>
            </w:tcBorders>
          </w:tcPr>
          <w:p>
            <w:pPr>
              <w:spacing w:after="0" w:line="149" w:lineRule="exact"/>
              <w:rPr>
                <w:sz w:val="20"/>
                <w:szCs w:val="20"/>
                <w:color w:val="auto"/>
              </w:rPr>
            </w:pPr>
            <w:r>
              <w:rPr>
                <w:rFonts w:ascii="Arial" w:cs="Arial" w:eastAsia="Arial" w:hAnsi="Arial"/>
                <w:sz w:val="14"/>
                <w:szCs w:val="14"/>
                <w:color w:val="auto"/>
              </w:rPr>
              <w:t>(in millions)</w:t>
            </w:r>
          </w:p>
        </w:tc>
        <w:tc>
          <w:tcPr>
            <w:tcW w:w="520" w:type="dxa"/>
            <w:vAlign w:val="bottom"/>
            <w:tcBorders>
              <w:bottom w:val="single" w:sz="8" w:color="auto"/>
            </w:tcBorders>
          </w:tcPr>
          <w:p>
            <w:pPr>
              <w:spacing w:after="0"/>
              <w:rPr>
                <w:sz w:val="12"/>
                <w:szCs w:val="12"/>
                <w:color w:val="auto"/>
              </w:rPr>
            </w:pPr>
          </w:p>
        </w:tc>
        <w:tc>
          <w:tcPr>
            <w:tcW w:w="700" w:type="dxa"/>
            <w:vAlign w:val="bottom"/>
            <w:tcBorders>
              <w:bottom w:val="single" w:sz="8" w:color="auto"/>
            </w:tcBorders>
          </w:tcPr>
          <w:p>
            <w:pPr>
              <w:spacing w:after="0"/>
              <w:rPr>
                <w:sz w:val="12"/>
                <w:szCs w:val="12"/>
                <w:color w:val="auto"/>
              </w:rPr>
            </w:pPr>
          </w:p>
        </w:tc>
        <w:tc>
          <w:tcPr>
            <w:tcW w:w="500" w:type="dxa"/>
            <w:vAlign w:val="bottom"/>
            <w:tcBorders>
              <w:bottom w:val="single" w:sz="8" w:color="auto"/>
            </w:tcBorders>
          </w:tcPr>
          <w:p>
            <w:pPr>
              <w:spacing w:after="0"/>
              <w:rPr>
                <w:sz w:val="12"/>
                <w:szCs w:val="12"/>
                <w:color w:val="auto"/>
              </w:rPr>
            </w:pPr>
          </w:p>
        </w:tc>
        <w:tc>
          <w:tcPr>
            <w:tcW w:w="740" w:type="dxa"/>
            <w:vAlign w:val="bottom"/>
            <w:tcBorders>
              <w:bottom w:val="single" w:sz="8" w:color="auto"/>
            </w:tcBorders>
          </w:tcPr>
          <w:p>
            <w:pPr>
              <w:spacing w:after="0"/>
              <w:rPr>
                <w:sz w:val="12"/>
                <w:szCs w:val="12"/>
                <w:color w:val="auto"/>
              </w:rPr>
            </w:pPr>
          </w:p>
        </w:tc>
        <w:tc>
          <w:tcPr>
            <w:tcW w:w="700" w:type="dxa"/>
            <w:vAlign w:val="bottom"/>
            <w:tcBorders>
              <w:bottom w:val="single" w:sz="8" w:color="auto"/>
            </w:tcBorders>
          </w:tcPr>
          <w:p>
            <w:pPr>
              <w:spacing w:after="0"/>
              <w:rPr>
                <w:sz w:val="12"/>
                <w:szCs w:val="12"/>
                <w:color w:val="auto"/>
              </w:rPr>
            </w:pPr>
          </w:p>
        </w:tc>
        <w:tc>
          <w:tcPr>
            <w:tcW w:w="1800" w:type="dxa"/>
            <w:vAlign w:val="bottom"/>
            <w:tcBorders>
              <w:bottom w:val="single" w:sz="8" w:color="auto"/>
            </w:tcBorders>
          </w:tcPr>
          <w:p>
            <w:pPr>
              <w:jc w:val="right"/>
              <w:ind w:right="132"/>
              <w:spacing w:after="0" w:line="149" w:lineRule="exact"/>
              <w:rPr>
                <w:sz w:val="20"/>
                <w:szCs w:val="20"/>
                <w:color w:val="auto"/>
              </w:rPr>
            </w:pPr>
            <w:r>
              <w:rPr>
                <w:rFonts w:ascii="Arial" w:cs="Arial" w:eastAsia="Arial" w:hAnsi="Arial"/>
                <w:sz w:val="14"/>
                <w:szCs w:val="14"/>
                <w:color w:val="auto"/>
              </w:rPr>
              <w:t>Amount</w:t>
            </w:r>
          </w:p>
        </w:tc>
        <w:tc>
          <w:tcPr>
            <w:tcW w:w="1360" w:type="dxa"/>
            <w:vAlign w:val="bottom"/>
            <w:tcBorders>
              <w:bottom w:val="single" w:sz="8" w:color="auto"/>
            </w:tcBorders>
          </w:tcPr>
          <w:p>
            <w:pPr>
              <w:jc w:val="right"/>
              <w:ind w:right="119"/>
              <w:spacing w:after="0" w:line="149" w:lineRule="exact"/>
              <w:rPr>
                <w:sz w:val="20"/>
                <w:szCs w:val="20"/>
                <w:color w:val="auto"/>
              </w:rPr>
            </w:pPr>
            <w:r>
              <w:rPr>
                <w:rFonts w:ascii="Arial" w:cs="Arial" w:eastAsia="Arial" w:hAnsi="Arial"/>
                <w:sz w:val="14"/>
                <w:szCs w:val="14"/>
                <w:color w:val="auto"/>
              </w:rPr>
              <w:t>Maturities</w:t>
            </w:r>
          </w:p>
        </w:tc>
        <w:tc>
          <w:tcPr>
            <w:tcW w:w="1000" w:type="dxa"/>
            <w:vAlign w:val="bottom"/>
            <w:tcBorders>
              <w:bottom w:val="single" w:sz="8" w:color="auto"/>
            </w:tcBorders>
          </w:tcPr>
          <w:p>
            <w:pPr>
              <w:jc w:val="right"/>
              <w:ind w:right="224"/>
              <w:spacing w:after="0" w:line="149" w:lineRule="exact"/>
              <w:rPr>
                <w:sz w:val="20"/>
                <w:szCs w:val="20"/>
                <w:color w:val="auto"/>
              </w:rPr>
            </w:pPr>
            <w:r>
              <w:rPr>
                <w:rFonts w:ascii="Arial" w:cs="Arial" w:eastAsia="Arial" w:hAnsi="Arial"/>
                <w:sz w:val="14"/>
                <w:szCs w:val="14"/>
                <w:color w:val="auto"/>
              </w:rPr>
              <w:t>Rate</w:t>
            </w:r>
          </w:p>
        </w:tc>
        <w:tc>
          <w:tcPr>
            <w:tcW w:w="960" w:type="dxa"/>
            <w:vAlign w:val="bottom"/>
            <w:tcBorders>
              <w:bottom w:val="single" w:sz="8" w:color="auto"/>
            </w:tcBorders>
          </w:tcPr>
          <w:p>
            <w:pPr>
              <w:jc w:val="right"/>
              <w:ind w:right="224"/>
              <w:spacing w:after="0" w:line="149" w:lineRule="exact"/>
              <w:rPr>
                <w:sz w:val="20"/>
                <w:szCs w:val="20"/>
                <w:color w:val="auto"/>
              </w:rPr>
            </w:pPr>
            <w:r>
              <w:rPr>
                <w:rFonts w:ascii="Arial" w:cs="Arial" w:eastAsia="Arial" w:hAnsi="Arial"/>
                <w:sz w:val="14"/>
                <w:szCs w:val="14"/>
                <w:color w:val="auto"/>
              </w:rPr>
              <w:t>Rate</w:t>
            </w:r>
          </w:p>
        </w:tc>
        <w:tc>
          <w:tcPr>
            <w:tcW w:w="820" w:type="dxa"/>
            <w:vAlign w:val="bottom"/>
            <w:tcBorders>
              <w:bottom w:val="single" w:sz="8" w:color="auto"/>
            </w:tcBorders>
            <w:gridSpan w:val="2"/>
          </w:tcPr>
          <w:p>
            <w:pPr>
              <w:ind w:left="140"/>
              <w:spacing w:after="0" w:line="149" w:lineRule="exact"/>
              <w:rPr>
                <w:sz w:val="20"/>
                <w:szCs w:val="20"/>
                <w:color w:val="auto"/>
              </w:rPr>
            </w:pPr>
            <w:r>
              <w:rPr>
                <w:rFonts w:ascii="Arial" w:cs="Arial" w:eastAsia="Arial" w:hAnsi="Arial"/>
                <w:sz w:val="14"/>
                <w:szCs w:val="14"/>
                <w:color w:val="auto"/>
              </w:rPr>
              <w:t>Fair Value</w:t>
            </w:r>
          </w:p>
        </w:tc>
        <w:tc>
          <w:tcPr>
            <w:tcW w:w="0" w:type="dxa"/>
            <w:vAlign w:val="bottom"/>
          </w:tcPr>
          <w:p>
            <w:pPr>
              <w:spacing w:after="0"/>
              <w:rPr>
                <w:sz w:val="1"/>
                <w:szCs w:val="1"/>
                <w:color w:val="auto"/>
              </w:rPr>
            </w:pPr>
          </w:p>
        </w:tc>
      </w:tr>
      <w:tr>
        <w:trPr>
          <w:trHeight w:val="199"/>
        </w:trPr>
        <w:tc>
          <w:tcPr>
            <w:tcW w:w="2320" w:type="dxa"/>
            <w:vAlign w:val="bottom"/>
          </w:tcPr>
          <w:p>
            <w:pPr>
              <w:spacing w:after="0" w:line="200" w:lineRule="exact"/>
              <w:rPr>
                <w:sz w:val="20"/>
                <w:szCs w:val="20"/>
                <w:color w:val="auto"/>
              </w:rPr>
            </w:pPr>
            <w:r>
              <w:rPr>
                <w:rFonts w:ascii="Arial" w:cs="Arial" w:eastAsia="Arial" w:hAnsi="Arial"/>
                <w:sz w:val="18"/>
                <w:szCs w:val="18"/>
                <w:b w:val="1"/>
                <w:bCs w:val="1"/>
                <w:color w:val="auto"/>
              </w:rPr>
              <w:t>As of December 31, 2006</w:t>
            </w:r>
          </w:p>
        </w:tc>
        <w:tc>
          <w:tcPr>
            <w:tcW w:w="52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50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2500" w:type="dxa"/>
            <w:vAlign w:val="bottom"/>
            <w:gridSpan w:val="2"/>
            <w:vMerge w:val="restart"/>
          </w:tcPr>
          <w:p>
            <w:pPr>
              <w:jc w:val="right"/>
              <w:ind w:right="132"/>
              <w:spacing w:after="0"/>
              <w:rPr>
                <w:sz w:val="20"/>
                <w:szCs w:val="20"/>
                <w:color w:val="auto"/>
              </w:rPr>
            </w:pPr>
            <w:r>
              <w:rPr>
                <w:rFonts w:ascii="Arial" w:cs="Arial" w:eastAsia="Arial" w:hAnsi="Arial"/>
                <w:sz w:val="18"/>
                <w:szCs w:val="18"/>
                <w:b w:val="1"/>
                <w:bCs w:val="1"/>
                <w:color w:val="auto"/>
              </w:rPr>
              <w:t>$3,200</w:t>
            </w:r>
          </w:p>
        </w:tc>
        <w:tc>
          <w:tcPr>
            <w:tcW w:w="1360" w:type="dxa"/>
            <w:vAlign w:val="bottom"/>
            <w:vMerge w:val="restart"/>
          </w:tcPr>
          <w:p>
            <w:pPr>
              <w:jc w:val="right"/>
              <w:ind w:right="119"/>
              <w:spacing w:after="0"/>
              <w:rPr>
                <w:sz w:val="20"/>
                <w:szCs w:val="20"/>
                <w:color w:val="auto"/>
              </w:rPr>
            </w:pPr>
            <w:r>
              <w:rPr>
                <w:rFonts w:ascii="Arial" w:cs="Arial" w:eastAsia="Arial" w:hAnsi="Arial"/>
                <w:sz w:val="18"/>
                <w:szCs w:val="18"/>
                <w:b w:val="1"/>
                <w:bCs w:val="1"/>
                <w:color w:val="auto"/>
              </w:rPr>
              <w:t>2008 – 2014</w:t>
            </w:r>
          </w:p>
        </w:tc>
        <w:tc>
          <w:tcPr>
            <w:tcW w:w="1000" w:type="dxa"/>
            <w:vAlign w:val="bottom"/>
            <w:vMerge w:val="restart"/>
          </w:tcPr>
          <w:p>
            <w:pPr>
              <w:jc w:val="right"/>
              <w:ind w:right="64"/>
              <w:spacing w:after="0"/>
              <w:rPr>
                <w:sz w:val="20"/>
                <w:szCs w:val="20"/>
                <w:color w:val="auto"/>
              </w:rPr>
            </w:pPr>
            <w:r>
              <w:rPr>
                <w:rFonts w:ascii="Arial" w:cs="Arial" w:eastAsia="Arial" w:hAnsi="Arial"/>
                <w:sz w:val="18"/>
                <w:szCs w:val="18"/>
                <w:b w:val="1"/>
                <w:bCs w:val="1"/>
                <w:color w:val="auto"/>
              </w:rPr>
              <w:t>7.2%</w:t>
            </w:r>
          </w:p>
        </w:tc>
        <w:tc>
          <w:tcPr>
            <w:tcW w:w="960" w:type="dxa"/>
            <w:vAlign w:val="bottom"/>
            <w:vMerge w:val="restart"/>
          </w:tcPr>
          <w:p>
            <w:pPr>
              <w:jc w:val="right"/>
              <w:ind w:right="64"/>
              <w:spacing w:after="0"/>
              <w:rPr>
                <w:sz w:val="20"/>
                <w:szCs w:val="20"/>
                <w:color w:val="auto"/>
              </w:rPr>
            </w:pPr>
            <w:r>
              <w:rPr>
                <w:rFonts w:ascii="Arial" w:cs="Arial" w:eastAsia="Arial" w:hAnsi="Arial"/>
                <w:sz w:val="18"/>
                <w:szCs w:val="18"/>
                <w:b w:val="1"/>
                <w:bCs w:val="1"/>
                <w:color w:val="auto"/>
              </w:rPr>
              <w:t>5.9%</w:t>
            </w:r>
          </w:p>
        </w:tc>
        <w:tc>
          <w:tcPr>
            <w:tcW w:w="320" w:type="dxa"/>
            <w:vAlign w:val="bottom"/>
            <w:vMerge w:val="restart"/>
          </w:tcPr>
          <w:p>
            <w:pPr>
              <w:ind w:left="140"/>
              <w:spacing w:after="0"/>
              <w:rPr>
                <w:sz w:val="20"/>
                <w:szCs w:val="20"/>
                <w:color w:val="auto"/>
              </w:rPr>
            </w:pPr>
            <w:r>
              <w:rPr>
                <w:rFonts w:ascii="Arial" w:cs="Arial" w:eastAsia="Arial" w:hAnsi="Arial"/>
                <w:sz w:val="18"/>
                <w:szCs w:val="18"/>
                <w:b w:val="1"/>
                <w:bCs w:val="1"/>
                <w:color w:val="auto"/>
              </w:rPr>
              <w:t>$</w:t>
            </w:r>
          </w:p>
        </w:tc>
        <w:tc>
          <w:tcPr>
            <w:tcW w:w="500" w:type="dxa"/>
            <w:vAlign w:val="bottom"/>
            <w:vMerge w:val="restart"/>
          </w:tcPr>
          <w:p>
            <w:pPr>
              <w:jc w:val="right"/>
              <w:spacing w:after="0"/>
              <w:rPr>
                <w:sz w:val="20"/>
                <w:szCs w:val="20"/>
                <w:color w:val="auto"/>
              </w:rPr>
            </w:pPr>
            <w:r>
              <w:rPr>
                <w:rFonts w:ascii="Arial" w:cs="Arial" w:eastAsia="Arial" w:hAnsi="Arial"/>
                <w:sz w:val="18"/>
                <w:szCs w:val="18"/>
                <w:b w:val="1"/>
                <w:bCs w:val="1"/>
                <w:color w:val="auto"/>
              </w:rPr>
              <w:t>(103)</w:t>
            </w:r>
          </w:p>
        </w:tc>
        <w:tc>
          <w:tcPr>
            <w:tcW w:w="0" w:type="dxa"/>
            <w:vAlign w:val="bottom"/>
          </w:tcPr>
          <w:p>
            <w:pPr>
              <w:spacing w:after="0"/>
              <w:rPr>
                <w:sz w:val="1"/>
                <w:szCs w:val="1"/>
                <w:color w:val="auto"/>
              </w:rPr>
            </w:pPr>
          </w:p>
        </w:tc>
      </w:tr>
      <w:tr>
        <w:trPr>
          <w:trHeight w:val="203"/>
        </w:trPr>
        <w:tc>
          <w:tcPr>
            <w:tcW w:w="2320" w:type="dxa"/>
            <w:vAlign w:val="bottom"/>
          </w:tcPr>
          <w:p>
            <w:pPr>
              <w:spacing w:after="0" w:line="202" w:lineRule="exact"/>
              <w:rPr>
                <w:sz w:val="20"/>
                <w:szCs w:val="20"/>
                <w:color w:val="auto"/>
              </w:rPr>
            </w:pPr>
            <w:r>
              <w:rPr>
                <w:rFonts w:ascii="Arial" w:cs="Arial" w:eastAsia="Arial" w:hAnsi="Arial"/>
                <w:sz w:val="18"/>
                <w:szCs w:val="18"/>
                <w:color w:val="auto"/>
              </w:rPr>
              <w:t>Fixed to Variable Swaps</w:t>
            </w:r>
          </w:p>
        </w:tc>
        <w:tc>
          <w:tcPr>
            <w:tcW w:w="52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50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2500" w:type="dxa"/>
            <w:vAlign w:val="bottom"/>
            <w:gridSpan w:val="2"/>
            <w:vMerge w:val="continue"/>
          </w:tcPr>
          <w:p>
            <w:pPr>
              <w:spacing w:after="0"/>
              <w:rPr>
                <w:sz w:val="17"/>
                <w:szCs w:val="17"/>
                <w:color w:val="auto"/>
              </w:rPr>
            </w:pPr>
          </w:p>
        </w:tc>
        <w:tc>
          <w:tcPr>
            <w:tcW w:w="1360" w:type="dxa"/>
            <w:vAlign w:val="bottom"/>
            <w:vMerge w:val="continue"/>
          </w:tcPr>
          <w:p>
            <w:pPr>
              <w:spacing w:after="0"/>
              <w:rPr>
                <w:sz w:val="17"/>
                <w:szCs w:val="17"/>
                <w:color w:val="auto"/>
              </w:rPr>
            </w:pPr>
          </w:p>
        </w:tc>
        <w:tc>
          <w:tcPr>
            <w:tcW w:w="1000" w:type="dxa"/>
            <w:vAlign w:val="bottom"/>
            <w:vMerge w:val="continue"/>
          </w:tcPr>
          <w:p>
            <w:pPr>
              <w:spacing w:after="0"/>
              <w:rPr>
                <w:sz w:val="17"/>
                <w:szCs w:val="17"/>
                <w:color w:val="auto"/>
              </w:rPr>
            </w:pPr>
          </w:p>
        </w:tc>
        <w:tc>
          <w:tcPr>
            <w:tcW w:w="960" w:type="dxa"/>
            <w:vAlign w:val="bottom"/>
            <w:vMerge w:val="continue"/>
          </w:tcPr>
          <w:p>
            <w:pPr>
              <w:spacing w:after="0"/>
              <w:rPr>
                <w:sz w:val="17"/>
                <w:szCs w:val="17"/>
                <w:color w:val="auto"/>
              </w:rPr>
            </w:pPr>
          </w:p>
        </w:tc>
        <w:tc>
          <w:tcPr>
            <w:tcW w:w="320" w:type="dxa"/>
            <w:vAlign w:val="bottom"/>
            <w:vMerge w:val="continue"/>
          </w:tcPr>
          <w:p>
            <w:pPr>
              <w:spacing w:after="0"/>
              <w:rPr>
                <w:sz w:val="17"/>
                <w:szCs w:val="17"/>
                <w:color w:val="auto"/>
              </w:rPr>
            </w:pPr>
          </w:p>
        </w:tc>
        <w:tc>
          <w:tcPr>
            <w:tcW w:w="500" w:type="dxa"/>
            <w:vAlign w:val="bottom"/>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320" w:type="dxa"/>
            <w:vAlign w:val="bottom"/>
          </w:tcPr>
          <w:p>
            <w:pPr>
              <w:spacing w:after="0" w:line="202" w:lineRule="exact"/>
              <w:rPr>
                <w:sz w:val="20"/>
                <w:szCs w:val="20"/>
                <w:color w:val="auto"/>
              </w:rPr>
            </w:pPr>
            <w:r>
              <w:rPr>
                <w:rFonts w:ascii="Arial" w:cs="Arial" w:eastAsia="Arial" w:hAnsi="Arial"/>
                <w:sz w:val="18"/>
                <w:szCs w:val="18"/>
                <w:color w:val="auto"/>
              </w:rPr>
              <w:t>As of December 31, 2005</w:t>
            </w:r>
          </w:p>
        </w:tc>
        <w:tc>
          <w:tcPr>
            <w:tcW w:w="52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50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1800" w:type="dxa"/>
            <w:vAlign w:val="bottom"/>
          </w:tcPr>
          <w:p>
            <w:pPr>
              <w:spacing w:after="0"/>
              <w:rPr>
                <w:sz w:val="17"/>
                <w:szCs w:val="17"/>
                <w:color w:val="auto"/>
              </w:rPr>
            </w:pPr>
          </w:p>
        </w:tc>
        <w:tc>
          <w:tcPr>
            <w:tcW w:w="136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5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9"/>
        </w:trPr>
        <w:tc>
          <w:tcPr>
            <w:tcW w:w="2320" w:type="dxa"/>
            <w:vAlign w:val="bottom"/>
            <w:tcBorders>
              <w:bottom w:val="single" w:sz="8" w:color="35BF85"/>
            </w:tcBorders>
          </w:tcPr>
          <w:p>
            <w:pPr>
              <w:spacing w:after="0" w:line="200" w:lineRule="exact"/>
              <w:rPr>
                <w:sz w:val="20"/>
                <w:szCs w:val="20"/>
                <w:color w:val="auto"/>
              </w:rPr>
            </w:pPr>
            <w:r>
              <w:rPr>
                <w:rFonts w:ascii="Arial" w:cs="Arial" w:eastAsia="Arial" w:hAnsi="Arial"/>
                <w:sz w:val="18"/>
                <w:szCs w:val="18"/>
                <w:color w:val="auto"/>
              </w:rPr>
              <w:t>Fixed to Variable Swaps</w:t>
            </w:r>
          </w:p>
        </w:tc>
        <w:tc>
          <w:tcPr>
            <w:tcW w:w="520" w:type="dxa"/>
            <w:vAlign w:val="bottom"/>
            <w:tcBorders>
              <w:bottom w:val="single" w:sz="8" w:color="35BF85"/>
            </w:tcBorders>
          </w:tcPr>
          <w:p>
            <w:pPr>
              <w:spacing w:after="0"/>
              <w:rPr>
                <w:sz w:val="17"/>
                <w:szCs w:val="17"/>
                <w:color w:val="auto"/>
              </w:rPr>
            </w:pPr>
          </w:p>
        </w:tc>
        <w:tc>
          <w:tcPr>
            <w:tcW w:w="700" w:type="dxa"/>
            <w:vAlign w:val="bottom"/>
            <w:tcBorders>
              <w:bottom w:val="single" w:sz="8" w:color="35BF85"/>
            </w:tcBorders>
          </w:tcPr>
          <w:p>
            <w:pPr>
              <w:spacing w:after="0"/>
              <w:rPr>
                <w:sz w:val="17"/>
                <w:szCs w:val="17"/>
                <w:color w:val="auto"/>
              </w:rPr>
            </w:pPr>
          </w:p>
        </w:tc>
        <w:tc>
          <w:tcPr>
            <w:tcW w:w="500" w:type="dxa"/>
            <w:vAlign w:val="bottom"/>
            <w:tcBorders>
              <w:bottom w:val="single" w:sz="8" w:color="35BF85"/>
            </w:tcBorders>
          </w:tcPr>
          <w:p>
            <w:pPr>
              <w:spacing w:after="0"/>
              <w:rPr>
                <w:sz w:val="17"/>
                <w:szCs w:val="17"/>
                <w:color w:val="auto"/>
              </w:rPr>
            </w:pPr>
          </w:p>
        </w:tc>
        <w:tc>
          <w:tcPr>
            <w:tcW w:w="740" w:type="dxa"/>
            <w:vAlign w:val="bottom"/>
            <w:tcBorders>
              <w:bottom w:val="single" w:sz="8" w:color="35BF85"/>
            </w:tcBorders>
          </w:tcPr>
          <w:p>
            <w:pPr>
              <w:spacing w:after="0"/>
              <w:rPr>
                <w:sz w:val="17"/>
                <w:szCs w:val="17"/>
                <w:color w:val="auto"/>
              </w:rPr>
            </w:pPr>
          </w:p>
        </w:tc>
        <w:tc>
          <w:tcPr>
            <w:tcW w:w="2500" w:type="dxa"/>
            <w:vAlign w:val="bottom"/>
            <w:tcBorders>
              <w:bottom w:val="single" w:sz="8" w:color="35BF85"/>
            </w:tcBorders>
            <w:gridSpan w:val="2"/>
          </w:tcPr>
          <w:p>
            <w:pPr>
              <w:jc w:val="right"/>
              <w:ind w:right="132"/>
              <w:spacing w:after="0" w:line="200" w:lineRule="exact"/>
              <w:rPr>
                <w:sz w:val="20"/>
                <w:szCs w:val="20"/>
                <w:color w:val="auto"/>
              </w:rPr>
            </w:pPr>
            <w:r>
              <w:rPr>
                <w:rFonts w:ascii="Arial" w:cs="Arial" w:eastAsia="Arial" w:hAnsi="Arial"/>
                <w:sz w:val="18"/>
                <w:szCs w:val="18"/>
                <w:color w:val="auto"/>
              </w:rPr>
              <w:t>$3,600</w:t>
            </w:r>
          </w:p>
        </w:tc>
        <w:tc>
          <w:tcPr>
            <w:tcW w:w="1360" w:type="dxa"/>
            <w:vAlign w:val="bottom"/>
            <w:tcBorders>
              <w:bottom w:val="single" w:sz="8" w:color="35BF85"/>
            </w:tcBorders>
          </w:tcPr>
          <w:p>
            <w:pPr>
              <w:jc w:val="right"/>
              <w:ind w:right="119"/>
              <w:spacing w:after="0" w:line="200" w:lineRule="exact"/>
              <w:rPr>
                <w:sz w:val="20"/>
                <w:szCs w:val="20"/>
                <w:color w:val="auto"/>
              </w:rPr>
            </w:pPr>
            <w:r>
              <w:rPr>
                <w:rFonts w:ascii="Arial" w:cs="Arial" w:eastAsia="Arial" w:hAnsi="Arial"/>
                <w:sz w:val="18"/>
                <w:szCs w:val="18"/>
                <w:color w:val="auto"/>
              </w:rPr>
              <w:t>2006 – 2014</w:t>
            </w:r>
          </w:p>
        </w:tc>
        <w:tc>
          <w:tcPr>
            <w:tcW w:w="1000" w:type="dxa"/>
            <w:vAlign w:val="bottom"/>
            <w:tcBorders>
              <w:bottom w:val="single" w:sz="8" w:color="35BF85"/>
            </w:tcBorders>
          </w:tcPr>
          <w:p>
            <w:pPr>
              <w:jc w:val="right"/>
              <w:ind w:right="64"/>
              <w:spacing w:after="0" w:line="200" w:lineRule="exact"/>
              <w:rPr>
                <w:sz w:val="20"/>
                <w:szCs w:val="20"/>
                <w:color w:val="auto"/>
              </w:rPr>
            </w:pPr>
            <w:r>
              <w:rPr>
                <w:rFonts w:ascii="Arial" w:cs="Arial" w:eastAsia="Arial" w:hAnsi="Arial"/>
                <w:sz w:val="18"/>
                <w:szCs w:val="18"/>
                <w:color w:val="auto"/>
              </w:rPr>
              <w:t>6.5%</w:t>
            </w:r>
          </w:p>
        </w:tc>
        <w:tc>
          <w:tcPr>
            <w:tcW w:w="960" w:type="dxa"/>
            <w:vAlign w:val="bottom"/>
            <w:tcBorders>
              <w:bottom w:val="single" w:sz="8" w:color="35BF85"/>
            </w:tcBorders>
          </w:tcPr>
          <w:p>
            <w:pPr>
              <w:jc w:val="right"/>
              <w:ind w:right="64"/>
              <w:spacing w:after="0" w:line="200" w:lineRule="exact"/>
              <w:rPr>
                <w:sz w:val="20"/>
                <w:szCs w:val="20"/>
                <w:color w:val="auto"/>
              </w:rPr>
            </w:pPr>
            <w:r>
              <w:rPr>
                <w:rFonts w:ascii="Arial" w:cs="Arial" w:eastAsia="Arial" w:hAnsi="Arial"/>
                <w:sz w:val="18"/>
                <w:szCs w:val="18"/>
                <w:color w:val="auto"/>
              </w:rPr>
              <w:t>6.0%</w:t>
            </w:r>
          </w:p>
        </w:tc>
        <w:tc>
          <w:tcPr>
            <w:tcW w:w="320" w:type="dxa"/>
            <w:vAlign w:val="bottom"/>
            <w:tcBorders>
              <w:bottom w:val="single" w:sz="8" w:color="35BF85"/>
            </w:tcBorders>
          </w:tcPr>
          <w:p>
            <w:pPr>
              <w:ind w:left="140"/>
              <w:spacing w:after="0" w:line="200" w:lineRule="exact"/>
              <w:rPr>
                <w:sz w:val="20"/>
                <w:szCs w:val="20"/>
                <w:color w:val="auto"/>
              </w:rPr>
            </w:pPr>
            <w:r>
              <w:rPr>
                <w:rFonts w:ascii="Arial" w:cs="Arial" w:eastAsia="Arial" w:hAnsi="Arial"/>
                <w:sz w:val="18"/>
                <w:szCs w:val="18"/>
                <w:color w:val="auto"/>
              </w:rPr>
              <w:t>$</w:t>
            </w:r>
          </w:p>
        </w:tc>
        <w:tc>
          <w:tcPr>
            <w:tcW w:w="500" w:type="dxa"/>
            <w:vAlign w:val="bottom"/>
            <w:tcBorders>
              <w:bottom w:val="single" w:sz="8" w:color="35BF85"/>
            </w:tcBorders>
          </w:tcPr>
          <w:p>
            <w:pPr>
              <w:jc w:val="right"/>
              <w:spacing w:after="0" w:line="200" w:lineRule="exact"/>
              <w:rPr>
                <w:sz w:val="20"/>
                <w:szCs w:val="20"/>
                <w:color w:val="auto"/>
              </w:rPr>
            </w:pPr>
            <w:r>
              <w:rPr>
                <w:rFonts w:ascii="Arial" w:cs="Arial" w:eastAsia="Arial" w:hAnsi="Arial"/>
                <w:sz w:val="18"/>
                <w:szCs w:val="18"/>
                <w:color w:val="auto"/>
              </w:rPr>
              <w:t>(97)</w:t>
            </w:r>
          </w:p>
        </w:tc>
        <w:tc>
          <w:tcPr>
            <w:tcW w:w="0" w:type="dxa"/>
            <w:vAlign w:val="bottom"/>
          </w:tcPr>
          <w:p>
            <w:pPr>
              <w:spacing w:after="0"/>
              <w:rPr>
                <w:sz w:val="1"/>
                <w:szCs w:val="1"/>
                <w:color w:val="auto"/>
              </w:rPr>
            </w:pPr>
          </w:p>
        </w:tc>
      </w:tr>
    </w:tbl>
    <w:p>
      <w:pPr>
        <w:spacing w:after="0" w:line="200" w:lineRule="exact"/>
        <w:rPr>
          <w:sz w:val="20"/>
          <w:szCs w:val="20"/>
          <w:color w:val="auto"/>
        </w:rPr>
      </w:pPr>
    </w:p>
    <w:p>
      <w:pPr>
        <w:sectPr>
          <w:pgSz w:w="11900" w:h="16838" w:orient="portrait"/>
          <w:cols w:equalWidth="0" w:num="1">
            <w:col w:w="11420"/>
          </w:cols>
          <w:pgMar w:left="240" w:top="459" w:right="239" w:bottom="1440" w:gutter="0" w:footer="0" w:header="0"/>
          <w:type w:val="continuous"/>
        </w:sectPr>
      </w:pPr>
    </w:p>
    <w:p>
      <w:pPr>
        <w:spacing w:after="0" w:line="6" w:lineRule="exact"/>
        <w:rPr>
          <w:sz w:val="20"/>
          <w:szCs w:val="20"/>
          <w:color w:val="auto"/>
        </w:rPr>
      </w:pPr>
    </w:p>
    <w:p>
      <w:pPr>
        <w:jc w:val="both"/>
        <w:spacing w:after="0" w:line="235" w:lineRule="auto"/>
        <w:rPr>
          <w:sz w:val="20"/>
          <w:szCs w:val="20"/>
          <w:color w:val="auto"/>
        </w:rPr>
      </w:pPr>
      <w:r>
        <w:rPr>
          <w:rFonts w:ascii="Arial" w:cs="Arial" w:eastAsia="Arial" w:hAnsi="Arial"/>
          <w:sz w:val="18"/>
          <w:szCs w:val="18"/>
          <w:color w:val="auto"/>
        </w:rPr>
        <w:t>The notional amounts of interest rate instruments, as presented in the above table, are used to measure interest to be paid or received and do not represent the amount of exposure to credit loss. The estimated fair value approximates the proceeds or payments to settle the outstanding contracts. Swaps and rate locks represent an integral part of our interest rate risk management program. The effect of our interest rate derivative financial instruments was to increase our interest expense by approximately $39 million in 2006, and to decrease our interest expense by approximately $16 million and $66 million in 2005 and 2004, respectively.</w:t>
      </w:r>
    </w:p>
    <w:p>
      <w:pPr>
        <w:spacing w:after="0" w:line="20" w:lineRule="exact"/>
        <w:rPr>
          <w:sz w:val="20"/>
          <w:szCs w:val="20"/>
          <w:color w:val="auto"/>
        </w:rPr>
      </w:pPr>
      <w:r>
        <w:rPr>
          <w:sz w:val="20"/>
          <w:szCs w:val="20"/>
          <w:color w:val="auto"/>
        </w:rPr>
        <w:br w:type="column"/>
      </w:r>
    </w:p>
    <w:p>
      <w:pPr>
        <w:jc w:val="both"/>
        <w:ind w:right="120"/>
        <w:spacing w:after="0" w:line="235" w:lineRule="auto"/>
        <w:rPr>
          <w:sz w:val="20"/>
          <w:szCs w:val="20"/>
          <w:color w:val="auto"/>
        </w:rPr>
      </w:pPr>
      <w:r>
        <w:rPr>
          <w:rFonts w:ascii="Arial" w:cs="Arial" w:eastAsia="Arial" w:hAnsi="Arial"/>
          <w:sz w:val="18"/>
          <w:szCs w:val="18"/>
          <w:color w:val="auto"/>
        </w:rPr>
        <w:t>We have entered into rate locks to hedge the risk that the cash flows related to the interest payments on an anticipated issuance or assumption of fixed-rate debt may be adversely affected by interest-rate fluctuations. Upon the issuance or assumption of fixed-rate debt, the value of the rate locks is being recognized as an adjustment to interest expense, similar to a deferred financing cost, over the same period in which the related interest costs on the debt are recognized in earnings (approximately 11 years remaining, unless earlier retired). The unrealized pretax losses on cash flow hedges as of December 31, 2006 and 2005, of $185 million and</w:t>
      </w:r>
    </w:p>
    <w:p>
      <w:pPr>
        <w:spacing w:after="0" w:line="200" w:lineRule="exact"/>
        <w:rPr>
          <w:sz w:val="20"/>
          <w:szCs w:val="20"/>
          <w:color w:val="auto"/>
        </w:rPr>
      </w:pPr>
    </w:p>
    <w:p>
      <w:pPr>
        <w:sectPr>
          <w:pgSz w:w="11900" w:h="16838" w:orient="portrait"/>
          <w:cols w:equalWidth="0" w:num="2">
            <w:col w:w="5480" w:space="340"/>
            <w:col w:w="5600"/>
          </w:cols>
          <w:pgMar w:left="240" w:top="459" w:right="239" w:bottom="1440" w:gutter="0" w:footer="0" w:header="0"/>
          <w:type w:val="continuous"/>
        </w:sectPr>
      </w:pPr>
    </w:p>
    <w:p>
      <w:pPr>
        <w:spacing w:after="0" w:line="130" w:lineRule="exact"/>
        <w:rPr>
          <w:sz w:val="20"/>
          <w:szCs w:val="20"/>
          <w:color w:val="auto"/>
        </w:rPr>
      </w:pPr>
    </w:p>
    <w:tbl>
      <w:tblPr>
        <w:tblLayout w:type="fixed"/>
        <w:tblInd w:w="0" w:type="dxa"/>
        <w:tblCellMar>
          <w:top w:w="0" w:type="dxa"/>
          <w:left w:w="0" w:type="dxa"/>
          <w:bottom w:w="0" w:type="dxa"/>
          <w:right w:w="0" w:type="dxa"/>
        </w:tblCellMar>
      </w:tblPr>
      <w:tr>
        <w:trPr>
          <w:trHeight w:val="178"/>
        </w:trPr>
        <w:tc>
          <w:tcPr>
            <w:tcW w:w="5160" w:type="dxa"/>
            <w:vAlign w:val="bottom"/>
          </w:tcPr>
          <w:p>
            <w:pPr>
              <w:spacing w:after="0"/>
              <w:rPr>
                <w:sz w:val="20"/>
                <w:szCs w:val="20"/>
                <w:color w:val="auto"/>
              </w:rPr>
            </w:pPr>
            <w:r>
              <w:rPr>
                <w:rFonts w:ascii="Arial" w:cs="Arial" w:eastAsia="Arial" w:hAnsi="Arial"/>
                <w:sz w:val="14"/>
                <w:szCs w:val="14"/>
                <w:b w:val="1"/>
                <w:bCs w:val="1"/>
                <w:color w:val="auto"/>
              </w:rPr>
              <w:t xml:space="preserve">Notes to Consolidated Financial Statements </w:t>
            </w:r>
            <w:r>
              <w:rPr>
                <w:rFonts w:ascii="Arial" w:cs="Arial" w:eastAsia="Arial" w:hAnsi="Arial"/>
                <w:sz w:val="14"/>
                <w:szCs w:val="14"/>
                <w:color w:val="auto"/>
              </w:rPr>
              <w:t>Comcast 2006 Annual Report</w:t>
            </w:r>
          </w:p>
        </w:tc>
        <w:tc>
          <w:tcPr>
            <w:tcW w:w="680" w:type="dxa"/>
            <w:vAlign w:val="bottom"/>
          </w:tcPr>
          <w:p>
            <w:pPr>
              <w:jc w:val="right"/>
              <w:spacing w:after="0"/>
              <w:rPr>
                <w:sz w:val="20"/>
                <w:szCs w:val="20"/>
                <w:color w:val="auto"/>
              </w:rPr>
            </w:pPr>
            <w:r>
              <w:rPr>
                <w:rFonts w:ascii="Arial" w:cs="Arial" w:eastAsia="Arial" w:hAnsi="Arial"/>
                <w:sz w:val="14"/>
                <w:szCs w:val="14"/>
                <w:b w:val="1"/>
                <w:bCs w:val="1"/>
                <w:color w:val="auto"/>
              </w:rPr>
              <w:t>56</w:t>
            </w:r>
          </w:p>
        </w:tc>
      </w:tr>
    </w:tbl>
    <w:p>
      <w:pPr>
        <w:sectPr>
          <w:pgSz w:w="11900" w:h="16838" w:orient="portrait"/>
          <w:cols w:equalWidth="0" w:num="1">
            <w:col w:w="11420"/>
          </w:cols>
          <w:pgMar w:left="240" w:top="459" w:right="239" w:bottom="1440" w:gutter="0" w:footer="0" w:header="0"/>
          <w:type w:val="continuous"/>
        </w:sectPr>
      </w:pPr>
    </w:p>
    <w:bookmarkStart w:id="133" w:name="page134"/>
    <w:bookmarkEnd w:id="133"/>
    <w:p>
      <w:pPr>
        <w:spacing w:after="0"/>
        <w:rPr>
          <w:rFonts w:ascii="Arial" w:cs="Arial" w:eastAsia="Arial" w:hAnsi="Arial"/>
          <w:sz w:val="18"/>
          <w:szCs w:val="18"/>
          <w:b w:val="1"/>
          <w:bCs w:val="1"/>
          <w:u w:val="single" w:color="auto"/>
          <w:color w:val="0000EE"/>
        </w:rPr>
      </w:pPr>
      <w:hyperlink w:anchor="page3">
        <w:r>
          <w:rPr>
            <w:rFonts w:ascii="Arial" w:cs="Arial" w:eastAsia="Arial" w:hAnsi="Arial"/>
            <w:sz w:val="18"/>
            <w:szCs w:val="18"/>
            <w:b w:val="1"/>
            <w:bCs w:val="1"/>
            <w:u w:val="single" w:color="auto"/>
            <w:color w:val="0000EE"/>
          </w:rPr>
          <w:t>Table of Contents</w:t>
        </w:r>
      </w:hyperlink>
    </w:p>
    <w:p>
      <w:pPr>
        <w:spacing w:after="0" w:line="200" w:lineRule="exact"/>
        <w:rPr>
          <w:sz w:val="20"/>
          <w:szCs w:val="20"/>
          <w:color w:val="auto"/>
        </w:rPr>
      </w:pPr>
    </w:p>
    <w:p>
      <w:pPr>
        <w:spacing w:after="0" w:line="276" w:lineRule="exact"/>
        <w:rPr>
          <w:sz w:val="20"/>
          <w:szCs w:val="20"/>
          <w:color w:val="auto"/>
        </w:rPr>
      </w:pPr>
    </w:p>
    <w:p>
      <w:pPr>
        <w:jc w:val="both"/>
        <w:spacing w:after="0" w:line="237" w:lineRule="auto"/>
        <w:rPr>
          <w:sz w:val="20"/>
          <w:szCs w:val="20"/>
          <w:color w:val="auto"/>
        </w:rPr>
      </w:pPr>
      <w:r>
        <w:rPr>
          <w:rFonts w:ascii="Arial" w:cs="Arial" w:eastAsia="Arial" w:hAnsi="Arial"/>
          <w:sz w:val="18"/>
          <w:szCs w:val="18"/>
          <w:color w:val="auto"/>
        </w:rPr>
        <w:t>$203 million, respectively, have been reported in our balance sheet as a component of accumulated other comprehensive income (loss), net of related deferred income taxes of $65 million and $71 million, respectively.</w:t>
      </w:r>
    </w:p>
    <w:p>
      <w:pPr>
        <w:spacing w:after="0" w:line="13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Estimated Fair Value</w:t>
      </w:r>
    </w:p>
    <w:p>
      <w:pPr>
        <w:spacing w:after="0" w:line="18" w:lineRule="exact"/>
        <w:rPr>
          <w:sz w:val="20"/>
          <w:szCs w:val="20"/>
          <w:color w:val="auto"/>
        </w:rPr>
      </w:pPr>
    </w:p>
    <w:p>
      <w:pPr>
        <w:jc w:val="both"/>
        <w:spacing w:after="0" w:line="236" w:lineRule="auto"/>
        <w:rPr>
          <w:sz w:val="20"/>
          <w:szCs w:val="20"/>
          <w:color w:val="auto"/>
        </w:rPr>
      </w:pPr>
      <w:r>
        <w:rPr>
          <w:rFonts w:ascii="Arial" w:cs="Arial" w:eastAsia="Arial" w:hAnsi="Arial"/>
          <w:sz w:val="18"/>
          <w:szCs w:val="18"/>
          <w:color w:val="auto"/>
        </w:rPr>
        <w:t>Our debt had estimated fair values of $28.923 billion and $25.305 billion as of December 31, 2006 and 2005, respectively. The estimated fair value of our publicly traded debt is based on quoted market values for that debt. Interest rates that are currently available to us for issuance of debt with similar terms and remaining maturities are used to estimate fair value for debt issues for which quoted market prices are not available.</w:t>
      </w:r>
    </w:p>
    <w:p>
      <w:pPr>
        <w:spacing w:after="0" w:line="13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Debt Covenants</w:t>
      </w:r>
    </w:p>
    <w:p>
      <w:pPr>
        <w:spacing w:after="0" w:line="18" w:lineRule="exact"/>
        <w:rPr>
          <w:sz w:val="20"/>
          <w:szCs w:val="20"/>
          <w:color w:val="auto"/>
        </w:rPr>
      </w:pPr>
    </w:p>
    <w:p>
      <w:pPr>
        <w:jc w:val="both"/>
        <w:spacing w:after="0" w:line="275" w:lineRule="auto"/>
        <w:rPr>
          <w:sz w:val="20"/>
          <w:szCs w:val="20"/>
          <w:color w:val="auto"/>
        </w:rPr>
      </w:pPr>
      <w:r>
        <w:rPr>
          <w:rFonts w:ascii="Arial" w:cs="Arial" w:eastAsia="Arial" w:hAnsi="Arial"/>
          <w:sz w:val="16"/>
          <w:szCs w:val="16"/>
          <w:color w:val="auto"/>
        </w:rPr>
        <w:t>Some of our loan agreements require that we maintain financial ratios based on debt, interest and operating income before depreciation and amortization, as defined in the agreements. We were in compliance with all financial covenants for all periods presented.</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41" w:lineRule="exact"/>
        <w:rPr>
          <w:sz w:val="20"/>
          <w:szCs w:val="20"/>
          <w:color w:val="auto"/>
        </w:rPr>
      </w:pPr>
    </w:p>
    <w:p>
      <w:pPr>
        <w:ind w:right="540"/>
        <w:spacing w:after="0" w:line="264" w:lineRule="auto"/>
        <w:rPr>
          <w:sz w:val="20"/>
          <w:szCs w:val="20"/>
          <w:color w:val="auto"/>
        </w:rPr>
      </w:pPr>
      <w:r>
        <w:rPr>
          <w:rFonts w:ascii="Arial" w:cs="Arial" w:eastAsia="Arial" w:hAnsi="Arial"/>
          <w:sz w:val="18"/>
          <w:szCs w:val="18"/>
          <w:b w:val="1"/>
          <w:bCs w:val="1"/>
          <w:color w:val="35BF85"/>
        </w:rPr>
        <w:t>Note 9: Pension, Postretirement and Other Employee Benefit Plans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-3691890</wp:posOffset>
            </wp:positionH>
            <wp:positionV relativeFrom="paragraph">
              <wp:posOffset>-911225</wp:posOffset>
            </wp:positionV>
            <wp:extent cx="7267575" cy="27940"/>
            <wp:wrapNone/>
            <wp:docPr id="199" name="Picture 1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9"/>
                    <pic:cNvPicPr>
                      <a:picLocks noChangeAspect="1" noChangeArrowheads="1"/>
                    </pic:cNvPicPr>
                  </pic:nvPicPr>
                  <pic:blipFill>
                    <a:blip r:embed="rId206">
                      <a:extLst>
                        <a:ext uri="{28A0092B-C50C-407E-A947-70E740481C1C}"/>
                      </a:extLst>
                    </a:blip>
                    <a:srcRect/>
                    <a:stretch>
                      <a:fillRect/>
                    </a:stretch>
                  </pic:blipFill>
                  <pic:spPr bwMode="auto">
                    <a:xfrm>
                      <a:off x="0" y="0"/>
                      <a:ext cx="7267575" cy="27940"/>
                    </a:xfrm>
                    <a:prstGeom prst="rect">
                      <a:avLst/>
                    </a:prstGeom>
                    <a:noFill/>
                  </pic:spPr>
                </pic:pic>
              </a:graphicData>
            </a:graphic>
          </wp:anchor>
        </w:drawing>
        <w:drawing>
          <wp:anchor simplePos="0" relativeHeight="251657728" behindDoc="1" locked="0" layoutInCell="0" allowOverlap="1">
            <wp:simplePos x="0" y="0"/>
            <wp:positionH relativeFrom="column">
              <wp:posOffset>-2540</wp:posOffset>
            </wp:positionH>
            <wp:positionV relativeFrom="paragraph">
              <wp:posOffset>48895</wp:posOffset>
            </wp:positionV>
            <wp:extent cx="3481705" cy="8890"/>
            <wp:wrapNone/>
            <wp:docPr id="200" name="Picture 2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0"/>
                    <pic:cNvPicPr>
                      <a:picLocks noChangeAspect="1" noChangeArrowheads="1"/>
                    </pic:cNvPicPr>
                  </pic:nvPicPr>
                  <pic:blipFill>
                    <a:blip r:embed="rId207">
                      <a:extLst>
                        <a:ext uri="{28A0092B-C50C-407E-A947-70E740481C1C}"/>
                      </a:extLst>
                    </a:blip>
                    <a:srcRect/>
                    <a:stretch>
                      <a:fillRect/>
                    </a:stretch>
                  </pic:blipFill>
                  <pic:spPr bwMode="auto">
                    <a:xfrm>
                      <a:off x="0" y="0"/>
                      <a:ext cx="3481705" cy="8890"/>
                    </a:xfrm>
                    <a:prstGeom prst="rect">
                      <a:avLst/>
                    </a:prstGeom>
                    <a:noFill/>
                  </pic:spPr>
                </pic:pic>
              </a:graphicData>
            </a:graphic>
          </wp:anchor>
        </w:drawing>
      </w:r>
    </w:p>
    <w:p>
      <w:pPr>
        <w:spacing w:after="0" w:line="181" w:lineRule="exact"/>
        <w:rPr>
          <w:sz w:val="20"/>
          <w:szCs w:val="20"/>
          <w:color w:val="auto"/>
        </w:rPr>
      </w:pPr>
    </w:p>
    <w:p>
      <w:pPr>
        <w:jc w:val="both"/>
        <w:ind w:right="120"/>
        <w:spacing w:after="0" w:line="236" w:lineRule="auto"/>
        <w:rPr>
          <w:sz w:val="20"/>
          <w:szCs w:val="20"/>
          <w:color w:val="auto"/>
        </w:rPr>
      </w:pPr>
      <w:r>
        <w:rPr>
          <w:rFonts w:ascii="Arial" w:cs="Arial" w:eastAsia="Arial" w:hAnsi="Arial"/>
          <w:sz w:val="18"/>
          <w:szCs w:val="18"/>
          <w:color w:val="auto"/>
        </w:rPr>
        <w:t>We sponsor two pension plans that together provide benefits to substantially all former employees of a previously acquired company. As of December 31, 2006, future benefits for both plans have been frozen. Total pension expense recognized for the years ended December 31, 2006, 2005 and 2004, was $8 million, $8 million and $9 million, respectively.</w:t>
      </w:r>
    </w:p>
    <w:p>
      <w:pPr>
        <w:spacing w:after="0" w:line="156" w:lineRule="exact"/>
        <w:rPr>
          <w:sz w:val="20"/>
          <w:szCs w:val="20"/>
          <w:color w:val="auto"/>
        </w:rPr>
      </w:pPr>
    </w:p>
    <w:p>
      <w:pPr>
        <w:jc w:val="both"/>
        <w:ind w:right="120"/>
        <w:spacing w:after="0" w:line="235" w:lineRule="auto"/>
        <w:rPr>
          <w:sz w:val="20"/>
          <w:szCs w:val="20"/>
          <w:color w:val="auto"/>
        </w:rPr>
      </w:pPr>
      <w:r>
        <w:rPr>
          <w:rFonts w:ascii="Arial" w:cs="Arial" w:eastAsia="Arial" w:hAnsi="Arial"/>
          <w:sz w:val="18"/>
          <w:szCs w:val="18"/>
          <w:color w:val="auto"/>
        </w:rPr>
        <w:t>Our postretirement medical benefits cover substantially all of our employees who meet certain age and service requirements. The majority of eligible employees participate in the Comcast Postretirement Healthcare Stipend Program (the “Stipend Plan”), and a small number of eligible employees participate in legacy plans of acquired companies. The Stipend Plan provides an annual stipend for reimbursement of healthcare costs to each eligible employee based on years of service. Based on the benefit design of the Stipend Plan, we are not exposed to the cost of increasing healthcare, since the amounts under the Stipend Plan are fixed at a predetermined amount. Postretirement expense recognized for the years ended December 31, 2006, 2005 and 2004, was $29 million, $25 million and $23 million, respectively.</w:t>
      </w:r>
    </w:p>
    <w:p>
      <w:pPr>
        <w:spacing w:after="0" w:line="134" w:lineRule="exact"/>
        <w:rPr>
          <w:sz w:val="20"/>
          <w:szCs w:val="20"/>
          <w:color w:val="auto"/>
        </w:rPr>
      </w:pPr>
    </w:p>
    <w:p>
      <w:pPr>
        <w:sectPr>
          <w:pgSz w:w="11900" w:h="16838" w:orient="portrait"/>
          <w:cols w:equalWidth="0" w:num="2">
            <w:col w:w="5480" w:space="340"/>
            <w:col w:w="5600"/>
          </w:cols>
          <w:pgMar w:left="240" w:top="459" w:right="239" w:bottom="1440" w:gutter="0" w:footer="0" w:header="0"/>
        </w:sectPr>
      </w:pPr>
    </w:p>
    <w:p>
      <w:pPr>
        <w:spacing w:after="0"/>
        <w:rPr>
          <w:sz w:val="20"/>
          <w:szCs w:val="20"/>
          <w:color w:val="auto"/>
        </w:rPr>
      </w:pPr>
      <w:r>
        <w:rPr>
          <w:rFonts w:ascii="Arial" w:cs="Arial" w:eastAsia="Arial" w:hAnsi="Arial"/>
          <w:sz w:val="18"/>
          <w:szCs w:val="18"/>
          <w:color w:val="auto"/>
        </w:rPr>
        <w:t>The following table provides condensed information relating to our pension benefits and postretirement benefits for the periods presented:</w:t>
      </w:r>
    </w:p>
    <w:p>
      <w:pPr>
        <w:spacing w:after="0" w:line="178" w:lineRule="exact"/>
        <w:rPr>
          <w:sz w:val="20"/>
          <w:szCs w:val="20"/>
          <w:color w:val="auto"/>
        </w:rPr>
      </w:pPr>
    </w:p>
    <w:tbl>
      <w:tblPr>
        <w:tblLayout w:type="fixed"/>
        <w:tblInd w:w="0" w:type="dxa"/>
        <w:tblCellMar>
          <w:top w:w="0" w:type="dxa"/>
          <w:left w:w="0" w:type="dxa"/>
          <w:bottom w:w="0" w:type="dxa"/>
          <w:right w:w="0" w:type="dxa"/>
        </w:tblCellMar>
      </w:tblPr>
      <w:tr>
        <w:trPr>
          <w:trHeight w:val="165"/>
        </w:trPr>
        <w:tc>
          <w:tcPr>
            <w:tcW w:w="5780" w:type="dxa"/>
            <w:vAlign w:val="bottom"/>
          </w:tcPr>
          <w:p>
            <w:pPr>
              <w:spacing w:after="0"/>
              <w:rPr>
                <w:sz w:val="14"/>
                <w:szCs w:val="14"/>
                <w:color w:val="auto"/>
              </w:rPr>
            </w:pPr>
          </w:p>
        </w:tc>
        <w:tc>
          <w:tcPr>
            <w:tcW w:w="760" w:type="dxa"/>
            <w:vAlign w:val="bottom"/>
            <w:tcBorders>
              <w:bottom w:val="single" w:sz="8" w:color="auto"/>
            </w:tcBorders>
          </w:tcPr>
          <w:p>
            <w:pPr>
              <w:spacing w:after="0"/>
              <w:rPr>
                <w:sz w:val="14"/>
                <w:szCs w:val="14"/>
                <w:color w:val="auto"/>
              </w:rPr>
            </w:pPr>
          </w:p>
        </w:tc>
        <w:tc>
          <w:tcPr>
            <w:tcW w:w="660" w:type="dxa"/>
            <w:vAlign w:val="bottom"/>
            <w:tcBorders>
              <w:bottom w:val="single" w:sz="8" w:color="auto"/>
            </w:tcBorders>
          </w:tcPr>
          <w:p>
            <w:pPr>
              <w:spacing w:after="0"/>
              <w:rPr>
                <w:sz w:val="14"/>
                <w:szCs w:val="14"/>
                <w:color w:val="auto"/>
              </w:rPr>
            </w:pPr>
          </w:p>
        </w:tc>
        <w:tc>
          <w:tcPr>
            <w:tcW w:w="640" w:type="dxa"/>
            <w:vAlign w:val="bottom"/>
            <w:tcBorders>
              <w:bottom w:val="single" w:sz="8" w:color="auto"/>
            </w:tcBorders>
          </w:tcPr>
          <w:p>
            <w:pPr>
              <w:ind w:left="120"/>
              <w:spacing w:after="0"/>
              <w:rPr>
                <w:sz w:val="20"/>
                <w:szCs w:val="20"/>
                <w:color w:val="auto"/>
              </w:rPr>
            </w:pPr>
            <w:r>
              <w:rPr>
                <w:rFonts w:ascii="Arial" w:cs="Arial" w:eastAsia="Arial" w:hAnsi="Arial"/>
                <w:sz w:val="14"/>
                <w:szCs w:val="14"/>
                <w:b w:val="1"/>
                <w:bCs w:val="1"/>
                <w:color w:val="auto"/>
              </w:rPr>
              <w:t>2006</w:t>
            </w:r>
          </w:p>
        </w:tc>
        <w:tc>
          <w:tcPr>
            <w:tcW w:w="1120" w:type="dxa"/>
            <w:vAlign w:val="bottom"/>
            <w:tcBorders>
              <w:bottom w:val="single" w:sz="8" w:color="auto"/>
            </w:tcBorders>
          </w:tcPr>
          <w:p>
            <w:pPr>
              <w:spacing w:after="0"/>
              <w:rPr>
                <w:sz w:val="14"/>
                <w:szCs w:val="14"/>
                <w:color w:val="auto"/>
              </w:rPr>
            </w:pPr>
          </w:p>
        </w:tc>
        <w:tc>
          <w:tcPr>
            <w:tcW w:w="380" w:type="dxa"/>
            <w:vAlign w:val="bottom"/>
            <w:tcBorders>
              <w:bottom w:val="single" w:sz="8" w:color="auto"/>
            </w:tcBorders>
          </w:tcPr>
          <w:p>
            <w:pPr>
              <w:spacing w:after="0"/>
              <w:rPr>
                <w:sz w:val="14"/>
                <w:szCs w:val="14"/>
                <w:color w:val="auto"/>
              </w:rPr>
            </w:pPr>
          </w:p>
        </w:tc>
        <w:tc>
          <w:tcPr>
            <w:tcW w:w="640" w:type="dxa"/>
            <w:vAlign w:val="bottom"/>
            <w:tcBorders>
              <w:bottom w:val="single" w:sz="8" w:color="auto"/>
            </w:tcBorders>
          </w:tcPr>
          <w:p>
            <w:pPr>
              <w:spacing w:after="0"/>
              <w:rPr>
                <w:sz w:val="14"/>
                <w:szCs w:val="14"/>
                <w:color w:val="auto"/>
              </w:rPr>
            </w:pPr>
          </w:p>
        </w:tc>
        <w:tc>
          <w:tcPr>
            <w:tcW w:w="640" w:type="dxa"/>
            <w:vAlign w:val="bottom"/>
            <w:tcBorders>
              <w:bottom w:val="single" w:sz="8" w:color="auto"/>
            </w:tcBorders>
          </w:tcPr>
          <w:p>
            <w:pPr>
              <w:ind w:left="100"/>
              <w:spacing w:after="0"/>
              <w:rPr>
                <w:sz w:val="20"/>
                <w:szCs w:val="20"/>
                <w:color w:val="auto"/>
              </w:rPr>
            </w:pPr>
            <w:r>
              <w:rPr>
                <w:rFonts w:ascii="Arial" w:cs="Arial" w:eastAsia="Arial" w:hAnsi="Arial"/>
                <w:sz w:val="14"/>
                <w:szCs w:val="14"/>
                <w:color w:val="auto"/>
              </w:rPr>
              <w:t>2005</w:t>
            </w:r>
          </w:p>
        </w:tc>
        <w:tc>
          <w:tcPr>
            <w:tcW w:w="800" w:type="dxa"/>
            <w:vAlign w:val="bottom"/>
            <w:tcBorders>
              <w:bottom w:val="single" w:sz="8" w:color="auto"/>
            </w:tcBorders>
          </w:tcPr>
          <w:p>
            <w:pPr>
              <w:spacing w:after="0"/>
              <w:rPr>
                <w:sz w:val="14"/>
                <w:szCs w:val="14"/>
                <w:color w:val="auto"/>
              </w:rPr>
            </w:pPr>
          </w:p>
        </w:tc>
        <w:tc>
          <w:tcPr>
            <w:tcW w:w="0" w:type="dxa"/>
            <w:vAlign w:val="bottom"/>
          </w:tcPr>
          <w:p>
            <w:pPr>
              <w:spacing w:after="0"/>
              <w:rPr>
                <w:sz w:val="1"/>
                <w:szCs w:val="1"/>
                <w:color w:val="auto"/>
              </w:rPr>
            </w:pPr>
          </w:p>
        </w:tc>
      </w:tr>
      <w:tr>
        <w:trPr>
          <w:trHeight w:val="125"/>
        </w:trPr>
        <w:tc>
          <w:tcPr>
            <w:tcW w:w="5780" w:type="dxa"/>
            <w:vAlign w:val="bottom"/>
          </w:tcPr>
          <w:p>
            <w:pPr>
              <w:spacing w:after="0"/>
              <w:rPr>
                <w:sz w:val="10"/>
                <w:szCs w:val="10"/>
                <w:color w:val="auto"/>
              </w:rPr>
            </w:pPr>
          </w:p>
        </w:tc>
        <w:tc>
          <w:tcPr>
            <w:tcW w:w="1420" w:type="dxa"/>
            <w:vAlign w:val="bottom"/>
            <w:gridSpan w:val="2"/>
          </w:tcPr>
          <w:p>
            <w:pPr>
              <w:ind w:left="620"/>
              <w:spacing w:after="0" w:line="125" w:lineRule="exact"/>
              <w:rPr>
                <w:sz w:val="20"/>
                <w:szCs w:val="20"/>
                <w:color w:val="auto"/>
              </w:rPr>
            </w:pPr>
            <w:r>
              <w:rPr>
                <w:rFonts w:ascii="Arial" w:cs="Arial" w:eastAsia="Arial" w:hAnsi="Arial"/>
                <w:sz w:val="14"/>
                <w:szCs w:val="14"/>
                <w:b w:val="1"/>
                <w:bCs w:val="1"/>
                <w:color w:val="auto"/>
              </w:rPr>
              <w:t>Pension</w:t>
            </w:r>
          </w:p>
        </w:tc>
        <w:tc>
          <w:tcPr>
            <w:tcW w:w="1760" w:type="dxa"/>
            <w:vAlign w:val="bottom"/>
            <w:gridSpan w:val="2"/>
          </w:tcPr>
          <w:p>
            <w:pPr>
              <w:ind w:left="400"/>
              <w:spacing w:after="0" w:line="125" w:lineRule="exact"/>
              <w:rPr>
                <w:sz w:val="20"/>
                <w:szCs w:val="20"/>
                <w:color w:val="auto"/>
              </w:rPr>
            </w:pPr>
            <w:r>
              <w:rPr>
                <w:rFonts w:ascii="Arial" w:cs="Arial" w:eastAsia="Arial" w:hAnsi="Arial"/>
                <w:sz w:val="14"/>
                <w:szCs w:val="14"/>
                <w:b w:val="1"/>
                <w:bCs w:val="1"/>
                <w:color w:val="auto"/>
              </w:rPr>
              <w:t>Postretirement</w:t>
            </w:r>
          </w:p>
        </w:tc>
        <w:tc>
          <w:tcPr>
            <w:tcW w:w="1020" w:type="dxa"/>
            <w:vAlign w:val="bottom"/>
            <w:gridSpan w:val="2"/>
          </w:tcPr>
          <w:p>
            <w:pPr>
              <w:ind w:left="260"/>
              <w:spacing w:after="0" w:line="125" w:lineRule="exact"/>
              <w:rPr>
                <w:sz w:val="20"/>
                <w:szCs w:val="20"/>
                <w:color w:val="auto"/>
              </w:rPr>
            </w:pPr>
            <w:r>
              <w:rPr>
                <w:rFonts w:ascii="Arial" w:cs="Arial" w:eastAsia="Arial" w:hAnsi="Arial"/>
                <w:sz w:val="14"/>
                <w:szCs w:val="14"/>
                <w:color w:val="auto"/>
              </w:rPr>
              <w:t>Pension</w:t>
            </w:r>
          </w:p>
        </w:tc>
        <w:tc>
          <w:tcPr>
            <w:tcW w:w="1440" w:type="dxa"/>
            <w:vAlign w:val="bottom"/>
            <w:gridSpan w:val="2"/>
          </w:tcPr>
          <w:p>
            <w:pPr>
              <w:ind w:left="400"/>
              <w:spacing w:after="0" w:line="125" w:lineRule="exact"/>
              <w:rPr>
                <w:sz w:val="20"/>
                <w:szCs w:val="20"/>
                <w:color w:val="auto"/>
              </w:rPr>
            </w:pPr>
            <w:r>
              <w:rPr>
                <w:rFonts w:ascii="Arial" w:cs="Arial" w:eastAsia="Arial" w:hAnsi="Arial"/>
                <w:sz w:val="14"/>
                <w:szCs w:val="14"/>
                <w:color w:val="auto"/>
              </w:rPr>
              <w:t>Postretirement</w:t>
            </w:r>
          </w:p>
        </w:tc>
        <w:tc>
          <w:tcPr>
            <w:tcW w:w="0" w:type="dxa"/>
            <w:vAlign w:val="bottom"/>
          </w:tcPr>
          <w:p>
            <w:pPr>
              <w:spacing w:after="0"/>
              <w:rPr>
                <w:sz w:val="1"/>
                <w:szCs w:val="1"/>
                <w:color w:val="auto"/>
              </w:rPr>
            </w:pPr>
          </w:p>
        </w:tc>
      </w:tr>
      <w:tr>
        <w:trPr>
          <w:trHeight w:val="165"/>
        </w:trPr>
        <w:tc>
          <w:tcPr>
            <w:tcW w:w="5780" w:type="dxa"/>
            <w:vAlign w:val="bottom"/>
            <w:tcBorders>
              <w:bottom w:val="single" w:sz="8" w:color="auto"/>
            </w:tcBorders>
          </w:tcPr>
          <w:p>
            <w:pPr>
              <w:spacing w:after="0"/>
              <w:rPr>
                <w:sz w:val="20"/>
                <w:szCs w:val="20"/>
                <w:color w:val="auto"/>
              </w:rPr>
            </w:pPr>
            <w:r>
              <w:rPr>
                <w:rFonts w:ascii="Arial" w:cs="Arial" w:eastAsia="Arial" w:hAnsi="Arial"/>
                <w:sz w:val="14"/>
                <w:szCs w:val="14"/>
                <w:color w:val="auto"/>
              </w:rPr>
              <w:t>Year Ended December 31 (in millions)</w:t>
            </w:r>
          </w:p>
        </w:tc>
        <w:tc>
          <w:tcPr>
            <w:tcW w:w="1420" w:type="dxa"/>
            <w:vAlign w:val="bottom"/>
            <w:tcBorders>
              <w:bottom w:val="single" w:sz="8" w:color="auto"/>
            </w:tcBorders>
            <w:gridSpan w:val="2"/>
          </w:tcPr>
          <w:p>
            <w:pPr>
              <w:ind w:left="600"/>
              <w:spacing w:after="0"/>
              <w:rPr>
                <w:sz w:val="20"/>
                <w:szCs w:val="20"/>
                <w:color w:val="auto"/>
              </w:rPr>
            </w:pPr>
            <w:r>
              <w:rPr>
                <w:rFonts w:ascii="Arial" w:cs="Arial" w:eastAsia="Arial" w:hAnsi="Arial"/>
                <w:sz w:val="14"/>
                <w:szCs w:val="14"/>
                <w:b w:val="1"/>
                <w:bCs w:val="1"/>
                <w:color w:val="auto"/>
              </w:rPr>
              <w:t>Benefits</w:t>
            </w:r>
          </w:p>
        </w:tc>
        <w:tc>
          <w:tcPr>
            <w:tcW w:w="640" w:type="dxa"/>
            <w:vAlign w:val="bottom"/>
            <w:tcBorders>
              <w:bottom w:val="single" w:sz="8" w:color="auto"/>
            </w:tcBorders>
          </w:tcPr>
          <w:p>
            <w:pPr>
              <w:spacing w:after="0"/>
              <w:rPr>
                <w:sz w:val="14"/>
                <w:szCs w:val="14"/>
                <w:color w:val="auto"/>
              </w:rPr>
            </w:pPr>
          </w:p>
        </w:tc>
        <w:tc>
          <w:tcPr>
            <w:tcW w:w="1120" w:type="dxa"/>
            <w:vAlign w:val="bottom"/>
            <w:tcBorders>
              <w:bottom w:val="single" w:sz="8" w:color="auto"/>
            </w:tcBorders>
          </w:tcPr>
          <w:p>
            <w:pPr>
              <w:jc w:val="right"/>
              <w:ind w:right="335"/>
              <w:spacing w:after="0"/>
              <w:rPr>
                <w:sz w:val="20"/>
                <w:szCs w:val="20"/>
                <w:color w:val="auto"/>
              </w:rPr>
            </w:pPr>
            <w:r>
              <w:rPr>
                <w:rFonts w:ascii="Arial" w:cs="Arial" w:eastAsia="Arial" w:hAnsi="Arial"/>
                <w:sz w:val="14"/>
                <w:szCs w:val="14"/>
                <w:b w:val="1"/>
                <w:bCs w:val="1"/>
                <w:color w:val="auto"/>
              </w:rPr>
              <w:t>Benefits</w:t>
            </w:r>
          </w:p>
        </w:tc>
        <w:tc>
          <w:tcPr>
            <w:tcW w:w="1020" w:type="dxa"/>
            <w:vAlign w:val="bottom"/>
            <w:tcBorders>
              <w:bottom w:val="single" w:sz="8" w:color="auto"/>
            </w:tcBorders>
            <w:gridSpan w:val="2"/>
          </w:tcPr>
          <w:p>
            <w:pPr>
              <w:ind w:left="260"/>
              <w:spacing w:after="0"/>
              <w:rPr>
                <w:sz w:val="20"/>
                <w:szCs w:val="20"/>
                <w:color w:val="auto"/>
              </w:rPr>
            </w:pPr>
            <w:r>
              <w:rPr>
                <w:rFonts w:ascii="Arial" w:cs="Arial" w:eastAsia="Arial" w:hAnsi="Arial"/>
                <w:sz w:val="14"/>
                <w:szCs w:val="14"/>
                <w:color w:val="auto"/>
              </w:rPr>
              <w:t>Benefits</w:t>
            </w:r>
          </w:p>
        </w:tc>
        <w:tc>
          <w:tcPr>
            <w:tcW w:w="640" w:type="dxa"/>
            <w:vAlign w:val="bottom"/>
            <w:tcBorders>
              <w:bottom w:val="single" w:sz="8" w:color="auto"/>
            </w:tcBorders>
          </w:tcPr>
          <w:p>
            <w:pPr>
              <w:spacing w:after="0"/>
              <w:rPr>
                <w:sz w:val="14"/>
                <w:szCs w:val="14"/>
                <w:color w:val="auto"/>
              </w:rPr>
            </w:pPr>
          </w:p>
        </w:tc>
        <w:tc>
          <w:tcPr>
            <w:tcW w:w="800" w:type="dxa"/>
            <w:vAlign w:val="bottom"/>
            <w:tcBorders>
              <w:bottom w:val="single" w:sz="8" w:color="auto"/>
            </w:tcBorders>
          </w:tcPr>
          <w:p>
            <w:pPr>
              <w:jc w:val="right"/>
              <w:ind w:right="75"/>
              <w:spacing w:after="0"/>
              <w:rPr>
                <w:sz w:val="20"/>
                <w:szCs w:val="20"/>
                <w:color w:val="auto"/>
              </w:rPr>
            </w:pPr>
            <w:r>
              <w:rPr>
                <w:rFonts w:ascii="Arial" w:cs="Arial" w:eastAsia="Arial" w:hAnsi="Arial"/>
                <w:sz w:val="14"/>
                <w:szCs w:val="14"/>
                <w:color w:val="auto"/>
              </w:rPr>
              <w:t>Benefits</w:t>
            </w:r>
          </w:p>
        </w:tc>
        <w:tc>
          <w:tcPr>
            <w:tcW w:w="0" w:type="dxa"/>
            <w:vAlign w:val="bottom"/>
          </w:tcPr>
          <w:p>
            <w:pPr>
              <w:spacing w:after="0"/>
              <w:rPr>
                <w:sz w:val="1"/>
                <w:szCs w:val="1"/>
                <w:color w:val="auto"/>
              </w:rPr>
            </w:pPr>
          </w:p>
        </w:tc>
      </w:tr>
      <w:tr>
        <w:trPr>
          <w:trHeight w:val="177"/>
        </w:trPr>
        <w:tc>
          <w:tcPr>
            <w:tcW w:w="5780" w:type="dxa"/>
            <w:vAlign w:val="bottom"/>
          </w:tcPr>
          <w:p>
            <w:pPr>
              <w:spacing w:after="0" w:line="177" w:lineRule="exact"/>
              <w:rPr>
                <w:sz w:val="20"/>
                <w:szCs w:val="20"/>
                <w:color w:val="auto"/>
              </w:rPr>
            </w:pPr>
            <w:r>
              <w:rPr>
                <w:rFonts w:ascii="Arial" w:cs="Arial" w:eastAsia="Arial" w:hAnsi="Arial"/>
                <w:sz w:val="18"/>
                <w:szCs w:val="18"/>
                <w:color w:val="auto"/>
              </w:rPr>
              <w:t>Benefit obligation</w:t>
            </w:r>
          </w:p>
        </w:tc>
        <w:tc>
          <w:tcPr>
            <w:tcW w:w="760" w:type="dxa"/>
            <w:vAlign w:val="bottom"/>
          </w:tcPr>
          <w:p>
            <w:pPr>
              <w:ind w:left="600"/>
              <w:spacing w:after="0" w:line="177" w:lineRule="exact"/>
              <w:rPr>
                <w:sz w:val="20"/>
                <w:szCs w:val="20"/>
                <w:color w:val="auto"/>
              </w:rPr>
            </w:pPr>
            <w:r>
              <w:rPr>
                <w:rFonts w:ascii="Arial" w:cs="Arial" w:eastAsia="Arial" w:hAnsi="Arial"/>
                <w:sz w:val="18"/>
                <w:szCs w:val="18"/>
                <w:b w:val="1"/>
                <w:bCs w:val="1"/>
                <w:color w:val="auto"/>
              </w:rPr>
              <w:t>$</w:t>
            </w:r>
          </w:p>
        </w:tc>
        <w:tc>
          <w:tcPr>
            <w:tcW w:w="660" w:type="dxa"/>
            <w:vAlign w:val="bottom"/>
          </w:tcPr>
          <w:p>
            <w:pPr>
              <w:jc w:val="right"/>
              <w:ind w:right="192"/>
              <w:spacing w:after="0" w:line="177" w:lineRule="exact"/>
              <w:rPr>
                <w:sz w:val="20"/>
                <w:szCs w:val="20"/>
                <w:color w:val="auto"/>
              </w:rPr>
            </w:pPr>
            <w:r>
              <w:rPr>
                <w:rFonts w:ascii="Arial" w:cs="Arial" w:eastAsia="Arial" w:hAnsi="Arial"/>
                <w:sz w:val="18"/>
                <w:szCs w:val="18"/>
                <w:b w:val="1"/>
                <w:bCs w:val="1"/>
                <w:color w:val="auto"/>
              </w:rPr>
              <w:t>184</w:t>
            </w:r>
          </w:p>
        </w:tc>
        <w:tc>
          <w:tcPr>
            <w:tcW w:w="640" w:type="dxa"/>
            <w:vAlign w:val="bottom"/>
          </w:tcPr>
          <w:p>
            <w:pPr>
              <w:ind w:left="380"/>
              <w:spacing w:after="0" w:line="177" w:lineRule="exact"/>
              <w:rPr>
                <w:sz w:val="20"/>
                <w:szCs w:val="20"/>
                <w:color w:val="auto"/>
              </w:rPr>
            </w:pPr>
            <w:r>
              <w:rPr>
                <w:rFonts w:ascii="Arial" w:cs="Arial" w:eastAsia="Arial" w:hAnsi="Arial"/>
                <w:sz w:val="18"/>
                <w:szCs w:val="18"/>
                <w:b w:val="1"/>
                <w:bCs w:val="1"/>
                <w:color w:val="auto"/>
              </w:rPr>
              <w:t>$</w:t>
            </w:r>
          </w:p>
        </w:tc>
        <w:tc>
          <w:tcPr>
            <w:tcW w:w="1120" w:type="dxa"/>
            <w:vAlign w:val="bottom"/>
          </w:tcPr>
          <w:p>
            <w:pPr>
              <w:jc w:val="right"/>
              <w:ind w:right="335"/>
              <w:spacing w:after="0" w:line="177" w:lineRule="exact"/>
              <w:rPr>
                <w:sz w:val="20"/>
                <w:szCs w:val="20"/>
                <w:color w:val="auto"/>
              </w:rPr>
            </w:pPr>
            <w:r>
              <w:rPr>
                <w:rFonts w:ascii="Arial" w:cs="Arial" w:eastAsia="Arial" w:hAnsi="Arial"/>
                <w:sz w:val="18"/>
                <w:szCs w:val="18"/>
                <w:b w:val="1"/>
                <w:bCs w:val="1"/>
                <w:color w:val="auto"/>
              </w:rPr>
              <w:t>280</w:t>
            </w:r>
          </w:p>
        </w:tc>
        <w:tc>
          <w:tcPr>
            <w:tcW w:w="380" w:type="dxa"/>
            <w:vAlign w:val="bottom"/>
          </w:tcPr>
          <w:p>
            <w:pPr>
              <w:ind w:left="240"/>
              <w:spacing w:after="0" w:line="177" w:lineRule="exact"/>
              <w:rPr>
                <w:sz w:val="20"/>
                <w:szCs w:val="20"/>
                <w:color w:val="auto"/>
              </w:rPr>
            </w:pPr>
            <w:r>
              <w:rPr>
                <w:rFonts w:ascii="Arial" w:cs="Arial" w:eastAsia="Arial" w:hAnsi="Arial"/>
                <w:sz w:val="18"/>
                <w:szCs w:val="18"/>
                <w:color w:val="auto"/>
              </w:rPr>
              <w:t>$</w:t>
            </w:r>
          </w:p>
        </w:tc>
        <w:tc>
          <w:tcPr>
            <w:tcW w:w="640" w:type="dxa"/>
            <w:vAlign w:val="bottom"/>
          </w:tcPr>
          <w:p>
            <w:pPr>
              <w:jc w:val="right"/>
              <w:ind w:right="192"/>
              <w:spacing w:after="0" w:line="177" w:lineRule="exact"/>
              <w:rPr>
                <w:sz w:val="20"/>
                <w:szCs w:val="20"/>
                <w:color w:val="auto"/>
              </w:rPr>
            </w:pPr>
            <w:r>
              <w:rPr>
                <w:rFonts w:ascii="Arial" w:cs="Arial" w:eastAsia="Arial" w:hAnsi="Arial"/>
                <w:sz w:val="18"/>
                <w:szCs w:val="18"/>
                <w:color w:val="auto"/>
              </w:rPr>
              <w:t>194</w:t>
            </w:r>
          </w:p>
        </w:tc>
        <w:tc>
          <w:tcPr>
            <w:tcW w:w="640" w:type="dxa"/>
            <w:vAlign w:val="bottom"/>
          </w:tcPr>
          <w:p>
            <w:pPr>
              <w:ind w:left="380"/>
              <w:spacing w:after="0" w:line="177" w:lineRule="exact"/>
              <w:rPr>
                <w:sz w:val="20"/>
                <w:szCs w:val="20"/>
                <w:color w:val="auto"/>
              </w:rPr>
            </w:pPr>
            <w:r>
              <w:rPr>
                <w:rFonts w:ascii="Arial" w:cs="Arial" w:eastAsia="Arial" w:hAnsi="Arial"/>
                <w:sz w:val="18"/>
                <w:szCs w:val="18"/>
                <w:color w:val="auto"/>
              </w:rPr>
              <w:t>$</w:t>
            </w:r>
          </w:p>
        </w:tc>
        <w:tc>
          <w:tcPr>
            <w:tcW w:w="800" w:type="dxa"/>
            <w:vAlign w:val="bottom"/>
          </w:tcPr>
          <w:p>
            <w:pPr>
              <w:jc w:val="right"/>
              <w:ind w:right="75"/>
              <w:spacing w:after="0" w:line="177" w:lineRule="exact"/>
              <w:rPr>
                <w:sz w:val="20"/>
                <w:szCs w:val="20"/>
                <w:color w:val="auto"/>
              </w:rPr>
            </w:pPr>
            <w:r>
              <w:rPr>
                <w:rFonts w:ascii="Arial" w:cs="Arial" w:eastAsia="Arial" w:hAnsi="Arial"/>
                <w:sz w:val="18"/>
                <w:szCs w:val="18"/>
                <w:color w:val="auto"/>
              </w:rPr>
              <w:t>247</w:t>
            </w:r>
          </w:p>
        </w:tc>
        <w:tc>
          <w:tcPr>
            <w:tcW w:w="0" w:type="dxa"/>
            <w:vAlign w:val="bottom"/>
          </w:tcPr>
          <w:p>
            <w:pPr>
              <w:spacing w:after="0"/>
              <w:rPr>
                <w:sz w:val="1"/>
                <w:szCs w:val="1"/>
                <w:color w:val="auto"/>
              </w:rPr>
            </w:pPr>
          </w:p>
        </w:tc>
      </w:tr>
      <w:tr>
        <w:trPr>
          <w:trHeight w:val="203"/>
        </w:trPr>
        <w:tc>
          <w:tcPr>
            <w:tcW w:w="5780" w:type="dxa"/>
            <w:vAlign w:val="bottom"/>
          </w:tcPr>
          <w:p>
            <w:pPr>
              <w:spacing w:after="0" w:line="202" w:lineRule="exact"/>
              <w:rPr>
                <w:sz w:val="20"/>
                <w:szCs w:val="20"/>
                <w:color w:val="auto"/>
              </w:rPr>
            </w:pPr>
            <w:r>
              <w:rPr>
                <w:rFonts w:ascii="Arial" w:cs="Arial" w:eastAsia="Arial" w:hAnsi="Arial"/>
                <w:sz w:val="18"/>
                <w:szCs w:val="18"/>
                <w:color w:val="auto"/>
              </w:rPr>
              <w:t>Fair value of plan assets</w:t>
            </w:r>
          </w:p>
        </w:tc>
        <w:tc>
          <w:tcPr>
            <w:tcW w:w="760" w:type="dxa"/>
            <w:vAlign w:val="bottom"/>
          </w:tcPr>
          <w:p>
            <w:pPr>
              <w:ind w:left="600"/>
              <w:spacing w:after="0" w:line="202" w:lineRule="exact"/>
              <w:rPr>
                <w:sz w:val="20"/>
                <w:szCs w:val="20"/>
                <w:color w:val="auto"/>
              </w:rPr>
            </w:pPr>
            <w:r>
              <w:rPr>
                <w:rFonts w:ascii="Arial" w:cs="Arial" w:eastAsia="Arial" w:hAnsi="Arial"/>
                <w:sz w:val="18"/>
                <w:szCs w:val="18"/>
                <w:b w:val="1"/>
                <w:bCs w:val="1"/>
                <w:color w:val="auto"/>
              </w:rPr>
              <w:t>$</w:t>
            </w:r>
          </w:p>
        </w:tc>
        <w:tc>
          <w:tcPr>
            <w:tcW w:w="660" w:type="dxa"/>
            <w:vAlign w:val="bottom"/>
          </w:tcPr>
          <w:p>
            <w:pPr>
              <w:jc w:val="right"/>
              <w:ind w:right="192"/>
              <w:spacing w:after="0" w:line="202" w:lineRule="exact"/>
              <w:rPr>
                <w:sz w:val="20"/>
                <w:szCs w:val="20"/>
                <w:color w:val="auto"/>
              </w:rPr>
            </w:pPr>
            <w:r>
              <w:rPr>
                <w:rFonts w:ascii="Arial" w:cs="Arial" w:eastAsia="Arial" w:hAnsi="Arial"/>
                <w:sz w:val="18"/>
                <w:szCs w:val="18"/>
                <w:b w:val="1"/>
                <w:bCs w:val="1"/>
                <w:color w:val="auto"/>
              </w:rPr>
              <w:t>122</w:t>
            </w:r>
          </w:p>
        </w:tc>
        <w:tc>
          <w:tcPr>
            <w:tcW w:w="640" w:type="dxa"/>
            <w:vAlign w:val="bottom"/>
          </w:tcPr>
          <w:p>
            <w:pPr>
              <w:ind w:left="380"/>
              <w:spacing w:after="0" w:line="202" w:lineRule="exact"/>
              <w:rPr>
                <w:sz w:val="20"/>
                <w:szCs w:val="20"/>
                <w:color w:val="auto"/>
              </w:rPr>
            </w:pPr>
            <w:r>
              <w:rPr>
                <w:rFonts w:ascii="Arial" w:cs="Arial" w:eastAsia="Arial" w:hAnsi="Arial"/>
                <w:sz w:val="18"/>
                <w:szCs w:val="18"/>
                <w:b w:val="1"/>
                <w:bCs w:val="1"/>
                <w:color w:val="auto"/>
              </w:rPr>
              <w:t>$</w:t>
            </w:r>
          </w:p>
        </w:tc>
        <w:tc>
          <w:tcPr>
            <w:tcW w:w="1120" w:type="dxa"/>
            <w:vAlign w:val="bottom"/>
          </w:tcPr>
          <w:p>
            <w:pPr>
              <w:jc w:val="right"/>
              <w:ind w:right="335"/>
              <w:spacing w:after="0" w:line="202" w:lineRule="exact"/>
              <w:rPr>
                <w:sz w:val="20"/>
                <w:szCs w:val="20"/>
                <w:color w:val="auto"/>
              </w:rPr>
            </w:pPr>
            <w:r>
              <w:rPr>
                <w:rFonts w:ascii="Arial" w:cs="Arial" w:eastAsia="Arial" w:hAnsi="Arial"/>
                <w:sz w:val="18"/>
                <w:szCs w:val="18"/>
                <w:b w:val="1"/>
                <w:bCs w:val="1"/>
                <w:color w:val="auto"/>
              </w:rPr>
              <w:t>—</w:t>
            </w:r>
          </w:p>
        </w:tc>
        <w:tc>
          <w:tcPr>
            <w:tcW w:w="380" w:type="dxa"/>
            <w:vAlign w:val="bottom"/>
          </w:tcPr>
          <w:p>
            <w:pPr>
              <w:ind w:left="240"/>
              <w:spacing w:after="0" w:line="202" w:lineRule="exact"/>
              <w:rPr>
                <w:sz w:val="20"/>
                <w:szCs w:val="20"/>
                <w:color w:val="auto"/>
              </w:rPr>
            </w:pPr>
            <w:r>
              <w:rPr>
                <w:rFonts w:ascii="Arial" w:cs="Arial" w:eastAsia="Arial" w:hAnsi="Arial"/>
                <w:sz w:val="18"/>
                <w:szCs w:val="18"/>
                <w:color w:val="auto"/>
              </w:rPr>
              <w:t>$</w:t>
            </w:r>
          </w:p>
        </w:tc>
        <w:tc>
          <w:tcPr>
            <w:tcW w:w="640" w:type="dxa"/>
            <w:vAlign w:val="bottom"/>
          </w:tcPr>
          <w:p>
            <w:pPr>
              <w:jc w:val="right"/>
              <w:ind w:right="192"/>
              <w:spacing w:after="0" w:line="202" w:lineRule="exact"/>
              <w:rPr>
                <w:sz w:val="20"/>
                <w:szCs w:val="20"/>
                <w:color w:val="auto"/>
              </w:rPr>
            </w:pPr>
            <w:r>
              <w:rPr>
                <w:rFonts w:ascii="Arial" w:cs="Arial" w:eastAsia="Arial" w:hAnsi="Arial"/>
                <w:sz w:val="18"/>
                <w:szCs w:val="18"/>
                <w:color w:val="auto"/>
              </w:rPr>
              <w:t>98</w:t>
            </w:r>
          </w:p>
        </w:tc>
        <w:tc>
          <w:tcPr>
            <w:tcW w:w="640" w:type="dxa"/>
            <w:vAlign w:val="bottom"/>
          </w:tcPr>
          <w:p>
            <w:pPr>
              <w:ind w:left="380"/>
              <w:spacing w:after="0" w:line="202" w:lineRule="exact"/>
              <w:rPr>
                <w:sz w:val="20"/>
                <w:szCs w:val="20"/>
                <w:color w:val="auto"/>
              </w:rPr>
            </w:pPr>
            <w:r>
              <w:rPr>
                <w:rFonts w:ascii="Arial" w:cs="Arial" w:eastAsia="Arial" w:hAnsi="Arial"/>
                <w:sz w:val="18"/>
                <w:szCs w:val="18"/>
                <w:color w:val="auto"/>
              </w:rPr>
              <w:t>$</w:t>
            </w:r>
          </w:p>
        </w:tc>
        <w:tc>
          <w:tcPr>
            <w:tcW w:w="800" w:type="dxa"/>
            <w:vAlign w:val="bottom"/>
          </w:tcPr>
          <w:p>
            <w:pPr>
              <w:jc w:val="right"/>
              <w:ind w:right="75"/>
              <w:spacing w:after="0" w:line="202" w:lineRule="exact"/>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25"/>
        </w:trPr>
        <w:tc>
          <w:tcPr>
            <w:tcW w:w="5780" w:type="dxa"/>
            <w:vAlign w:val="bottom"/>
          </w:tcPr>
          <w:p>
            <w:pPr>
              <w:spacing w:after="0"/>
              <w:rPr>
                <w:sz w:val="20"/>
                <w:szCs w:val="20"/>
                <w:color w:val="auto"/>
              </w:rPr>
            </w:pPr>
            <w:r>
              <w:rPr>
                <w:rFonts w:ascii="Arial" w:cs="Arial" w:eastAsia="Arial" w:hAnsi="Arial"/>
                <w:sz w:val="18"/>
                <w:szCs w:val="18"/>
                <w:color w:val="auto"/>
              </w:rPr>
              <w:t>Plan funded status and recorded benefit obligation</w:t>
            </w:r>
          </w:p>
        </w:tc>
        <w:tc>
          <w:tcPr>
            <w:tcW w:w="760" w:type="dxa"/>
            <w:vAlign w:val="bottom"/>
          </w:tcPr>
          <w:p>
            <w:pPr>
              <w:ind w:left="600"/>
              <w:spacing w:after="0"/>
              <w:rPr>
                <w:sz w:val="20"/>
                <w:szCs w:val="20"/>
                <w:color w:val="auto"/>
              </w:rPr>
            </w:pPr>
            <w:r>
              <w:rPr>
                <w:rFonts w:ascii="Arial" w:cs="Arial" w:eastAsia="Arial" w:hAnsi="Arial"/>
                <w:sz w:val="18"/>
                <w:szCs w:val="18"/>
                <w:b w:val="1"/>
                <w:bCs w:val="1"/>
                <w:color w:val="auto"/>
              </w:rPr>
              <w:t>$</w:t>
            </w:r>
          </w:p>
        </w:tc>
        <w:tc>
          <w:tcPr>
            <w:tcW w:w="660" w:type="dxa"/>
            <w:vAlign w:val="bottom"/>
          </w:tcPr>
          <w:p>
            <w:pPr>
              <w:jc w:val="right"/>
              <w:ind w:right="132"/>
              <w:spacing w:after="0"/>
              <w:rPr>
                <w:sz w:val="20"/>
                <w:szCs w:val="20"/>
                <w:color w:val="auto"/>
              </w:rPr>
            </w:pPr>
            <w:r>
              <w:rPr>
                <w:rFonts w:ascii="Arial" w:cs="Arial" w:eastAsia="Arial" w:hAnsi="Arial"/>
                <w:sz w:val="18"/>
                <w:szCs w:val="18"/>
                <w:b w:val="1"/>
                <w:bCs w:val="1"/>
                <w:color w:val="auto"/>
              </w:rPr>
              <w:t>(62)</w:t>
            </w:r>
          </w:p>
        </w:tc>
        <w:tc>
          <w:tcPr>
            <w:tcW w:w="640" w:type="dxa"/>
            <w:vAlign w:val="bottom"/>
          </w:tcPr>
          <w:p>
            <w:pPr>
              <w:ind w:left="380"/>
              <w:spacing w:after="0"/>
              <w:rPr>
                <w:sz w:val="20"/>
                <w:szCs w:val="20"/>
                <w:color w:val="auto"/>
              </w:rPr>
            </w:pPr>
            <w:r>
              <w:rPr>
                <w:rFonts w:ascii="Arial" w:cs="Arial" w:eastAsia="Arial" w:hAnsi="Arial"/>
                <w:sz w:val="18"/>
                <w:szCs w:val="18"/>
                <w:b w:val="1"/>
                <w:bCs w:val="1"/>
                <w:color w:val="auto"/>
              </w:rPr>
              <w:t>$</w:t>
            </w:r>
          </w:p>
        </w:tc>
        <w:tc>
          <w:tcPr>
            <w:tcW w:w="1120" w:type="dxa"/>
            <w:vAlign w:val="bottom"/>
          </w:tcPr>
          <w:p>
            <w:pPr>
              <w:jc w:val="right"/>
              <w:ind w:right="275"/>
              <w:spacing w:after="0"/>
              <w:rPr>
                <w:sz w:val="20"/>
                <w:szCs w:val="20"/>
                <w:color w:val="auto"/>
              </w:rPr>
            </w:pPr>
            <w:r>
              <w:rPr>
                <w:rFonts w:ascii="Arial" w:cs="Arial" w:eastAsia="Arial" w:hAnsi="Arial"/>
                <w:sz w:val="18"/>
                <w:szCs w:val="18"/>
                <w:b w:val="1"/>
                <w:bCs w:val="1"/>
                <w:color w:val="auto"/>
              </w:rPr>
              <w:t>(280)</w:t>
            </w:r>
          </w:p>
        </w:tc>
        <w:tc>
          <w:tcPr>
            <w:tcW w:w="380" w:type="dxa"/>
            <w:vAlign w:val="bottom"/>
          </w:tcPr>
          <w:p>
            <w:pPr>
              <w:ind w:left="240"/>
              <w:spacing w:after="0"/>
              <w:rPr>
                <w:sz w:val="20"/>
                <w:szCs w:val="20"/>
                <w:color w:val="auto"/>
              </w:rPr>
            </w:pPr>
            <w:r>
              <w:rPr>
                <w:rFonts w:ascii="Arial" w:cs="Arial" w:eastAsia="Arial" w:hAnsi="Arial"/>
                <w:sz w:val="18"/>
                <w:szCs w:val="18"/>
                <w:color w:val="auto"/>
              </w:rPr>
              <w:t>$</w:t>
            </w:r>
          </w:p>
        </w:tc>
        <w:tc>
          <w:tcPr>
            <w:tcW w:w="640" w:type="dxa"/>
            <w:vAlign w:val="bottom"/>
          </w:tcPr>
          <w:p>
            <w:pPr>
              <w:jc w:val="right"/>
              <w:ind w:right="132"/>
              <w:spacing w:after="0"/>
              <w:rPr>
                <w:sz w:val="20"/>
                <w:szCs w:val="20"/>
                <w:color w:val="auto"/>
              </w:rPr>
            </w:pPr>
            <w:r>
              <w:rPr>
                <w:rFonts w:ascii="Arial" w:cs="Arial" w:eastAsia="Arial" w:hAnsi="Arial"/>
                <w:sz w:val="18"/>
                <w:szCs w:val="18"/>
                <w:color w:val="auto"/>
              </w:rPr>
              <w:t>(96)</w:t>
            </w:r>
          </w:p>
        </w:tc>
        <w:tc>
          <w:tcPr>
            <w:tcW w:w="640" w:type="dxa"/>
            <w:vAlign w:val="bottom"/>
          </w:tcPr>
          <w:p>
            <w:pPr>
              <w:ind w:left="380"/>
              <w:spacing w:after="0"/>
              <w:rPr>
                <w:sz w:val="20"/>
                <w:szCs w:val="20"/>
                <w:color w:val="auto"/>
              </w:rPr>
            </w:pPr>
            <w:r>
              <w:rPr>
                <w:rFonts w:ascii="Arial" w:cs="Arial" w:eastAsia="Arial" w:hAnsi="Arial"/>
                <w:sz w:val="18"/>
                <w:szCs w:val="18"/>
                <w:color w:val="auto"/>
              </w:rPr>
              <w:t>$</w:t>
            </w:r>
          </w:p>
        </w:tc>
        <w:tc>
          <w:tcPr>
            <w:tcW w:w="800" w:type="dxa"/>
            <w:vAlign w:val="bottom"/>
          </w:tcPr>
          <w:p>
            <w:pPr>
              <w:jc w:val="right"/>
              <w:ind w:right="15"/>
              <w:spacing w:after="0"/>
              <w:rPr>
                <w:sz w:val="20"/>
                <w:szCs w:val="20"/>
                <w:color w:val="auto"/>
              </w:rPr>
            </w:pPr>
            <w:r>
              <w:rPr>
                <w:rFonts w:ascii="Arial" w:cs="Arial" w:eastAsia="Arial" w:hAnsi="Arial"/>
                <w:sz w:val="18"/>
                <w:szCs w:val="18"/>
                <w:color w:val="auto"/>
              </w:rPr>
              <w:t>(236)</w:t>
            </w:r>
          </w:p>
        </w:tc>
        <w:tc>
          <w:tcPr>
            <w:tcW w:w="0" w:type="dxa"/>
            <w:vAlign w:val="bottom"/>
          </w:tcPr>
          <w:p>
            <w:pPr>
              <w:spacing w:after="0"/>
              <w:rPr>
                <w:sz w:val="1"/>
                <w:szCs w:val="1"/>
                <w:color w:val="auto"/>
              </w:rPr>
            </w:pPr>
          </w:p>
        </w:tc>
      </w:tr>
      <w:tr>
        <w:trPr>
          <w:trHeight w:val="203"/>
        </w:trPr>
        <w:tc>
          <w:tcPr>
            <w:tcW w:w="5780" w:type="dxa"/>
            <w:vAlign w:val="bottom"/>
          </w:tcPr>
          <w:p>
            <w:pPr>
              <w:spacing w:after="0" w:line="202" w:lineRule="exact"/>
              <w:rPr>
                <w:sz w:val="20"/>
                <w:szCs w:val="20"/>
                <w:color w:val="auto"/>
              </w:rPr>
            </w:pPr>
            <w:r>
              <w:rPr>
                <w:rFonts w:ascii="Arial" w:cs="Arial" w:eastAsia="Arial" w:hAnsi="Arial"/>
                <w:sz w:val="18"/>
                <w:szCs w:val="18"/>
                <w:color w:val="auto"/>
              </w:rPr>
              <w:t>Portion of benefit obligation not yet recognized as a component of net</w:t>
            </w:r>
          </w:p>
        </w:tc>
        <w:tc>
          <w:tcPr>
            <w:tcW w:w="760" w:type="dxa"/>
            <w:vAlign w:val="bottom"/>
            <w:vMerge w:val="restart"/>
          </w:tcPr>
          <w:p>
            <w:pPr>
              <w:ind w:left="600"/>
              <w:spacing w:after="0"/>
              <w:rPr>
                <w:sz w:val="20"/>
                <w:szCs w:val="20"/>
                <w:color w:val="auto"/>
              </w:rPr>
            </w:pPr>
            <w:r>
              <w:rPr>
                <w:rFonts w:ascii="Arial" w:cs="Arial" w:eastAsia="Arial" w:hAnsi="Arial"/>
                <w:sz w:val="18"/>
                <w:szCs w:val="18"/>
                <w:b w:val="1"/>
                <w:bCs w:val="1"/>
                <w:color w:val="auto"/>
              </w:rPr>
              <w:t>$</w:t>
            </w:r>
          </w:p>
        </w:tc>
        <w:tc>
          <w:tcPr>
            <w:tcW w:w="660" w:type="dxa"/>
            <w:vAlign w:val="bottom"/>
            <w:vMerge w:val="restart"/>
          </w:tcPr>
          <w:p>
            <w:pPr>
              <w:jc w:val="right"/>
              <w:ind w:right="192"/>
              <w:spacing w:after="0"/>
              <w:rPr>
                <w:sz w:val="20"/>
                <w:szCs w:val="20"/>
                <w:color w:val="auto"/>
              </w:rPr>
            </w:pPr>
            <w:r>
              <w:rPr>
                <w:rFonts w:ascii="Arial" w:cs="Arial" w:eastAsia="Arial" w:hAnsi="Arial"/>
                <w:sz w:val="18"/>
                <w:szCs w:val="18"/>
                <w:b w:val="1"/>
                <w:bCs w:val="1"/>
                <w:color w:val="auto"/>
              </w:rPr>
              <w:t>12</w:t>
            </w:r>
          </w:p>
        </w:tc>
        <w:tc>
          <w:tcPr>
            <w:tcW w:w="640" w:type="dxa"/>
            <w:vAlign w:val="bottom"/>
            <w:vMerge w:val="restart"/>
          </w:tcPr>
          <w:p>
            <w:pPr>
              <w:ind w:left="380"/>
              <w:spacing w:after="0"/>
              <w:rPr>
                <w:sz w:val="20"/>
                <w:szCs w:val="20"/>
                <w:color w:val="auto"/>
              </w:rPr>
            </w:pPr>
            <w:r>
              <w:rPr>
                <w:rFonts w:ascii="Arial" w:cs="Arial" w:eastAsia="Arial" w:hAnsi="Arial"/>
                <w:sz w:val="18"/>
                <w:szCs w:val="18"/>
                <w:b w:val="1"/>
                <w:bCs w:val="1"/>
                <w:color w:val="auto"/>
              </w:rPr>
              <w:t>$</w:t>
            </w:r>
          </w:p>
        </w:tc>
        <w:tc>
          <w:tcPr>
            <w:tcW w:w="1120" w:type="dxa"/>
            <w:vAlign w:val="bottom"/>
            <w:vMerge w:val="restart"/>
          </w:tcPr>
          <w:p>
            <w:pPr>
              <w:jc w:val="right"/>
              <w:ind w:right="275"/>
              <w:spacing w:after="0"/>
              <w:rPr>
                <w:sz w:val="20"/>
                <w:szCs w:val="20"/>
                <w:color w:val="auto"/>
              </w:rPr>
            </w:pPr>
            <w:r>
              <w:rPr>
                <w:rFonts w:ascii="Arial" w:cs="Arial" w:eastAsia="Arial" w:hAnsi="Arial"/>
                <w:sz w:val="18"/>
                <w:szCs w:val="18"/>
                <w:b w:val="1"/>
                <w:bCs w:val="1"/>
                <w:color w:val="auto"/>
              </w:rPr>
              <w:t>(4)</w:t>
            </w:r>
          </w:p>
        </w:tc>
        <w:tc>
          <w:tcPr>
            <w:tcW w:w="38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81"/>
        </w:trPr>
        <w:tc>
          <w:tcPr>
            <w:tcW w:w="5780" w:type="dxa"/>
            <w:vAlign w:val="bottom"/>
          </w:tcPr>
          <w:p>
            <w:pPr>
              <w:ind w:left="220"/>
              <w:spacing w:after="0" w:line="181" w:lineRule="exact"/>
              <w:rPr>
                <w:sz w:val="20"/>
                <w:szCs w:val="20"/>
                <w:color w:val="auto"/>
              </w:rPr>
            </w:pPr>
            <w:r>
              <w:rPr>
                <w:rFonts w:ascii="Arial" w:cs="Arial" w:eastAsia="Arial" w:hAnsi="Arial"/>
                <w:sz w:val="18"/>
                <w:szCs w:val="18"/>
                <w:color w:val="auto"/>
              </w:rPr>
              <w:t>periodic benefit cost</w:t>
            </w:r>
          </w:p>
        </w:tc>
        <w:tc>
          <w:tcPr>
            <w:tcW w:w="760" w:type="dxa"/>
            <w:vAlign w:val="bottom"/>
            <w:vMerge w:val="continue"/>
          </w:tcPr>
          <w:p>
            <w:pPr>
              <w:spacing w:after="0"/>
              <w:rPr>
                <w:sz w:val="15"/>
                <w:szCs w:val="15"/>
                <w:color w:val="auto"/>
              </w:rPr>
            </w:pPr>
          </w:p>
        </w:tc>
        <w:tc>
          <w:tcPr>
            <w:tcW w:w="660" w:type="dxa"/>
            <w:vAlign w:val="bottom"/>
            <w:vMerge w:val="continue"/>
          </w:tcPr>
          <w:p>
            <w:pPr>
              <w:spacing w:after="0"/>
              <w:rPr>
                <w:sz w:val="15"/>
                <w:szCs w:val="15"/>
                <w:color w:val="auto"/>
              </w:rPr>
            </w:pPr>
          </w:p>
        </w:tc>
        <w:tc>
          <w:tcPr>
            <w:tcW w:w="640" w:type="dxa"/>
            <w:vAlign w:val="bottom"/>
            <w:vMerge w:val="continue"/>
          </w:tcPr>
          <w:p>
            <w:pPr>
              <w:spacing w:after="0"/>
              <w:rPr>
                <w:sz w:val="15"/>
                <w:szCs w:val="15"/>
                <w:color w:val="auto"/>
              </w:rPr>
            </w:pPr>
          </w:p>
        </w:tc>
        <w:tc>
          <w:tcPr>
            <w:tcW w:w="1120" w:type="dxa"/>
            <w:vAlign w:val="bottom"/>
            <w:vMerge w:val="continue"/>
          </w:tcPr>
          <w:p>
            <w:pPr>
              <w:spacing w:after="0"/>
              <w:rPr>
                <w:sz w:val="15"/>
                <w:szCs w:val="15"/>
                <w:color w:val="auto"/>
              </w:rPr>
            </w:pPr>
          </w:p>
        </w:tc>
        <w:tc>
          <w:tcPr>
            <w:tcW w:w="380" w:type="dxa"/>
            <w:vAlign w:val="bottom"/>
          </w:tcPr>
          <w:p>
            <w:pPr>
              <w:ind w:left="240"/>
              <w:spacing w:after="0" w:line="181" w:lineRule="exact"/>
              <w:rPr>
                <w:sz w:val="20"/>
                <w:szCs w:val="20"/>
                <w:color w:val="auto"/>
              </w:rPr>
            </w:pPr>
            <w:r>
              <w:rPr>
                <w:rFonts w:ascii="Arial" w:cs="Arial" w:eastAsia="Arial" w:hAnsi="Arial"/>
                <w:sz w:val="18"/>
                <w:szCs w:val="18"/>
                <w:color w:val="auto"/>
              </w:rPr>
              <w:t>$</w:t>
            </w:r>
          </w:p>
        </w:tc>
        <w:tc>
          <w:tcPr>
            <w:tcW w:w="640" w:type="dxa"/>
            <w:vAlign w:val="bottom"/>
          </w:tcPr>
          <w:p>
            <w:pPr>
              <w:jc w:val="right"/>
              <w:ind w:right="192"/>
              <w:spacing w:after="0" w:line="181" w:lineRule="exact"/>
              <w:rPr>
                <w:sz w:val="20"/>
                <w:szCs w:val="20"/>
                <w:color w:val="auto"/>
              </w:rPr>
            </w:pPr>
            <w:r>
              <w:rPr>
                <w:rFonts w:ascii="Arial" w:cs="Arial" w:eastAsia="Arial" w:hAnsi="Arial"/>
                <w:sz w:val="18"/>
                <w:szCs w:val="18"/>
                <w:color w:val="auto"/>
              </w:rPr>
              <w:t>18</w:t>
            </w:r>
          </w:p>
        </w:tc>
        <w:tc>
          <w:tcPr>
            <w:tcW w:w="640" w:type="dxa"/>
            <w:vAlign w:val="bottom"/>
          </w:tcPr>
          <w:p>
            <w:pPr>
              <w:spacing w:after="0"/>
              <w:rPr>
                <w:sz w:val="15"/>
                <w:szCs w:val="15"/>
                <w:color w:val="auto"/>
              </w:rPr>
            </w:pPr>
          </w:p>
        </w:tc>
        <w:tc>
          <w:tcPr>
            <w:tcW w:w="800" w:type="dxa"/>
            <w:vAlign w:val="bottom"/>
          </w:tcPr>
          <w:p>
            <w:pPr>
              <w:jc w:val="right"/>
              <w:ind w:right="75"/>
              <w:spacing w:after="0" w:line="181" w:lineRule="exact"/>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03"/>
        </w:trPr>
        <w:tc>
          <w:tcPr>
            <w:tcW w:w="5780" w:type="dxa"/>
            <w:vAlign w:val="bottom"/>
          </w:tcPr>
          <w:p>
            <w:pPr>
              <w:spacing w:after="0" w:line="202" w:lineRule="exact"/>
              <w:rPr>
                <w:sz w:val="20"/>
                <w:szCs w:val="20"/>
                <w:color w:val="auto"/>
              </w:rPr>
            </w:pPr>
            <w:r>
              <w:rPr>
                <w:rFonts w:ascii="Arial" w:cs="Arial" w:eastAsia="Arial" w:hAnsi="Arial"/>
                <w:sz w:val="18"/>
                <w:szCs w:val="18"/>
                <w:color w:val="auto"/>
              </w:rPr>
              <w:t>Discount rate</w:t>
            </w:r>
          </w:p>
        </w:tc>
        <w:tc>
          <w:tcPr>
            <w:tcW w:w="760" w:type="dxa"/>
            <w:vAlign w:val="bottom"/>
          </w:tcPr>
          <w:p>
            <w:pPr>
              <w:spacing w:after="0"/>
              <w:rPr>
                <w:sz w:val="17"/>
                <w:szCs w:val="17"/>
                <w:color w:val="auto"/>
              </w:rPr>
            </w:pPr>
          </w:p>
        </w:tc>
        <w:tc>
          <w:tcPr>
            <w:tcW w:w="660" w:type="dxa"/>
            <w:vAlign w:val="bottom"/>
          </w:tcPr>
          <w:p>
            <w:pPr>
              <w:jc w:val="right"/>
              <w:ind w:right="32"/>
              <w:spacing w:after="0" w:line="202" w:lineRule="exact"/>
              <w:rPr>
                <w:sz w:val="20"/>
                <w:szCs w:val="20"/>
                <w:color w:val="auto"/>
              </w:rPr>
            </w:pPr>
            <w:r>
              <w:rPr>
                <w:rFonts w:ascii="Arial" w:cs="Arial" w:eastAsia="Arial" w:hAnsi="Arial"/>
                <w:sz w:val="18"/>
                <w:szCs w:val="18"/>
                <w:b w:val="1"/>
                <w:bCs w:val="1"/>
                <w:color w:val="auto"/>
              </w:rPr>
              <w:t>5.75%</w:t>
            </w:r>
          </w:p>
        </w:tc>
        <w:tc>
          <w:tcPr>
            <w:tcW w:w="640" w:type="dxa"/>
            <w:vAlign w:val="bottom"/>
          </w:tcPr>
          <w:p>
            <w:pPr>
              <w:spacing w:after="0"/>
              <w:rPr>
                <w:sz w:val="17"/>
                <w:szCs w:val="17"/>
                <w:color w:val="auto"/>
              </w:rPr>
            </w:pPr>
          </w:p>
        </w:tc>
        <w:tc>
          <w:tcPr>
            <w:tcW w:w="1120" w:type="dxa"/>
            <w:vAlign w:val="bottom"/>
          </w:tcPr>
          <w:p>
            <w:pPr>
              <w:jc w:val="right"/>
              <w:ind w:right="175"/>
              <w:spacing w:after="0" w:line="202" w:lineRule="exact"/>
              <w:rPr>
                <w:sz w:val="20"/>
                <w:szCs w:val="20"/>
                <w:color w:val="auto"/>
              </w:rPr>
            </w:pPr>
            <w:r>
              <w:rPr>
                <w:rFonts w:ascii="Arial" w:cs="Arial" w:eastAsia="Arial" w:hAnsi="Arial"/>
                <w:sz w:val="18"/>
                <w:szCs w:val="18"/>
                <w:b w:val="1"/>
                <w:bCs w:val="1"/>
                <w:color w:val="auto"/>
              </w:rPr>
              <w:t>6.00%</w:t>
            </w:r>
          </w:p>
        </w:tc>
        <w:tc>
          <w:tcPr>
            <w:tcW w:w="380" w:type="dxa"/>
            <w:vAlign w:val="bottom"/>
          </w:tcPr>
          <w:p>
            <w:pPr>
              <w:spacing w:after="0"/>
              <w:rPr>
                <w:sz w:val="17"/>
                <w:szCs w:val="17"/>
                <w:color w:val="auto"/>
              </w:rPr>
            </w:pPr>
          </w:p>
        </w:tc>
        <w:tc>
          <w:tcPr>
            <w:tcW w:w="640" w:type="dxa"/>
            <w:vAlign w:val="bottom"/>
          </w:tcPr>
          <w:p>
            <w:pPr>
              <w:jc w:val="right"/>
              <w:ind w:right="32"/>
              <w:spacing w:after="0" w:line="202" w:lineRule="exact"/>
              <w:rPr>
                <w:sz w:val="20"/>
                <w:szCs w:val="20"/>
                <w:color w:val="auto"/>
              </w:rPr>
            </w:pPr>
            <w:r>
              <w:rPr>
                <w:rFonts w:ascii="Arial" w:cs="Arial" w:eastAsia="Arial" w:hAnsi="Arial"/>
                <w:sz w:val="18"/>
                <w:szCs w:val="18"/>
                <w:color w:val="auto"/>
                <w:w w:val="97"/>
              </w:rPr>
              <w:t>5.50%</w:t>
            </w:r>
          </w:p>
        </w:tc>
        <w:tc>
          <w:tcPr>
            <w:tcW w:w="640" w:type="dxa"/>
            <w:vAlign w:val="bottom"/>
          </w:tcPr>
          <w:p>
            <w:pPr>
              <w:spacing w:after="0"/>
              <w:rPr>
                <w:sz w:val="17"/>
                <w:szCs w:val="17"/>
                <w:color w:val="auto"/>
              </w:rPr>
            </w:pPr>
          </w:p>
        </w:tc>
        <w:tc>
          <w:tcPr>
            <w:tcW w:w="800" w:type="dxa"/>
            <w:vAlign w:val="bottom"/>
          </w:tcPr>
          <w:p>
            <w:pPr>
              <w:jc w:val="right"/>
              <w:spacing w:after="0" w:line="202" w:lineRule="exact"/>
              <w:rPr>
                <w:sz w:val="20"/>
                <w:szCs w:val="20"/>
                <w:color w:val="auto"/>
              </w:rPr>
            </w:pPr>
            <w:r>
              <w:rPr>
                <w:rFonts w:ascii="Arial" w:cs="Arial" w:eastAsia="Arial" w:hAnsi="Arial"/>
                <w:sz w:val="18"/>
                <w:szCs w:val="18"/>
                <w:color w:val="auto"/>
              </w:rPr>
              <w:t>5.75%</w:t>
            </w:r>
          </w:p>
        </w:tc>
        <w:tc>
          <w:tcPr>
            <w:tcW w:w="0" w:type="dxa"/>
            <w:vAlign w:val="bottom"/>
          </w:tcPr>
          <w:p>
            <w:pPr>
              <w:spacing w:after="0"/>
              <w:rPr>
                <w:sz w:val="1"/>
                <w:szCs w:val="1"/>
                <w:color w:val="auto"/>
              </w:rPr>
            </w:pPr>
          </w:p>
        </w:tc>
      </w:tr>
      <w:tr>
        <w:trPr>
          <w:trHeight w:val="221"/>
        </w:trPr>
        <w:tc>
          <w:tcPr>
            <w:tcW w:w="5780" w:type="dxa"/>
            <w:vAlign w:val="bottom"/>
            <w:tcBorders>
              <w:bottom w:val="single" w:sz="8" w:color="35BF85"/>
            </w:tcBorders>
          </w:tcPr>
          <w:p>
            <w:pPr>
              <w:spacing w:after="0"/>
              <w:rPr>
                <w:sz w:val="20"/>
                <w:szCs w:val="20"/>
                <w:color w:val="auto"/>
              </w:rPr>
            </w:pPr>
            <w:r>
              <w:rPr>
                <w:rFonts w:ascii="Arial" w:cs="Arial" w:eastAsia="Arial" w:hAnsi="Arial"/>
                <w:sz w:val="18"/>
                <w:szCs w:val="18"/>
                <w:color w:val="auto"/>
              </w:rPr>
              <w:t>Expected return on plan assets</w:t>
            </w:r>
          </w:p>
        </w:tc>
        <w:tc>
          <w:tcPr>
            <w:tcW w:w="760" w:type="dxa"/>
            <w:vAlign w:val="bottom"/>
            <w:tcBorders>
              <w:bottom w:val="single" w:sz="8" w:color="35BF85"/>
            </w:tcBorders>
          </w:tcPr>
          <w:p>
            <w:pPr>
              <w:spacing w:after="0"/>
              <w:rPr>
                <w:sz w:val="19"/>
                <w:szCs w:val="19"/>
                <w:color w:val="auto"/>
              </w:rPr>
            </w:pPr>
          </w:p>
        </w:tc>
        <w:tc>
          <w:tcPr>
            <w:tcW w:w="660" w:type="dxa"/>
            <w:vAlign w:val="bottom"/>
            <w:tcBorders>
              <w:bottom w:val="single" w:sz="8" w:color="35BF85"/>
            </w:tcBorders>
          </w:tcPr>
          <w:p>
            <w:pPr>
              <w:jc w:val="right"/>
              <w:ind w:right="32"/>
              <w:spacing w:after="0"/>
              <w:rPr>
                <w:sz w:val="20"/>
                <w:szCs w:val="20"/>
                <w:color w:val="auto"/>
              </w:rPr>
            </w:pPr>
            <w:r>
              <w:rPr>
                <w:rFonts w:ascii="Arial" w:cs="Arial" w:eastAsia="Arial" w:hAnsi="Arial"/>
                <w:sz w:val="18"/>
                <w:szCs w:val="18"/>
                <w:b w:val="1"/>
                <w:bCs w:val="1"/>
                <w:color w:val="auto"/>
              </w:rPr>
              <w:t>7.00%</w:t>
            </w:r>
          </w:p>
        </w:tc>
        <w:tc>
          <w:tcPr>
            <w:tcW w:w="640" w:type="dxa"/>
            <w:vAlign w:val="bottom"/>
            <w:tcBorders>
              <w:bottom w:val="single" w:sz="8" w:color="35BF85"/>
            </w:tcBorders>
          </w:tcPr>
          <w:p>
            <w:pPr>
              <w:spacing w:after="0"/>
              <w:rPr>
                <w:sz w:val="19"/>
                <w:szCs w:val="19"/>
                <w:color w:val="auto"/>
              </w:rPr>
            </w:pPr>
          </w:p>
        </w:tc>
        <w:tc>
          <w:tcPr>
            <w:tcW w:w="1120" w:type="dxa"/>
            <w:vAlign w:val="bottom"/>
            <w:tcBorders>
              <w:bottom w:val="single" w:sz="8" w:color="35BF85"/>
            </w:tcBorders>
          </w:tcPr>
          <w:p>
            <w:pPr>
              <w:jc w:val="right"/>
              <w:ind w:right="335"/>
              <w:spacing w:after="0"/>
              <w:rPr>
                <w:sz w:val="20"/>
                <w:szCs w:val="20"/>
                <w:color w:val="auto"/>
              </w:rPr>
            </w:pPr>
            <w:r>
              <w:rPr>
                <w:rFonts w:ascii="Arial" w:cs="Arial" w:eastAsia="Arial" w:hAnsi="Arial"/>
                <w:sz w:val="18"/>
                <w:szCs w:val="18"/>
                <w:b w:val="1"/>
                <w:bCs w:val="1"/>
                <w:color w:val="auto"/>
              </w:rPr>
              <w:t>N/A</w:t>
            </w:r>
          </w:p>
        </w:tc>
        <w:tc>
          <w:tcPr>
            <w:tcW w:w="380" w:type="dxa"/>
            <w:vAlign w:val="bottom"/>
            <w:tcBorders>
              <w:bottom w:val="single" w:sz="8" w:color="35BF85"/>
            </w:tcBorders>
          </w:tcPr>
          <w:p>
            <w:pPr>
              <w:spacing w:after="0"/>
              <w:rPr>
                <w:sz w:val="19"/>
                <w:szCs w:val="19"/>
                <w:color w:val="auto"/>
              </w:rPr>
            </w:pPr>
          </w:p>
        </w:tc>
        <w:tc>
          <w:tcPr>
            <w:tcW w:w="640" w:type="dxa"/>
            <w:vAlign w:val="bottom"/>
            <w:tcBorders>
              <w:bottom w:val="single" w:sz="8" w:color="35BF85"/>
            </w:tcBorders>
          </w:tcPr>
          <w:p>
            <w:pPr>
              <w:jc w:val="right"/>
              <w:ind w:right="32"/>
              <w:spacing w:after="0"/>
              <w:rPr>
                <w:sz w:val="20"/>
                <w:szCs w:val="20"/>
                <w:color w:val="auto"/>
              </w:rPr>
            </w:pPr>
            <w:r>
              <w:rPr>
                <w:rFonts w:ascii="Arial" w:cs="Arial" w:eastAsia="Arial" w:hAnsi="Arial"/>
                <w:sz w:val="18"/>
                <w:szCs w:val="18"/>
                <w:color w:val="auto"/>
                <w:w w:val="97"/>
              </w:rPr>
              <w:t>7.00%</w:t>
            </w:r>
          </w:p>
        </w:tc>
        <w:tc>
          <w:tcPr>
            <w:tcW w:w="640" w:type="dxa"/>
            <w:vAlign w:val="bottom"/>
            <w:tcBorders>
              <w:bottom w:val="single" w:sz="8" w:color="35BF85"/>
            </w:tcBorders>
          </w:tcPr>
          <w:p>
            <w:pPr>
              <w:spacing w:after="0"/>
              <w:rPr>
                <w:sz w:val="19"/>
                <w:szCs w:val="19"/>
                <w:color w:val="auto"/>
              </w:rPr>
            </w:pPr>
          </w:p>
        </w:tc>
        <w:tc>
          <w:tcPr>
            <w:tcW w:w="800" w:type="dxa"/>
            <w:vAlign w:val="bottom"/>
            <w:tcBorders>
              <w:bottom w:val="single" w:sz="8" w:color="35BF85"/>
            </w:tcBorders>
          </w:tcPr>
          <w:p>
            <w:pPr>
              <w:jc w:val="right"/>
              <w:ind w:right="75"/>
              <w:spacing w:after="0"/>
              <w:rPr>
                <w:sz w:val="20"/>
                <w:szCs w:val="20"/>
                <w:color w:val="auto"/>
              </w:rPr>
            </w:pPr>
            <w:r>
              <w:rPr>
                <w:rFonts w:ascii="Arial" w:cs="Arial" w:eastAsia="Arial" w:hAnsi="Arial"/>
                <w:sz w:val="18"/>
                <w:szCs w:val="18"/>
                <w:color w:val="auto"/>
              </w:rPr>
              <w:t>N/A</w:t>
            </w:r>
          </w:p>
        </w:tc>
        <w:tc>
          <w:tcPr>
            <w:tcW w:w="0" w:type="dxa"/>
            <w:vAlign w:val="bottom"/>
          </w:tcPr>
          <w:p>
            <w:pPr>
              <w:spacing w:after="0"/>
              <w:rPr>
                <w:sz w:val="1"/>
                <w:szCs w:val="1"/>
                <w:color w:val="auto"/>
              </w:rPr>
            </w:pPr>
          </w:p>
        </w:tc>
      </w:tr>
    </w:tbl>
    <w:p>
      <w:pPr>
        <w:spacing w:after="0" w:line="200" w:lineRule="exact"/>
        <w:rPr>
          <w:sz w:val="20"/>
          <w:szCs w:val="20"/>
          <w:color w:val="auto"/>
        </w:rPr>
      </w:pPr>
    </w:p>
    <w:p>
      <w:pPr>
        <w:sectPr>
          <w:pgSz w:w="11900" w:h="16838" w:orient="portrait"/>
          <w:cols w:equalWidth="0" w:num="1">
            <w:col w:w="11420"/>
          </w:cols>
          <w:pgMar w:left="240" w:top="459" w:right="239" w:bottom="1440" w:gutter="0" w:footer="0" w:header="0"/>
          <w:type w:val="continuous"/>
        </w:sectPr>
      </w:pPr>
    </w:p>
    <w:p>
      <w:pPr>
        <w:spacing w:after="0" w:line="6" w:lineRule="exact"/>
        <w:rPr>
          <w:sz w:val="20"/>
          <w:szCs w:val="20"/>
          <w:color w:val="auto"/>
        </w:rPr>
      </w:pPr>
    </w:p>
    <w:p>
      <w:pPr>
        <w:jc w:val="both"/>
        <w:spacing w:after="0" w:line="236" w:lineRule="auto"/>
        <w:rPr>
          <w:sz w:val="20"/>
          <w:szCs w:val="20"/>
          <w:color w:val="auto"/>
        </w:rPr>
      </w:pPr>
      <w:r>
        <w:rPr>
          <w:rFonts w:ascii="Arial" w:cs="Arial" w:eastAsia="Arial" w:hAnsi="Arial"/>
          <w:sz w:val="18"/>
          <w:szCs w:val="18"/>
          <w:color w:val="auto"/>
        </w:rPr>
        <w:t>We sponsor various retirement investment plans that allow eligible employees to contribute a portion of their compensation through payroll deductions in accordance with specified guidelines. We match a percentage of the employees’ contributions up to certain limits. Expenses related to these plans amounted to $125 million, $115 million and $100 million for the years ended December 31, 2006, 2005 and 2004, respectively.</w:t>
      </w:r>
    </w:p>
    <w:p>
      <w:pPr>
        <w:spacing w:after="0" w:line="155" w:lineRule="exact"/>
        <w:rPr>
          <w:sz w:val="20"/>
          <w:szCs w:val="20"/>
          <w:color w:val="auto"/>
        </w:rPr>
      </w:pPr>
    </w:p>
    <w:p>
      <w:pPr>
        <w:jc w:val="both"/>
        <w:spacing w:after="0" w:line="235" w:lineRule="auto"/>
        <w:rPr>
          <w:sz w:val="20"/>
          <w:szCs w:val="20"/>
          <w:color w:val="auto"/>
        </w:rPr>
      </w:pPr>
      <w:r>
        <w:rPr>
          <w:rFonts w:ascii="Arial" w:cs="Arial" w:eastAsia="Arial" w:hAnsi="Arial"/>
          <w:sz w:val="18"/>
          <w:szCs w:val="18"/>
          <w:color w:val="auto"/>
        </w:rPr>
        <w:t>We also maintain unfunded, nonqualified deferred compensation plans, which were created for key executives, other members of management and nonemployee directors (each a “Participant”). The amount of compensation deferred by each Participant is based on Participant elections. Account balances of Participants are credited with income based generally on a fixed annual rate of interest. Participants will be eligible to receive distributions of the amounts credited to their account balance based on elected deferral periods that are consistent with the plans and applicable tax law. Interest expense recognized under the plans totaled $50</w:t>
      </w:r>
    </w:p>
    <w:p>
      <w:pPr>
        <w:spacing w:after="0" w:line="20" w:lineRule="exact"/>
        <w:rPr>
          <w:sz w:val="20"/>
          <w:szCs w:val="20"/>
          <w:color w:val="auto"/>
        </w:rPr>
      </w:pPr>
      <w:r>
        <w:rPr>
          <w:sz w:val="20"/>
          <w:szCs w:val="20"/>
          <w:color w:val="auto"/>
        </w:rPr>
        <w:br w:type="column"/>
      </w:r>
    </w:p>
    <w:p>
      <w:pPr>
        <w:jc w:val="both"/>
        <w:ind w:left="140" w:right="120"/>
        <w:spacing w:after="0" w:line="236" w:lineRule="auto"/>
        <w:rPr>
          <w:sz w:val="20"/>
          <w:szCs w:val="20"/>
          <w:color w:val="auto"/>
        </w:rPr>
      </w:pPr>
      <w:r>
        <w:rPr>
          <w:rFonts w:ascii="Arial" w:cs="Arial" w:eastAsia="Arial" w:hAnsi="Arial"/>
          <w:sz w:val="18"/>
          <w:szCs w:val="18"/>
          <w:color w:val="auto"/>
        </w:rPr>
        <w:t>million, $40 million and $33 million for the years ended December 31, 2006, 2005 and 2004, respectively. The unfunded obligation of the plans total $554 million and $469 million as of December 31, 2006 and 2005, respectively. We have purchased life insurance policies to fund a portion of this unfunded obligation. As of December 31, 2006, the cash surrender value of these policies, which are included in “Other Assets,” was approximately $40 million.</w:t>
      </w:r>
    </w:p>
    <w:p>
      <w:pPr>
        <w:spacing w:after="0" w:line="214" w:lineRule="exact"/>
        <w:rPr>
          <w:sz w:val="20"/>
          <w:szCs w:val="20"/>
          <w:color w:val="auto"/>
        </w:rPr>
      </w:pPr>
    </w:p>
    <w:p>
      <w:pPr>
        <w:ind w:left="140"/>
        <w:spacing w:after="0"/>
        <w:rPr>
          <w:sz w:val="20"/>
          <w:szCs w:val="20"/>
          <w:color w:val="auto"/>
        </w:rPr>
      </w:pPr>
      <w:r>
        <w:rPr>
          <w:rFonts w:ascii="Arial" w:cs="Arial" w:eastAsia="Arial" w:hAnsi="Arial"/>
          <w:sz w:val="18"/>
          <w:szCs w:val="18"/>
          <w:b w:val="1"/>
          <w:bCs w:val="1"/>
          <w:color w:val="35BF85"/>
        </w:rPr>
        <w:t>Note 10: Stockholders’ Equity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85725</wp:posOffset>
            </wp:positionH>
            <wp:positionV relativeFrom="paragraph">
              <wp:posOffset>77470</wp:posOffset>
            </wp:positionV>
            <wp:extent cx="3481705" cy="8890"/>
            <wp:wrapNone/>
            <wp:docPr id="201" name="Picture 2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1"/>
                    <pic:cNvPicPr>
                      <a:picLocks noChangeAspect="1" noChangeArrowheads="1"/>
                    </pic:cNvPicPr>
                  </pic:nvPicPr>
                  <pic:blipFill>
                    <a:blip r:embed="rId208">
                      <a:extLst>
                        <a:ext uri="{28A0092B-C50C-407E-A947-70E740481C1C}"/>
                      </a:extLst>
                    </a:blip>
                    <a:srcRect/>
                    <a:stretch>
                      <a:fillRect/>
                    </a:stretch>
                  </pic:blipFill>
                  <pic:spPr bwMode="auto">
                    <a:xfrm>
                      <a:off x="0" y="0"/>
                      <a:ext cx="3481705" cy="8890"/>
                    </a:xfrm>
                    <a:prstGeom prst="rect">
                      <a:avLst/>
                    </a:prstGeom>
                    <a:noFill/>
                  </pic:spPr>
                </pic:pic>
              </a:graphicData>
            </a:graphic>
          </wp:anchor>
        </w:drawing>
      </w:r>
    </w:p>
    <w:p>
      <w:pPr>
        <w:spacing w:after="0" w:line="259" w:lineRule="exact"/>
        <w:rPr>
          <w:sz w:val="20"/>
          <w:szCs w:val="20"/>
          <w:color w:val="auto"/>
        </w:rPr>
      </w:pPr>
    </w:p>
    <w:p>
      <w:pPr>
        <w:ind w:left="140"/>
        <w:spacing w:after="0"/>
        <w:rPr>
          <w:sz w:val="20"/>
          <w:szCs w:val="20"/>
          <w:color w:val="auto"/>
        </w:rPr>
      </w:pPr>
      <w:r>
        <w:rPr>
          <w:rFonts w:ascii="Arial" w:cs="Arial" w:eastAsia="Arial" w:hAnsi="Arial"/>
          <w:sz w:val="18"/>
          <w:szCs w:val="18"/>
          <w:b w:val="1"/>
          <w:bCs w:val="1"/>
          <w:color w:val="auto"/>
        </w:rPr>
        <w:t>Preferred Stock</w:t>
      </w:r>
    </w:p>
    <w:p>
      <w:pPr>
        <w:spacing w:after="0" w:line="18" w:lineRule="exact"/>
        <w:rPr>
          <w:sz w:val="20"/>
          <w:szCs w:val="20"/>
          <w:color w:val="auto"/>
        </w:rPr>
      </w:pPr>
    </w:p>
    <w:p>
      <w:pPr>
        <w:jc w:val="both"/>
        <w:ind w:left="140" w:right="120"/>
        <w:spacing w:after="0" w:line="237" w:lineRule="auto"/>
        <w:rPr>
          <w:sz w:val="20"/>
          <w:szCs w:val="20"/>
          <w:color w:val="auto"/>
        </w:rPr>
      </w:pPr>
      <w:r>
        <w:rPr>
          <w:rFonts w:ascii="Arial" w:cs="Arial" w:eastAsia="Arial" w:hAnsi="Arial"/>
          <w:sz w:val="18"/>
          <w:szCs w:val="18"/>
          <w:color w:val="auto"/>
        </w:rPr>
        <w:t>We are authorized to issue, in one or more series, up to a maximum of 20 million shares of preferred stock. We can issue the shares with such designations, preferences, qualifications, privileges, limitations, restrictions, options, conversion rights and other</w:t>
      </w:r>
    </w:p>
    <w:p>
      <w:pPr>
        <w:spacing w:after="0" w:line="200" w:lineRule="exact"/>
        <w:rPr>
          <w:sz w:val="20"/>
          <w:szCs w:val="20"/>
          <w:color w:val="auto"/>
        </w:rPr>
      </w:pPr>
    </w:p>
    <w:p>
      <w:pPr>
        <w:spacing w:after="0" w:line="200" w:lineRule="exact"/>
        <w:rPr>
          <w:sz w:val="20"/>
          <w:szCs w:val="20"/>
          <w:color w:val="auto"/>
        </w:rPr>
      </w:pPr>
    </w:p>
    <w:p>
      <w:pPr>
        <w:spacing w:after="0" w:line="221" w:lineRule="exact"/>
        <w:rPr>
          <w:sz w:val="20"/>
          <w:szCs w:val="20"/>
          <w:color w:val="auto"/>
        </w:rPr>
      </w:pPr>
    </w:p>
    <w:p>
      <w:pPr>
        <w:spacing w:after="0"/>
        <w:tabs>
          <w:tab w:leader="none" w:pos="1080" w:val="left"/>
        </w:tabs>
        <w:rPr>
          <w:sz w:val="20"/>
          <w:szCs w:val="20"/>
          <w:color w:val="auto"/>
        </w:rPr>
      </w:pPr>
      <w:r>
        <w:rPr>
          <w:rFonts w:ascii="Arial" w:cs="Arial" w:eastAsia="Arial" w:hAnsi="Arial"/>
          <w:sz w:val="12"/>
          <w:szCs w:val="12"/>
          <w:b w:val="1"/>
          <w:bCs w:val="1"/>
          <w:color w:val="auto"/>
        </w:rPr>
        <w:t>57</w:t>
      </w:r>
      <w:r>
        <w:rPr>
          <w:sz w:val="20"/>
          <w:szCs w:val="20"/>
          <w:color w:val="auto"/>
        </w:rPr>
        <w:tab/>
      </w:r>
      <w:r>
        <w:rPr>
          <w:rFonts w:ascii="Arial" w:cs="Arial" w:eastAsia="Arial" w:hAnsi="Arial"/>
          <w:sz w:val="12"/>
          <w:szCs w:val="12"/>
          <w:color w:val="auto"/>
        </w:rPr>
        <w:t xml:space="preserve">Comcast 2006 Annual Report </w:t>
      </w:r>
      <w:r>
        <w:rPr>
          <w:rFonts w:ascii="Arial" w:cs="Arial" w:eastAsia="Arial" w:hAnsi="Arial"/>
          <w:sz w:val="12"/>
          <w:szCs w:val="12"/>
          <w:b w:val="1"/>
          <w:bCs w:val="1"/>
          <w:color w:val="auto"/>
        </w:rPr>
        <w:t>Notes to Consolidated Financial Statements</w:t>
      </w:r>
    </w:p>
    <w:p>
      <w:pPr>
        <w:sectPr>
          <w:pgSz w:w="11900" w:h="16838" w:orient="portrait"/>
          <w:cols w:equalWidth="0" w:num="2">
            <w:col w:w="5480" w:space="200"/>
            <w:col w:w="5740"/>
          </w:cols>
          <w:pgMar w:left="240" w:top="459" w:right="239" w:bottom="1440" w:gutter="0" w:footer="0" w:header="0"/>
          <w:type w:val="continuous"/>
        </w:sectPr>
      </w:pPr>
    </w:p>
    <w:bookmarkStart w:id="134" w:name="page135"/>
    <w:bookmarkEnd w:id="134"/>
    <w:p>
      <w:pPr>
        <w:spacing w:after="0"/>
        <w:rPr>
          <w:rFonts w:ascii="Arial" w:cs="Arial" w:eastAsia="Arial" w:hAnsi="Arial"/>
          <w:sz w:val="18"/>
          <w:szCs w:val="18"/>
          <w:b w:val="1"/>
          <w:bCs w:val="1"/>
          <w:u w:val="single" w:color="auto"/>
          <w:color w:val="0000EE"/>
        </w:rPr>
      </w:pPr>
      <w:hyperlink w:anchor="page3">
        <w:r>
          <w:rPr>
            <w:rFonts w:ascii="Arial" w:cs="Arial" w:eastAsia="Arial" w:hAnsi="Arial"/>
            <w:sz w:val="18"/>
            <w:szCs w:val="18"/>
            <w:b w:val="1"/>
            <w:bCs w:val="1"/>
            <w:u w:val="single" w:color="auto"/>
            <w:color w:val="0000EE"/>
          </w:rPr>
          <w:t>Table of Contents</w:t>
        </w:r>
      </w:hyperlink>
    </w:p>
    <w:p>
      <w:pPr>
        <w:spacing w:after="0" w:line="200" w:lineRule="exact"/>
        <w:rPr>
          <w:sz w:val="20"/>
          <w:szCs w:val="20"/>
          <w:color w:val="auto"/>
        </w:rPr>
      </w:pPr>
    </w:p>
    <w:p>
      <w:pPr>
        <w:spacing w:after="0" w:line="276" w:lineRule="exact"/>
        <w:rPr>
          <w:sz w:val="20"/>
          <w:szCs w:val="20"/>
          <w:color w:val="auto"/>
        </w:rPr>
      </w:pPr>
    </w:p>
    <w:p>
      <w:pPr>
        <w:ind w:right="280"/>
        <w:spacing w:after="0" w:line="239" w:lineRule="auto"/>
        <w:rPr>
          <w:sz w:val="20"/>
          <w:szCs w:val="20"/>
          <w:color w:val="auto"/>
        </w:rPr>
      </w:pPr>
      <w:r>
        <w:rPr>
          <w:rFonts w:ascii="Arial" w:cs="Arial" w:eastAsia="Arial" w:hAnsi="Arial"/>
          <w:sz w:val="18"/>
          <w:szCs w:val="18"/>
          <w:color w:val="auto"/>
        </w:rPr>
        <w:t>special or related rights as our Board of Directors shall from time to time fix by resolution.</w:t>
      </w:r>
    </w:p>
    <w:p>
      <w:pPr>
        <w:spacing w:after="0" w:line="13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Common Stock</w:t>
      </w:r>
    </w:p>
    <w:p>
      <w:pPr>
        <w:spacing w:after="0" w:line="18" w:lineRule="exact"/>
        <w:rPr>
          <w:sz w:val="20"/>
          <w:szCs w:val="20"/>
          <w:color w:val="auto"/>
        </w:rPr>
      </w:pPr>
    </w:p>
    <w:p>
      <w:pPr>
        <w:jc w:val="both"/>
        <w:spacing w:after="0" w:line="250" w:lineRule="auto"/>
        <w:rPr>
          <w:sz w:val="20"/>
          <w:szCs w:val="20"/>
          <w:color w:val="auto"/>
        </w:rPr>
      </w:pPr>
      <w:r>
        <w:rPr>
          <w:rFonts w:ascii="Arial" w:cs="Arial" w:eastAsia="Arial" w:hAnsi="Arial"/>
          <w:sz w:val="17"/>
          <w:szCs w:val="17"/>
          <w:color w:val="auto"/>
        </w:rPr>
        <w:t xml:space="preserve">Our Class A Special common stock is generally nonvoting. Holders of our Class A common stock in the aggregate hold 66 </w:t>
      </w:r>
      <w:r>
        <w:rPr>
          <w:rFonts w:ascii="Arial" w:cs="Arial" w:eastAsia="Arial" w:hAnsi="Arial"/>
          <w:sz w:val="21"/>
          <w:szCs w:val="21"/>
          <w:color w:val="auto"/>
          <w:vertAlign w:val="superscript"/>
        </w:rPr>
        <w:t>2</w:t>
      </w:r>
      <w:r>
        <w:rPr>
          <w:rFonts w:ascii="Arial" w:cs="Arial" w:eastAsia="Arial" w:hAnsi="Arial"/>
          <w:sz w:val="17"/>
          <w:szCs w:val="17"/>
          <w:color w:val="auto"/>
        </w:rPr>
        <w:t>/</w:t>
      </w:r>
      <w:r>
        <w:rPr>
          <w:rFonts w:ascii="Arial" w:cs="Arial" w:eastAsia="Arial" w:hAnsi="Arial"/>
          <w:sz w:val="13"/>
          <w:szCs w:val="13"/>
          <w:color w:val="auto"/>
        </w:rPr>
        <w:t>3</w:t>
      </w:r>
      <w:r>
        <w:rPr>
          <w:rFonts w:ascii="Arial" w:cs="Arial" w:eastAsia="Arial" w:hAnsi="Arial"/>
          <w:sz w:val="17"/>
          <w:szCs w:val="17"/>
          <w:color w:val="auto"/>
        </w:rPr>
        <w:t xml:space="preserve">% of the aggregate voting power of our common stock. The number of votes that each share of our Class A common stock will have at any given time will depend on the number of shares of Class A common stock and Class B common stock then outstanding. Each share of our Class B common stock is entitled to 15 votes, and all shares of our Class B common stock in the aggregate have 33 </w:t>
      </w:r>
      <w:r>
        <w:rPr>
          <w:rFonts w:ascii="Arial" w:cs="Arial" w:eastAsia="Arial" w:hAnsi="Arial"/>
          <w:sz w:val="21"/>
          <w:szCs w:val="21"/>
          <w:color w:val="auto"/>
          <w:vertAlign w:val="superscript"/>
        </w:rPr>
        <w:t>1</w:t>
      </w:r>
      <w:r>
        <w:rPr>
          <w:rFonts w:ascii="Arial" w:cs="Arial" w:eastAsia="Arial" w:hAnsi="Arial"/>
          <w:sz w:val="17"/>
          <w:szCs w:val="17"/>
          <w:color w:val="auto"/>
        </w:rPr>
        <w:t>/</w:t>
      </w:r>
      <w:r>
        <w:rPr>
          <w:rFonts w:ascii="Arial" w:cs="Arial" w:eastAsia="Arial" w:hAnsi="Arial"/>
          <w:sz w:val="13"/>
          <w:szCs w:val="13"/>
          <w:color w:val="auto"/>
        </w:rPr>
        <w:t>3</w:t>
      </w:r>
      <w:r>
        <w:rPr>
          <w:rFonts w:ascii="Arial" w:cs="Arial" w:eastAsia="Arial" w:hAnsi="Arial"/>
          <w:sz w:val="17"/>
          <w:szCs w:val="17"/>
          <w:color w:val="auto"/>
        </w:rPr>
        <w:t>% of the voting power of all</w:t>
      </w:r>
    </w:p>
    <w:p>
      <w:pPr>
        <w:spacing w:after="0" w:line="4" w:lineRule="exact"/>
        <w:rPr>
          <w:sz w:val="20"/>
          <w:szCs w:val="20"/>
          <w:color w:val="auto"/>
        </w:rPr>
      </w:pPr>
    </w:p>
    <w:p>
      <w:pPr>
        <w:jc w:val="both"/>
        <w:spacing w:after="0" w:line="229" w:lineRule="auto"/>
        <w:rPr>
          <w:sz w:val="20"/>
          <w:szCs w:val="20"/>
          <w:color w:val="auto"/>
        </w:rPr>
      </w:pPr>
      <w:r>
        <w:rPr>
          <w:rFonts w:ascii="Arial" w:cs="Arial" w:eastAsia="Arial" w:hAnsi="Arial"/>
          <w:sz w:val="18"/>
          <w:szCs w:val="18"/>
          <w:color w:val="auto"/>
        </w:rPr>
        <w:t xml:space="preserve">of our common stock. The 33 </w:t>
      </w:r>
      <w:r>
        <w:rPr>
          <w:rFonts w:ascii="Arial" w:cs="Arial" w:eastAsia="Arial" w:hAnsi="Arial"/>
          <w:sz w:val="22"/>
          <w:szCs w:val="22"/>
          <w:color w:val="auto"/>
          <w:vertAlign w:val="superscript"/>
        </w:rPr>
        <w:t>1</w:t>
      </w:r>
      <w:r>
        <w:rPr>
          <w:rFonts w:ascii="Arial" w:cs="Arial" w:eastAsia="Arial" w:hAnsi="Arial"/>
          <w:sz w:val="18"/>
          <w:szCs w:val="18"/>
          <w:color w:val="auto"/>
        </w:rPr>
        <w:t>/</w:t>
      </w:r>
      <w:r>
        <w:rPr>
          <w:rFonts w:ascii="Arial" w:cs="Arial" w:eastAsia="Arial" w:hAnsi="Arial"/>
          <w:sz w:val="13"/>
          <w:szCs w:val="13"/>
          <w:color w:val="auto"/>
        </w:rPr>
        <w:t>3</w:t>
      </w:r>
      <w:r>
        <w:rPr>
          <w:rFonts w:ascii="Arial" w:cs="Arial" w:eastAsia="Arial" w:hAnsi="Arial"/>
          <w:sz w:val="18"/>
          <w:szCs w:val="18"/>
          <w:color w:val="auto"/>
        </w:rPr>
        <w:t>% aggregate voting power of our Class B common stock will not be diluted by additional issuances of any other class of our common stock. Our Class B common stock is convertible, share for share, into Class A or Class A Special common stock, subject to certain restrictions.</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4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Board-Authorized Share Repurchase Program</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-3691890</wp:posOffset>
            </wp:positionH>
            <wp:positionV relativeFrom="paragraph">
              <wp:posOffset>-753110</wp:posOffset>
            </wp:positionV>
            <wp:extent cx="7267575" cy="27940"/>
            <wp:wrapNone/>
            <wp:docPr id="202" name="Picture 2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2"/>
                    <pic:cNvPicPr>
                      <a:picLocks noChangeAspect="1" noChangeArrowheads="1"/>
                    </pic:cNvPicPr>
                  </pic:nvPicPr>
                  <pic:blipFill>
                    <a:blip r:embed="rId209">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p>
    <w:p>
      <w:pPr>
        <w:jc w:val="both"/>
        <w:ind w:right="120"/>
        <w:spacing w:after="0" w:line="236" w:lineRule="auto"/>
        <w:rPr>
          <w:sz w:val="20"/>
          <w:szCs w:val="20"/>
          <w:color w:val="auto"/>
        </w:rPr>
      </w:pPr>
      <w:r>
        <w:rPr>
          <w:rFonts w:ascii="Arial" w:cs="Arial" w:eastAsia="Arial" w:hAnsi="Arial"/>
          <w:sz w:val="18"/>
          <w:szCs w:val="18"/>
          <w:color w:val="auto"/>
        </w:rPr>
        <w:t>During 2006, 2005 and 2004, we repurchased approximately 113 million, 119 million and 70 million shares, respectively (adjusted to reflect the Stock Split), of our Class A Special common stock for aggregate consideration of $2.347 billion, $2.290 billion and $1.328 billion, respectively, pursuant to our Board-authorized share repurchase program.</w:t>
      </w:r>
    </w:p>
    <w:p>
      <w:pPr>
        <w:spacing w:after="0" w:line="156" w:lineRule="exact"/>
        <w:rPr>
          <w:sz w:val="20"/>
          <w:szCs w:val="20"/>
          <w:color w:val="auto"/>
        </w:rPr>
      </w:pPr>
    </w:p>
    <w:p>
      <w:pPr>
        <w:jc w:val="both"/>
        <w:ind w:right="120"/>
        <w:spacing w:after="0" w:line="236" w:lineRule="auto"/>
        <w:rPr>
          <w:sz w:val="20"/>
          <w:szCs w:val="20"/>
          <w:color w:val="auto"/>
        </w:rPr>
      </w:pPr>
      <w:r>
        <w:rPr>
          <w:rFonts w:ascii="Arial" w:cs="Arial" w:eastAsia="Arial" w:hAnsi="Arial"/>
          <w:sz w:val="18"/>
          <w:szCs w:val="18"/>
          <w:color w:val="auto"/>
        </w:rPr>
        <w:t>The maximum dollar value of shares remaining that may be repurchased under the program is approximately $3 billion as of December 31, 2006. We expect repurchases to continue from time to time in the open market or in private transactions, subject to market conditions.</w:t>
      </w:r>
    </w:p>
    <w:p>
      <w:pPr>
        <w:spacing w:after="0" w:line="1132" w:lineRule="exact"/>
        <w:rPr>
          <w:sz w:val="20"/>
          <w:szCs w:val="20"/>
          <w:color w:val="auto"/>
        </w:rPr>
      </w:pPr>
    </w:p>
    <w:p>
      <w:pPr>
        <w:sectPr>
          <w:pgSz w:w="11900" w:h="16838" w:orient="portrait"/>
          <w:cols w:equalWidth="0" w:num="2">
            <w:col w:w="5480" w:space="340"/>
            <w:col w:w="5600"/>
          </w:cols>
          <w:pgMar w:left="240" w:top="459" w:right="239" w:bottom="1440" w:gutter="0" w:footer="0" w:header="0"/>
        </w:sectPr>
      </w:pPr>
    </w:p>
    <w:p>
      <w:pPr>
        <w:spacing w:after="0" w:line="200" w:lineRule="exact"/>
        <w:rPr>
          <w:sz w:val="20"/>
          <w:szCs w:val="20"/>
          <w:color w:val="auto"/>
        </w:rPr>
      </w:pPr>
    </w:p>
    <w:p>
      <w:pPr>
        <w:spacing w:after="0"/>
        <w:rPr>
          <w:sz w:val="20"/>
          <w:szCs w:val="20"/>
          <w:color w:val="auto"/>
        </w:rPr>
      </w:pPr>
      <w:r>
        <w:rPr>
          <w:rFonts w:ascii="Arial" w:cs="Arial" w:eastAsia="Arial" w:hAnsi="Arial"/>
          <w:sz w:val="18"/>
          <w:szCs w:val="18"/>
          <w:color w:val="auto"/>
        </w:rPr>
        <w:t>The following table summarizes our share activity for the periods presented (adjusted to reflect the Stock Split):</w:t>
      </w:r>
    </w:p>
    <w:p>
      <w:pPr>
        <w:spacing w:after="0" w:line="178" w:lineRule="exact"/>
        <w:rPr>
          <w:sz w:val="20"/>
          <w:szCs w:val="20"/>
          <w:color w:val="auto"/>
        </w:rPr>
      </w:pPr>
    </w:p>
    <w:tbl>
      <w:tblPr>
        <w:tblLayout w:type="fixed"/>
        <w:tblInd w:w="0" w:type="dxa"/>
        <w:tblCellMar>
          <w:top w:w="0" w:type="dxa"/>
          <w:left w:w="0" w:type="dxa"/>
          <w:bottom w:w="0" w:type="dxa"/>
          <w:right w:w="0" w:type="dxa"/>
        </w:tblCellMar>
      </w:tblPr>
      <w:tr>
        <w:trPr>
          <w:trHeight w:val="165"/>
        </w:trPr>
        <w:tc>
          <w:tcPr>
            <w:tcW w:w="5660" w:type="dxa"/>
            <w:vAlign w:val="bottom"/>
            <w:tcBorders>
              <w:bottom w:val="single" w:sz="8" w:color="auto"/>
            </w:tcBorders>
          </w:tcPr>
          <w:p>
            <w:pPr>
              <w:spacing w:after="0"/>
              <w:rPr>
                <w:sz w:val="20"/>
                <w:szCs w:val="20"/>
                <w:color w:val="auto"/>
              </w:rPr>
            </w:pPr>
            <w:r>
              <w:rPr>
                <w:rFonts w:ascii="Arial" w:cs="Arial" w:eastAsia="Arial" w:hAnsi="Arial"/>
                <w:sz w:val="14"/>
                <w:szCs w:val="14"/>
                <w:b w:val="1"/>
                <w:bCs w:val="1"/>
                <w:color w:val="auto"/>
              </w:rPr>
              <w:t>Common Stock</w:t>
            </w:r>
          </w:p>
        </w:tc>
        <w:tc>
          <w:tcPr>
            <w:tcW w:w="3480" w:type="dxa"/>
            <w:vAlign w:val="bottom"/>
            <w:tcBorders>
              <w:bottom w:val="single" w:sz="8" w:color="auto"/>
            </w:tcBorders>
          </w:tcPr>
          <w:p>
            <w:pPr>
              <w:jc w:val="right"/>
              <w:ind w:right="254"/>
              <w:spacing w:after="0"/>
              <w:rPr>
                <w:sz w:val="20"/>
                <w:szCs w:val="20"/>
                <w:color w:val="auto"/>
              </w:rPr>
            </w:pPr>
            <w:r>
              <w:rPr>
                <w:rFonts w:ascii="Arial" w:cs="Arial" w:eastAsia="Arial" w:hAnsi="Arial"/>
                <w:sz w:val="14"/>
                <w:szCs w:val="14"/>
                <w:b w:val="1"/>
                <w:bCs w:val="1"/>
                <w:color w:val="auto"/>
              </w:rPr>
              <w:t>Class A</w:t>
            </w:r>
          </w:p>
        </w:tc>
        <w:tc>
          <w:tcPr>
            <w:tcW w:w="1360" w:type="dxa"/>
            <w:vAlign w:val="bottom"/>
            <w:tcBorders>
              <w:bottom w:val="single" w:sz="8" w:color="auto"/>
            </w:tcBorders>
          </w:tcPr>
          <w:p>
            <w:pPr>
              <w:jc w:val="right"/>
              <w:ind w:right="95"/>
              <w:spacing w:after="0"/>
              <w:rPr>
                <w:sz w:val="20"/>
                <w:szCs w:val="20"/>
                <w:color w:val="auto"/>
              </w:rPr>
            </w:pPr>
            <w:r>
              <w:rPr>
                <w:rFonts w:ascii="Arial" w:cs="Arial" w:eastAsia="Arial" w:hAnsi="Arial"/>
                <w:sz w:val="14"/>
                <w:szCs w:val="14"/>
                <w:b w:val="1"/>
                <w:bCs w:val="1"/>
                <w:color w:val="auto"/>
              </w:rPr>
              <w:t>Class A Special</w:t>
            </w: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Class B</w:t>
            </w:r>
          </w:p>
        </w:tc>
        <w:tc>
          <w:tcPr>
            <w:tcW w:w="0" w:type="dxa"/>
            <w:vAlign w:val="bottom"/>
          </w:tcPr>
          <w:p>
            <w:pPr>
              <w:spacing w:after="0"/>
              <w:rPr>
                <w:sz w:val="1"/>
                <w:szCs w:val="1"/>
                <w:color w:val="auto"/>
              </w:rPr>
            </w:pPr>
          </w:p>
        </w:tc>
      </w:tr>
      <w:tr>
        <w:trPr>
          <w:trHeight w:val="199"/>
        </w:trPr>
        <w:tc>
          <w:tcPr>
            <w:tcW w:w="5660" w:type="dxa"/>
            <w:vAlign w:val="bottom"/>
          </w:tcPr>
          <w:p>
            <w:pPr>
              <w:spacing w:after="0" w:line="200" w:lineRule="exact"/>
              <w:rPr>
                <w:sz w:val="20"/>
                <w:szCs w:val="20"/>
                <w:color w:val="auto"/>
              </w:rPr>
            </w:pPr>
            <w:r>
              <w:rPr>
                <w:rFonts w:ascii="Arial" w:cs="Arial" w:eastAsia="Arial" w:hAnsi="Arial"/>
                <w:sz w:val="18"/>
                <w:szCs w:val="18"/>
                <w:color w:val="auto"/>
              </w:rPr>
              <w:t>Balance, January 1, 2004</w:t>
            </w:r>
          </w:p>
        </w:tc>
        <w:tc>
          <w:tcPr>
            <w:tcW w:w="3480" w:type="dxa"/>
            <w:vAlign w:val="bottom"/>
          </w:tcPr>
          <w:p>
            <w:pPr>
              <w:jc w:val="right"/>
              <w:ind w:right="254"/>
              <w:spacing w:after="0" w:line="200" w:lineRule="exact"/>
              <w:rPr>
                <w:sz w:val="20"/>
                <w:szCs w:val="20"/>
                <w:color w:val="auto"/>
              </w:rPr>
            </w:pPr>
            <w:r>
              <w:rPr>
                <w:rFonts w:ascii="Arial" w:cs="Arial" w:eastAsia="Arial" w:hAnsi="Arial"/>
                <w:sz w:val="18"/>
                <w:szCs w:val="18"/>
                <w:color w:val="auto"/>
              </w:rPr>
              <w:t>2,036,280,835</w:t>
            </w:r>
          </w:p>
        </w:tc>
        <w:tc>
          <w:tcPr>
            <w:tcW w:w="1360" w:type="dxa"/>
            <w:vAlign w:val="bottom"/>
          </w:tcPr>
          <w:p>
            <w:pPr>
              <w:jc w:val="right"/>
              <w:ind w:right="95"/>
              <w:spacing w:after="0" w:line="200" w:lineRule="exact"/>
              <w:rPr>
                <w:sz w:val="20"/>
                <w:szCs w:val="20"/>
                <w:color w:val="auto"/>
              </w:rPr>
            </w:pPr>
            <w:r>
              <w:rPr>
                <w:rFonts w:ascii="Arial" w:cs="Arial" w:eastAsia="Arial" w:hAnsi="Arial"/>
                <w:sz w:val="18"/>
                <w:szCs w:val="18"/>
                <w:color w:val="auto"/>
              </w:rPr>
              <w:t>1,331,386,738</w:t>
            </w:r>
          </w:p>
        </w:tc>
        <w:tc>
          <w:tcPr>
            <w:tcW w:w="920" w:type="dxa"/>
            <w:vAlign w:val="bottom"/>
          </w:tcPr>
          <w:p>
            <w:pPr>
              <w:jc w:val="right"/>
              <w:spacing w:after="0" w:line="200" w:lineRule="exact"/>
              <w:rPr>
                <w:sz w:val="20"/>
                <w:szCs w:val="20"/>
                <w:color w:val="auto"/>
              </w:rPr>
            </w:pPr>
            <w:r>
              <w:rPr>
                <w:rFonts w:ascii="Arial" w:cs="Arial" w:eastAsia="Arial" w:hAnsi="Arial"/>
                <w:sz w:val="18"/>
                <w:szCs w:val="18"/>
                <w:color w:val="auto"/>
              </w:rPr>
              <w:t>9,444,375</w:t>
            </w:r>
          </w:p>
        </w:tc>
        <w:tc>
          <w:tcPr>
            <w:tcW w:w="0" w:type="dxa"/>
            <w:vAlign w:val="bottom"/>
          </w:tcPr>
          <w:p>
            <w:pPr>
              <w:spacing w:after="0"/>
              <w:rPr>
                <w:sz w:val="1"/>
                <w:szCs w:val="1"/>
                <w:color w:val="auto"/>
              </w:rPr>
            </w:pPr>
          </w:p>
        </w:tc>
      </w:tr>
      <w:tr>
        <w:trPr>
          <w:trHeight w:val="203"/>
        </w:trPr>
        <w:tc>
          <w:tcPr>
            <w:tcW w:w="5660" w:type="dxa"/>
            <w:vAlign w:val="bottom"/>
          </w:tcPr>
          <w:p>
            <w:pPr>
              <w:spacing w:after="0" w:line="202" w:lineRule="exact"/>
              <w:rPr>
                <w:sz w:val="20"/>
                <w:szCs w:val="20"/>
                <w:color w:val="auto"/>
              </w:rPr>
            </w:pPr>
            <w:r>
              <w:rPr>
                <w:rFonts w:ascii="Arial" w:cs="Arial" w:eastAsia="Arial" w:hAnsi="Arial"/>
                <w:sz w:val="18"/>
                <w:szCs w:val="18"/>
                <w:color w:val="auto"/>
              </w:rPr>
              <w:t>Stock compensation plans</w:t>
            </w:r>
          </w:p>
        </w:tc>
        <w:tc>
          <w:tcPr>
            <w:tcW w:w="3480" w:type="dxa"/>
            <w:vAlign w:val="bottom"/>
          </w:tcPr>
          <w:p>
            <w:pPr>
              <w:jc w:val="right"/>
              <w:ind w:right="254"/>
              <w:spacing w:after="0" w:line="202" w:lineRule="exact"/>
              <w:rPr>
                <w:sz w:val="20"/>
                <w:szCs w:val="20"/>
                <w:color w:val="auto"/>
              </w:rPr>
            </w:pPr>
            <w:r>
              <w:rPr>
                <w:rFonts w:ascii="Arial" w:cs="Arial" w:eastAsia="Arial" w:hAnsi="Arial"/>
                <w:sz w:val="18"/>
                <w:szCs w:val="18"/>
                <w:color w:val="auto"/>
              </w:rPr>
              <w:t>1,537,284</w:t>
            </w:r>
          </w:p>
        </w:tc>
        <w:tc>
          <w:tcPr>
            <w:tcW w:w="1360" w:type="dxa"/>
            <w:vAlign w:val="bottom"/>
          </w:tcPr>
          <w:p>
            <w:pPr>
              <w:jc w:val="right"/>
              <w:ind w:right="95"/>
              <w:spacing w:after="0" w:line="202" w:lineRule="exact"/>
              <w:rPr>
                <w:sz w:val="20"/>
                <w:szCs w:val="20"/>
                <w:color w:val="auto"/>
              </w:rPr>
            </w:pPr>
            <w:r>
              <w:rPr>
                <w:rFonts w:ascii="Arial" w:cs="Arial" w:eastAsia="Arial" w:hAnsi="Arial"/>
                <w:sz w:val="18"/>
                <w:szCs w:val="18"/>
                <w:color w:val="auto"/>
              </w:rPr>
              <w:t>8,153,658</w:t>
            </w:r>
          </w:p>
        </w:tc>
        <w:tc>
          <w:tcPr>
            <w:tcW w:w="920" w:type="dxa"/>
            <w:vAlign w:val="bottom"/>
          </w:tcPr>
          <w:p>
            <w:pPr>
              <w:jc w:val="right"/>
              <w:spacing w:after="0" w:line="202" w:lineRule="exact"/>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03"/>
        </w:trPr>
        <w:tc>
          <w:tcPr>
            <w:tcW w:w="5660" w:type="dxa"/>
            <w:vAlign w:val="bottom"/>
          </w:tcPr>
          <w:p>
            <w:pPr>
              <w:spacing w:after="0" w:line="202" w:lineRule="exact"/>
              <w:rPr>
                <w:sz w:val="20"/>
                <w:szCs w:val="20"/>
                <w:color w:val="auto"/>
              </w:rPr>
            </w:pPr>
            <w:r>
              <w:rPr>
                <w:rFonts w:ascii="Arial" w:cs="Arial" w:eastAsia="Arial" w:hAnsi="Arial"/>
                <w:sz w:val="18"/>
                <w:szCs w:val="18"/>
                <w:color w:val="auto"/>
              </w:rPr>
              <w:t>Employee Stock Purchase Plan</w:t>
            </w:r>
          </w:p>
        </w:tc>
        <w:tc>
          <w:tcPr>
            <w:tcW w:w="3480" w:type="dxa"/>
            <w:vAlign w:val="bottom"/>
          </w:tcPr>
          <w:p>
            <w:pPr>
              <w:jc w:val="right"/>
              <w:ind w:right="254"/>
              <w:spacing w:after="0" w:line="202" w:lineRule="exact"/>
              <w:rPr>
                <w:sz w:val="20"/>
                <w:szCs w:val="20"/>
                <w:color w:val="auto"/>
              </w:rPr>
            </w:pPr>
            <w:r>
              <w:rPr>
                <w:rFonts w:ascii="Arial" w:cs="Arial" w:eastAsia="Arial" w:hAnsi="Arial"/>
                <w:sz w:val="18"/>
                <w:szCs w:val="18"/>
                <w:color w:val="auto"/>
              </w:rPr>
              <w:t>1,702,427</w:t>
            </w:r>
          </w:p>
        </w:tc>
        <w:tc>
          <w:tcPr>
            <w:tcW w:w="1360" w:type="dxa"/>
            <w:vAlign w:val="bottom"/>
          </w:tcPr>
          <w:p>
            <w:pPr>
              <w:jc w:val="right"/>
              <w:ind w:right="95"/>
              <w:spacing w:after="0" w:line="202" w:lineRule="exact"/>
              <w:rPr>
                <w:sz w:val="20"/>
                <w:szCs w:val="20"/>
                <w:color w:val="auto"/>
              </w:rPr>
            </w:pPr>
            <w:r>
              <w:rPr>
                <w:rFonts w:ascii="Arial" w:cs="Arial" w:eastAsia="Arial" w:hAnsi="Arial"/>
                <w:sz w:val="18"/>
                <w:szCs w:val="18"/>
                <w:color w:val="auto"/>
              </w:rPr>
              <w:t>—</w:t>
            </w:r>
          </w:p>
        </w:tc>
        <w:tc>
          <w:tcPr>
            <w:tcW w:w="920" w:type="dxa"/>
            <w:vAlign w:val="bottom"/>
          </w:tcPr>
          <w:p>
            <w:pPr>
              <w:jc w:val="right"/>
              <w:spacing w:after="0" w:line="202" w:lineRule="exact"/>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199"/>
        </w:trPr>
        <w:tc>
          <w:tcPr>
            <w:tcW w:w="5660" w:type="dxa"/>
            <w:vAlign w:val="bottom"/>
            <w:tcBorders>
              <w:bottom w:val="single" w:sz="8" w:color="auto"/>
            </w:tcBorders>
          </w:tcPr>
          <w:p>
            <w:pPr>
              <w:spacing w:after="0" w:line="200" w:lineRule="exact"/>
              <w:rPr>
                <w:sz w:val="20"/>
                <w:szCs w:val="20"/>
                <w:color w:val="auto"/>
              </w:rPr>
            </w:pPr>
            <w:r>
              <w:rPr>
                <w:rFonts w:ascii="Arial" w:cs="Arial" w:eastAsia="Arial" w:hAnsi="Arial"/>
                <w:sz w:val="18"/>
                <w:szCs w:val="18"/>
                <w:color w:val="auto"/>
              </w:rPr>
              <w:t>Repurchases of common stock</w:t>
            </w:r>
          </w:p>
        </w:tc>
        <w:tc>
          <w:tcPr>
            <w:tcW w:w="3480" w:type="dxa"/>
            <w:vAlign w:val="bottom"/>
            <w:tcBorders>
              <w:bottom w:val="single" w:sz="8" w:color="auto"/>
            </w:tcBorders>
          </w:tcPr>
          <w:p>
            <w:pPr>
              <w:jc w:val="right"/>
              <w:ind w:right="254"/>
              <w:spacing w:after="0" w:line="200" w:lineRule="exact"/>
              <w:rPr>
                <w:sz w:val="20"/>
                <w:szCs w:val="20"/>
                <w:color w:val="auto"/>
              </w:rPr>
            </w:pPr>
            <w:r>
              <w:rPr>
                <w:rFonts w:ascii="Arial" w:cs="Arial" w:eastAsia="Arial" w:hAnsi="Arial"/>
                <w:sz w:val="18"/>
                <w:szCs w:val="18"/>
                <w:color w:val="auto"/>
              </w:rPr>
              <w:t>—</w:t>
            </w:r>
          </w:p>
        </w:tc>
        <w:tc>
          <w:tcPr>
            <w:tcW w:w="1360" w:type="dxa"/>
            <w:vAlign w:val="bottom"/>
            <w:tcBorders>
              <w:bottom w:val="single" w:sz="8" w:color="auto"/>
            </w:tcBorders>
          </w:tcPr>
          <w:p>
            <w:pPr>
              <w:jc w:val="right"/>
              <w:ind w:right="35"/>
              <w:spacing w:after="0" w:line="200" w:lineRule="exact"/>
              <w:rPr>
                <w:sz w:val="20"/>
                <w:szCs w:val="20"/>
                <w:color w:val="auto"/>
              </w:rPr>
            </w:pPr>
            <w:r>
              <w:rPr>
                <w:rFonts w:ascii="Arial" w:cs="Arial" w:eastAsia="Arial" w:hAnsi="Arial"/>
                <w:sz w:val="18"/>
                <w:szCs w:val="18"/>
                <w:color w:val="auto"/>
              </w:rPr>
              <w:t>(70,401,353)</w:t>
            </w:r>
          </w:p>
        </w:tc>
        <w:tc>
          <w:tcPr>
            <w:tcW w:w="920" w:type="dxa"/>
            <w:vAlign w:val="bottom"/>
            <w:tcBorders>
              <w:bottom w:val="single" w:sz="8" w:color="auto"/>
            </w:tcBorders>
          </w:tcPr>
          <w:p>
            <w:pPr>
              <w:jc w:val="right"/>
              <w:spacing w:after="0" w:line="200" w:lineRule="exact"/>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199"/>
        </w:trPr>
        <w:tc>
          <w:tcPr>
            <w:tcW w:w="5660" w:type="dxa"/>
            <w:vAlign w:val="bottom"/>
          </w:tcPr>
          <w:p>
            <w:pPr>
              <w:spacing w:after="0" w:line="200" w:lineRule="exact"/>
              <w:rPr>
                <w:sz w:val="20"/>
                <w:szCs w:val="20"/>
                <w:color w:val="auto"/>
              </w:rPr>
            </w:pPr>
            <w:r>
              <w:rPr>
                <w:rFonts w:ascii="Arial" w:cs="Arial" w:eastAsia="Arial" w:hAnsi="Arial"/>
                <w:sz w:val="18"/>
                <w:szCs w:val="18"/>
                <w:color w:val="auto"/>
              </w:rPr>
              <w:t>Balance, December 31, 2004</w:t>
            </w:r>
          </w:p>
        </w:tc>
        <w:tc>
          <w:tcPr>
            <w:tcW w:w="3480" w:type="dxa"/>
            <w:vAlign w:val="bottom"/>
          </w:tcPr>
          <w:p>
            <w:pPr>
              <w:jc w:val="right"/>
              <w:ind w:right="254"/>
              <w:spacing w:after="0" w:line="200" w:lineRule="exact"/>
              <w:rPr>
                <w:sz w:val="20"/>
                <w:szCs w:val="20"/>
                <w:color w:val="auto"/>
              </w:rPr>
            </w:pPr>
            <w:r>
              <w:rPr>
                <w:rFonts w:ascii="Arial" w:cs="Arial" w:eastAsia="Arial" w:hAnsi="Arial"/>
                <w:sz w:val="18"/>
                <w:szCs w:val="18"/>
                <w:color w:val="auto"/>
              </w:rPr>
              <w:t>2,039,520,546</w:t>
            </w:r>
          </w:p>
        </w:tc>
        <w:tc>
          <w:tcPr>
            <w:tcW w:w="1360" w:type="dxa"/>
            <w:vAlign w:val="bottom"/>
          </w:tcPr>
          <w:p>
            <w:pPr>
              <w:jc w:val="right"/>
              <w:ind w:right="95"/>
              <w:spacing w:after="0" w:line="200" w:lineRule="exact"/>
              <w:rPr>
                <w:sz w:val="20"/>
                <w:szCs w:val="20"/>
                <w:color w:val="auto"/>
              </w:rPr>
            </w:pPr>
            <w:r>
              <w:rPr>
                <w:rFonts w:ascii="Arial" w:cs="Arial" w:eastAsia="Arial" w:hAnsi="Arial"/>
                <w:sz w:val="18"/>
                <w:szCs w:val="18"/>
                <w:color w:val="auto"/>
              </w:rPr>
              <w:t>1,269,139,043</w:t>
            </w:r>
          </w:p>
        </w:tc>
        <w:tc>
          <w:tcPr>
            <w:tcW w:w="920" w:type="dxa"/>
            <w:vAlign w:val="bottom"/>
          </w:tcPr>
          <w:p>
            <w:pPr>
              <w:jc w:val="right"/>
              <w:spacing w:after="0" w:line="200" w:lineRule="exact"/>
              <w:rPr>
                <w:sz w:val="20"/>
                <w:szCs w:val="20"/>
                <w:color w:val="auto"/>
              </w:rPr>
            </w:pPr>
            <w:r>
              <w:rPr>
                <w:rFonts w:ascii="Arial" w:cs="Arial" w:eastAsia="Arial" w:hAnsi="Arial"/>
                <w:sz w:val="18"/>
                <w:szCs w:val="18"/>
                <w:color w:val="auto"/>
              </w:rPr>
              <w:t>9,444,375</w:t>
            </w:r>
          </w:p>
        </w:tc>
        <w:tc>
          <w:tcPr>
            <w:tcW w:w="0" w:type="dxa"/>
            <w:vAlign w:val="bottom"/>
          </w:tcPr>
          <w:p>
            <w:pPr>
              <w:spacing w:after="0"/>
              <w:rPr>
                <w:sz w:val="1"/>
                <w:szCs w:val="1"/>
                <w:color w:val="auto"/>
              </w:rPr>
            </w:pPr>
          </w:p>
        </w:tc>
      </w:tr>
      <w:tr>
        <w:trPr>
          <w:trHeight w:val="203"/>
        </w:trPr>
        <w:tc>
          <w:tcPr>
            <w:tcW w:w="5660" w:type="dxa"/>
            <w:vAlign w:val="bottom"/>
          </w:tcPr>
          <w:p>
            <w:pPr>
              <w:spacing w:after="0" w:line="202" w:lineRule="exact"/>
              <w:rPr>
                <w:sz w:val="20"/>
                <w:szCs w:val="20"/>
                <w:color w:val="auto"/>
              </w:rPr>
            </w:pPr>
            <w:r>
              <w:rPr>
                <w:rFonts w:ascii="Arial" w:cs="Arial" w:eastAsia="Arial" w:hAnsi="Arial"/>
                <w:sz w:val="18"/>
                <w:szCs w:val="18"/>
                <w:color w:val="auto"/>
              </w:rPr>
              <w:t>Stock compensation plans</w:t>
            </w:r>
          </w:p>
        </w:tc>
        <w:tc>
          <w:tcPr>
            <w:tcW w:w="3480" w:type="dxa"/>
            <w:vAlign w:val="bottom"/>
          </w:tcPr>
          <w:p>
            <w:pPr>
              <w:jc w:val="right"/>
              <w:ind w:right="254"/>
              <w:spacing w:after="0" w:line="202" w:lineRule="exact"/>
              <w:rPr>
                <w:sz w:val="20"/>
                <w:szCs w:val="20"/>
                <w:color w:val="auto"/>
              </w:rPr>
            </w:pPr>
            <w:r>
              <w:rPr>
                <w:rFonts w:ascii="Arial" w:cs="Arial" w:eastAsia="Arial" w:hAnsi="Arial"/>
                <w:sz w:val="18"/>
                <w:szCs w:val="18"/>
                <w:color w:val="auto"/>
              </w:rPr>
              <w:t>3,586,731</w:t>
            </w:r>
          </w:p>
        </w:tc>
        <w:tc>
          <w:tcPr>
            <w:tcW w:w="1360" w:type="dxa"/>
            <w:vAlign w:val="bottom"/>
          </w:tcPr>
          <w:p>
            <w:pPr>
              <w:jc w:val="right"/>
              <w:ind w:right="95"/>
              <w:spacing w:after="0" w:line="202" w:lineRule="exact"/>
              <w:rPr>
                <w:sz w:val="20"/>
                <w:szCs w:val="20"/>
                <w:color w:val="auto"/>
              </w:rPr>
            </w:pPr>
            <w:r>
              <w:rPr>
                <w:rFonts w:ascii="Arial" w:cs="Arial" w:eastAsia="Arial" w:hAnsi="Arial"/>
                <w:sz w:val="18"/>
                <w:szCs w:val="18"/>
                <w:color w:val="auto"/>
              </w:rPr>
              <w:t>2,975,453</w:t>
            </w:r>
          </w:p>
        </w:tc>
        <w:tc>
          <w:tcPr>
            <w:tcW w:w="920" w:type="dxa"/>
            <w:vAlign w:val="bottom"/>
          </w:tcPr>
          <w:p>
            <w:pPr>
              <w:jc w:val="right"/>
              <w:spacing w:after="0" w:line="202" w:lineRule="exact"/>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03"/>
        </w:trPr>
        <w:tc>
          <w:tcPr>
            <w:tcW w:w="5660" w:type="dxa"/>
            <w:vAlign w:val="bottom"/>
          </w:tcPr>
          <w:p>
            <w:pPr>
              <w:spacing w:after="0" w:line="202" w:lineRule="exact"/>
              <w:rPr>
                <w:sz w:val="20"/>
                <w:szCs w:val="20"/>
                <w:color w:val="auto"/>
              </w:rPr>
            </w:pPr>
            <w:r>
              <w:rPr>
                <w:rFonts w:ascii="Arial" w:cs="Arial" w:eastAsia="Arial" w:hAnsi="Arial"/>
                <w:sz w:val="18"/>
                <w:szCs w:val="18"/>
                <w:color w:val="auto"/>
              </w:rPr>
              <w:t>Employee Stock Purchase Plan</w:t>
            </w:r>
          </w:p>
        </w:tc>
        <w:tc>
          <w:tcPr>
            <w:tcW w:w="3480" w:type="dxa"/>
            <w:vAlign w:val="bottom"/>
          </w:tcPr>
          <w:p>
            <w:pPr>
              <w:jc w:val="right"/>
              <w:ind w:right="254"/>
              <w:spacing w:after="0" w:line="202" w:lineRule="exact"/>
              <w:rPr>
                <w:sz w:val="20"/>
                <w:szCs w:val="20"/>
                <w:color w:val="auto"/>
              </w:rPr>
            </w:pPr>
            <w:r>
              <w:rPr>
                <w:rFonts w:ascii="Arial" w:cs="Arial" w:eastAsia="Arial" w:hAnsi="Arial"/>
                <w:sz w:val="18"/>
                <w:szCs w:val="18"/>
                <w:color w:val="auto"/>
              </w:rPr>
              <w:t>1,943,700</w:t>
            </w:r>
          </w:p>
        </w:tc>
        <w:tc>
          <w:tcPr>
            <w:tcW w:w="1360" w:type="dxa"/>
            <w:vAlign w:val="bottom"/>
          </w:tcPr>
          <w:p>
            <w:pPr>
              <w:jc w:val="right"/>
              <w:ind w:right="95"/>
              <w:spacing w:after="0" w:line="202" w:lineRule="exact"/>
              <w:rPr>
                <w:sz w:val="20"/>
                <w:szCs w:val="20"/>
                <w:color w:val="auto"/>
              </w:rPr>
            </w:pPr>
            <w:r>
              <w:rPr>
                <w:rFonts w:ascii="Arial" w:cs="Arial" w:eastAsia="Arial" w:hAnsi="Arial"/>
                <w:sz w:val="18"/>
                <w:szCs w:val="18"/>
                <w:color w:val="auto"/>
              </w:rPr>
              <w:t>—</w:t>
            </w:r>
          </w:p>
        </w:tc>
        <w:tc>
          <w:tcPr>
            <w:tcW w:w="920" w:type="dxa"/>
            <w:vAlign w:val="bottom"/>
          </w:tcPr>
          <w:p>
            <w:pPr>
              <w:jc w:val="right"/>
              <w:spacing w:after="0" w:line="202" w:lineRule="exact"/>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199"/>
        </w:trPr>
        <w:tc>
          <w:tcPr>
            <w:tcW w:w="5660" w:type="dxa"/>
            <w:vAlign w:val="bottom"/>
            <w:tcBorders>
              <w:bottom w:val="single" w:sz="8" w:color="auto"/>
            </w:tcBorders>
          </w:tcPr>
          <w:p>
            <w:pPr>
              <w:spacing w:after="0" w:line="200" w:lineRule="exact"/>
              <w:rPr>
                <w:sz w:val="20"/>
                <w:szCs w:val="20"/>
                <w:color w:val="auto"/>
              </w:rPr>
            </w:pPr>
            <w:r>
              <w:rPr>
                <w:rFonts w:ascii="Arial" w:cs="Arial" w:eastAsia="Arial" w:hAnsi="Arial"/>
                <w:sz w:val="18"/>
                <w:szCs w:val="18"/>
                <w:color w:val="auto"/>
              </w:rPr>
              <w:t>Repurchases of common stock</w:t>
            </w:r>
          </w:p>
        </w:tc>
        <w:tc>
          <w:tcPr>
            <w:tcW w:w="3480" w:type="dxa"/>
            <w:vAlign w:val="bottom"/>
            <w:tcBorders>
              <w:bottom w:val="single" w:sz="8" w:color="auto"/>
            </w:tcBorders>
          </w:tcPr>
          <w:p>
            <w:pPr>
              <w:jc w:val="right"/>
              <w:ind w:right="254"/>
              <w:spacing w:after="0" w:line="200" w:lineRule="exact"/>
              <w:rPr>
                <w:sz w:val="20"/>
                <w:szCs w:val="20"/>
                <w:color w:val="auto"/>
              </w:rPr>
            </w:pPr>
            <w:r>
              <w:rPr>
                <w:rFonts w:ascii="Arial" w:cs="Arial" w:eastAsia="Arial" w:hAnsi="Arial"/>
                <w:sz w:val="18"/>
                <w:szCs w:val="18"/>
                <w:color w:val="auto"/>
              </w:rPr>
              <w:t>—</w:t>
            </w:r>
          </w:p>
        </w:tc>
        <w:tc>
          <w:tcPr>
            <w:tcW w:w="1360" w:type="dxa"/>
            <w:vAlign w:val="bottom"/>
            <w:tcBorders>
              <w:bottom w:val="single" w:sz="8" w:color="auto"/>
            </w:tcBorders>
          </w:tcPr>
          <w:p>
            <w:pPr>
              <w:jc w:val="right"/>
              <w:ind w:right="35"/>
              <w:spacing w:after="0" w:line="200" w:lineRule="exact"/>
              <w:rPr>
                <w:sz w:val="20"/>
                <w:szCs w:val="20"/>
                <w:color w:val="auto"/>
              </w:rPr>
            </w:pPr>
            <w:r>
              <w:rPr>
                <w:rFonts w:ascii="Arial" w:cs="Arial" w:eastAsia="Arial" w:hAnsi="Arial"/>
                <w:sz w:val="18"/>
                <w:szCs w:val="18"/>
                <w:color w:val="auto"/>
              </w:rPr>
              <w:t>(118,680,437)</w:t>
            </w:r>
          </w:p>
        </w:tc>
        <w:tc>
          <w:tcPr>
            <w:tcW w:w="920" w:type="dxa"/>
            <w:vAlign w:val="bottom"/>
            <w:tcBorders>
              <w:bottom w:val="single" w:sz="8" w:color="auto"/>
            </w:tcBorders>
          </w:tcPr>
          <w:p>
            <w:pPr>
              <w:jc w:val="right"/>
              <w:spacing w:after="0" w:line="200" w:lineRule="exact"/>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199"/>
        </w:trPr>
        <w:tc>
          <w:tcPr>
            <w:tcW w:w="5660" w:type="dxa"/>
            <w:vAlign w:val="bottom"/>
          </w:tcPr>
          <w:p>
            <w:pPr>
              <w:spacing w:after="0" w:line="200" w:lineRule="exact"/>
              <w:rPr>
                <w:sz w:val="20"/>
                <w:szCs w:val="20"/>
                <w:color w:val="auto"/>
              </w:rPr>
            </w:pPr>
            <w:r>
              <w:rPr>
                <w:rFonts w:ascii="Arial" w:cs="Arial" w:eastAsia="Arial" w:hAnsi="Arial"/>
                <w:sz w:val="18"/>
                <w:szCs w:val="18"/>
                <w:color w:val="auto"/>
              </w:rPr>
              <w:t>Balance, December 31, 2005</w:t>
            </w:r>
          </w:p>
        </w:tc>
        <w:tc>
          <w:tcPr>
            <w:tcW w:w="3480" w:type="dxa"/>
            <w:vAlign w:val="bottom"/>
          </w:tcPr>
          <w:p>
            <w:pPr>
              <w:jc w:val="right"/>
              <w:ind w:right="254"/>
              <w:spacing w:after="0" w:line="200" w:lineRule="exact"/>
              <w:rPr>
                <w:sz w:val="20"/>
                <w:szCs w:val="20"/>
                <w:color w:val="auto"/>
              </w:rPr>
            </w:pPr>
            <w:r>
              <w:rPr>
                <w:rFonts w:ascii="Arial" w:cs="Arial" w:eastAsia="Arial" w:hAnsi="Arial"/>
                <w:sz w:val="18"/>
                <w:szCs w:val="18"/>
                <w:color w:val="auto"/>
              </w:rPr>
              <w:t>2,045,050,977</w:t>
            </w:r>
          </w:p>
        </w:tc>
        <w:tc>
          <w:tcPr>
            <w:tcW w:w="1360" w:type="dxa"/>
            <w:vAlign w:val="bottom"/>
          </w:tcPr>
          <w:p>
            <w:pPr>
              <w:jc w:val="right"/>
              <w:ind w:right="95"/>
              <w:spacing w:after="0" w:line="200" w:lineRule="exact"/>
              <w:rPr>
                <w:sz w:val="20"/>
                <w:szCs w:val="20"/>
                <w:color w:val="auto"/>
              </w:rPr>
            </w:pPr>
            <w:r>
              <w:rPr>
                <w:rFonts w:ascii="Arial" w:cs="Arial" w:eastAsia="Arial" w:hAnsi="Arial"/>
                <w:sz w:val="18"/>
                <w:szCs w:val="18"/>
                <w:color w:val="auto"/>
              </w:rPr>
              <w:t>1,153,434,059</w:t>
            </w:r>
          </w:p>
        </w:tc>
        <w:tc>
          <w:tcPr>
            <w:tcW w:w="920" w:type="dxa"/>
            <w:vAlign w:val="bottom"/>
          </w:tcPr>
          <w:p>
            <w:pPr>
              <w:jc w:val="right"/>
              <w:spacing w:after="0" w:line="200" w:lineRule="exact"/>
              <w:rPr>
                <w:sz w:val="20"/>
                <w:szCs w:val="20"/>
                <w:color w:val="auto"/>
              </w:rPr>
            </w:pPr>
            <w:r>
              <w:rPr>
                <w:rFonts w:ascii="Arial" w:cs="Arial" w:eastAsia="Arial" w:hAnsi="Arial"/>
                <w:sz w:val="18"/>
                <w:szCs w:val="18"/>
                <w:color w:val="auto"/>
              </w:rPr>
              <w:t>9,444,375</w:t>
            </w:r>
          </w:p>
        </w:tc>
        <w:tc>
          <w:tcPr>
            <w:tcW w:w="0" w:type="dxa"/>
            <w:vAlign w:val="bottom"/>
          </w:tcPr>
          <w:p>
            <w:pPr>
              <w:spacing w:after="0"/>
              <w:rPr>
                <w:sz w:val="1"/>
                <w:szCs w:val="1"/>
                <w:color w:val="auto"/>
              </w:rPr>
            </w:pPr>
          </w:p>
        </w:tc>
      </w:tr>
      <w:tr>
        <w:trPr>
          <w:trHeight w:val="203"/>
        </w:trPr>
        <w:tc>
          <w:tcPr>
            <w:tcW w:w="5660" w:type="dxa"/>
            <w:vAlign w:val="bottom"/>
          </w:tcPr>
          <w:p>
            <w:pPr>
              <w:spacing w:after="0" w:line="202" w:lineRule="exact"/>
              <w:rPr>
                <w:sz w:val="20"/>
                <w:szCs w:val="20"/>
                <w:color w:val="auto"/>
              </w:rPr>
            </w:pPr>
            <w:r>
              <w:rPr>
                <w:rFonts w:ascii="Arial" w:cs="Arial" w:eastAsia="Arial" w:hAnsi="Arial"/>
                <w:sz w:val="18"/>
                <w:szCs w:val="18"/>
                <w:color w:val="auto"/>
              </w:rPr>
              <w:t>Stock compensation plans</w:t>
            </w:r>
          </w:p>
        </w:tc>
        <w:tc>
          <w:tcPr>
            <w:tcW w:w="3480" w:type="dxa"/>
            <w:vAlign w:val="bottom"/>
          </w:tcPr>
          <w:p>
            <w:pPr>
              <w:jc w:val="right"/>
              <w:ind w:right="254"/>
              <w:spacing w:after="0" w:line="202" w:lineRule="exact"/>
              <w:rPr>
                <w:sz w:val="20"/>
                <w:szCs w:val="20"/>
                <w:color w:val="auto"/>
              </w:rPr>
            </w:pPr>
            <w:r>
              <w:rPr>
                <w:rFonts w:ascii="Arial" w:cs="Arial" w:eastAsia="Arial" w:hAnsi="Arial"/>
                <w:sz w:val="18"/>
                <w:szCs w:val="18"/>
                <w:color w:val="auto"/>
              </w:rPr>
              <w:t>13,140,825</w:t>
            </w:r>
          </w:p>
        </w:tc>
        <w:tc>
          <w:tcPr>
            <w:tcW w:w="1360" w:type="dxa"/>
            <w:vAlign w:val="bottom"/>
          </w:tcPr>
          <w:p>
            <w:pPr>
              <w:jc w:val="right"/>
              <w:ind w:right="95"/>
              <w:spacing w:after="0" w:line="202" w:lineRule="exact"/>
              <w:rPr>
                <w:sz w:val="20"/>
                <w:szCs w:val="20"/>
                <w:color w:val="auto"/>
              </w:rPr>
            </w:pPr>
            <w:r>
              <w:rPr>
                <w:rFonts w:ascii="Arial" w:cs="Arial" w:eastAsia="Arial" w:hAnsi="Arial"/>
                <w:sz w:val="18"/>
                <w:szCs w:val="18"/>
                <w:color w:val="auto"/>
              </w:rPr>
              <w:t>9,362,105</w:t>
            </w:r>
          </w:p>
        </w:tc>
        <w:tc>
          <w:tcPr>
            <w:tcW w:w="920" w:type="dxa"/>
            <w:vAlign w:val="bottom"/>
          </w:tcPr>
          <w:p>
            <w:pPr>
              <w:jc w:val="right"/>
              <w:spacing w:after="0" w:line="202" w:lineRule="exact"/>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03"/>
        </w:trPr>
        <w:tc>
          <w:tcPr>
            <w:tcW w:w="5660" w:type="dxa"/>
            <w:vAlign w:val="bottom"/>
          </w:tcPr>
          <w:p>
            <w:pPr>
              <w:spacing w:after="0" w:line="202" w:lineRule="exact"/>
              <w:rPr>
                <w:sz w:val="20"/>
                <w:szCs w:val="20"/>
                <w:color w:val="auto"/>
              </w:rPr>
            </w:pPr>
            <w:r>
              <w:rPr>
                <w:rFonts w:ascii="Arial" w:cs="Arial" w:eastAsia="Arial" w:hAnsi="Arial"/>
                <w:sz w:val="18"/>
                <w:szCs w:val="18"/>
                <w:color w:val="auto"/>
              </w:rPr>
              <w:t>Employee Stock Purchase Plan</w:t>
            </w:r>
          </w:p>
        </w:tc>
        <w:tc>
          <w:tcPr>
            <w:tcW w:w="3480" w:type="dxa"/>
            <w:vAlign w:val="bottom"/>
          </w:tcPr>
          <w:p>
            <w:pPr>
              <w:jc w:val="right"/>
              <w:ind w:right="254"/>
              <w:spacing w:after="0" w:line="202" w:lineRule="exact"/>
              <w:rPr>
                <w:sz w:val="20"/>
                <w:szCs w:val="20"/>
                <w:color w:val="auto"/>
              </w:rPr>
            </w:pPr>
            <w:r>
              <w:rPr>
                <w:rFonts w:ascii="Arial" w:cs="Arial" w:eastAsia="Arial" w:hAnsi="Arial"/>
                <w:sz w:val="18"/>
                <w:szCs w:val="18"/>
                <w:color w:val="auto"/>
              </w:rPr>
              <w:t>2,166,158</w:t>
            </w:r>
          </w:p>
        </w:tc>
        <w:tc>
          <w:tcPr>
            <w:tcW w:w="1360" w:type="dxa"/>
            <w:vAlign w:val="bottom"/>
          </w:tcPr>
          <w:p>
            <w:pPr>
              <w:jc w:val="right"/>
              <w:ind w:right="95"/>
              <w:spacing w:after="0" w:line="202" w:lineRule="exact"/>
              <w:rPr>
                <w:sz w:val="20"/>
                <w:szCs w:val="20"/>
                <w:color w:val="auto"/>
              </w:rPr>
            </w:pPr>
            <w:r>
              <w:rPr>
                <w:rFonts w:ascii="Arial" w:cs="Arial" w:eastAsia="Arial" w:hAnsi="Arial"/>
                <w:sz w:val="18"/>
                <w:szCs w:val="18"/>
                <w:color w:val="auto"/>
              </w:rPr>
              <w:t>—</w:t>
            </w:r>
          </w:p>
        </w:tc>
        <w:tc>
          <w:tcPr>
            <w:tcW w:w="920" w:type="dxa"/>
            <w:vAlign w:val="bottom"/>
          </w:tcPr>
          <w:p>
            <w:pPr>
              <w:jc w:val="right"/>
              <w:spacing w:after="0" w:line="202" w:lineRule="exact"/>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199"/>
        </w:trPr>
        <w:tc>
          <w:tcPr>
            <w:tcW w:w="5660" w:type="dxa"/>
            <w:vAlign w:val="bottom"/>
            <w:tcBorders>
              <w:bottom w:val="single" w:sz="8" w:color="auto"/>
            </w:tcBorders>
          </w:tcPr>
          <w:p>
            <w:pPr>
              <w:spacing w:after="0" w:line="200" w:lineRule="exact"/>
              <w:rPr>
                <w:sz w:val="20"/>
                <w:szCs w:val="20"/>
                <w:color w:val="auto"/>
              </w:rPr>
            </w:pPr>
            <w:r>
              <w:rPr>
                <w:rFonts w:ascii="Arial" w:cs="Arial" w:eastAsia="Arial" w:hAnsi="Arial"/>
                <w:sz w:val="18"/>
                <w:szCs w:val="18"/>
                <w:color w:val="auto"/>
              </w:rPr>
              <w:t>Repurchases of common stock</w:t>
            </w:r>
          </w:p>
        </w:tc>
        <w:tc>
          <w:tcPr>
            <w:tcW w:w="3480" w:type="dxa"/>
            <w:vAlign w:val="bottom"/>
            <w:tcBorders>
              <w:bottom w:val="single" w:sz="8" w:color="auto"/>
            </w:tcBorders>
          </w:tcPr>
          <w:p>
            <w:pPr>
              <w:jc w:val="right"/>
              <w:ind w:right="254"/>
              <w:spacing w:after="0" w:line="200" w:lineRule="exact"/>
              <w:rPr>
                <w:sz w:val="20"/>
                <w:szCs w:val="20"/>
                <w:color w:val="auto"/>
              </w:rPr>
            </w:pPr>
            <w:r>
              <w:rPr>
                <w:rFonts w:ascii="Arial" w:cs="Arial" w:eastAsia="Arial" w:hAnsi="Arial"/>
                <w:sz w:val="18"/>
                <w:szCs w:val="18"/>
                <w:color w:val="auto"/>
              </w:rPr>
              <w:t>—</w:t>
            </w:r>
          </w:p>
        </w:tc>
        <w:tc>
          <w:tcPr>
            <w:tcW w:w="1360" w:type="dxa"/>
            <w:vAlign w:val="bottom"/>
            <w:tcBorders>
              <w:bottom w:val="single" w:sz="8" w:color="auto"/>
            </w:tcBorders>
          </w:tcPr>
          <w:p>
            <w:pPr>
              <w:jc w:val="right"/>
              <w:ind w:right="35"/>
              <w:spacing w:after="0" w:line="200" w:lineRule="exact"/>
              <w:rPr>
                <w:sz w:val="20"/>
                <w:szCs w:val="20"/>
                <w:color w:val="auto"/>
              </w:rPr>
            </w:pPr>
            <w:r>
              <w:rPr>
                <w:rFonts w:ascii="Arial" w:cs="Arial" w:eastAsia="Arial" w:hAnsi="Arial"/>
                <w:sz w:val="18"/>
                <w:szCs w:val="18"/>
                <w:color w:val="auto"/>
              </w:rPr>
              <w:t>(113,071,157)</w:t>
            </w:r>
          </w:p>
        </w:tc>
        <w:tc>
          <w:tcPr>
            <w:tcW w:w="920" w:type="dxa"/>
            <w:vAlign w:val="bottom"/>
            <w:tcBorders>
              <w:bottom w:val="single" w:sz="8" w:color="auto"/>
            </w:tcBorders>
          </w:tcPr>
          <w:p>
            <w:pPr>
              <w:jc w:val="right"/>
              <w:spacing w:after="0" w:line="200" w:lineRule="exact"/>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196"/>
        </w:trPr>
        <w:tc>
          <w:tcPr>
            <w:tcW w:w="5660" w:type="dxa"/>
            <w:vAlign w:val="bottom"/>
            <w:tcBorders>
              <w:bottom w:val="single" w:sz="8" w:color="35BF85"/>
            </w:tcBorders>
          </w:tcPr>
          <w:p>
            <w:pPr>
              <w:spacing w:after="0" w:line="196" w:lineRule="exact"/>
              <w:rPr>
                <w:sz w:val="20"/>
                <w:szCs w:val="20"/>
                <w:color w:val="auto"/>
              </w:rPr>
            </w:pPr>
            <w:r>
              <w:rPr>
                <w:rFonts w:ascii="Arial" w:cs="Arial" w:eastAsia="Arial" w:hAnsi="Arial"/>
                <w:sz w:val="18"/>
                <w:szCs w:val="18"/>
                <w:b w:val="1"/>
                <w:bCs w:val="1"/>
                <w:color w:val="auto"/>
              </w:rPr>
              <w:t>Balance, December 31, 2006</w:t>
            </w:r>
          </w:p>
        </w:tc>
        <w:tc>
          <w:tcPr>
            <w:tcW w:w="3480" w:type="dxa"/>
            <w:vAlign w:val="bottom"/>
            <w:tcBorders>
              <w:bottom w:val="single" w:sz="8" w:color="35BF85"/>
            </w:tcBorders>
          </w:tcPr>
          <w:p>
            <w:pPr>
              <w:jc w:val="right"/>
              <w:ind w:right="254"/>
              <w:spacing w:after="0" w:line="196" w:lineRule="exact"/>
              <w:rPr>
                <w:sz w:val="20"/>
                <w:szCs w:val="20"/>
                <w:color w:val="auto"/>
              </w:rPr>
            </w:pPr>
            <w:r>
              <w:rPr>
                <w:rFonts w:ascii="Arial" w:cs="Arial" w:eastAsia="Arial" w:hAnsi="Arial"/>
                <w:sz w:val="18"/>
                <w:szCs w:val="18"/>
                <w:b w:val="1"/>
                <w:bCs w:val="1"/>
                <w:color w:val="auto"/>
              </w:rPr>
              <w:t>2,060,357,960</w:t>
            </w:r>
          </w:p>
        </w:tc>
        <w:tc>
          <w:tcPr>
            <w:tcW w:w="1360" w:type="dxa"/>
            <w:vAlign w:val="bottom"/>
            <w:tcBorders>
              <w:bottom w:val="single" w:sz="8" w:color="35BF85"/>
            </w:tcBorders>
          </w:tcPr>
          <w:p>
            <w:pPr>
              <w:jc w:val="right"/>
              <w:ind w:right="95"/>
              <w:spacing w:after="0" w:line="196" w:lineRule="exact"/>
              <w:rPr>
                <w:sz w:val="20"/>
                <w:szCs w:val="20"/>
                <w:color w:val="auto"/>
              </w:rPr>
            </w:pPr>
            <w:r>
              <w:rPr>
                <w:rFonts w:ascii="Arial" w:cs="Arial" w:eastAsia="Arial" w:hAnsi="Arial"/>
                <w:sz w:val="18"/>
                <w:szCs w:val="18"/>
                <w:b w:val="1"/>
                <w:bCs w:val="1"/>
                <w:color w:val="auto"/>
              </w:rPr>
              <w:t>1,049,725,007</w:t>
            </w:r>
          </w:p>
        </w:tc>
        <w:tc>
          <w:tcPr>
            <w:tcW w:w="920" w:type="dxa"/>
            <w:vAlign w:val="bottom"/>
            <w:tcBorders>
              <w:bottom w:val="single" w:sz="8" w:color="35BF85"/>
            </w:tcBorders>
          </w:tcPr>
          <w:p>
            <w:pPr>
              <w:jc w:val="right"/>
              <w:spacing w:after="0" w:line="196" w:lineRule="exact"/>
              <w:rPr>
                <w:sz w:val="20"/>
                <w:szCs w:val="20"/>
                <w:color w:val="auto"/>
              </w:rPr>
            </w:pPr>
            <w:r>
              <w:rPr>
                <w:rFonts w:ascii="Arial" w:cs="Arial" w:eastAsia="Arial" w:hAnsi="Arial"/>
                <w:sz w:val="18"/>
                <w:szCs w:val="18"/>
                <w:b w:val="1"/>
                <w:bCs w:val="1"/>
                <w:color w:val="auto"/>
              </w:rPr>
              <w:t>9,444,375</w:t>
            </w:r>
          </w:p>
        </w:tc>
        <w:tc>
          <w:tcPr>
            <w:tcW w:w="0" w:type="dxa"/>
            <w:vAlign w:val="bottom"/>
          </w:tcPr>
          <w:p>
            <w:pPr>
              <w:spacing w:after="0"/>
              <w:rPr>
                <w:sz w:val="1"/>
                <w:szCs w:val="1"/>
                <w:color w:val="auto"/>
              </w:rPr>
            </w:pPr>
          </w:p>
        </w:tc>
      </w:tr>
      <w:tr>
        <w:trPr>
          <w:trHeight w:val="402"/>
        </w:trPr>
        <w:tc>
          <w:tcPr>
            <w:tcW w:w="5660" w:type="dxa"/>
            <w:vAlign w:val="bottom"/>
          </w:tcPr>
          <w:p>
            <w:pPr>
              <w:spacing w:after="0"/>
              <w:rPr>
                <w:sz w:val="20"/>
                <w:szCs w:val="20"/>
                <w:color w:val="auto"/>
              </w:rPr>
            </w:pPr>
            <w:r>
              <w:rPr>
                <w:rFonts w:ascii="Arial" w:cs="Arial" w:eastAsia="Arial" w:hAnsi="Arial"/>
                <w:sz w:val="18"/>
                <w:szCs w:val="18"/>
                <w:b w:val="1"/>
                <w:bCs w:val="1"/>
                <w:color w:val="auto"/>
              </w:rPr>
              <w:t>Comcast Option Plans</w:t>
            </w:r>
          </w:p>
        </w:tc>
        <w:tc>
          <w:tcPr>
            <w:tcW w:w="5760" w:type="dxa"/>
            <w:vAlign w:val="bottom"/>
            <w:gridSpan w:val="3"/>
          </w:tcPr>
          <w:p>
            <w:pPr>
              <w:ind w:left="160"/>
              <w:spacing w:after="0"/>
              <w:rPr>
                <w:sz w:val="20"/>
                <w:szCs w:val="20"/>
                <w:color w:val="auto"/>
              </w:rPr>
            </w:pPr>
            <w:r>
              <w:rPr>
                <w:rFonts w:ascii="Arial" w:cs="Arial" w:eastAsia="Arial" w:hAnsi="Arial"/>
                <w:sz w:val="18"/>
                <w:szCs w:val="18"/>
                <w:color w:val="auto"/>
              </w:rPr>
              <w:t>A common stock. We use historical data on exercises of stock options</w:t>
            </w:r>
          </w:p>
        </w:tc>
        <w:tc>
          <w:tcPr>
            <w:tcW w:w="0" w:type="dxa"/>
            <w:vAlign w:val="bottom"/>
          </w:tcPr>
          <w:p>
            <w:pPr>
              <w:spacing w:after="0"/>
              <w:rPr>
                <w:sz w:val="1"/>
                <w:szCs w:val="1"/>
                <w:color w:val="auto"/>
              </w:rPr>
            </w:pPr>
          </w:p>
        </w:tc>
      </w:tr>
      <w:tr>
        <w:trPr>
          <w:trHeight w:val="203"/>
        </w:trPr>
        <w:tc>
          <w:tcPr>
            <w:tcW w:w="5660" w:type="dxa"/>
            <w:vAlign w:val="bottom"/>
          </w:tcPr>
          <w:p>
            <w:pPr>
              <w:spacing w:after="0" w:line="202" w:lineRule="exact"/>
              <w:rPr>
                <w:sz w:val="20"/>
                <w:szCs w:val="20"/>
                <w:color w:val="auto"/>
              </w:rPr>
            </w:pPr>
            <w:r>
              <w:rPr>
                <w:rFonts w:ascii="Arial" w:cs="Arial" w:eastAsia="Arial" w:hAnsi="Arial"/>
                <w:sz w:val="18"/>
                <w:szCs w:val="18"/>
                <w:color w:val="auto"/>
              </w:rPr>
              <w:t>We maintain stock option plans for certain employees under which</w:t>
            </w:r>
          </w:p>
        </w:tc>
        <w:tc>
          <w:tcPr>
            <w:tcW w:w="5760" w:type="dxa"/>
            <w:vAlign w:val="bottom"/>
            <w:gridSpan w:val="3"/>
          </w:tcPr>
          <w:p>
            <w:pPr>
              <w:ind w:left="160"/>
              <w:spacing w:after="0" w:line="202" w:lineRule="exact"/>
              <w:rPr>
                <w:sz w:val="20"/>
                <w:szCs w:val="20"/>
                <w:color w:val="auto"/>
              </w:rPr>
            </w:pPr>
            <w:r>
              <w:rPr>
                <w:rFonts w:ascii="Arial" w:cs="Arial" w:eastAsia="Arial" w:hAnsi="Arial"/>
                <w:sz w:val="18"/>
                <w:szCs w:val="18"/>
                <w:color w:val="auto"/>
                <w:w w:val="99"/>
              </w:rPr>
              <w:t>and other factors to estimate the expected term of the options granted.</w:t>
            </w:r>
          </w:p>
        </w:tc>
        <w:tc>
          <w:tcPr>
            <w:tcW w:w="0" w:type="dxa"/>
            <w:vAlign w:val="bottom"/>
          </w:tcPr>
          <w:p>
            <w:pPr>
              <w:spacing w:after="0"/>
              <w:rPr>
                <w:sz w:val="1"/>
                <w:szCs w:val="1"/>
                <w:color w:val="auto"/>
              </w:rPr>
            </w:pPr>
          </w:p>
        </w:tc>
      </w:tr>
      <w:tr>
        <w:trPr>
          <w:trHeight w:val="203"/>
        </w:trPr>
        <w:tc>
          <w:tcPr>
            <w:tcW w:w="5660" w:type="dxa"/>
            <w:vAlign w:val="bottom"/>
          </w:tcPr>
          <w:p>
            <w:pPr>
              <w:spacing w:after="0" w:line="202" w:lineRule="exact"/>
              <w:rPr>
                <w:sz w:val="20"/>
                <w:szCs w:val="20"/>
                <w:color w:val="auto"/>
              </w:rPr>
            </w:pPr>
            <w:r>
              <w:rPr>
                <w:rFonts w:ascii="Arial" w:cs="Arial" w:eastAsia="Arial" w:hAnsi="Arial"/>
                <w:sz w:val="18"/>
                <w:szCs w:val="18"/>
                <w:color w:val="auto"/>
              </w:rPr>
              <w:t>fixed-price stock options may be granted and the option price is</w:t>
            </w:r>
          </w:p>
        </w:tc>
        <w:tc>
          <w:tcPr>
            <w:tcW w:w="5760" w:type="dxa"/>
            <w:vAlign w:val="bottom"/>
            <w:gridSpan w:val="3"/>
          </w:tcPr>
          <w:p>
            <w:pPr>
              <w:ind w:left="160"/>
              <w:spacing w:after="0" w:line="202" w:lineRule="exact"/>
              <w:rPr>
                <w:sz w:val="20"/>
                <w:szCs w:val="20"/>
                <w:color w:val="auto"/>
              </w:rPr>
            </w:pPr>
            <w:r>
              <w:rPr>
                <w:rFonts w:ascii="Arial" w:cs="Arial" w:eastAsia="Arial" w:hAnsi="Arial"/>
                <w:sz w:val="18"/>
                <w:szCs w:val="18"/>
                <w:color w:val="auto"/>
                <w:w w:val="99"/>
              </w:rPr>
              <w:t>The risk-free rate is based on the U.S. Treasury yield curve in effect at</w:t>
            </w:r>
          </w:p>
        </w:tc>
        <w:tc>
          <w:tcPr>
            <w:tcW w:w="0" w:type="dxa"/>
            <w:vAlign w:val="bottom"/>
          </w:tcPr>
          <w:p>
            <w:pPr>
              <w:spacing w:after="0"/>
              <w:rPr>
                <w:sz w:val="1"/>
                <w:szCs w:val="1"/>
                <w:color w:val="auto"/>
              </w:rPr>
            </w:pPr>
          </w:p>
        </w:tc>
      </w:tr>
      <w:tr>
        <w:trPr>
          <w:trHeight w:val="203"/>
        </w:trPr>
        <w:tc>
          <w:tcPr>
            <w:tcW w:w="5660" w:type="dxa"/>
            <w:vAlign w:val="bottom"/>
          </w:tcPr>
          <w:p>
            <w:pPr>
              <w:spacing w:after="0" w:line="202" w:lineRule="exact"/>
              <w:rPr>
                <w:sz w:val="20"/>
                <w:szCs w:val="20"/>
                <w:color w:val="auto"/>
              </w:rPr>
            </w:pPr>
            <w:r>
              <w:rPr>
                <w:rFonts w:ascii="Arial" w:cs="Arial" w:eastAsia="Arial" w:hAnsi="Arial"/>
                <w:sz w:val="18"/>
                <w:szCs w:val="18"/>
                <w:color w:val="auto"/>
              </w:rPr>
              <w:t>generally not less than the fair value of a share of the underlying stock</w:t>
            </w:r>
          </w:p>
        </w:tc>
        <w:tc>
          <w:tcPr>
            <w:tcW w:w="3480" w:type="dxa"/>
            <w:vAlign w:val="bottom"/>
          </w:tcPr>
          <w:p>
            <w:pPr>
              <w:ind w:left="160"/>
              <w:spacing w:after="0" w:line="202" w:lineRule="exact"/>
              <w:rPr>
                <w:sz w:val="20"/>
                <w:szCs w:val="20"/>
                <w:color w:val="auto"/>
              </w:rPr>
            </w:pPr>
            <w:r>
              <w:rPr>
                <w:rFonts w:ascii="Arial" w:cs="Arial" w:eastAsia="Arial" w:hAnsi="Arial"/>
                <w:sz w:val="18"/>
                <w:szCs w:val="18"/>
                <w:color w:val="auto"/>
              </w:rPr>
              <w:t>the date of grant.</w:t>
            </w:r>
          </w:p>
        </w:tc>
        <w:tc>
          <w:tcPr>
            <w:tcW w:w="136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5660" w:type="dxa"/>
            <w:vAlign w:val="bottom"/>
          </w:tcPr>
          <w:p>
            <w:pPr>
              <w:spacing w:after="0" w:line="202" w:lineRule="exact"/>
              <w:rPr>
                <w:sz w:val="20"/>
                <w:szCs w:val="20"/>
                <w:color w:val="auto"/>
              </w:rPr>
            </w:pPr>
            <w:r>
              <w:rPr>
                <w:rFonts w:ascii="Arial" w:cs="Arial" w:eastAsia="Arial" w:hAnsi="Arial"/>
                <w:sz w:val="18"/>
                <w:szCs w:val="18"/>
                <w:color w:val="auto"/>
              </w:rPr>
              <w:t>at the date of grant. Under our stock option plans, approximately</w:t>
            </w:r>
          </w:p>
        </w:tc>
        <w:tc>
          <w:tcPr>
            <w:tcW w:w="5760" w:type="dxa"/>
            <w:vAlign w:val="bottom"/>
            <w:gridSpan w:val="3"/>
            <w:vMerge w:val="restart"/>
          </w:tcPr>
          <w:p>
            <w:pPr>
              <w:ind w:left="160"/>
              <w:spacing w:after="0"/>
              <w:rPr>
                <w:sz w:val="20"/>
                <w:szCs w:val="20"/>
                <w:color w:val="auto"/>
              </w:rPr>
            </w:pPr>
            <w:r>
              <w:rPr>
                <w:rFonts w:ascii="Arial" w:cs="Arial" w:eastAsia="Arial" w:hAnsi="Arial"/>
                <w:sz w:val="18"/>
                <w:szCs w:val="18"/>
                <w:color w:val="auto"/>
              </w:rPr>
              <w:t>The following table summarizes the weighted-average fair values at</w:t>
            </w:r>
          </w:p>
        </w:tc>
        <w:tc>
          <w:tcPr>
            <w:tcW w:w="0" w:type="dxa"/>
            <w:vAlign w:val="bottom"/>
          </w:tcPr>
          <w:p>
            <w:pPr>
              <w:spacing w:after="0"/>
              <w:rPr>
                <w:sz w:val="1"/>
                <w:szCs w:val="1"/>
                <w:color w:val="auto"/>
              </w:rPr>
            </w:pPr>
          </w:p>
        </w:tc>
      </w:tr>
      <w:tr>
        <w:trPr>
          <w:trHeight w:val="162"/>
        </w:trPr>
        <w:tc>
          <w:tcPr>
            <w:tcW w:w="5660" w:type="dxa"/>
            <w:vAlign w:val="bottom"/>
          </w:tcPr>
          <w:p>
            <w:pPr>
              <w:spacing w:after="0" w:line="162" w:lineRule="exact"/>
              <w:rPr>
                <w:sz w:val="20"/>
                <w:szCs w:val="20"/>
                <w:color w:val="auto"/>
              </w:rPr>
            </w:pPr>
            <w:r>
              <w:rPr>
                <w:rFonts w:ascii="Arial" w:cs="Arial" w:eastAsia="Arial" w:hAnsi="Arial"/>
                <w:sz w:val="18"/>
                <w:szCs w:val="18"/>
                <w:color w:val="auto"/>
              </w:rPr>
              <w:t>236 million shares (adjusted to reflect the Stock Split) of our Class A</w:t>
            </w:r>
          </w:p>
        </w:tc>
        <w:tc>
          <w:tcPr>
            <w:tcW w:w="5760" w:type="dxa"/>
            <w:vAlign w:val="bottom"/>
            <w:gridSpan w:val="3"/>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203"/>
        </w:trPr>
        <w:tc>
          <w:tcPr>
            <w:tcW w:w="5660" w:type="dxa"/>
            <w:vAlign w:val="bottom"/>
          </w:tcPr>
          <w:p>
            <w:pPr>
              <w:spacing w:after="0" w:line="202" w:lineRule="exact"/>
              <w:rPr>
                <w:sz w:val="20"/>
                <w:szCs w:val="20"/>
                <w:color w:val="auto"/>
              </w:rPr>
            </w:pPr>
            <w:r>
              <w:rPr>
                <w:rFonts w:ascii="Arial" w:cs="Arial" w:eastAsia="Arial" w:hAnsi="Arial"/>
                <w:sz w:val="18"/>
                <w:szCs w:val="18"/>
                <w:color w:val="auto"/>
              </w:rPr>
              <w:t>and Class A Special common stock are reserved for issuance upon</w:t>
            </w:r>
          </w:p>
        </w:tc>
        <w:tc>
          <w:tcPr>
            <w:tcW w:w="5760" w:type="dxa"/>
            <w:vAlign w:val="bottom"/>
            <w:gridSpan w:val="3"/>
          </w:tcPr>
          <w:p>
            <w:pPr>
              <w:ind w:left="160"/>
              <w:spacing w:after="0" w:line="202" w:lineRule="exact"/>
              <w:rPr>
                <w:sz w:val="20"/>
                <w:szCs w:val="20"/>
                <w:color w:val="auto"/>
              </w:rPr>
            </w:pPr>
            <w:r>
              <w:rPr>
                <w:rFonts w:ascii="Arial" w:cs="Arial" w:eastAsia="Arial" w:hAnsi="Arial"/>
                <w:sz w:val="18"/>
                <w:szCs w:val="18"/>
                <w:color w:val="auto"/>
              </w:rPr>
              <w:t>date of grant (adjusted to reflect the Stock Split) of a Class A common</w:t>
            </w:r>
          </w:p>
        </w:tc>
        <w:tc>
          <w:tcPr>
            <w:tcW w:w="0" w:type="dxa"/>
            <w:vAlign w:val="bottom"/>
          </w:tcPr>
          <w:p>
            <w:pPr>
              <w:spacing w:after="0"/>
              <w:rPr>
                <w:sz w:val="1"/>
                <w:szCs w:val="1"/>
                <w:color w:val="auto"/>
              </w:rPr>
            </w:pPr>
          </w:p>
        </w:tc>
      </w:tr>
      <w:tr>
        <w:trPr>
          <w:trHeight w:val="203"/>
        </w:trPr>
        <w:tc>
          <w:tcPr>
            <w:tcW w:w="5660" w:type="dxa"/>
            <w:vAlign w:val="bottom"/>
          </w:tcPr>
          <w:p>
            <w:pPr>
              <w:spacing w:after="0" w:line="202" w:lineRule="exact"/>
              <w:rPr>
                <w:sz w:val="20"/>
                <w:szCs w:val="20"/>
                <w:color w:val="auto"/>
              </w:rPr>
            </w:pPr>
            <w:r>
              <w:rPr>
                <w:rFonts w:ascii="Arial" w:cs="Arial" w:eastAsia="Arial" w:hAnsi="Arial"/>
                <w:sz w:val="18"/>
                <w:szCs w:val="18"/>
                <w:color w:val="auto"/>
              </w:rPr>
              <w:t>the  exercise  of  options,  including  those  outstanding  as  of</w:t>
            </w:r>
          </w:p>
        </w:tc>
        <w:tc>
          <w:tcPr>
            <w:tcW w:w="5760" w:type="dxa"/>
            <w:vAlign w:val="bottom"/>
            <w:gridSpan w:val="3"/>
          </w:tcPr>
          <w:p>
            <w:pPr>
              <w:ind w:left="160"/>
              <w:spacing w:after="0" w:line="202" w:lineRule="exact"/>
              <w:rPr>
                <w:sz w:val="20"/>
                <w:szCs w:val="20"/>
                <w:color w:val="auto"/>
              </w:rPr>
            </w:pPr>
            <w:r>
              <w:rPr>
                <w:rFonts w:ascii="Arial" w:cs="Arial" w:eastAsia="Arial" w:hAnsi="Arial"/>
                <w:sz w:val="18"/>
                <w:szCs w:val="18"/>
                <w:color w:val="auto"/>
              </w:rPr>
              <w:t>stock option granted under our stock option plans and the related</w:t>
            </w:r>
          </w:p>
        </w:tc>
        <w:tc>
          <w:tcPr>
            <w:tcW w:w="0" w:type="dxa"/>
            <w:vAlign w:val="bottom"/>
          </w:tcPr>
          <w:p>
            <w:pPr>
              <w:spacing w:after="0"/>
              <w:rPr>
                <w:sz w:val="1"/>
                <w:szCs w:val="1"/>
                <w:color w:val="auto"/>
              </w:rPr>
            </w:pPr>
          </w:p>
        </w:tc>
      </w:tr>
      <w:tr>
        <w:trPr>
          <w:trHeight w:val="243"/>
        </w:trPr>
        <w:tc>
          <w:tcPr>
            <w:tcW w:w="5660" w:type="dxa"/>
            <w:vAlign w:val="bottom"/>
          </w:tcPr>
          <w:p>
            <w:pPr>
              <w:spacing w:after="0"/>
              <w:rPr>
                <w:sz w:val="20"/>
                <w:szCs w:val="20"/>
                <w:color w:val="auto"/>
              </w:rPr>
            </w:pPr>
            <w:r>
              <w:rPr>
                <w:rFonts w:ascii="Arial" w:cs="Arial" w:eastAsia="Arial" w:hAnsi="Arial"/>
                <w:sz w:val="18"/>
                <w:szCs w:val="18"/>
                <w:color w:val="auto"/>
              </w:rPr>
              <w:t>December 31, 2006. Option terms are generally 10 years, with options</w:t>
            </w:r>
          </w:p>
        </w:tc>
        <w:tc>
          <w:tcPr>
            <w:tcW w:w="3480" w:type="dxa"/>
            <w:vAlign w:val="bottom"/>
          </w:tcPr>
          <w:p>
            <w:pPr>
              <w:ind w:left="160"/>
              <w:spacing w:after="0"/>
              <w:rPr>
                <w:sz w:val="20"/>
                <w:szCs w:val="20"/>
                <w:color w:val="auto"/>
              </w:rPr>
            </w:pPr>
            <w:r>
              <w:rPr>
                <w:rFonts w:ascii="Arial" w:cs="Arial" w:eastAsia="Arial" w:hAnsi="Arial"/>
                <w:sz w:val="18"/>
                <w:szCs w:val="18"/>
                <w:color w:val="auto"/>
                <w:w w:val="99"/>
              </w:rPr>
              <w:t>weighted-average valuation assumptions:</w:t>
            </w:r>
          </w:p>
        </w:tc>
        <w:tc>
          <w:tcPr>
            <w:tcW w:w="1360" w:type="dxa"/>
            <w:vAlign w:val="bottom"/>
          </w:tcPr>
          <w:p>
            <w:pPr>
              <w:spacing w:after="0"/>
              <w:rPr>
                <w:sz w:val="21"/>
                <w:szCs w:val="21"/>
                <w:color w:val="auto"/>
              </w:rPr>
            </w:pPr>
          </w:p>
        </w:tc>
        <w:tc>
          <w:tcPr>
            <w:tcW w:w="9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03"/>
        </w:trPr>
        <w:tc>
          <w:tcPr>
            <w:tcW w:w="5660" w:type="dxa"/>
            <w:vAlign w:val="bottom"/>
          </w:tcPr>
          <w:p>
            <w:pPr>
              <w:spacing w:after="0" w:line="202" w:lineRule="exact"/>
              <w:rPr>
                <w:sz w:val="20"/>
                <w:szCs w:val="20"/>
                <w:color w:val="auto"/>
              </w:rPr>
            </w:pPr>
            <w:r>
              <w:rPr>
                <w:rFonts w:ascii="Arial" w:cs="Arial" w:eastAsia="Arial" w:hAnsi="Arial"/>
                <w:sz w:val="18"/>
                <w:szCs w:val="18"/>
                <w:color w:val="auto"/>
              </w:rPr>
              <w:t>generally becoming exercisable between two and nine and one half</w:t>
            </w:r>
          </w:p>
        </w:tc>
        <w:tc>
          <w:tcPr>
            <w:tcW w:w="3480" w:type="dxa"/>
            <w:vAlign w:val="bottom"/>
          </w:tcPr>
          <w:p>
            <w:pPr>
              <w:spacing w:after="0"/>
              <w:rPr>
                <w:sz w:val="17"/>
                <w:szCs w:val="17"/>
                <w:color w:val="auto"/>
              </w:rPr>
            </w:pPr>
          </w:p>
        </w:tc>
        <w:tc>
          <w:tcPr>
            <w:tcW w:w="136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9"/>
        </w:trPr>
        <w:tc>
          <w:tcPr>
            <w:tcW w:w="5660" w:type="dxa"/>
            <w:vAlign w:val="bottom"/>
          </w:tcPr>
          <w:p>
            <w:pPr>
              <w:spacing w:after="0" w:line="200" w:lineRule="exact"/>
              <w:rPr>
                <w:sz w:val="20"/>
                <w:szCs w:val="20"/>
                <w:color w:val="auto"/>
              </w:rPr>
            </w:pPr>
            <w:r>
              <w:rPr>
                <w:rFonts w:ascii="Arial" w:cs="Arial" w:eastAsia="Arial" w:hAnsi="Arial"/>
                <w:sz w:val="18"/>
                <w:szCs w:val="18"/>
                <w:color w:val="auto"/>
              </w:rPr>
              <w:t>years from the date of grant.</w:t>
            </w:r>
          </w:p>
        </w:tc>
        <w:tc>
          <w:tcPr>
            <w:tcW w:w="3480" w:type="dxa"/>
            <w:vAlign w:val="bottom"/>
          </w:tcPr>
          <w:p>
            <w:pPr>
              <w:jc w:val="right"/>
              <w:spacing w:after="0"/>
              <w:rPr>
                <w:sz w:val="20"/>
                <w:szCs w:val="20"/>
                <w:color w:val="auto"/>
              </w:rPr>
            </w:pPr>
            <w:r>
              <w:rPr>
                <w:rFonts w:ascii="Arial" w:cs="Arial" w:eastAsia="Arial" w:hAnsi="Arial"/>
                <w:sz w:val="14"/>
                <w:szCs w:val="14"/>
                <w:b w:val="1"/>
                <w:bCs w:val="1"/>
                <w:color w:val="auto"/>
              </w:rPr>
              <w:t>2006</w:t>
            </w:r>
          </w:p>
        </w:tc>
        <w:tc>
          <w:tcPr>
            <w:tcW w:w="1360" w:type="dxa"/>
            <w:vAlign w:val="bottom"/>
          </w:tcPr>
          <w:p>
            <w:pPr>
              <w:jc w:val="right"/>
              <w:ind w:right="295"/>
              <w:spacing w:after="0"/>
              <w:rPr>
                <w:sz w:val="20"/>
                <w:szCs w:val="20"/>
                <w:color w:val="auto"/>
              </w:rPr>
            </w:pPr>
            <w:r>
              <w:rPr>
                <w:rFonts w:ascii="Arial" w:cs="Arial" w:eastAsia="Arial" w:hAnsi="Arial"/>
                <w:sz w:val="14"/>
                <w:szCs w:val="14"/>
                <w:color w:val="auto"/>
              </w:rPr>
              <w:t>2005</w:t>
            </w:r>
          </w:p>
        </w:tc>
        <w:tc>
          <w:tcPr>
            <w:tcW w:w="920" w:type="dxa"/>
            <w:vAlign w:val="bottom"/>
          </w:tcPr>
          <w:p>
            <w:pPr>
              <w:jc w:val="right"/>
              <w:ind w:right="195"/>
              <w:spacing w:after="0"/>
              <w:rPr>
                <w:sz w:val="20"/>
                <w:szCs w:val="20"/>
                <w:color w:val="auto"/>
              </w:rPr>
            </w:pPr>
            <w:r>
              <w:rPr>
                <w:rFonts w:ascii="Arial" w:cs="Arial" w:eastAsia="Arial" w:hAnsi="Arial"/>
                <w:sz w:val="14"/>
                <w:szCs w:val="14"/>
                <w:color w:val="auto"/>
              </w:rPr>
              <w:t>2004</w:t>
            </w:r>
          </w:p>
        </w:tc>
        <w:tc>
          <w:tcPr>
            <w:tcW w:w="0" w:type="dxa"/>
            <w:vAlign w:val="bottom"/>
          </w:tcPr>
          <w:p>
            <w:pPr>
              <w:spacing w:after="0"/>
              <w:rPr>
                <w:sz w:val="1"/>
                <w:szCs w:val="1"/>
                <w:color w:val="auto"/>
              </w:rPr>
            </w:pPr>
          </w:p>
        </w:tc>
      </w:tr>
    </w:tbl>
    <w:p>
      <w:pPr>
        <w:spacing w:after="0" w:line="1" w:lineRule="exact"/>
        <w:rPr>
          <w:sz w:val="20"/>
          <w:szCs w:val="20"/>
          <w:color w:val="auto"/>
        </w:rPr>
      </w:pPr>
    </w:p>
    <w:p>
      <w:pPr>
        <w:sectPr>
          <w:pgSz w:w="11900" w:h="16838" w:orient="portrait"/>
          <w:cols w:equalWidth="0" w:num="1">
            <w:col w:w="11420"/>
          </w:cols>
          <w:pgMar w:left="240" w:top="459" w:right="239" w:bottom="1440" w:gutter="0" w:footer="0" w:header="0"/>
          <w:type w:val="continuous"/>
        </w:sectPr>
      </w:pPr>
    </w:p>
    <w:p>
      <w:pPr>
        <w:spacing w:after="0" w:line="164" w:lineRule="exact"/>
        <w:rPr>
          <w:sz w:val="20"/>
          <w:szCs w:val="20"/>
          <w:color w:val="auto"/>
        </w:rPr>
      </w:pPr>
    </w:p>
    <w:p>
      <w:pPr>
        <w:jc w:val="both"/>
        <w:spacing w:after="0" w:line="237" w:lineRule="auto"/>
        <w:rPr>
          <w:sz w:val="20"/>
          <w:szCs w:val="20"/>
          <w:color w:val="auto"/>
        </w:rPr>
      </w:pPr>
      <w:r>
        <w:rPr>
          <w:rFonts w:ascii="Arial" w:cs="Arial" w:eastAsia="Arial" w:hAnsi="Arial"/>
          <w:sz w:val="18"/>
          <w:szCs w:val="18"/>
          <w:color w:val="auto"/>
        </w:rPr>
        <w:t>The fair value of each stock option is estimated on the date of grant using the Black-Scholes option pricing model that uses the assumptions summarized in the following table. Expected volatility is based on a blend of implied and historical volatility of our Class</w:t>
      </w:r>
    </w:p>
    <w:p>
      <w:pPr>
        <w:spacing w:after="0" w:line="20" w:lineRule="exact"/>
        <w:rPr>
          <w:sz w:val="20"/>
          <w:szCs w:val="20"/>
          <w:color w:val="auto"/>
        </w:rPr>
      </w:pPr>
      <w:r>
        <w:rPr>
          <w:sz w:val="20"/>
          <w:szCs w:val="20"/>
          <w:color w:val="auto"/>
        </w:rPr>
        <w:br w:type="column"/>
      </w: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177"/>
        </w:trPr>
        <w:tc>
          <w:tcPr>
            <w:tcW w:w="2300" w:type="dxa"/>
            <w:vAlign w:val="bottom"/>
            <w:tcBorders>
              <w:top w:val="single" w:sz="8" w:color="auto"/>
            </w:tcBorders>
          </w:tcPr>
          <w:p>
            <w:pPr>
              <w:spacing w:after="0" w:line="177" w:lineRule="exact"/>
              <w:rPr>
                <w:sz w:val="20"/>
                <w:szCs w:val="20"/>
                <w:color w:val="auto"/>
              </w:rPr>
            </w:pPr>
            <w:r>
              <w:rPr>
                <w:rFonts w:ascii="Arial" w:cs="Arial" w:eastAsia="Arial" w:hAnsi="Arial"/>
                <w:sz w:val="18"/>
                <w:szCs w:val="18"/>
                <w:color w:val="auto"/>
              </w:rPr>
              <w:t>Fair value</w:t>
            </w:r>
          </w:p>
        </w:tc>
        <w:tc>
          <w:tcPr>
            <w:tcW w:w="1340" w:type="dxa"/>
            <w:vAlign w:val="bottom"/>
            <w:tcBorders>
              <w:top w:val="single" w:sz="8" w:color="auto"/>
            </w:tcBorders>
          </w:tcPr>
          <w:p>
            <w:pPr>
              <w:jc w:val="right"/>
              <w:ind w:right="272"/>
              <w:spacing w:after="0" w:line="177" w:lineRule="exact"/>
              <w:rPr>
                <w:sz w:val="20"/>
                <w:szCs w:val="20"/>
                <w:color w:val="auto"/>
              </w:rPr>
            </w:pPr>
            <w:r>
              <w:rPr>
                <w:rFonts w:ascii="Arial" w:cs="Arial" w:eastAsia="Arial" w:hAnsi="Arial"/>
                <w:sz w:val="18"/>
                <w:szCs w:val="18"/>
                <w:b w:val="1"/>
                <w:bCs w:val="1"/>
                <w:color w:val="auto"/>
              </w:rPr>
              <w:t>$ 7.30</w:t>
            </w:r>
          </w:p>
        </w:tc>
        <w:tc>
          <w:tcPr>
            <w:tcW w:w="1020" w:type="dxa"/>
            <w:vAlign w:val="bottom"/>
            <w:tcBorders>
              <w:top w:val="single" w:sz="8" w:color="auto"/>
            </w:tcBorders>
          </w:tcPr>
          <w:p>
            <w:pPr>
              <w:jc w:val="right"/>
              <w:ind w:right="272"/>
              <w:spacing w:after="0" w:line="177" w:lineRule="exact"/>
              <w:rPr>
                <w:sz w:val="20"/>
                <w:szCs w:val="20"/>
                <w:color w:val="auto"/>
              </w:rPr>
            </w:pPr>
            <w:r>
              <w:rPr>
                <w:rFonts w:ascii="Arial" w:cs="Arial" w:eastAsia="Arial" w:hAnsi="Arial"/>
                <w:sz w:val="18"/>
                <w:szCs w:val="18"/>
                <w:color w:val="auto"/>
              </w:rPr>
              <w:t>$ 8.67</w:t>
            </w:r>
          </w:p>
        </w:tc>
        <w:tc>
          <w:tcPr>
            <w:tcW w:w="820" w:type="dxa"/>
            <w:vAlign w:val="bottom"/>
            <w:tcBorders>
              <w:top w:val="single" w:sz="8" w:color="auto"/>
            </w:tcBorders>
          </w:tcPr>
          <w:p>
            <w:pPr>
              <w:jc w:val="right"/>
              <w:ind w:right="72"/>
              <w:spacing w:after="0" w:line="177" w:lineRule="exact"/>
              <w:rPr>
                <w:sz w:val="20"/>
                <w:szCs w:val="20"/>
                <w:color w:val="auto"/>
              </w:rPr>
            </w:pPr>
            <w:r>
              <w:rPr>
                <w:rFonts w:ascii="Arial" w:cs="Arial" w:eastAsia="Arial" w:hAnsi="Arial"/>
                <w:sz w:val="18"/>
                <w:szCs w:val="18"/>
                <w:color w:val="auto"/>
              </w:rPr>
              <w:t>$ 7.63</w:t>
            </w:r>
          </w:p>
        </w:tc>
        <w:tc>
          <w:tcPr>
            <w:tcW w:w="0" w:type="dxa"/>
            <w:vAlign w:val="bottom"/>
          </w:tcPr>
          <w:p>
            <w:pPr>
              <w:spacing w:after="0"/>
              <w:rPr>
                <w:sz w:val="1"/>
                <w:szCs w:val="1"/>
                <w:color w:val="auto"/>
              </w:rPr>
            </w:pPr>
          </w:p>
        </w:tc>
      </w:tr>
      <w:tr>
        <w:trPr>
          <w:trHeight w:val="203"/>
        </w:trPr>
        <w:tc>
          <w:tcPr>
            <w:tcW w:w="2300" w:type="dxa"/>
            <w:vAlign w:val="bottom"/>
          </w:tcPr>
          <w:p>
            <w:pPr>
              <w:spacing w:after="0" w:line="202" w:lineRule="exact"/>
              <w:rPr>
                <w:sz w:val="20"/>
                <w:szCs w:val="20"/>
                <w:color w:val="auto"/>
              </w:rPr>
            </w:pPr>
            <w:r>
              <w:rPr>
                <w:rFonts w:ascii="Arial" w:cs="Arial" w:eastAsia="Arial" w:hAnsi="Arial"/>
                <w:sz w:val="18"/>
                <w:szCs w:val="18"/>
                <w:color w:val="auto"/>
              </w:rPr>
              <w:t>Dividend yield</w:t>
            </w:r>
          </w:p>
        </w:tc>
        <w:tc>
          <w:tcPr>
            <w:tcW w:w="1340" w:type="dxa"/>
            <w:vAlign w:val="bottom"/>
          </w:tcPr>
          <w:p>
            <w:pPr>
              <w:jc w:val="right"/>
              <w:ind w:right="112"/>
              <w:spacing w:after="0" w:line="202" w:lineRule="exact"/>
              <w:rPr>
                <w:sz w:val="20"/>
                <w:szCs w:val="20"/>
                <w:color w:val="auto"/>
              </w:rPr>
            </w:pPr>
            <w:r>
              <w:rPr>
                <w:rFonts w:ascii="Arial" w:cs="Arial" w:eastAsia="Arial" w:hAnsi="Arial"/>
                <w:sz w:val="18"/>
                <w:szCs w:val="18"/>
                <w:b w:val="1"/>
                <w:bCs w:val="1"/>
                <w:color w:val="auto"/>
              </w:rPr>
              <w:t>0%</w:t>
            </w:r>
          </w:p>
        </w:tc>
        <w:tc>
          <w:tcPr>
            <w:tcW w:w="1020" w:type="dxa"/>
            <w:vAlign w:val="bottom"/>
          </w:tcPr>
          <w:p>
            <w:pPr>
              <w:jc w:val="right"/>
              <w:ind w:right="112"/>
              <w:spacing w:after="0" w:line="202" w:lineRule="exact"/>
              <w:rPr>
                <w:sz w:val="20"/>
                <w:szCs w:val="20"/>
                <w:color w:val="auto"/>
              </w:rPr>
            </w:pPr>
            <w:r>
              <w:rPr>
                <w:rFonts w:ascii="Arial" w:cs="Arial" w:eastAsia="Arial" w:hAnsi="Arial"/>
                <w:sz w:val="18"/>
                <w:szCs w:val="18"/>
                <w:color w:val="auto"/>
              </w:rPr>
              <w:t>0%</w:t>
            </w:r>
          </w:p>
        </w:tc>
        <w:tc>
          <w:tcPr>
            <w:tcW w:w="820" w:type="dxa"/>
            <w:vAlign w:val="bottom"/>
          </w:tcPr>
          <w:p>
            <w:pPr>
              <w:jc w:val="right"/>
              <w:spacing w:after="0" w:line="202" w:lineRule="exact"/>
              <w:rPr>
                <w:sz w:val="20"/>
                <w:szCs w:val="20"/>
                <w:color w:val="auto"/>
              </w:rPr>
            </w:pPr>
            <w:r>
              <w:rPr>
                <w:rFonts w:ascii="Arial" w:cs="Arial" w:eastAsia="Arial" w:hAnsi="Arial"/>
                <w:sz w:val="18"/>
                <w:szCs w:val="18"/>
                <w:color w:val="auto"/>
              </w:rPr>
              <w:t>0%</w:t>
            </w:r>
          </w:p>
        </w:tc>
        <w:tc>
          <w:tcPr>
            <w:tcW w:w="0" w:type="dxa"/>
            <w:vAlign w:val="bottom"/>
          </w:tcPr>
          <w:p>
            <w:pPr>
              <w:spacing w:after="0"/>
              <w:rPr>
                <w:sz w:val="1"/>
                <w:szCs w:val="1"/>
                <w:color w:val="auto"/>
              </w:rPr>
            </w:pPr>
          </w:p>
        </w:tc>
      </w:tr>
      <w:tr>
        <w:trPr>
          <w:trHeight w:val="203"/>
        </w:trPr>
        <w:tc>
          <w:tcPr>
            <w:tcW w:w="2300" w:type="dxa"/>
            <w:vAlign w:val="bottom"/>
          </w:tcPr>
          <w:p>
            <w:pPr>
              <w:spacing w:after="0" w:line="202" w:lineRule="exact"/>
              <w:rPr>
                <w:sz w:val="20"/>
                <w:szCs w:val="20"/>
                <w:color w:val="auto"/>
              </w:rPr>
            </w:pPr>
            <w:r>
              <w:rPr>
                <w:rFonts w:ascii="Arial" w:cs="Arial" w:eastAsia="Arial" w:hAnsi="Arial"/>
                <w:sz w:val="18"/>
                <w:szCs w:val="18"/>
                <w:color w:val="auto"/>
              </w:rPr>
              <w:t>Expected volatility</w:t>
            </w:r>
          </w:p>
        </w:tc>
        <w:tc>
          <w:tcPr>
            <w:tcW w:w="1340" w:type="dxa"/>
            <w:vAlign w:val="bottom"/>
          </w:tcPr>
          <w:p>
            <w:pPr>
              <w:jc w:val="right"/>
              <w:ind w:right="112"/>
              <w:spacing w:after="0" w:line="202" w:lineRule="exact"/>
              <w:rPr>
                <w:sz w:val="20"/>
                <w:szCs w:val="20"/>
                <w:color w:val="auto"/>
              </w:rPr>
            </w:pPr>
            <w:r>
              <w:rPr>
                <w:rFonts w:ascii="Arial" w:cs="Arial" w:eastAsia="Arial" w:hAnsi="Arial"/>
                <w:sz w:val="18"/>
                <w:szCs w:val="18"/>
                <w:b w:val="1"/>
                <w:bCs w:val="1"/>
                <w:color w:val="auto"/>
              </w:rPr>
              <w:t>26.9%</w:t>
            </w:r>
          </w:p>
        </w:tc>
        <w:tc>
          <w:tcPr>
            <w:tcW w:w="1020" w:type="dxa"/>
            <w:vAlign w:val="bottom"/>
          </w:tcPr>
          <w:p>
            <w:pPr>
              <w:jc w:val="right"/>
              <w:ind w:right="112"/>
              <w:spacing w:after="0" w:line="202" w:lineRule="exact"/>
              <w:rPr>
                <w:sz w:val="20"/>
                <w:szCs w:val="20"/>
                <w:color w:val="auto"/>
              </w:rPr>
            </w:pPr>
            <w:r>
              <w:rPr>
                <w:rFonts w:ascii="Arial" w:cs="Arial" w:eastAsia="Arial" w:hAnsi="Arial"/>
                <w:sz w:val="18"/>
                <w:szCs w:val="18"/>
                <w:color w:val="auto"/>
              </w:rPr>
              <w:t>27.1%</w:t>
            </w:r>
          </w:p>
        </w:tc>
        <w:tc>
          <w:tcPr>
            <w:tcW w:w="820" w:type="dxa"/>
            <w:vAlign w:val="bottom"/>
          </w:tcPr>
          <w:p>
            <w:pPr>
              <w:jc w:val="right"/>
              <w:spacing w:after="0" w:line="202" w:lineRule="exact"/>
              <w:rPr>
                <w:sz w:val="20"/>
                <w:szCs w:val="20"/>
                <w:color w:val="auto"/>
              </w:rPr>
            </w:pPr>
            <w:r>
              <w:rPr>
                <w:rFonts w:ascii="Arial" w:cs="Arial" w:eastAsia="Arial" w:hAnsi="Arial"/>
                <w:sz w:val="18"/>
                <w:szCs w:val="18"/>
                <w:color w:val="auto"/>
              </w:rPr>
              <w:t>28.6%</w:t>
            </w:r>
          </w:p>
        </w:tc>
        <w:tc>
          <w:tcPr>
            <w:tcW w:w="0" w:type="dxa"/>
            <w:vAlign w:val="bottom"/>
          </w:tcPr>
          <w:p>
            <w:pPr>
              <w:spacing w:after="0"/>
              <w:rPr>
                <w:sz w:val="1"/>
                <w:szCs w:val="1"/>
                <w:color w:val="auto"/>
              </w:rPr>
            </w:pPr>
          </w:p>
        </w:tc>
      </w:tr>
      <w:tr>
        <w:trPr>
          <w:trHeight w:val="225"/>
        </w:trPr>
        <w:tc>
          <w:tcPr>
            <w:tcW w:w="2300" w:type="dxa"/>
            <w:vAlign w:val="bottom"/>
          </w:tcPr>
          <w:p>
            <w:pPr>
              <w:spacing w:after="0"/>
              <w:rPr>
                <w:sz w:val="20"/>
                <w:szCs w:val="20"/>
                <w:color w:val="auto"/>
              </w:rPr>
            </w:pPr>
            <w:r>
              <w:rPr>
                <w:rFonts w:ascii="Arial" w:cs="Arial" w:eastAsia="Arial" w:hAnsi="Arial"/>
                <w:sz w:val="18"/>
                <w:szCs w:val="18"/>
                <w:color w:val="auto"/>
              </w:rPr>
              <w:t>Risk-free interest rate</w:t>
            </w:r>
          </w:p>
        </w:tc>
        <w:tc>
          <w:tcPr>
            <w:tcW w:w="1340" w:type="dxa"/>
            <w:vAlign w:val="bottom"/>
          </w:tcPr>
          <w:p>
            <w:pPr>
              <w:jc w:val="right"/>
              <w:ind w:right="112"/>
              <w:spacing w:after="0"/>
              <w:rPr>
                <w:sz w:val="20"/>
                <w:szCs w:val="20"/>
                <w:color w:val="auto"/>
              </w:rPr>
            </w:pPr>
            <w:r>
              <w:rPr>
                <w:rFonts w:ascii="Arial" w:cs="Arial" w:eastAsia="Arial" w:hAnsi="Arial"/>
                <w:sz w:val="18"/>
                <w:szCs w:val="18"/>
                <w:b w:val="1"/>
                <w:bCs w:val="1"/>
                <w:color w:val="auto"/>
              </w:rPr>
              <w:t>4.8%</w:t>
            </w:r>
          </w:p>
        </w:tc>
        <w:tc>
          <w:tcPr>
            <w:tcW w:w="1020" w:type="dxa"/>
            <w:vAlign w:val="bottom"/>
          </w:tcPr>
          <w:p>
            <w:pPr>
              <w:jc w:val="right"/>
              <w:ind w:right="112"/>
              <w:spacing w:after="0"/>
              <w:rPr>
                <w:sz w:val="20"/>
                <w:szCs w:val="20"/>
                <w:color w:val="auto"/>
              </w:rPr>
            </w:pPr>
            <w:r>
              <w:rPr>
                <w:rFonts w:ascii="Arial" w:cs="Arial" w:eastAsia="Arial" w:hAnsi="Arial"/>
                <w:sz w:val="18"/>
                <w:szCs w:val="18"/>
                <w:color w:val="auto"/>
              </w:rPr>
              <w:t>4.3%</w:t>
            </w:r>
          </w:p>
        </w:tc>
        <w:tc>
          <w:tcPr>
            <w:tcW w:w="820" w:type="dxa"/>
            <w:vAlign w:val="bottom"/>
          </w:tcPr>
          <w:p>
            <w:pPr>
              <w:jc w:val="right"/>
              <w:spacing w:after="0"/>
              <w:rPr>
                <w:sz w:val="20"/>
                <w:szCs w:val="20"/>
                <w:color w:val="auto"/>
              </w:rPr>
            </w:pPr>
            <w:r>
              <w:rPr>
                <w:rFonts w:ascii="Arial" w:cs="Arial" w:eastAsia="Arial" w:hAnsi="Arial"/>
                <w:sz w:val="18"/>
                <w:szCs w:val="18"/>
                <w:color w:val="auto"/>
              </w:rPr>
              <w:t>3.5%</w:t>
            </w:r>
          </w:p>
        </w:tc>
        <w:tc>
          <w:tcPr>
            <w:tcW w:w="0" w:type="dxa"/>
            <w:vAlign w:val="bottom"/>
          </w:tcPr>
          <w:p>
            <w:pPr>
              <w:spacing w:after="0"/>
              <w:rPr>
                <w:sz w:val="1"/>
                <w:szCs w:val="1"/>
                <w:color w:val="auto"/>
              </w:rPr>
            </w:pPr>
          </w:p>
        </w:tc>
      </w:tr>
      <w:tr>
        <w:trPr>
          <w:trHeight w:val="203"/>
        </w:trPr>
        <w:tc>
          <w:tcPr>
            <w:tcW w:w="2300" w:type="dxa"/>
            <w:vAlign w:val="bottom"/>
          </w:tcPr>
          <w:p>
            <w:pPr>
              <w:spacing w:after="0" w:line="202" w:lineRule="exact"/>
              <w:rPr>
                <w:sz w:val="20"/>
                <w:szCs w:val="20"/>
                <w:color w:val="auto"/>
              </w:rPr>
            </w:pPr>
            <w:r>
              <w:rPr>
                <w:rFonts w:ascii="Arial" w:cs="Arial" w:eastAsia="Arial" w:hAnsi="Arial"/>
                <w:sz w:val="18"/>
                <w:szCs w:val="18"/>
                <w:color w:val="auto"/>
              </w:rPr>
              <w:t>Expected option life (in</w:t>
            </w:r>
          </w:p>
        </w:tc>
        <w:tc>
          <w:tcPr>
            <w:tcW w:w="1340" w:type="dxa"/>
            <w:vAlign w:val="bottom"/>
            <w:vMerge w:val="restart"/>
          </w:tcPr>
          <w:p>
            <w:pPr>
              <w:jc w:val="right"/>
              <w:ind w:right="272"/>
              <w:spacing w:after="0"/>
              <w:rPr>
                <w:sz w:val="20"/>
                <w:szCs w:val="20"/>
                <w:color w:val="auto"/>
              </w:rPr>
            </w:pPr>
            <w:r>
              <w:rPr>
                <w:rFonts w:ascii="Arial" w:cs="Arial" w:eastAsia="Arial" w:hAnsi="Arial"/>
                <w:sz w:val="18"/>
                <w:szCs w:val="18"/>
                <w:b w:val="1"/>
                <w:bCs w:val="1"/>
                <w:color w:val="auto"/>
              </w:rPr>
              <w:t>7.0</w:t>
            </w:r>
          </w:p>
        </w:tc>
        <w:tc>
          <w:tcPr>
            <w:tcW w:w="102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9"/>
        </w:trPr>
        <w:tc>
          <w:tcPr>
            <w:tcW w:w="2300" w:type="dxa"/>
            <w:vAlign w:val="bottom"/>
            <w:tcBorders>
              <w:bottom w:val="single" w:sz="8" w:color="35BF85"/>
            </w:tcBorders>
          </w:tcPr>
          <w:p>
            <w:pPr>
              <w:ind w:left="220"/>
              <w:spacing w:after="0" w:line="200" w:lineRule="exact"/>
              <w:rPr>
                <w:sz w:val="20"/>
                <w:szCs w:val="20"/>
                <w:color w:val="auto"/>
              </w:rPr>
            </w:pPr>
            <w:r>
              <w:rPr>
                <w:rFonts w:ascii="Arial" w:cs="Arial" w:eastAsia="Arial" w:hAnsi="Arial"/>
                <w:sz w:val="18"/>
                <w:szCs w:val="18"/>
                <w:color w:val="auto"/>
              </w:rPr>
              <w:t>years)</w:t>
            </w:r>
          </w:p>
        </w:tc>
        <w:tc>
          <w:tcPr>
            <w:tcW w:w="1340" w:type="dxa"/>
            <w:vAlign w:val="bottom"/>
            <w:tcBorders>
              <w:bottom w:val="single" w:sz="8" w:color="35BF85"/>
            </w:tcBorders>
            <w:vMerge w:val="continue"/>
          </w:tcPr>
          <w:p>
            <w:pPr>
              <w:spacing w:after="0"/>
              <w:rPr>
                <w:sz w:val="17"/>
                <w:szCs w:val="17"/>
                <w:color w:val="auto"/>
              </w:rPr>
            </w:pPr>
          </w:p>
        </w:tc>
        <w:tc>
          <w:tcPr>
            <w:tcW w:w="1020" w:type="dxa"/>
            <w:vAlign w:val="bottom"/>
            <w:tcBorders>
              <w:bottom w:val="single" w:sz="8" w:color="35BF85"/>
            </w:tcBorders>
          </w:tcPr>
          <w:p>
            <w:pPr>
              <w:jc w:val="right"/>
              <w:ind w:right="272"/>
              <w:spacing w:after="0" w:line="200" w:lineRule="exact"/>
              <w:rPr>
                <w:sz w:val="20"/>
                <w:szCs w:val="20"/>
                <w:color w:val="auto"/>
              </w:rPr>
            </w:pPr>
            <w:r>
              <w:rPr>
                <w:rFonts w:ascii="Arial" w:cs="Arial" w:eastAsia="Arial" w:hAnsi="Arial"/>
                <w:sz w:val="18"/>
                <w:szCs w:val="18"/>
                <w:color w:val="auto"/>
              </w:rPr>
              <w:t>7.0</w:t>
            </w:r>
          </w:p>
        </w:tc>
        <w:tc>
          <w:tcPr>
            <w:tcW w:w="820" w:type="dxa"/>
            <w:vAlign w:val="bottom"/>
            <w:tcBorders>
              <w:bottom w:val="single" w:sz="8" w:color="35BF85"/>
            </w:tcBorders>
          </w:tcPr>
          <w:p>
            <w:pPr>
              <w:jc w:val="right"/>
              <w:ind w:right="72"/>
              <w:spacing w:after="0" w:line="200" w:lineRule="exact"/>
              <w:rPr>
                <w:sz w:val="20"/>
                <w:szCs w:val="20"/>
                <w:color w:val="auto"/>
              </w:rPr>
            </w:pPr>
            <w:r>
              <w:rPr>
                <w:rFonts w:ascii="Arial" w:cs="Arial" w:eastAsia="Arial" w:hAnsi="Arial"/>
                <w:sz w:val="18"/>
                <w:szCs w:val="18"/>
                <w:color w:val="auto"/>
              </w:rPr>
              <w:t>7.0</w:t>
            </w:r>
          </w:p>
        </w:tc>
        <w:tc>
          <w:tcPr>
            <w:tcW w:w="0" w:type="dxa"/>
            <w:vAlign w:val="bottom"/>
          </w:tcPr>
          <w:p>
            <w:pPr>
              <w:spacing w:after="0"/>
              <w:rPr>
                <w:sz w:val="1"/>
                <w:szCs w:val="1"/>
                <w:color w:val="auto"/>
              </w:rPr>
            </w:pPr>
          </w:p>
        </w:tc>
      </w:tr>
    </w:tbl>
    <w:p>
      <w:pPr>
        <w:spacing w:after="0" w:line="186" w:lineRule="exact"/>
        <w:rPr>
          <w:sz w:val="20"/>
          <w:szCs w:val="20"/>
          <w:color w:val="auto"/>
        </w:rPr>
      </w:pPr>
    </w:p>
    <w:p>
      <w:pPr>
        <w:sectPr>
          <w:pgSz w:w="11900" w:h="16838" w:orient="portrait"/>
          <w:cols w:equalWidth="0" w:num="2">
            <w:col w:w="5480" w:space="340"/>
            <w:col w:w="5600"/>
          </w:cols>
          <w:pgMar w:left="240" w:top="459" w:right="239" w:bottom="1440" w:gutter="0" w:footer="0" w:header="0"/>
          <w:type w:val="continuous"/>
        </w:sectPr>
      </w:pPr>
    </w:p>
    <w:tbl>
      <w:tblPr>
        <w:tblLayout w:type="fixed"/>
        <w:tblInd w:w="0" w:type="dxa"/>
        <w:tblCellMar>
          <w:top w:w="0" w:type="dxa"/>
          <w:left w:w="0" w:type="dxa"/>
          <w:bottom w:w="0" w:type="dxa"/>
          <w:right w:w="0" w:type="dxa"/>
        </w:tblCellMar>
      </w:tblPr>
      <w:tr>
        <w:trPr>
          <w:trHeight w:val="178"/>
        </w:trPr>
        <w:tc>
          <w:tcPr>
            <w:tcW w:w="5160" w:type="dxa"/>
            <w:vAlign w:val="bottom"/>
          </w:tcPr>
          <w:p>
            <w:pPr>
              <w:spacing w:after="0"/>
              <w:rPr>
                <w:sz w:val="20"/>
                <w:szCs w:val="20"/>
                <w:color w:val="auto"/>
              </w:rPr>
            </w:pPr>
            <w:r>
              <w:rPr>
                <w:rFonts w:ascii="Arial" w:cs="Arial" w:eastAsia="Arial" w:hAnsi="Arial"/>
                <w:sz w:val="14"/>
                <w:szCs w:val="14"/>
                <w:b w:val="1"/>
                <w:bCs w:val="1"/>
                <w:color w:val="auto"/>
              </w:rPr>
              <w:t xml:space="preserve">Notes to Consolidated Financial Statements </w:t>
            </w:r>
            <w:r>
              <w:rPr>
                <w:rFonts w:ascii="Arial" w:cs="Arial" w:eastAsia="Arial" w:hAnsi="Arial"/>
                <w:sz w:val="14"/>
                <w:szCs w:val="14"/>
                <w:color w:val="auto"/>
              </w:rPr>
              <w:t>Comcast 2006 Annual Report</w:t>
            </w:r>
          </w:p>
        </w:tc>
        <w:tc>
          <w:tcPr>
            <w:tcW w:w="680" w:type="dxa"/>
            <w:vAlign w:val="bottom"/>
          </w:tcPr>
          <w:p>
            <w:pPr>
              <w:jc w:val="right"/>
              <w:spacing w:after="0"/>
              <w:rPr>
                <w:sz w:val="20"/>
                <w:szCs w:val="20"/>
                <w:color w:val="auto"/>
              </w:rPr>
            </w:pPr>
            <w:r>
              <w:rPr>
                <w:rFonts w:ascii="Arial" w:cs="Arial" w:eastAsia="Arial" w:hAnsi="Arial"/>
                <w:sz w:val="14"/>
                <w:szCs w:val="14"/>
                <w:b w:val="1"/>
                <w:bCs w:val="1"/>
                <w:color w:val="auto"/>
              </w:rPr>
              <w:t>58</w:t>
            </w:r>
          </w:p>
        </w:tc>
      </w:tr>
    </w:tbl>
    <w:p>
      <w:pPr>
        <w:sectPr>
          <w:pgSz w:w="11900" w:h="16838" w:orient="portrait"/>
          <w:cols w:equalWidth="0" w:num="1">
            <w:col w:w="11420"/>
          </w:cols>
          <w:pgMar w:left="240" w:top="459" w:right="239" w:bottom="1440" w:gutter="0" w:footer="0" w:header="0"/>
          <w:type w:val="continuous"/>
        </w:sectPr>
      </w:pPr>
    </w:p>
    <w:bookmarkStart w:id="135" w:name="page136"/>
    <w:bookmarkEnd w:id="13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203" name="Picture 2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3"/>
                    <pic:cNvPicPr>
                      <a:picLocks noChangeAspect="1" noChangeArrowheads="1"/>
                    </pic:cNvPicPr>
                  </pic:nvPicPr>
                  <pic:blipFill>
                    <a:blip r:embed="rId210">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200" w:lineRule="exact"/>
        <w:rPr>
          <w:sz w:val="20"/>
          <w:szCs w:val="20"/>
          <w:color w:val="auto"/>
        </w:rPr>
      </w:pPr>
    </w:p>
    <w:p>
      <w:pPr>
        <w:spacing w:after="0" w:line="276" w:lineRule="exact"/>
        <w:rPr>
          <w:sz w:val="20"/>
          <w:szCs w:val="20"/>
          <w:color w:val="auto"/>
        </w:rPr>
      </w:pPr>
    </w:p>
    <w:p>
      <w:pPr>
        <w:spacing w:after="0"/>
        <w:rPr>
          <w:sz w:val="20"/>
          <w:szCs w:val="20"/>
          <w:color w:val="auto"/>
        </w:rPr>
      </w:pPr>
      <w:r>
        <w:rPr>
          <w:rFonts w:ascii="Arial" w:cs="Arial" w:eastAsia="Arial" w:hAnsi="Arial"/>
          <w:sz w:val="18"/>
          <w:szCs w:val="18"/>
          <w:color w:val="auto"/>
        </w:rPr>
        <w:t>The following table summarizes the activity of our stock option plans for the year ended December 31, 2006 (adjusted to reflect the Stock Split):</w:t>
      </w:r>
    </w:p>
    <w:p>
      <w:pPr>
        <w:spacing w:after="0" w:line="182"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4300" w:type="dxa"/>
            <w:vAlign w:val="bottom"/>
          </w:tcPr>
          <w:p>
            <w:pPr>
              <w:spacing w:after="0"/>
              <w:rPr>
                <w:sz w:val="14"/>
                <w:szCs w:val="14"/>
                <w:color w:val="auto"/>
              </w:rPr>
            </w:pPr>
          </w:p>
        </w:tc>
        <w:tc>
          <w:tcPr>
            <w:tcW w:w="254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1260" w:type="dxa"/>
            <w:vAlign w:val="bottom"/>
          </w:tcPr>
          <w:p>
            <w:pPr>
              <w:spacing w:after="0"/>
              <w:rPr>
                <w:sz w:val="14"/>
                <w:szCs w:val="14"/>
                <w:color w:val="auto"/>
              </w:rPr>
            </w:pPr>
          </w:p>
        </w:tc>
        <w:tc>
          <w:tcPr>
            <w:tcW w:w="1720" w:type="dxa"/>
            <w:vAlign w:val="bottom"/>
          </w:tcPr>
          <w:p>
            <w:pPr>
              <w:jc w:val="right"/>
              <w:ind w:right="222"/>
              <w:spacing w:after="0"/>
              <w:rPr>
                <w:sz w:val="20"/>
                <w:szCs w:val="20"/>
                <w:color w:val="auto"/>
              </w:rPr>
            </w:pPr>
            <w:r>
              <w:rPr>
                <w:rFonts w:ascii="Arial" w:cs="Arial" w:eastAsia="Arial" w:hAnsi="Arial"/>
                <w:sz w:val="14"/>
                <w:szCs w:val="14"/>
                <w:color w:val="auto"/>
              </w:rPr>
              <w:t>Weighted-Average</w:t>
            </w:r>
          </w:p>
        </w:tc>
        <w:tc>
          <w:tcPr>
            <w:tcW w:w="44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4300" w:type="dxa"/>
            <w:vAlign w:val="bottom"/>
          </w:tcPr>
          <w:p>
            <w:pPr>
              <w:spacing w:after="0"/>
              <w:rPr>
                <w:sz w:val="12"/>
                <w:szCs w:val="12"/>
                <w:color w:val="auto"/>
              </w:rPr>
            </w:pPr>
          </w:p>
        </w:tc>
        <w:tc>
          <w:tcPr>
            <w:tcW w:w="2540" w:type="dxa"/>
            <w:vAlign w:val="bottom"/>
            <w:vMerge w:val="restart"/>
          </w:tcPr>
          <w:p>
            <w:pPr>
              <w:jc w:val="right"/>
              <w:ind w:right="235"/>
              <w:spacing w:after="0"/>
              <w:rPr>
                <w:sz w:val="20"/>
                <w:szCs w:val="20"/>
                <w:color w:val="auto"/>
              </w:rPr>
            </w:pPr>
            <w:r>
              <w:rPr>
                <w:rFonts w:ascii="Arial" w:cs="Arial" w:eastAsia="Arial" w:hAnsi="Arial"/>
                <w:sz w:val="14"/>
                <w:szCs w:val="14"/>
                <w:color w:val="auto"/>
              </w:rPr>
              <w:t>Options</w:t>
            </w:r>
          </w:p>
        </w:tc>
        <w:tc>
          <w:tcPr>
            <w:tcW w:w="420" w:type="dxa"/>
            <w:vAlign w:val="bottom"/>
          </w:tcPr>
          <w:p>
            <w:pPr>
              <w:spacing w:after="0"/>
              <w:rPr>
                <w:sz w:val="12"/>
                <w:szCs w:val="12"/>
                <w:color w:val="auto"/>
              </w:rPr>
            </w:pPr>
          </w:p>
        </w:tc>
        <w:tc>
          <w:tcPr>
            <w:tcW w:w="1260" w:type="dxa"/>
            <w:vAlign w:val="bottom"/>
          </w:tcPr>
          <w:p>
            <w:pPr>
              <w:spacing w:after="0"/>
              <w:rPr>
                <w:sz w:val="12"/>
                <w:szCs w:val="12"/>
                <w:color w:val="auto"/>
              </w:rPr>
            </w:pPr>
          </w:p>
        </w:tc>
        <w:tc>
          <w:tcPr>
            <w:tcW w:w="1720" w:type="dxa"/>
            <w:vAlign w:val="bottom"/>
          </w:tcPr>
          <w:p>
            <w:pPr>
              <w:jc w:val="right"/>
              <w:ind w:right="222"/>
              <w:spacing w:after="0" w:line="149" w:lineRule="exact"/>
              <w:rPr>
                <w:sz w:val="20"/>
                <w:szCs w:val="20"/>
                <w:color w:val="auto"/>
              </w:rPr>
            </w:pPr>
            <w:r>
              <w:rPr>
                <w:rFonts w:ascii="Arial" w:cs="Arial" w:eastAsia="Arial" w:hAnsi="Arial"/>
                <w:sz w:val="14"/>
                <w:szCs w:val="14"/>
                <w:color w:val="auto"/>
              </w:rPr>
              <w:t>Remaining</w:t>
            </w:r>
          </w:p>
        </w:tc>
        <w:tc>
          <w:tcPr>
            <w:tcW w:w="440" w:type="dxa"/>
            <w:vAlign w:val="bottom"/>
          </w:tcPr>
          <w:p>
            <w:pPr>
              <w:spacing w:after="0"/>
              <w:rPr>
                <w:sz w:val="12"/>
                <w:szCs w:val="12"/>
                <w:color w:val="auto"/>
              </w:rPr>
            </w:pPr>
          </w:p>
        </w:tc>
        <w:tc>
          <w:tcPr>
            <w:tcW w:w="720" w:type="dxa"/>
            <w:vAlign w:val="bottom"/>
          </w:tcPr>
          <w:p>
            <w:pPr>
              <w:jc w:val="right"/>
              <w:spacing w:after="0" w:line="149" w:lineRule="exact"/>
              <w:rPr>
                <w:sz w:val="20"/>
                <w:szCs w:val="20"/>
                <w:color w:val="auto"/>
              </w:rPr>
            </w:pPr>
            <w:r>
              <w:rPr>
                <w:rFonts w:ascii="Arial" w:cs="Arial" w:eastAsia="Arial" w:hAnsi="Arial"/>
                <w:sz w:val="14"/>
                <w:szCs w:val="14"/>
                <w:color w:val="auto"/>
              </w:rPr>
              <w:t>Aggregate</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4300" w:type="dxa"/>
            <w:vAlign w:val="bottom"/>
          </w:tcPr>
          <w:p>
            <w:pPr>
              <w:spacing w:after="0"/>
              <w:rPr>
                <w:sz w:val="11"/>
                <w:szCs w:val="11"/>
                <w:color w:val="auto"/>
              </w:rPr>
            </w:pPr>
          </w:p>
        </w:tc>
        <w:tc>
          <w:tcPr>
            <w:tcW w:w="2540" w:type="dxa"/>
            <w:vAlign w:val="bottom"/>
            <w:vMerge w:val="continue"/>
          </w:tcPr>
          <w:p>
            <w:pPr>
              <w:spacing w:after="0"/>
              <w:rPr>
                <w:sz w:val="11"/>
                <w:szCs w:val="11"/>
                <w:color w:val="auto"/>
              </w:rPr>
            </w:pPr>
          </w:p>
        </w:tc>
        <w:tc>
          <w:tcPr>
            <w:tcW w:w="1680" w:type="dxa"/>
            <w:vAlign w:val="bottom"/>
            <w:gridSpan w:val="2"/>
          </w:tcPr>
          <w:p>
            <w:pPr>
              <w:ind w:left="260"/>
              <w:spacing w:after="0" w:line="135" w:lineRule="exact"/>
              <w:rPr>
                <w:sz w:val="20"/>
                <w:szCs w:val="20"/>
                <w:color w:val="auto"/>
              </w:rPr>
            </w:pPr>
            <w:r>
              <w:rPr>
                <w:rFonts w:ascii="Arial" w:cs="Arial" w:eastAsia="Arial" w:hAnsi="Arial"/>
                <w:sz w:val="14"/>
                <w:szCs w:val="14"/>
                <w:color w:val="auto"/>
              </w:rPr>
              <w:t>Weighted-Average</w:t>
            </w:r>
          </w:p>
        </w:tc>
        <w:tc>
          <w:tcPr>
            <w:tcW w:w="1720" w:type="dxa"/>
            <w:vAlign w:val="bottom"/>
          </w:tcPr>
          <w:p>
            <w:pPr>
              <w:jc w:val="right"/>
              <w:ind w:right="222"/>
              <w:spacing w:after="0" w:line="135" w:lineRule="exact"/>
              <w:rPr>
                <w:sz w:val="20"/>
                <w:szCs w:val="20"/>
                <w:color w:val="auto"/>
              </w:rPr>
            </w:pPr>
            <w:r>
              <w:rPr>
                <w:rFonts w:ascii="Arial" w:cs="Arial" w:eastAsia="Arial" w:hAnsi="Arial"/>
                <w:sz w:val="14"/>
                <w:szCs w:val="14"/>
                <w:color w:val="auto"/>
              </w:rPr>
              <w:t>Contractual Term</w:t>
            </w:r>
          </w:p>
        </w:tc>
        <w:tc>
          <w:tcPr>
            <w:tcW w:w="1160" w:type="dxa"/>
            <w:vAlign w:val="bottom"/>
            <w:gridSpan w:val="2"/>
          </w:tcPr>
          <w:p>
            <w:pPr>
              <w:ind w:left="320"/>
              <w:spacing w:after="0" w:line="135" w:lineRule="exact"/>
              <w:rPr>
                <w:sz w:val="20"/>
                <w:szCs w:val="20"/>
                <w:color w:val="auto"/>
              </w:rPr>
            </w:pPr>
            <w:r>
              <w:rPr>
                <w:rFonts w:ascii="Arial" w:cs="Arial" w:eastAsia="Arial" w:hAnsi="Arial"/>
                <w:sz w:val="14"/>
                <w:szCs w:val="14"/>
                <w:color w:val="auto"/>
                <w:w w:val="93"/>
              </w:rPr>
              <w:t>Intrinsic Value</w:t>
            </w:r>
          </w:p>
        </w:tc>
        <w:tc>
          <w:tcPr>
            <w:tcW w:w="0" w:type="dxa"/>
            <w:vAlign w:val="bottom"/>
          </w:tcPr>
          <w:p>
            <w:pPr>
              <w:spacing w:after="0"/>
              <w:rPr>
                <w:sz w:val="1"/>
                <w:szCs w:val="1"/>
                <w:color w:val="auto"/>
              </w:rPr>
            </w:pPr>
          </w:p>
        </w:tc>
      </w:tr>
      <w:tr>
        <w:trPr>
          <w:trHeight w:val="163"/>
        </w:trPr>
        <w:tc>
          <w:tcPr>
            <w:tcW w:w="20" w:type="dxa"/>
            <w:vAlign w:val="bottom"/>
          </w:tcPr>
          <w:p>
            <w:pPr>
              <w:spacing w:after="0"/>
              <w:rPr>
                <w:sz w:val="14"/>
                <w:szCs w:val="14"/>
                <w:color w:val="auto"/>
              </w:rPr>
            </w:pPr>
          </w:p>
        </w:tc>
        <w:tc>
          <w:tcPr>
            <w:tcW w:w="4300" w:type="dxa"/>
            <w:vAlign w:val="bottom"/>
            <w:tcBorders>
              <w:bottom w:val="single" w:sz="8" w:color="auto"/>
            </w:tcBorders>
          </w:tcPr>
          <w:p>
            <w:pPr>
              <w:spacing w:after="0"/>
              <w:rPr>
                <w:sz w:val="14"/>
                <w:szCs w:val="14"/>
                <w:color w:val="auto"/>
              </w:rPr>
            </w:pPr>
          </w:p>
        </w:tc>
        <w:tc>
          <w:tcPr>
            <w:tcW w:w="2540" w:type="dxa"/>
            <w:vAlign w:val="bottom"/>
            <w:tcBorders>
              <w:bottom w:val="single" w:sz="8" w:color="auto"/>
            </w:tcBorders>
          </w:tcPr>
          <w:p>
            <w:pPr>
              <w:jc w:val="right"/>
              <w:ind w:right="235"/>
              <w:spacing w:after="0"/>
              <w:rPr>
                <w:sz w:val="20"/>
                <w:szCs w:val="20"/>
                <w:color w:val="auto"/>
              </w:rPr>
            </w:pPr>
            <w:r>
              <w:rPr>
                <w:rFonts w:ascii="Arial" w:cs="Arial" w:eastAsia="Arial" w:hAnsi="Arial"/>
                <w:sz w:val="14"/>
                <w:szCs w:val="14"/>
                <w:color w:val="auto"/>
              </w:rPr>
              <w:t>(in thousands)</w:t>
            </w:r>
          </w:p>
        </w:tc>
        <w:tc>
          <w:tcPr>
            <w:tcW w:w="420" w:type="dxa"/>
            <w:vAlign w:val="bottom"/>
            <w:tcBorders>
              <w:bottom w:val="single" w:sz="8" w:color="auto"/>
            </w:tcBorders>
          </w:tcPr>
          <w:p>
            <w:pPr>
              <w:spacing w:after="0"/>
              <w:rPr>
                <w:sz w:val="14"/>
                <w:szCs w:val="14"/>
                <w:color w:val="auto"/>
              </w:rPr>
            </w:pPr>
          </w:p>
        </w:tc>
        <w:tc>
          <w:tcPr>
            <w:tcW w:w="1260" w:type="dxa"/>
            <w:vAlign w:val="bottom"/>
            <w:tcBorders>
              <w:bottom w:val="single" w:sz="8" w:color="auto"/>
            </w:tcBorders>
          </w:tcPr>
          <w:p>
            <w:pPr>
              <w:jc w:val="right"/>
              <w:ind w:right="214"/>
              <w:spacing w:after="0"/>
              <w:rPr>
                <w:sz w:val="20"/>
                <w:szCs w:val="20"/>
                <w:color w:val="auto"/>
              </w:rPr>
            </w:pPr>
            <w:r>
              <w:rPr>
                <w:rFonts w:ascii="Arial" w:cs="Arial" w:eastAsia="Arial" w:hAnsi="Arial"/>
                <w:sz w:val="14"/>
                <w:szCs w:val="14"/>
                <w:color w:val="auto"/>
              </w:rPr>
              <w:t>Exercise Price</w:t>
            </w:r>
          </w:p>
        </w:tc>
        <w:tc>
          <w:tcPr>
            <w:tcW w:w="1720" w:type="dxa"/>
            <w:vAlign w:val="bottom"/>
            <w:tcBorders>
              <w:bottom w:val="single" w:sz="8" w:color="auto"/>
            </w:tcBorders>
          </w:tcPr>
          <w:p>
            <w:pPr>
              <w:jc w:val="right"/>
              <w:ind w:right="222"/>
              <w:spacing w:after="0"/>
              <w:rPr>
                <w:sz w:val="20"/>
                <w:szCs w:val="20"/>
                <w:color w:val="auto"/>
              </w:rPr>
            </w:pPr>
            <w:r>
              <w:rPr>
                <w:rFonts w:ascii="Arial" w:cs="Arial" w:eastAsia="Arial" w:hAnsi="Arial"/>
                <w:sz w:val="14"/>
                <w:szCs w:val="14"/>
                <w:color w:val="auto"/>
              </w:rPr>
              <w:t>(in years)</w:t>
            </w:r>
          </w:p>
        </w:tc>
        <w:tc>
          <w:tcPr>
            <w:tcW w:w="440" w:type="dxa"/>
            <w:vAlign w:val="bottom"/>
            <w:tcBorders>
              <w:bottom w:val="single" w:sz="8" w:color="auto"/>
            </w:tcBorders>
          </w:tcPr>
          <w:p>
            <w:pPr>
              <w:spacing w:after="0"/>
              <w:rPr>
                <w:sz w:val="14"/>
                <w:szCs w:val="14"/>
                <w:color w:val="auto"/>
              </w:rPr>
            </w:pPr>
          </w:p>
        </w:tc>
        <w:tc>
          <w:tcPr>
            <w:tcW w:w="72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w w:val="98"/>
              </w:rPr>
              <w:t>(in millions)</w:t>
            </w:r>
          </w:p>
        </w:tc>
        <w:tc>
          <w:tcPr>
            <w:tcW w:w="0" w:type="dxa"/>
            <w:vAlign w:val="bottom"/>
          </w:tcPr>
          <w:p>
            <w:pPr>
              <w:spacing w:after="0"/>
              <w:rPr>
                <w:sz w:val="1"/>
                <w:szCs w:val="1"/>
                <w:color w:val="auto"/>
              </w:rPr>
            </w:pPr>
          </w:p>
        </w:tc>
      </w:tr>
      <w:tr>
        <w:trPr>
          <w:trHeight w:val="199"/>
        </w:trPr>
        <w:tc>
          <w:tcPr>
            <w:tcW w:w="20" w:type="dxa"/>
            <w:vAlign w:val="bottom"/>
          </w:tcPr>
          <w:p>
            <w:pPr>
              <w:spacing w:after="0"/>
              <w:rPr>
                <w:sz w:val="17"/>
                <w:szCs w:val="17"/>
                <w:color w:val="auto"/>
              </w:rPr>
            </w:pPr>
          </w:p>
        </w:tc>
        <w:tc>
          <w:tcPr>
            <w:tcW w:w="4300" w:type="dxa"/>
            <w:vAlign w:val="bottom"/>
          </w:tcPr>
          <w:p>
            <w:pPr>
              <w:spacing w:after="0" w:line="200" w:lineRule="exact"/>
              <w:rPr>
                <w:sz w:val="20"/>
                <w:szCs w:val="20"/>
                <w:color w:val="auto"/>
              </w:rPr>
            </w:pPr>
            <w:r>
              <w:rPr>
                <w:rFonts w:ascii="Arial" w:cs="Arial" w:eastAsia="Arial" w:hAnsi="Arial"/>
                <w:sz w:val="18"/>
                <w:szCs w:val="18"/>
                <w:b w:val="1"/>
                <w:bCs w:val="1"/>
                <w:color w:val="auto"/>
              </w:rPr>
              <w:t>Class A Common Stock</w:t>
            </w:r>
          </w:p>
        </w:tc>
        <w:tc>
          <w:tcPr>
            <w:tcW w:w="254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1260" w:type="dxa"/>
            <w:vAlign w:val="bottom"/>
          </w:tcPr>
          <w:p>
            <w:pPr>
              <w:spacing w:after="0"/>
              <w:rPr>
                <w:sz w:val="17"/>
                <w:szCs w:val="17"/>
                <w:color w:val="auto"/>
              </w:rPr>
            </w:pPr>
          </w:p>
        </w:tc>
        <w:tc>
          <w:tcPr>
            <w:tcW w:w="172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4320" w:type="dxa"/>
            <w:vAlign w:val="bottom"/>
            <w:gridSpan w:val="2"/>
          </w:tcPr>
          <w:p>
            <w:pPr>
              <w:spacing w:after="0" w:line="202" w:lineRule="exact"/>
              <w:rPr>
                <w:sz w:val="20"/>
                <w:szCs w:val="20"/>
                <w:color w:val="auto"/>
              </w:rPr>
            </w:pPr>
            <w:r>
              <w:rPr>
                <w:rFonts w:ascii="Arial" w:cs="Arial" w:eastAsia="Arial" w:hAnsi="Arial"/>
                <w:sz w:val="18"/>
                <w:szCs w:val="18"/>
                <w:color w:val="auto"/>
              </w:rPr>
              <w:t>Outstanding as of January 1, 2006</w:t>
            </w:r>
          </w:p>
        </w:tc>
        <w:tc>
          <w:tcPr>
            <w:tcW w:w="2540" w:type="dxa"/>
            <w:vAlign w:val="bottom"/>
          </w:tcPr>
          <w:p>
            <w:pPr>
              <w:jc w:val="right"/>
              <w:ind w:right="235"/>
              <w:spacing w:after="0" w:line="202" w:lineRule="exact"/>
              <w:rPr>
                <w:sz w:val="20"/>
                <w:szCs w:val="20"/>
                <w:color w:val="auto"/>
              </w:rPr>
            </w:pPr>
            <w:r>
              <w:rPr>
                <w:rFonts w:ascii="Arial" w:cs="Arial" w:eastAsia="Arial" w:hAnsi="Arial"/>
                <w:sz w:val="18"/>
                <w:szCs w:val="18"/>
                <w:color w:val="auto"/>
              </w:rPr>
              <w:t>121,240</w:t>
            </w:r>
          </w:p>
        </w:tc>
        <w:tc>
          <w:tcPr>
            <w:tcW w:w="420" w:type="dxa"/>
            <w:vAlign w:val="bottom"/>
          </w:tcPr>
          <w:p>
            <w:pPr>
              <w:ind w:left="260"/>
              <w:spacing w:after="0" w:line="202" w:lineRule="exact"/>
              <w:rPr>
                <w:sz w:val="20"/>
                <w:szCs w:val="20"/>
                <w:color w:val="auto"/>
              </w:rPr>
            </w:pPr>
            <w:r>
              <w:rPr>
                <w:rFonts w:ascii="Arial" w:cs="Arial" w:eastAsia="Arial" w:hAnsi="Arial"/>
                <w:sz w:val="18"/>
                <w:szCs w:val="18"/>
                <w:color w:val="auto"/>
              </w:rPr>
              <w:t>$</w:t>
            </w:r>
          </w:p>
        </w:tc>
        <w:tc>
          <w:tcPr>
            <w:tcW w:w="1260" w:type="dxa"/>
            <w:vAlign w:val="bottom"/>
          </w:tcPr>
          <w:p>
            <w:pPr>
              <w:jc w:val="right"/>
              <w:ind w:right="214"/>
              <w:spacing w:after="0" w:line="202" w:lineRule="exact"/>
              <w:rPr>
                <w:sz w:val="20"/>
                <w:szCs w:val="20"/>
                <w:color w:val="auto"/>
              </w:rPr>
            </w:pPr>
            <w:r>
              <w:rPr>
                <w:rFonts w:ascii="Arial" w:cs="Arial" w:eastAsia="Arial" w:hAnsi="Arial"/>
                <w:sz w:val="18"/>
                <w:szCs w:val="18"/>
                <w:color w:val="auto"/>
              </w:rPr>
              <w:t>24.73</w:t>
            </w:r>
          </w:p>
        </w:tc>
        <w:tc>
          <w:tcPr>
            <w:tcW w:w="172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4320" w:type="dxa"/>
            <w:vAlign w:val="bottom"/>
            <w:gridSpan w:val="2"/>
          </w:tcPr>
          <w:p>
            <w:pPr>
              <w:spacing w:after="0" w:line="202" w:lineRule="exact"/>
              <w:rPr>
                <w:sz w:val="20"/>
                <w:szCs w:val="20"/>
                <w:color w:val="auto"/>
              </w:rPr>
            </w:pPr>
            <w:r>
              <w:rPr>
                <w:rFonts w:ascii="Arial" w:cs="Arial" w:eastAsia="Arial" w:hAnsi="Arial"/>
                <w:sz w:val="18"/>
                <w:szCs w:val="18"/>
                <w:color w:val="auto"/>
              </w:rPr>
              <w:t>Granted</w:t>
            </w:r>
          </w:p>
        </w:tc>
        <w:tc>
          <w:tcPr>
            <w:tcW w:w="2540" w:type="dxa"/>
            <w:vAlign w:val="bottom"/>
          </w:tcPr>
          <w:p>
            <w:pPr>
              <w:jc w:val="right"/>
              <w:ind w:right="235"/>
              <w:spacing w:after="0" w:line="202" w:lineRule="exact"/>
              <w:rPr>
                <w:sz w:val="20"/>
                <w:szCs w:val="20"/>
                <w:color w:val="auto"/>
              </w:rPr>
            </w:pPr>
            <w:r>
              <w:rPr>
                <w:rFonts w:ascii="Arial" w:cs="Arial" w:eastAsia="Arial" w:hAnsi="Arial"/>
                <w:sz w:val="18"/>
                <w:szCs w:val="18"/>
                <w:color w:val="auto"/>
              </w:rPr>
              <w:t>18,594</w:t>
            </w:r>
          </w:p>
        </w:tc>
        <w:tc>
          <w:tcPr>
            <w:tcW w:w="420" w:type="dxa"/>
            <w:vAlign w:val="bottom"/>
          </w:tcPr>
          <w:p>
            <w:pPr>
              <w:ind w:left="260"/>
              <w:spacing w:after="0" w:line="202" w:lineRule="exact"/>
              <w:rPr>
                <w:sz w:val="20"/>
                <w:szCs w:val="20"/>
                <w:color w:val="auto"/>
              </w:rPr>
            </w:pPr>
            <w:r>
              <w:rPr>
                <w:rFonts w:ascii="Arial" w:cs="Arial" w:eastAsia="Arial" w:hAnsi="Arial"/>
                <w:sz w:val="18"/>
                <w:szCs w:val="18"/>
                <w:color w:val="auto"/>
              </w:rPr>
              <w:t>$</w:t>
            </w:r>
          </w:p>
        </w:tc>
        <w:tc>
          <w:tcPr>
            <w:tcW w:w="1260" w:type="dxa"/>
            <w:vAlign w:val="bottom"/>
          </w:tcPr>
          <w:p>
            <w:pPr>
              <w:jc w:val="right"/>
              <w:ind w:right="214"/>
              <w:spacing w:after="0" w:line="202" w:lineRule="exact"/>
              <w:rPr>
                <w:sz w:val="20"/>
                <w:szCs w:val="20"/>
                <w:color w:val="auto"/>
              </w:rPr>
            </w:pPr>
            <w:r>
              <w:rPr>
                <w:rFonts w:ascii="Arial" w:cs="Arial" w:eastAsia="Arial" w:hAnsi="Arial"/>
                <w:sz w:val="18"/>
                <w:szCs w:val="18"/>
                <w:color w:val="auto"/>
              </w:rPr>
              <w:t>18.12</w:t>
            </w:r>
          </w:p>
        </w:tc>
        <w:tc>
          <w:tcPr>
            <w:tcW w:w="172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4320" w:type="dxa"/>
            <w:vAlign w:val="bottom"/>
            <w:gridSpan w:val="2"/>
          </w:tcPr>
          <w:p>
            <w:pPr>
              <w:spacing w:after="0" w:line="202" w:lineRule="exact"/>
              <w:rPr>
                <w:sz w:val="20"/>
                <w:szCs w:val="20"/>
                <w:color w:val="auto"/>
              </w:rPr>
            </w:pPr>
            <w:r>
              <w:rPr>
                <w:rFonts w:ascii="Arial" w:cs="Arial" w:eastAsia="Arial" w:hAnsi="Arial"/>
                <w:sz w:val="18"/>
                <w:szCs w:val="18"/>
                <w:color w:val="auto"/>
              </w:rPr>
              <w:t>Exercised</w:t>
            </w:r>
          </w:p>
        </w:tc>
        <w:tc>
          <w:tcPr>
            <w:tcW w:w="2540" w:type="dxa"/>
            <w:vAlign w:val="bottom"/>
          </w:tcPr>
          <w:p>
            <w:pPr>
              <w:jc w:val="right"/>
              <w:ind w:right="195"/>
              <w:spacing w:after="0" w:line="202" w:lineRule="exact"/>
              <w:rPr>
                <w:sz w:val="20"/>
                <w:szCs w:val="20"/>
                <w:color w:val="auto"/>
              </w:rPr>
            </w:pPr>
            <w:r>
              <w:rPr>
                <w:rFonts w:ascii="Arial" w:cs="Arial" w:eastAsia="Arial" w:hAnsi="Arial"/>
                <w:sz w:val="18"/>
                <w:szCs w:val="18"/>
                <w:color w:val="auto"/>
              </w:rPr>
              <w:t>(12,222)</w:t>
            </w:r>
          </w:p>
        </w:tc>
        <w:tc>
          <w:tcPr>
            <w:tcW w:w="420" w:type="dxa"/>
            <w:vAlign w:val="bottom"/>
          </w:tcPr>
          <w:p>
            <w:pPr>
              <w:ind w:left="260"/>
              <w:spacing w:after="0" w:line="202" w:lineRule="exact"/>
              <w:rPr>
                <w:sz w:val="20"/>
                <w:szCs w:val="20"/>
                <w:color w:val="auto"/>
              </w:rPr>
            </w:pPr>
            <w:r>
              <w:rPr>
                <w:rFonts w:ascii="Arial" w:cs="Arial" w:eastAsia="Arial" w:hAnsi="Arial"/>
                <w:sz w:val="18"/>
                <w:szCs w:val="18"/>
                <w:color w:val="auto"/>
              </w:rPr>
              <w:t>$</w:t>
            </w:r>
          </w:p>
        </w:tc>
        <w:tc>
          <w:tcPr>
            <w:tcW w:w="1260" w:type="dxa"/>
            <w:vAlign w:val="bottom"/>
          </w:tcPr>
          <w:p>
            <w:pPr>
              <w:jc w:val="right"/>
              <w:ind w:right="214"/>
              <w:spacing w:after="0" w:line="202" w:lineRule="exact"/>
              <w:rPr>
                <w:sz w:val="20"/>
                <w:szCs w:val="20"/>
                <w:color w:val="auto"/>
              </w:rPr>
            </w:pPr>
            <w:r>
              <w:rPr>
                <w:rFonts w:ascii="Arial" w:cs="Arial" w:eastAsia="Arial" w:hAnsi="Arial"/>
                <w:sz w:val="18"/>
                <w:szCs w:val="18"/>
                <w:color w:val="auto"/>
              </w:rPr>
              <w:t>19.18</w:t>
            </w:r>
          </w:p>
        </w:tc>
        <w:tc>
          <w:tcPr>
            <w:tcW w:w="172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4320" w:type="dxa"/>
            <w:vAlign w:val="bottom"/>
            <w:gridSpan w:val="2"/>
          </w:tcPr>
          <w:p>
            <w:pPr>
              <w:spacing w:after="0" w:line="202" w:lineRule="exact"/>
              <w:rPr>
                <w:sz w:val="20"/>
                <w:szCs w:val="20"/>
                <w:color w:val="auto"/>
              </w:rPr>
            </w:pPr>
            <w:r>
              <w:rPr>
                <w:rFonts w:ascii="Arial" w:cs="Arial" w:eastAsia="Arial" w:hAnsi="Arial"/>
                <w:sz w:val="18"/>
                <w:szCs w:val="18"/>
                <w:color w:val="auto"/>
              </w:rPr>
              <w:t>Forfeited</w:t>
            </w:r>
          </w:p>
        </w:tc>
        <w:tc>
          <w:tcPr>
            <w:tcW w:w="2540" w:type="dxa"/>
            <w:vAlign w:val="bottom"/>
          </w:tcPr>
          <w:p>
            <w:pPr>
              <w:jc w:val="right"/>
              <w:ind w:right="195"/>
              <w:spacing w:after="0" w:line="202" w:lineRule="exact"/>
              <w:rPr>
                <w:sz w:val="20"/>
                <w:szCs w:val="20"/>
                <w:color w:val="auto"/>
              </w:rPr>
            </w:pPr>
            <w:r>
              <w:rPr>
                <w:rFonts w:ascii="Arial" w:cs="Arial" w:eastAsia="Arial" w:hAnsi="Arial"/>
                <w:sz w:val="18"/>
                <w:szCs w:val="18"/>
                <w:color w:val="auto"/>
              </w:rPr>
              <w:t>(4,113)</w:t>
            </w:r>
          </w:p>
        </w:tc>
        <w:tc>
          <w:tcPr>
            <w:tcW w:w="420" w:type="dxa"/>
            <w:vAlign w:val="bottom"/>
          </w:tcPr>
          <w:p>
            <w:pPr>
              <w:ind w:left="260"/>
              <w:spacing w:after="0" w:line="202" w:lineRule="exact"/>
              <w:rPr>
                <w:sz w:val="20"/>
                <w:szCs w:val="20"/>
                <w:color w:val="auto"/>
              </w:rPr>
            </w:pPr>
            <w:r>
              <w:rPr>
                <w:rFonts w:ascii="Arial" w:cs="Arial" w:eastAsia="Arial" w:hAnsi="Arial"/>
                <w:sz w:val="18"/>
                <w:szCs w:val="18"/>
                <w:color w:val="auto"/>
              </w:rPr>
              <w:t>$</w:t>
            </w:r>
          </w:p>
        </w:tc>
        <w:tc>
          <w:tcPr>
            <w:tcW w:w="1260" w:type="dxa"/>
            <w:vAlign w:val="bottom"/>
          </w:tcPr>
          <w:p>
            <w:pPr>
              <w:jc w:val="right"/>
              <w:ind w:right="214"/>
              <w:spacing w:after="0" w:line="202" w:lineRule="exact"/>
              <w:rPr>
                <w:sz w:val="20"/>
                <w:szCs w:val="20"/>
                <w:color w:val="auto"/>
              </w:rPr>
            </w:pPr>
            <w:r>
              <w:rPr>
                <w:rFonts w:ascii="Arial" w:cs="Arial" w:eastAsia="Arial" w:hAnsi="Arial"/>
                <w:sz w:val="18"/>
                <w:szCs w:val="18"/>
                <w:color w:val="auto"/>
              </w:rPr>
              <w:t>19.76</w:t>
            </w:r>
          </w:p>
        </w:tc>
        <w:tc>
          <w:tcPr>
            <w:tcW w:w="172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9"/>
        </w:trPr>
        <w:tc>
          <w:tcPr>
            <w:tcW w:w="4320" w:type="dxa"/>
            <w:vAlign w:val="bottom"/>
            <w:tcBorders>
              <w:bottom w:val="single" w:sz="8" w:color="auto"/>
            </w:tcBorders>
            <w:gridSpan w:val="2"/>
          </w:tcPr>
          <w:p>
            <w:pPr>
              <w:spacing w:after="0" w:line="200" w:lineRule="exact"/>
              <w:rPr>
                <w:sz w:val="20"/>
                <w:szCs w:val="20"/>
                <w:color w:val="auto"/>
              </w:rPr>
            </w:pPr>
            <w:r>
              <w:rPr>
                <w:rFonts w:ascii="Arial" w:cs="Arial" w:eastAsia="Arial" w:hAnsi="Arial"/>
                <w:sz w:val="18"/>
                <w:szCs w:val="18"/>
                <w:color w:val="auto"/>
              </w:rPr>
              <w:t>Expired</w:t>
            </w:r>
          </w:p>
        </w:tc>
        <w:tc>
          <w:tcPr>
            <w:tcW w:w="2540" w:type="dxa"/>
            <w:vAlign w:val="bottom"/>
            <w:tcBorders>
              <w:bottom w:val="single" w:sz="8" w:color="auto"/>
            </w:tcBorders>
          </w:tcPr>
          <w:p>
            <w:pPr>
              <w:jc w:val="right"/>
              <w:ind w:right="195"/>
              <w:spacing w:after="0" w:line="200" w:lineRule="exact"/>
              <w:rPr>
                <w:sz w:val="20"/>
                <w:szCs w:val="20"/>
                <w:color w:val="auto"/>
              </w:rPr>
            </w:pPr>
            <w:r>
              <w:rPr>
                <w:rFonts w:ascii="Arial" w:cs="Arial" w:eastAsia="Arial" w:hAnsi="Arial"/>
                <w:sz w:val="18"/>
                <w:szCs w:val="18"/>
                <w:color w:val="auto"/>
              </w:rPr>
              <w:t>(1,722)</w:t>
            </w:r>
          </w:p>
        </w:tc>
        <w:tc>
          <w:tcPr>
            <w:tcW w:w="420" w:type="dxa"/>
            <w:vAlign w:val="bottom"/>
            <w:tcBorders>
              <w:bottom w:val="single" w:sz="8" w:color="auto"/>
            </w:tcBorders>
          </w:tcPr>
          <w:p>
            <w:pPr>
              <w:ind w:left="260"/>
              <w:spacing w:after="0" w:line="200" w:lineRule="exact"/>
              <w:rPr>
                <w:sz w:val="20"/>
                <w:szCs w:val="20"/>
                <w:color w:val="auto"/>
              </w:rPr>
            </w:pPr>
            <w:r>
              <w:rPr>
                <w:rFonts w:ascii="Arial" w:cs="Arial" w:eastAsia="Arial" w:hAnsi="Arial"/>
                <w:sz w:val="18"/>
                <w:szCs w:val="18"/>
                <w:color w:val="auto"/>
              </w:rPr>
              <w:t>$</w:t>
            </w:r>
          </w:p>
        </w:tc>
        <w:tc>
          <w:tcPr>
            <w:tcW w:w="1260" w:type="dxa"/>
            <w:vAlign w:val="bottom"/>
            <w:tcBorders>
              <w:bottom w:val="single" w:sz="8" w:color="auto"/>
            </w:tcBorders>
          </w:tcPr>
          <w:p>
            <w:pPr>
              <w:jc w:val="right"/>
              <w:ind w:right="214"/>
              <w:spacing w:after="0" w:line="200" w:lineRule="exact"/>
              <w:rPr>
                <w:sz w:val="20"/>
                <w:szCs w:val="20"/>
                <w:color w:val="auto"/>
              </w:rPr>
            </w:pPr>
            <w:r>
              <w:rPr>
                <w:rFonts w:ascii="Arial" w:cs="Arial" w:eastAsia="Arial" w:hAnsi="Arial"/>
                <w:sz w:val="18"/>
                <w:szCs w:val="18"/>
                <w:color w:val="auto"/>
              </w:rPr>
              <w:t>26.10</w:t>
            </w:r>
          </w:p>
        </w:tc>
        <w:tc>
          <w:tcPr>
            <w:tcW w:w="1720" w:type="dxa"/>
            <w:vAlign w:val="bottom"/>
            <w:tcBorders>
              <w:bottom w:val="single" w:sz="8" w:color="auto"/>
            </w:tcBorders>
          </w:tcPr>
          <w:p>
            <w:pPr>
              <w:spacing w:after="0"/>
              <w:rPr>
                <w:sz w:val="17"/>
                <w:szCs w:val="17"/>
                <w:color w:val="auto"/>
              </w:rPr>
            </w:pPr>
          </w:p>
        </w:tc>
        <w:tc>
          <w:tcPr>
            <w:tcW w:w="440" w:type="dxa"/>
            <w:vAlign w:val="bottom"/>
            <w:tcBorders>
              <w:bottom w:val="single" w:sz="8" w:color="auto"/>
            </w:tcBorders>
          </w:tcPr>
          <w:p>
            <w:pPr>
              <w:spacing w:after="0"/>
              <w:rPr>
                <w:sz w:val="17"/>
                <w:szCs w:val="17"/>
                <w:color w:val="auto"/>
              </w:rPr>
            </w:pPr>
          </w:p>
        </w:tc>
        <w:tc>
          <w:tcPr>
            <w:tcW w:w="720" w:type="dxa"/>
            <w:vAlign w:val="bottom"/>
            <w:tcBorders>
              <w:bottom w:val="single" w:sz="8" w:color="auto"/>
            </w:tcBorders>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4320" w:type="dxa"/>
            <w:vAlign w:val="bottom"/>
            <w:tcBorders>
              <w:bottom w:val="single" w:sz="8" w:color="auto"/>
            </w:tcBorders>
            <w:gridSpan w:val="2"/>
          </w:tcPr>
          <w:p>
            <w:pPr>
              <w:spacing w:after="0" w:line="196" w:lineRule="exact"/>
              <w:rPr>
                <w:sz w:val="20"/>
                <w:szCs w:val="20"/>
                <w:color w:val="auto"/>
              </w:rPr>
            </w:pPr>
            <w:r>
              <w:rPr>
                <w:rFonts w:ascii="Arial" w:cs="Arial" w:eastAsia="Arial" w:hAnsi="Arial"/>
                <w:sz w:val="18"/>
                <w:szCs w:val="18"/>
                <w:color w:val="auto"/>
              </w:rPr>
              <w:t>Outstanding as of December 31, 2006</w:t>
            </w:r>
          </w:p>
        </w:tc>
        <w:tc>
          <w:tcPr>
            <w:tcW w:w="2540" w:type="dxa"/>
            <w:vAlign w:val="bottom"/>
            <w:tcBorders>
              <w:bottom w:val="single" w:sz="8" w:color="auto"/>
            </w:tcBorders>
          </w:tcPr>
          <w:p>
            <w:pPr>
              <w:jc w:val="right"/>
              <w:ind w:right="235"/>
              <w:spacing w:after="0" w:line="196" w:lineRule="exact"/>
              <w:rPr>
                <w:sz w:val="20"/>
                <w:szCs w:val="20"/>
                <w:color w:val="auto"/>
              </w:rPr>
            </w:pPr>
            <w:r>
              <w:rPr>
                <w:rFonts w:ascii="Arial" w:cs="Arial" w:eastAsia="Arial" w:hAnsi="Arial"/>
                <w:sz w:val="18"/>
                <w:szCs w:val="18"/>
                <w:color w:val="auto"/>
              </w:rPr>
              <w:t>121,777</w:t>
            </w:r>
          </w:p>
        </w:tc>
        <w:tc>
          <w:tcPr>
            <w:tcW w:w="420" w:type="dxa"/>
            <w:vAlign w:val="bottom"/>
            <w:tcBorders>
              <w:bottom w:val="single" w:sz="8" w:color="auto"/>
            </w:tcBorders>
          </w:tcPr>
          <w:p>
            <w:pPr>
              <w:ind w:left="260"/>
              <w:spacing w:after="0" w:line="196" w:lineRule="exact"/>
              <w:rPr>
                <w:sz w:val="20"/>
                <w:szCs w:val="20"/>
                <w:color w:val="auto"/>
              </w:rPr>
            </w:pPr>
            <w:r>
              <w:rPr>
                <w:rFonts w:ascii="Arial" w:cs="Arial" w:eastAsia="Arial" w:hAnsi="Arial"/>
                <w:sz w:val="18"/>
                <w:szCs w:val="18"/>
                <w:color w:val="auto"/>
              </w:rPr>
              <w:t>$</w:t>
            </w:r>
          </w:p>
        </w:tc>
        <w:tc>
          <w:tcPr>
            <w:tcW w:w="1260" w:type="dxa"/>
            <w:vAlign w:val="bottom"/>
            <w:tcBorders>
              <w:bottom w:val="single" w:sz="8" w:color="auto"/>
            </w:tcBorders>
          </w:tcPr>
          <w:p>
            <w:pPr>
              <w:jc w:val="right"/>
              <w:ind w:right="214"/>
              <w:spacing w:after="0" w:line="196" w:lineRule="exact"/>
              <w:rPr>
                <w:sz w:val="20"/>
                <w:szCs w:val="20"/>
                <w:color w:val="auto"/>
              </w:rPr>
            </w:pPr>
            <w:r>
              <w:rPr>
                <w:rFonts w:ascii="Arial" w:cs="Arial" w:eastAsia="Arial" w:hAnsi="Arial"/>
                <w:sz w:val="18"/>
                <w:szCs w:val="18"/>
                <w:color w:val="auto"/>
              </w:rPr>
              <w:t>24.43</w:t>
            </w:r>
          </w:p>
        </w:tc>
        <w:tc>
          <w:tcPr>
            <w:tcW w:w="1720" w:type="dxa"/>
            <w:vAlign w:val="bottom"/>
            <w:tcBorders>
              <w:bottom w:val="single" w:sz="8" w:color="auto"/>
            </w:tcBorders>
          </w:tcPr>
          <w:p>
            <w:pPr>
              <w:jc w:val="right"/>
              <w:ind w:right="222"/>
              <w:spacing w:after="0" w:line="196" w:lineRule="exact"/>
              <w:rPr>
                <w:sz w:val="20"/>
                <w:szCs w:val="20"/>
                <w:color w:val="auto"/>
              </w:rPr>
            </w:pPr>
            <w:r>
              <w:rPr>
                <w:rFonts w:ascii="Arial" w:cs="Arial" w:eastAsia="Arial" w:hAnsi="Arial"/>
                <w:sz w:val="18"/>
                <w:szCs w:val="18"/>
                <w:color w:val="auto"/>
              </w:rPr>
              <w:t>5.5</w:t>
            </w:r>
          </w:p>
        </w:tc>
        <w:tc>
          <w:tcPr>
            <w:tcW w:w="440" w:type="dxa"/>
            <w:vAlign w:val="bottom"/>
            <w:tcBorders>
              <w:bottom w:val="single" w:sz="8" w:color="auto"/>
            </w:tcBorders>
          </w:tcPr>
          <w:p>
            <w:pPr>
              <w:ind w:left="300"/>
              <w:spacing w:after="0" w:line="196" w:lineRule="exact"/>
              <w:rPr>
                <w:sz w:val="20"/>
                <w:szCs w:val="20"/>
                <w:color w:val="auto"/>
              </w:rPr>
            </w:pPr>
            <w:r>
              <w:rPr>
                <w:rFonts w:ascii="Arial" w:cs="Arial" w:eastAsia="Arial" w:hAnsi="Arial"/>
                <w:sz w:val="18"/>
                <w:szCs w:val="18"/>
                <w:color w:val="auto"/>
              </w:rPr>
              <w:t>$</w:t>
            </w:r>
          </w:p>
        </w:tc>
        <w:tc>
          <w:tcPr>
            <w:tcW w:w="720" w:type="dxa"/>
            <w:vAlign w:val="bottom"/>
            <w:tcBorders>
              <w:bottom w:val="single" w:sz="8" w:color="auto"/>
            </w:tcBorders>
          </w:tcPr>
          <w:p>
            <w:pPr>
              <w:jc w:val="right"/>
              <w:spacing w:after="0" w:line="196" w:lineRule="exact"/>
              <w:rPr>
                <w:sz w:val="20"/>
                <w:szCs w:val="20"/>
                <w:color w:val="auto"/>
              </w:rPr>
            </w:pPr>
            <w:r>
              <w:rPr>
                <w:rFonts w:ascii="Arial" w:cs="Arial" w:eastAsia="Arial" w:hAnsi="Arial"/>
                <w:sz w:val="18"/>
                <w:szCs w:val="18"/>
                <w:color w:val="auto"/>
              </w:rPr>
              <w:t>812.3</w:t>
            </w:r>
          </w:p>
        </w:tc>
        <w:tc>
          <w:tcPr>
            <w:tcW w:w="0" w:type="dxa"/>
            <w:vAlign w:val="bottom"/>
          </w:tcPr>
          <w:p>
            <w:pPr>
              <w:spacing w:after="0"/>
              <w:rPr>
                <w:sz w:val="1"/>
                <w:szCs w:val="1"/>
                <w:color w:val="auto"/>
              </w:rPr>
            </w:pPr>
          </w:p>
        </w:tc>
      </w:tr>
      <w:tr>
        <w:trPr>
          <w:trHeight w:val="196"/>
        </w:trPr>
        <w:tc>
          <w:tcPr>
            <w:tcW w:w="4320" w:type="dxa"/>
            <w:vAlign w:val="bottom"/>
            <w:tcBorders>
              <w:bottom w:val="single" w:sz="8" w:color="35BF85"/>
            </w:tcBorders>
            <w:gridSpan w:val="2"/>
          </w:tcPr>
          <w:p>
            <w:pPr>
              <w:spacing w:after="0" w:line="196" w:lineRule="exact"/>
              <w:rPr>
                <w:sz w:val="20"/>
                <w:szCs w:val="20"/>
                <w:color w:val="auto"/>
              </w:rPr>
            </w:pPr>
            <w:r>
              <w:rPr>
                <w:rFonts w:ascii="Arial" w:cs="Arial" w:eastAsia="Arial" w:hAnsi="Arial"/>
                <w:sz w:val="18"/>
                <w:szCs w:val="18"/>
                <w:color w:val="auto"/>
              </w:rPr>
              <w:t>Exercisable as of December 31, 2006</w:t>
            </w:r>
          </w:p>
        </w:tc>
        <w:tc>
          <w:tcPr>
            <w:tcW w:w="2540" w:type="dxa"/>
            <w:vAlign w:val="bottom"/>
            <w:tcBorders>
              <w:bottom w:val="single" w:sz="8" w:color="35BF85"/>
            </w:tcBorders>
          </w:tcPr>
          <w:p>
            <w:pPr>
              <w:jc w:val="right"/>
              <w:ind w:right="235"/>
              <w:spacing w:after="0" w:line="196" w:lineRule="exact"/>
              <w:rPr>
                <w:sz w:val="20"/>
                <w:szCs w:val="20"/>
                <w:color w:val="auto"/>
              </w:rPr>
            </w:pPr>
            <w:r>
              <w:rPr>
                <w:rFonts w:ascii="Arial" w:cs="Arial" w:eastAsia="Arial" w:hAnsi="Arial"/>
                <w:sz w:val="18"/>
                <w:szCs w:val="18"/>
                <w:color w:val="auto"/>
              </w:rPr>
              <w:t>67,297</w:t>
            </w:r>
          </w:p>
        </w:tc>
        <w:tc>
          <w:tcPr>
            <w:tcW w:w="420" w:type="dxa"/>
            <w:vAlign w:val="bottom"/>
            <w:tcBorders>
              <w:bottom w:val="single" w:sz="8" w:color="35BF85"/>
            </w:tcBorders>
          </w:tcPr>
          <w:p>
            <w:pPr>
              <w:ind w:left="260"/>
              <w:spacing w:after="0" w:line="196" w:lineRule="exact"/>
              <w:rPr>
                <w:sz w:val="20"/>
                <w:szCs w:val="20"/>
                <w:color w:val="auto"/>
              </w:rPr>
            </w:pPr>
            <w:r>
              <w:rPr>
                <w:rFonts w:ascii="Arial" w:cs="Arial" w:eastAsia="Arial" w:hAnsi="Arial"/>
                <w:sz w:val="18"/>
                <w:szCs w:val="18"/>
                <w:color w:val="auto"/>
              </w:rPr>
              <w:t>$</w:t>
            </w:r>
          </w:p>
        </w:tc>
        <w:tc>
          <w:tcPr>
            <w:tcW w:w="1260" w:type="dxa"/>
            <w:vAlign w:val="bottom"/>
            <w:tcBorders>
              <w:bottom w:val="single" w:sz="8" w:color="35BF85"/>
            </w:tcBorders>
          </w:tcPr>
          <w:p>
            <w:pPr>
              <w:jc w:val="right"/>
              <w:ind w:right="214"/>
              <w:spacing w:after="0" w:line="196" w:lineRule="exact"/>
              <w:rPr>
                <w:sz w:val="20"/>
                <w:szCs w:val="20"/>
                <w:color w:val="auto"/>
              </w:rPr>
            </w:pPr>
            <w:r>
              <w:rPr>
                <w:rFonts w:ascii="Arial" w:cs="Arial" w:eastAsia="Arial" w:hAnsi="Arial"/>
                <w:sz w:val="18"/>
                <w:szCs w:val="18"/>
                <w:color w:val="auto"/>
              </w:rPr>
              <w:t>28.33</w:t>
            </w:r>
          </w:p>
        </w:tc>
        <w:tc>
          <w:tcPr>
            <w:tcW w:w="1720" w:type="dxa"/>
            <w:vAlign w:val="bottom"/>
            <w:tcBorders>
              <w:bottom w:val="single" w:sz="8" w:color="35BF85"/>
            </w:tcBorders>
          </w:tcPr>
          <w:p>
            <w:pPr>
              <w:jc w:val="right"/>
              <w:ind w:right="222"/>
              <w:spacing w:after="0" w:line="196" w:lineRule="exact"/>
              <w:rPr>
                <w:sz w:val="20"/>
                <w:szCs w:val="20"/>
                <w:color w:val="auto"/>
              </w:rPr>
            </w:pPr>
            <w:r>
              <w:rPr>
                <w:rFonts w:ascii="Arial" w:cs="Arial" w:eastAsia="Arial" w:hAnsi="Arial"/>
                <w:sz w:val="18"/>
                <w:szCs w:val="18"/>
                <w:color w:val="auto"/>
              </w:rPr>
              <w:t>3.6</w:t>
            </w:r>
          </w:p>
        </w:tc>
        <w:tc>
          <w:tcPr>
            <w:tcW w:w="440" w:type="dxa"/>
            <w:vAlign w:val="bottom"/>
            <w:tcBorders>
              <w:bottom w:val="single" w:sz="8" w:color="35BF85"/>
            </w:tcBorders>
          </w:tcPr>
          <w:p>
            <w:pPr>
              <w:ind w:left="300"/>
              <w:spacing w:after="0" w:line="196" w:lineRule="exact"/>
              <w:rPr>
                <w:sz w:val="20"/>
                <w:szCs w:val="20"/>
                <w:color w:val="auto"/>
              </w:rPr>
            </w:pPr>
            <w:r>
              <w:rPr>
                <w:rFonts w:ascii="Arial" w:cs="Arial" w:eastAsia="Arial" w:hAnsi="Arial"/>
                <w:sz w:val="18"/>
                <w:szCs w:val="18"/>
                <w:color w:val="auto"/>
              </w:rPr>
              <w:t>$</w:t>
            </w:r>
          </w:p>
        </w:tc>
        <w:tc>
          <w:tcPr>
            <w:tcW w:w="720" w:type="dxa"/>
            <w:vAlign w:val="bottom"/>
            <w:tcBorders>
              <w:bottom w:val="single" w:sz="8" w:color="35BF85"/>
            </w:tcBorders>
          </w:tcPr>
          <w:p>
            <w:pPr>
              <w:jc w:val="right"/>
              <w:spacing w:after="0" w:line="196" w:lineRule="exact"/>
              <w:rPr>
                <w:sz w:val="20"/>
                <w:szCs w:val="20"/>
                <w:color w:val="auto"/>
              </w:rPr>
            </w:pPr>
            <w:r>
              <w:rPr>
                <w:rFonts w:ascii="Arial" w:cs="Arial" w:eastAsia="Arial" w:hAnsi="Arial"/>
                <w:sz w:val="18"/>
                <w:szCs w:val="18"/>
                <w:color w:val="auto"/>
              </w:rPr>
              <w:t>343.1</w:t>
            </w:r>
          </w:p>
        </w:tc>
        <w:tc>
          <w:tcPr>
            <w:tcW w:w="0" w:type="dxa"/>
            <w:vAlign w:val="bottom"/>
          </w:tcPr>
          <w:p>
            <w:pPr>
              <w:spacing w:after="0"/>
              <w:rPr>
                <w:sz w:val="1"/>
                <w:szCs w:val="1"/>
                <w:color w:val="auto"/>
              </w:rPr>
            </w:pPr>
          </w:p>
        </w:tc>
      </w:tr>
      <w:tr>
        <w:trPr>
          <w:trHeight w:val="199"/>
        </w:trPr>
        <w:tc>
          <w:tcPr>
            <w:tcW w:w="4320" w:type="dxa"/>
            <w:vAlign w:val="bottom"/>
            <w:gridSpan w:val="2"/>
          </w:tcPr>
          <w:p>
            <w:pPr>
              <w:spacing w:after="0" w:line="200" w:lineRule="exact"/>
              <w:rPr>
                <w:sz w:val="20"/>
                <w:szCs w:val="20"/>
                <w:color w:val="auto"/>
              </w:rPr>
            </w:pPr>
            <w:r>
              <w:rPr>
                <w:rFonts w:ascii="Arial" w:cs="Arial" w:eastAsia="Arial" w:hAnsi="Arial"/>
                <w:sz w:val="18"/>
                <w:szCs w:val="18"/>
                <w:b w:val="1"/>
                <w:bCs w:val="1"/>
                <w:color w:val="auto"/>
              </w:rPr>
              <w:t>Class A Special Common Stock</w:t>
            </w:r>
          </w:p>
        </w:tc>
        <w:tc>
          <w:tcPr>
            <w:tcW w:w="254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1260" w:type="dxa"/>
            <w:vAlign w:val="bottom"/>
          </w:tcPr>
          <w:p>
            <w:pPr>
              <w:spacing w:after="0"/>
              <w:rPr>
                <w:sz w:val="17"/>
                <w:szCs w:val="17"/>
                <w:color w:val="auto"/>
              </w:rPr>
            </w:pPr>
          </w:p>
        </w:tc>
        <w:tc>
          <w:tcPr>
            <w:tcW w:w="172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4320" w:type="dxa"/>
            <w:vAlign w:val="bottom"/>
            <w:gridSpan w:val="2"/>
          </w:tcPr>
          <w:p>
            <w:pPr>
              <w:spacing w:after="0" w:line="202" w:lineRule="exact"/>
              <w:rPr>
                <w:sz w:val="20"/>
                <w:szCs w:val="20"/>
                <w:color w:val="auto"/>
              </w:rPr>
            </w:pPr>
            <w:r>
              <w:rPr>
                <w:rFonts w:ascii="Arial" w:cs="Arial" w:eastAsia="Arial" w:hAnsi="Arial"/>
                <w:sz w:val="18"/>
                <w:szCs w:val="18"/>
                <w:color w:val="auto"/>
              </w:rPr>
              <w:t>Outstanding as of January 1, 2006</w:t>
            </w:r>
          </w:p>
        </w:tc>
        <w:tc>
          <w:tcPr>
            <w:tcW w:w="2540" w:type="dxa"/>
            <w:vAlign w:val="bottom"/>
          </w:tcPr>
          <w:p>
            <w:pPr>
              <w:jc w:val="right"/>
              <w:ind w:right="235"/>
              <w:spacing w:after="0" w:line="202" w:lineRule="exact"/>
              <w:rPr>
                <w:sz w:val="20"/>
                <w:szCs w:val="20"/>
                <w:color w:val="auto"/>
              </w:rPr>
            </w:pPr>
            <w:r>
              <w:rPr>
                <w:rFonts w:ascii="Arial" w:cs="Arial" w:eastAsia="Arial" w:hAnsi="Arial"/>
                <w:sz w:val="18"/>
                <w:szCs w:val="18"/>
                <w:color w:val="auto"/>
              </w:rPr>
              <w:t>76,948</w:t>
            </w:r>
          </w:p>
        </w:tc>
        <w:tc>
          <w:tcPr>
            <w:tcW w:w="420" w:type="dxa"/>
            <w:vAlign w:val="bottom"/>
          </w:tcPr>
          <w:p>
            <w:pPr>
              <w:ind w:left="260"/>
              <w:spacing w:after="0" w:line="202" w:lineRule="exact"/>
              <w:rPr>
                <w:sz w:val="20"/>
                <w:szCs w:val="20"/>
                <w:color w:val="auto"/>
              </w:rPr>
            </w:pPr>
            <w:r>
              <w:rPr>
                <w:rFonts w:ascii="Arial" w:cs="Arial" w:eastAsia="Arial" w:hAnsi="Arial"/>
                <w:sz w:val="18"/>
                <w:szCs w:val="18"/>
                <w:color w:val="auto"/>
              </w:rPr>
              <w:t>$</w:t>
            </w:r>
          </w:p>
        </w:tc>
        <w:tc>
          <w:tcPr>
            <w:tcW w:w="1260" w:type="dxa"/>
            <w:vAlign w:val="bottom"/>
          </w:tcPr>
          <w:p>
            <w:pPr>
              <w:jc w:val="right"/>
              <w:ind w:right="214"/>
              <w:spacing w:after="0" w:line="202" w:lineRule="exact"/>
              <w:rPr>
                <w:sz w:val="20"/>
                <w:szCs w:val="20"/>
                <w:color w:val="auto"/>
              </w:rPr>
            </w:pPr>
            <w:r>
              <w:rPr>
                <w:rFonts w:ascii="Arial" w:cs="Arial" w:eastAsia="Arial" w:hAnsi="Arial"/>
                <w:sz w:val="18"/>
                <w:szCs w:val="18"/>
                <w:color w:val="auto"/>
              </w:rPr>
              <w:t>20.90</w:t>
            </w:r>
          </w:p>
        </w:tc>
        <w:tc>
          <w:tcPr>
            <w:tcW w:w="172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4320" w:type="dxa"/>
            <w:vAlign w:val="bottom"/>
            <w:gridSpan w:val="2"/>
          </w:tcPr>
          <w:p>
            <w:pPr>
              <w:spacing w:after="0" w:line="202" w:lineRule="exact"/>
              <w:rPr>
                <w:sz w:val="20"/>
                <w:szCs w:val="20"/>
                <w:color w:val="auto"/>
              </w:rPr>
            </w:pPr>
            <w:r>
              <w:rPr>
                <w:rFonts w:ascii="Arial" w:cs="Arial" w:eastAsia="Arial" w:hAnsi="Arial"/>
                <w:sz w:val="18"/>
                <w:szCs w:val="18"/>
                <w:color w:val="auto"/>
              </w:rPr>
              <w:t>Exercised</w:t>
            </w:r>
          </w:p>
        </w:tc>
        <w:tc>
          <w:tcPr>
            <w:tcW w:w="2540" w:type="dxa"/>
            <w:vAlign w:val="bottom"/>
          </w:tcPr>
          <w:p>
            <w:pPr>
              <w:jc w:val="right"/>
              <w:ind w:right="195"/>
              <w:spacing w:after="0" w:line="202" w:lineRule="exact"/>
              <w:rPr>
                <w:sz w:val="20"/>
                <w:szCs w:val="20"/>
                <w:color w:val="auto"/>
              </w:rPr>
            </w:pPr>
            <w:r>
              <w:rPr>
                <w:rFonts w:ascii="Arial" w:cs="Arial" w:eastAsia="Arial" w:hAnsi="Arial"/>
                <w:sz w:val="18"/>
                <w:szCs w:val="18"/>
                <w:color w:val="auto"/>
              </w:rPr>
              <w:t>(10,545)</w:t>
            </w:r>
          </w:p>
        </w:tc>
        <w:tc>
          <w:tcPr>
            <w:tcW w:w="420" w:type="dxa"/>
            <w:vAlign w:val="bottom"/>
          </w:tcPr>
          <w:p>
            <w:pPr>
              <w:ind w:left="260"/>
              <w:spacing w:after="0" w:line="202" w:lineRule="exact"/>
              <w:rPr>
                <w:sz w:val="20"/>
                <w:szCs w:val="20"/>
                <w:color w:val="auto"/>
              </w:rPr>
            </w:pPr>
            <w:r>
              <w:rPr>
                <w:rFonts w:ascii="Arial" w:cs="Arial" w:eastAsia="Arial" w:hAnsi="Arial"/>
                <w:sz w:val="18"/>
                <w:szCs w:val="18"/>
                <w:color w:val="auto"/>
              </w:rPr>
              <w:t>$</w:t>
            </w:r>
          </w:p>
        </w:tc>
        <w:tc>
          <w:tcPr>
            <w:tcW w:w="1260" w:type="dxa"/>
            <w:vAlign w:val="bottom"/>
          </w:tcPr>
          <w:p>
            <w:pPr>
              <w:jc w:val="right"/>
              <w:ind w:right="214"/>
              <w:spacing w:after="0" w:line="202" w:lineRule="exact"/>
              <w:rPr>
                <w:sz w:val="20"/>
                <w:szCs w:val="20"/>
                <w:color w:val="auto"/>
              </w:rPr>
            </w:pPr>
            <w:r>
              <w:rPr>
                <w:rFonts w:ascii="Arial" w:cs="Arial" w:eastAsia="Arial" w:hAnsi="Arial"/>
                <w:sz w:val="18"/>
                <w:szCs w:val="18"/>
                <w:color w:val="auto"/>
              </w:rPr>
              <w:t>15.31</w:t>
            </w:r>
          </w:p>
        </w:tc>
        <w:tc>
          <w:tcPr>
            <w:tcW w:w="172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4320" w:type="dxa"/>
            <w:vAlign w:val="bottom"/>
            <w:gridSpan w:val="2"/>
          </w:tcPr>
          <w:p>
            <w:pPr>
              <w:spacing w:after="0" w:line="202" w:lineRule="exact"/>
              <w:rPr>
                <w:sz w:val="20"/>
                <w:szCs w:val="20"/>
                <w:color w:val="auto"/>
              </w:rPr>
            </w:pPr>
            <w:r>
              <w:rPr>
                <w:rFonts w:ascii="Arial" w:cs="Arial" w:eastAsia="Arial" w:hAnsi="Arial"/>
                <w:sz w:val="18"/>
                <w:szCs w:val="18"/>
                <w:color w:val="auto"/>
              </w:rPr>
              <w:t>Forfeited</w:t>
            </w:r>
          </w:p>
        </w:tc>
        <w:tc>
          <w:tcPr>
            <w:tcW w:w="2540" w:type="dxa"/>
            <w:vAlign w:val="bottom"/>
          </w:tcPr>
          <w:p>
            <w:pPr>
              <w:jc w:val="right"/>
              <w:ind w:right="195"/>
              <w:spacing w:after="0" w:line="202" w:lineRule="exact"/>
              <w:rPr>
                <w:sz w:val="20"/>
                <w:szCs w:val="20"/>
                <w:color w:val="auto"/>
              </w:rPr>
            </w:pPr>
            <w:r>
              <w:rPr>
                <w:rFonts w:ascii="Arial" w:cs="Arial" w:eastAsia="Arial" w:hAnsi="Arial"/>
                <w:sz w:val="18"/>
                <w:szCs w:val="18"/>
                <w:color w:val="auto"/>
              </w:rPr>
              <w:t>(95)</w:t>
            </w:r>
          </w:p>
        </w:tc>
        <w:tc>
          <w:tcPr>
            <w:tcW w:w="420" w:type="dxa"/>
            <w:vAlign w:val="bottom"/>
          </w:tcPr>
          <w:p>
            <w:pPr>
              <w:ind w:left="260"/>
              <w:spacing w:after="0" w:line="202" w:lineRule="exact"/>
              <w:rPr>
                <w:sz w:val="20"/>
                <w:szCs w:val="20"/>
                <w:color w:val="auto"/>
              </w:rPr>
            </w:pPr>
            <w:r>
              <w:rPr>
                <w:rFonts w:ascii="Arial" w:cs="Arial" w:eastAsia="Arial" w:hAnsi="Arial"/>
                <w:sz w:val="18"/>
                <w:szCs w:val="18"/>
                <w:color w:val="auto"/>
              </w:rPr>
              <w:t>$</w:t>
            </w:r>
          </w:p>
        </w:tc>
        <w:tc>
          <w:tcPr>
            <w:tcW w:w="1260" w:type="dxa"/>
            <w:vAlign w:val="bottom"/>
          </w:tcPr>
          <w:p>
            <w:pPr>
              <w:jc w:val="right"/>
              <w:ind w:right="214"/>
              <w:spacing w:after="0" w:line="202" w:lineRule="exact"/>
              <w:rPr>
                <w:sz w:val="20"/>
                <w:szCs w:val="20"/>
                <w:color w:val="auto"/>
              </w:rPr>
            </w:pPr>
            <w:r>
              <w:rPr>
                <w:rFonts w:ascii="Arial" w:cs="Arial" w:eastAsia="Arial" w:hAnsi="Arial"/>
                <w:sz w:val="18"/>
                <w:szCs w:val="18"/>
                <w:color w:val="auto"/>
              </w:rPr>
              <w:t>21.75</w:t>
            </w:r>
          </w:p>
        </w:tc>
        <w:tc>
          <w:tcPr>
            <w:tcW w:w="172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9"/>
        </w:trPr>
        <w:tc>
          <w:tcPr>
            <w:tcW w:w="4320" w:type="dxa"/>
            <w:vAlign w:val="bottom"/>
            <w:tcBorders>
              <w:bottom w:val="single" w:sz="8" w:color="auto"/>
            </w:tcBorders>
            <w:gridSpan w:val="2"/>
          </w:tcPr>
          <w:p>
            <w:pPr>
              <w:spacing w:after="0" w:line="200" w:lineRule="exact"/>
              <w:rPr>
                <w:sz w:val="20"/>
                <w:szCs w:val="20"/>
                <w:color w:val="auto"/>
              </w:rPr>
            </w:pPr>
            <w:r>
              <w:rPr>
                <w:rFonts w:ascii="Arial" w:cs="Arial" w:eastAsia="Arial" w:hAnsi="Arial"/>
                <w:sz w:val="18"/>
                <w:szCs w:val="18"/>
                <w:color w:val="auto"/>
              </w:rPr>
              <w:t>Expired</w:t>
            </w:r>
          </w:p>
        </w:tc>
        <w:tc>
          <w:tcPr>
            <w:tcW w:w="2540" w:type="dxa"/>
            <w:vAlign w:val="bottom"/>
            <w:tcBorders>
              <w:bottom w:val="single" w:sz="8" w:color="auto"/>
            </w:tcBorders>
          </w:tcPr>
          <w:p>
            <w:pPr>
              <w:jc w:val="right"/>
              <w:ind w:right="195"/>
              <w:spacing w:after="0" w:line="200" w:lineRule="exact"/>
              <w:rPr>
                <w:sz w:val="20"/>
                <w:szCs w:val="20"/>
                <w:color w:val="auto"/>
              </w:rPr>
            </w:pPr>
            <w:r>
              <w:rPr>
                <w:rFonts w:ascii="Arial" w:cs="Arial" w:eastAsia="Arial" w:hAnsi="Arial"/>
                <w:sz w:val="18"/>
                <w:szCs w:val="18"/>
                <w:color w:val="auto"/>
              </w:rPr>
              <w:t>(1,707)</w:t>
            </w:r>
          </w:p>
        </w:tc>
        <w:tc>
          <w:tcPr>
            <w:tcW w:w="420" w:type="dxa"/>
            <w:vAlign w:val="bottom"/>
            <w:tcBorders>
              <w:bottom w:val="single" w:sz="8" w:color="auto"/>
            </w:tcBorders>
          </w:tcPr>
          <w:p>
            <w:pPr>
              <w:ind w:left="260"/>
              <w:spacing w:after="0" w:line="200" w:lineRule="exact"/>
              <w:rPr>
                <w:sz w:val="20"/>
                <w:szCs w:val="20"/>
                <w:color w:val="auto"/>
              </w:rPr>
            </w:pPr>
            <w:r>
              <w:rPr>
                <w:rFonts w:ascii="Arial" w:cs="Arial" w:eastAsia="Arial" w:hAnsi="Arial"/>
                <w:sz w:val="18"/>
                <w:szCs w:val="18"/>
                <w:color w:val="auto"/>
              </w:rPr>
              <w:t>$</w:t>
            </w:r>
          </w:p>
        </w:tc>
        <w:tc>
          <w:tcPr>
            <w:tcW w:w="1260" w:type="dxa"/>
            <w:vAlign w:val="bottom"/>
            <w:tcBorders>
              <w:bottom w:val="single" w:sz="8" w:color="auto"/>
            </w:tcBorders>
          </w:tcPr>
          <w:p>
            <w:pPr>
              <w:jc w:val="right"/>
              <w:ind w:right="214"/>
              <w:spacing w:after="0" w:line="200" w:lineRule="exact"/>
              <w:rPr>
                <w:sz w:val="20"/>
                <w:szCs w:val="20"/>
                <w:color w:val="auto"/>
              </w:rPr>
            </w:pPr>
            <w:r>
              <w:rPr>
                <w:rFonts w:ascii="Arial" w:cs="Arial" w:eastAsia="Arial" w:hAnsi="Arial"/>
                <w:sz w:val="18"/>
                <w:szCs w:val="18"/>
                <w:color w:val="auto"/>
              </w:rPr>
              <w:t>23.96</w:t>
            </w:r>
          </w:p>
        </w:tc>
        <w:tc>
          <w:tcPr>
            <w:tcW w:w="1720" w:type="dxa"/>
            <w:vAlign w:val="bottom"/>
            <w:tcBorders>
              <w:bottom w:val="single" w:sz="8" w:color="auto"/>
            </w:tcBorders>
          </w:tcPr>
          <w:p>
            <w:pPr>
              <w:spacing w:after="0"/>
              <w:rPr>
                <w:sz w:val="17"/>
                <w:szCs w:val="17"/>
                <w:color w:val="auto"/>
              </w:rPr>
            </w:pPr>
          </w:p>
        </w:tc>
        <w:tc>
          <w:tcPr>
            <w:tcW w:w="440" w:type="dxa"/>
            <w:vAlign w:val="bottom"/>
            <w:tcBorders>
              <w:bottom w:val="single" w:sz="8" w:color="auto"/>
            </w:tcBorders>
          </w:tcPr>
          <w:p>
            <w:pPr>
              <w:spacing w:after="0"/>
              <w:rPr>
                <w:sz w:val="17"/>
                <w:szCs w:val="17"/>
                <w:color w:val="auto"/>
              </w:rPr>
            </w:pPr>
          </w:p>
        </w:tc>
        <w:tc>
          <w:tcPr>
            <w:tcW w:w="720" w:type="dxa"/>
            <w:vAlign w:val="bottom"/>
            <w:tcBorders>
              <w:bottom w:val="single" w:sz="8" w:color="auto"/>
            </w:tcBorders>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4320" w:type="dxa"/>
            <w:vAlign w:val="bottom"/>
            <w:tcBorders>
              <w:bottom w:val="single" w:sz="8" w:color="auto"/>
            </w:tcBorders>
            <w:gridSpan w:val="2"/>
          </w:tcPr>
          <w:p>
            <w:pPr>
              <w:spacing w:after="0" w:line="196" w:lineRule="exact"/>
              <w:rPr>
                <w:sz w:val="20"/>
                <w:szCs w:val="20"/>
                <w:color w:val="auto"/>
              </w:rPr>
            </w:pPr>
            <w:r>
              <w:rPr>
                <w:rFonts w:ascii="Arial" w:cs="Arial" w:eastAsia="Arial" w:hAnsi="Arial"/>
                <w:sz w:val="18"/>
                <w:szCs w:val="18"/>
                <w:color w:val="auto"/>
              </w:rPr>
              <w:t>Outstanding as of December 31, 2006</w:t>
            </w:r>
          </w:p>
        </w:tc>
        <w:tc>
          <w:tcPr>
            <w:tcW w:w="2540" w:type="dxa"/>
            <w:vAlign w:val="bottom"/>
            <w:tcBorders>
              <w:bottom w:val="single" w:sz="8" w:color="auto"/>
            </w:tcBorders>
          </w:tcPr>
          <w:p>
            <w:pPr>
              <w:jc w:val="right"/>
              <w:ind w:right="235"/>
              <w:spacing w:after="0" w:line="196" w:lineRule="exact"/>
              <w:rPr>
                <w:sz w:val="20"/>
                <w:szCs w:val="20"/>
                <w:color w:val="auto"/>
              </w:rPr>
            </w:pPr>
            <w:r>
              <w:rPr>
                <w:rFonts w:ascii="Arial" w:cs="Arial" w:eastAsia="Arial" w:hAnsi="Arial"/>
                <w:sz w:val="18"/>
                <w:szCs w:val="18"/>
                <w:color w:val="auto"/>
              </w:rPr>
              <w:t>64,601</w:t>
            </w:r>
          </w:p>
        </w:tc>
        <w:tc>
          <w:tcPr>
            <w:tcW w:w="420" w:type="dxa"/>
            <w:vAlign w:val="bottom"/>
            <w:tcBorders>
              <w:bottom w:val="single" w:sz="8" w:color="auto"/>
            </w:tcBorders>
          </w:tcPr>
          <w:p>
            <w:pPr>
              <w:ind w:left="260"/>
              <w:spacing w:after="0" w:line="196" w:lineRule="exact"/>
              <w:rPr>
                <w:sz w:val="20"/>
                <w:szCs w:val="20"/>
                <w:color w:val="auto"/>
              </w:rPr>
            </w:pPr>
            <w:r>
              <w:rPr>
                <w:rFonts w:ascii="Arial" w:cs="Arial" w:eastAsia="Arial" w:hAnsi="Arial"/>
                <w:sz w:val="18"/>
                <w:szCs w:val="18"/>
                <w:color w:val="auto"/>
              </w:rPr>
              <w:t>$</w:t>
            </w:r>
          </w:p>
        </w:tc>
        <w:tc>
          <w:tcPr>
            <w:tcW w:w="1260" w:type="dxa"/>
            <w:vAlign w:val="bottom"/>
            <w:tcBorders>
              <w:bottom w:val="single" w:sz="8" w:color="auto"/>
            </w:tcBorders>
          </w:tcPr>
          <w:p>
            <w:pPr>
              <w:jc w:val="right"/>
              <w:ind w:right="214"/>
              <w:spacing w:after="0" w:line="196" w:lineRule="exact"/>
              <w:rPr>
                <w:sz w:val="20"/>
                <w:szCs w:val="20"/>
                <w:color w:val="auto"/>
              </w:rPr>
            </w:pPr>
            <w:r>
              <w:rPr>
                <w:rFonts w:ascii="Arial" w:cs="Arial" w:eastAsia="Arial" w:hAnsi="Arial"/>
                <w:sz w:val="18"/>
                <w:szCs w:val="18"/>
                <w:color w:val="auto"/>
              </w:rPr>
              <w:t>21.75</w:t>
            </w:r>
          </w:p>
        </w:tc>
        <w:tc>
          <w:tcPr>
            <w:tcW w:w="1720" w:type="dxa"/>
            <w:vAlign w:val="bottom"/>
            <w:tcBorders>
              <w:bottom w:val="single" w:sz="8" w:color="auto"/>
            </w:tcBorders>
          </w:tcPr>
          <w:p>
            <w:pPr>
              <w:jc w:val="right"/>
              <w:ind w:right="222"/>
              <w:spacing w:after="0" w:line="196" w:lineRule="exact"/>
              <w:rPr>
                <w:sz w:val="20"/>
                <w:szCs w:val="20"/>
                <w:color w:val="auto"/>
              </w:rPr>
            </w:pPr>
            <w:r>
              <w:rPr>
                <w:rFonts w:ascii="Arial" w:cs="Arial" w:eastAsia="Arial" w:hAnsi="Arial"/>
                <w:sz w:val="18"/>
                <w:szCs w:val="18"/>
                <w:color w:val="auto"/>
              </w:rPr>
              <w:t>3.5</w:t>
            </w:r>
          </w:p>
        </w:tc>
        <w:tc>
          <w:tcPr>
            <w:tcW w:w="440" w:type="dxa"/>
            <w:vAlign w:val="bottom"/>
            <w:tcBorders>
              <w:bottom w:val="single" w:sz="8" w:color="auto"/>
            </w:tcBorders>
          </w:tcPr>
          <w:p>
            <w:pPr>
              <w:ind w:left="300"/>
              <w:spacing w:after="0" w:line="196" w:lineRule="exact"/>
              <w:rPr>
                <w:sz w:val="20"/>
                <w:szCs w:val="20"/>
                <w:color w:val="auto"/>
              </w:rPr>
            </w:pPr>
            <w:r>
              <w:rPr>
                <w:rFonts w:ascii="Arial" w:cs="Arial" w:eastAsia="Arial" w:hAnsi="Arial"/>
                <w:sz w:val="18"/>
                <w:szCs w:val="18"/>
                <w:color w:val="auto"/>
              </w:rPr>
              <w:t>$</w:t>
            </w:r>
          </w:p>
        </w:tc>
        <w:tc>
          <w:tcPr>
            <w:tcW w:w="720" w:type="dxa"/>
            <w:vAlign w:val="bottom"/>
            <w:tcBorders>
              <w:bottom w:val="single" w:sz="8" w:color="auto"/>
            </w:tcBorders>
          </w:tcPr>
          <w:p>
            <w:pPr>
              <w:jc w:val="right"/>
              <w:spacing w:after="0" w:line="196" w:lineRule="exact"/>
              <w:rPr>
                <w:sz w:val="20"/>
                <w:szCs w:val="20"/>
                <w:color w:val="auto"/>
              </w:rPr>
            </w:pPr>
            <w:r>
              <w:rPr>
                <w:rFonts w:ascii="Arial" w:cs="Arial" w:eastAsia="Arial" w:hAnsi="Arial"/>
                <w:sz w:val="18"/>
                <w:szCs w:val="18"/>
                <w:color w:val="auto"/>
              </w:rPr>
              <w:t>410.6</w:t>
            </w:r>
          </w:p>
        </w:tc>
        <w:tc>
          <w:tcPr>
            <w:tcW w:w="0" w:type="dxa"/>
            <w:vAlign w:val="bottom"/>
          </w:tcPr>
          <w:p>
            <w:pPr>
              <w:spacing w:after="0"/>
              <w:rPr>
                <w:sz w:val="1"/>
                <w:szCs w:val="1"/>
                <w:color w:val="auto"/>
              </w:rPr>
            </w:pPr>
          </w:p>
        </w:tc>
      </w:tr>
      <w:tr>
        <w:trPr>
          <w:trHeight w:val="196"/>
        </w:trPr>
        <w:tc>
          <w:tcPr>
            <w:tcW w:w="4320" w:type="dxa"/>
            <w:vAlign w:val="bottom"/>
            <w:tcBorders>
              <w:bottom w:val="single" w:sz="8" w:color="35BF85"/>
            </w:tcBorders>
            <w:gridSpan w:val="2"/>
          </w:tcPr>
          <w:p>
            <w:pPr>
              <w:spacing w:after="0" w:line="196" w:lineRule="exact"/>
              <w:rPr>
                <w:sz w:val="20"/>
                <w:szCs w:val="20"/>
                <w:color w:val="auto"/>
              </w:rPr>
            </w:pPr>
            <w:r>
              <w:rPr>
                <w:rFonts w:ascii="Arial" w:cs="Arial" w:eastAsia="Arial" w:hAnsi="Arial"/>
                <w:sz w:val="18"/>
                <w:szCs w:val="18"/>
                <w:color w:val="auto"/>
              </w:rPr>
              <w:t>Exercisable as of December 31, 2006</w:t>
            </w:r>
          </w:p>
        </w:tc>
        <w:tc>
          <w:tcPr>
            <w:tcW w:w="2540" w:type="dxa"/>
            <w:vAlign w:val="bottom"/>
            <w:tcBorders>
              <w:bottom w:val="single" w:sz="8" w:color="35BF85"/>
            </w:tcBorders>
          </w:tcPr>
          <w:p>
            <w:pPr>
              <w:jc w:val="right"/>
              <w:ind w:right="235"/>
              <w:spacing w:after="0" w:line="196" w:lineRule="exact"/>
              <w:rPr>
                <w:sz w:val="20"/>
                <w:szCs w:val="20"/>
                <w:color w:val="auto"/>
              </w:rPr>
            </w:pPr>
            <w:r>
              <w:rPr>
                <w:rFonts w:ascii="Arial" w:cs="Arial" w:eastAsia="Arial" w:hAnsi="Arial"/>
                <w:sz w:val="18"/>
                <w:szCs w:val="18"/>
                <w:color w:val="auto"/>
              </w:rPr>
              <w:t>57,081</w:t>
            </w:r>
          </w:p>
        </w:tc>
        <w:tc>
          <w:tcPr>
            <w:tcW w:w="420" w:type="dxa"/>
            <w:vAlign w:val="bottom"/>
            <w:tcBorders>
              <w:bottom w:val="single" w:sz="8" w:color="35BF85"/>
            </w:tcBorders>
          </w:tcPr>
          <w:p>
            <w:pPr>
              <w:ind w:left="260"/>
              <w:spacing w:after="0" w:line="196" w:lineRule="exact"/>
              <w:rPr>
                <w:sz w:val="20"/>
                <w:szCs w:val="20"/>
                <w:color w:val="auto"/>
              </w:rPr>
            </w:pPr>
            <w:r>
              <w:rPr>
                <w:rFonts w:ascii="Arial" w:cs="Arial" w:eastAsia="Arial" w:hAnsi="Arial"/>
                <w:sz w:val="18"/>
                <w:szCs w:val="18"/>
                <w:color w:val="auto"/>
              </w:rPr>
              <w:t>$</w:t>
            </w:r>
          </w:p>
        </w:tc>
        <w:tc>
          <w:tcPr>
            <w:tcW w:w="1260" w:type="dxa"/>
            <w:vAlign w:val="bottom"/>
            <w:tcBorders>
              <w:bottom w:val="single" w:sz="8" w:color="35BF85"/>
            </w:tcBorders>
          </w:tcPr>
          <w:p>
            <w:pPr>
              <w:jc w:val="right"/>
              <w:ind w:right="214"/>
              <w:spacing w:after="0" w:line="196" w:lineRule="exact"/>
              <w:rPr>
                <w:sz w:val="20"/>
                <w:szCs w:val="20"/>
                <w:color w:val="auto"/>
              </w:rPr>
            </w:pPr>
            <w:r>
              <w:rPr>
                <w:rFonts w:ascii="Arial" w:cs="Arial" w:eastAsia="Arial" w:hAnsi="Arial"/>
                <w:sz w:val="18"/>
                <w:szCs w:val="18"/>
                <w:color w:val="auto"/>
              </w:rPr>
              <w:t>21.95</w:t>
            </w:r>
          </w:p>
        </w:tc>
        <w:tc>
          <w:tcPr>
            <w:tcW w:w="1720" w:type="dxa"/>
            <w:vAlign w:val="bottom"/>
            <w:tcBorders>
              <w:bottom w:val="single" w:sz="8" w:color="35BF85"/>
            </w:tcBorders>
          </w:tcPr>
          <w:p>
            <w:pPr>
              <w:jc w:val="right"/>
              <w:ind w:right="222"/>
              <w:spacing w:after="0" w:line="196" w:lineRule="exact"/>
              <w:rPr>
                <w:sz w:val="20"/>
                <w:szCs w:val="20"/>
                <w:color w:val="auto"/>
              </w:rPr>
            </w:pPr>
            <w:r>
              <w:rPr>
                <w:rFonts w:ascii="Arial" w:cs="Arial" w:eastAsia="Arial" w:hAnsi="Arial"/>
                <w:sz w:val="18"/>
                <w:szCs w:val="18"/>
                <w:color w:val="auto"/>
              </w:rPr>
              <w:t>3.4</w:t>
            </w:r>
          </w:p>
        </w:tc>
        <w:tc>
          <w:tcPr>
            <w:tcW w:w="440" w:type="dxa"/>
            <w:vAlign w:val="bottom"/>
            <w:tcBorders>
              <w:bottom w:val="single" w:sz="8" w:color="35BF85"/>
            </w:tcBorders>
          </w:tcPr>
          <w:p>
            <w:pPr>
              <w:ind w:left="300"/>
              <w:spacing w:after="0" w:line="196" w:lineRule="exact"/>
              <w:rPr>
                <w:sz w:val="20"/>
                <w:szCs w:val="20"/>
                <w:color w:val="auto"/>
              </w:rPr>
            </w:pPr>
            <w:r>
              <w:rPr>
                <w:rFonts w:ascii="Arial" w:cs="Arial" w:eastAsia="Arial" w:hAnsi="Arial"/>
                <w:sz w:val="18"/>
                <w:szCs w:val="18"/>
                <w:color w:val="auto"/>
              </w:rPr>
              <w:t>$</w:t>
            </w:r>
          </w:p>
        </w:tc>
        <w:tc>
          <w:tcPr>
            <w:tcW w:w="720" w:type="dxa"/>
            <w:vAlign w:val="bottom"/>
            <w:tcBorders>
              <w:bottom w:val="single" w:sz="8" w:color="35BF85"/>
            </w:tcBorders>
          </w:tcPr>
          <w:p>
            <w:pPr>
              <w:jc w:val="right"/>
              <w:spacing w:after="0" w:line="196" w:lineRule="exact"/>
              <w:rPr>
                <w:sz w:val="20"/>
                <w:szCs w:val="20"/>
                <w:color w:val="auto"/>
              </w:rPr>
            </w:pPr>
            <w:r>
              <w:rPr>
                <w:rFonts w:ascii="Arial" w:cs="Arial" w:eastAsia="Arial" w:hAnsi="Arial"/>
                <w:sz w:val="18"/>
                <w:szCs w:val="18"/>
                <w:color w:val="auto"/>
              </w:rPr>
              <w:t>353.1</w:t>
            </w:r>
          </w:p>
        </w:tc>
        <w:tc>
          <w:tcPr>
            <w:tcW w:w="0" w:type="dxa"/>
            <w:vAlign w:val="bottom"/>
          </w:tcPr>
          <w:p>
            <w:pPr>
              <w:spacing w:after="0"/>
              <w:rPr>
                <w:sz w:val="1"/>
                <w:szCs w:val="1"/>
                <w:color w:val="auto"/>
              </w:rPr>
            </w:pPr>
          </w:p>
        </w:tc>
      </w:tr>
    </w:tbl>
    <w:p>
      <w:pPr>
        <w:spacing w:after="0" w:line="184" w:lineRule="exact"/>
        <w:rPr>
          <w:sz w:val="20"/>
          <w:szCs w:val="20"/>
          <w:color w:val="auto"/>
        </w:rPr>
      </w:pPr>
    </w:p>
    <w:p>
      <w:pPr>
        <w:sectPr>
          <w:pgSz w:w="11900" w:h="16838" w:orient="portrait"/>
          <w:cols w:equalWidth="0" w:num="1">
            <w:col w:w="11420"/>
          </w:cols>
          <w:pgMar w:left="240" w:top="459" w:right="239" w:bottom="1440" w:gutter="0" w:footer="0" w:header="0"/>
        </w:sectPr>
      </w:pPr>
    </w:p>
    <w:p>
      <w:pPr>
        <w:spacing w:after="0" w:line="22" w:lineRule="exact"/>
        <w:rPr>
          <w:sz w:val="20"/>
          <w:szCs w:val="20"/>
          <w:color w:val="auto"/>
        </w:rPr>
      </w:pPr>
    </w:p>
    <w:p>
      <w:pPr>
        <w:jc w:val="both"/>
        <w:spacing w:after="0" w:line="235" w:lineRule="auto"/>
        <w:rPr>
          <w:sz w:val="20"/>
          <w:szCs w:val="20"/>
          <w:color w:val="auto"/>
        </w:rPr>
      </w:pPr>
      <w:r>
        <w:rPr>
          <w:rFonts w:ascii="Arial" w:cs="Arial" w:eastAsia="Arial" w:hAnsi="Arial"/>
          <w:sz w:val="18"/>
          <w:szCs w:val="18"/>
          <w:color w:val="auto"/>
        </w:rPr>
        <w:t>We also maintain a deferred stock option plan for certain employees and directors that provided the optionees with the opportunity to defer the receipt of shares of our Class A or Class A Special common stock that would otherwise be deliverable upon exercise by the optionees of their stock options. As of December 31, 2006, approximately 2.0 million shares (adjusted to reflect the Stock Split) of Class A Special common stock were issuable under exercised options, the receipt of which was irrevocably deferred by the optionees pursuant to our deferred stock option plan.</w:t>
      </w:r>
    </w:p>
    <w:p>
      <w:pPr>
        <w:spacing w:after="0" w:line="13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Stock Option Liquidity Program</w:t>
      </w:r>
    </w:p>
    <w:p>
      <w:pPr>
        <w:spacing w:after="0" w:line="18" w:lineRule="exact"/>
        <w:rPr>
          <w:sz w:val="20"/>
          <w:szCs w:val="20"/>
          <w:color w:val="auto"/>
        </w:rPr>
      </w:pPr>
    </w:p>
    <w:p>
      <w:pPr>
        <w:jc w:val="both"/>
        <w:spacing w:after="0" w:line="267" w:lineRule="auto"/>
        <w:rPr>
          <w:sz w:val="20"/>
          <w:szCs w:val="20"/>
          <w:color w:val="auto"/>
        </w:rPr>
      </w:pPr>
      <w:r>
        <w:rPr>
          <w:rFonts w:ascii="Arial" w:cs="Arial" w:eastAsia="Arial" w:hAnsi="Arial"/>
          <w:sz w:val="16"/>
          <w:szCs w:val="16"/>
          <w:color w:val="auto"/>
        </w:rPr>
        <w:t>During 2004, we repurchased 16.6 million options (adjusted to reflect the Stock Split) from various nonemployee holders of stock options under a stock option liquidity program, targeted primarily to employees of a previously acquired company. The former option holders received $37 million for their options under the program. A financial counterparty we engaged in connection with the stock option liquidity program funded the cost of the program through the simultaneous purchase by the counterparty of new stock options from us that had similar economic terms as the options being purchased by us from the option holders. As of December 31, 2006, 13.9 million options remain outstanding, with a weighted-average exercise price of $30.89 per share (adjusted to reflect the Stock Split), and these options will expire over the course of the next six years.</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Arial" w:cs="Arial" w:eastAsia="Arial" w:hAnsi="Arial"/>
          <w:sz w:val="18"/>
          <w:szCs w:val="18"/>
          <w:b w:val="1"/>
          <w:bCs w:val="1"/>
          <w:color w:val="auto"/>
        </w:rPr>
        <w:t>Restricted Stock Plan</w:t>
      </w:r>
    </w:p>
    <w:p>
      <w:pPr>
        <w:spacing w:after="0" w:line="18" w:lineRule="exact"/>
        <w:rPr>
          <w:sz w:val="20"/>
          <w:szCs w:val="20"/>
          <w:color w:val="auto"/>
        </w:rPr>
      </w:pPr>
    </w:p>
    <w:p>
      <w:pPr>
        <w:jc w:val="both"/>
        <w:ind w:right="120"/>
        <w:spacing w:after="0" w:line="235" w:lineRule="auto"/>
        <w:rPr>
          <w:sz w:val="20"/>
          <w:szCs w:val="20"/>
          <w:color w:val="auto"/>
        </w:rPr>
      </w:pPr>
      <w:r>
        <w:rPr>
          <w:rFonts w:ascii="Arial" w:cs="Arial" w:eastAsia="Arial" w:hAnsi="Arial"/>
          <w:sz w:val="18"/>
          <w:szCs w:val="18"/>
          <w:color w:val="auto"/>
        </w:rPr>
        <w:t>We maintain a restricted stock plan under which certain employees and directors (“Participants”) may be granted restricted share unit awards in our Class A or Class A Special common stock (the “Restricted Stock Plan”). Under our Restricted Stock Plan, approximately 40 million shares (adjusted to reflect the Stock Split) of our Class A and Class A Special common stock are reserved for issuance pursuant to awards under the plan, including those outstanding as of December 31, 2006. Awards of restricted share units are valued by reference to shares of common stock that entitle Participants to receive, upon the settlement of the unit, one share of common stock for each unit. The awards vest annually, generally over a period not to exceed five years from the date of the award, and do not have voting rights.</w:t>
      </w:r>
    </w:p>
    <w:p>
      <w:pPr>
        <w:spacing w:after="0" w:line="161" w:lineRule="exact"/>
        <w:rPr>
          <w:sz w:val="20"/>
          <w:szCs w:val="20"/>
          <w:color w:val="auto"/>
        </w:rPr>
      </w:pPr>
    </w:p>
    <w:p>
      <w:pPr>
        <w:jc w:val="both"/>
        <w:ind w:right="120"/>
        <w:spacing w:after="0" w:line="237" w:lineRule="auto"/>
        <w:rPr>
          <w:sz w:val="20"/>
          <w:szCs w:val="20"/>
          <w:color w:val="auto"/>
        </w:rPr>
      </w:pPr>
      <w:r>
        <w:rPr>
          <w:rFonts w:ascii="Arial" w:cs="Arial" w:eastAsia="Arial" w:hAnsi="Arial"/>
          <w:sz w:val="18"/>
          <w:szCs w:val="18"/>
          <w:color w:val="auto"/>
        </w:rPr>
        <w:t>The following table summarizes the weighted-average fair value at date of grant (adjusted to reflect the Stock Split) and the compensation expense recognized related to restricted share unit awards:</w:t>
      </w:r>
    </w:p>
    <w:p>
      <w:pPr>
        <w:spacing w:after="0" w:line="270" w:lineRule="exact"/>
        <w:rPr>
          <w:sz w:val="20"/>
          <w:szCs w:val="20"/>
          <w:color w:val="auto"/>
        </w:rPr>
      </w:pPr>
    </w:p>
    <w:tbl>
      <w:tblPr>
        <w:tblLayout w:type="fixed"/>
        <w:tblInd w:w="0" w:type="dxa"/>
        <w:tblCellMar>
          <w:top w:w="0" w:type="dxa"/>
          <w:left w:w="0" w:type="dxa"/>
          <w:bottom w:w="0" w:type="dxa"/>
          <w:right w:w="0" w:type="dxa"/>
        </w:tblCellMar>
      </w:tblPr>
      <w:tr>
        <w:trPr>
          <w:trHeight w:val="165"/>
        </w:trPr>
        <w:tc>
          <w:tcPr>
            <w:tcW w:w="2580" w:type="dxa"/>
            <w:vAlign w:val="bottom"/>
            <w:tcBorders>
              <w:bottom w:val="single" w:sz="8" w:color="auto"/>
            </w:tcBorders>
          </w:tcPr>
          <w:p>
            <w:pPr>
              <w:spacing w:after="0"/>
              <w:rPr>
                <w:sz w:val="14"/>
                <w:szCs w:val="14"/>
                <w:color w:val="auto"/>
              </w:rPr>
            </w:pPr>
          </w:p>
        </w:tc>
        <w:tc>
          <w:tcPr>
            <w:tcW w:w="500" w:type="dxa"/>
            <w:vAlign w:val="bottom"/>
            <w:tcBorders>
              <w:bottom w:val="single" w:sz="8" w:color="auto"/>
            </w:tcBorders>
          </w:tcPr>
          <w:p>
            <w:pPr>
              <w:spacing w:after="0"/>
              <w:rPr>
                <w:sz w:val="14"/>
                <w:szCs w:val="14"/>
                <w:color w:val="auto"/>
              </w:rPr>
            </w:pPr>
          </w:p>
        </w:tc>
        <w:tc>
          <w:tcPr>
            <w:tcW w:w="660" w:type="dxa"/>
            <w:vAlign w:val="bottom"/>
            <w:tcBorders>
              <w:bottom w:val="single" w:sz="8" w:color="auto"/>
            </w:tcBorders>
          </w:tcPr>
          <w:p>
            <w:pPr>
              <w:jc w:val="right"/>
              <w:ind w:right="139"/>
              <w:spacing w:after="0"/>
              <w:rPr>
                <w:sz w:val="20"/>
                <w:szCs w:val="20"/>
                <w:color w:val="auto"/>
              </w:rPr>
            </w:pPr>
            <w:r>
              <w:rPr>
                <w:rFonts w:ascii="Arial" w:cs="Arial" w:eastAsia="Arial" w:hAnsi="Arial"/>
                <w:sz w:val="14"/>
                <w:szCs w:val="14"/>
                <w:b w:val="1"/>
                <w:bCs w:val="1"/>
                <w:color w:val="auto"/>
              </w:rPr>
              <w:t>2006</w:t>
            </w:r>
          </w:p>
        </w:tc>
        <w:tc>
          <w:tcPr>
            <w:tcW w:w="320" w:type="dxa"/>
            <w:vAlign w:val="bottom"/>
            <w:tcBorders>
              <w:bottom w:val="single" w:sz="8" w:color="auto"/>
            </w:tcBorders>
          </w:tcPr>
          <w:p>
            <w:pPr>
              <w:spacing w:after="0"/>
              <w:rPr>
                <w:sz w:val="14"/>
                <w:szCs w:val="14"/>
                <w:color w:val="auto"/>
              </w:rPr>
            </w:pPr>
          </w:p>
        </w:tc>
        <w:tc>
          <w:tcPr>
            <w:tcW w:w="660" w:type="dxa"/>
            <w:vAlign w:val="bottom"/>
            <w:tcBorders>
              <w:bottom w:val="single" w:sz="8" w:color="auto"/>
            </w:tcBorders>
          </w:tcPr>
          <w:p>
            <w:pPr>
              <w:jc w:val="right"/>
              <w:ind w:right="139"/>
              <w:spacing w:after="0"/>
              <w:rPr>
                <w:sz w:val="20"/>
                <w:szCs w:val="20"/>
                <w:color w:val="auto"/>
              </w:rPr>
            </w:pPr>
            <w:r>
              <w:rPr>
                <w:rFonts w:ascii="Arial" w:cs="Arial" w:eastAsia="Arial" w:hAnsi="Arial"/>
                <w:sz w:val="14"/>
                <w:szCs w:val="14"/>
                <w:color w:val="auto"/>
              </w:rPr>
              <w:t>2005</w:t>
            </w:r>
          </w:p>
        </w:tc>
        <w:tc>
          <w:tcPr>
            <w:tcW w:w="300" w:type="dxa"/>
            <w:vAlign w:val="bottom"/>
            <w:tcBorders>
              <w:bottom w:val="single" w:sz="8" w:color="auto"/>
            </w:tcBorders>
          </w:tcPr>
          <w:p>
            <w:pPr>
              <w:spacing w:after="0"/>
              <w:rPr>
                <w:sz w:val="14"/>
                <w:szCs w:val="14"/>
                <w:color w:val="auto"/>
              </w:rPr>
            </w:pPr>
          </w:p>
        </w:tc>
        <w:tc>
          <w:tcPr>
            <w:tcW w:w="46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2004</w:t>
            </w:r>
          </w:p>
        </w:tc>
        <w:tc>
          <w:tcPr>
            <w:tcW w:w="0" w:type="dxa"/>
            <w:vAlign w:val="bottom"/>
          </w:tcPr>
          <w:p>
            <w:pPr>
              <w:spacing w:after="0"/>
              <w:rPr>
                <w:sz w:val="1"/>
                <w:szCs w:val="1"/>
                <w:color w:val="auto"/>
              </w:rPr>
            </w:pPr>
          </w:p>
        </w:tc>
      </w:tr>
      <w:tr>
        <w:trPr>
          <w:trHeight w:val="199"/>
        </w:trPr>
        <w:tc>
          <w:tcPr>
            <w:tcW w:w="2580" w:type="dxa"/>
            <w:vAlign w:val="bottom"/>
          </w:tcPr>
          <w:p>
            <w:pPr>
              <w:spacing w:after="0" w:line="200" w:lineRule="exact"/>
              <w:rPr>
                <w:sz w:val="20"/>
                <w:szCs w:val="20"/>
                <w:color w:val="auto"/>
              </w:rPr>
            </w:pPr>
            <w:r>
              <w:rPr>
                <w:rFonts w:ascii="Arial" w:cs="Arial" w:eastAsia="Arial" w:hAnsi="Arial"/>
                <w:sz w:val="18"/>
                <w:szCs w:val="18"/>
                <w:color w:val="auto"/>
              </w:rPr>
              <w:t>Weighted-average fair value</w:t>
            </w:r>
          </w:p>
        </w:tc>
        <w:tc>
          <w:tcPr>
            <w:tcW w:w="500" w:type="dxa"/>
            <w:vAlign w:val="bottom"/>
          </w:tcPr>
          <w:p>
            <w:pPr>
              <w:jc w:val="right"/>
              <w:spacing w:after="0" w:line="200" w:lineRule="exact"/>
              <w:rPr>
                <w:sz w:val="20"/>
                <w:szCs w:val="20"/>
                <w:color w:val="auto"/>
              </w:rPr>
            </w:pPr>
            <w:r>
              <w:rPr>
                <w:rFonts w:ascii="Arial" w:cs="Arial" w:eastAsia="Arial" w:hAnsi="Arial"/>
                <w:sz w:val="18"/>
                <w:szCs w:val="18"/>
                <w:b w:val="1"/>
                <w:bCs w:val="1"/>
                <w:color w:val="auto"/>
              </w:rPr>
              <w:t>$</w:t>
            </w:r>
          </w:p>
        </w:tc>
        <w:tc>
          <w:tcPr>
            <w:tcW w:w="660" w:type="dxa"/>
            <w:vAlign w:val="bottom"/>
          </w:tcPr>
          <w:p>
            <w:pPr>
              <w:jc w:val="right"/>
              <w:ind w:right="139"/>
              <w:spacing w:after="0" w:line="200" w:lineRule="exact"/>
              <w:rPr>
                <w:sz w:val="20"/>
                <w:szCs w:val="20"/>
                <w:color w:val="auto"/>
              </w:rPr>
            </w:pPr>
            <w:r>
              <w:rPr>
                <w:rFonts w:ascii="Arial" w:cs="Arial" w:eastAsia="Arial" w:hAnsi="Arial"/>
                <w:sz w:val="18"/>
                <w:szCs w:val="18"/>
                <w:b w:val="1"/>
                <w:bCs w:val="1"/>
                <w:color w:val="auto"/>
                <w:w w:val="93"/>
              </w:rPr>
              <w:t>19.98</w:t>
            </w:r>
          </w:p>
        </w:tc>
        <w:tc>
          <w:tcPr>
            <w:tcW w:w="320" w:type="dxa"/>
            <w:vAlign w:val="bottom"/>
          </w:tcPr>
          <w:p>
            <w:pPr>
              <w:jc w:val="right"/>
              <w:spacing w:after="0" w:line="200" w:lineRule="exact"/>
              <w:rPr>
                <w:sz w:val="20"/>
                <w:szCs w:val="20"/>
                <w:color w:val="auto"/>
              </w:rPr>
            </w:pPr>
            <w:r>
              <w:rPr>
                <w:rFonts w:ascii="Arial" w:cs="Arial" w:eastAsia="Arial" w:hAnsi="Arial"/>
                <w:sz w:val="18"/>
                <w:szCs w:val="18"/>
                <w:color w:val="auto"/>
              </w:rPr>
              <w:t>$</w:t>
            </w:r>
          </w:p>
        </w:tc>
        <w:tc>
          <w:tcPr>
            <w:tcW w:w="660" w:type="dxa"/>
            <w:vAlign w:val="bottom"/>
          </w:tcPr>
          <w:p>
            <w:pPr>
              <w:jc w:val="right"/>
              <w:ind w:right="139"/>
              <w:spacing w:after="0" w:line="200" w:lineRule="exact"/>
              <w:rPr>
                <w:sz w:val="20"/>
                <w:szCs w:val="20"/>
                <w:color w:val="auto"/>
              </w:rPr>
            </w:pPr>
            <w:r>
              <w:rPr>
                <w:rFonts w:ascii="Arial" w:cs="Arial" w:eastAsia="Arial" w:hAnsi="Arial"/>
                <w:sz w:val="18"/>
                <w:szCs w:val="18"/>
                <w:color w:val="auto"/>
                <w:w w:val="93"/>
              </w:rPr>
              <w:t>22.13</w:t>
            </w:r>
          </w:p>
        </w:tc>
        <w:tc>
          <w:tcPr>
            <w:tcW w:w="300" w:type="dxa"/>
            <w:vAlign w:val="bottom"/>
          </w:tcPr>
          <w:p>
            <w:pPr>
              <w:jc w:val="right"/>
              <w:spacing w:after="0" w:line="200" w:lineRule="exact"/>
              <w:rPr>
                <w:sz w:val="20"/>
                <w:szCs w:val="20"/>
                <w:color w:val="auto"/>
              </w:rPr>
            </w:pPr>
            <w:r>
              <w:rPr>
                <w:rFonts w:ascii="Arial" w:cs="Arial" w:eastAsia="Arial" w:hAnsi="Arial"/>
                <w:sz w:val="18"/>
                <w:szCs w:val="18"/>
                <w:color w:val="auto"/>
              </w:rPr>
              <w:t>$</w:t>
            </w:r>
          </w:p>
        </w:tc>
        <w:tc>
          <w:tcPr>
            <w:tcW w:w="460" w:type="dxa"/>
            <w:vAlign w:val="bottom"/>
          </w:tcPr>
          <w:p>
            <w:pPr>
              <w:jc w:val="right"/>
              <w:spacing w:after="0" w:line="200" w:lineRule="exact"/>
              <w:rPr>
                <w:sz w:val="20"/>
                <w:szCs w:val="20"/>
                <w:color w:val="auto"/>
              </w:rPr>
            </w:pPr>
            <w:r>
              <w:rPr>
                <w:rFonts w:ascii="Arial" w:cs="Arial" w:eastAsia="Arial" w:hAnsi="Arial"/>
                <w:sz w:val="18"/>
                <w:szCs w:val="18"/>
                <w:color w:val="auto"/>
                <w:w w:val="97"/>
              </w:rPr>
              <w:t>20.73</w:t>
            </w:r>
          </w:p>
        </w:tc>
        <w:tc>
          <w:tcPr>
            <w:tcW w:w="0" w:type="dxa"/>
            <w:vAlign w:val="bottom"/>
          </w:tcPr>
          <w:p>
            <w:pPr>
              <w:spacing w:after="0"/>
              <w:rPr>
                <w:sz w:val="1"/>
                <w:szCs w:val="1"/>
                <w:color w:val="auto"/>
              </w:rPr>
            </w:pPr>
          </w:p>
        </w:tc>
      </w:tr>
      <w:tr>
        <w:trPr>
          <w:trHeight w:val="203"/>
        </w:trPr>
        <w:tc>
          <w:tcPr>
            <w:tcW w:w="2580" w:type="dxa"/>
            <w:vAlign w:val="bottom"/>
          </w:tcPr>
          <w:p>
            <w:pPr>
              <w:spacing w:after="0" w:line="202" w:lineRule="exact"/>
              <w:rPr>
                <w:sz w:val="20"/>
                <w:szCs w:val="20"/>
                <w:color w:val="auto"/>
              </w:rPr>
            </w:pPr>
            <w:r>
              <w:rPr>
                <w:rFonts w:ascii="Arial" w:cs="Arial" w:eastAsia="Arial" w:hAnsi="Arial"/>
                <w:sz w:val="18"/>
                <w:szCs w:val="18"/>
                <w:color w:val="auto"/>
              </w:rPr>
              <w:t>Compensation expense</w:t>
            </w:r>
          </w:p>
        </w:tc>
        <w:tc>
          <w:tcPr>
            <w:tcW w:w="500" w:type="dxa"/>
            <w:vAlign w:val="bottom"/>
            <w:vMerge w:val="restart"/>
          </w:tcPr>
          <w:p>
            <w:pPr>
              <w:jc w:val="right"/>
              <w:spacing w:after="0"/>
              <w:rPr>
                <w:sz w:val="20"/>
                <w:szCs w:val="20"/>
                <w:color w:val="auto"/>
              </w:rPr>
            </w:pPr>
            <w:r>
              <w:rPr>
                <w:rFonts w:ascii="Arial" w:cs="Arial" w:eastAsia="Arial" w:hAnsi="Arial"/>
                <w:sz w:val="18"/>
                <w:szCs w:val="18"/>
                <w:b w:val="1"/>
                <w:bCs w:val="1"/>
                <w:color w:val="auto"/>
              </w:rPr>
              <w:t>$</w:t>
            </w:r>
          </w:p>
        </w:tc>
        <w:tc>
          <w:tcPr>
            <w:tcW w:w="660" w:type="dxa"/>
            <w:vAlign w:val="bottom"/>
            <w:vMerge w:val="restart"/>
          </w:tcPr>
          <w:p>
            <w:pPr>
              <w:jc w:val="right"/>
              <w:ind w:right="139"/>
              <w:spacing w:after="0"/>
              <w:rPr>
                <w:sz w:val="20"/>
                <w:szCs w:val="20"/>
                <w:color w:val="auto"/>
              </w:rPr>
            </w:pPr>
            <w:r>
              <w:rPr>
                <w:rFonts w:ascii="Arial" w:cs="Arial" w:eastAsia="Arial" w:hAnsi="Arial"/>
                <w:sz w:val="18"/>
                <w:szCs w:val="18"/>
                <w:b w:val="1"/>
                <w:bCs w:val="1"/>
                <w:color w:val="auto"/>
              </w:rPr>
              <w:t>62</w:t>
            </w:r>
          </w:p>
        </w:tc>
        <w:tc>
          <w:tcPr>
            <w:tcW w:w="32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4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9"/>
        </w:trPr>
        <w:tc>
          <w:tcPr>
            <w:tcW w:w="2580" w:type="dxa"/>
            <w:vAlign w:val="bottom"/>
            <w:tcBorders>
              <w:bottom w:val="single" w:sz="8" w:color="35BF85"/>
            </w:tcBorders>
          </w:tcPr>
          <w:p>
            <w:pPr>
              <w:ind w:left="220"/>
              <w:spacing w:after="0" w:line="200" w:lineRule="exact"/>
              <w:rPr>
                <w:sz w:val="20"/>
                <w:szCs w:val="20"/>
                <w:color w:val="auto"/>
              </w:rPr>
            </w:pPr>
            <w:r>
              <w:rPr>
                <w:rFonts w:ascii="Arial" w:cs="Arial" w:eastAsia="Arial" w:hAnsi="Arial"/>
                <w:sz w:val="18"/>
                <w:szCs w:val="18"/>
                <w:color w:val="auto"/>
              </w:rPr>
              <w:t>recognized (in millions)</w:t>
            </w:r>
          </w:p>
        </w:tc>
        <w:tc>
          <w:tcPr>
            <w:tcW w:w="500" w:type="dxa"/>
            <w:vAlign w:val="bottom"/>
            <w:tcBorders>
              <w:bottom w:val="single" w:sz="8" w:color="35BF85"/>
            </w:tcBorders>
            <w:vMerge w:val="continue"/>
          </w:tcPr>
          <w:p>
            <w:pPr>
              <w:spacing w:after="0"/>
              <w:rPr>
                <w:sz w:val="17"/>
                <w:szCs w:val="17"/>
                <w:color w:val="auto"/>
              </w:rPr>
            </w:pPr>
          </w:p>
        </w:tc>
        <w:tc>
          <w:tcPr>
            <w:tcW w:w="660" w:type="dxa"/>
            <w:vAlign w:val="bottom"/>
            <w:tcBorders>
              <w:bottom w:val="single" w:sz="8" w:color="35BF85"/>
            </w:tcBorders>
            <w:vMerge w:val="continue"/>
          </w:tcPr>
          <w:p>
            <w:pPr>
              <w:spacing w:after="0"/>
              <w:rPr>
                <w:sz w:val="17"/>
                <w:szCs w:val="17"/>
                <w:color w:val="auto"/>
              </w:rPr>
            </w:pPr>
          </w:p>
        </w:tc>
        <w:tc>
          <w:tcPr>
            <w:tcW w:w="320" w:type="dxa"/>
            <w:vAlign w:val="bottom"/>
            <w:tcBorders>
              <w:bottom w:val="single" w:sz="8" w:color="35BF85"/>
            </w:tcBorders>
          </w:tcPr>
          <w:p>
            <w:pPr>
              <w:jc w:val="right"/>
              <w:spacing w:after="0" w:line="200" w:lineRule="exact"/>
              <w:rPr>
                <w:sz w:val="20"/>
                <w:szCs w:val="20"/>
                <w:color w:val="auto"/>
              </w:rPr>
            </w:pPr>
            <w:r>
              <w:rPr>
                <w:rFonts w:ascii="Arial" w:cs="Arial" w:eastAsia="Arial" w:hAnsi="Arial"/>
                <w:sz w:val="18"/>
                <w:szCs w:val="18"/>
                <w:color w:val="auto"/>
              </w:rPr>
              <w:t>$</w:t>
            </w:r>
          </w:p>
        </w:tc>
        <w:tc>
          <w:tcPr>
            <w:tcW w:w="660" w:type="dxa"/>
            <w:vAlign w:val="bottom"/>
            <w:tcBorders>
              <w:bottom w:val="single" w:sz="8" w:color="35BF85"/>
            </w:tcBorders>
          </w:tcPr>
          <w:p>
            <w:pPr>
              <w:jc w:val="right"/>
              <w:ind w:right="139"/>
              <w:spacing w:after="0" w:line="200" w:lineRule="exact"/>
              <w:rPr>
                <w:sz w:val="20"/>
                <w:szCs w:val="20"/>
                <w:color w:val="auto"/>
              </w:rPr>
            </w:pPr>
            <w:r>
              <w:rPr>
                <w:rFonts w:ascii="Arial" w:cs="Arial" w:eastAsia="Arial" w:hAnsi="Arial"/>
                <w:sz w:val="18"/>
                <w:szCs w:val="18"/>
                <w:color w:val="auto"/>
              </w:rPr>
              <w:t>57</w:t>
            </w:r>
          </w:p>
        </w:tc>
        <w:tc>
          <w:tcPr>
            <w:tcW w:w="300" w:type="dxa"/>
            <w:vAlign w:val="bottom"/>
            <w:tcBorders>
              <w:bottom w:val="single" w:sz="8" w:color="35BF85"/>
            </w:tcBorders>
          </w:tcPr>
          <w:p>
            <w:pPr>
              <w:jc w:val="right"/>
              <w:spacing w:after="0" w:line="200" w:lineRule="exact"/>
              <w:rPr>
                <w:sz w:val="20"/>
                <w:szCs w:val="20"/>
                <w:color w:val="auto"/>
              </w:rPr>
            </w:pPr>
            <w:r>
              <w:rPr>
                <w:rFonts w:ascii="Arial" w:cs="Arial" w:eastAsia="Arial" w:hAnsi="Arial"/>
                <w:sz w:val="18"/>
                <w:szCs w:val="18"/>
                <w:color w:val="auto"/>
              </w:rPr>
              <w:t>$</w:t>
            </w:r>
          </w:p>
        </w:tc>
        <w:tc>
          <w:tcPr>
            <w:tcW w:w="460" w:type="dxa"/>
            <w:vAlign w:val="bottom"/>
            <w:tcBorders>
              <w:bottom w:val="single" w:sz="8" w:color="35BF85"/>
            </w:tcBorders>
          </w:tcPr>
          <w:p>
            <w:pPr>
              <w:jc w:val="right"/>
              <w:spacing w:after="0" w:line="200" w:lineRule="exact"/>
              <w:rPr>
                <w:sz w:val="20"/>
                <w:szCs w:val="20"/>
                <w:color w:val="auto"/>
              </w:rPr>
            </w:pPr>
            <w:r>
              <w:rPr>
                <w:rFonts w:ascii="Arial" w:cs="Arial" w:eastAsia="Arial" w:hAnsi="Arial"/>
                <w:sz w:val="18"/>
                <w:szCs w:val="18"/>
                <w:color w:val="auto"/>
              </w:rPr>
              <w:t>33</w:t>
            </w:r>
          </w:p>
        </w:tc>
        <w:tc>
          <w:tcPr>
            <w:tcW w:w="0" w:type="dxa"/>
            <w:vAlign w:val="bottom"/>
          </w:tcPr>
          <w:p>
            <w:pPr>
              <w:spacing w:after="0"/>
              <w:rPr>
                <w:sz w:val="1"/>
                <w:szCs w:val="1"/>
                <w:color w:val="auto"/>
              </w:rPr>
            </w:pPr>
          </w:p>
        </w:tc>
      </w:tr>
    </w:tbl>
    <w:p>
      <w:pPr>
        <w:spacing w:after="0" w:line="200" w:lineRule="exact"/>
        <w:rPr>
          <w:sz w:val="20"/>
          <w:szCs w:val="20"/>
          <w:color w:val="auto"/>
        </w:rPr>
      </w:pPr>
    </w:p>
    <w:p>
      <w:pPr>
        <w:sectPr>
          <w:pgSz w:w="11900" w:h="16838" w:orient="portrait"/>
          <w:cols w:equalWidth="0" w:num="2">
            <w:col w:w="5480" w:space="340"/>
            <w:col w:w="5600"/>
          </w:cols>
          <w:pgMar w:left="240" w:top="459" w:right="239" w:bottom="1440" w:gutter="0" w:footer="0" w:header="0"/>
          <w:type w:val="continuous"/>
        </w:sectPr>
      </w:pPr>
    </w:p>
    <w:p>
      <w:pPr>
        <w:spacing w:after="0" w:line="67" w:lineRule="exact"/>
        <w:rPr>
          <w:sz w:val="20"/>
          <w:szCs w:val="20"/>
          <w:color w:val="auto"/>
        </w:rPr>
      </w:pPr>
    </w:p>
    <w:p>
      <w:pPr>
        <w:ind w:left="5680"/>
        <w:spacing w:after="0"/>
        <w:tabs>
          <w:tab w:leader="none" w:pos="6760" w:val="left"/>
        </w:tabs>
        <w:rPr>
          <w:sz w:val="20"/>
          <w:szCs w:val="20"/>
          <w:color w:val="auto"/>
        </w:rPr>
      </w:pPr>
      <w:r>
        <w:rPr>
          <w:rFonts w:ascii="Arial" w:cs="Arial" w:eastAsia="Arial" w:hAnsi="Arial"/>
          <w:sz w:val="12"/>
          <w:szCs w:val="12"/>
          <w:b w:val="1"/>
          <w:bCs w:val="1"/>
          <w:color w:val="auto"/>
        </w:rPr>
        <w:t>59</w:t>
      </w:r>
      <w:r>
        <w:rPr>
          <w:sz w:val="20"/>
          <w:szCs w:val="20"/>
          <w:color w:val="auto"/>
        </w:rPr>
        <w:tab/>
      </w:r>
      <w:r>
        <w:rPr>
          <w:rFonts w:ascii="Arial" w:cs="Arial" w:eastAsia="Arial" w:hAnsi="Arial"/>
          <w:sz w:val="12"/>
          <w:szCs w:val="12"/>
          <w:color w:val="auto"/>
        </w:rPr>
        <w:t xml:space="preserve">Comcast 2006 Annual Report </w:t>
      </w:r>
      <w:r>
        <w:rPr>
          <w:rFonts w:ascii="Arial" w:cs="Arial" w:eastAsia="Arial" w:hAnsi="Arial"/>
          <w:sz w:val="12"/>
          <w:szCs w:val="12"/>
          <w:b w:val="1"/>
          <w:bCs w:val="1"/>
          <w:color w:val="auto"/>
        </w:rPr>
        <w:t>Notes to Consolidated Financial Statements</w:t>
      </w:r>
    </w:p>
    <w:p>
      <w:pPr>
        <w:sectPr>
          <w:pgSz w:w="11900" w:h="16838" w:orient="portrait"/>
          <w:cols w:equalWidth="0" w:num="1">
            <w:col w:w="11420"/>
          </w:cols>
          <w:pgMar w:left="240" w:top="459" w:right="239" w:bottom="1440" w:gutter="0" w:footer="0" w:header="0"/>
          <w:type w:val="continuous"/>
        </w:sectPr>
      </w:pPr>
    </w:p>
    <w:bookmarkStart w:id="136" w:name="page137"/>
    <w:bookmarkEnd w:id="136"/>
    <w:p>
      <w:pPr>
        <w:spacing w:after="0"/>
        <w:rPr>
          <w:rFonts w:ascii="Arial" w:cs="Arial" w:eastAsia="Arial" w:hAnsi="Arial"/>
          <w:sz w:val="18"/>
          <w:szCs w:val="18"/>
          <w:b w:val="1"/>
          <w:bCs w:val="1"/>
          <w:u w:val="single" w:color="auto"/>
          <w:color w:val="0000EE"/>
        </w:rPr>
      </w:pPr>
      <w:hyperlink w:anchor="page3">
        <w:r>
          <w:rPr>
            <w:rFonts w:ascii="Arial" w:cs="Arial" w:eastAsia="Arial" w:hAnsi="Arial"/>
            <w:sz w:val="18"/>
            <w:szCs w:val="18"/>
            <w:b w:val="1"/>
            <w:bCs w:val="1"/>
            <w:u w:val="single" w:color="auto"/>
            <w:color w:val="0000EE"/>
          </w:rPr>
          <w:t>Table of Contents</w:t>
        </w:r>
      </w:hyperlink>
    </w:p>
    <w:p>
      <w:pPr>
        <w:spacing w:after="0" w:line="200" w:lineRule="exact"/>
        <w:rPr>
          <w:sz w:val="20"/>
          <w:szCs w:val="20"/>
          <w:color w:val="auto"/>
        </w:rPr>
      </w:pPr>
    </w:p>
    <w:p>
      <w:pPr>
        <w:spacing w:after="0" w:line="276" w:lineRule="exact"/>
        <w:rPr>
          <w:sz w:val="20"/>
          <w:szCs w:val="20"/>
          <w:color w:val="auto"/>
        </w:rPr>
      </w:pPr>
    </w:p>
    <w:p>
      <w:pPr>
        <w:jc w:val="both"/>
        <w:spacing w:after="0" w:line="238" w:lineRule="auto"/>
        <w:rPr>
          <w:sz w:val="20"/>
          <w:szCs w:val="20"/>
          <w:color w:val="auto"/>
        </w:rPr>
      </w:pPr>
      <w:r>
        <w:rPr>
          <w:rFonts w:ascii="Arial" w:cs="Arial" w:eastAsia="Arial" w:hAnsi="Arial"/>
          <w:sz w:val="18"/>
          <w:szCs w:val="18"/>
          <w:color w:val="auto"/>
        </w:rPr>
        <w:t>The following table summarizes the activity of the Restricted Stock Plan for the year ended December 31, 2006 (adjusted to reflect the Stock Split):</w:t>
      </w:r>
    </w:p>
    <w:p>
      <w:pPr>
        <w:spacing w:after="0" w:line="178"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120" w:type="dxa"/>
            <w:vAlign w:val="bottom"/>
          </w:tcPr>
          <w:p>
            <w:pPr>
              <w:spacing w:after="0"/>
              <w:rPr>
                <w:sz w:val="14"/>
                <w:szCs w:val="14"/>
                <w:color w:val="auto"/>
              </w:rPr>
            </w:pPr>
          </w:p>
        </w:tc>
        <w:tc>
          <w:tcPr>
            <w:tcW w:w="2140" w:type="dxa"/>
            <w:vAlign w:val="bottom"/>
          </w:tcPr>
          <w:p>
            <w:pPr>
              <w:jc w:val="right"/>
              <w:ind w:right="272"/>
              <w:spacing w:after="0"/>
              <w:rPr>
                <w:sz w:val="20"/>
                <w:szCs w:val="20"/>
                <w:color w:val="auto"/>
              </w:rPr>
            </w:pPr>
            <w:r>
              <w:rPr>
                <w:rFonts w:ascii="Arial" w:cs="Arial" w:eastAsia="Arial" w:hAnsi="Arial"/>
                <w:sz w:val="14"/>
                <w:szCs w:val="14"/>
                <w:color w:val="auto"/>
              </w:rPr>
              <w:t>Number of Nonvested</w:t>
            </w:r>
          </w:p>
        </w:tc>
        <w:tc>
          <w:tcPr>
            <w:tcW w:w="480" w:type="dxa"/>
            <w:vAlign w:val="bottom"/>
          </w:tcPr>
          <w:p>
            <w:pPr>
              <w:spacing w:after="0"/>
              <w:rPr>
                <w:sz w:val="14"/>
                <w:szCs w:val="14"/>
                <w:color w:val="auto"/>
              </w:rPr>
            </w:pPr>
          </w:p>
        </w:tc>
        <w:tc>
          <w:tcPr>
            <w:tcW w:w="740" w:type="dxa"/>
            <w:vAlign w:val="bottom"/>
          </w:tcPr>
          <w:p>
            <w:pPr>
              <w:jc w:val="right"/>
              <w:spacing w:after="0"/>
              <w:rPr>
                <w:sz w:val="20"/>
                <w:szCs w:val="20"/>
                <w:color w:val="auto"/>
              </w:rPr>
            </w:pPr>
            <w:r>
              <w:rPr>
                <w:rFonts w:ascii="Arial" w:cs="Arial" w:eastAsia="Arial" w:hAnsi="Arial"/>
                <w:sz w:val="14"/>
                <w:szCs w:val="14"/>
                <w:color w:val="auto"/>
              </w:rPr>
              <w:t>Weighted-</w:t>
            </w:r>
          </w:p>
        </w:tc>
      </w:tr>
      <w:tr>
        <w:trPr>
          <w:trHeight w:val="149"/>
        </w:trPr>
        <w:tc>
          <w:tcPr>
            <w:tcW w:w="2120" w:type="dxa"/>
            <w:vAlign w:val="bottom"/>
          </w:tcPr>
          <w:p>
            <w:pPr>
              <w:spacing w:after="0"/>
              <w:rPr>
                <w:sz w:val="12"/>
                <w:szCs w:val="12"/>
                <w:color w:val="auto"/>
              </w:rPr>
            </w:pPr>
          </w:p>
        </w:tc>
        <w:tc>
          <w:tcPr>
            <w:tcW w:w="2140" w:type="dxa"/>
            <w:vAlign w:val="bottom"/>
          </w:tcPr>
          <w:p>
            <w:pPr>
              <w:jc w:val="right"/>
              <w:ind w:right="272"/>
              <w:spacing w:after="0" w:line="149" w:lineRule="exact"/>
              <w:rPr>
                <w:sz w:val="20"/>
                <w:szCs w:val="20"/>
                <w:color w:val="auto"/>
              </w:rPr>
            </w:pPr>
            <w:r>
              <w:rPr>
                <w:rFonts w:ascii="Arial" w:cs="Arial" w:eastAsia="Arial" w:hAnsi="Arial"/>
                <w:sz w:val="14"/>
                <w:szCs w:val="14"/>
                <w:color w:val="auto"/>
              </w:rPr>
              <w:t>Share Unit Awards</w:t>
            </w:r>
          </w:p>
        </w:tc>
        <w:tc>
          <w:tcPr>
            <w:tcW w:w="1220" w:type="dxa"/>
            <w:vAlign w:val="bottom"/>
            <w:gridSpan w:val="2"/>
          </w:tcPr>
          <w:p>
            <w:pPr>
              <w:jc w:val="right"/>
              <w:spacing w:after="0" w:line="149" w:lineRule="exact"/>
              <w:rPr>
                <w:sz w:val="20"/>
                <w:szCs w:val="20"/>
                <w:color w:val="auto"/>
              </w:rPr>
            </w:pPr>
            <w:r>
              <w:rPr>
                <w:rFonts w:ascii="Arial" w:cs="Arial" w:eastAsia="Arial" w:hAnsi="Arial"/>
                <w:sz w:val="14"/>
                <w:szCs w:val="14"/>
                <w:color w:val="auto"/>
              </w:rPr>
              <w:t>Average Grant</w:t>
            </w:r>
          </w:p>
        </w:tc>
      </w:tr>
      <w:tr>
        <w:trPr>
          <w:trHeight w:val="163"/>
        </w:trPr>
        <w:tc>
          <w:tcPr>
            <w:tcW w:w="2120" w:type="dxa"/>
            <w:vAlign w:val="bottom"/>
            <w:tcBorders>
              <w:bottom w:val="single" w:sz="8" w:color="auto"/>
            </w:tcBorders>
          </w:tcPr>
          <w:p>
            <w:pPr>
              <w:spacing w:after="0"/>
              <w:rPr>
                <w:sz w:val="14"/>
                <w:szCs w:val="14"/>
                <w:color w:val="auto"/>
              </w:rPr>
            </w:pPr>
          </w:p>
        </w:tc>
        <w:tc>
          <w:tcPr>
            <w:tcW w:w="2140" w:type="dxa"/>
            <w:vAlign w:val="bottom"/>
            <w:tcBorders>
              <w:bottom w:val="single" w:sz="8" w:color="auto"/>
            </w:tcBorders>
          </w:tcPr>
          <w:p>
            <w:pPr>
              <w:jc w:val="right"/>
              <w:ind w:right="272"/>
              <w:spacing w:after="0"/>
              <w:rPr>
                <w:sz w:val="20"/>
                <w:szCs w:val="20"/>
                <w:color w:val="auto"/>
              </w:rPr>
            </w:pPr>
            <w:r>
              <w:rPr>
                <w:rFonts w:ascii="Arial" w:cs="Arial" w:eastAsia="Arial" w:hAnsi="Arial"/>
                <w:sz w:val="14"/>
                <w:szCs w:val="14"/>
                <w:color w:val="auto"/>
              </w:rPr>
              <w:t>(in thousands)</w:t>
            </w:r>
          </w:p>
        </w:tc>
        <w:tc>
          <w:tcPr>
            <w:tcW w:w="1220" w:type="dxa"/>
            <w:vAlign w:val="bottom"/>
            <w:tcBorders>
              <w:bottom w:val="single" w:sz="8" w:color="auto"/>
            </w:tcBorders>
            <w:gridSpan w:val="2"/>
          </w:tcPr>
          <w:p>
            <w:pPr>
              <w:jc w:val="right"/>
              <w:spacing w:after="0"/>
              <w:rPr>
                <w:sz w:val="20"/>
                <w:szCs w:val="20"/>
                <w:color w:val="auto"/>
              </w:rPr>
            </w:pPr>
            <w:r>
              <w:rPr>
                <w:rFonts w:ascii="Arial" w:cs="Arial" w:eastAsia="Arial" w:hAnsi="Arial"/>
                <w:sz w:val="14"/>
                <w:szCs w:val="14"/>
                <w:color w:val="auto"/>
              </w:rPr>
              <w:t>Date Fair Value</w:t>
            </w:r>
          </w:p>
        </w:tc>
      </w:tr>
      <w:tr>
        <w:trPr>
          <w:trHeight w:val="141"/>
        </w:trPr>
        <w:tc>
          <w:tcPr>
            <w:tcW w:w="2120" w:type="dxa"/>
            <w:vAlign w:val="bottom"/>
          </w:tcPr>
          <w:p>
            <w:pPr>
              <w:ind w:left="20"/>
              <w:spacing w:after="0" w:line="141" w:lineRule="exact"/>
              <w:rPr>
                <w:sz w:val="20"/>
                <w:szCs w:val="20"/>
                <w:color w:val="auto"/>
              </w:rPr>
            </w:pPr>
            <w:r>
              <w:rPr>
                <w:rFonts w:ascii="Arial" w:cs="Arial" w:eastAsia="Arial" w:hAnsi="Arial"/>
                <w:sz w:val="14"/>
                <w:szCs w:val="14"/>
                <w:b w:val="1"/>
                <w:bCs w:val="1"/>
                <w:color w:val="auto"/>
              </w:rPr>
              <w:t>Class A Common Stock</w:t>
            </w:r>
          </w:p>
        </w:tc>
        <w:tc>
          <w:tcPr>
            <w:tcW w:w="214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740" w:type="dxa"/>
            <w:vAlign w:val="bottom"/>
          </w:tcPr>
          <w:p>
            <w:pPr>
              <w:spacing w:after="0"/>
              <w:rPr>
                <w:sz w:val="12"/>
                <w:szCs w:val="12"/>
                <w:color w:val="auto"/>
              </w:rPr>
            </w:pPr>
          </w:p>
        </w:tc>
      </w:tr>
      <w:tr>
        <w:trPr>
          <w:trHeight w:val="149"/>
        </w:trPr>
        <w:tc>
          <w:tcPr>
            <w:tcW w:w="2120" w:type="dxa"/>
            <w:vAlign w:val="bottom"/>
          </w:tcPr>
          <w:p>
            <w:pPr>
              <w:ind w:left="20"/>
              <w:spacing w:after="0" w:line="149" w:lineRule="exact"/>
              <w:rPr>
                <w:sz w:val="20"/>
                <w:szCs w:val="20"/>
                <w:color w:val="auto"/>
              </w:rPr>
            </w:pPr>
            <w:r>
              <w:rPr>
                <w:rFonts w:ascii="Arial" w:cs="Arial" w:eastAsia="Arial" w:hAnsi="Arial"/>
                <w:sz w:val="14"/>
                <w:szCs w:val="14"/>
                <w:color w:val="auto"/>
              </w:rPr>
              <w:t>Nonvested awards as of</w:t>
            </w:r>
          </w:p>
        </w:tc>
        <w:tc>
          <w:tcPr>
            <w:tcW w:w="214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740" w:type="dxa"/>
            <w:vAlign w:val="bottom"/>
          </w:tcPr>
          <w:p>
            <w:pPr>
              <w:spacing w:after="0"/>
              <w:rPr>
                <w:sz w:val="12"/>
                <w:szCs w:val="12"/>
                <w:color w:val="auto"/>
              </w:rPr>
            </w:pPr>
          </w:p>
        </w:tc>
      </w:tr>
      <w:tr>
        <w:trPr>
          <w:trHeight w:val="149"/>
        </w:trPr>
        <w:tc>
          <w:tcPr>
            <w:tcW w:w="2120" w:type="dxa"/>
            <w:vAlign w:val="bottom"/>
          </w:tcPr>
          <w:p>
            <w:pPr>
              <w:ind w:left="220"/>
              <w:spacing w:after="0" w:line="149" w:lineRule="exact"/>
              <w:rPr>
                <w:sz w:val="20"/>
                <w:szCs w:val="20"/>
                <w:color w:val="auto"/>
              </w:rPr>
            </w:pPr>
            <w:r>
              <w:rPr>
                <w:rFonts w:ascii="Arial" w:cs="Arial" w:eastAsia="Arial" w:hAnsi="Arial"/>
                <w:sz w:val="14"/>
                <w:szCs w:val="14"/>
                <w:color w:val="auto"/>
              </w:rPr>
              <w:t>January 1, 2006</w:t>
            </w:r>
          </w:p>
        </w:tc>
        <w:tc>
          <w:tcPr>
            <w:tcW w:w="2140" w:type="dxa"/>
            <w:vAlign w:val="bottom"/>
          </w:tcPr>
          <w:p>
            <w:pPr>
              <w:jc w:val="right"/>
              <w:ind w:right="272"/>
              <w:spacing w:after="0" w:line="149" w:lineRule="exact"/>
              <w:rPr>
                <w:sz w:val="20"/>
                <w:szCs w:val="20"/>
                <w:color w:val="auto"/>
              </w:rPr>
            </w:pPr>
            <w:r>
              <w:rPr>
                <w:rFonts w:ascii="Arial" w:cs="Arial" w:eastAsia="Arial" w:hAnsi="Arial"/>
                <w:sz w:val="14"/>
                <w:szCs w:val="14"/>
                <w:color w:val="auto"/>
              </w:rPr>
              <w:t>8,474</w:t>
            </w:r>
          </w:p>
        </w:tc>
        <w:tc>
          <w:tcPr>
            <w:tcW w:w="480" w:type="dxa"/>
            <w:vAlign w:val="bottom"/>
          </w:tcPr>
          <w:p>
            <w:pPr>
              <w:jc w:val="right"/>
              <w:ind w:right="52"/>
              <w:spacing w:after="0" w:line="149" w:lineRule="exact"/>
              <w:rPr>
                <w:sz w:val="20"/>
                <w:szCs w:val="20"/>
                <w:color w:val="auto"/>
              </w:rPr>
            </w:pPr>
            <w:r>
              <w:rPr>
                <w:rFonts w:ascii="Arial" w:cs="Arial" w:eastAsia="Arial" w:hAnsi="Arial"/>
                <w:sz w:val="14"/>
                <w:szCs w:val="14"/>
                <w:color w:val="auto"/>
              </w:rPr>
              <w:t>$</w:t>
            </w:r>
          </w:p>
        </w:tc>
        <w:tc>
          <w:tcPr>
            <w:tcW w:w="740" w:type="dxa"/>
            <w:vAlign w:val="bottom"/>
          </w:tcPr>
          <w:p>
            <w:pPr>
              <w:jc w:val="right"/>
              <w:spacing w:after="0" w:line="149" w:lineRule="exact"/>
              <w:rPr>
                <w:sz w:val="20"/>
                <w:szCs w:val="20"/>
                <w:color w:val="auto"/>
              </w:rPr>
            </w:pPr>
            <w:r>
              <w:rPr>
                <w:rFonts w:ascii="Arial" w:cs="Arial" w:eastAsia="Arial" w:hAnsi="Arial"/>
                <w:sz w:val="14"/>
                <w:szCs w:val="14"/>
                <w:color w:val="auto"/>
              </w:rPr>
              <w:t>21.70</w:t>
            </w:r>
          </w:p>
        </w:tc>
      </w:tr>
      <w:tr>
        <w:trPr>
          <w:trHeight w:val="149"/>
        </w:trPr>
        <w:tc>
          <w:tcPr>
            <w:tcW w:w="2120" w:type="dxa"/>
            <w:vAlign w:val="bottom"/>
          </w:tcPr>
          <w:p>
            <w:pPr>
              <w:ind w:left="20"/>
              <w:spacing w:after="0" w:line="149" w:lineRule="exact"/>
              <w:rPr>
                <w:sz w:val="20"/>
                <w:szCs w:val="20"/>
                <w:color w:val="auto"/>
              </w:rPr>
            </w:pPr>
            <w:r>
              <w:rPr>
                <w:rFonts w:ascii="Arial" w:cs="Arial" w:eastAsia="Arial" w:hAnsi="Arial"/>
                <w:sz w:val="14"/>
                <w:szCs w:val="14"/>
                <w:color w:val="auto"/>
              </w:rPr>
              <w:t>Granted</w:t>
            </w:r>
          </w:p>
        </w:tc>
        <w:tc>
          <w:tcPr>
            <w:tcW w:w="2140" w:type="dxa"/>
            <w:vAlign w:val="bottom"/>
          </w:tcPr>
          <w:p>
            <w:pPr>
              <w:jc w:val="right"/>
              <w:ind w:right="272"/>
              <w:spacing w:after="0" w:line="149" w:lineRule="exact"/>
              <w:rPr>
                <w:sz w:val="20"/>
                <w:szCs w:val="20"/>
                <w:color w:val="auto"/>
              </w:rPr>
            </w:pPr>
            <w:r>
              <w:rPr>
                <w:rFonts w:ascii="Arial" w:cs="Arial" w:eastAsia="Arial" w:hAnsi="Arial"/>
                <w:sz w:val="14"/>
                <w:szCs w:val="14"/>
                <w:color w:val="auto"/>
              </w:rPr>
              <w:t>7,539</w:t>
            </w:r>
          </w:p>
        </w:tc>
        <w:tc>
          <w:tcPr>
            <w:tcW w:w="480" w:type="dxa"/>
            <w:vAlign w:val="bottom"/>
          </w:tcPr>
          <w:p>
            <w:pPr>
              <w:jc w:val="right"/>
              <w:ind w:right="52"/>
              <w:spacing w:after="0" w:line="149" w:lineRule="exact"/>
              <w:rPr>
                <w:sz w:val="20"/>
                <w:szCs w:val="20"/>
                <w:color w:val="auto"/>
              </w:rPr>
            </w:pPr>
            <w:r>
              <w:rPr>
                <w:rFonts w:ascii="Arial" w:cs="Arial" w:eastAsia="Arial" w:hAnsi="Arial"/>
                <w:sz w:val="14"/>
                <w:szCs w:val="14"/>
                <w:color w:val="auto"/>
              </w:rPr>
              <w:t>$</w:t>
            </w:r>
          </w:p>
        </w:tc>
        <w:tc>
          <w:tcPr>
            <w:tcW w:w="740" w:type="dxa"/>
            <w:vAlign w:val="bottom"/>
          </w:tcPr>
          <w:p>
            <w:pPr>
              <w:jc w:val="right"/>
              <w:spacing w:after="0" w:line="149" w:lineRule="exact"/>
              <w:rPr>
                <w:sz w:val="20"/>
                <w:szCs w:val="20"/>
                <w:color w:val="auto"/>
              </w:rPr>
            </w:pPr>
            <w:r>
              <w:rPr>
                <w:rFonts w:ascii="Arial" w:cs="Arial" w:eastAsia="Arial" w:hAnsi="Arial"/>
                <w:sz w:val="14"/>
                <w:szCs w:val="14"/>
                <w:color w:val="auto"/>
              </w:rPr>
              <w:t>19.98</w:t>
            </w:r>
          </w:p>
        </w:tc>
      </w:tr>
      <w:tr>
        <w:trPr>
          <w:trHeight w:val="149"/>
        </w:trPr>
        <w:tc>
          <w:tcPr>
            <w:tcW w:w="2120" w:type="dxa"/>
            <w:vAlign w:val="bottom"/>
          </w:tcPr>
          <w:p>
            <w:pPr>
              <w:ind w:left="20"/>
              <w:spacing w:after="0" w:line="149" w:lineRule="exact"/>
              <w:rPr>
                <w:sz w:val="20"/>
                <w:szCs w:val="20"/>
                <w:color w:val="auto"/>
              </w:rPr>
            </w:pPr>
            <w:r>
              <w:rPr>
                <w:rFonts w:ascii="Arial" w:cs="Arial" w:eastAsia="Arial" w:hAnsi="Arial"/>
                <w:sz w:val="14"/>
                <w:szCs w:val="14"/>
                <w:color w:val="auto"/>
              </w:rPr>
              <w:t>Vested</w:t>
            </w:r>
          </w:p>
        </w:tc>
        <w:tc>
          <w:tcPr>
            <w:tcW w:w="2140" w:type="dxa"/>
            <w:vAlign w:val="bottom"/>
          </w:tcPr>
          <w:p>
            <w:pPr>
              <w:jc w:val="right"/>
              <w:ind w:right="212"/>
              <w:spacing w:after="0" w:line="149" w:lineRule="exact"/>
              <w:rPr>
                <w:sz w:val="20"/>
                <w:szCs w:val="20"/>
                <w:color w:val="auto"/>
              </w:rPr>
            </w:pPr>
            <w:r>
              <w:rPr>
                <w:rFonts w:ascii="Arial" w:cs="Arial" w:eastAsia="Arial" w:hAnsi="Arial"/>
                <w:sz w:val="14"/>
                <w:szCs w:val="14"/>
                <w:color w:val="auto"/>
              </w:rPr>
              <w:t>(1,635)</w:t>
            </w:r>
          </w:p>
        </w:tc>
        <w:tc>
          <w:tcPr>
            <w:tcW w:w="480" w:type="dxa"/>
            <w:vAlign w:val="bottom"/>
          </w:tcPr>
          <w:p>
            <w:pPr>
              <w:jc w:val="right"/>
              <w:ind w:right="52"/>
              <w:spacing w:after="0" w:line="149" w:lineRule="exact"/>
              <w:rPr>
                <w:sz w:val="20"/>
                <w:szCs w:val="20"/>
                <w:color w:val="auto"/>
              </w:rPr>
            </w:pPr>
            <w:r>
              <w:rPr>
                <w:rFonts w:ascii="Arial" w:cs="Arial" w:eastAsia="Arial" w:hAnsi="Arial"/>
                <w:sz w:val="14"/>
                <w:szCs w:val="14"/>
                <w:color w:val="auto"/>
              </w:rPr>
              <w:t>$</w:t>
            </w:r>
          </w:p>
        </w:tc>
        <w:tc>
          <w:tcPr>
            <w:tcW w:w="740" w:type="dxa"/>
            <w:vAlign w:val="bottom"/>
          </w:tcPr>
          <w:p>
            <w:pPr>
              <w:jc w:val="right"/>
              <w:spacing w:after="0" w:line="149" w:lineRule="exact"/>
              <w:rPr>
                <w:sz w:val="20"/>
                <w:szCs w:val="20"/>
                <w:color w:val="auto"/>
              </w:rPr>
            </w:pPr>
            <w:r>
              <w:rPr>
                <w:rFonts w:ascii="Arial" w:cs="Arial" w:eastAsia="Arial" w:hAnsi="Arial"/>
                <w:sz w:val="14"/>
                <w:szCs w:val="14"/>
                <w:color w:val="auto"/>
              </w:rPr>
              <w:t>21.90</w:t>
            </w:r>
          </w:p>
        </w:tc>
      </w:tr>
      <w:tr>
        <w:trPr>
          <w:trHeight w:val="149"/>
        </w:trPr>
        <w:tc>
          <w:tcPr>
            <w:tcW w:w="2120" w:type="dxa"/>
            <w:vAlign w:val="bottom"/>
            <w:tcBorders>
              <w:bottom w:val="single" w:sz="8" w:color="auto"/>
            </w:tcBorders>
          </w:tcPr>
          <w:p>
            <w:pPr>
              <w:ind w:left="20"/>
              <w:spacing w:after="0" w:line="149" w:lineRule="exact"/>
              <w:rPr>
                <w:sz w:val="20"/>
                <w:szCs w:val="20"/>
                <w:color w:val="auto"/>
              </w:rPr>
            </w:pPr>
            <w:r>
              <w:rPr>
                <w:rFonts w:ascii="Arial" w:cs="Arial" w:eastAsia="Arial" w:hAnsi="Arial"/>
                <w:sz w:val="14"/>
                <w:szCs w:val="14"/>
                <w:color w:val="auto"/>
              </w:rPr>
              <w:t>Forfeited</w:t>
            </w:r>
          </w:p>
        </w:tc>
        <w:tc>
          <w:tcPr>
            <w:tcW w:w="2140" w:type="dxa"/>
            <w:vAlign w:val="bottom"/>
            <w:tcBorders>
              <w:bottom w:val="single" w:sz="8" w:color="auto"/>
            </w:tcBorders>
          </w:tcPr>
          <w:p>
            <w:pPr>
              <w:jc w:val="right"/>
              <w:ind w:right="212"/>
              <w:spacing w:after="0" w:line="149" w:lineRule="exact"/>
              <w:rPr>
                <w:sz w:val="20"/>
                <w:szCs w:val="20"/>
                <w:color w:val="auto"/>
              </w:rPr>
            </w:pPr>
            <w:r>
              <w:rPr>
                <w:rFonts w:ascii="Arial" w:cs="Arial" w:eastAsia="Arial" w:hAnsi="Arial"/>
                <w:sz w:val="14"/>
                <w:szCs w:val="14"/>
                <w:color w:val="auto"/>
              </w:rPr>
              <w:t>(894)</w:t>
            </w:r>
          </w:p>
        </w:tc>
        <w:tc>
          <w:tcPr>
            <w:tcW w:w="480" w:type="dxa"/>
            <w:vAlign w:val="bottom"/>
            <w:tcBorders>
              <w:bottom w:val="single" w:sz="8" w:color="auto"/>
            </w:tcBorders>
          </w:tcPr>
          <w:p>
            <w:pPr>
              <w:jc w:val="right"/>
              <w:ind w:right="52"/>
              <w:spacing w:after="0" w:line="149" w:lineRule="exact"/>
              <w:rPr>
                <w:sz w:val="20"/>
                <w:szCs w:val="20"/>
                <w:color w:val="auto"/>
              </w:rPr>
            </w:pPr>
            <w:r>
              <w:rPr>
                <w:rFonts w:ascii="Arial" w:cs="Arial" w:eastAsia="Arial" w:hAnsi="Arial"/>
                <w:sz w:val="14"/>
                <w:szCs w:val="14"/>
                <w:color w:val="auto"/>
              </w:rPr>
              <w:t>$</w:t>
            </w:r>
          </w:p>
        </w:tc>
        <w:tc>
          <w:tcPr>
            <w:tcW w:w="740" w:type="dxa"/>
            <w:vAlign w:val="bottom"/>
            <w:tcBorders>
              <w:bottom w:val="single" w:sz="8" w:color="auto"/>
            </w:tcBorders>
          </w:tcPr>
          <w:p>
            <w:pPr>
              <w:jc w:val="right"/>
              <w:spacing w:after="0" w:line="149" w:lineRule="exact"/>
              <w:rPr>
                <w:sz w:val="20"/>
                <w:szCs w:val="20"/>
                <w:color w:val="auto"/>
              </w:rPr>
            </w:pPr>
            <w:r>
              <w:rPr>
                <w:rFonts w:ascii="Arial" w:cs="Arial" w:eastAsia="Arial" w:hAnsi="Arial"/>
                <w:sz w:val="14"/>
                <w:szCs w:val="14"/>
                <w:color w:val="auto"/>
              </w:rPr>
              <w:t>20.76</w:t>
            </w:r>
          </w:p>
        </w:tc>
      </w:tr>
      <w:tr>
        <w:trPr>
          <w:trHeight w:val="141"/>
        </w:trPr>
        <w:tc>
          <w:tcPr>
            <w:tcW w:w="2120" w:type="dxa"/>
            <w:vAlign w:val="bottom"/>
          </w:tcPr>
          <w:p>
            <w:pPr>
              <w:ind w:left="20"/>
              <w:spacing w:after="0" w:line="141" w:lineRule="exact"/>
              <w:rPr>
                <w:sz w:val="20"/>
                <w:szCs w:val="20"/>
                <w:color w:val="auto"/>
              </w:rPr>
            </w:pPr>
            <w:r>
              <w:rPr>
                <w:rFonts w:ascii="Arial" w:cs="Arial" w:eastAsia="Arial" w:hAnsi="Arial"/>
                <w:sz w:val="14"/>
                <w:szCs w:val="14"/>
                <w:color w:val="auto"/>
              </w:rPr>
              <w:t>Nonvested awards as of</w:t>
            </w:r>
          </w:p>
        </w:tc>
        <w:tc>
          <w:tcPr>
            <w:tcW w:w="214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740" w:type="dxa"/>
            <w:vAlign w:val="bottom"/>
          </w:tcPr>
          <w:p>
            <w:pPr>
              <w:spacing w:after="0"/>
              <w:rPr>
                <w:sz w:val="12"/>
                <w:szCs w:val="12"/>
                <w:color w:val="auto"/>
              </w:rPr>
            </w:pPr>
          </w:p>
        </w:tc>
      </w:tr>
      <w:tr>
        <w:trPr>
          <w:trHeight w:val="149"/>
        </w:trPr>
        <w:tc>
          <w:tcPr>
            <w:tcW w:w="2120" w:type="dxa"/>
            <w:vAlign w:val="bottom"/>
            <w:tcBorders>
              <w:bottom w:val="single" w:sz="8" w:color="35BF85"/>
            </w:tcBorders>
          </w:tcPr>
          <w:p>
            <w:pPr>
              <w:ind w:left="220"/>
              <w:spacing w:after="0" w:line="149" w:lineRule="exact"/>
              <w:rPr>
                <w:sz w:val="20"/>
                <w:szCs w:val="20"/>
                <w:color w:val="auto"/>
              </w:rPr>
            </w:pPr>
            <w:r>
              <w:rPr>
                <w:rFonts w:ascii="Arial" w:cs="Arial" w:eastAsia="Arial" w:hAnsi="Arial"/>
                <w:sz w:val="14"/>
                <w:szCs w:val="14"/>
                <w:color w:val="auto"/>
              </w:rPr>
              <w:t>December 31, 2006</w:t>
            </w:r>
          </w:p>
        </w:tc>
        <w:tc>
          <w:tcPr>
            <w:tcW w:w="2140" w:type="dxa"/>
            <w:vAlign w:val="bottom"/>
            <w:tcBorders>
              <w:bottom w:val="single" w:sz="8" w:color="35BF85"/>
            </w:tcBorders>
          </w:tcPr>
          <w:p>
            <w:pPr>
              <w:jc w:val="right"/>
              <w:ind w:right="272"/>
              <w:spacing w:after="0" w:line="149" w:lineRule="exact"/>
              <w:rPr>
                <w:sz w:val="20"/>
                <w:szCs w:val="20"/>
                <w:color w:val="auto"/>
              </w:rPr>
            </w:pPr>
            <w:r>
              <w:rPr>
                <w:rFonts w:ascii="Arial" w:cs="Arial" w:eastAsia="Arial" w:hAnsi="Arial"/>
                <w:sz w:val="14"/>
                <w:szCs w:val="14"/>
                <w:color w:val="auto"/>
              </w:rPr>
              <w:t>13,484</w:t>
            </w:r>
          </w:p>
        </w:tc>
        <w:tc>
          <w:tcPr>
            <w:tcW w:w="480" w:type="dxa"/>
            <w:vAlign w:val="bottom"/>
            <w:tcBorders>
              <w:bottom w:val="single" w:sz="8" w:color="35BF85"/>
            </w:tcBorders>
          </w:tcPr>
          <w:p>
            <w:pPr>
              <w:jc w:val="right"/>
              <w:ind w:right="52"/>
              <w:spacing w:after="0" w:line="149" w:lineRule="exact"/>
              <w:rPr>
                <w:sz w:val="20"/>
                <w:szCs w:val="20"/>
                <w:color w:val="auto"/>
              </w:rPr>
            </w:pPr>
            <w:r>
              <w:rPr>
                <w:rFonts w:ascii="Arial" w:cs="Arial" w:eastAsia="Arial" w:hAnsi="Arial"/>
                <w:sz w:val="14"/>
                <w:szCs w:val="14"/>
                <w:color w:val="auto"/>
              </w:rPr>
              <w:t>$</w:t>
            </w:r>
          </w:p>
        </w:tc>
        <w:tc>
          <w:tcPr>
            <w:tcW w:w="740" w:type="dxa"/>
            <w:vAlign w:val="bottom"/>
            <w:tcBorders>
              <w:bottom w:val="single" w:sz="8" w:color="35BF85"/>
            </w:tcBorders>
          </w:tcPr>
          <w:p>
            <w:pPr>
              <w:jc w:val="right"/>
              <w:spacing w:after="0" w:line="149" w:lineRule="exact"/>
              <w:rPr>
                <w:sz w:val="20"/>
                <w:szCs w:val="20"/>
                <w:color w:val="auto"/>
              </w:rPr>
            </w:pPr>
            <w:r>
              <w:rPr>
                <w:rFonts w:ascii="Arial" w:cs="Arial" w:eastAsia="Arial" w:hAnsi="Arial"/>
                <w:sz w:val="14"/>
                <w:szCs w:val="14"/>
                <w:color w:val="auto"/>
              </w:rPr>
              <w:t>20.78</w:t>
            </w:r>
          </w:p>
        </w:tc>
      </w:tr>
      <w:tr>
        <w:trPr>
          <w:trHeight w:val="125"/>
        </w:trPr>
        <w:tc>
          <w:tcPr>
            <w:tcW w:w="2120" w:type="dxa"/>
            <w:vAlign w:val="bottom"/>
          </w:tcPr>
          <w:p>
            <w:pPr>
              <w:ind w:left="20"/>
              <w:spacing w:after="0" w:line="125" w:lineRule="exact"/>
              <w:rPr>
                <w:sz w:val="20"/>
                <w:szCs w:val="20"/>
                <w:color w:val="auto"/>
              </w:rPr>
            </w:pPr>
            <w:r>
              <w:rPr>
                <w:rFonts w:ascii="Arial" w:cs="Arial" w:eastAsia="Arial" w:hAnsi="Arial"/>
                <w:sz w:val="14"/>
                <w:szCs w:val="14"/>
                <w:b w:val="1"/>
                <w:bCs w:val="1"/>
                <w:color w:val="auto"/>
              </w:rPr>
              <w:t>Class A Special Common</w:t>
            </w:r>
          </w:p>
        </w:tc>
        <w:tc>
          <w:tcPr>
            <w:tcW w:w="2140" w:type="dxa"/>
            <w:vAlign w:val="bottom"/>
          </w:tcPr>
          <w:p>
            <w:pPr>
              <w:spacing w:after="0"/>
              <w:rPr>
                <w:sz w:val="10"/>
                <w:szCs w:val="10"/>
                <w:color w:val="auto"/>
              </w:rPr>
            </w:pPr>
          </w:p>
        </w:tc>
        <w:tc>
          <w:tcPr>
            <w:tcW w:w="480" w:type="dxa"/>
            <w:vAlign w:val="bottom"/>
          </w:tcPr>
          <w:p>
            <w:pPr>
              <w:spacing w:after="0"/>
              <w:rPr>
                <w:sz w:val="10"/>
                <w:szCs w:val="10"/>
                <w:color w:val="auto"/>
              </w:rPr>
            </w:pPr>
          </w:p>
        </w:tc>
        <w:tc>
          <w:tcPr>
            <w:tcW w:w="740" w:type="dxa"/>
            <w:vAlign w:val="bottom"/>
          </w:tcPr>
          <w:p>
            <w:pPr>
              <w:spacing w:after="0"/>
              <w:rPr>
                <w:sz w:val="10"/>
                <w:szCs w:val="10"/>
                <w:color w:val="auto"/>
              </w:rPr>
            </w:pPr>
          </w:p>
        </w:tc>
      </w:tr>
      <w:tr>
        <w:trPr>
          <w:trHeight w:val="165"/>
        </w:trPr>
        <w:tc>
          <w:tcPr>
            <w:tcW w:w="2120" w:type="dxa"/>
            <w:vAlign w:val="bottom"/>
          </w:tcPr>
          <w:p>
            <w:pPr>
              <w:ind w:left="220"/>
              <w:spacing w:after="0"/>
              <w:rPr>
                <w:sz w:val="20"/>
                <w:szCs w:val="20"/>
                <w:color w:val="auto"/>
              </w:rPr>
            </w:pPr>
            <w:r>
              <w:rPr>
                <w:rFonts w:ascii="Arial" w:cs="Arial" w:eastAsia="Arial" w:hAnsi="Arial"/>
                <w:sz w:val="14"/>
                <w:szCs w:val="14"/>
                <w:b w:val="1"/>
                <w:bCs w:val="1"/>
                <w:color w:val="auto"/>
              </w:rPr>
              <w:t>Stock</w:t>
            </w:r>
          </w:p>
        </w:tc>
        <w:tc>
          <w:tcPr>
            <w:tcW w:w="214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740" w:type="dxa"/>
            <w:vAlign w:val="bottom"/>
          </w:tcPr>
          <w:p>
            <w:pPr>
              <w:spacing w:after="0"/>
              <w:rPr>
                <w:sz w:val="14"/>
                <w:szCs w:val="14"/>
                <w:color w:val="auto"/>
              </w:rPr>
            </w:pPr>
          </w:p>
        </w:tc>
      </w:tr>
      <w:tr>
        <w:trPr>
          <w:trHeight w:val="149"/>
        </w:trPr>
        <w:tc>
          <w:tcPr>
            <w:tcW w:w="2120" w:type="dxa"/>
            <w:vAlign w:val="bottom"/>
          </w:tcPr>
          <w:p>
            <w:pPr>
              <w:ind w:left="20"/>
              <w:spacing w:after="0" w:line="149" w:lineRule="exact"/>
              <w:rPr>
                <w:sz w:val="20"/>
                <w:szCs w:val="20"/>
                <w:color w:val="auto"/>
              </w:rPr>
            </w:pPr>
            <w:r>
              <w:rPr>
                <w:rFonts w:ascii="Arial" w:cs="Arial" w:eastAsia="Arial" w:hAnsi="Arial"/>
                <w:sz w:val="14"/>
                <w:szCs w:val="14"/>
                <w:color w:val="auto"/>
              </w:rPr>
              <w:t>Nonvested awards as of</w:t>
            </w:r>
          </w:p>
        </w:tc>
        <w:tc>
          <w:tcPr>
            <w:tcW w:w="214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740" w:type="dxa"/>
            <w:vAlign w:val="bottom"/>
          </w:tcPr>
          <w:p>
            <w:pPr>
              <w:spacing w:after="0"/>
              <w:rPr>
                <w:sz w:val="12"/>
                <w:szCs w:val="12"/>
                <w:color w:val="auto"/>
              </w:rPr>
            </w:pPr>
          </w:p>
        </w:tc>
      </w:tr>
      <w:tr>
        <w:trPr>
          <w:trHeight w:val="149"/>
        </w:trPr>
        <w:tc>
          <w:tcPr>
            <w:tcW w:w="2120" w:type="dxa"/>
            <w:vAlign w:val="bottom"/>
          </w:tcPr>
          <w:p>
            <w:pPr>
              <w:ind w:left="220"/>
              <w:spacing w:after="0" w:line="149" w:lineRule="exact"/>
              <w:rPr>
                <w:sz w:val="20"/>
                <w:szCs w:val="20"/>
                <w:color w:val="auto"/>
              </w:rPr>
            </w:pPr>
            <w:r>
              <w:rPr>
                <w:rFonts w:ascii="Arial" w:cs="Arial" w:eastAsia="Arial" w:hAnsi="Arial"/>
                <w:sz w:val="14"/>
                <w:szCs w:val="14"/>
                <w:color w:val="auto"/>
              </w:rPr>
              <w:t>January 1, 2006</w:t>
            </w:r>
          </w:p>
        </w:tc>
        <w:tc>
          <w:tcPr>
            <w:tcW w:w="2140" w:type="dxa"/>
            <w:vAlign w:val="bottom"/>
          </w:tcPr>
          <w:p>
            <w:pPr>
              <w:jc w:val="right"/>
              <w:ind w:right="272"/>
              <w:spacing w:after="0" w:line="149" w:lineRule="exact"/>
              <w:rPr>
                <w:sz w:val="20"/>
                <w:szCs w:val="20"/>
                <w:color w:val="auto"/>
              </w:rPr>
            </w:pPr>
            <w:r>
              <w:rPr>
                <w:rFonts w:ascii="Arial" w:cs="Arial" w:eastAsia="Arial" w:hAnsi="Arial"/>
                <w:sz w:val="14"/>
                <w:szCs w:val="14"/>
                <w:color w:val="auto"/>
              </w:rPr>
              <w:t>104</w:t>
            </w:r>
          </w:p>
        </w:tc>
        <w:tc>
          <w:tcPr>
            <w:tcW w:w="480" w:type="dxa"/>
            <w:vAlign w:val="bottom"/>
          </w:tcPr>
          <w:p>
            <w:pPr>
              <w:jc w:val="right"/>
              <w:ind w:right="52"/>
              <w:spacing w:after="0" w:line="149" w:lineRule="exact"/>
              <w:rPr>
                <w:sz w:val="20"/>
                <w:szCs w:val="20"/>
                <w:color w:val="auto"/>
              </w:rPr>
            </w:pPr>
            <w:r>
              <w:rPr>
                <w:rFonts w:ascii="Arial" w:cs="Arial" w:eastAsia="Arial" w:hAnsi="Arial"/>
                <w:sz w:val="14"/>
                <w:szCs w:val="14"/>
                <w:color w:val="auto"/>
              </w:rPr>
              <w:t>$</w:t>
            </w:r>
          </w:p>
        </w:tc>
        <w:tc>
          <w:tcPr>
            <w:tcW w:w="740" w:type="dxa"/>
            <w:vAlign w:val="bottom"/>
          </w:tcPr>
          <w:p>
            <w:pPr>
              <w:jc w:val="right"/>
              <w:spacing w:after="0" w:line="149" w:lineRule="exact"/>
              <w:rPr>
                <w:sz w:val="20"/>
                <w:szCs w:val="20"/>
                <w:color w:val="auto"/>
              </w:rPr>
            </w:pPr>
            <w:r>
              <w:rPr>
                <w:rFonts w:ascii="Arial" w:cs="Arial" w:eastAsia="Arial" w:hAnsi="Arial"/>
                <w:sz w:val="14"/>
                <w:szCs w:val="14"/>
                <w:color w:val="auto"/>
              </w:rPr>
              <w:t>24.46</w:t>
            </w:r>
          </w:p>
        </w:tc>
      </w:tr>
      <w:tr>
        <w:trPr>
          <w:trHeight w:val="149"/>
        </w:trPr>
        <w:tc>
          <w:tcPr>
            <w:tcW w:w="2120" w:type="dxa"/>
            <w:vAlign w:val="bottom"/>
            <w:tcBorders>
              <w:bottom w:val="single" w:sz="8" w:color="auto"/>
            </w:tcBorders>
          </w:tcPr>
          <w:p>
            <w:pPr>
              <w:ind w:left="20"/>
              <w:spacing w:after="0" w:line="149" w:lineRule="exact"/>
              <w:rPr>
                <w:sz w:val="20"/>
                <w:szCs w:val="20"/>
                <w:color w:val="auto"/>
              </w:rPr>
            </w:pPr>
            <w:r>
              <w:rPr>
                <w:rFonts w:ascii="Arial" w:cs="Arial" w:eastAsia="Arial" w:hAnsi="Arial"/>
                <w:sz w:val="14"/>
                <w:szCs w:val="14"/>
                <w:color w:val="auto"/>
              </w:rPr>
              <w:t>Vested</w:t>
            </w:r>
          </w:p>
        </w:tc>
        <w:tc>
          <w:tcPr>
            <w:tcW w:w="2140" w:type="dxa"/>
            <w:vAlign w:val="bottom"/>
            <w:tcBorders>
              <w:bottom w:val="single" w:sz="8" w:color="auto"/>
            </w:tcBorders>
          </w:tcPr>
          <w:p>
            <w:pPr>
              <w:jc w:val="right"/>
              <w:ind w:right="212"/>
              <w:spacing w:after="0" w:line="149" w:lineRule="exact"/>
              <w:rPr>
                <w:sz w:val="20"/>
                <w:szCs w:val="20"/>
                <w:color w:val="auto"/>
              </w:rPr>
            </w:pPr>
            <w:r>
              <w:rPr>
                <w:rFonts w:ascii="Arial" w:cs="Arial" w:eastAsia="Arial" w:hAnsi="Arial"/>
                <w:sz w:val="14"/>
                <w:szCs w:val="14"/>
                <w:color w:val="auto"/>
              </w:rPr>
              <w:t>(103)</w:t>
            </w:r>
          </w:p>
        </w:tc>
        <w:tc>
          <w:tcPr>
            <w:tcW w:w="480" w:type="dxa"/>
            <w:vAlign w:val="bottom"/>
            <w:tcBorders>
              <w:bottom w:val="single" w:sz="8" w:color="auto"/>
            </w:tcBorders>
          </w:tcPr>
          <w:p>
            <w:pPr>
              <w:jc w:val="right"/>
              <w:ind w:right="52"/>
              <w:spacing w:after="0" w:line="149" w:lineRule="exact"/>
              <w:rPr>
                <w:sz w:val="20"/>
                <w:szCs w:val="20"/>
                <w:color w:val="auto"/>
              </w:rPr>
            </w:pPr>
            <w:r>
              <w:rPr>
                <w:rFonts w:ascii="Arial" w:cs="Arial" w:eastAsia="Arial" w:hAnsi="Arial"/>
                <w:sz w:val="14"/>
                <w:szCs w:val="14"/>
                <w:color w:val="auto"/>
              </w:rPr>
              <w:t>$</w:t>
            </w:r>
          </w:p>
        </w:tc>
        <w:tc>
          <w:tcPr>
            <w:tcW w:w="740" w:type="dxa"/>
            <w:vAlign w:val="bottom"/>
            <w:tcBorders>
              <w:bottom w:val="single" w:sz="8" w:color="auto"/>
            </w:tcBorders>
          </w:tcPr>
          <w:p>
            <w:pPr>
              <w:jc w:val="right"/>
              <w:spacing w:after="0" w:line="149" w:lineRule="exact"/>
              <w:rPr>
                <w:sz w:val="20"/>
                <w:szCs w:val="20"/>
                <w:color w:val="auto"/>
              </w:rPr>
            </w:pPr>
            <w:r>
              <w:rPr>
                <w:rFonts w:ascii="Arial" w:cs="Arial" w:eastAsia="Arial" w:hAnsi="Arial"/>
                <w:sz w:val="14"/>
                <w:szCs w:val="14"/>
                <w:color w:val="auto"/>
              </w:rPr>
              <w:t>24.75</w:t>
            </w:r>
          </w:p>
        </w:tc>
      </w:tr>
      <w:tr>
        <w:trPr>
          <w:trHeight w:val="141"/>
        </w:trPr>
        <w:tc>
          <w:tcPr>
            <w:tcW w:w="2120" w:type="dxa"/>
            <w:vAlign w:val="bottom"/>
          </w:tcPr>
          <w:p>
            <w:pPr>
              <w:ind w:left="20"/>
              <w:spacing w:after="0" w:line="141" w:lineRule="exact"/>
              <w:rPr>
                <w:sz w:val="20"/>
                <w:szCs w:val="20"/>
                <w:color w:val="auto"/>
              </w:rPr>
            </w:pPr>
            <w:r>
              <w:rPr>
                <w:rFonts w:ascii="Arial" w:cs="Arial" w:eastAsia="Arial" w:hAnsi="Arial"/>
                <w:sz w:val="14"/>
                <w:szCs w:val="14"/>
                <w:color w:val="auto"/>
              </w:rPr>
              <w:t>Nonvested awards as of</w:t>
            </w:r>
          </w:p>
        </w:tc>
        <w:tc>
          <w:tcPr>
            <w:tcW w:w="214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740" w:type="dxa"/>
            <w:vAlign w:val="bottom"/>
          </w:tcPr>
          <w:p>
            <w:pPr>
              <w:spacing w:after="0"/>
              <w:rPr>
                <w:sz w:val="12"/>
                <w:szCs w:val="12"/>
                <w:color w:val="auto"/>
              </w:rPr>
            </w:pPr>
          </w:p>
        </w:tc>
      </w:tr>
      <w:tr>
        <w:trPr>
          <w:trHeight w:val="149"/>
        </w:trPr>
        <w:tc>
          <w:tcPr>
            <w:tcW w:w="2120" w:type="dxa"/>
            <w:vAlign w:val="bottom"/>
            <w:tcBorders>
              <w:bottom w:val="single" w:sz="8" w:color="35BF85"/>
            </w:tcBorders>
          </w:tcPr>
          <w:p>
            <w:pPr>
              <w:ind w:left="220"/>
              <w:spacing w:after="0" w:line="149" w:lineRule="exact"/>
              <w:rPr>
                <w:sz w:val="20"/>
                <w:szCs w:val="20"/>
                <w:color w:val="auto"/>
              </w:rPr>
            </w:pPr>
            <w:r>
              <w:rPr>
                <w:rFonts w:ascii="Arial" w:cs="Arial" w:eastAsia="Arial" w:hAnsi="Arial"/>
                <w:sz w:val="14"/>
                <w:szCs w:val="14"/>
                <w:color w:val="auto"/>
              </w:rPr>
              <w:t>December 31, 2006</w:t>
            </w:r>
          </w:p>
        </w:tc>
        <w:tc>
          <w:tcPr>
            <w:tcW w:w="2140" w:type="dxa"/>
            <w:vAlign w:val="bottom"/>
            <w:tcBorders>
              <w:bottom w:val="single" w:sz="8" w:color="35BF85"/>
            </w:tcBorders>
          </w:tcPr>
          <w:p>
            <w:pPr>
              <w:jc w:val="right"/>
              <w:ind w:right="272"/>
              <w:spacing w:after="0" w:line="149" w:lineRule="exact"/>
              <w:rPr>
                <w:sz w:val="20"/>
                <w:szCs w:val="20"/>
                <w:color w:val="auto"/>
              </w:rPr>
            </w:pPr>
            <w:r>
              <w:rPr>
                <w:rFonts w:ascii="Arial" w:cs="Arial" w:eastAsia="Arial" w:hAnsi="Arial"/>
                <w:sz w:val="14"/>
                <w:szCs w:val="14"/>
                <w:color w:val="auto"/>
              </w:rPr>
              <w:t>1</w:t>
            </w:r>
          </w:p>
        </w:tc>
        <w:tc>
          <w:tcPr>
            <w:tcW w:w="480" w:type="dxa"/>
            <w:vAlign w:val="bottom"/>
            <w:tcBorders>
              <w:bottom w:val="single" w:sz="8" w:color="35BF85"/>
            </w:tcBorders>
          </w:tcPr>
          <w:p>
            <w:pPr>
              <w:jc w:val="right"/>
              <w:ind w:right="52"/>
              <w:spacing w:after="0" w:line="149" w:lineRule="exact"/>
              <w:rPr>
                <w:sz w:val="20"/>
                <w:szCs w:val="20"/>
                <w:color w:val="auto"/>
              </w:rPr>
            </w:pPr>
            <w:r>
              <w:rPr>
                <w:rFonts w:ascii="Arial" w:cs="Arial" w:eastAsia="Arial" w:hAnsi="Arial"/>
                <w:sz w:val="14"/>
                <w:szCs w:val="14"/>
                <w:color w:val="auto"/>
              </w:rPr>
              <w:t>$</w:t>
            </w:r>
          </w:p>
        </w:tc>
        <w:tc>
          <w:tcPr>
            <w:tcW w:w="740" w:type="dxa"/>
            <w:vAlign w:val="bottom"/>
            <w:tcBorders>
              <w:bottom w:val="single" w:sz="8" w:color="35BF85"/>
            </w:tcBorders>
          </w:tcPr>
          <w:p>
            <w:pPr>
              <w:jc w:val="right"/>
              <w:spacing w:after="0" w:line="149" w:lineRule="exact"/>
              <w:rPr>
                <w:sz w:val="20"/>
                <w:szCs w:val="20"/>
                <w:color w:val="auto"/>
              </w:rPr>
            </w:pPr>
            <w:r>
              <w:rPr>
                <w:rFonts w:ascii="Arial" w:cs="Arial" w:eastAsia="Arial" w:hAnsi="Arial"/>
                <w:sz w:val="14"/>
                <w:szCs w:val="14"/>
                <w:color w:val="auto"/>
              </w:rPr>
              <w:t>18.31</w:t>
            </w:r>
          </w:p>
        </w:tc>
      </w:tr>
    </w:tbl>
    <w:p>
      <w:pPr>
        <w:spacing w:after="0" w:line="165" w:lineRule="exact"/>
        <w:rPr>
          <w:sz w:val="20"/>
          <w:szCs w:val="20"/>
          <w:color w:val="auto"/>
        </w:rPr>
      </w:pPr>
    </w:p>
    <w:p>
      <w:pPr>
        <w:jc w:val="both"/>
        <w:spacing w:after="0" w:line="236" w:lineRule="auto"/>
        <w:rPr>
          <w:sz w:val="20"/>
          <w:szCs w:val="20"/>
          <w:color w:val="auto"/>
        </w:rPr>
      </w:pPr>
      <w:r>
        <w:rPr>
          <w:rFonts w:ascii="Arial" w:cs="Arial" w:eastAsia="Arial" w:hAnsi="Arial"/>
          <w:sz w:val="18"/>
          <w:szCs w:val="18"/>
          <w:color w:val="auto"/>
        </w:rPr>
        <w:t>As of December 31, 2006, approximately 605,000 and 145,000 shares (adjusted to reflect the Stock Split) of Class A common stock and Class A Special common stock, respectively, were issuable under vested restricted share unit awards, the receipt of which was irrevocably deferred by Participants pursuant to the Restricted Stock Plan.</w:t>
      </w:r>
    </w:p>
    <w:p>
      <w:pPr>
        <w:spacing w:after="0" w:line="13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Share-Based Compensation</w:t>
      </w:r>
    </w:p>
    <w:p>
      <w:pPr>
        <w:spacing w:after="0" w:line="18" w:lineRule="exact"/>
        <w:rPr>
          <w:sz w:val="20"/>
          <w:szCs w:val="20"/>
          <w:color w:val="auto"/>
        </w:rPr>
      </w:pPr>
    </w:p>
    <w:p>
      <w:pPr>
        <w:jc w:val="both"/>
        <w:spacing w:after="0" w:line="235" w:lineRule="auto"/>
        <w:rPr>
          <w:sz w:val="20"/>
          <w:szCs w:val="20"/>
          <w:color w:val="auto"/>
        </w:rPr>
      </w:pPr>
      <w:r>
        <w:rPr>
          <w:rFonts w:ascii="Arial" w:cs="Arial" w:eastAsia="Arial" w:hAnsi="Arial"/>
          <w:sz w:val="18"/>
          <w:szCs w:val="18"/>
          <w:color w:val="auto"/>
        </w:rPr>
        <w:t>Effective January 1, 2006, we adopted SFAS No. 123R using the Modified Prospective Approach. SFAS No. 123R revises SFAS No. 123 and supersedes APB No. 25. SFAS No. 123R requires the cost of all share-based payments to employees, including grants of employee stock options, to be recognized in the financial statements based on their fair values at grant date, or the date of later modification, over the requisite service period. In addition, SFAS No. 123R requires unrecognized cost (based on the amounts previously disclosed in our pro forma footnote disclosure) related to options vesting after the date of initial adoption to be recognized in the financial statements over the remaining requisite service period.</w:t>
      </w:r>
    </w:p>
    <w:p>
      <w:pPr>
        <w:spacing w:after="0" w:line="161" w:lineRule="exact"/>
        <w:rPr>
          <w:sz w:val="20"/>
          <w:szCs w:val="20"/>
          <w:color w:val="auto"/>
        </w:rPr>
      </w:pPr>
    </w:p>
    <w:p>
      <w:pPr>
        <w:jc w:val="both"/>
        <w:spacing w:after="0" w:line="234" w:lineRule="auto"/>
        <w:rPr>
          <w:sz w:val="20"/>
          <w:szCs w:val="20"/>
          <w:color w:val="auto"/>
        </w:rPr>
      </w:pPr>
      <w:r>
        <w:rPr>
          <w:rFonts w:ascii="Arial" w:cs="Arial" w:eastAsia="Arial" w:hAnsi="Arial"/>
          <w:sz w:val="18"/>
          <w:szCs w:val="18"/>
          <w:color w:val="auto"/>
        </w:rPr>
        <w:t>Under the Modified Prospective Approach, the amount of compensation cost recognized includes: (i) compensation cost for all share-based payments granted prior to, but not yet vested as of January 1, 2006, based on the grant date fair value estimated in accordance with the provisions of SFAS No. 123 and</w:t>
      </w:r>
    </w:p>
    <w:p>
      <w:pPr>
        <w:spacing w:after="0" w:line="4" w:lineRule="exact"/>
        <w:rPr>
          <w:sz w:val="20"/>
          <w:szCs w:val="20"/>
          <w:color w:val="auto"/>
        </w:rPr>
      </w:pPr>
    </w:p>
    <w:p>
      <w:pPr>
        <w:jc w:val="both"/>
        <w:ind w:firstLine="8"/>
        <w:spacing w:after="0" w:line="237" w:lineRule="auto"/>
        <w:tabs>
          <w:tab w:leader="none" w:pos="360" w:val="left"/>
        </w:tabs>
        <w:numPr>
          <w:ilvl w:val="0"/>
          <w:numId w:val="88"/>
        </w:numPr>
        <w:rPr>
          <w:rFonts w:ascii="Arial" w:cs="Arial" w:eastAsia="Arial" w:hAnsi="Arial"/>
          <w:sz w:val="18"/>
          <w:szCs w:val="18"/>
          <w:color w:val="auto"/>
        </w:rPr>
      </w:pPr>
      <w:r>
        <w:rPr>
          <w:rFonts w:ascii="Arial" w:cs="Arial" w:eastAsia="Arial" w:hAnsi="Arial"/>
          <w:sz w:val="18"/>
          <w:szCs w:val="18"/>
          <w:color w:val="auto"/>
        </w:rPr>
        <w:t>compensation cost for all share-based payments granted subsequent to January 1, 2006, based on the grant date fair value estimated in accordance with the provisions of SFAS No. 123R, prior to the</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63" w:lineRule="exact"/>
        <w:rPr>
          <w:sz w:val="20"/>
          <w:szCs w:val="20"/>
          <w:color w:val="auto"/>
        </w:rPr>
      </w:pPr>
    </w:p>
    <w:p>
      <w:pPr>
        <w:jc w:val="both"/>
        <w:spacing w:after="0" w:line="235" w:lineRule="auto"/>
        <w:rPr>
          <w:sz w:val="20"/>
          <w:szCs w:val="20"/>
          <w:color w:val="auto"/>
        </w:rPr>
      </w:pPr>
      <w:r>
        <w:rPr>
          <w:rFonts w:ascii="Arial" w:cs="Arial" w:eastAsia="Arial" w:hAnsi="Arial"/>
          <w:sz w:val="18"/>
          <w:szCs w:val="18"/>
          <w:color w:val="auto"/>
        </w:rPr>
        <w:t>adoption of SFAS No. 123R, we recognized the majority of our share-based compensation costs using the accelerated recognition method. We recognize the cost of previously granted share-based awards under the accelerated recognition method and recognize the cost of new share-based awards on a straight-line basis over the requisite service period. The incremental pretax share-based compensation expense recognized due to the adoption of SFAS No. 123R for the year ended December 31, 2006, was $126 million. Total share-based compensation expense recognized under SFAS No. 123R, including the incremental pretax share-based compensation expense, was $190 million, with an associated tax benefit of $66 million for the year ended December 31, 2006. Prior to the adoption of SFAS No. 123R, we recognized share-based compensation expense of $67 million and $44 million with associated tax benefits of $25 million and $16 million for the years ended December 31, 2005 and 2004, respectively. The amount of share-based compensation capitalized or related to discontinued operations was not material to our consolidated financial statements.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-3691890</wp:posOffset>
            </wp:positionH>
            <wp:positionV relativeFrom="paragraph">
              <wp:posOffset>-2952750</wp:posOffset>
            </wp:positionV>
            <wp:extent cx="7267575" cy="27940"/>
            <wp:wrapNone/>
            <wp:docPr id="204" name="Picture 2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4"/>
                    <pic:cNvPicPr>
                      <a:picLocks noChangeAspect="1" noChangeArrowheads="1"/>
                    </pic:cNvPicPr>
                  </pic:nvPicPr>
                  <pic:blipFill>
                    <a:blip r:embed="rId211">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p>
    <w:p>
      <w:pPr>
        <w:spacing w:after="0" w:line="140" w:lineRule="exact"/>
        <w:rPr>
          <w:sz w:val="20"/>
          <w:szCs w:val="20"/>
          <w:color w:val="auto"/>
        </w:rPr>
      </w:pPr>
    </w:p>
    <w:p>
      <w:pPr>
        <w:jc w:val="both"/>
        <w:spacing w:after="0" w:line="236" w:lineRule="auto"/>
        <w:rPr>
          <w:sz w:val="20"/>
          <w:szCs w:val="20"/>
          <w:color w:val="auto"/>
        </w:rPr>
      </w:pPr>
      <w:r>
        <w:rPr>
          <w:rFonts w:ascii="Arial" w:cs="Arial" w:eastAsia="Arial" w:hAnsi="Arial"/>
          <w:sz w:val="18"/>
          <w:szCs w:val="18"/>
          <w:color w:val="auto"/>
        </w:rPr>
        <w:t>Cash received from option exercises under all share-based payment arrangements for the year ended December 31, 2006, was $372 million. The total intrinsic value (market value on date of exercise less exercise price) of options exercised for the years ended December 31, 2006, 2005 and 2004, was $180 million, $59 million and $88 million, respectively. The tax benefit realized from stock options exercised for the years ended December 31, 2006, 2005 and 2004, was $62 million, $19 million and $30 million, respectively.</w:t>
      </w:r>
    </w:p>
    <w:p>
      <w:pPr>
        <w:spacing w:after="0" w:line="154" w:lineRule="exact"/>
        <w:rPr>
          <w:sz w:val="20"/>
          <w:szCs w:val="20"/>
          <w:color w:val="auto"/>
        </w:rPr>
      </w:pPr>
    </w:p>
    <w:p>
      <w:pPr>
        <w:jc w:val="both"/>
        <w:ind w:right="20"/>
        <w:spacing w:after="0" w:line="237" w:lineRule="auto"/>
        <w:rPr>
          <w:sz w:val="20"/>
          <w:szCs w:val="20"/>
          <w:color w:val="auto"/>
        </w:rPr>
      </w:pPr>
      <w:r>
        <w:rPr>
          <w:rFonts w:ascii="Arial" w:cs="Arial" w:eastAsia="Arial" w:hAnsi="Arial"/>
          <w:sz w:val="18"/>
          <w:szCs w:val="18"/>
          <w:color w:val="auto"/>
        </w:rPr>
        <w:t>As of December 31, 2006, there was $207 million of total unrecognized, pretax compensation cost related to nonvested stock options. This cost is expected to be recognized over a weighted average period of approximately two and one half years.</w:t>
      </w:r>
    </w:p>
    <w:p>
      <w:pPr>
        <w:spacing w:after="0" w:line="155" w:lineRule="exact"/>
        <w:rPr>
          <w:sz w:val="20"/>
          <w:szCs w:val="20"/>
          <w:color w:val="auto"/>
        </w:rPr>
      </w:pPr>
    </w:p>
    <w:p>
      <w:pPr>
        <w:jc w:val="both"/>
        <w:spacing w:after="0" w:line="236" w:lineRule="auto"/>
        <w:rPr>
          <w:sz w:val="20"/>
          <w:szCs w:val="20"/>
          <w:color w:val="auto"/>
        </w:rPr>
      </w:pPr>
      <w:r>
        <w:rPr>
          <w:rFonts w:ascii="Arial" w:cs="Arial" w:eastAsia="Arial" w:hAnsi="Arial"/>
          <w:sz w:val="18"/>
          <w:szCs w:val="18"/>
          <w:color w:val="auto"/>
        </w:rPr>
        <w:t>The total fair value of restricted share units vested during the years ended December 31, 2006, 2005 and 2004, was $32 million, $28 million and $7 million, respectively. As of December 31, 2006, there was $177 million of total unrecognized pretax compensation cost related to nonvested restricted share unit awards. This cost is expected to be recognized over a weighted-average period of approximately two and one half years.</w:t>
      </w:r>
    </w:p>
    <w:p>
      <w:pPr>
        <w:spacing w:after="0" w:line="155" w:lineRule="exact"/>
        <w:rPr>
          <w:sz w:val="20"/>
          <w:szCs w:val="20"/>
          <w:color w:val="auto"/>
        </w:rPr>
      </w:pPr>
    </w:p>
    <w:p>
      <w:pPr>
        <w:jc w:val="both"/>
        <w:spacing w:after="0" w:line="235" w:lineRule="auto"/>
        <w:rPr>
          <w:sz w:val="20"/>
          <w:szCs w:val="20"/>
          <w:color w:val="auto"/>
        </w:rPr>
      </w:pPr>
      <w:r>
        <w:rPr>
          <w:rFonts w:ascii="Arial" w:cs="Arial" w:eastAsia="Arial" w:hAnsi="Arial"/>
          <w:sz w:val="18"/>
          <w:szCs w:val="18"/>
          <w:color w:val="auto"/>
        </w:rPr>
        <w:t>SFAS No. 123R also required us to change the classification, in our consolidated statement of cash flows, of any tax benefits realized upon the exercise of stock options or issuance of restricted share unit awards in excess of that which is associated with the expense recognized for financial reporting purposes. These amounts are presented as a financing cash inflow rather than as a reduction of income taxes paid in our consolidated statement of cash flows. The excess cash tax benefit classified as a financing cash inflow for the year ended December 31, 2006, was $33 million.</w:t>
      </w:r>
    </w:p>
    <w:p>
      <w:pPr>
        <w:spacing w:after="0" w:line="182" w:lineRule="exact"/>
        <w:rPr>
          <w:sz w:val="20"/>
          <w:szCs w:val="20"/>
          <w:color w:val="auto"/>
        </w:rPr>
      </w:pPr>
    </w:p>
    <w:p>
      <w:pPr>
        <w:sectPr>
          <w:pgSz w:w="11900" w:h="16838" w:orient="portrait"/>
          <w:cols w:equalWidth="0" w:num="2">
            <w:col w:w="5480" w:space="340"/>
            <w:col w:w="5480"/>
          </w:cols>
          <w:pgMar w:left="240" w:top="459" w:right="359" w:bottom="1440" w:gutter="0" w:footer="0" w:header="0"/>
        </w:sectPr>
      </w:pPr>
    </w:p>
    <w:tbl>
      <w:tblPr>
        <w:tblLayout w:type="fixed"/>
        <w:tblInd w:w="0" w:type="dxa"/>
        <w:tblCellMar>
          <w:top w:w="0" w:type="dxa"/>
          <w:left w:w="0" w:type="dxa"/>
          <w:bottom w:w="0" w:type="dxa"/>
          <w:right w:w="0" w:type="dxa"/>
        </w:tblCellMar>
      </w:tblPr>
      <w:tr>
        <w:trPr>
          <w:trHeight w:val="178"/>
        </w:trPr>
        <w:tc>
          <w:tcPr>
            <w:tcW w:w="5160" w:type="dxa"/>
            <w:vAlign w:val="bottom"/>
          </w:tcPr>
          <w:p>
            <w:pPr>
              <w:spacing w:after="0"/>
              <w:rPr>
                <w:sz w:val="20"/>
                <w:szCs w:val="20"/>
                <w:color w:val="auto"/>
              </w:rPr>
            </w:pPr>
            <w:r>
              <w:rPr>
                <w:rFonts w:ascii="Arial" w:cs="Arial" w:eastAsia="Arial" w:hAnsi="Arial"/>
                <w:sz w:val="14"/>
                <w:szCs w:val="14"/>
                <w:b w:val="1"/>
                <w:bCs w:val="1"/>
                <w:color w:val="auto"/>
              </w:rPr>
              <w:t xml:space="preserve">Notes to Consolidated Financial Statements </w:t>
            </w:r>
            <w:r>
              <w:rPr>
                <w:rFonts w:ascii="Arial" w:cs="Arial" w:eastAsia="Arial" w:hAnsi="Arial"/>
                <w:sz w:val="14"/>
                <w:szCs w:val="14"/>
                <w:color w:val="auto"/>
              </w:rPr>
              <w:t>Comcast 2006 Annual Report</w:t>
            </w:r>
          </w:p>
        </w:tc>
        <w:tc>
          <w:tcPr>
            <w:tcW w:w="680" w:type="dxa"/>
            <w:vAlign w:val="bottom"/>
          </w:tcPr>
          <w:p>
            <w:pPr>
              <w:jc w:val="right"/>
              <w:spacing w:after="0"/>
              <w:rPr>
                <w:sz w:val="20"/>
                <w:szCs w:val="20"/>
                <w:color w:val="auto"/>
              </w:rPr>
            </w:pPr>
            <w:r>
              <w:rPr>
                <w:rFonts w:ascii="Arial" w:cs="Arial" w:eastAsia="Arial" w:hAnsi="Arial"/>
                <w:sz w:val="14"/>
                <w:szCs w:val="14"/>
                <w:b w:val="1"/>
                <w:bCs w:val="1"/>
                <w:color w:val="auto"/>
              </w:rPr>
              <w:t>60</w:t>
            </w:r>
          </w:p>
        </w:tc>
      </w:tr>
    </w:tbl>
    <w:p>
      <w:pPr>
        <w:sectPr>
          <w:pgSz w:w="11900" w:h="16838" w:orient="portrait"/>
          <w:cols w:equalWidth="0" w:num="1">
            <w:col w:w="11300"/>
          </w:cols>
          <w:pgMar w:left="240" w:top="459" w:right="359" w:bottom="1440" w:gutter="0" w:footer="0" w:header="0"/>
          <w:type w:val="continuous"/>
        </w:sectPr>
      </w:pPr>
    </w:p>
    <w:bookmarkStart w:id="137" w:name="page138"/>
    <w:bookmarkEnd w:id="137"/>
    <w:p>
      <w:pPr>
        <w:spacing w:after="0"/>
        <w:rPr>
          <w:rFonts w:ascii="Arial" w:cs="Arial" w:eastAsia="Arial" w:hAnsi="Arial"/>
          <w:sz w:val="16"/>
          <w:szCs w:val="16"/>
          <w:b w:val="1"/>
          <w:bCs w:val="1"/>
          <w:u w:val="single" w:color="auto"/>
          <w:color w:val="0000EE"/>
        </w:rPr>
      </w:pPr>
      <w:r>
        <w:rPr>
          <w:rFonts w:ascii="Arial" w:cs="Arial" w:eastAsia="Arial" w:hAnsi="Arial"/>
          <w:sz w:val="16"/>
          <w:szCs w:val="16"/>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205" name="Picture 2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5"/>
                    <pic:cNvPicPr>
                      <a:picLocks noChangeAspect="1" noChangeArrowheads="1"/>
                    </pic:cNvPicPr>
                  </pic:nvPicPr>
                  <pic:blipFill>
                    <a:blip r:embed="rId212">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3">
        <w:r>
          <w:rPr>
            <w:rFonts w:ascii="Arial" w:cs="Arial" w:eastAsia="Arial" w:hAnsi="Arial"/>
            <w:sz w:val="16"/>
            <w:szCs w:val="16"/>
            <w:b w:val="1"/>
            <w:bCs w:val="1"/>
            <w:u w:val="single" w:color="auto"/>
            <w:color w:val="0000EE"/>
          </w:rPr>
          <w:t>Table of Contents</w:t>
        </w:r>
      </w:hyperlink>
    </w:p>
    <w:p>
      <w:pPr>
        <w:sectPr>
          <w:pgSz w:w="11900" w:h="16838" w:orient="portrait"/>
          <w:cols w:equalWidth="0" w:num="1">
            <w:col w:w="11420"/>
          </w:cols>
          <w:pgMar w:left="240" w:top="459" w:right="239" w:bottom="1440" w:gutter="0" w:footer="0" w:header="0"/>
        </w:sectPr>
      </w:pPr>
    </w:p>
    <w:p>
      <w:pPr>
        <w:spacing w:after="0" w:line="200" w:lineRule="exact"/>
        <w:rPr>
          <w:sz w:val="20"/>
          <w:szCs w:val="20"/>
          <w:color w:val="auto"/>
        </w:rPr>
      </w:pPr>
    </w:p>
    <w:p>
      <w:pPr>
        <w:spacing w:after="0" w:line="299" w:lineRule="exact"/>
        <w:rPr>
          <w:sz w:val="20"/>
          <w:szCs w:val="20"/>
          <w:color w:val="auto"/>
        </w:rPr>
      </w:pPr>
    </w:p>
    <w:p>
      <w:pPr>
        <w:jc w:val="both"/>
        <w:spacing w:after="0" w:line="235" w:lineRule="auto"/>
        <w:rPr>
          <w:sz w:val="20"/>
          <w:szCs w:val="20"/>
          <w:color w:val="auto"/>
        </w:rPr>
      </w:pPr>
      <w:r>
        <w:rPr>
          <w:rFonts w:ascii="Arial" w:cs="Arial" w:eastAsia="Arial" w:hAnsi="Arial"/>
          <w:sz w:val="18"/>
          <w:szCs w:val="18"/>
          <w:color w:val="auto"/>
        </w:rPr>
        <w:t>Prior to January 1, 2006, we accounted for our share-based compensation plans in accordance with the provisions of APB No. 25, as permitted by SFAS No. 123, and accordingly did not recognize compensation expense for stock options with an exercise price equal to or greater than the market price of the underlying stock at the date of grant. Had the fair-value-based method as prescribed by SFAS No. 123 been applied, additional pretax compensation expense of $166 million and $283 million would have been recognized for the years ended December 31, 2005 and 2004, respectively. The pretax compensation expense includes the expense related to discontinued operations, which for each of the years ended December 31, 2005 and 2004, was $4 million. Had the fair-value-based method as prescribed by SFAS No. 123 been applied, the effect on net income and earnings per share would have been as follows (adjusted to reflect the Stock Split):</w:t>
      </w:r>
    </w:p>
    <w:p>
      <w:pPr>
        <w:spacing w:after="0" w:line="186"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3780" w:type="dxa"/>
            <w:vAlign w:val="bottom"/>
            <w:tcBorders>
              <w:bottom w:val="single" w:sz="8" w:color="auto"/>
            </w:tcBorders>
          </w:tcPr>
          <w:p>
            <w:pPr>
              <w:ind w:left="20"/>
              <w:spacing w:after="0"/>
              <w:rPr>
                <w:sz w:val="20"/>
                <w:szCs w:val="20"/>
                <w:color w:val="auto"/>
              </w:rPr>
            </w:pPr>
            <w:r>
              <w:rPr>
                <w:rFonts w:ascii="Arial" w:cs="Arial" w:eastAsia="Arial" w:hAnsi="Arial"/>
                <w:sz w:val="14"/>
                <w:szCs w:val="14"/>
                <w:color w:val="auto"/>
              </w:rPr>
              <w:t>(in millions, except per share data)</w:t>
            </w:r>
          </w:p>
        </w:tc>
        <w:tc>
          <w:tcPr>
            <w:tcW w:w="960" w:type="dxa"/>
            <w:vAlign w:val="bottom"/>
            <w:tcBorders>
              <w:bottom w:val="single" w:sz="8" w:color="auto"/>
            </w:tcBorders>
          </w:tcPr>
          <w:p>
            <w:pPr>
              <w:jc w:val="right"/>
              <w:ind w:right="154"/>
              <w:spacing w:after="0"/>
              <w:rPr>
                <w:sz w:val="20"/>
                <w:szCs w:val="20"/>
                <w:color w:val="auto"/>
              </w:rPr>
            </w:pPr>
            <w:r>
              <w:rPr>
                <w:rFonts w:ascii="Arial" w:cs="Arial" w:eastAsia="Arial" w:hAnsi="Arial"/>
                <w:sz w:val="14"/>
                <w:szCs w:val="14"/>
                <w:color w:val="auto"/>
              </w:rPr>
              <w:t>2005</w:t>
            </w:r>
          </w:p>
        </w:tc>
        <w:tc>
          <w:tcPr>
            <w:tcW w:w="74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2004</w:t>
            </w:r>
          </w:p>
        </w:tc>
      </w:tr>
      <w:tr>
        <w:trPr>
          <w:trHeight w:val="199"/>
        </w:trPr>
        <w:tc>
          <w:tcPr>
            <w:tcW w:w="3780" w:type="dxa"/>
            <w:vAlign w:val="bottom"/>
          </w:tcPr>
          <w:p>
            <w:pPr>
              <w:ind w:left="20"/>
              <w:spacing w:after="0" w:line="200" w:lineRule="exact"/>
              <w:rPr>
                <w:sz w:val="20"/>
                <w:szCs w:val="20"/>
                <w:color w:val="auto"/>
              </w:rPr>
            </w:pPr>
            <w:r>
              <w:rPr>
                <w:rFonts w:ascii="Arial" w:cs="Arial" w:eastAsia="Arial" w:hAnsi="Arial"/>
                <w:sz w:val="18"/>
                <w:szCs w:val="18"/>
                <w:color w:val="auto"/>
              </w:rPr>
              <w:t>Net income, as reported</w:t>
            </w:r>
          </w:p>
        </w:tc>
        <w:tc>
          <w:tcPr>
            <w:tcW w:w="960" w:type="dxa"/>
            <w:vAlign w:val="bottom"/>
          </w:tcPr>
          <w:p>
            <w:pPr>
              <w:jc w:val="right"/>
              <w:ind w:right="154"/>
              <w:spacing w:after="0" w:line="200" w:lineRule="exact"/>
              <w:rPr>
                <w:sz w:val="20"/>
                <w:szCs w:val="20"/>
                <w:color w:val="auto"/>
              </w:rPr>
            </w:pPr>
            <w:r>
              <w:rPr>
                <w:rFonts w:ascii="Arial" w:cs="Arial" w:eastAsia="Arial" w:hAnsi="Arial"/>
                <w:sz w:val="18"/>
                <w:szCs w:val="18"/>
                <w:color w:val="auto"/>
              </w:rPr>
              <w:t>$ 928</w:t>
            </w:r>
          </w:p>
        </w:tc>
        <w:tc>
          <w:tcPr>
            <w:tcW w:w="740" w:type="dxa"/>
            <w:vAlign w:val="bottom"/>
          </w:tcPr>
          <w:p>
            <w:pPr>
              <w:jc w:val="right"/>
              <w:spacing w:after="0" w:line="200" w:lineRule="exact"/>
              <w:rPr>
                <w:sz w:val="20"/>
                <w:szCs w:val="20"/>
                <w:color w:val="auto"/>
              </w:rPr>
            </w:pPr>
            <w:r>
              <w:rPr>
                <w:rFonts w:ascii="Arial" w:cs="Arial" w:eastAsia="Arial" w:hAnsi="Arial"/>
                <w:sz w:val="18"/>
                <w:szCs w:val="18"/>
                <w:color w:val="auto"/>
              </w:rPr>
              <w:t>$ 970</w:t>
            </w:r>
          </w:p>
        </w:tc>
      </w:tr>
      <w:tr>
        <w:trPr>
          <w:trHeight w:val="203"/>
        </w:trPr>
        <w:tc>
          <w:tcPr>
            <w:tcW w:w="3780" w:type="dxa"/>
            <w:vAlign w:val="bottom"/>
          </w:tcPr>
          <w:p>
            <w:pPr>
              <w:ind w:left="20"/>
              <w:spacing w:after="0" w:line="202" w:lineRule="exact"/>
              <w:rPr>
                <w:sz w:val="20"/>
                <w:szCs w:val="20"/>
                <w:color w:val="auto"/>
              </w:rPr>
            </w:pPr>
            <w:r>
              <w:rPr>
                <w:rFonts w:ascii="Arial" w:cs="Arial" w:eastAsia="Arial" w:hAnsi="Arial"/>
                <w:sz w:val="18"/>
                <w:szCs w:val="18"/>
                <w:color w:val="auto"/>
              </w:rPr>
              <w:t>Add: Share-based compensation expense</w:t>
            </w:r>
          </w:p>
        </w:tc>
        <w:tc>
          <w:tcPr>
            <w:tcW w:w="960" w:type="dxa"/>
            <w:vAlign w:val="bottom"/>
          </w:tcPr>
          <w:p>
            <w:pPr>
              <w:spacing w:after="0"/>
              <w:rPr>
                <w:sz w:val="17"/>
                <w:szCs w:val="17"/>
                <w:color w:val="auto"/>
              </w:rPr>
            </w:pPr>
          </w:p>
        </w:tc>
        <w:tc>
          <w:tcPr>
            <w:tcW w:w="740" w:type="dxa"/>
            <w:vAlign w:val="bottom"/>
          </w:tcPr>
          <w:p>
            <w:pPr>
              <w:spacing w:after="0"/>
              <w:rPr>
                <w:sz w:val="17"/>
                <w:szCs w:val="17"/>
                <w:color w:val="auto"/>
              </w:rPr>
            </w:pPr>
          </w:p>
        </w:tc>
      </w:tr>
      <w:tr>
        <w:trPr>
          <w:trHeight w:val="203"/>
        </w:trPr>
        <w:tc>
          <w:tcPr>
            <w:tcW w:w="3780" w:type="dxa"/>
            <w:vAlign w:val="bottom"/>
          </w:tcPr>
          <w:p>
            <w:pPr>
              <w:ind w:left="220"/>
              <w:spacing w:after="0" w:line="202" w:lineRule="exact"/>
              <w:rPr>
                <w:sz w:val="20"/>
                <w:szCs w:val="20"/>
                <w:color w:val="auto"/>
              </w:rPr>
            </w:pPr>
            <w:r>
              <w:rPr>
                <w:rFonts w:ascii="Arial" w:cs="Arial" w:eastAsia="Arial" w:hAnsi="Arial"/>
                <w:sz w:val="18"/>
                <w:szCs w:val="18"/>
                <w:color w:val="auto"/>
              </w:rPr>
              <w:t>included in net income, as reported above,</w:t>
            </w:r>
          </w:p>
        </w:tc>
        <w:tc>
          <w:tcPr>
            <w:tcW w:w="960" w:type="dxa"/>
            <w:vAlign w:val="bottom"/>
          </w:tcPr>
          <w:p>
            <w:pPr>
              <w:spacing w:after="0"/>
              <w:rPr>
                <w:sz w:val="17"/>
                <w:szCs w:val="17"/>
                <w:color w:val="auto"/>
              </w:rPr>
            </w:pPr>
          </w:p>
        </w:tc>
        <w:tc>
          <w:tcPr>
            <w:tcW w:w="740" w:type="dxa"/>
            <w:vAlign w:val="bottom"/>
          </w:tcPr>
          <w:p>
            <w:pPr>
              <w:spacing w:after="0"/>
              <w:rPr>
                <w:sz w:val="17"/>
                <w:szCs w:val="17"/>
                <w:color w:val="auto"/>
              </w:rPr>
            </w:pPr>
          </w:p>
        </w:tc>
      </w:tr>
      <w:tr>
        <w:trPr>
          <w:trHeight w:val="203"/>
        </w:trPr>
        <w:tc>
          <w:tcPr>
            <w:tcW w:w="3780" w:type="dxa"/>
            <w:vAlign w:val="bottom"/>
          </w:tcPr>
          <w:p>
            <w:pPr>
              <w:ind w:left="220"/>
              <w:spacing w:after="0" w:line="202" w:lineRule="exact"/>
              <w:rPr>
                <w:sz w:val="20"/>
                <w:szCs w:val="20"/>
                <w:color w:val="auto"/>
              </w:rPr>
            </w:pPr>
            <w:r>
              <w:rPr>
                <w:rFonts w:ascii="Arial" w:cs="Arial" w:eastAsia="Arial" w:hAnsi="Arial"/>
                <w:sz w:val="18"/>
                <w:szCs w:val="18"/>
                <w:color w:val="auto"/>
              </w:rPr>
              <w:t>net of related tax effects</w:t>
            </w:r>
          </w:p>
        </w:tc>
        <w:tc>
          <w:tcPr>
            <w:tcW w:w="960" w:type="dxa"/>
            <w:vAlign w:val="bottom"/>
          </w:tcPr>
          <w:p>
            <w:pPr>
              <w:jc w:val="right"/>
              <w:ind w:right="154"/>
              <w:spacing w:after="0" w:line="202" w:lineRule="exact"/>
              <w:rPr>
                <w:sz w:val="20"/>
                <w:szCs w:val="20"/>
                <w:color w:val="auto"/>
              </w:rPr>
            </w:pPr>
            <w:r>
              <w:rPr>
                <w:rFonts w:ascii="Arial" w:cs="Arial" w:eastAsia="Arial" w:hAnsi="Arial"/>
                <w:sz w:val="18"/>
                <w:szCs w:val="18"/>
                <w:color w:val="auto"/>
              </w:rPr>
              <w:t>42</w:t>
            </w:r>
          </w:p>
        </w:tc>
        <w:tc>
          <w:tcPr>
            <w:tcW w:w="740" w:type="dxa"/>
            <w:vAlign w:val="bottom"/>
          </w:tcPr>
          <w:p>
            <w:pPr>
              <w:jc w:val="right"/>
              <w:spacing w:after="0" w:line="202" w:lineRule="exact"/>
              <w:rPr>
                <w:sz w:val="20"/>
                <w:szCs w:val="20"/>
                <w:color w:val="auto"/>
              </w:rPr>
            </w:pPr>
            <w:r>
              <w:rPr>
                <w:rFonts w:ascii="Arial" w:cs="Arial" w:eastAsia="Arial" w:hAnsi="Arial"/>
                <w:sz w:val="18"/>
                <w:szCs w:val="18"/>
                <w:color w:val="auto"/>
              </w:rPr>
              <w:t>27</w:t>
            </w:r>
          </w:p>
        </w:tc>
      </w:tr>
      <w:tr>
        <w:trPr>
          <w:trHeight w:val="203"/>
        </w:trPr>
        <w:tc>
          <w:tcPr>
            <w:tcW w:w="3780" w:type="dxa"/>
            <w:vAlign w:val="bottom"/>
          </w:tcPr>
          <w:p>
            <w:pPr>
              <w:ind w:left="20"/>
              <w:spacing w:after="0" w:line="202" w:lineRule="exact"/>
              <w:rPr>
                <w:sz w:val="20"/>
                <w:szCs w:val="20"/>
                <w:color w:val="auto"/>
              </w:rPr>
            </w:pPr>
            <w:r>
              <w:rPr>
                <w:rFonts w:ascii="Arial" w:cs="Arial" w:eastAsia="Arial" w:hAnsi="Arial"/>
                <w:sz w:val="18"/>
                <w:szCs w:val="18"/>
                <w:color w:val="auto"/>
              </w:rPr>
              <w:t>Less: Share-based compensation expense</w:t>
            </w:r>
          </w:p>
        </w:tc>
        <w:tc>
          <w:tcPr>
            <w:tcW w:w="960" w:type="dxa"/>
            <w:vAlign w:val="bottom"/>
          </w:tcPr>
          <w:p>
            <w:pPr>
              <w:spacing w:after="0"/>
              <w:rPr>
                <w:sz w:val="17"/>
                <w:szCs w:val="17"/>
                <w:color w:val="auto"/>
              </w:rPr>
            </w:pPr>
          </w:p>
        </w:tc>
        <w:tc>
          <w:tcPr>
            <w:tcW w:w="740" w:type="dxa"/>
            <w:vAlign w:val="bottom"/>
          </w:tcPr>
          <w:p>
            <w:pPr>
              <w:spacing w:after="0"/>
              <w:rPr>
                <w:sz w:val="17"/>
                <w:szCs w:val="17"/>
                <w:color w:val="auto"/>
              </w:rPr>
            </w:pPr>
          </w:p>
        </w:tc>
      </w:tr>
      <w:tr>
        <w:trPr>
          <w:trHeight w:val="203"/>
        </w:trPr>
        <w:tc>
          <w:tcPr>
            <w:tcW w:w="3780" w:type="dxa"/>
            <w:vAlign w:val="bottom"/>
          </w:tcPr>
          <w:p>
            <w:pPr>
              <w:ind w:left="220"/>
              <w:spacing w:after="0" w:line="202" w:lineRule="exact"/>
              <w:rPr>
                <w:sz w:val="20"/>
                <w:szCs w:val="20"/>
                <w:color w:val="auto"/>
              </w:rPr>
            </w:pPr>
            <w:r>
              <w:rPr>
                <w:rFonts w:ascii="Arial" w:cs="Arial" w:eastAsia="Arial" w:hAnsi="Arial"/>
                <w:sz w:val="18"/>
                <w:szCs w:val="18"/>
                <w:color w:val="auto"/>
              </w:rPr>
              <w:t>determined under fair value-based method</w:t>
            </w:r>
          </w:p>
        </w:tc>
        <w:tc>
          <w:tcPr>
            <w:tcW w:w="960" w:type="dxa"/>
            <w:vAlign w:val="bottom"/>
          </w:tcPr>
          <w:p>
            <w:pPr>
              <w:spacing w:after="0"/>
              <w:rPr>
                <w:sz w:val="17"/>
                <w:szCs w:val="17"/>
                <w:color w:val="auto"/>
              </w:rPr>
            </w:pPr>
          </w:p>
        </w:tc>
        <w:tc>
          <w:tcPr>
            <w:tcW w:w="740" w:type="dxa"/>
            <w:vAlign w:val="bottom"/>
          </w:tcPr>
          <w:p>
            <w:pPr>
              <w:spacing w:after="0"/>
              <w:rPr>
                <w:sz w:val="17"/>
                <w:szCs w:val="17"/>
                <w:color w:val="auto"/>
              </w:rPr>
            </w:pPr>
          </w:p>
        </w:tc>
      </w:tr>
      <w:tr>
        <w:trPr>
          <w:trHeight w:val="199"/>
        </w:trPr>
        <w:tc>
          <w:tcPr>
            <w:tcW w:w="3780" w:type="dxa"/>
            <w:vAlign w:val="bottom"/>
            <w:tcBorders>
              <w:bottom w:val="single" w:sz="8" w:color="auto"/>
            </w:tcBorders>
          </w:tcPr>
          <w:p>
            <w:pPr>
              <w:ind w:left="220"/>
              <w:spacing w:after="0" w:line="200" w:lineRule="exact"/>
              <w:rPr>
                <w:sz w:val="20"/>
                <w:szCs w:val="20"/>
                <w:color w:val="auto"/>
              </w:rPr>
            </w:pPr>
            <w:r>
              <w:rPr>
                <w:rFonts w:ascii="Arial" w:cs="Arial" w:eastAsia="Arial" w:hAnsi="Arial"/>
                <w:sz w:val="18"/>
                <w:szCs w:val="18"/>
                <w:color w:val="auto"/>
              </w:rPr>
              <w:t>for all awards, net of related tax effects</w:t>
            </w:r>
          </w:p>
        </w:tc>
        <w:tc>
          <w:tcPr>
            <w:tcW w:w="960" w:type="dxa"/>
            <w:vAlign w:val="bottom"/>
            <w:tcBorders>
              <w:bottom w:val="single" w:sz="8" w:color="auto"/>
            </w:tcBorders>
          </w:tcPr>
          <w:p>
            <w:pPr>
              <w:jc w:val="right"/>
              <w:ind w:right="94"/>
              <w:spacing w:after="0" w:line="200" w:lineRule="exact"/>
              <w:rPr>
                <w:sz w:val="20"/>
                <w:szCs w:val="20"/>
                <w:color w:val="auto"/>
              </w:rPr>
            </w:pPr>
            <w:r>
              <w:rPr>
                <w:rFonts w:ascii="Arial" w:cs="Arial" w:eastAsia="Arial" w:hAnsi="Arial"/>
                <w:sz w:val="18"/>
                <w:szCs w:val="18"/>
                <w:color w:val="auto"/>
              </w:rPr>
              <w:t>(150)</w:t>
            </w:r>
          </w:p>
        </w:tc>
        <w:tc>
          <w:tcPr>
            <w:tcW w:w="740" w:type="dxa"/>
            <w:vAlign w:val="bottom"/>
            <w:tcBorders>
              <w:bottom w:val="single" w:sz="8" w:color="auto"/>
            </w:tcBorders>
          </w:tcPr>
          <w:p>
            <w:pPr>
              <w:jc w:val="right"/>
              <w:spacing w:after="0" w:line="200" w:lineRule="exact"/>
              <w:rPr>
                <w:sz w:val="20"/>
                <w:szCs w:val="20"/>
                <w:color w:val="auto"/>
              </w:rPr>
            </w:pPr>
            <w:r>
              <w:rPr>
                <w:rFonts w:ascii="Arial" w:cs="Arial" w:eastAsia="Arial" w:hAnsi="Arial"/>
                <w:sz w:val="18"/>
                <w:szCs w:val="18"/>
                <w:color w:val="auto"/>
              </w:rPr>
              <w:t>(206)</w:t>
            </w:r>
          </w:p>
        </w:tc>
      </w:tr>
      <w:tr>
        <w:trPr>
          <w:trHeight w:val="196"/>
        </w:trPr>
        <w:tc>
          <w:tcPr>
            <w:tcW w:w="3780" w:type="dxa"/>
            <w:vAlign w:val="bottom"/>
            <w:tcBorders>
              <w:bottom w:val="single" w:sz="8" w:color="35BF85"/>
            </w:tcBorders>
          </w:tcPr>
          <w:p>
            <w:pPr>
              <w:ind w:left="20"/>
              <w:spacing w:after="0" w:line="196" w:lineRule="exact"/>
              <w:rPr>
                <w:sz w:val="20"/>
                <w:szCs w:val="20"/>
                <w:color w:val="auto"/>
              </w:rPr>
            </w:pPr>
            <w:r>
              <w:rPr>
                <w:rFonts w:ascii="Arial" w:cs="Arial" w:eastAsia="Arial" w:hAnsi="Arial"/>
                <w:sz w:val="18"/>
                <w:szCs w:val="18"/>
                <w:color w:val="auto"/>
              </w:rPr>
              <w:t>Pro forma, net income</w:t>
            </w:r>
          </w:p>
        </w:tc>
        <w:tc>
          <w:tcPr>
            <w:tcW w:w="960" w:type="dxa"/>
            <w:vAlign w:val="bottom"/>
            <w:tcBorders>
              <w:bottom w:val="single" w:sz="8" w:color="35BF85"/>
            </w:tcBorders>
          </w:tcPr>
          <w:p>
            <w:pPr>
              <w:jc w:val="right"/>
              <w:ind w:right="154"/>
              <w:spacing w:after="0" w:line="196" w:lineRule="exact"/>
              <w:rPr>
                <w:sz w:val="20"/>
                <w:szCs w:val="20"/>
                <w:color w:val="auto"/>
              </w:rPr>
            </w:pPr>
            <w:r>
              <w:rPr>
                <w:rFonts w:ascii="Arial" w:cs="Arial" w:eastAsia="Arial" w:hAnsi="Arial"/>
                <w:sz w:val="18"/>
                <w:szCs w:val="18"/>
                <w:color w:val="auto"/>
              </w:rPr>
              <w:t>$ 820</w:t>
            </w:r>
          </w:p>
        </w:tc>
        <w:tc>
          <w:tcPr>
            <w:tcW w:w="740" w:type="dxa"/>
            <w:vAlign w:val="bottom"/>
            <w:tcBorders>
              <w:bottom w:val="single" w:sz="8" w:color="35BF85"/>
            </w:tcBorders>
          </w:tcPr>
          <w:p>
            <w:pPr>
              <w:jc w:val="right"/>
              <w:spacing w:after="0" w:line="196" w:lineRule="exact"/>
              <w:rPr>
                <w:sz w:val="20"/>
                <w:szCs w:val="20"/>
                <w:color w:val="auto"/>
              </w:rPr>
            </w:pPr>
            <w:r>
              <w:rPr>
                <w:rFonts w:ascii="Arial" w:cs="Arial" w:eastAsia="Arial" w:hAnsi="Arial"/>
                <w:sz w:val="18"/>
                <w:szCs w:val="18"/>
                <w:color w:val="auto"/>
              </w:rPr>
              <w:t>$ 791</w:t>
            </w:r>
          </w:p>
        </w:tc>
      </w:tr>
      <w:tr>
        <w:trPr>
          <w:trHeight w:val="199"/>
        </w:trPr>
        <w:tc>
          <w:tcPr>
            <w:tcW w:w="3780" w:type="dxa"/>
            <w:vAlign w:val="bottom"/>
          </w:tcPr>
          <w:p>
            <w:pPr>
              <w:ind w:left="20"/>
              <w:spacing w:after="0" w:line="200" w:lineRule="exact"/>
              <w:rPr>
                <w:sz w:val="20"/>
                <w:szCs w:val="20"/>
                <w:color w:val="auto"/>
              </w:rPr>
            </w:pPr>
            <w:r>
              <w:rPr>
                <w:rFonts w:ascii="Arial" w:cs="Arial" w:eastAsia="Arial" w:hAnsi="Arial"/>
                <w:sz w:val="18"/>
                <w:szCs w:val="18"/>
                <w:color w:val="auto"/>
              </w:rPr>
              <w:t>Basic earnings for common stockholders per</w:t>
            </w:r>
          </w:p>
        </w:tc>
        <w:tc>
          <w:tcPr>
            <w:tcW w:w="960" w:type="dxa"/>
            <w:vAlign w:val="bottom"/>
          </w:tcPr>
          <w:p>
            <w:pPr>
              <w:spacing w:after="0"/>
              <w:rPr>
                <w:sz w:val="17"/>
                <w:szCs w:val="17"/>
                <w:color w:val="auto"/>
              </w:rPr>
            </w:pPr>
          </w:p>
        </w:tc>
        <w:tc>
          <w:tcPr>
            <w:tcW w:w="740" w:type="dxa"/>
            <w:vAlign w:val="bottom"/>
          </w:tcPr>
          <w:p>
            <w:pPr>
              <w:spacing w:after="0"/>
              <w:rPr>
                <w:sz w:val="17"/>
                <w:szCs w:val="17"/>
                <w:color w:val="auto"/>
              </w:rPr>
            </w:pPr>
          </w:p>
        </w:tc>
      </w:tr>
      <w:tr>
        <w:trPr>
          <w:trHeight w:val="203"/>
        </w:trPr>
        <w:tc>
          <w:tcPr>
            <w:tcW w:w="3780" w:type="dxa"/>
            <w:vAlign w:val="bottom"/>
          </w:tcPr>
          <w:p>
            <w:pPr>
              <w:ind w:left="220"/>
              <w:spacing w:after="0" w:line="202" w:lineRule="exact"/>
              <w:rPr>
                <w:sz w:val="20"/>
                <w:szCs w:val="20"/>
                <w:color w:val="auto"/>
              </w:rPr>
            </w:pPr>
            <w:r>
              <w:rPr>
                <w:rFonts w:ascii="Arial" w:cs="Arial" w:eastAsia="Arial" w:hAnsi="Arial"/>
                <w:sz w:val="18"/>
                <w:szCs w:val="18"/>
                <w:color w:val="auto"/>
              </w:rPr>
              <w:t>common share:</w:t>
            </w:r>
          </w:p>
        </w:tc>
        <w:tc>
          <w:tcPr>
            <w:tcW w:w="960" w:type="dxa"/>
            <w:vAlign w:val="bottom"/>
          </w:tcPr>
          <w:p>
            <w:pPr>
              <w:spacing w:after="0"/>
              <w:rPr>
                <w:sz w:val="17"/>
                <w:szCs w:val="17"/>
                <w:color w:val="auto"/>
              </w:rPr>
            </w:pPr>
          </w:p>
        </w:tc>
        <w:tc>
          <w:tcPr>
            <w:tcW w:w="740" w:type="dxa"/>
            <w:vAlign w:val="bottom"/>
          </w:tcPr>
          <w:p>
            <w:pPr>
              <w:spacing w:after="0"/>
              <w:rPr>
                <w:sz w:val="17"/>
                <w:szCs w:val="17"/>
                <w:color w:val="auto"/>
              </w:rPr>
            </w:pPr>
          </w:p>
        </w:tc>
      </w:tr>
      <w:tr>
        <w:trPr>
          <w:trHeight w:val="203"/>
        </w:trPr>
        <w:tc>
          <w:tcPr>
            <w:tcW w:w="3780" w:type="dxa"/>
            <w:vAlign w:val="bottom"/>
          </w:tcPr>
          <w:p>
            <w:pPr>
              <w:ind w:left="20"/>
              <w:spacing w:after="0" w:line="202" w:lineRule="exact"/>
              <w:rPr>
                <w:sz w:val="20"/>
                <w:szCs w:val="20"/>
                <w:color w:val="auto"/>
              </w:rPr>
            </w:pPr>
            <w:r>
              <w:rPr>
                <w:rFonts w:ascii="Arial" w:cs="Arial" w:eastAsia="Arial" w:hAnsi="Arial"/>
                <w:sz w:val="18"/>
                <w:szCs w:val="18"/>
                <w:color w:val="auto"/>
              </w:rPr>
              <w:t>As reported</w:t>
            </w:r>
          </w:p>
        </w:tc>
        <w:tc>
          <w:tcPr>
            <w:tcW w:w="960" w:type="dxa"/>
            <w:vAlign w:val="bottom"/>
          </w:tcPr>
          <w:p>
            <w:pPr>
              <w:jc w:val="right"/>
              <w:ind w:right="154"/>
              <w:spacing w:after="0" w:line="202" w:lineRule="exact"/>
              <w:rPr>
                <w:sz w:val="20"/>
                <w:szCs w:val="20"/>
                <w:color w:val="auto"/>
              </w:rPr>
            </w:pPr>
            <w:r>
              <w:rPr>
                <w:rFonts w:ascii="Arial" w:cs="Arial" w:eastAsia="Arial" w:hAnsi="Arial"/>
                <w:sz w:val="18"/>
                <w:szCs w:val="18"/>
                <w:color w:val="auto"/>
              </w:rPr>
              <w:t>$ 0.28</w:t>
            </w:r>
          </w:p>
        </w:tc>
        <w:tc>
          <w:tcPr>
            <w:tcW w:w="740" w:type="dxa"/>
            <w:vAlign w:val="bottom"/>
          </w:tcPr>
          <w:p>
            <w:pPr>
              <w:jc w:val="right"/>
              <w:spacing w:after="0" w:line="202" w:lineRule="exact"/>
              <w:rPr>
                <w:sz w:val="20"/>
                <w:szCs w:val="20"/>
                <w:color w:val="auto"/>
              </w:rPr>
            </w:pPr>
            <w:r>
              <w:rPr>
                <w:rFonts w:ascii="Arial" w:cs="Arial" w:eastAsia="Arial" w:hAnsi="Arial"/>
                <w:sz w:val="18"/>
                <w:szCs w:val="18"/>
                <w:color w:val="auto"/>
              </w:rPr>
              <w:t>$ 0.29</w:t>
            </w:r>
          </w:p>
        </w:tc>
      </w:tr>
      <w:tr>
        <w:trPr>
          <w:trHeight w:val="203"/>
        </w:trPr>
        <w:tc>
          <w:tcPr>
            <w:tcW w:w="3780" w:type="dxa"/>
            <w:vAlign w:val="bottom"/>
          </w:tcPr>
          <w:p>
            <w:pPr>
              <w:ind w:left="20"/>
              <w:spacing w:after="0" w:line="202" w:lineRule="exact"/>
              <w:rPr>
                <w:sz w:val="20"/>
                <w:szCs w:val="20"/>
                <w:color w:val="auto"/>
              </w:rPr>
            </w:pPr>
            <w:r>
              <w:rPr>
                <w:rFonts w:ascii="Arial" w:cs="Arial" w:eastAsia="Arial" w:hAnsi="Arial"/>
                <w:sz w:val="18"/>
                <w:szCs w:val="18"/>
                <w:color w:val="auto"/>
              </w:rPr>
              <w:t>Pro forma</w:t>
            </w:r>
          </w:p>
        </w:tc>
        <w:tc>
          <w:tcPr>
            <w:tcW w:w="960" w:type="dxa"/>
            <w:vAlign w:val="bottom"/>
          </w:tcPr>
          <w:p>
            <w:pPr>
              <w:jc w:val="right"/>
              <w:ind w:right="154"/>
              <w:spacing w:after="0" w:line="202" w:lineRule="exact"/>
              <w:rPr>
                <w:sz w:val="20"/>
                <w:szCs w:val="20"/>
                <w:color w:val="auto"/>
              </w:rPr>
            </w:pPr>
            <w:r>
              <w:rPr>
                <w:rFonts w:ascii="Arial" w:cs="Arial" w:eastAsia="Arial" w:hAnsi="Arial"/>
                <w:sz w:val="18"/>
                <w:szCs w:val="18"/>
                <w:color w:val="auto"/>
              </w:rPr>
              <w:t>$ 0.25</w:t>
            </w:r>
          </w:p>
        </w:tc>
        <w:tc>
          <w:tcPr>
            <w:tcW w:w="740" w:type="dxa"/>
            <w:vAlign w:val="bottom"/>
          </w:tcPr>
          <w:p>
            <w:pPr>
              <w:jc w:val="right"/>
              <w:spacing w:after="0" w:line="202" w:lineRule="exact"/>
              <w:rPr>
                <w:sz w:val="20"/>
                <w:szCs w:val="20"/>
                <w:color w:val="auto"/>
              </w:rPr>
            </w:pPr>
            <w:r>
              <w:rPr>
                <w:rFonts w:ascii="Arial" w:cs="Arial" w:eastAsia="Arial" w:hAnsi="Arial"/>
                <w:sz w:val="18"/>
                <w:szCs w:val="18"/>
                <w:color w:val="auto"/>
              </w:rPr>
              <w:t>$ 0.24</w:t>
            </w:r>
          </w:p>
        </w:tc>
      </w:tr>
      <w:tr>
        <w:trPr>
          <w:trHeight w:val="203"/>
        </w:trPr>
        <w:tc>
          <w:tcPr>
            <w:tcW w:w="3780" w:type="dxa"/>
            <w:vAlign w:val="bottom"/>
          </w:tcPr>
          <w:p>
            <w:pPr>
              <w:ind w:left="20"/>
              <w:spacing w:after="0" w:line="202" w:lineRule="exact"/>
              <w:rPr>
                <w:sz w:val="20"/>
                <w:szCs w:val="20"/>
                <w:color w:val="auto"/>
              </w:rPr>
            </w:pPr>
            <w:r>
              <w:rPr>
                <w:rFonts w:ascii="Arial" w:cs="Arial" w:eastAsia="Arial" w:hAnsi="Arial"/>
                <w:sz w:val="18"/>
                <w:szCs w:val="18"/>
                <w:color w:val="auto"/>
              </w:rPr>
              <w:t>Diluted earnings for common stockholders</w:t>
            </w:r>
          </w:p>
        </w:tc>
        <w:tc>
          <w:tcPr>
            <w:tcW w:w="960" w:type="dxa"/>
            <w:vAlign w:val="bottom"/>
          </w:tcPr>
          <w:p>
            <w:pPr>
              <w:spacing w:after="0"/>
              <w:rPr>
                <w:sz w:val="17"/>
                <w:szCs w:val="17"/>
                <w:color w:val="auto"/>
              </w:rPr>
            </w:pPr>
          </w:p>
        </w:tc>
        <w:tc>
          <w:tcPr>
            <w:tcW w:w="740" w:type="dxa"/>
            <w:vAlign w:val="bottom"/>
          </w:tcPr>
          <w:p>
            <w:pPr>
              <w:spacing w:after="0"/>
              <w:rPr>
                <w:sz w:val="17"/>
                <w:szCs w:val="17"/>
                <w:color w:val="auto"/>
              </w:rPr>
            </w:pPr>
          </w:p>
        </w:tc>
      </w:tr>
      <w:tr>
        <w:trPr>
          <w:trHeight w:val="203"/>
        </w:trPr>
        <w:tc>
          <w:tcPr>
            <w:tcW w:w="3780" w:type="dxa"/>
            <w:vAlign w:val="bottom"/>
          </w:tcPr>
          <w:p>
            <w:pPr>
              <w:ind w:left="220"/>
              <w:spacing w:after="0" w:line="202" w:lineRule="exact"/>
              <w:rPr>
                <w:sz w:val="20"/>
                <w:szCs w:val="20"/>
                <w:color w:val="auto"/>
              </w:rPr>
            </w:pPr>
            <w:r>
              <w:rPr>
                <w:rFonts w:ascii="Arial" w:cs="Arial" w:eastAsia="Arial" w:hAnsi="Arial"/>
                <w:sz w:val="18"/>
                <w:szCs w:val="18"/>
                <w:color w:val="auto"/>
              </w:rPr>
              <w:t>per common share:</w:t>
            </w:r>
          </w:p>
        </w:tc>
        <w:tc>
          <w:tcPr>
            <w:tcW w:w="960" w:type="dxa"/>
            <w:vAlign w:val="bottom"/>
          </w:tcPr>
          <w:p>
            <w:pPr>
              <w:spacing w:after="0"/>
              <w:rPr>
                <w:sz w:val="17"/>
                <w:szCs w:val="17"/>
                <w:color w:val="auto"/>
              </w:rPr>
            </w:pPr>
          </w:p>
        </w:tc>
        <w:tc>
          <w:tcPr>
            <w:tcW w:w="740" w:type="dxa"/>
            <w:vAlign w:val="bottom"/>
          </w:tcPr>
          <w:p>
            <w:pPr>
              <w:spacing w:after="0"/>
              <w:rPr>
                <w:sz w:val="17"/>
                <w:szCs w:val="17"/>
                <w:color w:val="auto"/>
              </w:rPr>
            </w:pPr>
          </w:p>
        </w:tc>
      </w:tr>
      <w:tr>
        <w:trPr>
          <w:trHeight w:val="203"/>
        </w:trPr>
        <w:tc>
          <w:tcPr>
            <w:tcW w:w="3780" w:type="dxa"/>
            <w:vAlign w:val="bottom"/>
          </w:tcPr>
          <w:p>
            <w:pPr>
              <w:ind w:left="20"/>
              <w:spacing w:after="0" w:line="202" w:lineRule="exact"/>
              <w:rPr>
                <w:sz w:val="20"/>
                <w:szCs w:val="20"/>
                <w:color w:val="auto"/>
              </w:rPr>
            </w:pPr>
            <w:r>
              <w:rPr>
                <w:rFonts w:ascii="Arial" w:cs="Arial" w:eastAsia="Arial" w:hAnsi="Arial"/>
                <w:sz w:val="18"/>
                <w:szCs w:val="18"/>
                <w:color w:val="auto"/>
              </w:rPr>
              <w:t>As reported</w:t>
            </w:r>
          </w:p>
        </w:tc>
        <w:tc>
          <w:tcPr>
            <w:tcW w:w="960" w:type="dxa"/>
            <w:vAlign w:val="bottom"/>
          </w:tcPr>
          <w:p>
            <w:pPr>
              <w:jc w:val="right"/>
              <w:ind w:right="154"/>
              <w:spacing w:after="0" w:line="202" w:lineRule="exact"/>
              <w:rPr>
                <w:sz w:val="20"/>
                <w:szCs w:val="20"/>
                <w:color w:val="auto"/>
              </w:rPr>
            </w:pPr>
            <w:r>
              <w:rPr>
                <w:rFonts w:ascii="Arial" w:cs="Arial" w:eastAsia="Arial" w:hAnsi="Arial"/>
                <w:sz w:val="18"/>
                <w:szCs w:val="18"/>
                <w:color w:val="auto"/>
              </w:rPr>
              <w:t>$ 0.28</w:t>
            </w:r>
          </w:p>
        </w:tc>
        <w:tc>
          <w:tcPr>
            <w:tcW w:w="740" w:type="dxa"/>
            <w:vAlign w:val="bottom"/>
          </w:tcPr>
          <w:p>
            <w:pPr>
              <w:jc w:val="right"/>
              <w:spacing w:after="0" w:line="202" w:lineRule="exact"/>
              <w:rPr>
                <w:sz w:val="20"/>
                <w:szCs w:val="20"/>
                <w:color w:val="auto"/>
              </w:rPr>
            </w:pPr>
            <w:r>
              <w:rPr>
                <w:rFonts w:ascii="Arial" w:cs="Arial" w:eastAsia="Arial" w:hAnsi="Arial"/>
                <w:sz w:val="18"/>
                <w:szCs w:val="18"/>
                <w:color w:val="auto"/>
              </w:rPr>
              <w:t>$ 0.29</w:t>
            </w:r>
          </w:p>
        </w:tc>
      </w:tr>
      <w:tr>
        <w:trPr>
          <w:trHeight w:val="199"/>
        </w:trPr>
        <w:tc>
          <w:tcPr>
            <w:tcW w:w="3780" w:type="dxa"/>
            <w:vAlign w:val="bottom"/>
            <w:tcBorders>
              <w:bottom w:val="single" w:sz="8" w:color="35BF85"/>
            </w:tcBorders>
          </w:tcPr>
          <w:p>
            <w:pPr>
              <w:ind w:left="20"/>
              <w:spacing w:after="0" w:line="200" w:lineRule="exact"/>
              <w:rPr>
                <w:sz w:val="20"/>
                <w:szCs w:val="20"/>
                <w:color w:val="auto"/>
              </w:rPr>
            </w:pPr>
            <w:r>
              <w:rPr>
                <w:rFonts w:ascii="Arial" w:cs="Arial" w:eastAsia="Arial" w:hAnsi="Arial"/>
                <w:sz w:val="18"/>
                <w:szCs w:val="18"/>
                <w:color w:val="auto"/>
              </w:rPr>
              <w:t>Pro forma</w:t>
            </w:r>
          </w:p>
        </w:tc>
        <w:tc>
          <w:tcPr>
            <w:tcW w:w="960" w:type="dxa"/>
            <w:vAlign w:val="bottom"/>
            <w:tcBorders>
              <w:bottom w:val="single" w:sz="8" w:color="35BF85"/>
            </w:tcBorders>
          </w:tcPr>
          <w:p>
            <w:pPr>
              <w:jc w:val="right"/>
              <w:ind w:right="154"/>
              <w:spacing w:after="0" w:line="200" w:lineRule="exact"/>
              <w:rPr>
                <w:sz w:val="20"/>
                <w:szCs w:val="20"/>
                <w:color w:val="auto"/>
              </w:rPr>
            </w:pPr>
            <w:r>
              <w:rPr>
                <w:rFonts w:ascii="Arial" w:cs="Arial" w:eastAsia="Arial" w:hAnsi="Arial"/>
                <w:sz w:val="18"/>
                <w:szCs w:val="18"/>
                <w:color w:val="auto"/>
              </w:rPr>
              <w:t>$ 0.25</w:t>
            </w:r>
          </w:p>
        </w:tc>
        <w:tc>
          <w:tcPr>
            <w:tcW w:w="740" w:type="dxa"/>
            <w:vAlign w:val="bottom"/>
            <w:tcBorders>
              <w:bottom w:val="single" w:sz="8" w:color="35BF85"/>
            </w:tcBorders>
          </w:tcPr>
          <w:p>
            <w:pPr>
              <w:jc w:val="right"/>
              <w:spacing w:after="0" w:line="200" w:lineRule="exact"/>
              <w:rPr>
                <w:sz w:val="20"/>
                <w:szCs w:val="20"/>
                <w:color w:val="auto"/>
              </w:rPr>
            </w:pPr>
            <w:r>
              <w:rPr>
                <w:rFonts w:ascii="Arial" w:cs="Arial" w:eastAsia="Arial" w:hAnsi="Arial"/>
                <w:sz w:val="18"/>
                <w:szCs w:val="18"/>
                <w:color w:val="auto"/>
              </w:rPr>
              <w:t>$ 0.23</w:t>
            </w:r>
          </w:p>
        </w:tc>
      </w:tr>
    </w:tbl>
    <w:p>
      <w:pPr>
        <w:spacing w:after="0" w:line="165" w:lineRule="exact"/>
        <w:rPr>
          <w:sz w:val="20"/>
          <w:szCs w:val="20"/>
          <w:color w:val="auto"/>
        </w:rPr>
      </w:pPr>
    </w:p>
    <w:p>
      <w:pPr>
        <w:jc w:val="both"/>
        <w:spacing w:after="0" w:line="235" w:lineRule="auto"/>
        <w:rPr>
          <w:sz w:val="20"/>
          <w:szCs w:val="20"/>
          <w:color w:val="auto"/>
        </w:rPr>
      </w:pPr>
      <w:r>
        <w:rPr>
          <w:rFonts w:ascii="Arial" w:cs="Arial" w:eastAsia="Arial" w:hAnsi="Arial"/>
          <w:sz w:val="18"/>
          <w:szCs w:val="18"/>
          <w:color w:val="auto"/>
        </w:rPr>
        <w:t>On December 23, 2004, the Compensation Committee of our Board of Directors approved the acceleration of vesting of all unvested options granted prior to January 1, 2003, to purchase shares of our Class A Special common stock having an exercise price of $22.67 (adjusted to reflect the Stock Split) or greater and held by current employees. Options with respect to approximately 23.3 million shares (adjusted to reflect the Stock Split) of our Class A Special common stock were subject to this acceleration. This acceleration was effective as of December 31,</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79" w:lineRule="exact"/>
        <w:rPr>
          <w:sz w:val="20"/>
          <w:szCs w:val="20"/>
          <w:color w:val="auto"/>
        </w:rPr>
      </w:pPr>
    </w:p>
    <w:p>
      <w:pPr>
        <w:jc w:val="both"/>
        <w:ind w:left="140" w:right="120"/>
        <w:spacing w:after="0" w:line="235" w:lineRule="auto"/>
        <w:rPr>
          <w:sz w:val="20"/>
          <w:szCs w:val="20"/>
          <w:color w:val="auto"/>
        </w:rPr>
      </w:pPr>
      <w:r>
        <w:rPr>
          <w:rFonts w:ascii="Arial" w:cs="Arial" w:eastAsia="Arial" w:hAnsi="Arial"/>
          <w:sz w:val="18"/>
          <w:szCs w:val="18"/>
          <w:color w:val="auto"/>
        </w:rPr>
        <w:t>2004, except for those holders of incentive stock options (“ISOs”), who were given the opportunity to decline the acceleration of an option if such acceleration would have the effect of changing the status of the option for federal income tax purposes from an ISO to a nonqualified stock option. Because these options had exercise prices in excess of current market values (were “underwater”) and were not fully achieving their original objectives of incentive compensation and employee retention, the acceleration may have had a positive effect on employee morale, retention and perception of option value. The acceleration also took into account the fact that in December 2004, we completed the repurchase of stock options held by certain nonemployees for cash (including underwater options) under a stock option liquidity program (see above), and that no such offer (nor any other “solution” for underwater options) was made to current employees. The acceleration had no effect on reported net income, an immaterial impact on pro forma net income in 2005 and an approximate $39 million, net of tax, impact on pro forma net income in 2004. The impacts of the acceleration are reflected in the pro forma amounts above. This acceleration eliminated the future compensation expense we would have otherwise recognized in our statement of operations with respect to these options subsequent to the adoption of SFAS No. 123R.</w:t>
      </w:r>
    </w:p>
    <w:p>
      <w:pPr>
        <w:spacing w:after="0" w:line="138" w:lineRule="exact"/>
        <w:rPr>
          <w:sz w:val="20"/>
          <w:szCs w:val="20"/>
          <w:color w:val="auto"/>
        </w:rPr>
      </w:pPr>
    </w:p>
    <w:p>
      <w:pPr>
        <w:ind w:left="140"/>
        <w:spacing w:after="0"/>
        <w:rPr>
          <w:sz w:val="20"/>
          <w:szCs w:val="20"/>
          <w:color w:val="auto"/>
        </w:rPr>
      </w:pPr>
      <w:r>
        <w:rPr>
          <w:rFonts w:ascii="Arial" w:cs="Arial" w:eastAsia="Arial" w:hAnsi="Arial"/>
          <w:sz w:val="18"/>
          <w:szCs w:val="18"/>
          <w:b w:val="1"/>
          <w:bCs w:val="1"/>
          <w:color w:val="35BF85"/>
        </w:rPr>
        <w:t>Note 11: Income Taxes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85725</wp:posOffset>
            </wp:positionH>
            <wp:positionV relativeFrom="paragraph">
              <wp:posOffset>77470</wp:posOffset>
            </wp:positionV>
            <wp:extent cx="3481705" cy="8890"/>
            <wp:wrapNone/>
            <wp:docPr id="206" name="Picture 2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6"/>
                    <pic:cNvPicPr>
                      <a:picLocks noChangeAspect="1" noChangeArrowheads="1"/>
                    </pic:cNvPicPr>
                  </pic:nvPicPr>
                  <pic:blipFill>
                    <a:blip r:embed="rId213">
                      <a:extLst>
                        <a:ext uri="{28A0092B-C50C-407E-A947-70E740481C1C}"/>
                      </a:extLst>
                    </a:blip>
                    <a:srcRect/>
                    <a:stretch>
                      <a:fillRect/>
                    </a:stretch>
                  </pic:blipFill>
                  <pic:spPr bwMode="auto">
                    <a:xfrm>
                      <a:off x="0" y="0"/>
                      <a:ext cx="3481705" cy="8890"/>
                    </a:xfrm>
                    <a:prstGeom prst="rect">
                      <a:avLst/>
                    </a:prstGeom>
                    <a:noFill/>
                  </pic:spPr>
                </pic:pic>
              </a:graphicData>
            </a:graphic>
          </wp:anchor>
        </w:drawing>
      </w:r>
    </w:p>
    <w:p>
      <w:pPr>
        <w:spacing w:after="0" w:line="227" w:lineRule="exact"/>
        <w:rPr>
          <w:sz w:val="20"/>
          <w:szCs w:val="20"/>
          <w:color w:val="auto"/>
        </w:rPr>
      </w:pPr>
    </w:p>
    <w:p>
      <w:pPr>
        <w:jc w:val="both"/>
        <w:ind w:left="140" w:right="120"/>
        <w:spacing w:after="0" w:line="236" w:lineRule="auto"/>
        <w:rPr>
          <w:rFonts w:ascii="Arial" w:cs="Arial" w:eastAsia="Arial" w:hAnsi="Arial"/>
          <w:sz w:val="18"/>
          <w:szCs w:val="18"/>
          <w:color w:val="0000EE"/>
        </w:rPr>
      </w:pPr>
      <w:r>
        <w:rPr>
          <w:rFonts w:ascii="Arial" w:cs="Arial" w:eastAsia="Arial" w:hAnsi="Arial"/>
          <w:sz w:val="18"/>
          <w:szCs w:val="18"/>
          <w:color w:val="auto"/>
        </w:rPr>
        <w:t xml:space="preserve">We join with our 80% or more owned subsidiaries in filing consolidated federal income tax returns. E! Entertainment filed separate consolidated federal income tax returns for periods prior to our obtaining 100% ownership, which occurred in November 2006 (see </w:t>
      </w:r>
      <w:hyperlink w:anchor="page126">
        <w:r>
          <w:rPr>
            <w:rFonts w:ascii="Arial" w:cs="Arial" w:eastAsia="Arial" w:hAnsi="Arial"/>
            <w:sz w:val="18"/>
            <w:szCs w:val="18"/>
            <w:u w:val="single" w:color="auto"/>
            <w:color w:val="0000EE"/>
          </w:rPr>
          <w:t>Note 5</w:t>
        </w:r>
      </w:hyperlink>
      <w:r>
        <w:rPr>
          <w:rFonts w:ascii="Arial" w:cs="Arial" w:eastAsia="Arial" w:hAnsi="Arial"/>
          <w:sz w:val="18"/>
          <w:szCs w:val="18"/>
          <w:color w:val="000000"/>
        </w:rPr>
        <w:t>). Income tax (expense) benefit consists of the following</w:t>
      </w:r>
      <w:r>
        <w:rPr>
          <w:rFonts w:ascii="Arial" w:cs="Arial" w:eastAsia="Arial" w:hAnsi="Arial"/>
          <w:sz w:val="18"/>
          <w:szCs w:val="18"/>
          <w:color w:val="0000EE"/>
        </w:rPr>
        <w:t xml:space="preserve"> </w:t>
      </w:r>
      <w:r>
        <w:rPr>
          <w:rFonts w:ascii="Arial" w:cs="Arial" w:eastAsia="Arial" w:hAnsi="Arial"/>
          <w:sz w:val="18"/>
          <w:szCs w:val="18"/>
          <w:color w:val="000000"/>
        </w:rPr>
        <w:t>components:</w:t>
      </w:r>
    </w:p>
    <w:p>
      <w:pPr>
        <w:spacing w:after="0" w:line="177" w:lineRule="exact"/>
        <w:rPr>
          <w:sz w:val="20"/>
          <w:szCs w:val="20"/>
          <w:color w:val="auto"/>
        </w:rPr>
      </w:pPr>
    </w:p>
    <w:tbl>
      <w:tblPr>
        <w:tblLayout w:type="fixed"/>
        <w:tblInd w:w="0" w:type="dxa"/>
        <w:tblCellMar>
          <w:top w:w="0" w:type="dxa"/>
          <w:left w:w="0" w:type="dxa"/>
          <w:bottom w:w="0" w:type="dxa"/>
          <w:right w:w="0" w:type="dxa"/>
        </w:tblCellMar>
      </w:tblPr>
      <w:tr>
        <w:trPr>
          <w:trHeight w:val="165"/>
        </w:trPr>
        <w:tc>
          <w:tcPr>
            <w:tcW w:w="140" w:type="dxa"/>
            <w:vAlign w:val="bottom"/>
          </w:tcPr>
          <w:p>
            <w:pPr>
              <w:spacing w:after="0"/>
              <w:rPr>
                <w:sz w:val="14"/>
                <w:szCs w:val="14"/>
                <w:color w:val="auto"/>
              </w:rPr>
            </w:pPr>
          </w:p>
        </w:tc>
        <w:tc>
          <w:tcPr>
            <w:tcW w:w="2620" w:type="dxa"/>
            <w:vAlign w:val="bottom"/>
            <w:tcBorders>
              <w:bottom w:val="single" w:sz="8" w:color="auto"/>
            </w:tcBorders>
            <w:gridSpan w:val="2"/>
          </w:tcPr>
          <w:p>
            <w:pPr>
              <w:spacing w:after="0"/>
              <w:rPr>
                <w:sz w:val="20"/>
                <w:szCs w:val="20"/>
                <w:color w:val="auto"/>
              </w:rPr>
            </w:pPr>
            <w:r>
              <w:rPr>
                <w:rFonts w:ascii="Arial" w:cs="Arial" w:eastAsia="Arial" w:hAnsi="Arial"/>
                <w:sz w:val="14"/>
                <w:szCs w:val="14"/>
                <w:color w:val="auto"/>
              </w:rPr>
              <w:t>Year Ended December 31 (in millions)</w:t>
            </w:r>
          </w:p>
        </w:tc>
        <w:tc>
          <w:tcPr>
            <w:tcW w:w="440" w:type="dxa"/>
            <w:vAlign w:val="bottom"/>
            <w:tcBorders>
              <w:bottom w:val="single" w:sz="8" w:color="auto"/>
            </w:tcBorders>
          </w:tcPr>
          <w:p>
            <w:pPr>
              <w:spacing w:after="0"/>
              <w:rPr>
                <w:sz w:val="14"/>
                <w:szCs w:val="14"/>
                <w:color w:val="auto"/>
              </w:rPr>
            </w:pPr>
          </w:p>
        </w:tc>
        <w:tc>
          <w:tcPr>
            <w:tcW w:w="760" w:type="dxa"/>
            <w:vAlign w:val="bottom"/>
            <w:tcBorders>
              <w:bottom w:val="single" w:sz="8" w:color="auto"/>
            </w:tcBorders>
          </w:tcPr>
          <w:p>
            <w:pPr>
              <w:jc w:val="right"/>
              <w:ind w:right="155"/>
              <w:spacing w:after="0"/>
              <w:rPr>
                <w:sz w:val="20"/>
                <w:szCs w:val="20"/>
                <w:color w:val="auto"/>
              </w:rPr>
            </w:pPr>
            <w:r>
              <w:rPr>
                <w:rFonts w:ascii="Arial" w:cs="Arial" w:eastAsia="Arial" w:hAnsi="Arial"/>
                <w:sz w:val="14"/>
                <w:szCs w:val="14"/>
                <w:b w:val="1"/>
                <w:bCs w:val="1"/>
                <w:color w:val="auto"/>
              </w:rPr>
              <w:t>2006</w:t>
            </w:r>
          </w:p>
        </w:tc>
        <w:tc>
          <w:tcPr>
            <w:tcW w:w="920" w:type="dxa"/>
            <w:vAlign w:val="bottom"/>
            <w:tcBorders>
              <w:bottom w:val="single" w:sz="8" w:color="auto"/>
            </w:tcBorders>
          </w:tcPr>
          <w:p>
            <w:pPr>
              <w:jc w:val="right"/>
              <w:ind w:right="175"/>
              <w:spacing w:after="0"/>
              <w:rPr>
                <w:sz w:val="20"/>
                <w:szCs w:val="20"/>
                <w:color w:val="auto"/>
              </w:rPr>
            </w:pPr>
            <w:r>
              <w:rPr>
                <w:rFonts w:ascii="Arial" w:cs="Arial" w:eastAsia="Arial" w:hAnsi="Arial"/>
                <w:sz w:val="14"/>
                <w:szCs w:val="14"/>
                <w:color w:val="auto"/>
              </w:rPr>
              <w:t>2005</w:t>
            </w:r>
          </w:p>
        </w:tc>
        <w:tc>
          <w:tcPr>
            <w:tcW w:w="74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2004</w:t>
            </w:r>
          </w:p>
        </w:tc>
        <w:tc>
          <w:tcPr>
            <w:tcW w:w="1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99"/>
        </w:trPr>
        <w:tc>
          <w:tcPr>
            <w:tcW w:w="140" w:type="dxa"/>
            <w:vAlign w:val="bottom"/>
          </w:tcPr>
          <w:p>
            <w:pPr>
              <w:spacing w:after="0"/>
              <w:rPr>
                <w:sz w:val="17"/>
                <w:szCs w:val="17"/>
                <w:color w:val="auto"/>
              </w:rPr>
            </w:pPr>
          </w:p>
        </w:tc>
        <w:tc>
          <w:tcPr>
            <w:tcW w:w="2620" w:type="dxa"/>
            <w:vAlign w:val="bottom"/>
            <w:gridSpan w:val="2"/>
          </w:tcPr>
          <w:p>
            <w:pPr>
              <w:spacing w:after="0" w:line="200" w:lineRule="exact"/>
              <w:rPr>
                <w:sz w:val="20"/>
                <w:szCs w:val="20"/>
                <w:color w:val="auto"/>
              </w:rPr>
            </w:pPr>
            <w:r>
              <w:rPr>
                <w:rFonts w:ascii="Arial" w:cs="Arial" w:eastAsia="Arial" w:hAnsi="Arial"/>
                <w:sz w:val="18"/>
                <w:szCs w:val="18"/>
                <w:color w:val="auto"/>
              </w:rPr>
              <w:t>Current (expense) benefit</w:t>
            </w:r>
          </w:p>
        </w:tc>
        <w:tc>
          <w:tcPr>
            <w:tcW w:w="440" w:type="dxa"/>
            <w:vAlign w:val="bottom"/>
            <w:vMerge w:val="restart"/>
          </w:tcPr>
          <w:p>
            <w:pPr>
              <w:jc w:val="right"/>
              <w:spacing w:after="0"/>
              <w:rPr>
                <w:sz w:val="20"/>
                <w:szCs w:val="20"/>
                <w:color w:val="auto"/>
              </w:rPr>
            </w:pPr>
            <w:r>
              <w:rPr>
                <w:rFonts w:ascii="Arial" w:cs="Arial" w:eastAsia="Arial" w:hAnsi="Arial"/>
                <w:sz w:val="18"/>
                <w:szCs w:val="18"/>
                <w:b w:val="1"/>
                <w:bCs w:val="1"/>
                <w:color w:val="auto"/>
              </w:rPr>
              <w:t>$</w:t>
            </w:r>
          </w:p>
        </w:tc>
        <w:tc>
          <w:tcPr>
            <w:tcW w:w="760" w:type="dxa"/>
            <w:vAlign w:val="bottom"/>
            <w:vMerge w:val="restart"/>
          </w:tcPr>
          <w:p>
            <w:pPr>
              <w:jc w:val="right"/>
              <w:ind w:right="115"/>
              <w:spacing w:after="0"/>
              <w:rPr>
                <w:sz w:val="20"/>
                <w:szCs w:val="20"/>
                <w:color w:val="auto"/>
              </w:rPr>
            </w:pPr>
            <w:r>
              <w:rPr>
                <w:rFonts w:ascii="Arial" w:cs="Arial" w:eastAsia="Arial" w:hAnsi="Arial"/>
                <w:sz w:val="18"/>
                <w:szCs w:val="18"/>
                <w:b w:val="1"/>
                <w:bCs w:val="1"/>
                <w:color w:val="auto"/>
              </w:rPr>
              <w:t>(887)</w:t>
            </w:r>
          </w:p>
        </w:tc>
        <w:tc>
          <w:tcPr>
            <w:tcW w:w="92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81"/>
        </w:trPr>
        <w:tc>
          <w:tcPr>
            <w:tcW w:w="140" w:type="dxa"/>
            <w:vAlign w:val="bottom"/>
          </w:tcPr>
          <w:p>
            <w:pPr>
              <w:spacing w:after="0"/>
              <w:rPr>
                <w:sz w:val="15"/>
                <w:szCs w:val="15"/>
                <w:color w:val="auto"/>
              </w:rPr>
            </w:pPr>
          </w:p>
        </w:tc>
        <w:tc>
          <w:tcPr>
            <w:tcW w:w="780" w:type="dxa"/>
            <w:vAlign w:val="bottom"/>
          </w:tcPr>
          <w:p>
            <w:pPr>
              <w:spacing w:after="0" w:line="181" w:lineRule="exact"/>
              <w:rPr>
                <w:sz w:val="20"/>
                <w:szCs w:val="20"/>
                <w:color w:val="auto"/>
              </w:rPr>
            </w:pPr>
            <w:r>
              <w:rPr>
                <w:rFonts w:ascii="Arial" w:cs="Arial" w:eastAsia="Arial" w:hAnsi="Arial"/>
                <w:sz w:val="18"/>
                <w:szCs w:val="18"/>
                <w:color w:val="auto"/>
              </w:rPr>
              <w:t>Federal</w:t>
            </w:r>
          </w:p>
        </w:tc>
        <w:tc>
          <w:tcPr>
            <w:tcW w:w="1840" w:type="dxa"/>
            <w:vAlign w:val="bottom"/>
          </w:tcPr>
          <w:p>
            <w:pPr>
              <w:spacing w:after="0"/>
              <w:rPr>
                <w:sz w:val="15"/>
                <w:szCs w:val="15"/>
                <w:color w:val="auto"/>
              </w:rPr>
            </w:pPr>
          </w:p>
        </w:tc>
        <w:tc>
          <w:tcPr>
            <w:tcW w:w="440" w:type="dxa"/>
            <w:vAlign w:val="bottom"/>
            <w:vMerge w:val="continue"/>
          </w:tcPr>
          <w:p>
            <w:pPr>
              <w:spacing w:after="0"/>
              <w:rPr>
                <w:sz w:val="15"/>
                <w:szCs w:val="15"/>
                <w:color w:val="auto"/>
              </w:rPr>
            </w:pPr>
          </w:p>
        </w:tc>
        <w:tc>
          <w:tcPr>
            <w:tcW w:w="760" w:type="dxa"/>
            <w:vAlign w:val="bottom"/>
            <w:vMerge w:val="continue"/>
          </w:tcPr>
          <w:p>
            <w:pPr>
              <w:spacing w:after="0"/>
              <w:rPr>
                <w:sz w:val="15"/>
                <w:szCs w:val="15"/>
                <w:color w:val="auto"/>
              </w:rPr>
            </w:pPr>
          </w:p>
        </w:tc>
        <w:tc>
          <w:tcPr>
            <w:tcW w:w="920" w:type="dxa"/>
            <w:vAlign w:val="bottom"/>
          </w:tcPr>
          <w:p>
            <w:pPr>
              <w:jc w:val="right"/>
              <w:ind w:right="115"/>
              <w:spacing w:after="0" w:line="181" w:lineRule="exact"/>
              <w:rPr>
                <w:sz w:val="20"/>
                <w:szCs w:val="20"/>
                <w:color w:val="auto"/>
              </w:rPr>
            </w:pPr>
            <w:r>
              <w:rPr>
                <w:rFonts w:ascii="Arial" w:cs="Arial" w:eastAsia="Arial" w:hAnsi="Arial"/>
                <w:sz w:val="18"/>
                <w:szCs w:val="18"/>
                <w:color w:val="auto"/>
              </w:rPr>
              <w:t>$ (590)</w:t>
            </w:r>
          </w:p>
        </w:tc>
        <w:tc>
          <w:tcPr>
            <w:tcW w:w="740" w:type="dxa"/>
            <w:vAlign w:val="bottom"/>
          </w:tcPr>
          <w:p>
            <w:pPr>
              <w:jc w:val="right"/>
              <w:spacing w:after="0" w:line="181" w:lineRule="exact"/>
              <w:rPr>
                <w:sz w:val="20"/>
                <w:szCs w:val="20"/>
                <w:color w:val="auto"/>
              </w:rPr>
            </w:pPr>
            <w:r>
              <w:rPr>
                <w:rFonts w:ascii="Arial" w:cs="Arial" w:eastAsia="Arial" w:hAnsi="Arial"/>
                <w:sz w:val="18"/>
                <w:szCs w:val="18"/>
                <w:color w:val="auto"/>
              </w:rPr>
              <w:t>$ (120)</w:t>
            </w:r>
          </w:p>
        </w:tc>
        <w:tc>
          <w:tcPr>
            <w:tcW w:w="1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21"/>
        </w:trPr>
        <w:tc>
          <w:tcPr>
            <w:tcW w:w="140" w:type="dxa"/>
            <w:vAlign w:val="bottom"/>
          </w:tcPr>
          <w:p>
            <w:pPr>
              <w:spacing w:after="0"/>
              <w:rPr>
                <w:sz w:val="19"/>
                <w:szCs w:val="19"/>
                <w:color w:val="auto"/>
              </w:rPr>
            </w:pPr>
          </w:p>
        </w:tc>
        <w:tc>
          <w:tcPr>
            <w:tcW w:w="78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State</w:t>
            </w:r>
          </w:p>
        </w:tc>
        <w:tc>
          <w:tcPr>
            <w:tcW w:w="1840" w:type="dxa"/>
            <w:vAlign w:val="bottom"/>
            <w:tcBorders>
              <w:bottom w:val="single" w:sz="8" w:color="auto"/>
            </w:tcBorders>
          </w:tcPr>
          <w:p>
            <w:pPr>
              <w:spacing w:after="0"/>
              <w:rPr>
                <w:sz w:val="19"/>
                <w:szCs w:val="19"/>
                <w:color w:val="auto"/>
              </w:rPr>
            </w:pPr>
          </w:p>
        </w:tc>
        <w:tc>
          <w:tcPr>
            <w:tcW w:w="440" w:type="dxa"/>
            <w:vAlign w:val="bottom"/>
            <w:tcBorders>
              <w:bottom w:val="single" w:sz="8" w:color="auto"/>
            </w:tcBorders>
          </w:tcPr>
          <w:p>
            <w:pPr>
              <w:spacing w:after="0"/>
              <w:rPr>
                <w:sz w:val="19"/>
                <w:szCs w:val="19"/>
                <w:color w:val="auto"/>
              </w:rPr>
            </w:pPr>
          </w:p>
        </w:tc>
        <w:tc>
          <w:tcPr>
            <w:tcW w:w="760" w:type="dxa"/>
            <w:vAlign w:val="bottom"/>
            <w:tcBorders>
              <w:bottom w:val="single" w:sz="8" w:color="auto"/>
            </w:tcBorders>
          </w:tcPr>
          <w:p>
            <w:pPr>
              <w:jc w:val="right"/>
              <w:ind w:right="115"/>
              <w:spacing w:after="0"/>
              <w:rPr>
                <w:sz w:val="20"/>
                <w:szCs w:val="20"/>
                <w:color w:val="auto"/>
              </w:rPr>
            </w:pPr>
            <w:r>
              <w:rPr>
                <w:rFonts w:ascii="Arial" w:cs="Arial" w:eastAsia="Arial" w:hAnsi="Arial"/>
                <w:sz w:val="18"/>
                <w:szCs w:val="18"/>
                <w:b w:val="1"/>
                <w:bCs w:val="1"/>
                <w:color w:val="auto"/>
              </w:rPr>
              <w:t>(77)</w:t>
            </w:r>
          </w:p>
        </w:tc>
        <w:tc>
          <w:tcPr>
            <w:tcW w:w="920" w:type="dxa"/>
            <w:vAlign w:val="bottom"/>
            <w:tcBorders>
              <w:bottom w:val="single" w:sz="8" w:color="auto"/>
            </w:tcBorders>
          </w:tcPr>
          <w:p>
            <w:pPr>
              <w:jc w:val="right"/>
              <w:ind w:right="115"/>
              <w:spacing w:after="0"/>
              <w:rPr>
                <w:sz w:val="20"/>
                <w:szCs w:val="20"/>
                <w:color w:val="auto"/>
              </w:rPr>
            </w:pPr>
            <w:r>
              <w:rPr>
                <w:rFonts w:ascii="Arial" w:cs="Arial" w:eastAsia="Arial" w:hAnsi="Arial"/>
                <w:sz w:val="18"/>
                <w:szCs w:val="18"/>
                <w:color w:val="auto"/>
              </w:rPr>
              <w:t>(123)</w:t>
            </w:r>
          </w:p>
        </w:tc>
        <w:tc>
          <w:tcPr>
            <w:tcW w:w="7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(208)</w:t>
            </w: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96"/>
        </w:trPr>
        <w:tc>
          <w:tcPr>
            <w:tcW w:w="140" w:type="dxa"/>
            <w:vAlign w:val="bottom"/>
          </w:tcPr>
          <w:p>
            <w:pPr>
              <w:spacing w:after="0"/>
              <w:rPr>
                <w:sz w:val="17"/>
                <w:szCs w:val="17"/>
                <w:color w:val="auto"/>
              </w:rPr>
            </w:pPr>
          </w:p>
        </w:tc>
        <w:tc>
          <w:tcPr>
            <w:tcW w:w="780" w:type="dxa"/>
            <w:vAlign w:val="bottom"/>
            <w:tcBorders>
              <w:bottom w:val="single" w:sz="8" w:color="35BF85"/>
            </w:tcBorders>
          </w:tcPr>
          <w:p>
            <w:pPr>
              <w:spacing w:after="0"/>
              <w:rPr>
                <w:sz w:val="17"/>
                <w:szCs w:val="17"/>
                <w:color w:val="auto"/>
              </w:rPr>
            </w:pPr>
          </w:p>
        </w:tc>
        <w:tc>
          <w:tcPr>
            <w:tcW w:w="1840" w:type="dxa"/>
            <w:vAlign w:val="bottom"/>
            <w:tcBorders>
              <w:bottom w:val="single" w:sz="8" w:color="35BF85"/>
            </w:tcBorders>
          </w:tcPr>
          <w:p>
            <w:pPr>
              <w:spacing w:after="0"/>
              <w:rPr>
                <w:sz w:val="17"/>
                <w:szCs w:val="17"/>
                <w:color w:val="auto"/>
              </w:rPr>
            </w:pPr>
          </w:p>
        </w:tc>
        <w:tc>
          <w:tcPr>
            <w:tcW w:w="440" w:type="dxa"/>
            <w:vAlign w:val="bottom"/>
            <w:tcBorders>
              <w:bottom w:val="single" w:sz="8" w:color="35BF85"/>
            </w:tcBorders>
          </w:tcPr>
          <w:p>
            <w:pPr>
              <w:spacing w:after="0"/>
              <w:rPr>
                <w:sz w:val="17"/>
                <w:szCs w:val="17"/>
                <w:color w:val="auto"/>
              </w:rPr>
            </w:pPr>
          </w:p>
        </w:tc>
        <w:tc>
          <w:tcPr>
            <w:tcW w:w="760" w:type="dxa"/>
            <w:vAlign w:val="bottom"/>
            <w:tcBorders>
              <w:bottom w:val="single" w:sz="8" w:color="35BF85"/>
            </w:tcBorders>
          </w:tcPr>
          <w:p>
            <w:pPr>
              <w:jc w:val="right"/>
              <w:ind w:right="115"/>
              <w:spacing w:after="0" w:line="196" w:lineRule="exact"/>
              <w:rPr>
                <w:sz w:val="20"/>
                <w:szCs w:val="20"/>
                <w:color w:val="auto"/>
              </w:rPr>
            </w:pPr>
            <w:r>
              <w:rPr>
                <w:rFonts w:ascii="Arial" w:cs="Arial" w:eastAsia="Arial" w:hAnsi="Arial"/>
                <w:sz w:val="18"/>
                <w:szCs w:val="18"/>
                <w:b w:val="1"/>
                <w:bCs w:val="1"/>
                <w:color w:val="auto"/>
              </w:rPr>
              <w:t>(964)</w:t>
            </w:r>
          </w:p>
        </w:tc>
        <w:tc>
          <w:tcPr>
            <w:tcW w:w="920" w:type="dxa"/>
            <w:vAlign w:val="bottom"/>
            <w:tcBorders>
              <w:bottom w:val="single" w:sz="8" w:color="35BF85"/>
            </w:tcBorders>
          </w:tcPr>
          <w:p>
            <w:pPr>
              <w:jc w:val="right"/>
              <w:ind w:right="115"/>
              <w:spacing w:after="0" w:line="196" w:lineRule="exact"/>
              <w:rPr>
                <w:sz w:val="20"/>
                <w:szCs w:val="20"/>
                <w:color w:val="auto"/>
              </w:rPr>
            </w:pPr>
            <w:r>
              <w:rPr>
                <w:rFonts w:ascii="Arial" w:cs="Arial" w:eastAsia="Arial" w:hAnsi="Arial"/>
                <w:sz w:val="18"/>
                <w:szCs w:val="18"/>
                <w:color w:val="auto"/>
              </w:rPr>
              <w:t>(713)</w:t>
            </w:r>
          </w:p>
        </w:tc>
        <w:tc>
          <w:tcPr>
            <w:tcW w:w="740" w:type="dxa"/>
            <w:vAlign w:val="bottom"/>
            <w:tcBorders>
              <w:bottom w:val="single" w:sz="8" w:color="35BF85"/>
            </w:tcBorders>
          </w:tcPr>
          <w:p>
            <w:pPr>
              <w:jc w:val="right"/>
              <w:spacing w:after="0" w:line="196" w:lineRule="exact"/>
              <w:rPr>
                <w:sz w:val="20"/>
                <w:szCs w:val="20"/>
                <w:color w:val="auto"/>
              </w:rPr>
            </w:pPr>
            <w:r>
              <w:rPr>
                <w:rFonts w:ascii="Arial" w:cs="Arial" w:eastAsia="Arial" w:hAnsi="Arial"/>
                <w:sz w:val="18"/>
                <w:szCs w:val="18"/>
                <w:color w:val="auto"/>
              </w:rPr>
              <w:t>(328)</w:t>
            </w:r>
          </w:p>
        </w:tc>
        <w:tc>
          <w:tcPr>
            <w:tcW w:w="1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9"/>
        </w:trPr>
        <w:tc>
          <w:tcPr>
            <w:tcW w:w="140" w:type="dxa"/>
            <w:vAlign w:val="bottom"/>
          </w:tcPr>
          <w:p>
            <w:pPr>
              <w:spacing w:after="0"/>
              <w:rPr>
                <w:sz w:val="17"/>
                <w:szCs w:val="17"/>
                <w:color w:val="auto"/>
              </w:rPr>
            </w:pPr>
          </w:p>
        </w:tc>
        <w:tc>
          <w:tcPr>
            <w:tcW w:w="2620" w:type="dxa"/>
            <w:vAlign w:val="bottom"/>
            <w:gridSpan w:val="2"/>
          </w:tcPr>
          <w:p>
            <w:pPr>
              <w:spacing w:after="0" w:line="200" w:lineRule="exact"/>
              <w:rPr>
                <w:sz w:val="20"/>
                <w:szCs w:val="20"/>
                <w:color w:val="auto"/>
              </w:rPr>
            </w:pPr>
            <w:r>
              <w:rPr>
                <w:rFonts w:ascii="Arial" w:cs="Arial" w:eastAsia="Arial" w:hAnsi="Arial"/>
                <w:sz w:val="18"/>
                <w:szCs w:val="18"/>
                <w:color w:val="auto"/>
              </w:rPr>
              <w:t>Deferred (expense) benefit</w:t>
            </w:r>
          </w:p>
        </w:tc>
        <w:tc>
          <w:tcPr>
            <w:tcW w:w="440" w:type="dxa"/>
            <w:vAlign w:val="bottom"/>
          </w:tcPr>
          <w:p>
            <w:pPr>
              <w:spacing w:after="0"/>
              <w:rPr>
                <w:sz w:val="17"/>
                <w:szCs w:val="17"/>
                <w:color w:val="auto"/>
              </w:rPr>
            </w:pPr>
          </w:p>
        </w:tc>
        <w:tc>
          <w:tcPr>
            <w:tcW w:w="760" w:type="dxa"/>
            <w:vAlign w:val="bottom"/>
            <w:vMerge w:val="restart"/>
          </w:tcPr>
          <w:p>
            <w:pPr>
              <w:jc w:val="right"/>
              <w:ind w:right="115"/>
              <w:spacing w:after="0"/>
              <w:rPr>
                <w:sz w:val="20"/>
                <w:szCs w:val="20"/>
                <w:color w:val="auto"/>
              </w:rPr>
            </w:pPr>
            <w:r>
              <w:rPr>
                <w:rFonts w:ascii="Arial" w:cs="Arial" w:eastAsia="Arial" w:hAnsi="Arial"/>
                <w:sz w:val="18"/>
                <w:szCs w:val="18"/>
                <w:b w:val="1"/>
                <w:bCs w:val="1"/>
                <w:color w:val="auto"/>
              </w:rPr>
              <w:t>(301)</w:t>
            </w:r>
          </w:p>
        </w:tc>
        <w:tc>
          <w:tcPr>
            <w:tcW w:w="92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81"/>
        </w:trPr>
        <w:tc>
          <w:tcPr>
            <w:tcW w:w="140" w:type="dxa"/>
            <w:vAlign w:val="bottom"/>
          </w:tcPr>
          <w:p>
            <w:pPr>
              <w:spacing w:after="0"/>
              <w:rPr>
                <w:sz w:val="15"/>
                <w:szCs w:val="15"/>
                <w:color w:val="auto"/>
              </w:rPr>
            </w:pPr>
          </w:p>
        </w:tc>
        <w:tc>
          <w:tcPr>
            <w:tcW w:w="780" w:type="dxa"/>
            <w:vAlign w:val="bottom"/>
          </w:tcPr>
          <w:p>
            <w:pPr>
              <w:spacing w:after="0" w:line="181" w:lineRule="exact"/>
              <w:rPr>
                <w:sz w:val="20"/>
                <w:szCs w:val="20"/>
                <w:color w:val="auto"/>
              </w:rPr>
            </w:pPr>
            <w:r>
              <w:rPr>
                <w:rFonts w:ascii="Arial" w:cs="Arial" w:eastAsia="Arial" w:hAnsi="Arial"/>
                <w:sz w:val="18"/>
                <w:szCs w:val="18"/>
                <w:color w:val="auto"/>
              </w:rPr>
              <w:t>Federal</w:t>
            </w:r>
          </w:p>
        </w:tc>
        <w:tc>
          <w:tcPr>
            <w:tcW w:w="184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760" w:type="dxa"/>
            <w:vAlign w:val="bottom"/>
            <w:vMerge w:val="continue"/>
          </w:tcPr>
          <w:p>
            <w:pPr>
              <w:spacing w:after="0"/>
              <w:rPr>
                <w:sz w:val="15"/>
                <w:szCs w:val="15"/>
                <w:color w:val="auto"/>
              </w:rPr>
            </w:pPr>
          </w:p>
        </w:tc>
        <w:tc>
          <w:tcPr>
            <w:tcW w:w="920" w:type="dxa"/>
            <w:vAlign w:val="bottom"/>
          </w:tcPr>
          <w:p>
            <w:pPr>
              <w:jc w:val="right"/>
              <w:ind w:right="115"/>
              <w:spacing w:after="0" w:line="181" w:lineRule="exact"/>
              <w:rPr>
                <w:sz w:val="20"/>
                <w:szCs w:val="20"/>
                <w:color w:val="auto"/>
              </w:rPr>
            </w:pPr>
            <w:r>
              <w:rPr>
                <w:rFonts w:ascii="Arial" w:cs="Arial" w:eastAsia="Arial" w:hAnsi="Arial"/>
                <w:sz w:val="18"/>
                <w:szCs w:val="18"/>
                <w:color w:val="auto"/>
              </w:rPr>
              <w:t>(66)</w:t>
            </w:r>
          </w:p>
        </w:tc>
        <w:tc>
          <w:tcPr>
            <w:tcW w:w="740" w:type="dxa"/>
            <w:vAlign w:val="bottom"/>
          </w:tcPr>
          <w:p>
            <w:pPr>
              <w:jc w:val="right"/>
              <w:spacing w:after="0" w:line="181" w:lineRule="exact"/>
              <w:rPr>
                <w:sz w:val="20"/>
                <w:szCs w:val="20"/>
                <w:color w:val="auto"/>
              </w:rPr>
            </w:pPr>
            <w:r>
              <w:rPr>
                <w:rFonts w:ascii="Arial" w:cs="Arial" w:eastAsia="Arial" w:hAnsi="Arial"/>
                <w:sz w:val="18"/>
                <w:szCs w:val="18"/>
                <w:color w:val="auto"/>
              </w:rPr>
              <w:t>(536)</w:t>
            </w:r>
          </w:p>
        </w:tc>
        <w:tc>
          <w:tcPr>
            <w:tcW w:w="1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21"/>
        </w:trPr>
        <w:tc>
          <w:tcPr>
            <w:tcW w:w="140" w:type="dxa"/>
            <w:vAlign w:val="bottom"/>
          </w:tcPr>
          <w:p>
            <w:pPr>
              <w:spacing w:after="0"/>
              <w:rPr>
                <w:sz w:val="19"/>
                <w:szCs w:val="19"/>
                <w:color w:val="auto"/>
              </w:rPr>
            </w:pPr>
          </w:p>
        </w:tc>
        <w:tc>
          <w:tcPr>
            <w:tcW w:w="78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State</w:t>
            </w:r>
          </w:p>
        </w:tc>
        <w:tc>
          <w:tcPr>
            <w:tcW w:w="1840" w:type="dxa"/>
            <w:vAlign w:val="bottom"/>
            <w:tcBorders>
              <w:bottom w:val="single" w:sz="8" w:color="auto"/>
            </w:tcBorders>
          </w:tcPr>
          <w:p>
            <w:pPr>
              <w:spacing w:after="0"/>
              <w:rPr>
                <w:sz w:val="19"/>
                <w:szCs w:val="19"/>
                <w:color w:val="auto"/>
              </w:rPr>
            </w:pPr>
          </w:p>
        </w:tc>
        <w:tc>
          <w:tcPr>
            <w:tcW w:w="440" w:type="dxa"/>
            <w:vAlign w:val="bottom"/>
            <w:tcBorders>
              <w:bottom w:val="single" w:sz="8" w:color="auto"/>
            </w:tcBorders>
          </w:tcPr>
          <w:p>
            <w:pPr>
              <w:spacing w:after="0"/>
              <w:rPr>
                <w:sz w:val="19"/>
                <w:szCs w:val="19"/>
                <w:color w:val="auto"/>
              </w:rPr>
            </w:pPr>
          </w:p>
        </w:tc>
        <w:tc>
          <w:tcPr>
            <w:tcW w:w="760" w:type="dxa"/>
            <w:vAlign w:val="bottom"/>
            <w:tcBorders>
              <w:bottom w:val="single" w:sz="8" w:color="auto"/>
            </w:tcBorders>
          </w:tcPr>
          <w:p>
            <w:pPr>
              <w:jc w:val="right"/>
              <w:ind w:right="115"/>
              <w:spacing w:after="0"/>
              <w:rPr>
                <w:sz w:val="20"/>
                <w:szCs w:val="20"/>
                <w:color w:val="auto"/>
              </w:rPr>
            </w:pPr>
            <w:r>
              <w:rPr>
                <w:rFonts w:ascii="Arial" w:cs="Arial" w:eastAsia="Arial" w:hAnsi="Arial"/>
                <w:sz w:val="18"/>
                <w:szCs w:val="18"/>
                <w:b w:val="1"/>
                <w:bCs w:val="1"/>
                <w:color w:val="auto"/>
              </w:rPr>
              <w:t>(82)</w:t>
            </w:r>
          </w:p>
        </w:tc>
        <w:tc>
          <w:tcPr>
            <w:tcW w:w="920" w:type="dxa"/>
            <w:vAlign w:val="bottom"/>
            <w:tcBorders>
              <w:bottom w:val="single" w:sz="8" w:color="auto"/>
            </w:tcBorders>
          </w:tcPr>
          <w:p>
            <w:pPr>
              <w:jc w:val="right"/>
              <w:ind w:right="115"/>
              <w:spacing w:after="0"/>
              <w:rPr>
                <w:sz w:val="20"/>
                <w:szCs w:val="20"/>
                <w:color w:val="auto"/>
              </w:rPr>
            </w:pPr>
            <w:r>
              <w:rPr>
                <w:rFonts w:ascii="Arial" w:cs="Arial" w:eastAsia="Arial" w:hAnsi="Arial"/>
                <w:sz w:val="18"/>
                <w:szCs w:val="18"/>
                <w:color w:val="auto"/>
              </w:rPr>
              <w:t>(94)</w:t>
            </w:r>
          </w:p>
        </w:tc>
        <w:tc>
          <w:tcPr>
            <w:tcW w:w="7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63</w:t>
            </w: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96"/>
        </w:trPr>
        <w:tc>
          <w:tcPr>
            <w:tcW w:w="140" w:type="dxa"/>
            <w:vAlign w:val="bottom"/>
          </w:tcPr>
          <w:p>
            <w:pPr>
              <w:spacing w:after="0"/>
              <w:rPr>
                <w:sz w:val="17"/>
                <w:szCs w:val="17"/>
                <w:color w:val="auto"/>
              </w:rPr>
            </w:pPr>
          </w:p>
        </w:tc>
        <w:tc>
          <w:tcPr>
            <w:tcW w:w="780" w:type="dxa"/>
            <w:vAlign w:val="bottom"/>
            <w:tcBorders>
              <w:bottom w:val="single" w:sz="8" w:color="auto"/>
            </w:tcBorders>
          </w:tcPr>
          <w:p>
            <w:pPr>
              <w:spacing w:after="0"/>
              <w:rPr>
                <w:sz w:val="17"/>
                <w:szCs w:val="17"/>
                <w:color w:val="auto"/>
              </w:rPr>
            </w:pPr>
          </w:p>
        </w:tc>
        <w:tc>
          <w:tcPr>
            <w:tcW w:w="1840" w:type="dxa"/>
            <w:vAlign w:val="bottom"/>
            <w:tcBorders>
              <w:bottom w:val="single" w:sz="8" w:color="auto"/>
            </w:tcBorders>
          </w:tcPr>
          <w:p>
            <w:pPr>
              <w:spacing w:after="0"/>
              <w:rPr>
                <w:sz w:val="17"/>
                <w:szCs w:val="17"/>
                <w:color w:val="auto"/>
              </w:rPr>
            </w:pPr>
          </w:p>
        </w:tc>
        <w:tc>
          <w:tcPr>
            <w:tcW w:w="440" w:type="dxa"/>
            <w:vAlign w:val="bottom"/>
            <w:tcBorders>
              <w:bottom w:val="single" w:sz="8" w:color="auto"/>
            </w:tcBorders>
          </w:tcPr>
          <w:p>
            <w:pPr>
              <w:spacing w:after="0"/>
              <w:rPr>
                <w:sz w:val="17"/>
                <w:szCs w:val="17"/>
                <w:color w:val="auto"/>
              </w:rPr>
            </w:pPr>
          </w:p>
        </w:tc>
        <w:tc>
          <w:tcPr>
            <w:tcW w:w="760" w:type="dxa"/>
            <w:vAlign w:val="bottom"/>
            <w:tcBorders>
              <w:bottom w:val="single" w:sz="8" w:color="auto"/>
            </w:tcBorders>
          </w:tcPr>
          <w:p>
            <w:pPr>
              <w:jc w:val="right"/>
              <w:ind w:right="115"/>
              <w:spacing w:after="0" w:line="196" w:lineRule="exact"/>
              <w:rPr>
                <w:sz w:val="20"/>
                <w:szCs w:val="20"/>
                <w:color w:val="auto"/>
              </w:rPr>
            </w:pPr>
            <w:r>
              <w:rPr>
                <w:rFonts w:ascii="Arial" w:cs="Arial" w:eastAsia="Arial" w:hAnsi="Arial"/>
                <w:sz w:val="18"/>
                <w:szCs w:val="18"/>
                <w:b w:val="1"/>
                <w:bCs w:val="1"/>
                <w:color w:val="auto"/>
              </w:rPr>
              <w:t>(383)</w:t>
            </w:r>
          </w:p>
        </w:tc>
        <w:tc>
          <w:tcPr>
            <w:tcW w:w="920" w:type="dxa"/>
            <w:vAlign w:val="bottom"/>
            <w:tcBorders>
              <w:bottom w:val="single" w:sz="8" w:color="auto"/>
            </w:tcBorders>
          </w:tcPr>
          <w:p>
            <w:pPr>
              <w:jc w:val="right"/>
              <w:ind w:right="115"/>
              <w:spacing w:after="0" w:line="196" w:lineRule="exact"/>
              <w:rPr>
                <w:sz w:val="20"/>
                <w:szCs w:val="20"/>
                <w:color w:val="auto"/>
              </w:rPr>
            </w:pPr>
            <w:r>
              <w:rPr>
                <w:rFonts w:ascii="Arial" w:cs="Arial" w:eastAsia="Arial" w:hAnsi="Arial"/>
                <w:sz w:val="18"/>
                <w:szCs w:val="18"/>
                <w:color w:val="auto"/>
              </w:rPr>
              <w:t>(160)</w:t>
            </w:r>
          </w:p>
        </w:tc>
        <w:tc>
          <w:tcPr>
            <w:tcW w:w="740" w:type="dxa"/>
            <w:vAlign w:val="bottom"/>
            <w:tcBorders>
              <w:bottom w:val="single" w:sz="8" w:color="auto"/>
            </w:tcBorders>
          </w:tcPr>
          <w:p>
            <w:pPr>
              <w:jc w:val="right"/>
              <w:spacing w:after="0" w:line="196" w:lineRule="exact"/>
              <w:rPr>
                <w:sz w:val="20"/>
                <w:szCs w:val="20"/>
                <w:color w:val="auto"/>
              </w:rPr>
            </w:pPr>
            <w:r>
              <w:rPr>
                <w:rFonts w:ascii="Arial" w:cs="Arial" w:eastAsia="Arial" w:hAnsi="Arial"/>
                <w:sz w:val="18"/>
                <w:szCs w:val="18"/>
                <w:color w:val="auto"/>
              </w:rPr>
              <w:t>(473)</w:t>
            </w:r>
          </w:p>
        </w:tc>
        <w:tc>
          <w:tcPr>
            <w:tcW w:w="1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140" w:type="dxa"/>
            <w:vAlign w:val="bottom"/>
          </w:tcPr>
          <w:p>
            <w:pPr>
              <w:spacing w:after="0"/>
              <w:rPr>
                <w:sz w:val="17"/>
                <w:szCs w:val="17"/>
                <w:color w:val="auto"/>
              </w:rPr>
            </w:pPr>
          </w:p>
        </w:tc>
        <w:tc>
          <w:tcPr>
            <w:tcW w:w="2620" w:type="dxa"/>
            <w:vAlign w:val="bottom"/>
            <w:tcBorders>
              <w:bottom w:val="single" w:sz="8" w:color="35BF85"/>
            </w:tcBorders>
            <w:gridSpan w:val="2"/>
          </w:tcPr>
          <w:p>
            <w:pPr>
              <w:spacing w:after="0" w:line="196" w:lineRule="exact"/>
              <w:rPr>
                <w:sz w:val="20"/>
                <w:szCs w:val="20"/>
                <w:color w:val="auto"/>
              </w:rPr>
            </w:pPr>
            <w:r>
              <w:rPr>
                <w:rFonts w:ascii="Arial" w:cs="Arial" w:eastAsia="Arial" w:hAnsi="Arial"/>
                <w:sz w:val="18"/>
                <w:szCs w:val="18"/>
                <w:color w:val="auto"/>
              </w:rPr>
              <w:t>Income tax (expense) benefit</w:t>
            </w:r>
          </w:p>
        </w:tc>
        <w:tc>
          <w:tcPr>
            <w:tcW w:w="440" w:type="dxa"/>
            <w:vAlign w:val="bottom"/>
            <w:tcBorders>
              <w:bottom w:val="single" w:sz="8" w:color="35BF85"/>
            </w:tcBorders>
          </w:tcPr>
          <w:p>
            <w:pPr>
              <w:jc w:val="right"/>
              <w:spacing w:after="0" w:line="196" w:lineRule="exact"/>
              <w:rPr>
                <w:sz w:val="20"/>
                <w:szCs w:val="20"/>
                <w:color w:val="auto"/>
              </w:rPr>
            </w:pPr>
            <w:r>
              <w:rPr>
                <w:rFonts w:ascii="Arial" w:cs="Arial" w:eastAsia="Arial" w:hAnsi="Arial"/>
                <w:sz w:val="18"/>
                <w:szCs w:val="18"/>
                <w:b w:val="1"/>
                <w:bCs w:val="1"/>
                <w:color w:val="auto"/>
              </w:rPr>
              <w:t>$</w:t>
            </w:r>
          </w:p>
        </w:tc>
        <w:tc>
          <w:tcPr>
            <w:tcW w:w="760" w:type="dxa"/>
            <w:vAlign w:val="bottom"/>
            <w:tcBorders>
              <w:bottom w:val="single" w:sz="8" w:color="35BF85"/>
            </w:tcBorders>
          </w:tcPr>
          <w:p>
            <w:pPr>
              <w:jc w:val="right"/>
              <w:ind w:right="115"/>
              <w:spacing w:after="0" w:line="196" w:lineRule="exact"/>
              <w:rPr>
                <w:sz w:val="20"/>
                <w:szCs w:val="20"/>
                <w:color w:val="auto"/>
              </w:rPr>
            </w:pPr>
            <w:r>
              <w:rPr>
                <w:rFonts w:ascii="Arial" w:cs="Arial" w:eastAsia="Arial" w:hAnsi="Arial"/>
                <w:sz w:val="18"/>
                <w:szCs w:val="18"/>
                <w:b w:val="1"/>
                <w:bCs w:val="1"/>
                <w:color w:val="auto"/>
                <w:w w:val="94"/>
              </w:rPr>
              <w:t>(1,347)</w:t>
            </w:r>
          </w:p>
        </w:tc>
        <w:tc>
          <w:tcPr>
            <w:tcW w:w="920" w:type="dxa"/>
            <w:vAlign w:val="bottom"/>
            <w:tcBorders>
              <w:bottom w:val="single" w:sz="8" w:color="35BF85"/>
            </w:tcBorders>
          </w:tcPr>
          <w:p>
            <w:pPr>
              <w:jc w:val="right"/>
              <w:ind w:right="115"/>
              <w:spacing w:after="0" w:line="196" w:lineRule="exact"/>
              <w:rPr>
                <w:sz w:val="20"/>
                <w:szCs w:val="20"/>
                <w:color w:val="auto"/>
              </w:rPr>
            </w:pPr>
            <w:r>
              <w:rPr>
                <w:rFonts w:ascii="Arial" w:cs="Arial" w:eastAsia="Arial" w:hAnsi="Arial"/>
                <w:sz w:val="18"/>
                <w:szCs w:val="18"/>
                <w:color w:val="auto"/>
              </w:rPr>
              <w:t>$ (873)</w:t>
            </w:r>
          </w:p>
        </w:tc>
        <w:tc>
          <w:tcPr>
            <w:tcW w:w="740" w:type="dxa"/>
            <w:vAlign w:val="bottom"/>
            <w:tcBorders>
              <w:bottom w:val="single" w:sz="8" w:color="35BF85"/>
            </w:tcBorders>
          </w:tcPr>
          <w:p>
            <w:pPr>
              <w:jc w:val="right"/>
              <w:spacing w:after="0" w:line="196" w:lineRule="exact"/>
              <w:rPr>
                <w:sz w:val="20"/>
                <w:szCs w:val="20"/>
                <w:color w:val="auto"/>
              </w:rPr>
            </w:pPr>
            <w:r>
              <w:rPr>
                <w:rFonts w:ascii="Arial" w:cs="Arial" w:eastAsia="Arial" w:hAnsi="Arial"/>
                <w:sz w:val="18"/>
                <w:szCs w:val="18"/>
                <w:color w:val="auto"/>
              </w:rPr>
              <w:t>$ (801)</w:t>
            </w:r>
          </w:p>
        </w:tc>
        <w:tc>
          <w:tcPr>
            <w:tcW w:w="1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506"/>
        </w:trPr>
        <w:tc>
          <w:tcPr>
            <w:tcW w:w="920" w:type="dxa"/>
            <w:vAlign w:val="bottom"/>
            <w:gridSpan w:val="2"/>
          </w:tcPr>
          <w:p>
            <w:pPr>
              <w:jc w:val="right"/>
              <w:ind w:right="675"/>
              <w:spacing w:after="0"/>
              <w:rPr>
                <w:sz w:val="20"/>
                <w:szCs w:val="20"/>
                <w:color w:val="auto"/>
              </w:rPr>
            </w:pPr>
            <w:r>
              <w:rPr>
                <w:rFonts w:ascii="Arial" w:cs="Arial" w:eastAsia="Arial" w:hAnsi="Arial"/>
                <w:sz w:val="14"/>
                <w:szCs w:val="14"/>
                <w:b w:val="1"/>
                <w:bCs w:val="1"/>
                <w:color w:val="auto"/>
                <w:w w:val="89"/>
              </w:rPr>
              <w:t>61</w:t>
            </w:r>
          </w:p>
        </w:tc>
        <w:tc>
          <w:tcPr>
            <w:tcW w:w="4820" w:type="dxa"/>
            <w:vAlign w:val="bottom"/>
            <w:gridSpan w:val="6"/>
          </w:tcPr>
          <w:p>
            <w:pPr>
              <w:ind w:left="180"/>
              <w:spacing w:after="0"/>
              <w:rPr>
                <w:sz w:val="20"/>
                <w:szCs w:val="20"/>
                <w:color w:val="auto"/>
              </w:rPr>
            </w:pPr>
            <w:r>
              <w:rPr>
                <w:rFonts w:ascii="Arial" w:cs="Arial" w:eastAsia="Arial" w:hAnsi="Arial"/>
                <w:sz w:val="14"/>
                <w:szCs w:val="14"/>
                <w:color w:val="auto"/>
                <w:w w:val="96"/>
              </w:rPr>
              <w:t xml:space="preserve">Comcast 2006 Annual Report </w:t>
            </w:r>
            <w:r>
              <w:rPr>
                <w:rFonts w:ascii="Arial" w:cs="Arial" w:eastAsia="Arial" w:hAnsi="Arial"/>
                <w:sz w:val="14"/>
                <w:szCs w:val="14"/>
                <w:b w:val="1"/>
                <w:bCs w:val="1"/>
                <w:color w:val="auto"/>
                <w:w w:val="96"/>
              </w:rPr>
              <w:t>Notes to Consolidated Financial Statements</w:t>
            </w:r>
          </w:p>
        </w:tc>
        <w:tc>
          <w:tcPr>
            <w:tcW w:w="0" w:type="dxa"/>
            <w:vAlign w:val="bottom"/>
          </w:tcPr>
          <w:p>
            <w:pPr>
              <w:spacing w:after="0"/>
              <w:rPr>
                <w:sz w:val="1"/>
                <w:szCs w:val="1"/>
                <w:color w:val="auto"/>
              </w:rPr>
            </w:pPr>
          </w:p>
        </w:tc>
      </w:tr>
    </w:tbl>
    <w:p>
      <w:pPr>
        <w:sectPr>
          <w:pgSz w:w="11900" w:h="16838" w:orient="portrait"/>
          <w:cols w:equalWidth="0" w:num="2">
            <w:col w:w="5480" w:space="200"/>
            <w:col w:w="5740"/>
          </w:cols>
          <w:pgMar w:left="240" w:top="459" w:right="239" w:bottom="1440" w:gutter="0" w:footer="0" w:header="0"/>
          <w:type w:val="continuous"/>
        </w:sectPr>
      </w:pPr>
    </w:p>
    <w:bookmarkStart w:id="138" w:name="page139"/>
    <w:bookmarkEnd w:id="138"/>
    <w:p>
      <w:pPr>
        <w:spacing w:after="0"/>
        <w:rPr>
          <w:rFonts w:ascii="Arial" w:cs="Arial" w:eastAsia="Arial" w:hAnsi="Arial"/>
          <w:sz w:val="18"/>
          <w:szCs w:val="18"/>
          <w:b w:val="1"/>
          <w:bCs w:val="1"/>
          <w:u w:val="single" w:color="auto"/>
          <w:color w:val="0000EE"/>
        </w:rPr>
      </w:pPr>
      <w:hyperlink w:anchor="page3">
        <w:r>
          <w:rPr>
            <w:rFonts w:ascii="Arial" w:cs="Arial" w:eastAsia="Arial" w:hAnsi="Arial"/>
            <w:sz w:val="18"/>
            <w:szCs w:val="18"/>
            <w:b w:val="1"/>
            <w:bCs w:val="1"/>
            <w:u w:val="single" w:color="auto"/>
            <w:color w:val="0000EE"/>
          </w:rPr>
          <w:t>Table of Contents</w:t>
        </w:r>
      </w:hyperlink>
    </w:p>
    <w:p>
      <w:pPr>
        <w:spacing w:after="0" w:line="200" w:lineRule="exact"/>
        <w:rPr>
          <w:sz w:val="20"/>
          <w:szCs w:val="20"/>
          <w:color w:val="auto"/>
        </w:rPr>
      </w:pPr>
    </w:p>
    <w:p>
      <w:pPr>
        <w:spacing w:after="0" w:line="276" w:lineRule="exact"/>
        <w:rPr>
          <w:sz w:val="20"/>
          <w:szCs w:val="20"/>
          <w:color w:val="auto"/>
        </w:rPr>
      </w:pPr>
    </w:p>
    <w:p>
      <w:pPr>
        <w:jc w:val="both"/>
        <w:spacing w:after="0" w:line="239" w:lineRule="auto"/>
        <w:rPr>
          <w:sz w:val="20"/>
          <w:szCs w:val="20"/>
          <w:color w:val="auto"/>
        </w:rPr>
      </w:pPr>
      <w:r>
        <w:rPr>
          <w:rFonts w:ascii="Arial" w:cs="Arial" w:eastAsia="Arial" w:hAnsi="Arial"/>
          <w:sz w:val="18"/>
          <w:szCs w:val="18"/>
          <w:color w:val="auto"/>
        </w:rPr>
        <w:t>Our effective income tax (expense) benefit differs from the federal statutory amount because of the effect of the following items:</w:t>
      </w:r>
    </w:p>
    <w:p>
      <w:pPr>
        <w:spacing w:after="0" w:line="179"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720" w:type="dxa"/>
            <w:vAlign w:val="bottom"/>
          </w:tcPr>
          <w:p>
            <w:pPr>
              <w:ind w:left="20"/>
              <w:spacing w:after="0"/>
              <w:rPr>
                <w:sz w:val="20"/>
                <w:szCs w:val="20"/>
                <w:color w:val="auto"/>
              </w:rPr>
            </w:pPr>
            <w:r>
              <w:rPr>
                <w:rFonts w:ascii="Arial" w:cs="Arial" w:eastAsia="Arial" w:hAnsi="Arial"/>
                <w:sz w:val="14"/>
                <w:szCs w:val="14"/>
                <w:color w:val="auto"/>
              </w:rPr>
              <w:t>Year Ended December 31</w:t>
            </w:r>
          </w:p>
        </w:tc>
        <w:tc>
          <w:tcPr>
            <w:tcW w:w="1120" w:type="dxa"/>
            <w:vAlign w:val="bottom"/>
            <w:vMerge w:val="restart"/>
          </w:tcPr>
          <w:p>
            <w:pPr>
              <w:jc w:val="right"/>
              <w:ind w:right="155"/>
              <w:spacing w:after="0"/>
              <w:rPr>
                <w:sz w:val="20"/>
                <w:szCs w:val="20"/>
                <w:color w:val="auto"/>
              </w:rPr>
            </w:pPr>
            <w:r>
              <w:rPr>
                <w:rFonts w:ascii="Arial" w:cs="Arial" w:eastAsia="Arial" w:hAnsi="Arial"/>
                <w:sz w:val="14"/>
                <w:szCs w:val="14"/>
                <w:b w:val="1"/>
                <w:bCs w:val="1"/>
                <w:color w:val="auto"/>
              </w:rPr>
              <w:t>2006</w:t>
            </w:r>
          </w:p>
        </w:tc>
        <w:tc>
          <w:tcPr>
            <w:tcW w:w="92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9"/>
        </w:trPr>
        <w:tc>
          <w:tcPr>
            <w:tcW w:w="2720" w:type="dxa"/>
            <w:vAlign w:val="bottom"/>
            <w:tcBorders>
              <w:bottom w:val="single" w:sz="8" w:color="auto"/>
            </w:tcBorders>
          </w:tcPr>
          <w:p>
            <w:pPr>
              <w:ind w:left="20"/>
              <w:spacing w:after="0" w:line="149" w:lineRule="exact"/>
              <w:rPr>
                <w:sz w:val="20"/>
                <w:szCs w:val="20"/>
                <w:color w:val="auto"/>
              </w:rPr>
            </w:pPr>
            <w:r>
              <w:rPr>
                <w:rFonts w:ascii="Arial" w:cs="Arial" w:eastAsia="Arial" w:hAnsi="Arial"/>
                <w:sz w:val="14"/>
                <w:szCs w:val="14"/>
                <w:color w:val="auto"/>
              </w:rPr>
              <w:t>(in millions)</w:t>
            </w:r>
          </w:p>
        </w:tc>
        <w:tc>
          <w:tcPr>
            <w:tcW w:w="1120" w:type="dxa"/>
            <w:vAlign w:val="bottom"/>
            <w:tcBorders>
              <w:bottom w:val="single" w:sz="8" w:color="auto"/>
            </w:tcBorders>
            <w:vMerge w:val="continue"/>
          </w:tcPr>
          <w:p>
            <w:pPr>
              <w:spacing w:after="0"/>
              <w:rPr>
                <w:sz w:val="12"/>
                <w:szCs w:val="12"/>
                <w:color w:val="auto"/>
              </w:rPr>
            </w:pPr>
          </w:p>
        </w:tc>
        <w:tc>
          <w:tcPr>
            <w:tcW w:w="920" w:type="dxa"/>
            <w:vAlign w:val="bottom"/>
            <w:tcBorders>
              <w:bottom w:val="single" w:sz="8" w:color="auto"/>
            </w:tcBorders>
          </w:tcPr>
          <w:p>
            <w:pPr>
              <w:jc w:val="right"/>
              <w:ind w:right="175"/>
              <w:spacing w:after="0" w:line="149" w:lineRule="exact"/>
              <w:rPr>
                <w:sz w:val="20"/>
                <w:szCs w:val="20"/>
                <w:color w:val="auto"/>
              </w:rPr>
            </w:pPr>
            <w:r>
              <w:rPr>
                <w:rFonts w:ascii="Arial" w:cs="Arial" w:eastAsia="Arial" w:hAnsi="Arial"/>
                <w:sz w:val="14"/>
                <w:szCs w:val="14"/>
                <w:color w:val="auto"/>
              </w:rPr>
              <w:t>2005</w:t>
            </w:r>
          </w:p>
        </w:tc>
        <w:tc>
          <w:tcPr>
            <w:tcW w:w="720" w:type="dxa"/>
            <w:vAlign w:val="bottom"/>
            <w:tcBorders>
              <w:bottom w:val="single" w:sz="8" w:color="auto"/>
            </w:tcBorders>
          </w:tcPr>
          <w:p>
            <w:pPr>
              <w:jc w:val="right"/>
              <w:spacing w:after="0" w:line="149" w:lineRule="exact"/>
              <w:rPr>
                <w:sz w:val="20"/>
                <w:szCs w:val="20"/>
                <w:color w:val="auto"/>
              </w:rPr>
            </w:pPr>
            <w:r>
              <w:rPr>
                <w:rFonts w:ascii="Arial" w:cs="Arial" w:eastAsia="Arial" w:hAnsi="Arial"/>
                <w:sz w:val="14"/>
                <w:szCs w:val="14"/>
                <w:color w:val="auto"/>
              </w:rPr>
              <w:t>2004</w:t>
            </w:r>
          </w:p>
        </w:tc>
        <w:tc>
          <w:tcPr>
            <w:tcW w:w="0" w:type="dxa"/>
            <w:vAlign w:val="bottom"/>
          </w:tcPr>
          <w:p>
            <w:pPr>
              <w:spacing w:after="0"/>
              <w:rPr>
                <w:sz w:val="1"/>
                <w:szCs w:val="1"/>
                <w:color w:val="auto"/>
              </w:rPr>
            </w:pPr>
          </w:p>
        </w:tc>
      </w:tr>
      <w:tr>
        <w:trPr>
          <w:trHeight w:val="199"/>
        </w:trPr>
        <w:tc>
          <w:tcPr>
            <w:tcW w:w="2720" w:type="dxa"/>
            <w:vAlign w:val="bottom"/>
          </w:tcPr>
          <w:p>
            <w:pPr>
              <w:ind w:left="20"/>
              <w:spacing w:after="0" w:line="200" w:lineRule="exact"/>
              <w:rPr>
                <w:sz w:val="20"/>
                <w:szCs w:val="20"/>
                <w:color w:val="auto"/>
              </w:rPr>
            </w:pPr>
            <w:r>
              <w:rPr>
                <w:rFonts w:ascii="Arial" w:cs="Arial" w:eastAsia="Arial" w:hAnsi="Arial"/>
                <w:sz w:val="18"/>
                <w:szCs w:val="18"/>
                <w:color w:val="auto"/>
              </w:rPr>
              <w:t>Federal tax at statutory rate</w:t>
            </w:r>
          </w:p>
        </w:tc>
        <w:tc>
          <w:tcPr>
            <w:tcW w:w="1120" w:type="dxa"/>
            <w:vAlign w:val="bottom"/>
          </w:tcPr>
          <w:p>
            <w:pPr>
              <w:jc w:val="right"/>
              <w:ind w:right="95"/>
              <w:spacing w:after="0" w:line="200" w:lineRule="exact"/>
              <w:rPr>
                <w:sz w:val="20"/>
                <w:szCs w:val="20"/>
                <w:color w:val="auto"/>
              </w:rPr>
            </w:pPr>
            <w:r>
              <w:rPr>
                <w:rFonts w:ascii="Arial" w:cs="Arial" w:eastAsia="Arial" w:hAnsi="Arial"/>
                <w:sz w:val="18"/>
                <w:szCs w:val="18"/>
                <w:b w:val="1"/>
                <w:bCs w:val="1"/>
                <w:color w:val="auto"/>
              </w:rPr>
              <w:t>$(1,258)</w:t>
            </w:r>
          </w:p>
        </w:tc>
        <w:tc>
          <w:tcPr>
            <w:tcW w:w="920" w:type="dxa"/>
            <w:vAlign w:val="bottom"/>
          </w:tcPr>
          <w:p>
            <w:pPr>
              <w:jc w:val="right"/>
              <w:ind w:right="115"/>
              <w:spacing w:after="0" w:line="200" w:lineRule="exact"/>
              <w:rPr>
                <w:sz w:val="20"/>
                <w:szCs w:val="20"/>
                <w:color w:val="auto"/>
              </w:rPr>
            </w:pPr>
            <w:r>
              <w:rPr>
                <w:rFonts w:ascii="Arial" w:cs="Arial" w:eastAsia="Arial" w:hAnsi="Arial"/>
                <w:sz w:val="18"/>
                <w:szCs w:val="18"/>
                <w:color w:val="auto"/>
              </w:rPr>
              <w:t>$ (602)</w:t>
            </w:r>
          </w:p>
        </w:tc>
        <w:tc>
          <w:tcPr>
            <w:tcW w:w="720" w:type="dxa"/>
            <w:vAlign w:val="bottom"/>
          </w:tcPr>
          <w:p>
            <w:pPr>
              <w:jc w:val="right"/>
              <w:spacing w:after="0" w:line="200" w:lineRule="exact"/>
              <w:rPr>
                <w:sz w:val="20"/>
                <w:szCs w:val="20"/>
                <w:color w:val="auto"/>
              </w:rPr>
            </w:pPr>
            <w:r>
              <w:rPr>
                <w:rFonts w:ascii="Arial" w:cs="Arial" w:eastAsia="Arial" w:hAnsi="Arial"/>
                <w:sz w:val="18"/>
                <w:szCs w:val="18"/>
                <w:color w:val="auto"/>
              </w:rPr>
              <w:t>$ (610)</w:t>
            </w:r>
          </w:p>
        </w:tc>
        <w:tc>
          <w:tcPr>
            <w:tcW w:w="0" w:type="dxa"/>
            <w:vAlign w:val="bottom"/>
          </w:tcPr>
          <w:p>
            <w:pPr>
              <w:spacing w:after="0"/>
              <w:rPr>
                <w:sz w:val="1"/>
                <w:szCs w:val="1"/>
                <w:color w:val="auto"/>
              </w:rPr>
            </w:pPr>
          </w:p>
        </w:tc>
      </w:tr>
      <w:tr>
        <w:trPr>
          <w:trHeight w:val="203"/>
        </w:trPr>
        <w:tc>
          <w:tcPr>
            <w:tcW w:w="2720" w:type="dxa"/>
            <w:vAlign w:val="bottom"/>
          </w:tcPr>
          <w:p>
            <w:pPr>
              <w:ind w:left="20"/>
              <w:spacing w:after="0" w:line="202" w:lineRule="exact"/>
              <w:rPr>
                <w:sz w:val="20"/>
                <w:szCs w:val="20"/>
                <w:color w:val="auto"/>
              </w:rPr>
            </w:pPr>
            <w:r>
              <w:rPr>
                <w:rFonts w:ascii="Arial" w:cs="Arial" w:eastAsia="Arial" w:hAnsi="Arial"/>
                <w:sz w:val="18"/>
                <w:szCs w:val="18"/>
                <w:color w:val="auto"/>
              </w:rPr>
              <w:t>State income taxes, net of</w:t>
            </w:r>
          </w:p>
        </w:tc>
        <w:tc>
          <w:tcPr>
            <w:tcW w:w="1120" w:type="dxa"/>
            <w:vAlign w:val="bottom"/>
            <w:vMerge w:val="restart"/>
          </w:tcPr>
          <w:p>
            <w:pPr>
              <w:jc w:val="right"/>
              <w:ind w:right="95"/>
              <w:spacing w:after="0"/>
              <w:rPr>
                <w:sz w:val="20"/>
                <w:szCs w:val="20"/>
                <w:color w:val="auto"/>
              </w:rPr>
            </w:pPr>
            <w:r>
              <w:rPr>
                <w:rFonts w:ascii="Arial" w:cs="Arial" w:eastAsia="Arial" w:hAnsi="Arial"/>
                <w:sz w:val="18"/>
                <w:szCs w:val="18"/>
                <w:b w:val="1"/>
                <w:bCs w:val="1"/>
                <w:color w:val="auto"/>
              </w:rPr>
              <w:t>(132)</w:t>
            </w:r>
          </w:p>
        </w:tc>
        <w:tc>
          <w:tcPr>
            <w:tcW w:w="92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720" w:type="dxa"/>
            <w:vAlign w:val="bottom"/>
          </w:tcPr>
          <w:p>
            <w:pPr>
              <w:ind w:left="220"/>
              <w:spacing w:after="0" w:line="202" w:lineRule="exact"/>
              <w:rPr>
                <w:sz w:val="20"/>
                <w:szCs w:val="20"/>
                <w:color w:val="auto"/>
              </w:rPr>
            </w:pPr>
            <w:r>
              <w:rPr>
                <w:rFonts w:ascii="Arial" w:cs="Arial" w:eastAsia="Arial" w:hAnsi="Arial"/>
                <w:sz w:val="18"/>
                <w:szCs w:val="18"/>
                <w:color w:val="auto"/>
              </w:rPr>
              <w:t>federal benefit</w:t>
            </w:r>
          </w:p>
        </w:tc>
        <w:tc>
          <w:tcPr>
            <w:tcW w:w="1120" w:type="dxa"/>
            <w:vAlign w:val="bottom"/>
            <w:vMerge w:val="continue"/>
          </w:tcPr>
          <w:p>
            <w:pPr>
              <w:spacing w:after="0"/>
              <w:rPr>
                <w:sz w:val="17"/>
                <w:szCs w:val="17"/>
                <w:color w:val="auto"/>
              </w:rPr>
            </w:pPr>
          </w:p>
        </w:tc>
        <w:tc>
          <w:tcPr>
            <w:tcW w:w="920" w:type="dxa"/>
            <w:vAlign w:val="bottom"/>
          </w:tcPr>
          <w:p>
            <w:pPr>
              <w:jc w:val="right"/>
              <w:ind w:right="115"/>
              <w:spacing w:after="0" w:line="202" w:lineRule="exact"/>
              <w:rPr>
                <w:sz w:val="20"/>
                <w:szCs w:val="20"/>
                <w:color w:val="auto"/>
              </w:rPr>
            </w:pPr>
            <w:r>
              <w:rPr>
                <w:rFonts w:ascii="Arial" w:cs="Arial" w:eastAsia="Arial" w:hAnsi="Arial"/>
                <w:sz w:val="18"/>
                <w:szCs w:val="18"/>
                <w:color w:val="auto"/>
              </w:rPr>
              <w:t>(105)</w:t>
            </w:r>
          </w:p>
        </w:tc>
        <w:tc>
          <w:tcPr>
            <w:tcW w:w="720" w:type="dxa"/>
            <w:vAlign w:val="bottom"/>
          </w:tcPr>
          <w:p>
            <w:pPr>
              <w:jc w:val="right"/>
              <w:spacing w:after="0" w:line="202" w:lineRule="exact"/>
              <w:rPr>
                <w:sz w:val="20"/>
                <w:szCs w:val="20"/>
                <w:color w:val="auto"/>
              </w:rPr>
            </w:pPr>
            <w:r>
              <w:rPr>
                <w:rFonts w:ascii="Arial" w:cs="Arial" w:eastAsia="Arial" w:hAnsi="Arial"/>
                <w:sz w:val="18"/>
                <w:szCs w:val="18"/>
                <w:color w:val="auto"/>
              </w:rPr>
              <w:t>(20)</w:t>
            </w:r>
          </w:p>
        </w:tc>
        <w:tc>
          <w:tcPr>
            <w:tcW w:w="0" w:type="dxa"/>
            <w:vAlign w:val="bottom"/>
          </w:tcPr>
          <w:p>
            <w:pPr>
              <w:spacing w:after="0"/>
              <w:rPr>
                <w:sz w:val="1"/>
                <w:szCs w:val="1"/>
                <w:color w:val="auto"/>
              </w:rPr>
            </w:pPr>
          </w:p>
        </w:tc>
      </w:tr>
      <w:tr>
        <w:trPr>
          <w:trHeight w:val="203"/>
        </w:trPr>
        <w:tc>
          <w:tcPr>
            <w:tcW w:w="2720" w:type="dxa"/>
            <w:vAlign w:val="bottom"/>
          </w:tcPr>
          <w:p>
            <w:pPr>
              <w:ind w:left="20"/>
              <w:spacing w:after="0" w:line="202" w:lineRule="exact"/>
              <w:rPr>
                <w:sz w:val="20"/>
                <w:szCs w:val="20"/>
                <w:color w:val="auto"/>
              </w:rPr>
            </w:pPr>
            <w:r>
              <w:rPr>
                <w:rFonts w:ascii="Arial" w:cs="Arial" w:eastAsia="Arial" w:hAnsi="Arial"/>
                <w:sz w:val="18"/>
                <w:szCs w:val="18"/>
                <w:color w:val="auto"/>
              </w:rPr>
              <w:t>Nondeductible losses from joint</w:t>
            </w:r>
          </w:p>
        </w:tc>
        <w:tc>
          <w:tcPr>
            <w:tcW w:w="112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720" w:type="dxa"/>
            <w:vAlign w:val="bottom"/>
          </w:tcPr>
          <w:p>
            <w:pPr>
              <w:ind w:left="220"/>
              <w:spacing w:after="0" w:line="202" w:lineRule="exact"/>
              <w:rPr>
                <w:sz w:val="20"/>
                <w:szCs w:val="20"/>
                <w:color w:val="auto"/>
              </w:rPr>
            </w:pPr>
            <w:r>
              <w:rPr>
                <w:rFonts w:ascii="Arial" w:cs="Arial" w:eastAsia="Arial" w:hAnsi="Arial"/>
                <w:sz w:val="18"/>
                <w:szCs w:val="18"/>
                <w:color w:val="auto"/>
              </w:rPr>
              <w:t>ventures and equity in net</w:t>
            </w:r>
          </w:p>
        </w:tc>
        <w:tc>
          <w:tcPr>
            <w:tcW w:w="112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720" w:type="dxa"/>
            <w:vAlign w:val="bottom"/>
          </w:tcPr>
          <w:p>
            <w:pPr>
              <w:ind w:left="220"/>
              <w:spacing w:after="0" w:line="202" w:lineRule="exact"/>
              <w:rPr>
                <w:sz w:val="20"/>
                <w:szCs w:val="20"/>
                <w:color w:val="auto"/>
              </w:rPr>
            </w:pPr>
            <w:r>
              <w:rPr>
                <w:rFonts w:ascii="Arial" w:cs="Arial" w:eastAsia="Arial" w:hAnsi="Arial"/>
                <w:sz w:val="18"/>
                <w:szCs w:val="18"/>
                <w:color w:val="auto"/>
              </w:rPr>
              <w:t>(losses) income of affiliates,</w:t>
            </w:r>
          </w:p>
        </w:tc>
        <w:tc>
          <w:tcPr>
            <w:tcW w:w="1120" w:type="dxa"/>
            <w:vAlign w:val="bottom"/>
            <w:vMerge w:val="restart"/>
          </w:tcPr>
          <w:p>
            <w:pPr>
              <w:jc w:val="right"/>
              <w:ind w:right="155"/>
              <w:spacing w:after="0"/>
              <w:rPr>
                <w:sz w:val="20"/>
                <w:szCs w:val="20"/>
                <w:color w:val="auto"/>
              </w:rPr>
            </w:pPr>
            <w:r>
              <w:rPr>
                <w:rFonts w:ascii="Arial" w:cs="Arial" w:eastAsia="Arial" w:hAnsi="Arial"/>
                <w:sz w:val="18"/>
                <w:szCs w:val="18"/>
                <w:b w:val="1"/>
                <w:bCs w:val="1"/>
                <w:color w:val="auto"/>
              </w:rPr>
              <w:t>18</w:t>
            </w:r>
          </w:p>
        </w:tc>
        <w:tc>
          <w:tcPr>
            <w:tcW w:w="92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720" w:type="dxa"/>
            <w:vAlign w:val="bottom"/>
          </w:tcPr>
          <w:p>
            <w:pPr>
              <w:ind w:left="220"/>
              <w:spacing w:after="0" w:line="202" w:lineRule="exact"/>
              <w:rPr>
                <w:sz w:val="20"/>
                <w:szCs w:val="20"/>
                <w:color w:val="auto"/>
              </w:rPr>
            </w:pPr>
            <w:r>
              <w:rPr>
                <w:rFonts w:ascii="Arial" w:cs="Arial" w:eastAsia="Arial" w:hAnsi="Arial"/>
                <w:sz w:val="18"/>
                <w:szCs w:val="18"/>
                <w:color w:val="auto"/>
              </w:rPr>
              <w:t>net</w:t>
            </w:r>
          </w:p>
        </w:tc>
        <w:tc>
          <w:tcPr>
            <w:tcW w:w="1120" w:type="dxa"/>
            <w:vAlign w:val="bottom"/>
            <w:vMerge w:val="continue"/>
          </w:tcPr>
          <w:p>
            <w:pPr>
              <w:spacing w:after="0"/>
              <w:rPr>
                <w:sz w:val="17"/>
                <w:szCs w:val="17"/>
                <w:color w:val="auto"/>
              </w:rPr>
            </w:pPr>
          </w:p>
        </w:tc>
        <w:tc>
          <w:tcPr>
            <w:tcW w:w="920" w:type="dxa"/>
            <w:vAlign w:val="bottom"/>
          </w:tcPr>
          <w:p>
            <w:pPr>
              <w:jc w:val="right"/>
              <w:ind w:right="115"/>
              <w:spacing w:after="0" w:line="202" w:lineRule="exact"/>
              <w:rPr>
                <w:sz w:val="20"/>
                <w:szCs w:val="20"/>
                <w:color w:val="auto"/>
              </w:rPr>
            </w:pPr>
            <w:r>
              <w:rPr>
                <w:rFonts w:ascii="Arial" w:cs="Arial" w:eastAsia="Arial" w:hAnsi="Arial"/>
                <w:sz w:val="18"/>
                <w:szCs w:val="18"/>
                <w:color w:val="auto"/>
              </w:rPr>
              <w:t>(24)</w:t>
            </w:r>
          </w:p>
        </w:tc>
        <w:tc>
          <w:tcPr>
            <w:tcW w:w="720" w:type="dxa"/>
            <w:vAlign w:val="bottom"/>
          </w:tcPr>
          <w:p>
            <w:pPr>
              <w:jc w:val="right"/>
              <w:spacing w:after="0" w:line="202" w:lineRule="exact"/>
              <w:rPr>
                <w:sz w:val="20"/>
                <w:szCs w:val="20"/>
                <w:color w:val="auto"/>
              </w:rPr>
            </w:pPr>
            <w:r>
              <w:rPr>
                <w:rFonts w:ascii="Arial" w:cs="Arial" w:eastAsia="Arial" w:hAnsi="Arial"/>
                <w:sz w:val="18"/>
                <w:szCs w:val="18"/>
                <w:color w:val="auto"/>
              </w:rPr>
              <w:t>(9)</w:t>
            </w:r>
          </w:p>
        </w:tc>
        <w:tc>
          <w:tcPr>
            <w:tcW w:w="0" w:type="dxa"/>
            <w:vAlign w:val="bottom"/>
          </w:tcPr>
          <w:p>
            <w:pPr>
              <w:spacing w:after="0"/>
              <w:rPr>
                <w:sz w:val="1"/>
                <w:szCs w:val="1"/>
                <w:color w:val="auto"/>
              </w:rPr>
            </w:pPr>
          </w:p>
        </w:tc>
      </w:tr>
      <w:tr>
        <w:trPr>
          <w:trHeight w:val="203"/>
        </w:trPr>
        <w:tc>
          <w:tcPr>
            <w:tcW w:w="2720" w:type="dxa"/>
            <w:vAlign w:val="bottom"/>
          </w:tcPr>
          <w:p>
            <w:pPr>
              <w:ind w:left="20"/>
              <w:spacing w:after="0" w:line="202" w:lineRule="exact"/>
              <w:rPr>
                <w:sz w:val="20"/>
                <w:szCs w:val="20"/>
                <w:color w:val="auto"/>
              </w:rPr>
            </w:pPr>
            <w:r>
              <w:rPr>
                <w:rFonts w:ascii="Arial" w:cs="Arial" w:eastAsia="Arial" w:hAnsi="Arial"/>
                <w:sz w:val="18"/>
                <w:szCs w:val="18"/>
                <w:color w:val="auto"/>
              </w:rPr>
              <w:t>Adjustments to prior year</w:t>
            </w:r>
          </w:p>
        </w:tc>
        <w:tc>
          <w:tcPr>
            <w:tcW w:w="112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720" w:type="dxa"/>
            <w:vAlign w:val="bottom"/>
          </w:tcPr>
          <w:p>
            <w:pPr>
              <w:ind w:left="220"/>
              <w:spacing w:after="0" w:line="202" w:lineRule="exact"/>
              <w:rPr>
                <w:sz w:val="20"/>
                <w:szCs w:val="20"/>
                <w:color w:val="auto"/>
              </w:rPr>
            </w:pPr>
            <w:r>
              <w:rPr>
                <w:rFonts w:ascii="Arial" w:cs="Arial" w:eastAsia="Arial" w:hAnsi="Arial"/>
                <w:sz w:val="18"/>
                <w:szCs w:val="18"/>
                <w:color w:val="auto"/>
              </w:rPr>
              <w:t>income tax accrual and</w:t>
            </w:r>
          </w:p>
        </w:tc>
        <w:tc>
          <w:tcPr>
            <w:tcW w:w="1120" w:type="dxa"/>
            <w:vAlign w:val="bottom"/>
            <w:vMerge w:val="restart"/>
          </w:tcPr>
          <w:p>
            <w:pPr>
              <w:jc w:val="right"/>
              <w:ind w:right="155"/>
              <w:spacing w:after="0"/>
              <w:rPr>
                <w:sz w:val="20"/>
                <w:szCs w:val="20"/>
                <w:color w:val="auto"/>
              </w:rPr>
            </w:pPr>
            <w:r>
              <w:rPr>
                <w:rFonts w:ascii="Arial" w:cs="Arial" w:eastAsia="Arial" w:hAnsi="Arial"/>
                <w:sz w:val="18"/>
                <w:szCs w:val="18"/>
                <w:b w:val="1"/>
                <w:bCs w:val="1"/>
                <w:color w:val="auto"/>
              </w:rPr>
              <w:t>97</w:t>
            </w:r>
          </w:p>
        </w:tc>
        <w:tc>
          <w:tcPr>
            <w:tcW w:w="92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81"/>
        </w:trPr>
        <w:tc>
          <w:tcPr>
            <w:tcW w:w="2720" w:type="dxa"/>
            <w:vAlign w:val="bottom"/>
          </w:tcPr>
          <w:p>
            <w:pPr>
              <w:ind w:left="220"/>
              <w:spacing w:after="0" w:line="181" w:lineRule="exact"/>
              <w:rPr>
                <w:sz w:val="20"/>
                <w:szCs w:val="20"/>
                <w:color w:val="auto"/>
              </w:rPr>
            </w:pPr>
            <w:r>
              <w:rPr>
                <w:rFonts w:ascii="Arial" w:cs="Arial" w:eastAsia="Arial" w:hAnsi="Arial"/>
                <w:sz w:val="18"/>
                <w:szCs w:val="18"/>
                <w:color w:val="auto"/>
              </w:rPr>
              <w:t>related interest</w:t>
            </w:r>
          </w:p>
        </w:tc>
        <w:tc>
          <w:tcPr>
            <w:tcW w:w="1120" w:type="dxa"/>
            <w:vAlign w:val="bottom"/>
            <w:vMerge w:val="continue"/>
          </w:tcPr>
          <w:p>
            <w:pPr>
              <w:spacing w:after="0"/>
              <w:rPr>
                <w:sz w:val="15"/>
                <w:szCs w:val="15"/>
                <w:color w:val="auto"/>
              </w:rPr>
            </w:pPr>
          </w:p>
        </w:tc>
        <w:tc>
          <w:tcPr>
            <w:tcW w:w="920" w:type="dxa"/>
            <w:vAlign w:val="bottom"/>
          </w:tcPr>
          <w:p>
            <w:pPr>
              <w:jc w:val="right"/>
              <w:ind w:right="115"/>
              <w:spacing w:after="0" w:line="181" w:lineRule="exact"/>
              <w:rPr>
                <w:sz w:val="20"/>
                <w:szCs w:val="20"/>
                <w:color w:val="auto"/>
              </w:rPr>
            </w:pPr>
            <w:r>
              <w:rPr>
                <w:rFonts w:ascii="Arial" w:cs="Arial" w:eastAsia="Arial" w:hAnsi="Arial"/>
                <w:sz w:val="18"/>
                <w:szCs w:val="18"/>
                <w:color w:val="auto"/>
              </w:rPr>
              <w:t>(105)</w:t>
            </w:r>
          </w:p>
        </w:tc>
        <w:tc>
          <w:tcPr>
            <w:tcW w:w="720" w:type="dxa"/>
            <w:vAlign w:val="bottom"/>
          </w:tcPr>
          <w:p>
            <w:pPr>
              <w:jc w:val="right"/>
              <w:spacing w:after="0" w:line="181" w:lineRule="exact"/>
              <w:rPr>
                <w:sz w:val="20"/>
                <w:szCs w:val="20"/>
                <w:color w:val="auto"/>
              </w:rPr>
            </w:pPr>
            <w:r>
              <w:rPr>
                <w:rFonts w:ascii="Arial" w:cs="Arial" w:eastAsia="Arial" w:hAnsi="Arial"/>
                <w:sz w:val="18"/>
                <w:szCs w:val="18"/>
                <w:color w:val="auto"/>
              </w:rPr>
              <w:t>(157)</w:t>
            </w:r>
          </w:p>
        </w:tc>
        <w:tc>
          <w:tcPr>
            <w:tcW w:w="0" w:type="dxa"/>
            <w:vAlign w:val="bottom"/>
          </w:tcPr>
          <w:p>
            <w:pPr>
              <w:spacing w:after="0"/>
              <w:rPr>
                <w:sz w:val="1"/>
                <w:szCs w:val="1"/>
                <w:color w:val="auto"/>
              </w:rPr>
            </w:pPr>
          </w:p>
        </w:tc>
      </w:tr>
      <w:tr>
        <w:trPr>
          <w:trHeight w:val="221"/>
        </w:trPr>
        <w:tc>
          <w:tcPr>
            <w:tcW w:w="2720" w:type="dxa"/>
            <w:vAlign w:val="bottom"/>
            <w:tcBorders>
              <w:bottom w:val="single" w:sz="8" w:color="auto"/>
            </w:tcBorders>
          </w:tcPr>
          <w:p>
            <w:pPr>
              <w:ind w:left="20"/>
              <w:spacing w:after="0"/>
              <w:rPr>
                <w:sz w:val="20"/>
                <w:szCs w:val="20"/>
                <w:color w:val="auto"/>
              </w:rPr>
            </w:pPr>
            <w:r>
              <w:rPr>
                <w:rFonts w:ascii="Arial" w:cs="Arial" w:eastAsia="Arial" w:hAnsi="Arial"/>
                <w:sz w:val="18"/>
                <w:szCs w:val="18"/>
                <w:color w:val="auto"/>
              </w:rPr>
              <w:t>Other</w:t>
            </w:r>
          </w:p>
        </w:tc>
        <w:tc>
          <w:tcPr>
            <w:tcW w:w="1120" w:type="dxa"/>
            <w:vAlign w:val="bottom"/>
            <w:tcBorders>
              <w:bottom w:val="single" w:sz="8" w:color="auto"/>
            </w:tcBorders>
          </w:tcPr>
          <w:p>
            <w:pPr>
              <w:jc w:val="right"/>
              <w:ind w:right="95"/>
              <w:spacing w:after="0"/>
              <w:rPr>
                <w:sz w:val="20"/>
                <w:szCs w:val="20"/>
                <w:color w:val="auto"/>
              </w:rPr>
            </w:pPr>
            <w:r>
              <w:rPr>
                <w:rFonts w:ascii="Arial" w:cs="Arial" w:eastAsia="Arial" w:hAnsi="Arial"/>
                <w:sz w:val="18"/>
                <w:szCs w:val="18"/>
                <w:b w:val="1"/>
                <w:bCs w:val="1"/>
                <w:color w:val="auto"/>
              </w:rPr>
              <w:t>(72)</w:t>
            </w:r>
          </w:p>
        </w:tc>
        <w:tc>
          <w:tcPr>
            <w:tcW w:w="920" w:type="dxa"/>
            <w:vAlign w:val="bottom"/>
            <w:tcBorders>
              <w:bottom w:val="single" w:sz="8" w:color="auto"/>
            </w:tcBorders>
          </w:tcPr>
          <w:p>
            <w:pPr>
              <w:jc w:val="right"/>
              <w:ind w:right="115"/>
              <w:spacing w:after="0"/>
              <w:rPr>
                <w:sz w:val="20"/>
                <w:szCs w:val="20"/>
                <w:color w:val="auto"/>
              </w:rPr>
            </w:pPr>
            <w:r>
              <w:rPr>
                <w:rFonts w:ascii="Arial" w:cs="Arial" w:eastAsia="Arial" w:hAnsi="Arial"/>
                <w:sz w:val="18"/>
                <w:szCs w:val="18"/>
                <w:color w:val="auto"/>
              </w:rPr>
              <w:t>(37)</w:t>
            </w:r>
          </w:p>
        </w:tc>
        <w:tc>
          <w:tcPr>
            <w:tcW w:w="7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w:t>
            </w:r>
          </w:p>
        </w:tc>
        <w:tc>
          <w:tcPr>
            <w:tcW w:w="0" w:type="dxa"/>
            <w:vAlign w:val="bottom"/>
          </w:tcPr>
          <w:p>
            <w:pPr>
              <w:spacing w:after="0"/>
              <w:rPr>
                <w:sz w:val="1"/>
                <w:szCs w:val="1"/>
                <w:color w:val="auto"/>
              </w:rPr>
            </w:pPr>
          </w:p>
        </w:tc>
      </w:tr>
      <w:tr>
        <w:trPr>
          <w:trHeight w:val="196"/>
        </w:trPr>
        <w:tc>
          <w:tcPr>
            <w:tcW w:w="2720" w:type="dxa"/>
            <w:vAlign w:val="bottom"/>
            <w:tcBorders>
              <w:bottom w:val="single" w:sz="8" w:color="35BF85"/>
            </w:tcBorders>
          </w:tcPr>
          <w:p>
            <w:pPr>
              <w:ind w:left="20"/>
              <w:spacing w:after="0" w:line="196" w:lineRule="exact"/>
              <w:rPr>
                <w:sz w:val="20"/>
                <w:szCs w:val="20"/>
                <w:color w:val="auto"/>
              </w:rPr>
            </w:pPr>
            <w:r>
              <w:rPr>
                <w:rFonts w:ascii="Arial" w:cs="Arial" w:eastAsia="Arial" w:hAnsi="Arial"/>
                <w:sz w:val="18"/>
                <w:szCs w:val="18"/>
                <w:color w:val="auto"/>
              </w:rPr>
              <w:t>Income tax (expense) benefit</w:t>
            </w:r>
          </w:p>
        </w:tc>
        <w:tc>
          <w:tcPr>
            <w:tcW w:w="1120" w:type="dxa"/>
            <w:vAlign w:val="bottom"/>
            <w:tcBorders>
              <w:bottom w:val="single" w:sz="8" w:color="35BF85"/>
            </w:tcBorders>
          </w:tcPr>
          <w:p>
            <w:pPr>
              <w:jc w:val="right"/>
              <w:ind w:right="95"/>
              <w:spacing w:after="0" w:line="196" w:lineRule="exact"/>
              <w:rPr>
                <w:sz w:val="20"/>
                <w:szCs w:val="20"/>
                <w:color w:val="auto"/>
              </w:rPr>
            </w:pPr>
            <w:r>
              <w:rPr>
                <w:rFonts w:ascii="Arial" w:cs="Arial" w:eastAsia="Arial" w:hAnsi="Arial"/>
                <w:sz w:val="18"/>
                <w:szCs w:val="18"/>
                <w:b w:val="1"/>
                <w:bCs w:val="1"/>
                <w:color w:val="auto"/>
              </w:rPr>
              <w:t>$(1,347)</w:t>
            </w:r>
          </w:p>
        </w:tc>
        <w:tc>
          <w:tcPr>
            <w:tcW w:w="920" w:type="dxa"/>
            <w:vAlign w:val="bottom"/>
            <w:tcBorders>
              <w:bottom w:val="single" w:sz="8" w:color="35BF85"/>
            </w:tcBorders>
          </w:tcPr>
          <w:p>
            <w:pPr>
              <w:jc w:val="right"/>
              <w:ind w:right="115"/>
              <w:spacing w:after="0" w:line="196" w:lineRule="exact"/>
              <w:rPr>
                <w:sz w:val="20"/>
                <w:szCs w:val="20"/>
                <w:color w:val="auto"/>
              </w:rPr>
            </w:pPr>
            <w:r>
              <w:rPr>
                <w:rFonts w:ascii="Arial" w:cs="Arial" w:eastAsia="Arial" w:hAnsi="Arial"/>
                <w:sz w:val="18"/>
                <w:szCs w:val="18"/>
                <w:color w:val="auto"/>
              </w:rPr>
              <w:t>$ (873)</w:t>
            </w:r>
          </w:p>
        </w:tc>
        <w:tc>
          <w:tcPr>
            <w:tcW w:w="720" w:type="dxa"/>
            <w:vAlign w:val="bottom"/>
            <w:tcBorders>
              <w:bottom w:val="single" w:sz="8" w:color="35BF85"/>
            </w:tcBorders>
          </w:tcPr>
          <w:p>
            <w:pPr>
              <w:jc w:val="right"/>
              <w:spacing w:after="0" w:line="196" w:lineRule="exact"/>
              <w:rPr>
                <w:sz w:val="20"/>
                <w:szCs w:val="20"/>
                <w:color w:val="auto"/>
              </w:rPr>
            </w:pPr>
            <w:r>
              <w:rPr>
                <w:rFonts w:ascii="Arial" w:cs="Arial" w:eastAsia="Arial" w:hAnsi="Arial"/>
                <w:sz w:val="18"/>
                <w:szCs w:val="18"/>
                <w:color w:val="auto"/>
              </w:rPr>
              <w:t>$ (801)</w:t>
            </w:r>
          </w:p>
        </w:tc>
        <w:tc>
          <w:tcPr>
            <w:tcW w:w="0" w:type="dxa"/>
            <w:vAlign w:val="bottom"/>
          </w:tcPr>
          <w:p>
            <w:pPr>
              <w:spacing w:after="0"/>
              <w:rPr>
                <w:sz w:val="1"/>
                <w:szCs w:val="1"/>
                <w:color w:val="auto"/>
              </w:rPr>
            </w:pPr>
          </w:p>
        </w:tc>
      </w:tr>
    </w:tbl>
    <w:p>
      <w:pPr>
        <w:spacing w:after="0" w:line="165" w:lineRule="exact"/>
        <w:rPr>
          <w:sz w:val="20"/>
          <w:szCs w:val="20"/>
          <w:color w:val="auto"/>
        </w:rPr>
      </w:pPr>
    </w:p>
    <w:p>
      <w:pPr>
        <w:spacing w:after="0"/>
        <w:rPr>
          <w:sz w:val="20"/>
          <w:szCs w:val="20"/>
          <w:color w:val="auto"/>
        </w:rPr>
      </w:pPr>
      <w:r>
        <w:rPr>
          <w:rFonts w:ascii="Arial" w:cs="Arial" w:eastAsia="Arial" w:hAnsi="Arial"/>
          <w:sz w:val="18"/>
          <w:szCs w:val="18"/>
          <w:color w:val="auto"/>
        </w:rPr>
        <w:t>Our net deferred tax liability consists of the following components:</w:t>
      </w:r>
    </w:p>
    <w:p>
      <w:pPr>
        <w:spacing w:after="0" w:line="178" w:lineRule="exact"/>
        <w:rPr>
          <w:sz w:val="20"/>
          <w:szCs w:val="20"/>
          <w:color w:val="auto"/>
        </w:rPr>
      </w:pPr>
    </w:p>
    <w:tbl>
      <w:tblPr>
        <w:tblLayout w:type="fixed"/>
        <w:tblInd w:w="0" w:type="dxa"/>
        <w:tblCellMar>
          <w:top w:w="0" w:type="dxa"/>
          <w:left w:w="0" w:type="dxa"/>
          <w:bottom w:w="0" w:type="dxa"/>
          <w:right w:w="0" w:type="dxa"/>
        </w:tblCellMar>
      </w:tblPr>
      <w:tr>
        <w:trPr>
          <w:trHeight w:val="165"/>
        </w:trPr>
        <w:tc>
          <w:tcPr>
            <w:tcW w:w="3440" w:type="dxa"/>
            <w:vAlign w:val="bottom"/>
            <w:tcBorders>
              <w:bottom w:val="single" w:sz="8" w:color="auto"/>
            </w:tcBorders>
          </w:tcPr>
          <w:p>
            <w:pPr>
              <w:ind w:left="20"/>
              <w:spacing w:after="0"/>
              <w:rPr>
                <w:sz w:val="20"/>
                <w:szCs w:val="20"/>
                <w:color w:val="auto"/>
              </w:rPr>
            </w:pPr>
            <w:r>
              <w:rPr>
                <w:rFonts w:ascii="Arial" w:cs="Arial" w:eastAsia="Arial" w:hAnsi="Arial"/>
                <w:sz w:val="14"/>
                <w:szCs w:val="14"/>
                <w:color w:val="auto"/>
              </w:rPr>
              <w:t>December 31 (in millions)</w:t>
            </w:r>
          </w:p>
        </w:tc>
        <w:tc>
          <w:tcPr>
            <w:tcW w:w="400" w:type="dxa"/>
            <w:vAlign w:val="bottom"/>
            <w:tcBorders>
              <w:bottom w:val="single" w:sz="8" w:color="auto"/>
            </w:tcBorders>
          </w:tcPr>
          <w:p>
            <w:pPr>
              <w:spacing w:after="0"/>
              <w:rPr>
                <w:sz w:val="14"/>
                <w:szCs w:val="14"/>
                <w:color w:val="auto"/>
              </w:rPr>
            </w:pPr>
          </w:p>
        </w:tc>
        <w:tc>
          <w:tcPr>
            <w:tcW w:w="780" w:type="dxa"/>
            <w:vAlign w:val="bottom"/>
            <w:tcBorders>
              <w:bottom w:val="single" w:sz="8" w:color="auto"/>
            </w:tcBorders>
          </w:tcPr>
          <w:p>
            <w:pPr>
              <w:jc w:val="right"/>
              <w:ind w:right="154"/>
              <w:spacing w:after="0"/>
              <w:rPr>
                <w:sz w:val="20"/>
                <w:szCs w:val="20"/>
                <w:color w:val="auto"/>
              </w:rPr>
            </w:pPr>
            <w:r>
              <w:rPr>
                <w:rFonts w:ascii="Arial" w:cs="Arial" w:eastAsia="Arial" w:hAnsi="Arial"/>
                <w:sz w:val="14"/>
                <w:szCs w:val="14"/>
                <w:b w:val="1"/>
                <w:bCs w:val="1"/>
                <w:color w:val="auto"/>
              </w:rPr>
              <w:t>2006</w:t>
            </w:r>
          </w:p>
        </w:tc>
        <w:tc>
          <w:tcPr>
            <w:tcW w:w="320" w:type="dxa"/>
            <w:vAlign w:val="bottom"/>
            <w:tcBorders>
              <w:bottom w:val="single" w:sz="8" w:color="auto"/>
            </w:tcBorders>
          </w:tcPr>
          <w:p>
            <w:pPr>
              <w:spacing w:after="0"/>
              <w:rPr>
                <w:sz w:val="14"/>
                <w:szCs w:val="14"/>
                <w:color w:val="auto"/>
              </w:rPr>
            </w:pPr>
          </w:p>
        </w:tc>
        <w:tc>
          <w:tcPr>
            <w:tcW w:w="54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2005</w:t>
            </w:r>
          </w:p>
        </w:tc>
        <w:tc>
          <w:tcPr>
            <w:tcW w:w="0" w:type="dxa"/>
            <w:vAlign w:val="bottom"/>
          </w:tcPr>
          <w:p>
            <w:pPr>
              <w:spacing w:after="0"/>
              <w:rPr>
                <w:sz w:val="1"/>
                <w:szCs w:val="1"/>
                <w:color w:val="auto"/>
              </w:rPr>
            </w:pPr>
          </w:p>
        </w:tc>
      </w:tr>
      <w:tr>
        <w:trPr>
          <w:trHeight w:val="199"/>
        </w:trPr>
        <w:tc>
          <w:tcPr>
            <w:tcW w:w="3440" w:type="dxa"/>
            <w:vAlign w:val="bottom"/>
          </w:tcPr>
          <w:p>
            <w:pPr>
              <w:ind w:left="20"/>
              <w:spacing w:after="0" w:line="200" w:lineRule="exact"/>
              <w:rPr>
                <w:sz w:val="20"/>
                <w:szCs w:val="20"/>
                <w:color w:val="auto"/>
              </w:rPr>
            </w:pPr>
            <w:r>
              <w:rPr>
                <w:rFonts w:ascii="Arial" w:cs="Arial" w:eastAsia="Arial" w:hAnsi="Arial"/>
                <w:sz w:val="18"/>
                <w:szCs w:val="18"/>
                <w:color w:val="auto"/>
              </w:rPr>
              <w:t>Deferred tax assets:</w:t>
            </w:r>
          </w:p>
        </w:tc>
        <w:tc>
          <w:tcPr>
            <w:tcW w:w="400" w:type="dxa"/>
            <w:vAlign w:val="bottom"/>
            <w:vMerge w:val="restart"/>
          </w:tcPr>
          <w:p>
            <w:pPr>
              <w:jc w:val="right"/>
              <w:spacing w:after="0"/>
              <w:rPr>
                <w:sz w:val="20"/>
                <w:szCs w:val="20"/>
                <w:color w:val="auto"/>
              </w:rPr>
            </w:pPr>
            <w:r>
              <w:rPr>
                <w:rFonts w:ascii="Arial" w:cs="Arial" w:eastAsia="Arial" w:hAnsi="Arial"/>
                <w:sz w:val="18"/>
                <w:szCs w:val="18"/>
                <w:b w:val="1"/>
                <w:bCs w:val="1"/>
                <w:color w:val="auto"/>
              </w:rPr>
              <w:t>$</w:t>
            </w:r>
          </w:p>
        </w:tc>
        <w:tc>
          <w:tcPr>
            <w:tcW w:w="780" w:type="dxa"/>
            <w:vAlign w:val="bottom"/>
            <w:vMerge w:val="restart"/>
          </w:tcPr>
          <w:p>
            <w:pPr>
              <w:jc w:val="right"/>
              <w:ind w:right="154"/>
              <w:spacing w:after="0"/>
              <w:rPr>
                <w:sz w:val="20"/>
                <w:szCs w:val="20"/>
                <w:color w:val="auto"/>
              </w:rPr>
            </w:pPr>
            <w:r>
              <w:rPr>
                <w:rFonts w:ascii="Arial" w:cs="Arial" w:eastAsia="Arial" w:hAnsi="Arial"/>
                <w:sz w:val="18"/>
                <w:szCs w:val="18"/>
                <w:b w:val="1"/>
                <w:bCs w:val="1"/>
                <w:color w:val="auto"/>
              </w:rPr>
              <w:t>309</w:t>
            </w:r>
          </w:p>
        </w:tc>
        <w:tc>
          <w:tcPr>
            <w:tcW w:w="320" w:type="dxa"/>
            <w:vAlign w:val="bottom"/>
          </w:tcPr>
          <w:p>
            <w:pPr>
              <w:spacing w:after="0"/>
              <w:rPr>
                <w:sz w:val="17"/>
                <w:szCs w:val="17"/>
                <w:color w:val="auto"/>
              </w:rPr>
            </w:pPr>
          </w:p>
        </w:tc>
        <w:tc>
          <w:tcPr>
            <w:tcW w:w="5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3440" w:type="dxa"/>
            <w:vAlign w:val="bottom"/>
          </w:tcPr>
          <w:p>
            <w:pPr>
              <w:ind w:left="20"/>
              <w:spacing w:after="0" w:line="202" w:lineRule="exact"/>
              <w:rPr>
                <w:sz w:val="20"/>
                <w:szCs w:val="20"/>
                <w:color w:val="auto"/>
              </w:rPr>
            </w:pPr>
            <w:r>
              <w:rPr>
                <w:rFonts w:ascii="Arial" w:cs="Arial" w:eastAsia="Arial" w:hAnsi="Arial"/>
                <w:sz w:val="18"/>
                <w:szCs w:val="18"/>
                <w:color w:val="auto"/>
              </w:rPr>
              <w:t>Net operating loss carryforwards</w:t>
            </w:r>
          </w:p>
        </w:tc>
        <w:tc>
          <w:tcPr>
            <w:tcW w:w="400" w:type="dxa"/>
            <w:vAlign w:val="bottom"/>
            <w:vMerge w:val="continue"/>
          </w:tcPr>
          <w:p>
            <w:pPr>
              <w:spacing w:after="0"/>
              <w:rPr>
                <w:sz w:val="17"/>
                <w:szCs w:val="17"/>
                <w:color w:val="auto"/>
              </w:rPr>
            </w:pPr>
          </w:p>
        </w:tc>
        <w:tc>
          <w:tcPr>
            <w:tcW w:w="780" w:type="dxa"/>
            <w:vAlign w:val="bottom"/>
            <w:vMerge w:val="continue"/>
          </w:tcPr>
          <w:p>
            <w:pPr>
              <w:spacing w:after="0"/>
              <w:rPr>
                <w:sz w:val="17"/>
                <w:szCs w:val="17"/>
                <w:color w:val="auto"/>
              </w:rPr>
            </w:pPr>
          </w:p>
        </w:tc>
        <w:tc>
          <w:tcPr>
            <w:tcW w:w="320" w:type="dxa"/>
            <w:vAlign w:val="bottom"/>
          </w:tcPr>
          <w:p>
            <w:pPr>
              <w:jc w:val="right"/>
              <w:spacing w:after="0" w:line="202" w:lineRule="exact"/>
              <w:rPr>
                <w:sz w:val="20"/>
                <w:szCs w:val="20"/>
                <w:color w:val="auto"/>
              </w:rPr>
            </w:pPr>
            <w:r>
              <w:rPr>
                <w:rFonts w:ascii="Arial" w:cs="Arial" w:eastAsia="Arial" w:hAnsi="Arial"/>
                <w:sz w:val="18"/>
                <w:szCs w:val="18"/>
                <w:color w:val="auto"/>
              </w:rPr>
              <w:t>$</w:t>
            </w:r>
          </w:p>
        </w:tc>
        <w:tc>
          <w:tcPr>
            <w:tcW w:w="540" w:type="dxa"/>
            <w:vAlign w:val="bottom"/>
          </w:tcPr>
          <w:p>
            <w:pPr>
              <w:jc w:val="right"/>
              <w:spacing w:after="0" w:line="202" w:lineRule="exact"/>
              <w:rPr>
                <w:sz w:val="20"/>
                <w:szCs w:val="20"/>
                <w:color w:val="auto"/>
              </w:rPr>
            </w:pPr>
            <w:r>
              <w:rPr>
                <w:rFonts w:ascii="Arial" w:cs="Arial" w:eastAsia="Arial" w:hAnsi="Arial"/>
                <w:sz w:val="18"/>
                <w:szCs w:val="18"/>
                <w:color w:val="auto"/>
              </w:rPr>
              <w:t>331</w:t>
            </w:r>
          </w:p>
        </w:tc>
        <w:tc>
          <w:tcPr>
            <w:tcW w:w="0" w:type="dxa"/>
            <w:vAlign w:val="bottom"/>
          </w:tcPr>
          <w:p>
            <w:pPr>
              <w:spacing w:after="0"/>
              <w:rPr>
                <w:sz w:val="1"/>
                <w:szCs w:val="1"/>
                <w:color w:val="auto"/>
              </w:rPr>
            </w:pPr>
          </w:p>
        </w:tc>
      </w:tr>
      <w:tr>
        <w:trPr>
          <w:trHeight w:val="203"/>
        </w:trPr>
        <w:tc>
          <w:tcPr>
            <w:tcW w:w="3440" w:type="dxa"/>
            <w:vAlign w:val="bottom"/>
          </w:tcPr>
          <w:p>
            <w:pPr>
              <w:ind w:left="20"/>
              <w:spacing w:after="0" w:line="202" w:lineRule="exact"/>
              <w:rPr>
                <w:sz w:val="20"/>
                <w:szCs w:val="20"/>
                <w:color w:val="auto"/>
              </w:rPr>
            </w:pPr>
            <w:r>
              <w:rPr>
                <w:rFonts w:ascii="Arial" w:cs="Arial" w:eastAsia="Arial" w:hAnsi="Arial"/>
                <w:sz w:val="18"/>
                <w:szCs w:val="18"/>
                <w:color w:val="auto"/>
              </w:rPr>
              <w:t>Differences between book and tax basis</w:t>
            </w:r>
          </w:p>
        </w:tc>
        <w:tc>
          <w:tcPr>
            <w:tcW w:w="400" w:type="dxa"/>
            <w:vAlign w:val="bottom"/>
          </w:tcPr>
          <w:p>
            <w:pPr>
              <w:spacing w:after="0"/>
              <w:rPr>
                <w:sz w:val="17"/>
                <w:szCs w:val="17"/>
                <w:color w:val="auto"/>
              </w:rPr>
            </w:pPr>
          </w:p>
        </w:tc>
        <w:tc>
          <w:tcPr>
            <w:tcW w:w="780" w:type="dxa"/>
            <w:vAlign w:val="bottom"/>
            <w:vMerge w:val="restart"/>
          </w:tcPr>
          <w:p>
            <w:pPr>
              <w:jc w:val="right"/>
              <w:ind w:right="154"/>
              <w:spacing w:after="0"/>
              <w:rPr>
                <w:sz w:val="20"/>
                <w:szCs w:val="20"/>
                <w:color w:val="auto"/>
              </w:rPr>
            </w:pPr>
            <w:r>
              <w:rPr>
                <w:rFonts w:ascii="Arial" w:cs="Arial" w:eastAsia="Arial" w:hAnsi="Arial"/>
                <w:sz w:val="18"/>
                <w:szCs w:val="18"/>
                <w:b w:val="1"/>
                <w:bCs w:val="1"/>
                <w:color w:val="auto"/>
              </w:rPr>
              <w:t>177</w:t>
            </w:r>
          </w:p>
        </w:tc>
        <w:tc>
          <w:tcPr>
            <w:tcW w:w="320" w:type="dxa"/>
            <w:vAlign w:val="bottom"/>
          </w:tcPr>
          <w:p>
            <w:pPr>
              <w:spacing w:after="0"/>
              <w:rPr>
                <w:sz w:val="17"/>
                <w:szCs w:val="17"/>
                <w:color w:val="auto"/>
              </w:rPr>
            </w:pPr>
          </w:p>
        </w:tc>
        <w:tc>
          <w:tcPr>
            <w:tcW w:w="5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81"/>
        </w:trPr>
        <w:tc>
          <w:tcPr>
            <w:tcW w:w="3440" w:type="dxa"/>
            <w:vAlign w:val="bottom"/>
          </w:tcPr>
          <w:p>
            <w:pPr>
              <w:ind w:left="220"/>
              <w:spacing w:after="0" w:line="181" w:lineRule="exact"/>
              <w:rPr>
                <w:sz w:val="20"/>
                <w:szCs w:val="20"/>
                <w:color w:val="auto"/>
              </w:rPr>
            </w:pPr>
            <w:r>
              <w:rPr>
                <w:rFonts w:ascii="Arial" w:cs="Arial" w:eastAsia="Arial" w:hAnsi="Arial"/>
                <w:sz w:val="18"/>
                <w:szCs w:val="18"/>
                <w:color w:val="auto"/>
              </w:rPr>
              <w:t>of long-term debt</w:t>
            </w:r>
          </w:p>
        </w:tc>
        <w:tc>
          <w:tcPr>
            <w:tcW w:w="400" w:type="dxa"/>
            <w:vAlign w:val="bottom"/>
          </w:tcPr>
          <w:p>
            <w:pPr>
              <w:spacing w:after="0"/>
              <w:rPr>
                <w:sz w:val="15"/>
                <w:szCs w:val="15"/>
                <w:color w:val="auto"/>
              </w:rPr>
            </w:pPr>
          </w:p>
        </w:tc>
        <w:tc>
          <w:tcPr>
            <w:tcW w:w="780" w:type="dxa"/>
            <w:vAlign w:val="bottom"/>
            <w:vMerge w:val="continue"/>
          </w:tcPr>
          <w:p>
            <w:pPr>
              <w:spacing w:after="0"/>
              <w:rPr>
                <w:sz w:val="15"/>
                <w:szCs w:val="15"/>
                <w:color w:val="auto"/>
              </w:rPr>
            </w:pPr>
          </w:p>
        </w:tc>
        <w:tc>
          <w:tcPr>
            <w:tcW w:w="320" w:type="dxa"/>
            <w:vAlign w:val="bottom"/>
          </w:tcPr>
          <w:p>
            <w:pPr>
              <w:spacing w:after="0"/>
              <w:rPr>
                <w:sz w:val="15"/>
                <w:szCs w:val="15"/>
                <w:color w:val="auto"/>
              </w:rPr>
            </w:pPr>
          </w:p>
        </w:tc>
        <w:tc>
          <w:tcPr>
            <w:tcW w:w="540" w:type="dxa"/>
            <w:vAlign w:val="bottom"/>
          </w:tcPr>
          <w:p>
            <w:pPr>
              <w:jc w:val="right"/>
              <w:spacing w:after="0" w:line="181" w:lineRule="exact"/>
              <w:rPr>
                <w:sz w:val="20"/>
                <w:szCs w:val="20"/>
                <w:color w:val="auto"/>
              </w:rPr>
            </w:pPr>
            <w:r>
              <w:rPr>
                <w:rFonts w:ascii="Arial" w:cs="Arial" w:eastAsia="Arial" w:hAnsi="Arial"/>
                <w:sz w:val="18"/>
                <w:szCs w:val="18"/>
                <w:color w:val="auto"/>
              </w:rPr>
              <w:t>191</w:t>
            </w:r>
          </w:p>
        </w:tc>
        <w:tc>
          <w:tcPr>
            <w:tcW w:w="0" w:type="dxa"/>
            <w:vAlign w:val="bottom"/>
          </w:tcPr>
          <w:p>
            <w:pPr>
              <w:spacing w:after="0"/>
              <w:rPr>
                <w:sz w:val="1"/>
                <w:szCs w:val="1"/>
                <w:color w:val="auto"/>
              </w:rPr>
            </w:pPr>
          </w:p>
        </w:tc>
      </w:tr>
      <w:tr>
        <w:trPr>
          <w:trHeight w:val="221"/>
        </w:trPr>
        <w:tc>
          <w:tcPr>
            <w:tcW w:w="3440" w:type="dxa"/>
            <w:vAlign w:val="bottom"/>
            <w:tcBorders>
              <w:bottom w:val="single" w:sz="8" w:color="auto"/>
            </w:tcBorders>
          </w:tcPr>
          <w:p>
            <w:pPr>
              <w:ind w:left="20"/>
              <w:spacing w:after="0"/>
              <w:rPr>
                <w:sz w:val="20"/>
                <w:szCs w:val="20"/>
                <w:color w:val="auto"/>
              </w:rPr>
            </w:pPr>
            <w:r>
              <w:rPr>
                <w:rFonts w:ascii="Arial" w:cs="Arial" w:eastAsia="Arial" w:hAnsi="Arial"/>
                <w:sz w:val="18"/>
                <w:szCs w:val="18"/>
                <w:color w:val="auto"/>
              </w:rPr>
              <w:t>Nondeductible accruals and other</w:t>
            </w:r>
          </w:p>
        </w:tc>
        <w:tc>
          <w:tcPr>
            <w:tcW w:w="400" w:type="dxa"/>
            <w:vAlign w:val="bottom"/>
            <w:tcBorders>
              <w:bottom w:val="single" w:sz="8" w:color="auto"/>
            </w:tcBorders>
          </w:tcPr>
          <w:p>
            <w:pPr>
              <w:spacing w:after="0"/>
              <w:rPr>
                <w:sz w:val="19"/>
                <w:szCs w:val="19"/>
                <w:color w:val="auto"/>
              </w:rPr>
            </w:pPr>
          </w:p>
        </w:tc>
        <w:tc>
          <w:tcPr>
            <w:tcW w:w="780" w:type="dxa"/>
            <w:vAlign w:val="bottom"/>
            <w:tcBorders>
              <w:bottom w:val="single" w:sz="8" w:color="auto"/>
            </w:tcBorders>
          </w:tcPr>
          <w:p>
            <w:pPr>
              <w:jc w:val="right"/>
              <w:ind w:right="154"/>
              <w:spacing w:after="0"/>
              <w:rPr>
                <w:sz w:val="20"/>
                <w:szCs w:val="20"/>
                <w:color w:val="auto"/>
              </w:rPr>
            </w:pPr>
            <w:r>
              <w:rPr>
                <w:rFonts w:ascii="Arial" w:cs="Arial" w:eastAsia="Arial" w:hAnsi="Arial"/>
                <w:sz w:val="18"/>
                <w:szCs w:val="18"/>
                <w:b w:val="1"/>
                <w:bCs w:val="1"/>
                <w:color w:val="auto"/>
              </w:rPr>
              <w:t>742</w:t>
            </w:r>
          </w:p>
        </w:tc>
        <w:tc>
          <w:tcPr>
            <w:tcW w:w="320" w:type="dxa"/>
            <w:vAlign w:val="bottom"/>
            <w:tcBorders>
              <w:bottom w:val="single" w:sz="8" w:color="auto"/>
            </w:tcBorders>
          </w:tcPr>
          <w:p>
            <w:pPr>
              <w:spacing w:after="0"/>
              <w:rPr>
                <w:sz w:val="19"/>
                <w:szCs w:val="19"/>
                <w:color w:val="auto"/>
              </w:rPr>
            </w:pPr>
          </w:p>
        </w:tc>
        <w:tc>
          <w:tcPr>
            <w:tcW w:w="5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904</w:t>
            </w:r>
          </w:p>
        </w:tc>
        <w:tc>
          <w:tcPr>
            <w:tcW w:w="0" w:type="dxa"/>
            <w:vAlign w:val="bottom"/>
          </w:tcPr>
          <w:p>
            <w:pPr>
              <w:spacing w:after="0"/>
              <w:rPr>
                <w:sz w:val="1"/>
                <w:szCs w:val="1"/>
                <w:color w:val="auto"/>
              </w:rPr>
            </w:pPr>
          </w:p>
        </w:tc>
      </w:tr>
      <w:tr>
        <w:trPr>
          <w:trHeight w:val="196"/>
        </w:trPr>
        <w:tc>
          <w:tcPr>
            <w:tcW w:w="3440" w:type="dxa"/>
            <w:vAlign w:val="bottom"/>
            <w:tcBorders>
              <w:bottom w:val="single" w:sz="8" w:color="35BF85"/>
            </w:tcBorders>
          </w:tcPr>
          <w:p>
            <w:pPr>
              <w:spacing w:after="0"/>
              <w:rPr>
                <w:sz w:val="17"/>
                <w:szCs w:val="17"/>
                <w:color w:val="auto"/>
              </w:rPr>
            </w:pPr>
          </w:p>
        </w:tc>
        <w:tc>
          <w:tcPr>
            <w:tcW w:w="400" w:type="dxa"/>
            <w:vAlign w:val="bottom"/>
            <w:tcBorders>
              <w:bottom w:val="single" w:sz="8" w:color="35BF85"/>
            </w:tcBorders>
          </w:tcPr>
          <w:p>
            <w:pPr>
              <w:spacing w:after="0"/>
              <w:rPr>
                <w:sz w:val="17"/>
                <w:szCs w:val="17"/>
                <w:color w:val="auto"/>
              </w:rPr>
            </w:pPr>
          </w:p>
        </w:tc>
        <w:tc>
          <w:tcPr>
            <w:tcW w:w="780" w:type="dxa"/>
            <w:vAlign w:val="bottom"/>
            <w:tcBorders>
              <w:bottom w:val="single" w:sz="8" w:color="35BF85"/>
            </w:tcBorders>
          </w:tcPr>
          <w:p>
            <w:pPr>
              <w:jc w:val="right"/>
              <w:ind w:right="154"/>
              <w:spacing w:after="0" w:line="196" w:lineRule="exact"/>
              <w:rPr>
                <w:sz w:val="20"/>
                <w:szCs w:val="20"/>
                <w:color w:val="auto"/>
              </w:rPr>
            </w:pPr>
            <w:r>
              <w:rPr>
                <w:rFonts w:ascii="Arial" w:cs="Arial" w:eastAsia="Arial" w:hAnsi="Arial"/>
                <w:sz w:val="18"/>
                <w:szCs w:val="18"/>
                <w:b w:val="1"/>
                <w:bCs w:val="1"/>
                <w:color w:val="auto"/>
              </w:rPr>
              <w:t>1,228</w:t>
            </w:r>
          </w:p>
        </w:tc>
        <w:tc>
          <w:tcPr>
            <w:tcW w:w="320" w:type="dxa"/>
            <w:vAlign w:val="bottom"/>
            <w:tcBorders>
              <w:bottom w:val="single" w:sz="8" w:color="35BF85"/>
            </w:tcBorders>
          </w:tcPr>
          <w:p>
            <w:pPr>
              <w:spacing w:after="0"/>
              <w:rPr>
                <w:sz w:val="17"/>
                <w:szCs w:val="17"/>
                <w:color w:val="auto"/>
              </w:rPr>
            </w:pPr>
          </w:p>
        </w:tc>
        <w:tc>
          <w:tcPr>
            <w:tcW w:w="540" w:type="dxa"/>
            <w:vAlign w:val="bottom"/>
            <w:tcBorders>
              <w:bottom w:val="single" w:sz="8" w:color="35BF85"/>
            </w:tcBorders>
          </w:tcPr>
          <w:p>
            <w:pPr>
              <w:jc w:val="right"/>
              <w:spacing w:after="0" w:line="196" w:lineRule="exact"/>
              <w:rPr>
                <w:sz w:val="20"/>
                <w:szCs w:val="20"/>
                <w:color w:val="auto"/>
              </w:rPr>
            </w:pPr>
            <w:r>
              <w:rPr>
                <w:rFonts w:ascii="Arial" w:cs="Arial" w:eastAsia="Arial" w:hAnsi="Arial"/>
                <w:sz w:val="18"/>
                <w:szCs w:val="18"/>
                <w:color w:val="auto"/>
              </w:rPr>
              <w:t>1,426</w:t>
            </w:r>
          </w:p>
        </w:tc>
        <w:tc>
          <w:tcPr>
            <w:tcW w:w="0" w:type="dxa"/>
            <w:vAlign w:val="bottom"/>
          </w:tcPr>
          <w:p>
            <w:pPr>
              <w:spacing w:after="0"/>
              <w:rPr>
                <w:sz w:val="1"/>
                <w:szCs w:val="1"/>
                <w:color w:val="auto"/>
              </w:rPr>
            </w:pPr>
          </w:p>
        </w:tc>
      </w:tr>
      <w:tr>
        <w:trPr>
          <w:trHeight w:val="199"/>
        </w:trPr>
        <w:tc>
          <w:tcPr>
            <w:tcW w:w="3440" w:type="dxa"/>
            <w:vAlign w:val="bottom"/>
          </w:tcPr>
          <w:p>
            <w:pPr>
              <w:ind w:left="20"/>
              <w:spacing w:after="0" w:line="200" w:lineRule="exact"/>
              <w:rPr>
                <w:sz w:val="20"/>
                <w:szCs w:val="20"/>
                <w:color w:val="auto"/>
              </w:rPr>
            </w:pPr>
            <w:r>
              <w:rPr>
                <w:rFonts w:ascii="Arial" w:cs="Arial" w:eastAsia="Arial" w:hAnsi="Arial"/>
                <w:sz w:val="18"/>
                <w:szCs w:val="18"/>
                <w:color w:val="auto"/>
              </w:rPr>
              <w:t>Deferred tax liabilities:</w:t>
            </w:r>
          </w:p>
        </w:tc>
        <w:tc>
          <w:tcPr>
            <w:tcW w:w="40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5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3440" w:type="dxa"/>
            <w:vAlign w:val="bottom"/>
          </w:tcPr>
          <w:p>
            <w:pPr>
              <w:ind w:left="20"/>
              <w:spacing w:after="0" w:line="202" w:lineRule="exact"/>
              <w:rPr>
                <w:sz w:val="20"/>
                <w:szCs w:val="20"/>
                <w:color w:val="auto"/>
              </w:rPr>
            </w:pPr>
            <w:r>
              <w:rPr>
                <w:rFonts w:ascii="Arial" w:cs="Arial" w:eastAsia="Arial" w:hAnsi="Arial"/>
                <w:sz w:val="18"/>
                <w:szCs w:val="18"/>
                <w:color w:val="auto"/>
              </w:rPr>
              <w:t>Differences between book and tax basis</w:t>
            </w:r>
          </w:p>
        </w:tc>
        <w:tc>
          <w:tcPr>
            <w:tcW w:w="40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5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3440" w:type="dxa"/>
            <w:vAlign w:val="bottom"/>
          </w:tcPr>
          <w:p>
            <w:pPr>
              <w:ind w:left="220"/>
              <w:spacing w:after="0" w:line="202" w:lineRule="exact"/>
              <w:rPr>
                <w:sz w:val="20"/>
                <w:szCs w:val="20"/>
                <w:color w:val="auto"/>
              </w:rPr>
            </w:pPr>
            <w:r>
              <w:rPr>
                <w:rFonts w:ascii="Arial" w:cs="Arial" w:eastAsia="Arial" w:hAnsi="Arial"/>
                <w:sz w:val="18"/>
                <w:szCs w:val="18"/>
                <w:color w:val="auto"/>
              </w:rPr>
              <w:t>of property and equipment and</w:t>
            </w:r>
          </w:p>
        </w:tc>
        <w:tc>
          <w:tcPr>
            <w:tcW w:w="400" w:type="dxa"/>
            <w:vAlign w:val="bottom"/>
            <w:vMerge w:val="restart"/>
          </w:tcPr>
          <w:p>
            <w:pPr>
              <w:jc w:val="right"/>
              <w:spacing w:after="0"/>
              <w:rPr>
                <w:sz w:val="20"/>
                <w:szCs w:val="20"/>
                <w:color w:val="auto"/>
              </w:rPr>
            </w:pPr>
            <w:r>
              <w:rPr>
                <w:rFonts w:ascii="Arial" w:cs="Arial" w:eastAsia="Arial" w:hAnsi="Arial"/>
                <w:sz w:val="18"/>
                <w:szCs w:val="18"/>
                <w:b w:val="1"/>
                <w:bCs w:val="1"/>
                <w:color w:val="auto"/>
              </w:rPr>
              <w:t>$</w:t>
            </w:r>
          </w:p>
        </w:tc>
        <w:tc>
          <w:tcPr>
            <w:tcW w:w="780" w:type="dxa"/>
            <w:vAlign w:val="bottom"/>
            <w:vMerge w:val="restart"/>
          </w:tcPr>
          <w:p>
            <w:pPr>
              <w:jc w:val="right"/>
              <w:ind w:right="154"/>
              <w:spacing w:after="0"/>
              <w:rPr>
                <w:sz w:val="20"/>
                <w:szCs w:val="20"/>
                <w:color w:val="auto"/>
              </w:rPr>
            </w:pPr>
            <w:r>
              <w:rPr>
                <w:rFonts w:ascii="Arial" w:cs="Arial" w:eastAsia="Arial" w:hAnsi="Arial"/>
                <w:sz w:val="18"/>
                <w:szCs w:val="18"/>
                <w:b w:val="1"/>
                <w:bCs w:val="1"/>
                <w:color w:val="auto"/>
                <w:w w:val="94"/>
              </w:rPr>
              <w:t>25,527</w:t>
            </w:r>
          </w:p>
        </w:tc>
        <w:tc>
          <w:tcPr>
            <w:tcW w:w="320" w:type="dxa"/>
            <w:vAlign w:val="bottom"/>
          </w:tcPr>
          <w:p>
            <w:pPr>
              <w:spacing w:after="0"/>
              <w:rPr>
                <w:sz w:val="17"/>
                <w:szCs w:val="17"/>
                <w:color w:val="auto"/>
              </w:rPr>
            </w:pPr>
          </w:p>
        </w:tc>
        <w:tc>
          <w:tcPr>
            <w:tcW w:w="5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3440" w:type="dxa"/>
            <w:vAlign w:val="bottom"/>
          </w:tcPr>
          <w:p>
            <w:pPr>
              <w:ind w:left="220"/>
              <w:spacing w:after="0" w:line="202" w:lineRule="exact"/>
              <w:rPr>
                <w:sz w:val="20"/>
                <w:szCs w:val="20"/>
                <w:color w:val="auto"/>
              </w:rPr>
            </w:pPr>
            <w:r>
              <w:rPr>
                <w:rFonts w:ascii="Arial" w:cs="Arial" w:eastAsia="Arial" w:hAnsi="Arial"/>
                <w:sz w:val="18"/>
                <w:szCs w:val="18"/>
                <w:color w:val="auto"/>
              </w:rPr>
              <w:t>intangible assets</w:t>
            </w:r>
          </w:p>
        </w:tc>
        <w:tc>
          <w:tcPr>
            <w:tcW w:w="400" w:type="dxa"/>
            <w:vAlign w:val="bottom"/>
            <w:vMerge w:val="continue"/>
          </w:tcPr>
          <w:p>
            <w:pPr>
              <w:spacing w:after="0"/>
              <w:rPr>
                <w:sz w:val="17"/>
                <w:szCs w:val="17"/>
                <w:color w:val="auto"/>
              </w:rPr>
            </w:pPr>
          </w:p>
        </w:tc>
        <w:tc>
          <w:tcPr>
            <w:tcW w:w="780" w:type="dxa"/>
            <w:vAlign w:val="bottom"/>
            <w:vMerge w:val="continue"/>
          </w:tcPr>
          <w:p>
            <w:pPr>
              <w:spacing w:after="0"/>
              <w:rPr>
                <w:sz w:val="17"/>
                <w:szCs w:val="17"/>
                <w:color w:val="auto"/>
              </w:rPr>
            </w:pPr>
          </w:p>
        </w:tc>
        <w:tc>
          <w:tcPr>
            <w:tcW w:w="320" w:type="dxa"/>
            <w:vAlign w:val="bottom"/>
          </w:tcPr>
          <w:p>
            <w:pPr>
              <w:jc w:val="right"/>
              <w:spacing w:after="0" w:line="202" w:lineRule="exact"/>
              <w:rPr>
                <w:sz w:val="20"/>
                <w:szCs w:val="20"/>
                <w:color w:val="auto"/>
              </w:rPr>
            </w:pPr>
            <w:r>
              <w:rPr>
                <w:rFonts w:ascii="Arial" w:cs="Arial" w:eastAsia="Arial" w:hAnsi="Arial"/>
                <w:sz w:val="18"/>
                <w:szCs w:val="18"/>
                <w:color w:val="auto"/>
              </w:rPr>
              <w:t>$</w:t>
            </w:r>
          </w:p>
        </w:tc>
        <w:tc>
          <w:tcPr>
            <w:tcW w:w="540" w:type="dxa"/>
            <w:vAlign w:val="bottom"/>
          </w:tcPr>
          <w:p>
            <w:pPr>
              <w:jc w:val="right"/>
              <w:spacing w:after="0" w:line="202" w:lineRule="exact"/>
              <w:rPr>
                <w:sz w:val="20"/>
                <w:szCs w:val="20"/>
                <w:color w:val="auto"/>
              </w:rPr>
            </w:pPr>
            <w:r>
              <w:rPr>
                <w:rFonts w:ascii="Arial" w:cs="Arial" w:eastAsia="Arial" w:hAnsi="Arial"/>
                <w:sz w:val="18"/>
                <w:szCs w:val="18"/>
                <w:color w:val="auto"/>
                <w:w w:val="94"/>
              </w:rPr>
              <w:t>23,712</w:t>
            </w:r>
          </w:p>
        </w:tc>
        <w:tc>
          <w:tcPr>
            <w:tcW w:w="0" w:type="dxa"/>
            <w:vAlign w:val="bottom"/>
          </w:tcPr>
          <w:p>
            <w:pPr>
              <w:spacing w:after="0"/>
              <w:rPr>
                <w:sz w:val="1"/>
                <w:szCs w:val="1"/>
                <w:color w:val="auto"/>
              </w:rPr>
            </w:pPr>
          </w:p>
        </w:tc>
      </w:tr>
      <w:tr>
        <w:trPr>
          <w:trHeight w:val="203"/>
        </w:trPr>
        <w:tc>
          <w:tcPr>
            <w:tcW w:w="3440" w:type="dxa"/>
            <w:vAlign w:val="bottom"/>
          </w:tcPr>
          <w:p>
            <w:pPr>
              <w:ind w:left="20"/>
              <w:spacing w:after="0" w:line="202" w:lineRule="exact"/>
              <w:rPr>
                <w:sz w:val="20"/>
                <w:szCs w:val="20"/>
                <w:color w:val="auto"/>
              </w:rPr>
            </w:pPr>
            <w:r>
              <w:rPr>
                <w:rFonts w:ascii="Arial" w:cs="Arial" w:eastAsia="Arial" w:hAnsi="Arial"/>
                <w:sz w:val="18"/>
                <w:szCs w:val="18"/>
                <w:color w:val="auto"/>
              </w:rPr>
              <w:t>Differences between book and tax basis</w:t>
            </w:r>
          </w:p>
        </w:tc>
        <w:tc>
          <w:tcPr>
            <w:tcW w:w="400" w:type="dxa"/>
            <w:vAlign w:val="bottom"/>
          </w:tcPr>
          <w:p>
            <w:pPr>
              <w:spacing w:after="0"/>
              <w:rPr>
                <w:sz w:val="17"/>
                <w:szCs w:val="17"/>
                <w:color w:val="auto"/>
              </w:rPr>
            </w:pPr>
          </w:p>
        </w:tc>
        <w:tc>
          <w:tcPr>
            <w:tcW w:w="780" w:type="dxa"/>
            <w:vAlign w:val="bottom"/>
            <w:vMerge w:val="restart"/>
          </w:tcPr>
          <w:p>
            <w:pPr>
              <w:jc w:val="right"/>
              <w:ind w:right="154"/>
              <w:spacing w:after="0"/>
              <w:rPr>
                <w:sz w:val="20"/>
                <w:szCs w:val="20"/>
                <w:color w:val="auto"/>
              </w:rPr>
            </w:pPr>
            <w:r>
              <w:rPr>
                <w:rFonts w:ascii="Arial" w:cs="Arial" w:eastAsia="Arial" w:hAnsi="Arial"/>
                <w:sz w:val="18"/>
                <w:szCs w:val="18"/>
                <w:b w:val="1"/>
                <w:bCs w:val="1"/>
                <w:color w:val="auto"/>
              </w:rPr>
              <w:t>2,633</w:t>
            </w:r>
          </w:p>
        </w:tc>
        <w:tc>
          <w:tcPr>
            <w:tcW w:w="320" w:type="dxa"/>
            <w:vAlign w:val="bottom"/>
          </w:tcPr>
          <w:p>
            <w:pPr>
              <w:spacing w:after="0"/>
              <w:rPr>
                <w:sz w:val="17"/>
                <w:szCs w:val="17"/>
                <w:color w:val="auto"/>
              </w:rPr>
            </w:pPr>
          </w:p>
        </w:tc>
        <w:tc>
          <w:tcPr>
            <w:tcW w:w="5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3440" w:type="dxa"/>
            <w:vAlign w:val="bottom"/>
          </w:tcPr>
          <w:p>
            <w:pPr>
              <w:ind w:left="220"/>
              <w:spacing w:after="0" w:line="202" w:lineRule="exact"/>
              <w:rPr>
                <w:sz w:val="20"/>
                <w:szCs w:val="20"/>
                <w:color w:val="auto"/>
              </w:rPr>
            </w:pPr>
            <w:r>
              <w:rPr>
                <w:rFonts w:ascii="Arial" w:cs="Arial" w:eastAsia="Arial" w:hAnsi="Arial"/>
                <w:sz w:val="18"/>
                <w:szCs w:val="18"/>
                <w:color w:val="auto"/>
              </w:rPr>
              <w:t>of investments</w:t>
            </w:r>
          </w:p>
        </w:tc>
        <w:tc>
          <w:tcPr>
            <w:tcW w:w="400" w:type="dxa"/>
            <w:vAlign w:val="bottom"/>
          </w:tcPr>
          <w:p>
            <w:pPr>
              <w:spacing w:after="0"/>
              <w:rPr>
                <w:sz w:val="17"/>
                <w:szCs w:val="17"/>
                <w:color w:val="auto"/>
              </w:rPr>
            </w:pPr>
          </w:p>
        </w:tc>
        <w:tc>
          <w:tcPr>
            <w:tcW w:w="780" w:type="dxa"/>
            <w:vAlign w:val="bottom"/>
            <w:vMerge w:val="continue"/>
          </w:tcPr>
          <w:p>
            <w:pPr>
              <w:spacing w:after="0"/>
              <w:rPr>
                <w:sz w:val="17"/>
                <w:szCs w:val="17"/>
                <w:color w:val="auto"/>
              </w:rPr>
            </w:pPr>
          </w:p>
        </w:tc>
        <w:tc>
          <w:tcPr>
            <w:tcW w:w="320" w:type="dxa"/>
            <w:vAlign w:val="bottom"/>
          </w:tcPr>
          <w:p>
            <w:pPr>
              <w:spacing w:after="0"/>
              <w:rPr>
                <w:sz w:val="17"/>
                <w:szCs w:val="17"/>
                <w:color w:val="auto"/>
              </w:rPr>
            </w:pPr>
          </w:p>
        </w:tc>
        <w:tc>
          <w:tcPr>
            <w:tcW w:w="540" w:type="dxa"/>
            <w:vAlign w:val="bottom"/>
          </w:tcPr>
          <w:p>
            <w:pPr>
              <w:jc w:val="right"/>
              <w:spacing w:after="0" w:line="202" w:lineRule="exact"/>
              <w:rPr>
                <w:sz w:val="20"/>
                <w:szCs w:val="20"/>
                <w:color w:val="auto"/>
              </w:rPr>
            </w:pPr>
            <w:r>
              <w:rPr>
                <w:rFonts w:ascii="Arial" w:cs="Arial" w:eastAsia="Arial" w:hAnsi="Arial"/>
                <w:sz w:val="18"/>
                <w:szCs w:val="18"/>
                <w:color w:val="auto"/>
              </w:rPr>
              <w:t>4,442</w:t>
            </w:r>
          </w:p>
        </w:tc>
        <w:tc>
          <w:tcPr>
            <w:tcW w:w="0" w:type="dxa"/>
            <w:vAlign w:val="bottom"/>
          </w:tcPr>
          <w:p>
            <w:pPr>
              <w:spacing w:after="0"/>
              <w:rPr>
                <w:sz w:val="1"/>
                <w:szCs w:val="1"/>
                <w:color w:val="auto"/>
              </w:rPr>
            </w:pPr>
          </w:p>
        </w:tc>
      </w:tr>
      <w:tr>
        <w:trPr>
          <w:trHeight w:val="203"/>
        </w:trPr>
        <w:tc>
          <w:tcPr>
            <w:tcW w:w="3440" w:type="dxa"/>
            <w:vAlign w:val="bottom"/>
          </w:tcPr>
          <w:p>
            <w:pPr>
              <w:ind w:left="20"/>
              <w:spacing w:after="0" w:line="202" w:lineRule="exact"/>
              <w:rPr>
                <w:sz w:val="20"/>
                <w:szCs w:val="20"/>
                <w:color w:val="auto"/>
              </w:rPr>
            </w:pPr>
            <w:r>
              <w:rPr>
                <w:rFonts w:ascii="Arial" w:cs="Arial" w:eastAsia="Arial" w:hAnsi="Arial"/>
                <w:sz w:val="18"/>
                <w:szCs w:val="18"/>
                <w:color w:val="auto"/>
              </w:rPr>
              <w:t>Differences between book and tax basis</w:t>
            </w:r>
          </w:p>
        </w:tc>
        <w:tc>
          <w:tcPr>
            <w:tcW w:w="400" w:type="dxa"/>
            <w:vAlign w:val="bottom"/>
          </w:tcPr>
          <w:p>
            <w:pPr>
              <w:spacing w:after="0"/>
              <w:rPr>
                <w:sz w:val="17"/>
                <w:szCs w:val="17"/>
                <w:color w:val="auto"/>
              </w:rPr>
            </w:pPr>
          </w:p>
        </w:tc>
        <w:tc>
          <w:tcPr>
            <w:tcW w:w="780" w:type="dxa"/>
            <w:vAlign w:val="bottom"/>
            <w:vMerge w:val="restart"/>
          </w:tcPr>
          <w:p>
            <w:pPr>
              <w:jc w:val="right"/>
              <w:ind w:right="154"/>
              <w:spacing w:after="0"/>
              <w:rPr>
                <w:sz w:val="20"/>
                <w:szCs w:val="20"/>
                <w:color w:val="auto"/>
              </w:rPr>
            </w:pPr>
            <w:r>
              <w:rPr>
                <w:rFonts w:ascii="Arial" w:cs="Arial" w:eastAsia="Arial" w:hAnsi="Arial"/>
                <w:sz w:val="18"/>
                <w:szCs w:val="18"/>
                <w:b w:val="1"/>
                <w:bCs w:val="1"/>
                <w:color w:val="auto"/>
              </w:rPr>
              <w:t>720</w:t>
            </w:r>
          </w:p>
        </w:tc>
        <w:tc>
          <w:tcPr>
            <w:tcW w:w="320" w:type="dxa"/>
            <w:vAlign w:val="bottom"/>
          </w:tcPr>
          <w:p>
            <w:pPr>
              <w:spacing w:after="0"/>
              <w:rPr>
                <w:sz w:val="17"/>
                <w:szCs w:val="17"/>
                <w:color w:val="auto"/>
              </w:rPr>
            </w:pPr>
          </w:p>
        </w:tc>
        <w:tc>
          <w:tcPr>
            <w:tcW w:w="5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9"/>
        </w:trPr>
        <w:tc>
          <w:tcPr>
            <w:tcW w:w="3440" w:type="dxa"/>
            <w:vAlign w:val="bottom"/>
            <w:tcBorders>
              <w:bottom w:val="single" w:sz="8" w:color="auto"/>
            </w:tcBorders>
          </w:tcPr>
          <w:p>
            <w:pPr>
              <w:ind w:left="220"/>
              <w:spacing w:after="0" w:line="200" w:lineRule="exact"/>
              <w:rPr>
                <w:sz w:val="20"/>
                <w:szCs w:val="20"/>
                <w:color w:val="auto"/>
              </w:rPr>
            </w:pPr>
            <w:r>
              <w:rPr>
                <w:rFonts w:ascii="Arial" w:cs="Arial" w:eastAsia="Arial" w:hAnsi="Arial"/>
                <w:sz w:val="18"/>
                <w:szCs w:val="18"/>
                <w:color w:val="auto"/>
              </w:rPr>
              <w:t>of indexed debt securities</w:t>
            </w:r>
          </w:p>
        </w:tc>
        <w:tc>
          <w:tcPr>
            <w:tcW w:w="400" w:type="dxa"/>
            <w:vAlign w:val="bottom"/>
            <w:tcBorders>
              <w:bottom w:val="single" w:sz="8" w:color="auto"/>
            </w:tcBorders>
          </w:tcPr>
          <w:p>
            <w:pPr>
              <w:spacing w:after="0"/>
              <w:rPr>
                <w:sz w:val="17"/>
                <w:szCs w:val="17"/>
                <w:color w:val="auto"/>
              </w:rPr>
            </w:pPr>
          </w:p>
        </w:tc>
        <w:tc>
          <w:tcPr>
            <w:tcW w:w="780" w:type="dxa"/>
            <w:vAlign w:val="bottom"/>
            <w:tcBorders>
              <w:bottom w:val="single" w:sz="8" w:color="auto"/>
            </w:tcBorders>
            <w:vMerge w:val="continue"/>
          </w:tcPr>
          <w:p>
            <w:pPr>
              <w:spacing w:after="0"/>
              <w:rPr>
                <w:sz w:val="17"/>
                <w:szCs w:val="17"/>
                <w:color w:val="auto"/>
              </w:rPr>
            </w:pPr>
          </w:p>
        </w:tc>
        <w:tc>
          <w:tcPr>
            <w:tcW w:w="320" w:type="dxa"/>
            <w:vAlign w:val="bottom"/>
            <w:tcBorders>
              <w:bottom w:val="single" w:sz="8" w:color="auto"/>
            </w:tcBorders>
          </w:tcPr>
          <w:p>
            <w:pPr>
              <w:spacing w:after="0"/>
              <w:rPr>
                <w:sz w:val="17"/>
                <w:szCs w:val="17"/>
                <w:color w:val="auto"/>
              </w:rPr>
            </w:pPr>
          </w:p>
        </w:tc>
        <w:tc>
          <w:tcPr>
            <w:tcW w:w="540" w:type="dxa"/>
            <w:vAlign w:val="bottom"/>
            <w:tcBorders>
              <w:bottom w:val="single" w:sz="8" w:color="auto"/>
            </w:tcBorders>
          </w:tcPr>
          <w:p>
            <w:pPr>
              <w:jc w:val="right"/>
              <w:spacing w:after="0" w:line="200" w:lineRule="exact"/>
              <w:rPr>
                <w:sz w:val="20"/>
                <w:szCs w:val="20"/>
                <w:color w:val="auto"/>
              </w:rPr>
            </w:pPr>
            <w:r>
              <w:rPr>
                <w:rFonts w:ascii="Arial" w:cs="Arial" w:eastAsia="Arial" w:hAnsi="Arial"/>
                <w:sz w:val="18"/>
                <w:szCs w:val="18"/>
                <w:color w:val="auto"/>
              </w:rPr>
              <w:t>644</w:t>
            </w:r>
          </w:p>
        </w:tc>
        <w:tc>
          <w:tcPr>
            <w:tcW w:w="0" w:type="dxa"/>
            <w:vAlign w:val="bottom"/>
          </w:tcPr>
          <w:p>
            <w:pPr>
              <w:spacing w:after="0"/>
              <w:rPr>
                <w:sz w:val="1"/>
                <w:szCs w:val="1"/>
                <w:color w:val="auto"/>
              </w:rPr>
            </w:pPr>
          </w:p>
        </w:tc>
      </w:tr>
      <w:tr>
        <w:trPr>
          <w:trHeight w:val="196"/>
        </w:trPr>
        <w:tc>
          <w:tcPr>
            <w:tcW w:w="3440" w:type="dxa"/>
            <w:vAlign w:val="bottom"/>
            <w:tcBorders>
              <w:bottom w:val="single" w:sz="8" w:color="auto"/>
            </w:tcBorders>
          </w:tcPr>
          <w:p>
            <w:pPr>
              <w:spacing w:after="0"/>
              <w:rPr>
                <w:sz w:val="17"/>
                <w:szCs w:val="17"/>
                <w:color w:val="auto"/>
              </w:rPr>
            </w:pPr>
          </w:p>
        </w:tc>
        <w:tc>
          <w:tcPr>
            <w:tcW w:w="400" w:type="dxa"/>
            <w:vAlign w:val="bottom"/>
            <w:tcBorders>
              <w:bottom w:val="single" w:sz="8" w:color="auto"/>
            </w:tcBorders>
          </w:tcPr>
          <w:p>
            <w:pPr>
              <w:spacing w:after="0"/>
              <w:rPr>
                <w:sz w:val="17"/>
                <w:szCs w:val="17"/>
                <w:color w:val="auto"/>
              </w:rPr>
            </w:pPr>
          </w:p>
        </w:tc>
        <w:tc>
          <w:tcPr>
            <w:tcW w:w="780" w:type="dxa"/>
            <w:vAlign w:val="bottom"/>
            <w:tcBorders>
              <w:bottom w:val="single" w:sz="8" w:color="auto"/>
            </w:tcBorders>
          </w:tcPr>
          <w:p>
            <w:pPr>
              <w:jc w:val="right"/>
              <w:ind w:right="154"/>
              <w:spacing w:after="0" w:line="196" w:lineRule="exact"/>
              <w:rPr>
                <w:sz w:val="20"/>
                <w:szCs w:val="20"/>
                <w:color w:val="auto"/>
              </w:rPr>
            </w:pPr>
            <w:r>
              <w:rPr>
                <w:rFonts w:ascii="Arial" w:cs="Arial" w:eastAsia="Arial" w:hAnsi="Arial"/>
                <w:sz w:val="18"/>
                <w:szCs w:val="18"/>
                <w:b w:val="1"/>
                <w:bCs w:val="1"/>
                <w:color w:val="auto"/>
                <w:w w:val="94"/>
              </w:rPr>
              <w:t>28,880</w:t>
            </w:r>
          </w:p>
        </w:tc>
        <w:tc>
          <w:tcPr>
            <w:tcW w:w="320" w:type="dxa"/>
            <w:vAlign w:val="bottom"/>
            <w:tcBorders>
              <w:bottom w:val="single" w:sz="8" w:color="auto"/>
            </w:tcBorders>
          </w:tcPr>
          <w:p>
            <w:pPr>
              <w:spacing w:after="0"/>
              <w:rPr>
                <w:sz w:val="17"/>
                <w:szCs w:val="17"/>
                <w:color w:val="auto"/>
              </w:rPr>
            </w:pPr>
          </w:p>
        </w:tc>
        <w:tc>
          <w:tcPr>
            <w:tcW w:w="540" w:type="dxa"/>
            <w:vAlign w:val="bottom"/>
            <w:tcBorders>
              <w:bottom w:val="single" w:sz="8" w:color="auto"/>
            </w:tcBorders>
          </w:tcPr>
          <w:p>
            <w:pPr>
              <w:jc w:val="right"/>
              <w:spacing w:after="0" w:line="196" w:lineRule="exact"/>
              <w:rPr>
                <w:sz w:val="20"/>
                <w:szCs w:val="20"/>
                <w:color w:val="auto"/>
              </w:rPr>
            </w:pPr>
            <w:r>
              <w:rPr>
                <w:rFonts w:ascii="Arial" w:cs="Arial" w:eastAsia="Arial" w:hAnsi="Arial"/>
                <w:sz w:val="18"/>
                <w:szCs w:val="18"/>
                <w:color w:val="auto"/>
                <w:w w:val="94"/>
              </w:rPr>
              <w:t>28,798</w:t>
            </w:r>
          </w:p>
        </w:tc>
        <w:tc>
          <w:tcPr>
            <w:tcW w:w="0" w:type="dxa"/>
            <w:vAlign w:val="bottom"/>
          </w:tcPr>
          <w:p>
            <w:pPr>
              <w:spacing w:after="0"/>
              <w:rPr>
                <w:sz w:val="1"/>
                <w:szCs w:val="1"/>
                <w:color w:val="auto"/>
              </w:rPr>
            </w:pPr>
          </w:p>
        </w:tc>
      </w:tr>
      <w:tr>
        <w:trPr>
          <w:trHeight w:val="196"/>
        </w:trPr>
        <w:tc>
          <w:tcPr>
            <w:tcW w:w="3440" w:type="dxa"/>
            <w:vAlign w:val="bottom"/>
            <w:tcBorders>
              <w:bottom w:val="single" w:sz="8" w:color="35BF85"/>
            </w:tcBorders>
          </w:tcPr>
          <w:p>
            <w:pPr>
              <w:ind w:left="20"/>
              <w:spacing w:after="0" w:line="196" w:lineRule="exact"/>
              <w:rPr>
                <w:sz w:val="20"/>
                <w:szCs w:val="20"/>
                <w:color w:val="auto"/>
              </w:rPr>
            </w:pPr>
            <w:r>
              <w:rPr>
                <w:rFonts w:ascii="Arial" w:cs="Arial" w:eastAsia="Arial" w:hAnsi="Arial"/>
                <w:sz w:val="18"/>
                <w:szCs w:val="18"/>
                <w:color w:val="auto"/>
              </w:rPr>
              <w:t>Net deferred tax liability</w:t>
            </w:r>
          </w:p>
        </w:tc>
        <w:tc>
          <w:tcPr>
            <w:tcW w:w="400" w:type="dxa"/>
            <w:vAlign w:val="bottom"/>
            <w:tcBorders>
              <w:bottom w:val="single" w:sz="8" w:color="35BF85"/>
            </w:tcBorders>
          </w:tcPr>
          <w:p>
            <w:pPr>
              <w:jc w:val="right"/>
              <w:spacing w:after="0" w:line="196" w:lineRule="exact"/>
              <w:rPr>
                <w:sz w:val="20"/>
                <w:szCs w:val="20"/>
                <w:color w:val="auto"/>
              </w:rPr>
            </w:pPr>
            <w:r>
              <w:rPr>
                <w:rFonts w:ascii="Arial" w:cs="Arial" w:eastAsia="Arial" w:hAnsi="Arial"/>
                <w:sz w:val="18"/>
                <w:szCs w:val="18"/>
                <w:b w:val="1"/>
                <w:bCs w:val="1"/>
                <w:color w:val="auto"/>
              </w:rPr>
              <w:t>$</w:t>
            </w:r>
          </w:p>
        </w:tc>
        <w:tc>
          <w:tcPr>
            <w:tcW w:w="780" w:type="dxa"/>
            <w:vAlign w:val="bottom"/>
            <w:tcBorders>
              <w:bottom w:val="single" w:sz="8" w:color="35BF85"/>
            </w:tcBorders>
          </w:tcPr>
          <w:p>
            <w:pPr>
              <w:jc w:val="right"/>
              <w:ind w:right="154"/>
              <w:spacing w:after="0" w:line="196" w:lineRule="exact"/>
              <w:rPr>
                <w:sz w:val="20"/>
                <w:szCs w:val="20"/>
                <w:color w:val="auto"/>
              </w:rPr>
            </w:pPr>
            <w:r>
              <w:rPr>
                <w:rFonts w:ascii="Arial" w:cs="Arial" w:eastAsia="Arial" w:hAnsi="Arial"/>
                <w:sz w:val="18"/>
                <w:szCs w:val="18"/>
                <w:b w:val="1"/>
                <w:bCs w:val="1"/>
                <w:color w:val="auto"/>
                <w:w w:val="94"/>
              </w:rPr>
              <w:t>27,652</w:t>
            </w:r>
          </w:p>
        </w:tc>
        <w:tc>
          <w:tcPr>
            <w:tcW w:w="320" w:type="dxa"/>
            <w:vAlign w:val="bottom"/>
            <w:tcBorders>
              <w:bottom w:val="single" w:sz="8" w:color="35BF85"/>
            </w:tcBorders>
          </w:tcPr>
          <w:p>
            <w:pPr>
              <w:jc w:val="right"/>
              <w:spacing w:after="0" w:line="196" w:lineRule="exact"/>
              <w:rPr>
                <w:sz w:val="20"/>
                <w:szCs w:val="20"/>
                <w:color w:val="auto"/>
              </w:rPr>
            </w:pPr>
            <w:r>
              <w:rPr>
                <w:rFonts w:ascii="Arial" w:cs="Arial" w:eastAsia="Arial" w:hAnsi="Arial"/>
                <w:sz w:val="18"/>
                <w:szCs w:val="18"/>
                <w:color w:val="auto"/>
              </w:rPr>
              <w:t>$</w:t>
            </w:r>
          </w:p>
        </w:tc>
        <w:tc>
          <w:tcPr>
            <w:tcW w:w="540" w:type="dxa"/>
            <w:vAlign w:val="bottom"/>
            <w:tcBorders>
              <w:bottom w:val="single" w:sz="8" w:color="35BF85"/>
            </w:tcBorders>
          </w:tcPr>
          <w:p>
            <w:pPr>
              <w:jc w:val="right"/>
              <w:spacing w:after="0" w:line="196" w:lineRule="exact"/>
              <w:rPr>
                <w:sz w:val="20"/>
                <w:szCs w:val="20"/>
                <w:color w:val="auto"/>
              </w:rPr>
            </w:pPr>
            <w:r>
              <w:rPr>
                <w:rFonts w:ascii="Arial" w:cs="Arial" w:eastAsia="Arial" w:hAnsi="Arial"/>
                <w:sz w:val="18"/>
                <w:szCs w:val="18"/>
                <w:color w:val="auto"/>
                <w:w w:val="94"/>
              </w:rPr>
              <w:t>27,372</w:t>
            </w:r>
          </w:p>
        </w:tc>
        <w:tc>
          <w:tcPr>
            <w:tcW w:w="0" w:type="dxa"/>
            <w:vAlign w:val="bottom"/>
          </w:tcPr>
          <w:p>
            <w:pPr>
              <w:spacing w:after="0"/>
              <w:rPr>
                <w:sz w:val="1"/>
                <w:szCs w:val="1"/>
                <w:color w:val="auto"/>
              </w:rPr>
            </w:pPr>
          </w:p>
        </w:tc>
      </w:tr>
    </w:tbl>
    <w:p>
      <w:pPr>
        <w:spacing w:after="0" w:line="165" w:lineRule="exact"/>
        <w:rPr>
          <w:sz w:val="20"/>
          <w:szCs w:val="20"/>
          <w:color w:val="auto"/>
        </w:rPr>
      </w:pPr>
    </w:p>
    <w:p>
      <w:pPr>
        <w:jc w:val="both"/>
        <w:spacing w:after="0" w:line="236" w:lineRule="auto"/>
        <w:rPr>
          <w:rFonts w:ascii="Arial" w:cs="Arial" w:eastAsia="Arial" w:hAnsi="Arial"/>
          <w:sz w:val="18"/>
          <w:szCs w:val="18"/>
          <w:color w:val="0000EE"/>
        </w:rPr>
      </w:pPr>
      <w:r>
        <w:rPr>
          <w:rFonts w:ascii="Arial" w:cs="Arial" w:eastAsia="Arial" w:hAnsi="Arial"/>
          <w:sz w:val="18"/>
          <w:szCs w:val="18"/>
          <w:color w:val="auto"/>
        </w:rPr>
        <w:t xml:space="preserve">We recorded $(27) million and $319 million of deferred income tax liabilities (assets) in 2006 through income from discontinued operations and gain on discontinued operations, respectively. We decreased net deferred income tax liabilities by $474 million in 2006, principally in connection with the Adelphia and Time Warner transactions, the acquisition of the interest in E! Entertainment </w:t>
      </w:r>
      <w:hyperlink w:anchor="page126">
        <w:r>
          <w:rPr>
            <w:rFonts w:ascii="Arial" w:cs="Arial" w:eastAsia="Arial" w:hAnsi="Arial"/>
            <w:sz w:val="18"/>
            <w:szCs w:val="18"/>
            <w:color w:val="auto"/>
          </w:rPr>
          <w:t xml:space="preserve">Television that we did not already own and Susquehanna (see </w:t>
        </w:r>
        <w:r>
          <w:rPr>
            <w:rFonts w:ascii="Arial" w:cs="Arial" w:eastAsia="Arial" w:hAnsi="Arial"/>
            <w:sz w:val="18"/>
            <w:szCs w:val="18"/>
            <w:u w:val="single" w:color="auto"/>
            <w:color w:val="0000EE"/>
          </w:rPr>
          <w:t>Note</w:t>
        </w:r>
      </w:hyperlink>
      <w:r>
        <w:rPr>
          <w:rFonts w:ascii="Arial" w:cs="Arial" w:eastAsia="Arial" w:hAnsi="Arial"/>
          <w:sz w:val="18"/>
          <w:szCs w:val="18"/>
          <w:color w:val="auto"/>
        </w:rPr>
        <w:t xml:space="preserve"> </w:t>
      </w:r>
      <w:hyperlink w:anchor="page126">
        <w:r>
          <w:rPr>
            <w:rFonts w:ascii="Arial" w:cs="Arial" w:eastAsia="Arial" w:hAnsi="Arial"/>
            <w:sz w:val="18"/>
            <w:szCs w:val="18"/>
            <w:u w:val="single" w:color="auto"/>
            <w:color w:val="0000EE"/>
          </w:rPr>
          <w:t>5</w:t>
        </w:r>
        <w:r>
          <w:rPr>
            <w:rFonts w:ascii="Arial" w:cs="Arial" w:eastAsia="Arial" w:hAnsi="Arial"/>
            <w:sz w:val="18"/>
            <w:szCs w:val="18"/>
            <w:color w:val="000000"/>
          </w:rPr>
          <w:t>).</w:t>
        </w:r>
      </w:hyperlink>
    </w:p>
    <w:p>
      <w:pPr>
        <w:spacing w:after="0" w:line="154" w:lineRule="exact"/>
        <w:rPr>
          <w:sz w:val="20"/>
          <w:szCs w:val="20"/>
          <w:color w:val="auto"/>
        </w:rPr>
      </w:pPr>
    </w:p>
    <w:p>
      <w:pPr>
        <w:jc w:val="both"/>
        <w:spacing w:after="0" w:line="236" w:lineRule="auto"/>
        <w:rPr>
          <w:sz w:val="20"/>
          <w:szCs w:val="20"/>
          <w:color w:val="auto"/>
        </w:rPr>
      </w:pPr>
      <w:r>
        <w:rPr>
          <w:rFonts w:ascii="Arial" w:cs="Arial" w:eastAsia="Arial" w:hAnsi="Arial"/>
          <w:sz w:val="18"/>
          <w:szCs w:val="18"/>
          <w:color w:val="auto"/>
        </w:rPr>
        <w:t>We recorded an increase (decrease) of $79 million, $2 million and $(12) million to net deferred income tax liabilities in 2006, 2005 and 2004, respectively, in connection with unrealized gains (losses) on marketable securities, cash flow hedges and other amounts that are included in accumulated other comprehensive income (loss).</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63" w:lineRule="exact"/>
        <w:rPr>
          <w:sz w:val="20"/>
          <w:szCs w:val="20"/>
          <w:color w:val="auto"/>
        </w:rPr>
      </w:pPr>
    </w:p>
    <w:p>
      <w:pPr>
        <w:jc w:val="both"/>
        <w:spacing w:after="0" w:line="236" w:lineRule="auto"/>
        <w:rPr>
          <w:sz w:val="20"/>
          <w:szCs w:val="20"/>
          <w:color w:val="auto"/>
        </w:rPr>
      </w:pPr>
      <w:r>
        <w:rPr>
          <w:rFonts w:ascii="Arial" w:cs="Arial" w:eastAsia="Arial" w:hAnsi="Arial"/>
          <w:sz w:val="18"/>
          <w:szCs w:val="18"/>
          <w:color w:val="auto"/>
        </w:rPr>
        <w:t>Net deferred tax liabilities included in current liabilities are related primarily to our current investments. We have federal net operating loss carryforwards of $178 million and various state carryforwards that expire in periods through 2026. The determination of the state net operating loss carryforwards is dependent upon the subsidiaries’ taxable income or loss, apportionment percentages and other respective state laws that can change from year to year and impact the amount of such carryforward.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-3691890</wp:posOffset>
            </wp:positionH>
            <wp:positionV relativeFrom="paragraph">
              <wp:posOffset>-1670050</wp:posOffset>
            </wp:positionV>
            <wp:extent cx="7267575" cy="27940"/>
            <wp:wrapNone/>
            <wp:docPr id="207" name="Picture 2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7"/>
                    <pic:cNvPicPr>
                      <a:picLocks noChangeAspect="1" noChangeArrowheads="1"/>
                    </pic:cNvPicPr>
                  </pic:nvPicPr>
                  <pic:blipFill>
                    <a:blip r:embed="rId214">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p>
    <w:p>
      <w:pPr>
        <w:spacing w:after="0" w:line="134" w:lineRule="exact"/>
        <w:rPr>
          <w:sz w:val="20"/>
          <w:szCs w:val="20"/>
          <w:color w:val="auto"/>
        </w:rPr>
      </w:pPr>
    </w:p>
    <w:p>
      <w:pPr>
        <w:jc w:val="both"/>
        <w:spacing w:after="0" w:line="238" w:lineRule="auto"/>
        <w:rPr>
          <w:sz w:val="20"/>
          <w:szCs w:val="20"/>
          <w:color w:val="auto"/>
        </w:rPr>
      </w:pPr>
      <w:r>
        <w:rPr>
          <w:rFonts w:ascii="Arial" w:cs="Arial" w:eastAsia="Arial" w:hAnsi="Arial"/>
          <w:sz w:val="18"/>
          <w:szCs w:val="18"/>
          <w:color w:val="auto"/>
        </w:rPr>
        <w:t>In 2006, 2005 and 2004, income tax benefits attributable to share based compensation of approximately $60 million, $35 million and $80 million, respectively, were allocated to stockholders’ equity.</w:t>
      </w:r>
    </w:p>
    <w:p>
      <w:pPr>
        <w:spacing w:after="0" w:line="154" w:lineRule="exact"/>
        <w:rPr>
          <w:sz w:val="20"/>
          <w:szCs w:val="20"/>
          <w:color w:val="auto"/>
        </w:rPr>
      </w:pPr>
    </w:p>
    <w:p>
      <w:pPr>
        <w:jc w:val="both"/>
        <w:spacing w:after="0" w:line="238" w:lineRule="auto"/>
        <w:rPr>
          <w:sz w:val="20"/>
          <w:szCs w:val="20"/>
          <w:color w:val="auto"/>
        </w:rPr>
      </w:pPr>
      <w:r>
        <w:rPr>
          <w:rFonts w:ascii="Arial" w:cs="Arial" w:eastAsia="Arial" w:hAnsi="Arial"/>
          <w:sz w:val="18"/>
          <w:szCs w:val="18"/>
          <w:color w:val="auto"/>
        </w:rPr>
        <w:t>In the ordinary course of business, our tax returns, including those of acquired subsidiaries, are subject to examination by various taxing authorities.</w:t>
      </w:r>
    </w:p>
    <w:p>
      <w:pPr>
        <w:spacing w:after="0" w:line="154" w:lineRule="exact"/>
        <w:rPr>
          <w:sz w:val="20"/>
          <w:szCs w:val="20"/>
          <w:color w:val="auto"/>
        </w:rPr>
      </w:pPr>
    </w:p>
    <w:p>
      <w:pPr>
        <w:jc w:val="both"/>
        <w:spacing w:after="0" w:line="235" w:lineRule="auto"/>
        <w:rPr>
          <w:sz w:val="20"/>
          <w:szCs w:val="20"/>
          <w:color w:val="auto"/>
        </w:rPr>
      </w:pPr>
      <w:r>
        <w:rPr>
          <w:rFonts w:ascii="Arial" w:cs="Arial" w:eastAsia="Arial" w:hAnsi="Arial"/>
          <w:sz w:val="18"/>
          <w:szCs w:val="18"/>
          <w:color w:val="auto"/>
        </w:rPr>
        <w:t>In December 2004, the Internal Revenue Service concluded an examination of the tax returns of MediaOne Group, Inc., a subsidiary acquired in our 2002 acquisition of AT&amp;T Corp.’s cable business, for the period of 1996 through 2000. We received a notice of adjustment disallowing certain deductions, principally a $1.5 billion breakup fee paid by MediaOne in 1999. The National Office of the IRS has issued a Technical Advice Memorandum that is adverse to us. We do not agree with the adjustment. We have received a final assessment and are in the process of preparing an appeal. In November 2005, we made a payment of $557 million to reduce the accruing of interest on the pending assessment. If we are successful in part or full, all or some of the funds would be refundable. If the IRS prevails, there would be no material effect on our consolidated results of operations for any period.</w:t>
      </w:r>
    </w:p>
    <w:p>
      <w:pPr>
        <w:spacing w:after="0" w:line="161" w:lineRule="exact"/>
        <w:rPr>
          <w:sz w:val="20"/>
          <w:szCs w:val="20"/>
          <w:color w:val="auto"/>
        </w:rPr>
      </w:pPr>
    </w:p>
    <w:p>
      <w:pPr>
        <w:jc w:val="both"/>
        <w:spacing w:after="0" w:line="267" w:lineRule="auto"/>
        <w:rPr>
          <w:rFonts w:ascii="Arial" w:cs="Arial" w:eastAsia="Arial" w:hAnsi="Arial"/>
          <w:sz w:val="16"/>
          <w:szCs w:val="16"/>
          <w:color w:val="auto"/>
        </w:rPr>
      </w:pPr>
      <w:r>
        <w:rPr>
          <w:rFonts w:ascii="Arial" w:cs="Arial" w:eastAsia="Arial" w:hAnsi="Arial"/>
          <w:sz w:val="16"/>
          <w:szCs w:val="16"/>
          <w:color w:val="auto"/>
        </w:rPr>
        <w:t xml:space="preserve">During 2005, the IRS proposed the disallowance of noncash interest deductions taken on the ZONES (see </w:t>
      </w:r>
      <w:hyperlink w:anchor="page132">
        <w:r>
          <w:rPr>
            <w:rFonts w:ascii="Arial" w:cs="Arial" w:eastAsia="Arial" w:hAnsi="Arial"/>
            <w:sz w:val="16"/>
            <w:szCs w:val="16"/>
            <w:u w:val="single" w:color="auto"/>
            <w:color w:val="0000EE"/>
          </w:rPr>
          <w:t>Note 8</w:t>
        </w:r>
      </w:hyperlink>
      <w:r>
        <w:rPr>
          <w:rFonts w:ascii="Arial" w:cs="Arial" w:eastAsia="Arial" w:hAnsi="Arial"/>
          <w:sz w:val="16"/>
          <w:szCs w:val="16"/>
          <w:color w:val="auto"/>
        </w:rPr>
        <w:t>). The National Office of the IRS has issued a Technical Advice Memorandum that is adverse to us. We have recognized a cumulative federal tax benefit of $523 million through December 31, 2006, which will reverse and become payable upon the maturity or retirement of the ZONES; we have recorded this amount as a deferred tax liability. If the IRS’s position is sustained, the income tax benefits previously recognized would be disallowed, and interest would be assessed on amounts disallowed. Accordingly, the amounts recorded as deferred taxes would become payable. We do not agree with the IRS’s position and have appealed. The ultimate resolution of this issue is not expected to have a material effect on our consolidated results of operations for any period.</w:t>
      </w:r>
    </w:p>
    <w:p>
      <w:pPr>
        <w:spacing w:after="0" w:line="339" w:lineRule="exact"/>
        <w:rPr>
          <w:sz w:val="20"/>
          <w:szCs w:val="20"/>
          <w:color w:val="auto"/>
        </w:rPr>
      </w:pPr>
    </w:p>
    <w:p>
      <w:pPr>
        <w:jc w:val="both"/>
        <w:spacing w:after="0" w:line="236" w:lineRule="auto"/>
        <w:rPr>
          <w:sz w:val="20"/>
          <w:szCs w:val="20"/>
          <w:color w:val="auto"/>
        </w:rPr>
      </w:pPr>
      <w:r>
        <w:rPr>
          <w:rFonts w:ascii="Arial" w:cs="Arial" w:eastAsia="Arial" w:hAnsi="Arial"/>
          <w:sz w:val="18"/>
          <w:szCs w:val="18"/>
          <w:color w:val="auto"/>
        </w:rPr>
        <w:t>Other examinations of our tax returns may result in future tax and interest assessments by the taxing authorities, and we have accrued a liability when we believe that it is probable that we will be assessed. Differences between the estimated and actual amounts determined upon ultimate resolution, individually or in the aggregate, are not expected to have a material adverse effect on our consolidated financial position but could possibly be material</w:t>
      </w:r>
    </w:p>
    <w:p>
      <w:pPr>
        <w:spacing w:after="0" w:line="176" w:lineRule="exact"/>
        <w:rPr>
          <w:sz w:val="20"/>
          <w:szCs w:val="20"/>
          <w:color w:val="auto"/>
        </w:rPr>
      </w:pPr>
    </w:p>
    <w:p>
      <w:pPr>
        <w:sectPr>
          <w:pgSz w:w="11900" w:h="16838" w:orient="portrait"/>
          <w:cols w:equalWidth="0" w:num="2">
            <w:col w:w="5480" w:space="340"/>
            <w:col w:w="5480"/>
          </w:cols>
          <w:pgMar w:left="240" w:top="459" w:right="359" w:bottom="1440" w:gutter="0" w:footer="0" w:header="0"/>
        </w:sectPr>
      </w:pPr>
    </w:p>
    <w:tbl>
      <w:tblPr>
        <w:tblLayout w:type="fixed"/>
        <w:tblInd w:w="0" w:type="dxa"/>
        <w:tblCellMar>
          <w:top w:w="0" w:type="dxa"/>
          <w:left w:w="0" w:type="dxa"/>
          <w:bottom w:w="0" w:type="dxa"/>
          <w:right w:w="0" w:type="dxa"/>
        </w:tblCellMar>
      </w:tblPr>
      <w:tr>
        <w:trPr>
          <w:trHeight w:val="178"/>
        </w:trPr>
        <w:tc>
          <w:tcPr>
            <w:tcW w:w="5160" w:type="dxa"/>
            <w:vAlign w:val="bottom"/>
          </w:tcPr>
          <w:p>
            <w:pPr>
              <w:spacing w:after="0"/>
              <w:rPr>
                <w:sz w:val="20"/>
                <w:szCs w:val="20"/>
                <w:color w:val="auto"/>
              </w:rPr>
            </w:pPr>
            <w:r>
              <w:rPr>
                <w:rFonts w:ascii="Arial" w:cs="Arial" w:eastAsia="Arial" w:hAnsi="Arial"/>
                <w:sz w:val="14"/>
                <w:szCs w:val="14"/>
                <w:b w:val="1"/>
                <w:bCs w:val="1"/>
                <w:color w:val="auto"/>
              </w:rPr>
              <w:t xml:space="preserve">Notes to Consolidated Financial Statements </w:t>
            </w:r>
            <w:r>
              <w:rPr>
                <w:rFonts w:ascii="Arial" w:cs="Arial" w:eastAsia="Arial" w:hAnsi="Arial"/>
                <w:sz w:val="14"/>
                <w:szCs w:val="14"/>
                <w:color w:val="auto"/>
              </w:rPr>
              <w:t>Comcast 2006 Annual Report</w:t>
            </w:r>
          </w:p>
        </w:tc>
        <w:tc>
          <w:tcPr>
            <w:tcW w:w="680" w:type="dxa"/>
            <w:vAlign w:val="bottom"/>
          </w:tcPr>
          <w:p>
            <w:pPr>
              <w:jc w:val="right"/>
              <w:spacing w:after="0"/>
              <w:rPr>
                <w:sz w:val="20"/>
                <w:szCs w:val="20"/>
                <w:color w:val="auto"/>
              </w:rPr>
            </w:pPr>
            <w:r>
              <w:rPr>
                <w:rFonts w:ascii="Arial" w:cs="Arial" w:eastAsia="Arial" w:hAnsi="Arial"/>
                <w:sz w:val="14"/>
                <w:szCs w:val="14"/>
                <w:b w:val="1"/>
                <w:bCs w:val="1"/>
                <w:color w:val="auto"/>
              </w:rPr>
              <w:t>62</w:t>
            </w:r>
          </w:p>
        </w:tc>
      </w:tr>
    </w:tbl>
    <w:p>
      <w:pPr>
        <w:sectPr>
          <w:pgSz w:w="11900" w:h="16838" w:orient="portrait"/>
          <w:cols w:equalWidth="0" w:num="1">
            <w:col w:w="11300"/>
          </w:cols>
          <w:pgMar w:left="240" w:top="459" w:right="359" w:bottom="1440" w:gutter="0" w:footer="0" w:header="0"/>
          <w:type w:val="continuous"/>
        </w:sectPr>
      </w:pPr>
    </w:p>
    <w:bookmarkStart w:id="139" w:name="page140"/>
    <w:bookmarkEnd w:id="139"/>
    <w:p>
      <w:pPr>
        <w:spacing w:after="0"/>
        <w:rPr>
          <w:rFonts w:ascii="Arial" w:cs="Arial" w:eastAsia="Arial" w:hAnsi="Arial"/>
          <w:sz w:val="16"/>
          <w:szCs w:val="16"/>
          <w:b w:val="1"/>
          <w:bCs w:val="1"/>
          <w:u w:val="single" w:color="auto"/>
          <w:color w:val="0000EE"/>
        </w:rPr>
      </w:pPr>
      <w:r>
        <w:rPr>
          <w:rFonts w:ascii="Arial" w:cs="Arial" w:eastAsia="Arial" w:hAnsi="Arial"/>
          <w:sz w:val="16"/>
          <w:szCs w:val="16"/>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208" name="Picture 2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8"/>
                    <pic:cNvPicPr>
                      <a:picLocks noChangeAspect="1" noChangeArrowheads="1"/>
                    </pic:cNvPicPr>
                  </pic:nvPicPr>
                  <pic:blipFill>
                    <a:blip r:embed="rId215">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3">
        <w:r>
          <w:rPr>
            <w:rFonts w:ascii="Arial" w:cs="Arial" w:eastAsia="Arial" w:hAnsi="Arial"/>
            <w:sz w:val="16"/>
            <w:szCs w:val="16"/>
            <w:b w:val="1"/>
            <w:bCs w:val="1"/>
            <w:u w:val="single" w:color="auto"/>
            <w:color w:val="0000EE"/>
          </w:rPr>
          <w:t>Table of Contents</w:t>
        </w:r>
      </w:hyperlink>
    </w:p>
    <w:p>
      <w:pPr>
        <w:sectPr>
          <w:pgSz w:w="11900" w:h="16838" w:orient="portrait"/>
          <w:cols w:equalWidth="0" w:num="1">
            <w:col w:w="11420"/>
          </w:cols>
          <w:pgMar w:left="240" w:top="459" w:right="239" w:bottom="1440" w:gutter="0" w:footer="0" w:header="0"/>
        </w:sectPr>
      </w:pPr>
    </w:p>
    <w:p>
      <w:pPr>
        <w:spacing w:after="0" w:line="200" w:lineRule="exact"/>
        <w:rPr>
          <w:sz w:val="20"/>
          <w:szCs w:val="20"/>
          <w:color w:val="auto"/>
        </w:rPr>
      </w:pPr>
    </w:p>
    <w:p>
      <w:pPr>
        <w:spacing w:after="0" w:line="299" w:lineRule="exact"/>
        <w:rPr>
          <w:sz w:val="20"/>
          <w:szCs w:val="20"/>
          <w:color w:val="auto"/>
        </w:rPr>
      </w:pPr>
    </w:p>
    <w:p>
      <w:pPr>
        <w:jc w:val="both"/>
        <w:spacing w:after="0" w:line="239" w:lineRule="auto"/>
        <w:rPr>
          <w:sz w:val="20"/>
          <w:szCs w:val="20"/>
          <w:color w:val="auto"/>
        </w:rPr>
      </w:pPr>
      <w:r>
        <w:rPr>
          <w:rFonts w:ascii="Arial" w:cs="Arial" w:eastAsia="Arial" w:hAnsi="Arial"/>
          <w:sz w:val="18"/>
          <w:szCs w:val="18"/>
          <w:color w:val="auto"/>
        </w:rPr>
        <w:t>to our consolidated results of operations or cash flows of any one period.</w:t>
      </w:r>
    </w:p>
    <w:p>
      <w:pPr>
        <w:spacing w:after="0" w:line="236" w:lineRule="exact"/>
        <w:rPr>
          <w:sz w:val="20"/>
          <w:szCs w:val="20"/>
          <w:color w:val="auto"/>
        </w:rPr>
      </w:pPr>
    </w:p>
    <w:p>
      <w:pPr>
        <w:spacing w:after="0"/>
        <w:rPr>
          <w:sz w:val="20"/>
          <w:szCs w:val="20"/>
          <w:color w:val="auto"/>
        </w:rPr>
      </w:pPr>
      <w:r>
        <w:rPr>
          <w:rFonts w:ascii="Arial" w:cs="Arial" w:eastAsia="Arial" w:hAnsi="Arial"/>
          <w:sz w:val="18"/>
          <w:szCs w:val="18"/>
          <w:color w:val="35BF85"/>
        </w:rPr>
        <w:t>Note 12: Statement of Cash Flows — Supplemental Information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63500</wp:posOffset>
            </wp:positionV>
            <wp:extent cx="3481705" cy="8890"/>
            <wp:wrapNone/>
            <wp:docPr id="209" name="Picture 2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9"/>
                    <pic:cNvPicPr>
                      <a:picLocks noChangeAspect="1" noChangeArrowheads="1"/>
                    </pic:cNvPicPr>
                  </pic:nvPicPr>
                  <pic:blipFill>
                    <a:blip r:embed="rId216">
                      <a:extLst>
                        <a:ext uri="{28A0092B-C50C-407E-A947-70E740481C1C}"/>
                      </a:extLst>
                    </a:blip>
                    <a:srcRect/>
                    <a:stretch>
                      <a:fillRect/>
                    </a:stretch>
                  </pic:blipFill>
                  <pic:spPr bwMode="auto">
                    <a:xfrm>
                      <a:off x="0" y="0"/>
                      <a:ext cx="3481705" cy="8890"/>
                    </a:xfrm>
                    <a:prstGeom prst="rect">
                      <a:avLst/>
                    </a:prstGeom>
                    <a:noFill/>
                  </pic:spPr>
                </pic:pic>
              </a:graphicData>
            </a:graphic>
          </wp:anchor>
        </w:drawing>
      </w:r>
    </w:p>
    <w:p>
      <w:pPr>
        <w:spacing w:after="0" w:line="205" w:lineRule="exact"/>
        <w:rPr>
          <w:sz w:val="20"/>
          <w:szCs w:val="20"/>
          <w:color w:val="auto"/>
        </w:rPr>
      </w:pPr>
    </w:p>
    <w:p>
      <w:pPr>
        <w:jc w:val="both"/>
        <w:spacing w:after="0" w:line="268" w:lineRule="auto"/>
        <w:rPr>
          <w:sz w:val="20"/>
          <w:szCs w:val="20"/>
          <w:color w:val="auto"/>
        </w:rPr>
      </w:pPr>
      <w:r>
        <w:rPr>
          <w:rFonts w:ascii="Arial" w:cs="Arial" w:eastAsia="Arial" w:hAnsi="Arial"/>
          <w:sz w:val="16"/>
          <w:szCs w:val="16"/>
          <w:color w:val="auto"/>
        </w:rPr>
        <w:t>In 2006, we began presenting our cash overdrafts resulting from checks drawn on zero balance accounts (“book overdrafts”) within accounts payable and accrued expenses related to trade creditors. Previously, these book overdrafts were included within cash and cash equivalents. The financial statements reflect this revised presentation in prior periods. Accordingly, the reported amounts of our cash and cash equivalents and accounts payable and accrued expenses related to trade creditors increased as of December 31, 2005, 2004 and 2003, by $254 million, $341 million and $189 million, respectively, and net cash provided by operating activities decreased by $87 million in 2005 and increased by $152 million in 2004.</w:t>
      </w:r>
    </w:p>
    <w:p>
      <w:pPr>
        <w:spacing w:after="0" w:line="336" w:lineRule="exact"/>
        <w:rPr>
          <w:sz w:val="20"/>
          <w:szCs w:val="20"/>
          <w:color w:val="auto"/>
        </w:rPr>
      </w:pPr>
    </w:p>
    <w:p>
      <w:pPr>
        <w:ind w:right="260"/>
        <w:spacing w:after="0" w:line="239" w:lineRule="auto"/>
        <w:rPr>
          <w:sz w:val="20"/>
          <w:szCs w:val="20"/>
          <w:color w:val="auto"/>
        </w:rPr>
      </w:pPr>
      <w:r>
        <w:rPr>
          <w:rFonts w:ascii="Arial" w:cs="Arial" w:eastAsia="Arial" w:hAnsi="Arial"/>
          <w:sz w:val="18"/>
          <w:szCs w:val="18"/>
          <w:color w:val="auto"/>
        </w:rPr>
        <w:t>The following table summarizes our cash payments for interest and income taxes:</w:t>
      </w:r>
    </w:p>
    <w:p>
      <w:pPr>
        <w:spacing w:after="0" w:line="179"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260" w:type="dxa"/>
            <w:vAlign w:val="bottom"/>
          </w:tcPr>
          <w:p>
            <w:pPr>
              <w:ind w:left="20"/>
              <w:spacing w:after="0"/>
              <w:rPr>
                <w:sz w:val="20"/>
                <w:szCs w:val="20"/>
                <w:color w:val="auto"/>
              </w:rPr>
            </w:pPr>
            <w:r>
              <w:rPr>
                <w:rFonts w:ascii="Arial" w:cs="Arial" w:eastAsia="Arial" w:hAnsi="Arial"/>
                <w:sz w:val="14"/>
                <w:szCs w:val="14"/>
                <w:color w:val="auto"/>
              </w:rPr>
              <w:t>Year Ended December 31</w:t>
            </w:r>
          </w:p>
        </w:tc>
        <w:tc>
          <w:tcPr>
            <w:tcW w:w="1460" w:type="dxa"/>
            <w:vAlign w:val="bottom"/>
            <w:vMerge w:val="restart"/>
          </w:tcPr>
          <w:p>
            <w:pPr>
              <w:jc w:val="right"/>
              <w:ind w:right="119"/>
              <w:spacing w:after="0"/>
              <w:rPr>
                <w:sz w:val="20"/>
                <w:szCs w:val="20"/>
                <w:color w:val="auto"/>
              </w:rPr>
            </w:pPr>
            <w:r>
              <w:rPr>
                <w:rFonts w:ascii="Arial" w:cs="Arial" w:eastAsia="Arial" w:hAnsi="Arial"/>
                <w:sz w:val="14"/>
                <w:szCs w:val="14"/>
                <w:b w:val="1"/>
                <w:bCs w:val="1"/>
                <w:color w:val="auto"/>
              </w:rPr>
              <w:t>2006</w:t>
            </w:r>
          </w:p>
        </w:tc>
        <w:tc>
          <w:tcPr>
            <w:tcW w:w="100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9"/>
        </w:trPr>
        <w:tc>
          <w:tcPr>
            <w:tcW w:w="2260" w:type="dxa"/>
            <w:vAlign w:val="bottom"/>
            <w:tcBorders>
              <w:bottom w:val="single" w:sz="8" w:color="auto"/>
            </w:tcBorders>
          </w:tcPr>
          <w:p>
            <w:pPr>
              <w:ind w:left="20"/>
              <w:spacing w:after="0" w:line="149" w:lineRule="exact"/>
              <w:rPr>
                <w:sz w:val="20"/>
                <w:szCs w:val="20"/>
                <w:color w:val="auto"/>
              </w:rPr>
            </w:pPr>
            <w:r>
              <w:rPr>
                <w:rFonts w:ascii="Arial" w:cs="Arial" w:eastAsia="Arial" w:hAnsi="Arial"/>
                <w:sz w:val="14"/>
                <w:szCs w:val="14"/>
                <w:color w:val="auto"/>
              </w:rPr>
              <w:t>(in millions)</w:t>
            </w:r>
          </w:p>
        </w:tc>
        <w:tc>
          <w:tcPr>
            <w:tcW w:w="1460" w:type="dxa"/>
            <w:vAlign w:val="bottom"/>
            <w:tcBorders>
              <w:bottom w:val="single" w:sz="8" w:color="auto"/>
            </w:tcBorders>
            <w:vMerge w:val="continue"/>
          </w:tcPr>
          <w:p>
            <w:pPr>
              <w:spacing w:after="0"/>
              <w:rPr>
                <w:sz w:val="12"/>
                <w:szCs w:val="12"/>
                <w:color w:val="auto"/>
              </w:rPr>
            </w:pPr>
          </w:p>
        </w:tc>
        <w:tc>
          <w:tcPr>
            <w:tcW w:w="1000" w:type="dxa"/>
            <w:vAlign w:val="bottom"/>
            <w:tcBorders>
              <w:bottom w:val="single" w:sz="8" w:color="auto"/>
            </w:tcBorders>
          </w:tcPr>
          <w:p>
            <w:pPr>
              <w:jc w:val="right"/>
              <w:ind w:right="139"/>
              <w:spacing w:after="0" w:line="149" w:lineRule="exact"/>
              <w:rPr>
                <w:sz w:val="20"/>
                <w:szCs w:val="20"/>
                <w:color w:val="auto"/>
              </w:rPr>
            </w:pPr>
            <w:r>
              <w:rPr>
                <w:rFonts w:ascii="Arial" w:cs="Arial" w:eastAsia="Arial" w:hAnsi="Arial"/>
                <w:sz w:val="14"/>
                <w:szCs w:val="14"/>
                <w:color w:val="auto"/>
              </w:rPr>
              <w:t>2005</w:t>
            </w:r>
          </w:p>
        </w:tc>
        <w:tc>
          <w:tcPr>
            <w:tcW w:w="320" w:type="dxa"/>
            <w:vAlign w:val="bottom"/>
            <w:tcBorders>
              <w:bottom w:val="single" w:sz="8" w:color="auto"/>
            </w:tcBorders>
          </w:tcPr>
          <w:p>
            <w:pPr>
              <w:spacing w:after="0"/>
              <w:rPr>
                <w:sz w:val="12"/>
                <w:szCs w:val="12"/>
                <w:color w:val="auto"/>
              </w:rPr>
            </w:pPr>
          </w:p>
        </w:tc>
        <w:tc>
          <w:tcPr>
            <w:tcW w:w="440" w:type="dxa"/>
            <w:vAlign w:val="bottom"/>
            <w:tcBorders>
              <w:bottom w:val="single" w:sz="8" w:color="auto"/>
            </w:tcBorders>
          </w:tcPr>
          <w:p>
            <w:pPr>
              <w:jc w:val="right"/>
              <w:spacing w:after="0" w:line="149" w:lineRule="exact"/>
              <w:rPr>
                <w:sz w:val="20"/>
                <w:szCs w:val="20"/>
                <w:color w:val="auto"/>
              </w:rPr>
            </w:pPr>
            <w:r>
              <w:rPr>
                <w:rFonts w:ascii="Arial" w:cs="Arial" w:eastAsia="Arial" w:hAnsi="Arial"/>
                <w:sz w:val="14"/>
                <w:szCs w:val="14"/>
                <w:color w:val="auto"/>
              </w:rPr>
              <w:t>2004</w:t>
            </w:r>
          </w:p>
        </w:tc>
        <w:tc>
          <w:tcPr>
            <w:tcW w:w="0" w:type="dxa"/>
            <w:vAlign w:val="bottom"/>
          </w:tcPr>
          <w:p>
            <w:pPr>
              <w:spacing w:after="0"/>
              <w:rPr>
                <w:sz w:val="1"/>
                <w:szCs w:val="1"/>
                <w:color w:val="auto"/>
              </w:rPr>
            </w:pPr>
          </w:p>
        </w:tc>
      </w:tr>
      <w:tr>
        <w:trPr>
          <w:trHeight w:val="177"/>
        </w:trPr>
        <w:tc>
          <w:tcPr>
            <w:tcW w:w="2260" w:type="dxa"/>
            <w:vAlign w:val="bottom"/>
          </w:tcPr>
          <w:p>
            <w:pPr>
              <w:ind w:left="20"/>
              <w:spacing w:after="0" w:line="177" w:lineRule="exact"/>
              <w:rPr>
                <w:sz w:val="20"/>
                <w:szCs w:val="20"/>
                <w:color w:val="auto"/>
              </w:rPr>
            </w:pPr>
            <w:r>
              <w:rPr>
                <w:rFonts w:ascii="Arial" w:cs="Arial" w:eastAsia="Arial" w:hAnsi="Arial"/>
                <w:sz w:val="18"/>
                <w:szCs w:val="18"/>
                <w:color w:val="auto"/>
              </w:rPr>
              <w:t>Interest</w:t>
            </w:r>
          </w:p>
        </w:tc>
        <w:tc>
          <w:tcPr>
            <w:tcW w:w="1460" w:type="dxa"/>
            <w:vAlign w:val="bottom"/>
          </w:tcPr>
          <w:p>
            <w:pPr>
              <w:jc w:val="right"/>
              <w:ind w:right="139"/>
              <w:spacing w:after="0" w:line="177" w:lineRule="exact"/>
              <w:rPr>
                <w:sz w:val="20"/>
                <w:szCs w:val="20"/>
                <w:color w:val="auto"/>
              </w:rPr>
            </w:pPr>
            <w:r>
              <w:rPr>
                <w:rFonts w:ascii="Arial" w:cs="Arial" w:eastAsia="Arial" w:hAnsi="Arial"/>
                <w:sz w:val="18"/>
                <w:szCs w:val="18"/>
                <w:b w:val="1"/>
                <w:bCs w:val="1"/>
                <w:color w:val="auto"/>
              </w:rPr>
              <w:t>$1,880</w:t>
            </w:r>
          </w:p>
        </w:tc>
        <w:tc>
          <w:tcPr>
            <w:tcW w:w="1000" w:type="dxa"/>
            <w:vAlign w:val="bottom"/>
          </w:tcPr>
          <w:p>
            <w:pPr>
              <w:jc w:val="right"/>
              <w:ind w:right="139"/>
              <w:spacing w:after="0" w:line="177" w:lineRule="exact"/>
              <w:rPr>
                <w:sz w:val="20"/>
                <w:szCs w:val="20"/>
                <w:color w:val="auto"/>
              </w:rPr>
            </w:pPr>
            <w:r>
              <w:rPr>
                <w:rFonts w:ascii="Arial" w:cs="Arial" w:eastAsia="Arial" w:hAnsi="Arial"/>
                <w:sz w:val="18"/>
                <w:szCs w:val="18"/>
                <w:color w:val="auto"/>
              </w:rPr>
              <w:t>$1,809</w:t>
            </w:r>
          </w:p>
        </w:tc>
        <w:tc>
          <w:tcPr>
            <w:tcW w:w="320" w:type="dxa"/>
            <w:vAlign w:val="bottom"/>
          </w:tcPr>
          <w:p>
            <w:pPr>
              <w:jc w:val="right"/>
              <w:spacing w:after="0" w:line="177" w:lineRule="exact"/>
              <w:rPr>
                <w:sz w:val="20"/>
                <w:szCs w:val="20"/>
                <w:color w:val="auto"/>
              </w:rPr>
            </w:pPr>
            <w:r>
              <w:rPr>
                <w:rFonts w:ascii="Arial" w:cs="Arial" w:eastAsia="Arial" w:hAnsi="Arial"/>
                <w:sz w:val="18"/>
                <w:szCs w:val="18"/>
                <w:color w:val="auto"/>
              </w:rPr>
              <w:t>$</w:t>
            </w:r>
          </w:p>
        </w:tc>
        <w:tc>
          <w:tcPr>
            <w:tcW w:w="440" w:type="dxa"/>
            <w:vAlign w:val="bottom"/>
          </w:tcPr>
          <w:p>
            <w:pPr>
              <w:jc w:val="right"/>
              <w:spacing w:after="0" w:line="177" w:lineRule="exact"/>
              <w:rPr>
                <w:sz w:val="20"/>
                <w:szCs w:val="20"/>
                <w:color w:val="auto"/>
              </w:rPr>
            </w:pPr>
            <w:r>
              <w:rPr>
                <w:rFonts w:ascii="Arial" w:cs="Arial" w:eastAsia="Arial" w:hAnsi="Arial"/>
                <w:sz w:val="18"/>
                <w:szCs w:val="18"/>
                <w:color w:val="auto"/>
                <w:w w:val="93"/>
              </w:rPr>
              <w:t>1,898</w:t>
            </w:r>
          </w:p>
        </w:tc>
        <w:tc>
          <w:tcPr>
            <w:tcW w:w="0" w:type="dxa"/>
            <w:vAlign w:val="bottom"/>
          </w:tcPr>
          <w:p>
            <w:pPr>
              <w:spacing w:after="0"/>
              <w:rPr>
                <w:sz w:val="1"/>
                <w:szCs w:val="1"/>
                <w:color w:val="auto"/>
              </w:rPr>
            </w:pPr>
          </w:p>
        </w:tc>
      </w:tr>
      <w:tr>
        <w:trPr>
          <w:trHeight w:val="233"/>
        </w:trPr>
        <w:tc>
          <w:tcPr>
            <w:tcW w:w="2260" w:type="dxa"/>
            <w:vAlign w:val="bottom"/>
          </w:tcPr>
          <w:p>
            <w:pPr>
              <w:ind w:left="20"/>
              <w:spacing w:after="0"/>
              <w:rPr>
                <w:sz w:val="20"/>
                <w:szCs w:val="20"/>
                <w:color w:val="auto"/>
              </w:rPr>
            </w:pPr>
            <w:r>
              <w:rPr>
                <w:rFonts w:ascii="Arial" w:cs="Arial" w:eastAsia="Arial" w:hAnsi="Arial"/>
                <w:sz w:val="18"/>
                <w:szCs w:val="18"/>
                <w:color w:val="auto"/>
              </w:rPr>
              <w:t>Income taxes</w:t>
            </w:r>
          </w:p>
        </w:tc>
        <w:tc>
          <w:tcPr>
            <w:tcW w:w="1460" w:type="dxa"/>
            <w:vAlign w:val="bottom"/>
          </w:tcPr>
          <w:p>
            <w:pPr>
              <w:jc w:val="right"/>
              <w:ind w:right="139"/>
              <w:spacing w:after="0"/>
              <w:rPr>
                <w:sz w:val="20"/>
                <w:szCs w:val="20"/>
                <w:color w:val="auto"/>
              </w:rPr>
            </w:pPr>
            <w:r>
              <w:rPr>
                <w:rFonts w:ascii="Arial" w:cs="Arial" w:eastAsia="Arial" w:hAnsi="Arial"/>
                <w:sz w:val="18"/>
                <w:szCs w:val="18"/>
                <w:b w:val="1"/>
                <w:bCs w:val="1"/>
                <w:color w:val="auto"/>
              </w:rPr>
              <w:t>$1,284</w:t>
            </w:r>
          </w:p>
        </w:tc>
        <w:tc>
          <w:tcPr>
            <w:tcW w:w="1000" w:type="dxa"/>
            <w:vAlign w:val="bottom"/>
          </w:tcPr>
          <w:p>
            <w:pPr>
              <w:jc w:val="right"/>
              <w:ind w:right="139"/>
              <w:spacing w:after="0"/>
              <w:rPr>
                <w:sz w:val="20"/>
                <w:szCs w:val="20"/>
                <w:color w:val="auto"/>
              </w:rPr>
            </w:pPr>
            <w:r>
              <w:rPr>
                <w:rFonts w:ascii="Arial" w:cs="Arial" w:eastAsia="Arial" w:hAnsi="Arial"/>
                <w:sz w:val="18"/>
                <w:szCs w:val="18"/>
                <w:color w:val="auto"/>
              </w:rPr>
              <w:t>$1,137</w:t>
            </w:r>
          </w:p>
        </w:tc>
        <w:tc>
          <w:tcPr>
            <w:tcW w:w="320" w:type="dxa"/>
            <w:vAlign w:val="bottom"/>
          </w:tcPr>
          <w:p>
            <w:pPr>
              <w:jc w:val="right"/>
              <w:spacing w:after="0"/>
              <w:rPr>
                <w:sz w:val="20"/>
                <w:szCs w:val="20"/>
                <w:color w:val="auto"/>
              </w:rPr>
            </w:pPr>
            <w:r>
              <w:rPr>
                <w:rFonts w:ascii="Arial" w:cs="Arial" w:eastAsia="Arial" w:hAnsi="Arial"/>
                <w:sz w:val="18"/>
                <w:szCs w:val="18"/>
                <w:color w:val="auto"/>
              </w:rPr>
              <w:t>$</w:t>
            </w:r>
          </w:p>
        </w:tc>
        <w:tc>
          <w:tcPr>
            <w:tcW w:w="440" w:type="dxa"/>
            <w:vAlign w:val="bottom"/>
          </w:tcPr>
          <w:p>
            <w:pPr>
              <w:jc w:val="right"/>
              <w:spacing w:after="0"/>
              <w:rPr>
                <w:sz w:val="20"/>
                <w:szCs w:val="20"/>
                <w:color w:val="auto"/>
              </w:rPr>
            </w:pPr>
            <w:r>
              <w:rPr>
                <w:rFonts w:ascii="Arial" w:cs="Arial" w:eastAsia="Arial" w:hAnsi="Arial"/>
                <w:sz w:val="18"/>
                <w:szCs w:val="18"/>
                <w:color w:val="auto"/>
              </w:rPr>
              <w:t>205</w:t>
            </w:r>
          </w:p>
        </w:tc>
        <w:tc>
          <w:tcPr>
            <w:tcW w:w="0" w:type="dxa"/>
            <w:vAlign w:val="bottom"/>
          </w:tcPr>
          <w:p>
            <w:pPr>
              <w:spacing w:after="0"/>
              <w:rPr>
                <w:sz w:val="1"/>
                <w:szCs w:val="1"/>
                <w:color w:val="auto"/>
              </w:rPr>
            </w:pPr>
          </w:p>
        </w:tc>
      </w:tr>
    </w:tbl>
    <w:p>
      <w:pPr>
        <w:spacing w:after="0" w:line="154" w:lineRule="exact"/>
        <w:rPr>
          <w:sz w:val="20"/>
          <w:szCs w:val="20"/>
          <w:color w:val="auto"/>
        </w:rPr>
      </w:pPr>
    </w:p>
    <w:p>
      <w:pPr>
        <w:spacing w:after="0"/>
        <w:rPr>
          <w:sz w:val="20"/>
          <w:szCs w:val="20"/>
          <w:color w:val="auto"/>
        </w:rPr>
      </w:pPr>
      <w:r>
        <w:rPr>
          <w:rFonts w:ascii="Arial" w:cs="Arial" w:eastAsia="Arial" w:hAnsi="Arial"/>
          <w:sz w:val="18"/>
          <w:szCs w:val="18"/>
          <w:color w:val="35BF85"/>
        </w:rPr>
        <w:t>During 2006, we:</w:t>
      </w:r>
    </w:p>
    <w:p>
      <w:pPr>
        <w:spacing w:after="0" w:line="77" w:lineRule="exact"/>
        <w:rPr>
          <w:sz w:val="20"/>
          <w:szCs w:val="20"/>
          <w:color w:val="auto"/>
        </w:rPr>
      </w:pPr>
    </w:p>
    <w:p>
      <w:pPr>
        <w:jc w:val="both"/>
        <w:ind w:left="120" w:hanging="112"/>
        <w:spacing w:after="0" w:line="236" w:lineRule="auto"/>
        <w:tabs>
          <w:tab w:leader="none" w:pos="120" w:val="left"/>
        </w:tabs>
        <w:numPr>
          <w:ilvl w:val="0"/>
          <w:numId w:val="89"/>
        </w:numPr>
        <w:rPr>
          <w:rFonts w:ascii="Arial" w:cs="Arial" w:eastAsia="Arial" w:hAnsi="Arial"/>
          <w:sz w:val="18"/>
          <w:szCs w:val="18"/>
          <w:color w:val="auto"/>
        </w:rPr>
      </w:pPr>
      <w:r>
        <w:rPr>
          <w:rFonts w:ascii="Arial" w:cs="Arial" w:eastAsia="Arial" w:hAnsi="Arial"/>
          <w:sz w:val="18"/>
          <w:szCs w:val="18"/>
          <w:color w:val="auto"/>
        </w:rPr>
        <w:t xml:space="preserve">exchanged investments for cable systems in the Redemptions with a fair value of approximately $3.2 billion and cable systems for cable systems in the Exchanges with a fair value of approximately $8.5 billion (see </w:t>
      </w:r>
      <w:hyperlink w:anchor="page126">
        <w:r>
          <w:rPr>
            <w:rFonts w:ascii="Arial" w:cs="Arial" w:eastAsia="Arial" w:hAnsi="Arial"/>
            <w:sz w:val="18"/>
            <w:szCs w:val="18"/>
            <w:u w:val="single" w:color="auto"/>
            <w:color w:val="0000EE"/>
          </w:rPr>
          <w:t>Note 5</w:t>
        </w:r>
      </w:hyperlink>
      <w:r>
        <w:rPr>
          <w:rFonts w:ascii="Arial" w:cs="Arial" w:eastAsia="Arial" w:hAnsi="Arial"/>
          <w:sz w:val="18"/>
          <w:szCs w:val="18"/>
          <w:color w:val="auto"/>
        </w:rPr>
        <w:t>), which are considered noncash investing activities</w:t>
      </w:r>
    </w:p>
    <w:p>
      <w:pPr>
        <w:spacing w:after="0" w:line="197" w:lineRule="exact"/>
        <w:rPr>
          <w:rFonts w:ascii="Arial" w:cs="Arial" w:eastAsia="Arial" w:hAnsi="Arial"/>
          <w:sz w:val="18"/>
          <w:szCs w:val="18"/>
          <w:color w:val="auto"/>
        </w:rPr>
      </w:pPr>
    </w:p>
    <w:p>
      <w:pPr>
        <w:jc w:val="both"/>
        <w:ind w:left="120" w:hanging="112"/>
        <w:spacing w:after="0" w:line="237" w:lineRule="auto"/>
        <w:tabs>
          <w:tab w:leader="none" w:pos="120" w:val="left"/>
        </w:tabs>
        <w:numPr>
          <w:ilvl w:val="0"/>
          <w:numId w:val="89"/>
        </w:numPr>
        <w:rPr>
          <w:rFonts w:ascii="Arial" w:cs="Arial" w:eastAsia="Arial" w:hAnsi="Arial"/>
          <w:sz w:val="18"/>
          <w:szCs w:val="18"/>
          <w:color w:val="auto"/>
        </w:rPr>
      </w:pPr>
      <w:r>
        <w:rPr>
          <w:rFonts w:ascii="Arial" w:cs="Arial" w:eastAsia="Arial" w:hAnsi="Arial"/>
          <w:sz w:val="18"/>
          <w:szCs w:val="18"/>
          <w:color w:val="auto"/>
        </w:rPr>
        <w:t>acquired an additional equity interest with a fair value of $21 million and recorded a liability, for a corresponding amount in connection with our achievement of certain subscriber launch milestones, which is considered a noncash investing and operating activity</w:t>
      </w:r>
    </w:p>
    <w:p>
      <w:pPr>
        <w:spacing w:after="0" w:line="195" w:lineRule="exact"/>
        <w:rPr>
          <w:rFonts w:ascii="Arial" w:cs="Arial" w:eastAsia="Arial" w:hAnsi="Arial"/>
          <w:sz w:val="18"/>
          <w:szCs w:val="18"/>
          <w:color w:val="auto"/>
        </w:rPr>
      </w:pPr>
    </w:p>
    <w:p>
      <w:pPr>
        <w:jc w:val="both"/>
        <w:ind w:left="120" w:hanging="112"/>
        <w:spacing w:after="0" w:line="281" w:lineRule="auto"/>
        <w:tabs>
          <w:tab w:leader="none" w:pos="120" w:val="left"/>
        </w:tabs>
        <w:numPr>
          <w:ilvl w:val="0"/>
          <w:numId w:val="89"/>
        </w:numPr>
        <w:rPr>
          <w:rFonts w:ascii="Arial" w:cs="Arial" w:eastAsia="Arial" w:hAnsi="Arial"/>
          <w:sz w:val="16"/>
          <w:szCs w:val="16"/>
          <w:color w:val="auto"/>
        </w:rPr>
      </w:pPr>
      <w:r>
        <w:rPr>
          <w:rFonts w:ascii="Arial" w:cs="Arial" w:eastAsia="Arial" w:hAnsi="Arial"/>
          <w:sz w:val="16"/>
          <w:szCs w:val="16"/>
          <w:color w:val="auto"/>
        </w:rPr>
        <w:t xml:space="preserve">in connection with the Susquehanna transaction (see </w:t>
      </w:r>
      <w:hyperlink w:anchor="page126">
        <w:r>
          <w:rPr>
            <w:rFonts w:ascii="Arial" w:cs="Arial" w:eastAsia="Arial" w:hAnsi="Arial"/>
            <w:sz w:val="16"/>
            <w:szCs w:val="16"/>
            <w:u w:val="single" w:color="auto"/>
            <w:color w:val="0000EE"/>
          </w:rPr>
          <w:t>Note 5</w:t>
        </w:r>
      </w:hyperlink>
      <w:r>
        <w:rPr>
          <w:rFonts w:ascii="Arial" w:cs="Arial" w:eastAsia="Arial" w:hAnsi="Arial"/>
          <w:sz w:val="16"/>
          <w:szCs w:val="16"/>
          <w:color w:val="auto"/>
        </w:rPr>
        <w:t>), we assumed a $185 million principal amount variable-rate term loan due 2008, which is considered a noncash financing and investing activity</w:t>
      </w:r>
    </w:p>
    <w:p>
      <w:pPr>
        <w:spacing w:after="0" w:line="20" w:lineRule="exact"/>
        <w:rPr>
          <w:rFonts w:ascii="Arial" w:cs="Arial" w:eastAsia="Arial" w:hAnsi="Arial"/>
          <w:sz w:val="18"/>
          <w:szCs w:val="18"/>
          <w:color w:val="auto"/>
        </w:rPr>
      </w:pPr>
      <w:r>
        <w:rPr>
          <w:rFonts w:ascii="Arial" w:cs="Arial" w:eastAsia="Arial" w:hAnsi="Arial"/>
          <w:sz w:val="18"/>
          <w:szCs w:val="18"/>
          <w:color w:val="auto"/>
        </w:rPr>
        <w:br w:type="column"/>
      </w:r>
    </w:p>
    <w:p>
      <w:pPr>
        <w:spacing w:after="0" w:line="200" w:lineRule="exact"/>
        <w:rPr>
          <w:rFonts w:ascii="Arial" w:cs="Arial" w:eastAsia="Arial" w:hAnsi="Arial"/>
          <w:sz w:val="18"/>
          <w:szCs w:val="18"/>
          <w:color w:val="auto"/>
        </w:rPr>
      </w:pPr>
    </w:p>
    <w:p>
      <w:pPr>
        <w:spacing w:after="0" w:line="279" w:lineRule="exact"/>
        <w:rPr>
          <w:rFonts w:ascii="Arial" w:cs="Arial" w:eastAsia="Arial" w:hAnsi="Arial"/>
          <w:sz w:val="18"/>
          <w:szCs w:val="18"/>
          <w:color w:val="auto"/>
        </w:rPr>
      </w:pPr>
    </w:p>
    <w:p>
      <w:pPr>
        <w:ind w:left="140"/>
        <w:spacing w:after="0"/>
        <w:rPr>
          <w:sz w:val="20"/>
          <w:szCs w:val="20"/>
          <w:color w:val="auto"/>
        </w:rPr>
      </w:pPr>
      <w:r>
        <w:rPr>
          <w:rFonts w:ascii="Arial" w:cs="Arial" w:eastAsia="Arial" w:hAnsi="Arial"/>
          <w:sz w:val="18"/>
          <w:szCs w:val="18"/>
          <w:color w:val="35BF85"/>
        </w:rPr>
        <w:t>During 2005, we:</w:t>
      </w:r>
    </w:p>
    <w:p>
      <w:pPr>
        <w:spacing w:after="0" w:line="77" w:lineRule="exact"/>
        <w:rPr>
          <w:rFonts w:ascii="Arial" w:cs="Arial" w:eastAsia="Arial" w:hAnsi="Arial"/>
          <w:sz w:val="18"/>
          <w:szCs w:val="18"/>
          <w:color w:val="auto"/>
        </w:rPr>
      </w:pPr>
    </w:p>
    <w:p>
      <w:pPr>
        <w:jc w:val="both"/>
        <w:ind w:left="260" w:right="140" w:hanging="119"/>
        <w:spacing w:after="0" w:line="236" w:lineRule="auto"/>
        <w:tabs>
          <w:tab w:leader="none" w:pos="260" w:val="left"/>
        </w:tabs>
        <w:numPr>
          <w:ilvl w:val="0"/>
          <w:numId w:val="90"/>
        </w:numPr>
        <w:rPr>
          <w:rFonts w:ascii="Arial" w:cs="Arial" w:eastAsia="Arial" w:hAnsi="Arial"/>
          <w:sz w:val="18"/>
          <w:szCs w:val="18"/>
          <w:color w:val="auto"/>
        </w:rPr>
      </w:pPr>
      <w:r>
        <w:rPr>
          <w:rFonts w:ascii="Arial" w:cs="Arial" w:eastAsia="Arial" w:hAnsi="Arial"/>
          <w:sz w:val="18"/>
          <w:szCs w:val="18"/>
          <w:color w:val="auto"/>
        </w:rPr>
        <w:t>settled through noncash financing and investing activities approximately $1.347 billion related to our Exchangeable Notes by delivering the underlying securities to the counterparties upon maturity of the instruments, and the equity collar agreements related to the underlying securities were exercised</w:t>
      </w:r>
    </w:p>
    <w:p>
      <w:pPr>
        <w:spacing w:after="0" w:line="197" w:lineRule="exact"/>
        <w:rPr>
          <w:rFonts w:ascii="Arial" w:cs="Arial" w:eastAsia="Arial" w:hAnsi="Arial"/>
          <w:sz w:val="18"/>
          <w:szCs w:val="18"/>
          <w:color w:val="auto"/>
        </w:rPr>
      </w:pPr>
    </w:p>
    <w:p>
      <w:pPr>
        <w:jc w:val="both"/>
        <w:ind w:left="260" w:right="140" w:hanging="119"/>
        <w:spacing w:after="0" w:line="237" w:lineRule="auto"/>
        <w:tabs>
          <w:tab w:leader="none" w:pos="260" w:val="left"/>
        </w:tabs>
        <w:numPr>
          <w:ilvl w:val="0"/>
          <w:numId w:val="90"/>
        </w:numPr>
        <w:rPr>
          <w:rFonts w:ascii="Arial" w:cs="Arial" w:eastAsia="Arial" w:hAnsi="Arial"/>
          <w:sz w:val="18"/>
          <w:szCs w:val="18"/>
          <w:color w:val="auto"/>
        </w:rPr>
      </w:pPr>
      <w:r>
        <w:rPr>
          <w:rFonts w:ascii="Arial" w:cs="Arial" w:eastAsia="Arial" w:hAnsi="Arial"/>
          <w:sz w:val="18"/>
          <w:szCs w:val="18"/>
          <w:color w:val="auto"/>
        </w:rPr>
        <w:t>acquired $170 million of intangible assets and incurred a corresponding liability in connection with the formation of the ventures in the Motorola transaction, which is considered a noncash investing and financing activity</w:t>
      </w:r>
    </w:p>
    <w:p>
      <w:pPr>
        <w:spacing w:after="0" w:line="195" w:lineRule="exact"/>
        <w:rPr>
          <w:rFonts w:ascii="Arial" w:cs="Arial" w:eastAsia="Arial" w:hAnsi="Arial"/>
          <w:sz w:val="18"/>
          <w:szCs w:val="18"/>
          <w:color w:val="auto"/>
        </w:rPr>
      </w:pPr>
    </w:p>
    <w:p>
      <w:pPr>
        <w:jc w:val="both"/>
        <w:ind w:left="260" w:right="140" w:hanging="119"/>
        <w:spacing w:after="0" w:line="238" w:lineRule="auto"/>
        <w:tabs>
          <w:tab w:leader="none" w:pos="260" w:val="left"/>
        </w:tabs>
        <w:numPr>
          <w:ilvl w:val="0"/>
          <w:numId w:val="90"/>
        </w:numPr>
        <w:rPr>
          <w:rFonts w:ascii="Arial" w:cs="Arial" w:eastAsia="Arial" w:hAnsi="Arial"/>
          <w:sz w:val="18"/>
          <w:szCs w:val="18"/>
          <w:color w:val="auto"/>
        </w:rPr>
      </w:pPr>
      <w:r>
        <w:rPr>
          <w:rFonts w:ascii="Arial" w:cs="Arial" w:eastAsia="Arial" w:hAnsi="Arial"/>
          <w:sz w:val="18"/>
          <w:szCs w:val="18"/>
          <w:color w:val="auto"/>
        </w:rPr>
        <w:t>acquired an equity method investment with a fair value of $91 million and incurred a corresponding liability, which is considered a noncash investing and financing activity</w:t>
      </w:r>
    </w:p>
    <w:p>
      <w:pPr>
        <w:spacing w:after="0" w:line="194" w:lineRule="exact"/>
        <w:rPr>
          <w:rFonts w:ascii="Arial" w:cs="Arial" w:eastAsia="Arial" w:hAnsi="Arial"/>
          <w:sz w:val="18"/>
          <w:szCs w:val="18"/>
          <w:color w:val="auto"/>
        </w:rPr>
      </w:pPr>
    </w:p>
    <w:p>
      <w:pPr>
        <w:jc w:val="both"/>
        <w:ind w:left="260" w:right="140" w:hanging="119"/>
        <w:spacing w:after="0" w:line="275" w:lineRule="auto"/>
        <w:tabs>
          <w:tab w:leader="none" w:pos="260" w:val="left"/>
        </w:tabs>
        <w:numPr>
          <w:ilvl w:val="0"/>
          <w:numId w:val="90"/>
        </w:numPr>
        <w:rPr>
          <w:rFonts w:ascii="Arial" w:cs="Arial" w:eastAsia="Arial" w:hAnsi="Arial"/>
          <w:sz w:val="16"/>
          <w:szCs w:val="16"/>
          <w:color w:val="auto"/>
        </w:rPr>
      </w:pPr>
      <w:r>
        <w:rPr>
          <w:rFonts w:ascii="Arial" w:cs="Arial" w:eastAsia="Arial" w:hAnsi="Arial"/>
          <w:sz w:val="16"/>
          <w:szCs w:val="16"/>
          <w:color w:val="auto"/>
        </w:rPr>
        <w:t>acquired an additional equity interest with a fair value of $45 million and recorded a liability for a corresponding amount in connection with our achievement of certain subscriber launch milestones, which is considered a noncash investing and operating activity</w:t>
      </w:r>
    </w:p>
    <w:p>
      <w:pPr>
        <w:spacing w:after="0" w:line="129" w:lineRule="exact"/>
        <w:rPr>
          <w:rFonts w:ascii="Arial" w:cs="Arial" w:eastAsia="Arial" w:hAnsi="Arial"/>
          <w:sz w:val="18"/>
          <w:szCs w:val="18"/>
          <w:color w:val="auto"/>
        </w:rPr>
      </w:pPr>
    </w:p>
    <w:p>
      <w:pPr>
        <w:ind w:left="140"/>
        <w:spacing w:after="0"/>
        <w:rPr>
          <w:sz w:val="20"/>
          <w:szCs w:val="20"/>
          <w:color w:val="auto"/>
        </w:rPr>
      </w:pPr>
      <w:r>
        <w:rPr>
          <w:rFonts w:ascii="Arial" w:cs="Arial" w:eastAsia="Arial" w:hAnsi="Arial"/>
          <w:sz w:val="18"/>
          <w:szCs w:val="18"/>
          <w:color w:val="35BF85"/>
        </w:rPr>
        <w:t>During 2004, we:</w:t>
      </w:r>
    </w:p>
    <w:p>
      <w:pPr>
        <w:spacing w:after="0" w:line="77" w:lineRule="exact"/>
        <w:rPr>
          <w:rFonts w:ascii="Arial" w:cs="Arial" w:eastAsia="Arial" w:hAnsi="Arial"/>
          <w:sz w:val="18"/>
          <w:szCs w:val="18"/>
          <w:color w:val="auto"/>
        </w:rPr>
      </w:pPr>
    </w:p>
    <w:p>
      <w:pPr>
        <w:jc w:val="both"/>
        <w:ind w:left="260" w:right="140" w:hanging="119"/>
        <w:spacing w:after="0" w:line="236" w:lineRule="auto"/>
        <w:tabs>
          <w:tab w:leader="none" w:pos="260" w:val="left"/>
        </w:tabs>
        <w:numPr>
          <w:ilvl w:val="0"/>
          <w:numId w:val="91"/>
        </w:numPr>
        <w:rPr>
          <w:rFonts w:ascii="Arial" w:cs="Arial" w:eastAsia="Arial" w:hAnsi="Arial"/>
          <w:sz w:val="18"/>
          <w:szCs w:val="18"/>
          <w:color w:val="auto"/>
        </w:rPr>
      </w:pPr>
      <w:r>
        <w:rPr>
          <w:rFonts w:ascii="Arial" w:cs="Arial" w:eastAsia="Arial" w:hAnsi="Arial"/>
          <w:sz w:val="18"/>
          <w:szCs w:val="18"/>
          <w:color w:val="auto"/>
        </w:rPr>
        <w:t>settled through noncash financing and investing activities approximately $1.944 billion related to our Exchangeable Notes by delivering the underlying securities to the counterparties upon maturity of the instruments, and the equity collar agreements related to the underlying securities were exercised</w:t>
      </w:r>
    </w:p>
    <w:p>
      <w:pPr>
        <w:spacing w:after="0" w:line="197" w:lineRule="exact"/>
        <w:rPr>
          <w:rFonts w:ascii="Arial" w:cs="Arial" w:eastAsia="Arial" w:hAnsi="Arial"/>
          <w:sz w:val="18"/>
          <w:szCs w:val="18"/>
          <w:color w:val="auto"/>
        </w:rPr>
      </w:pPr>
    </w:p>
    <w:p>
      <w:pPr>
        <w:jc w:val="both"/>
        <w:ind w:left="260" w:right="140" w:hanging="119"/>
        <w:spacing w:after="0" w:line="238" w:lineRule="auto"/>
        <w:tabs>
          <w:tab w:leader="none" w:pos="260" w:val="left"/>
        </w:tabs>
        <w:numPr>
          <w:ilvl w:val="0"/>
          <w:numId w:val="91"/>
        </w:numPr>
        <w:rPr>
          <w:rFonts w:ascii="Arial" w:cs="Arial" w:eastAsia="Arial" w:hAnsi="Arial"/>
          <w:sz w:val="18"/>
          <w:szCs w:val="18"/>
          <w:color w:val="0000EE"/>
        </w:rPr>
      </w:pPr>
      <w:r>
        <w:rPr>
          <w:rFonts w:ascii="Arial" w:cs="Arial" w:eastAsia="Arial" w:hAnsi="Arial"/>
          <w:sz w:val="18"/>
          <w:szCs w:val="18"/>
          <w:color w:val="auto"/>
        </w:rPr>
        <w:t xml:space="preserve">received noncash consideration of approximately $475 million in </w:t>
      </w:r>
      <w:hyperlink w:anchor="page126">
        <w:r>
          <w:rPr>
            <w:rFonts w:ascii="Arial" w:cs="Arial" w:eastAsia="Arial" w:hAnsi="Arial"/>
            <w:sz w:val="18"/>
            <w:szCs w:val="18"/>
            <w:color w:val="auto"/>
          </w:rPr>
          <w:t xml:space="preserve">connection with the Liberty Media Exchange Agreement (see </w:t>
        </w:r>
        <w:r>
          <w:rPr>
            <w:rFonts w:ascii="Arial" w:cs="Arial" w:eastAsia="Arial" w:hAnsi="Arial"/>
            <w:sz w:val="18"/>
            <w:szCs w:val="18"/>
            <w:u w:val="single" w:color="auto"/>
            <w:color w:val="0000EE"/>
          </w:rPr>
          <w:t>Note</w:t>
        </w:r>
      </w:hyperlink>
      <w:r>
        <w:rPr>
          <w:rFonts w:ascii="Arial" w:cs="Arial" w:eastAsia="Arial" w:hAnsi="Arial"/>
          <w:sz w:val="18"/>
          <w:szCs w:val="18"/>
          <w:color w:val="auto"/>
        </w:rPr>
        <w:t xml:space="preserve"> </w:t>
      </w:r>
      <w:hyperlink w:anchor="page126">
        <w:r>
          <w:rPr>
            <w:rFonts w:ascii="Arial" w:cs="Arial" w:eastAsia="Arial" w:hAnsi="Arial"/>
            <w:sz w:val="18"/>
            <w:szCs w:val="18"/>
            <w:u w:val="single" w:color="auto"/>
            <w:color w:val="0000EE"/>
          </w:rPr>
          <w:t>5</w:t>
        </w:r>
        <w:r>
          <w:rPr>
            <w:rFonts w:ascii="Arial" w:cs="Arial" w:eastAsia="Arial" w:hAnsi="Arial"/>
            <w:sz w:val="18"/>
            <w:szCs w:val="18"/>
            <w:color w:val="000000"/>
          </w:rPr>
          <w:t>), which is considered a noncash investing activity</w:t>
        </w:r>
      </w:hyperlink>
    </w:p>
    <w:p>
      <w:pPr>
        <w:spacing w:after="0" w:line="194" w:lineRule="exact"/>
        <w:rPr>
          <w:rFonts w:ascii="Arial" w:cs="Arial" w:eastAsia="Arial" w:hAnsi="Arial"/>
          <w:sz w:val="18"/>
          <w:szCs w:val="18"/>
          <w:color w:val="0000EE"/>
        </w:rPr>
      </w:pPr>
    </w:p>
    <w:p>
      <w:pPr>
        <w:ind w:left="260" w:right="120" w:hanging="119"/>
        <w:spacing w:after="0" w:line="299" w:lineRule="auto"/>
        <w:tabs>
          <w:tab w:leader="none" w:pos="260" w:val="left"/>
        </w:tabs>
        <w:numPr>
          <w:ilvl w:val="0"/>
          <w:numId w:val="91"/>
        </w:numPr>
        <w:rPr>
          <w:rFonts w:ascii="Arial" w:cs="Arial" w:eastAsia="Arial" w:hAnsi="Arial"/>
          <w:sz w:val="16"/>
          <w:szCs w:val="16"/>
          <w:color w:val="auto"/>
        </w:rPr>
      </w:pPr>
      <w:r>
        <w:rPr>
          <w:rFonts w:ascii="Arial" w:cs="Arial" w:eastAsia="Arial" w:hAnsi="Arial"/>
          <w:sz w:val="16"/>
          <w:szCs w:val="16"/>
          <w:color w:val="auto"/>
        </w:rPr>
        <w:t>acquired cable systems through the assumption of $68 million of debt, which is considered a noncash investing and financing activity</w:t>
      </w:r>
    </w:p>
    <w:p>
      <w:pPr>
        <w:spacing w:after="0" w:line="149" w:lineRule="exact"/>
        <w:rPr>
          <w:rFonts w:ascii="Arial" w:cs="Arial" w:eastAsia="Arial" w:hAnsi="Arial"/>
          <w:sz w:val="16"/>
          <w:szCs w:val="16"/>
          <w:color w:val="auto"/>
        </w:rPr>
      </w:pPr>
    </w:p>
    <w:p>
      <w:pPr>
        <w:jc w:val="both"/>
        <w:ind w:left="260" w:right="140" w:hanging="119"/>
        <w:spacing w:after="0" w:line="238" w:lineRule="auto"/>
        <w:tabs>
          <w:tab w:leader="none" w:pos="260" w:val="left"/>
        </w:tabs>
        <w:numPr>
          <w:ilvl w:val="0"/>
          <w:numId w:val="91"/>
        </w:numPr>
        <w:rPr>
          <w:rFonts w:ascii="Arial" w:cs="Arial" w:eastAsia="Arial" w:hAnsi="Arial"/>
          <w:sz w:val="18"/>
          <w:szCs w:val="18"/>
          <w:color w:val="auto"/>
        </w:rPr>
      </w:pPr>
      <w:r>
        <w:rPr>
          <w:rFonts w:ascii="Arial" w:cs="Arial" w:eastAsia="Arial" w:hAnsi="Arial"/>
          <w:sz w:val="18"/>
          <w:szCs w:val="18"/>
          <w:color w:val="auto"/>
        </w:rPr>
        <w:t xml:space="preserve">issued shares of G4 with a value of approximately $70 million in connection with the acquisition of TechTV (see </w:t>
      </w:r>
      <w:hyperlink w:anchor="page126">
        <w:r>
          <w:rPr>
            <w:rFonts w:ascii="Arial" w:cs="Arial" w:eastAsia="Arial" w:hAnsi="Arial"/>
            <w:sz w:val="18"/>
            <w:szCs w:val="18"/>
            <w:u w:val="single" w:color="auto"/>
            <w:color w:val="0000EE"/>
          </w:rPr>
          <w:t>Note 5</w:t>
        </w:r>
      </w:hyperlink>
      <w:r>
        <w:rPr>
          <w:rFonts w:ascii="Arial" w:cs="Arial" w:eastAsia="Arial" w:hAnsi="Arial"/>
          <w:sz w:val="18"/>
          <w:szCs w:val="18"/>
          <w:color w:val="auto"/>
        </w:rPr>
        <w:t>), which is considered a noncash financing and investing activity</w:t>
      </w:r>
    </w:p>
    <w:p>
      <w:pPr>
        <w:spacing w:after="0" w:line="194" w:lineRule="exact"/>
        <w:rPr>
          <w:rFonts w:ascii="Arial" w:cs="Arial" w:eastAsia="Arial" w:hAnsi="Arial"/>
          <w:sz w:val="18"/>
          <w:szCs w:val="18"/>
          <w:color w:val="auto"/>
        </w:rPr>
      </w:pPr>
    </w:p>
    <w:p>
      <w:pPr>
        <w:ind w:left="260" w:hanging="119"/>
        <w:spacing w:after="0"/>
        <w:tabs>
          <w:tab w:leader="none" w:pos="260" w:val="left"/>
        </w:tabs>
        <w:numPr>
          <w:ilvl w:val="0"/>
          <w:numId w:val="91"/>
        </w:numPr>
        <w:rPr>
          <w:rFonts w:ascii="Arial" w:cs="Arial" w:eastAsia="Arial" w:hAnsi="Arial"/>
          <w:sz w:val="18"/>
          <w:szCs w:val="18"/>
          <w:color w:val="auto"/>
        </w:rPr>
      </w:pPr>
      <w:r>
        <w:rPr>
          <w:rFonts w:ascii="Arial" w:cs="Arial" w:eastAsia="Arial" w:hAnsi="Arial"/>
          <w:sz w:val="18"/>
          <w:szCs w:val="18"/>
          <w:color w:val="auto"/>
        </w:rPr>
        <w:t>received federal income tax refunds of approximately $591 million</w:t>
      </w:r>
    </w:p>
    <w:p>
      <w:pPr>
        <w:spacing w:after="0" w:line="178" w:lineRule="exact"/>
        <w:rPr>
          <w:rFonts w:ascii="Arial" w:cs="Arial" w:eastAsia="Arial" w:hAnsi="Arial"/>
          <w:sz w:val="18"/>
          <w:szCs w:val="18"/>
          <w:color w:val="auto"/>
        </w:rPr>
      </w:pPr>
    </w:p>
    <w:p>
      <w:pPr>
        <w:spacing w:after="0"/>
        <w:tabs>
          <w:tab w:leader="none" w:pos="1080" w:val="left"/>
        </w:tabs>
        <w:rPr>
          <w:sz w:val="20"/>
          <w:szCs w:val="20"/>
          <w:color w:val="auto"/>
        </w:rPr>
      </w:pPr>
      <w:r>
        <w:rPr>
          <w:rFonts w:ascii="Arial" w:cs="Arial" w:eastAsia="Arial" w:hAnsi="Arial"/>
          <w:sz w:val="12"/>
          <w:szCs w:val="12"/>
          <w:b w:val="1"/>
          <w:bCs w:val="1"/>
          <w:color w:val="auto"/>
        </w:rPr>
        <w:t>63</w:t>
      </w:r>
      <w:r>
        <w:rPr>
          <w:sz w:val="20"/>
          <w:szCs w:val="20"/>
          <w:color w:val="auto"/>
        </w:rPr>
        <w:tab/>
      </w:r>
      <w:r>
        <w:rPr>
          <w:rFonts w:ascii="Arial" w:cs="Arial" w:eastAsia="Arial" w:hAnsi="Arial"/>
          <w:sz w:val="12"/>
          <w:szCs w:val="12"/>
          <w:color w:val="auto"/>
        </w:rPr>
        <w:t xml:space="preserve">Comcast 2006 Annual Report </w:t>
      </w:r>
      <w:r>
        <w:rPr>
          <w:rFonts w:ascii="Arial" w:cs="Arial" w:eastAsia="Arial" w:hAnsi="Arial"/>
          <w:sz w:val="12"/>
          <w:szCs w:val="12"/>
          <w:b w:val="1"/>
          <w:bCs w:val="1"/>
          <w:color w:val="auto"/>
        </w:rPr>
        <w:t>Notes to Consolidated Financial Statements</w:t>
      </w:r>
    </w:p>
    <w:p>
      <w:pPr>
        <w:sectPr>
          <w:pgSz w:w="11900" w:h="16838" w:orient="portrait"/>
          <w:cols w:equalWidth="0" w:num="2">
            <w:col w:w="5480" w:space="200"/>
            <w:col w:w="5740"/>
          </w:cols>
          <w:pgMar w:left="240" w:top="459" w:right="239" w:bottom="1440" w:gutter="0" w:footer="0" w:header="0"/>
          <w:type w:val="continuous"/>
        </w:sectPr>
      </w:pPr>
    </w:p>
    <w:bookmarkStart w:id="140" w:name="page141"/>
    <w:bookmarkEnd w:id="140"/>
    <w:p>
      <w:pPr>
        <w:spacing w:after="0"/>
        <w:rPr>
          <w:rFonts w:ascii="Arial" w:cs="Arial" w:eastAsia="Arial" w:hAnsi="Arial"/>
          <w:sz w:val="18"/>
          <w:szCs w:val="18"/>
          <w:b w:val="1"/>
          <w:bCs w:val="1"/>
          <w:u w:val="single" w:color="auto"/>
          <w:color w:val="0000EE"/>
        </w:rPr>
      </w:pPr>
      <w:hyperlink w:anchor="page3">
        <w:r>
          <w:rPr>
            <w:rFonts w:ascii="Arial" w:cs="Arial" w:eastAsia="Arial" w:hAnsi="Arial"/>
            <w:sz w:val="18"/>
            <w:szCs w:val="18"/>
            <w:b w:val="1"/>
            <w:bCs w:val="1"/>
            <w:u w:val="single" w:color="auto"/>
            <w:color w:val="0000EE"/>
          </w:rPr>
          <w:t>Table of Contents</w:t>
        </w:r>
      </w:hyperlink>
    </w:p>
    <w:p>
      <w:pPr>
        <w:spacing w:after="0" w:line="200" w:lineRule="exact"/>
        <w:rPr>
          <w:sz w:val="20"/>
          <w:szCs w:val="20"/>
          <w:color w:val="auto"/>
        </w:rPr>
      </w:pPr>
    </w:p>
    <w:p>
      <w:pPr>
        <w:spacing w:after="0" w:line="276" w:lineRule="exact"/>
        <w:rPr>
          <w:sz w:val="20"/>
          <w:szCs w:val="20"/>
          <w:color w:val="auto"/>
        </w:rPr>
      </w:pPr>
    </w:p>
    <w:p>
      <w:pPr>
        <w:spacing w:after="0"/>
        <w:rPr>
          <w:sz w:val="20"/>
          <w:szCs w:val="20"/>
          <w:color w:val="auto"/>
        </w:rPr>
      </w:pPr>
      <w:r>
        <w:rPr>
          <w:rFonts w:ascii="Arial" w:cs="Arial" w:eastAsia="Arial" w:hAnsi="Arial"/>
          <w:sz w:val="18"/>
          <w:szCs w:val="18"/>
          <w:color w:val="35BF85"/>
        </w:rPr>
        <w:t>Note 13: Commitments and Contingencies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63500</wp:posOffset>
            </wp:positionV>
            <wp:extent cx="3481705" cy="8890"/>
            <wp:wrapNone/>
            <wp:docPr id="210" name="Picture 2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0"/>
                    <pic:cNvPicPr>
                      <a:picLocks noChangeAspect="1" noChangeArrowheads="1"/>
                    </pic:cNvPicPr>
                  </pic:nvPicPr>
                  <pic:blipFill>
                    <a:blip r:embed="rId217">
                      <a:extLst>
                        <a:ext uri="{28A0092B-C50C-407E-A947-70E740481C1C}"/>
                      </a:extLst>
                    </a:blip>
                    <a:srcRect/>
                    <a:stretch>
                      <a:fillRect/>
                    </a:stretch>
                  </pic:blipFill>
                  <pic:spPr bwMode="auto">
                    <a:xfrm>
                      <a:off x="0" y="0"/>
                      <a:ext cx="3481705" cy="8890"/>
                    </a:xfrm>
                    <a:prstGeom prst="rect">
                      <a:avLst/>
                    </a:prstGeom>
                    <a:noFill/>
                  </pic:spPr>
                </pic:pic>
              </a:graphicData>
            </a:graphic>
          </wp:anchor>
        </w:drawing>
      </w:r>
    </w:p>
    <w:p>
      <w:pPr>
        <w:spacing w:after="0" w:line="23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Commitments</w:t>
      </w:r>
    </w:p>
    <w:p>
      <w:pPr>
        <w:spacing w:after="0" w:line="18" w:lineRule="exact"/>
        <w:rPr>
          <w:sz w:val="20"/>
          <w:szCs w:val="20"/>
          <w:color w:val="auto"/>
        </w:rPr>
      </w:pPr>
    </w:p>
    <w:p>
      <w:pPr>
        <w:jc w:val="both"/>
        <w:spacing w:after="0" w:line="236" w:lineRule="auto"/>
        <w:rPr>
          <w:sz w:val="20"/>
          <w:szCs w:val="20"/>
          <w:color w:val="auto"/>
        </w:rPr>
      </w:pPr>
      <w:r>
        <w:rPr>
          <w:rFonts w:ascii="Arial" w:cs="Arial" w:eastAsia="Arial" w:hAnsi="Arial"/>
          <w:sz w:val="18"/>
          <w:szCs w:val="18"/>
          <w:color w:val="auto"/>
        </w:rPr>
        <w:t>Our programming networks have entered into license agreements for programs and sporting events that are available for telecast. In addition, we, through Comcast Spectacor, have employment agreements with both players and coaches of our professional sports teams. Certain of these employment agreements, which provide for payments that are guaranteed regardless of employee injury or termination, are covered by disability insurance if certain conditions are met.</w:t>
      </w:r>
    </w:p>
    <w:p>
      <w:pPr>
        <w:spacing w:after="0" w:line="154" w:lineRule="exact"/>
        <w:rPr>
          <w:sz w:val="20"/>
          <w:szCs w:val="20"/>
          <w:color w:val="auto"/>
        </w:rPr>
      </w:pPr>
    </w:p>
    <w:p>
      <w:pPr>
        <w:jc w:val="both"/>
        <w:spacing w:after="0" w:line="269" w:lineRule="auto"/>
        <w:rPr>
          <w:rFonts w:ascii="Arial" w:cs="Arial" w:eastAsia="Arial" w:hAnsi="Arial"/>
          <w:sz w:val="16"/>
          <w:szCs w:val="16"/>
          <w:color w:val="auto"/>
        </w:rPr>
      </w:pPr>
      <w:r>
        <w:rPr>
          <w:rFonts w:ascii="Arial" w:cs="Arial" w:eastAsia="Arial" w:hAnsi="Arial"/>
          <w:sz w:val="16"/>
          <w:szCs w:val="16"/>
          <w:color w:val="auto"/>
        </w:rPr>
        <w:t xml:space="preserve">Certain of our subsidiaries support debt compliance with respect to obligations of certain cable television partnerships and investments in which we hold an ownership interest (see </w:t>
      </w:r>
      <w:hyperlink w:anchor="page128">
        <w:r>
          <w:rPr>
            <w:rFonts w:ascii="Arial" w:cs="Arial" w:eastAsia="Arial" w:hAnsi="Arial"/>
            <w:sz w:val="16"/>
            <w:szCs w:val="16"/>
            <w:u w:val="single" w:color="auto"/>
            <w:color w:val="0000EE"/>
          </w:rPr>
          <w:t>Note 6</w:t>
        </w:r>
      </w:hyperlink>
      <w:r>
        <w:rPr>
          <w:rFonts w:ascii="Arial" w:cs="Arial" w:eastAsia="Arial" w:hAnsi="Arial"/>
          <w:sz w:val="16"/>
          <w:szCs w:val="16"/>
          <w:color w:val="auto"/>
        </w:rPr>
        <w:t>). The obligations expire between May 2008 and March 2011. Although there can be no assurance, we believe that we will not be required to meet our obligations under such commitments. The total notional amount of our commitments was $965 million as of December 31, 2006, at which time there were no quoted market prices for similar agreements.</w:t>
      </w:r>
    </w:p>
    <w:p>
      <w:pPr>
        <w:spacing w:after="0" w:line="133" w:lineRule="exact"/>
        <w:rPr>
          <w:sz w:val="20"/>
          <w:szCs w:val="20"/>
          <w:color w:val="auto"/>
        </w:rPr>
      </w:pPr>
    </w:p>
    <w:p>
      <w:pPr>
        <w:jc w:val="both"/>
        <w:spacing w:after="0" w:line="236" w:lineRule="auto"/>
        <w:rPr>
          <w:sz w:val="20"/>
          <w:szCs w:val="20"/>
          <w:color w:val="auto"/>
        </w:rPr>
      </w:pPr>
      <w:r>
        <w:rPr>
          <w:rFonts w:ascii="Arial" w:cs="Arial" w:eastAsia="Arial" w:hAnsi="Arial"/>
          <w:sz w:val="18"/>
          <w:szCs w:val="18"/>
          <w:color w:val="auto"/>
        </w:rPr>
        <w:t>The following table summarizes our minimum annual commitments under programming license agreements of our programming networks and our minimum annual rental commitments for office space, equipment and transponder service agreements under noncancelable operating leases:</w:t>
      </w:r>
    </w:p>
    <w:p>
      <w:pPr>
        <w:spacing w:after="0" w:line="182"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760" w:type="dxa"/>
            <w:vAlign w:val="bottom"/>
          </w:tcPr>
          <w:p>
            <w:pPr>
              <w:spacing w:after="0"/>
              <w:rPr>
                <w:sz w:val="13"/>
                <w:szCs w:val="13"/>
                <w:color w:val="auto"/>
              </w:rPr>
            </w:pPr>
          </w:p>
        </w:tc>
        <w:tc>
          <w:tcPr>
            <w:tcW w:w="980" w:type="dxa"/>
            <w:vAlign w:val="bottom"/>
          </w:tcPr>
          <w:p>
            <w:pPr>
              <w:spacing w:after="0"/>
              <w:rPr>
                <w:sz w:val="13"/>
                <w:szCs w:val="13"/>
                <w:color w:val="auto"/>
              </w:rPr>
            </w:pPr>
          </w:p>
        </w:tc>
        <w:tc>
          <w:tcPr>
            <w:tcW w:w="860" w:type="dxa"/>
            <w:vAlign w:val="bottom"/>
          </w:tcPr>
          <w:p>
            <w:pPr>
              <w:jc w:val="right"/>
              <w:ind w:right="197"/>
              <w:spacing w:after="0"/>
              <w:rPr>
                <w:sz w:val="20"/>
                <w:szCs w:val="20"/>
                <w:color w:val="auto"/>
              </w:rPr>
            </w:pPr>
            <w:r>
              <w:rPr>
                <w:rFonts w:ascii="Arial" w:cs="Arial" w:eastAsia="Arial" w:hAnsi="Arial"/>
                <w:sz w:val="14"/>
                <w:szCs w:val="14"/>
                <w:color w:val="auto"/>
              </w:rPr>
              <w:t>Program</w:t>
            </w:r>
          </w:p>
        </w:tc>
        <w:tc>
          <w:tcPr>
            <w:tcW w:w="880" w:type="dxa"/>
            <w:vAlign w:val="bottom"/>
          </w:tcPr>
          <w:p>
            <w:pPr>
              <w:spacing w:after="0"/>
              <w:rPr>
                <w:sz w:val="13"/>
                <w:szCs w:val="13"/>
                <w:color w:val="auto"/>
              </w:rPr>
            </w:pPr>
          </w:p>
        </w:tc>
      </w:tr>
      <w:tr>
        <w:trPr>
          <w:trHeight w:val="149"/>
        </w:trPr>
        <w:tc>
          <w:tcPr>
            <w:tcW w:w="2760" w:type="dxa"/>
            <w:vAlign w:val="bottom"/>
          </w:tcPr>
          <w:p>
            <w:pPr>
              <w:spacing w:after="0"/>
              <w:rPr>
                <w:sz w:val="12"/>
                <w:szCs w:val="12"/>
                <w:color w:val="auto"/>
              </w:rPr>
            </w:pPr>
          </w:p>
        </w:tc>
        <w:tc>
          <w:tcPr>
            <w:tcW w:w="980" w:type="dxa"/>
            <w:vAlign w:val="bottom"/>
          </w:tcPr>
          <w:p>
            <w:pPr>
              <w:spacing w:after="0"/>
              <w:rPr>
                <w:sz w:val="12"/>
                <w:szCs w:val="12"/>
                <w:color w:val="auto"/>
              </w:rPr>
            </w:pPr>
          </w:p>
        </w:tc>
        <w:tc>
          <w:tcPr>
            <w:tcW w:w="860" w:type="dxa"/>
            <w:vAlign w:val="bottom"/>
          </w:tcPr>
          <w:p>
            <w:pPr>
              <w:jc w:val="right"/>
              <w:ind w:right="197"/>
              <w:spacing w:after="0" w:line="149" w:lineRule="exact"/>
              <w:rPr>
                <w:sz w:val="20"/>
                <w:szCs w:val="20"/>
                <w:color w:val="auto"/>
              </w:rPr>
            </w:pPr>
            <w:r>
              <w:rPr>
                <w:rFonts w:ascii="Arial" w:cs="Arial" w:eastAsia="Arial" w:hAnsi="Arial"/>
                <w:sz w:val="14"/>
                <w:szCs w:val="14"/>
                <w:color w:val="auto"/>
              </w:rPr>
              <w:t>License</w:t>
            </w:r>
          </w:p>
        </w:tc>
        <w:tc>
          <w:tcPr>
            <w:tcW w:w="880" w:type="dxa"/>
            <w:vAlign w:val="bottom"/>
          </w:tcPr>
          <w:p>
            <w:pPr>
              <w:jc w:val="right"/>
              <w:spacing w:after="0" w:line="149" w:lineRule="exact"/>
              <w:rPr>
                <w:sz w:val="20"/>
                <w:szCs w:val="20"/>
                <w:color w:val="auto"/>
              </w:rPr>
            </w:pPr>
            <w:r>
              <w:rPr>
                <w:rFonts w:ascii="Arial" w:cs="Arial" w:eastAsia="Arial" w:hAnsi="Arial"/>
                <w:sz w:val="14"/>
                <w:szCs w:val="14"/>
                <w:color w:val="auto"/>
              </w:rPr>
              <w:t>Operating</w:t>
            </w:r>
          </w:p>
        </w:tc>
      </w:tr>
      <w:tr>
        <w:trPr>
          <w:trHeight w:val="149"/>
        </w:trPr>
        <w:tc>
          <w:tcPr>
            <w:tcW w:w="2760" w:type="dxa"/>
            <w:vAlign w:val="bottom"/>
            <w:tcBorders>
              <w:bottom w:val="single" w:sz="8" w:color="auto"/>
            </w:tcBorders>
          </w:tcPr>
          <w:p>
            <w:pPr>
              <w:ind w:left="20"/>
              <w:spacing w:after="0" w:line="149" w:lineRule="exact"/>
              <w:rPr>
                <w:sz w:val="20"/>
                <w:szCs w:val="20"/>
                <w:color w:val="auto"/>
              </w:rPr>
            </w:pPr>
            <w:r>
              <w:rPr>
                <w:rFonts w:ascii="Arial" w:cs="Arial" w:eastAsia="Arial" w:hAnsi="Arial"/>
                <w:sz w:val="14"/>
                <w:szCs w:val="14"/>
                <w:color w:val="auto"/>
              </w:rPr>
              <w:t>December 31, 2006 (in millions)</w:t>
            </w:r>
          </w:p>
        </w:tc>
        <w:tc>
          <w:tcPr>
            <w:tcW w:w="1840" w:type="dxa"/>
            <w:vAlign w:val="bottom"/>
            <w:tcBorders>
              <w:bottom w:val="single" w:sz="8" w:color="auto"/>
            </w:tcBorders>
            <w:gridSpan w:val="2"/>
          </w:tcPr>
          <w:p>
            <w:pPr>
              <w:jc w:val="right"/>
              <w:ind w:right="197"/>
              <w:spacing w:after="0" w:line="149" w:lineRule="exact"/>
              <w:rPr>
                <w:sz w:val="20"/>
                <w:szCs w:val="20"/>
                <w:color w:val="auto"/>
              </w:rPr>
            </w:pPr>
            <w:r>
              <w:rPr>
                <w:rFonts w:ascii="Arial" w:cs="Arial" w:eastAsia="Arial" w:hAnsi="Arial"/>
                <w:sz w:val="14"/>
                <w:szCs w:val="14"/>
                <w:color w:val="auto"/>
              </w:rPr>
              <w:t>Agreements</w:t>
            </w:r>
          </w:p>
        </w:tc>
        <w:tc>
          <w:tcPr>
            <w:tcW w:w="880" w:type="dxa"/>
            <w:vAlign w:val="bottom"/>
            <w:tcBorders>
              <w:bottom w:val="single" w:sz="8" w:color="auto"/>
            </w:tcBorders>
          </w:tcPr>
          <w:p>
            <w:pPr>
              <w:jc w:val="right"/>
              <w:spacing w:after="0" w:line="149" w:lineRule="exact"/>
              <w:rPr>
                <w:sz w:val="20"/>
                <w:szCs w:val="20"/>
                <w:color w:val="auto"/>
              </w:rPr>
            </w:pPr>
            <w:r>
              <w:rPr>
                <w:rFonts w:ascii="Arial" w:cs="Arial" w:eastAsia="Arial" w:hAnsi="Arial"/>
                <w:sz w:val="14"/>
                <w:szCs w:val="14"/>
                <w:color w:val="auto"/>
              </w:rPr>
              <w:t>Leases</w:t>
            </w:r>
          </w:p>
        </w:tc>
      </w:tr>
      <w:tr>
        <w:trPr>
          <w:trHeight w:val="199"/>
        </w:trPr>
        <w:tc>
          <w:tcPr>
            <w:tcW w:w="2760" w:type="dxa"/>
            <w:vAlign w:val="bottom"/>
          </w:tcPr>
          <w:p>
            <w:pPr>
              <w:ind w:left="20"/>
              <w:spacing w:after="0" w:line="200" w:lineRule="exact"/>
              <w:rPr>
                <w:sz w:val="20"/>
                <w:szCs w:val="20"/>
                <w:color w:val="auto"/>
              </w:rPr>
            </w:pPr>
            <w:r>
              <w:rPr>
                <w:rFonts w:ascii="Arial" w:cs="Arial" w:eastAsia="Arial" w:hAnsi="Arial"/>
                <w:sz w:val="18"/>
                <w:szCs w:val="18"/>
                <w:color w:val="auto"/>
              </w:rPr>
              <w:t>2007</w:t>
            </w:r>
          </w:p>
        </w:tc>
        <w:tc>
          <w:tcPr>
            <w:tcW w:w="980" w:type="dxa"/>
            <w:vAlign w:val="bottom"/>
          </w:tcPr>
          <w:p>
            <w:pPr>
              <w:jc w:val="right"/>
              <w:spacing w:after="0" w:line="200" w:lineRule="exact"/>
              <w:rPr>
                <w:sz w:val="20"/>
                <w:szCs w:val="20"/>
                <w:color w:val="auto"/>
              </w:rPr>
            </w:pPr>
            <w:r>
              <w:rPr>
                <w:rFonts w:ascii="Arial" w:cs="Arial" w:eastAsia="Arial" w:hAnsi="Arial"/>
                <w:sz w:val="18"/>
                <w:szCs w:val="18"/>
                <w:color w:val="auto"/>
              </w:rPr>
              <w:t>$</w:t>
            </w:r>
          </w:p>
        </w:tc>
        <w:tc>
          <w:tcPr>
            <w:tcW w:w="860" w:type="dxa"/>
            <w:vAlign w:val="bottom"/>
          </w:tcPr>
          <w:p>
            <w:pPr>
              <w:jc w:val="right"/>
              <w:ind w:right="197"/>
              <w:spacing w:after="0" w:line="200" w:lineRule="exact"/>
              <w:rPr>
                <w:sz w:val="20"/>
                <w:szCs w:val="20"/>
                <w:color w:val="auto"/>
              </w:rPr>
            </w:pPr>
            <w:r>
              <w:rPr>
                <w:rFonts w:ascii="Arial" w:cs="Arial" w:eastAsia="Arial" w:hAnsi="Arial"/>
                <w:sz w:val="18"/>
                <w:szCs w:val="18"/>
                <w:color w:val="auto"/>
              </w:rPr>
              <w:t>381</w:t>
            </w:r>
          </w:p>
        </w:tc>
        <w:tc>
          <w:tcPr>
            <w:tcW w:w="880" w:type="dxa"/>
            <w:vAlign w:val="bottom"/>
          </w:tcPr>
          <w:p>
            <w:pPr>
              <w:jc w:val="right"/>
              <w:spacing w:after="0" w:line="200" w:lineRule="exact"/>
              <w:rPr>
                <w:sz w:val="20"/>
                <w:szCs w:val="20"/>
                <w:color w:val="auto"/>
              </w:rPr>
            </w:pPr>
            <w:r>
              <w:rPr>
                <w:rFonts w:ascii="Arial" w:cs="Arial" w:eastAsia="Arial" w:hAnsi="Arial"/>
                <w:sz w:val="18"/>
                <w:szCs w:val="18"/>
                <w:color w:val="auto"/>
              </w:rPr>
              <w:t>$  292</w:t>
            </w:r>
          </w:p>
        </w:tc>
      </w:tr>
      <w:tr>
        <w:trPr>
          <w:trHeight w:val="203"/>
        </w:trPr>
        <w:tc>
          <w:tcPr>
            <w:tcW w:w="2760" w:type="dxa"/>
            <w:vAlign w:val="bottom"/>
          </w:tcPr>
          <w:p>
            <w:pPr>
              <w:ind w:left="20"/>
              <w:spacing w:after="0" w:line="202" w:lineRule="exact"/>
              <w:rPr>
                <w:sz w:val="20"/>
                <w:szCs w:val="20"/>
                <w:color w:val="auto"/>
              </w:rPr>
            </w:pPr>
            <w:r>
              <w:rPr>
                <w:rFonts w:ascii="Arial" w:cs="Arial" w:eastAsia="Arial" w:hAnsi="Arial"/>
                <w:sz w:val="18"/>
                <w:szCs w:val="18"/>
                <w:color w:val="auto"/>
              </w:rPr>
              <w:t>2008</w:t>
            </w:r>
          </w:p>
        </w:tc>
        <w:tc>
          <w:tcPr>
            <w:tcW w:w="980" w:type="dxa"/>
            <w:vAlign w:val="bottom"/>
          </w:tcPr>
          <w:p>
            <w:pPr>
              <w:spacing w:after="0"/>
              <w:rPr>
                <w:sz w:val="17"/>
                <w:szCs w:val="17"/>
                <w:color w:val="auto"/>
              </w:rPr>
            </w:pPr>
          </w:p>
        </w:tc>
        <w:tc>
          <w:tcPr>
            <w:tcW w:w="860" w:type="dxa"/>
            <w:vAlign w:val="bottom"/>
          </w:tcPr>
          <w:p>
            <w:pPr>
              <w:jc w:val="right"/>
              <w:ind w:right="197"/>
              <w:spacing w:after="0" w:line="202" w:lineRule="exact"/>
              <w:rPr>
                <w:sz w:val="20"/>
                <w:szCs w:val="20"/>
                <w:color w:val="auto"/>
              </w:rPr>
            </w:pPr>
            <w:r>
              <w:rPr>
                <w:rFonts w:ascii="Arial" w:cs="Arial" w:eastAsia="Arial" w:hAnsi="Arial"/>
                <w:sz w:val="18"/>
                <w:szCs w:val="18"/>
                <w:color w:val="auto"/>
              </w:rPr>
              <w:t>343</w:t>
            </w:r>
          </w:p>
        </w:tc>
        <w:tc>
          <w:tcPr>
            <w:tcW w:w="880" w:type="dxa"/>
            <w:vAlign w:val="bottom"/>
          </w:tcPr>
          <w:p>
            <w:pPr>
              <w:jc w:val="right"/>
              <w:spacing w:after="0" w:line="202" w:lineRule="exact"/>
              <w:rPr>
                <w:sz w:val="20"/>
                <w:szCs w:val="20"/>
                <w:color w:val="auto"/>
              </w:rPr>
            </w:pPr>
            <w:r>
              <w:rPr>
                <w:rFonts w:ascii="Arial" w:cs="Arial" w:eastAsia="Arial" w:hAnsi="Arial"/>
                <w:sz w:val="18"/>
                <w:szCs w:val="18"/>
                <w:color w:val="auto"/>
              </w:rPr>
              <w:t>268</w:t>
            </w:r>
          </w:p>
        </w:tc>
      </w:tr>
      <w:tr>
        <w:trPr>
          <w:trHeight w:val="203"/>
        </w:trPr>
        <w:tc>
          <w:tcPr>
            <w:tcW w:w="2760" w:type="dxa"/>
            <w:vAlign w:val="bottom"/>
          </w:tcPr>
          <w:p>
            <w:pPr>
              <w:ind w:left="20"/>
              <w:spacing w:after="0" w:line="202" w:lineRule="exact"/>
              <w:rPr>
                <w:sz w:val="20"/>
                <w:szCs w:val="20"/>
                <w:color w:val="auto"/>
              </w:rPr>
            </w:pPr>
            <w:r>
              <w:rPr>
                <w:rFonts w:ascii="Arial" w:cs="Arial" w:eastAsia="Arial" w:hAnsi="Arial"/>
                <w:sz w:val="18"/>
                <w:szCs w:val="18"/>
                <w:color w:val="auto"/>
              </w:rPr>
              <w:t>2009</w:t>
            </w:r>
          </w:p>
        </w:tc>
        <w:tc>
          <w:tcPr>
            <w:tcW w:w="980" w:type="dxa"/>
            <w:vAlign w:val="bottom"/>
          </w:tcPr>
          <w:p>
            <w:pPr>
              <w:spacing w:after="0"/>
              <w:rPr>
                <w:sz w:val="17"/>
                <w:szCs w:val="17"/>
                <w:color w:val="auto"/>
              </w:rPr>
            </w:pPr>
          </w:p>
        </w:tc>
        <w:tc>
          <w:tcPr>
            <w:tcW w:w="860" w:type="dxa"/>
            <w:vAlign w:val="bottom"/>
          </w:tcPr>
          <w:p>
            <w:pPr>
              <w:jc w:val="right"/>
              <w:ind w:right="197"/>
              <w:spacing w:after="0" w:line="202" w:lineRule="exact"/>
              <w:rPr>
                <w:sz w:val="20"/>
                <w:szCs w:val="20"/>
                <w:color w:val="auto"/>
              </w:rPr>
            </w:pPr>
            <w:r>
              <w:rPr>
                <w:rFonts w:ascii="Arial" w:cs="Arial" w:eastAsia="Arial" w:hAnsi="Arial"/>
                <w:sz w:val="18"/>
                <w:szCs w:val="18"/>
                <w:color w:val="auto"/>
              </w:rPr>
              <w:t>273</w:t>
            </w:r>
          </w:p>
        </w:tc>
        <w:tc>
          <w:tcPr>
            <w:tcW w:w="880" w:type="dxa"/>
            <w:vAlign w:val="bottom"/>
          </w:tcPr>
          <w:p>
            <w:pPr>
              <w:jc w:val="right"/>
              <w:spacing w:after="0" w:line="202" w:lineRule="exact"/>
              <w:rPr>
                <w:sz w:val="20"/>
                <w:szCs w:val="20"/>
                <w:color w:val="auto"/>
              </w:rPr>
            </w:pPr>
            <w:r>
              <w:rPr>
                <w:rFonts w:ascii="Arial" w:cs="Arial" w:eastAsia="Arial" w:hAnsi="Arial"/>
                <w:sz w:val="18"/>
                <w:szCs w:val="18"/>
                <w:color w:val="auto"/>
              </w:rPr>
              <w:t>223</w:t>
            </w:r>
          </w:p>
        </w:tc>
      </w:tr>
      <w:tr>
        <w:trPr>
          <w:trHeight w:val="203"/>
        </w:trPr>
        <w:tc>
          <w:tcPr>
            <w:tcW w:w="2760" w:type="dxa"/>
            <w:vAlign w:val="bottom"/>
          </w:tcPr>
          <w:p>
            <w:pPr>
              <w:ind w:left="20"/>
              <w:spacing w:after="0" w:line="202" w:lineRule="exact"/>
              <w:rPr>
                <w:sz w:val="20"/>
                <w:szCs w:val="20"/>
                <w:color w:val="auto"/>
              </w:rPr>
            </w:pPr>
            <w:r>
              <w:rPr>
                <w:rFonts w:ascii="Arial" w:cs="Arial" w:eastAsia="Arial" w:hAnsi="Arial"/>
                <w:sz w:val="18"/>
                <w:szCs w:val="18"/>
                <w:color w:val="auto"/>
              </w:rPr>
              <w:t>2010</w:t>
            </w:r>
          </w:p>
        </w:tc>
        <w:tc>
          <w:tcPr>
            <w:tcW w:w="980" w:type="dxa"/>
            <w:vAlign w:val="bottom"/>
          </w:tcPr>
          <w:p>
            <w:pPr>
              <w:spacing w:after="0"/>
              <w:rPr>
                <w:sz w:val="17"/>
                <w:szCs w:val="17"/>
                <w:color w:val="auto"/>
              </w:rPr>
            </w:pPr>
          </w:p>
        </w:tc>
        <w:tc>
          <w:tcPr>
            <w:tcW w:w="860" w:type="dxa"/>
            <w:vAlign w:val="bottom"/>
          </w:tcPr>
          <w:p>
            <w:pPr>
              <w:jc w:val="right"/>
              <w:ind w:right="197"/>
              <w:spacing w:after="0" w:line="202" w:lineRule="exact"/>
              <w:rPr>
                <w:sz w:val="20"/>
                <w:szCs w:val="20"/>
                <w:color w:val="auto"/>
              </w:rPr>
            </w:pPr>
            <w:r>
              <w:rPr>
                <w:rFonts w:ascii="Arial" w:cs="Arial" w:eastAsia="Arial" w:hAnsi="Arial"/>
                <w:sz w:val="18"/>
                <w:szCs w:val="18"/>
                <w:color w:val="auto"/>
              </w:rPr>
              <w:t>284</w:t>
            </w:r>
          </w:p>
        </w:tc>
        <w:tc>
          <w:tcPr>
            <w:tcW w:w="880" w:type="dxa"/>
            <w:vAlign w:val="bottom"/>
          </w:tcPr>
          <w:p>
            <w:pPr>
              <w:jc w:val="right"/>
              <w:spacing w:after="0" w:line="202" w:lineRule="exact"/>
              <w:rPr>
                <w:sz w:val="20"/>
                <w:szCs w:val="20"/>
                <w:color w:val="auto"/>
              </w:rPr>
            </w:pPr>
            <w:r>
              <w:rPr>
                <w:rFonts w:ascii="Arial" w:cs="Arial" w:eastAsia="Arial" w:hAnsi="Arial"/>
                <w:sz w:val="18"/>
                <w:szCs w:val="18"/>
                <w:color w:val="auto"/>
              </w:rPr>
              <w:t>147</w:t>
            </w:r>
          </w:p>
        </w:tc>
      </w:tr>
      <w:tr>
        <w:trPr>
          <w:trHeight w:val="203"/>
        </w:trPr>
        <w:tc>
          <w:tcPr>
            <w:tcW w:w="2760" w:type="dxa"/>
            <w:vAlign w:val="bottom"/>
          </w:tcPr>
          <w:p>
            <w:pPr>
              <w:ind w:left="20"/>
              <w:spacing w:after="0" w:line="202" w:lineRule="exact"/>
              <w:rPr>
                <w:sz w:val="20"/>
                <w:szCs w:val="20"/>
                <w:color w:val="auto"/>
              </w:rPr>
            </w:pPr>
            <w:r>
              <w:rPr>
                <w:rFonts w:ascii="Arial" w:cs="Arial" w:eastAsia="Arial" w:hAnsi="Arial"/>
                <w:sz w:val="18"/>
                <w:szCs w:val="18"/>
                <w:color w:val="auto"/>
              </w:rPr>
              <w:t>2011</w:t>
            </w:r>
          </w:p>
        </w:tc>
        <w:tc>
          <w:tcPr>
            <w:tcW w:w="980" w:type="dxa"/>
            <w:vAlign w:val="bottom"/>
          </w:tcPr>
          <w:p>
            <w:pPr>
              <w:spacing w:after="0"/>
              <w:rPr>
                <w:sz w:val="17"/>
                <w:szCs w:val="17"/>
                <w:color w:val="auto"/>
              </w:rPr>
            </w:pPr>
          </w:p>
        </w:tc>
        <w:tc>
          <w:tcPr>
            <w:tcW w:w="860" w:type="dxa"/>
            <w:vAlign w:val="bottom"/>
          </w:tcPr>
          <w:p>
            <w:pPr>
              <w:jc w:val="right"/>
              <w:ind w:right="197"/>
              <w:spacing w:after="0" w:line="202" w:lineRule="exact"/>
              <w:rPr>
                <w:sz w:val="20"/>
                <w:szCs w:val="20"/>
                <w:color w:val="auto"/>
              </w:rPr>
            </w:pPr>
            <w:r>
              <w:rPr>
                <w:rFonts w:ascii="Arial" w:cs="Arial" w:eastAsia="Arial" w:hAnsi="Arial"/>
                <w:sz w:val="18"/>
                <w:szCs w:val="18"/>
                <w:color w:val="auto"/>
              </w:rPr>
              <w:t>285</w:t>
            </w:r>
          </w:p>
        </w:tc>
        <w:tc>
          <w:tcPr>
            <w:tcW w:w="880" w:type="dxa"/>
            <w:vAlign w:val="bottom"/>
          </w:tcPr>
          <w:p>
            <w:pPr>
              <w:jc w:val="right"/>
              <w:spacing w:after="0" w:line="202" w:lineRule="exact"/>
              <w:rPr>
                <w:sz w:val="20"/>
                <w:szCs w:val="20"/>
                <w:color w:val="auto"/>
              </w:rPr>
            </w:pPr>
            <w:r>
              <w:rPr>
                <w:rFonts w:ascii="Arial" w:cs="Arial" w:eastAsia="Arial" w:hAnsi="Arial"/>
                <w:sz w:val="18"/>
                <w:szCs w:val="18"/>
                <w:color w:val="auto"/>
              </w:rPr>
              <w:t>106</w:t>
            </w:r>
          </w:p>
        </w:tc>
      </w:tr>
      <w:tr>
        <w:trPr>
          <w:trHeight w:val="199"/>
        </w:trPr>
        <w:tc>
          <w:tcPr>
            <w:tcW w:w="2760" w:type="dxa"/>
            <w:vAlign w:val="bottom"/>
            <w:tcBorders>
              <w:bottom w:val="single" w:sz="8" w:color="35BF85"/>
            </w:tcBorders>
          </w:tcPr>
          <w:p>
            <w:pPr>
              <w:ind w:left="20"/>
              <w:spacing w:after="0" w:line="200" w:lineRule="exact"/>
              <w:rPr>
                <w:sz w:val="20"/>
                <w:szCs w:val="20"/>
                <w:color w:val="auto"/>
              </w:rPr>
            </w:pPr>
            <w:r>
              <w:rPr>
                <w:rFonts w:ascii="Arial" w:cs="Arial" w:eastAsia="Arial" w:hAnsi="Arial"/>
                <w:sz w:val="18"/>
                <w:szCs w:val="18"/>
                <w:color w:val="auto"/>
              </w:rPr>
              <w:t>Thereafter</w:t>
            </w:r>
          </w:p>
        </w:tc>
        <w:tc>
          <w:tcPr>
            <w:tcW w:w="980" w:type="dxa"/>
            <w:vAlign w:val="bottom"/>
            <w:tcBorders>
              <w:bottom w:val="single" w:sz="8" w:color="35BF85"/>
            </w:tcBorders>
          </w:tcPr>
          <w:p>
            <w:pPr>
              <w:spacing w:after="0"/>
              <w:rPr>
                <w:sz w:val="17"/>
                <w:szCs w:val="17"/>
                <w:color w:val="auto"/>
              </w:rPr>
            </w:pPr>
          </w:p>
        </w:tc>
        <w:tc>
          <w:tcPr>
            <w:tcW w:w="860" w:type="dxa"/>
            <w:vAlign w:val="bottom"/>
            <w:tcBorders>
              <w:bottom w:val="single" w:sz="8" w:color="35BF85"/>
            </w:tcBorders>
          </w:tcPr>
          <w:p>
            <w:pPr>
              <w:jc w:val="right"/>
              <w:ind w:right="197"/>
              <w:spacing w:after="0" w:line="200" w:lineRule="exact"/>
              <w:rPr>
                <w:sz w:val="20"/>
                <w:szCs w:val="20"/>
                <w:color w:val="auto"/>
              </w:rPr>
            </w:pPr>
            <w:r>
              <w:rPr>
                <w:rFonts w:ascii="Arial" w:cs="Arial" w:eastAsia="Arial" w:hAnsi="Arial"/>
                <w:sz w:val="18"/>
                <w:szCs w:val="18"/>
                <w:color w:val="auto"/>
              </w:rPr>
              <w:t>2,338</w:t>
            </w:r>
          </w:p>
        </w:tc>
        <w:tc>
          <w:tcPr>
            <w:tcW w:w="880" w:type="dxa"/>
            <w:vAlign w:val="bottom"/>
            <w:tcBorders>
              <w:bottom w:val="single" w:sz="8" w:color="35BF85"/>
            </w:tcBorders>
          </w:tcPr>
          <w:p>
            <w:pPr>
              <w:jc w:val="right"/>
              <w:spacing w:after="0" w:line="200" w:lineRule="exact"/>
              <w:rPr>
                <w:sz w:val="20"/>
                <w:szCs w:val="20"/>
                <w:color w:val="auto"/>
              </w:rPr>
            </w:pPr>
            <w:r>
              <w:rPr>
                <w:rFonts w:ascii="Arial" w:cs="Arial" w:eastAsia="Arial" w:hAnsi="Arial"/>
                <w:sz w:val="18"/>
                <w:szCs w:val="18"/>
                <w:color w:val="auto"/>
              </w:rPr>
              <w:t>578</w:t>
            </w:r>
          </w:p>
        </w:tc>
      </w:tr>
    </w:tbl>
    <w:p>
      <w:pPr>
        <w:spacing w:after="0" w:line="246" w:lineRule="exact"/>
        <w:rPr>
          <w:sz w:val="20"/>
          <w:szCs w:val="20"/>
          <w:color w:val="auto"/>
        </w:rPr>
      </w:pPr>
    </w:p>
    <w:p>
      <w:pPr>
        <w:ind w:right="640"/>
        <w:spacing w:after="0" w:line="239" w:lineRule="auto"/>
        <w:rPr>
          <w:sz w:val="20"/>
          <w:szCs w:val="20"/>
          <w:color w:val="auto"/>
        </w:rPr>
      </w:pPr>
      <w:r>
        <w:rPr>
          <w:rFonts w:ascii="Arial" w:cs="Arial" w:eastAsia="Arial" w:hAnsi="Arial"/>
          <w:sz w:val="18"/>
          <w:szCs w:val="18"/>
          <w:color w:val="auto"/>
        </w:rPr>
        <w:t>The following table summarizes our rental expense charged to operations:</w:t>
      </w:r>
    </w:p>
    <w:p>
      <w:pPr>
        <w:spacing w:after="0" w:line="176" w:lineRule="exact"/>
        <w:rPr>
          <w:sz w:val="20"/>
          <w:szCs w:val="20"/>
          <w:color w:val="auto"/>
        </w:rPr>
      </w:pPr>
    </w:p>
    <w:tbl>
      <w:tblPr>
        <w:tblLayout w:type="fixed"/>
        <w:tblInd w:w="0" w:type="dxa"/>
        <w:tblCellMar>
          <w:top w:w="0" w:type="dxa"/>
          <w:left w:w="0" w:type="dxa"/>
          <w:bottom w:w="0" w:type="dxa"/>
          <w:right w:w="0" w:type="dxa"/>
        </w:tblCellMar>
      </w:tblPr>
      <w:tr>
        <w:trPr>
          <w:trHeight w:val="165"/>
        </w:trPr>
        <w:tc>
          <w:tcPr>
            <w:tcW w:w="2840" w:type="dxa"/>
            <w:vAlign w:val="bottom"/>
            <w:tcBorders>
              <w:bottom w:val="single" w:sz="8" w:color="auto"/>
            </w:tcBorders>
          </w:tcPr>
          <w:p>
            <w:pPr>
              <w:ind w:left="20"/>
              <w:spacing w:after="0"/>
              <w:rPr>
                <w:sz w:val="20"/>
                <w:szCs w:val="20"/>
                <w:color w:val="auto"/>
              </w:rPr>
            </w:pPr>
            <w:r>
              <w:rPr>
                <w:rFonts w:ascii="Arial" w:cs="Arial" w:eastAsia="Arial" w:hAnsi="Arial"/>
                <w:sz w:val="14"/>
                <w:szCs w:val="14"/>
                <w:color w:val="auto"/>
              </w:rPr>
              <w:t>Year Ended December 31 (in millions)</w:t>
            </w:r>
          </w:p>
        </w:tc>
        <w:tc>
          <w:tcPr>
            <w:tcW w:w="1180" w:type="dxa"/>
            <w:vAlign w:val="bottom"/>
            <w:tcBorders>
              <w:bottom w:val="single" w:sz="8" w:color="auto"/>
            </w:tcBorders>
          </w:tcPr>
          <w:p>
            <w:pPr>
              <w:jc w:val="right"/>
              <w:ind w:right="142"/>
              <w:spacing w:after="0"/>
              <w:rPr>
                <w:sz w:val="20"/>
                <w:szCs w:val="20"/>
                <w:color w:val="auto"/>
              </w:rPr>
            </w:pPr>
            <w:r>
              <w:rPr>
                <w:rFonts w:ascii="Arial" w:cs="Arial" w:eastAsia="Arial" w:hAnsi="Arial"/>
                <w:sz w:val="14"/>
                <w:szCs w:val="14"/>
                <w:b w:val="1"/>
                <w:bCs w:val="1"/>
                <w:color w:val="auto"/>
              </w:rPr>
              <w:t>2006</w:t>
            </w:r>
          </w:p>
        </w:tc>
        <w:tc>
          <w:tcPr>
            <w:tcW w:w="840" w:type="dxa"/>
            <w:vAlign w:val="bottom"/>
            <w:tcBorders>
              <w:bottom w:val="single" w:sz="8" w:color="auto"/>
            </w:tcBorders>
          </w:tcPr>
          <w:p>
            <w:pPr>
              <w:jc w:val="right"/>
              <w:ind w:right="142"/>
              <w:spacing w:after="0"/>
              <w:rPr>
                <w:sz w:val="20"/>
                <w:szCs w:val="20"/>
                <w:color w:val="auto"/>
              </w:rPr>
            </w:pPr>
            <w:r>
              <w:rPr>
                <w:rFonts w:ascii="Arial" w:cs="Arial" w:eastAsia="Arial" w:hAnsi="Arial"/>
                <w:sz w:val="14"/>
                <w:szCs w:val="14"/>
                <w:color w:val="auto"/>
              </w:rPr>
              <w:t>2005</w:t>
            </w:r>
          </w:p>
        </w:tc>
        <w:tc>
          <w:tcPr>
            <w:tcW w:w="62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2004</w:t>
            </w:r>
          </w:p>
        </w:tc>
      </w:tr>
      <w:tr>
        <w:trPr>
          <w:trHeight w:val="196"/>
        </w:trPr>
        <w:tc>
          <w:tcPr>
            <w:tcW w:w="2840" w:type="dxa"/>
            <w:vAlign w:val="bottom"/>
            <w:tcBorders>
              <w:bottom w:val="single" w:sz="8" w:color="35BF85"/>
            </w:tcBorders>
          </w:tcPr>
          <w:p>
            <w:pPr>
              <w:ind w:left="20"/>
              <w:spacing w:after="0" w:line="196" w:lineRule="exact"/>
              <w:rPr>
                <w:sz w:val="20"/>
                <w:szCs w:val="20"/>
                <w:color w:val="auto"/>
              </w:rPr>
            </w:pPr>
            <w:r>
              <w:rPr>
                <w:rFonts w:ascii="Arial" w:cs="Arial" w:eastAsia="Arial" w:hAnsi="Arial"/>
                <w:sz w:val="18"/>
                <w:szCs w:val="18"/>
                <w:color w:val="auto"/>
              </w:rPr>
              <w:t>Rental expense</w:t>
            </w:r>
          </w:p>
        </w:tc>
        <w:tc>
          <w:tcPr>
            <w:tcW w:w="1180" w:type="dxa"/>
            <w:vAlign w:val="bottom"/>
            <w:tcBorders>
              <w:bottom w:val="single" w:sz="8" w:color="35BF85"/>
            </w:tcBorders>
          </w:tcPr>
          <w:p>
            <w:pPr>
              <w:jc w:val="right"/>
              <w:ind w:right="142"/>
              <w:spacing w:after="0" w:line="196" w:lineRule="exact"/>
              <w:rPr>
                <w:sz w:val="20"/>
                <w:szCs w:val="20"/>
                <w:color w:val="auto"/>
              </w:rPr>
            </w:pPr>
            <w:r>
              <w:rPr>
                <w:rFonts w:ascii="Arial" w:cs="Arial" w:eastAsia="Arial" w:hAnsi="Arial"/>
                <w:sz w:val="18"/>
                <w:szCs w:val="18"/>
                <w:b w:val="1"/>
                <w:bCs w:val="1"/>
                <w:color w:val="auto"/>
              </w:rPr>
              <w:t>$273</w:t>
            </w:r>
          </w:p>
        </w:tc>
        <w:tc>
          <w:tcPr>
            <w:tcW w:w="840" w:type="dxa"/>
            <w:vAlign w:val="bottom"/>
            <w:tcBorders>
              <w:bottom w:val="single" w:sz="8" w:color="35BF85"/>
            </w:tcBorders>
          </w:tcPr>
          <w:p>
            <w:pPr>
              <w:jc w:val="right"/>
              <w:ind w:right="142"/>
              <w:spacing w:after="0" w:line="196" w:lineRule="exact"/>
              <w:rPr>
                <w:sz w:val="20"/>
                <w:szCs w:val="20"/>
                <w:color w:val="auto"/>
              </w:rPr>
            </w:pPr>
            <w:r>
              <w:rPr>
                <w:rFonts w:ascii="Arial" w:cs="Arial" w:eastAsia="Arial" w:hAnsi="Arial"/>
                <w:sz w:val="18"/>
                <w:szCs w:val="18"/>
                <w:color w:val="auto"/>
              </w:rPr>
              <w:t>$212</w:t>
            </w:r>
          </w:p>
        </w:tc>
        <w:tc>
          <w:tcPr>
            <w:tcW w:w="620" w:type="dxa"/>
            <w:vAlign w:val="bottom"/>
            <w:tcBorders>
              <w:bottom w:val="single" w:sz="8" w:color="35BF85"/>
            </w:tcBorders>
          </w:tcPr>
          <w:p>
            <w:pPr>
              <w:jc w:val="right"/>
              <w:spacing w:after="0" w:line="196" w:lineRule="exact"/>
              <w:rPr>
                <w:sz w:val="20"/>
                <w:szCs w:val="20"/>
                <w:color w:val="auto"/>
              </w:rPr>
            </w:pPr>
            <w:r>
              <w:rPr>
                <w:rFonts w:ascii="Arial" w:cs="Arial" w:eastAsia="Arial" w:hAnsi="Arial"/>
                <w:sz w:val="18"/>
                <w:szCs w:val="18"/>
                <w:color w:val="auto"/>
              </w:rPr>
              <w:t>$184</w:t>
            </w:r>
          </w:p>
        </w:tc>
      </w:tr>
    </w:tbl>
    <w:p>
      <w:pPr>
        <w:spacing w:after="0" w:line="14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Contingencies</w:t>
      </w:r>
    </w:p>
    <w:p>
      <w:pPr>
        <w:spacing w:after="0" w:line="99" w:lineRule="exact"/>
        <w:rPr>
          <w:sz w:val="20"/>
          <w:szCs w:val="20"/>
          <w:color w:val="auto"/>
        </w:rPr>
      </w:pPr>
    </w:p>
    <w:p>
      <w:pPr>
        <w:jc w:val="both"/>
        <w:spacing w:after="0" w:line="236" w:lineRule="auto"/>
        <w:rPr>
          <w:sz w:val="20"/>
          <w:szCs w:val="20"/>
          <w:color w:val="auto"/>
        </w:rPr>
      </w:pPr>
      <w:r>
        <w:rPr>
          <w:rFonts w:ascii="Arial" w:cs="Arial" w:eastAsia="Arial" w:hAnsi="Arial"/>
          <w:sz w:val="18"/>
          <w:szCs w:val="18"/>
          <w:color w:val="auto"/>
        </w:rPr>
        <w:t>We and the minority owner group in Comcast Spectacor each have the right to initiate an exit process under which the fair market value of Comcast Spectacor would be determined by appraisal. Following such determination, we would have the option to acquire the 24.3% interest in Comcast Spectacor owned by the minority owner group based on the appraised fair market value. In the event we do not exercise this option, we and</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63" w:lineRule="exact"/>
        <w:rPr>
          <w:sz w:val="20"/>
          <w:szCs w:val="20"/>
          <w:color w:val="auto"/>
        </w:rPr>
      </w:pPr>
    </w:p>
    <w:p>
      <w:pPr>
        <w:jc w:val="both"/>
        <w:spacing w:after="0" w:line="238" w:lineRule="auto"/>
        <w:rPr>
          <w:sz w:val="20"/>
          <w:szCs w:val="20"/>
          <w:color w:val="auto"/>
        </w:rPr>
      </w:pPr>
      <w:r>
        <w:rPr>
          <w:rFonts w:ascii="Arial" w:cs="Arial" w:eastAsia="Arial" w:hAnsi="Arial"/>
          <w:sz w:val="18"/>
          <w:szCs w:val="18"/>
          <w:color w:val="auto"/>
        </w:rPr>
        <w:t>the minority owner group would then be required to use our best efforts to sell Comcast Spectacor. This exit process includes the minority owner group’s interest in Comcast SportsNet.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-3691890</wp:posOffset>
            </wp:positionH>
            <wp:positionV relativeFrom="paragraph">
              <wp:posOffset>-1026795</wp:posOffset>
            </wp:positionV>
            <wp:extent cx="7267575" cy="27940"/>
            <wp:wrapNone/>
            <wp:docPr id="211" name="Picture 2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1"/>
                    <pic:cNvPicPr>
                      <a:picLocks noChangeAspect="1" noChangeArrowheads="1"/>
                    </pic:cNvPicPr>
                  </pic:nvPicPr>
                  <pic:blipFill>
                    <a:blip r:embed="rId218">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p>
    <w:p>
      <w:pPr>
        <w:spacing w:after="0" w:line="134" w:lineRule="exact"/>
        <w:rPr>
          <w:sz w:val="20"/>
          <w:szCs w:val="20"/>
          <w:color w:val="auto"/>
        </w:rPr>
      </w:pPr>
    </w:p>
    <w:p>
      <w:pPr>
        <w:jc w:val="both"/>
        <w:spacing w:after="0" w:line="235" w:lineRule="auto"/>
        <w:rPr>
          <w:sz w:val="20"/>
          <w:szCs w:val="20"/>
          <w:color w:val="auto"/>
        </w:rPr>
      </w:pPr>
      <w:r>
        <w:rPr>
          <w:rFonts w:ascii="Arial" w:cs="Arial" w:eastAsia="Arial" w:hAnsi="Arial"/>
          <w:sz w:val="18"/>
          <w:szCs w:val="18"/>
          <w:color w:val="auto"/>
        </w:rPr>
        <w:t>A minority owner of G4 is entitled to trigger an exit process whereby on May 10, 2009 (the fifth anniversary of the closing date), and on each successive anniversary of the closing date or the occurrence of certain other defined events, G4 would be required to purchase the minority owner’s 15% interest at fair market value (as determined by an appraisal process). The minority owners in certain of our technology development ventures also have rights to trigger an exit process after a certain period of time based on the fair value of the entities at the time the exit process is triggered.</w:t>
      </w:r>
    </w:p>
    <w:p>
      <w:pPr>
        <w:spacing w:after="0" w:line="157" w:lineRule="exact"/>
        <w:rPr>
          <w:sz w:val="20"/>
          <w:szCs w:val="20"/>
          <w:color w:val="auto"/>
        </w:rPr>
      </w:pPr>
    </w:p>
    <w:p>
      <w:pPr>
        <w:spacing w:after="0"/>
        <w:rPr>
          <w:sz w:val="20"/>
          <w:szCs w:val="20"/>
          <w:color w:val="auto"/>
        </w:rPr>
      </w:pPr>
      <w:r>
        <w:rPr>
          <w:rFonts w:ascii="Arial" w:cs="Arial" w:eastAsia="Arial" w:hAnsi="Arial"/>
          <w:sz w:val="18"/>
          <w:szCs w:val="18"/>
          <w:color w:val="35BF85"/>
        </w:rPr>
        <w:t>At Home Cases</w:t>
      </w:r>
    </w:p>
    <w:p>
      <w:pPr>
        <w:jc w:val="both"/>
        <w:spacing w:after="0" w:line="266" w:lineRule="auto"/>
        <w:rPr>
          <w:sz w:val="20"/>
          <w:szCs w:val="20"/>
          <w:color w:val="auto"/>
        </w:rPr>
      </w:pPr>
      <w:r>
        <w:rPr>
          <w:rFonts w:ascii="Arial" w:cs="Arial" w:eastAsia="Arial" w:hAnsi="Arial"/>
          <w:sz w:val="16"/>
          <w:szCs w:val="16"/>
          <w:color w:val="auto"/>
        </w:rPr>
        <w:t>Litigation has been filed against us as a result of our alleged conduct with respect to our investment in and distribution relationship with At Home Corporation. At Home was a provider of high-speed Internet services that filed for bankruptcy protection in September 2001. Filed actions are: (i) class action lawsuits against us, AT&amp;T (the former controlling shareholder of At Home and also a former distributor of the At Home service) and others in the United States District Court for the Southern District of New York, alleging securities law violations and common law fraud in connection with disclosures made by At Home in 2001; and (ii) a lawsuit brought in the United States District Court for the District of Delaware in the name of At Home by certain At Home bondholders against us, Brian L. Roberts (our Chairman and Chief Executive Officer and a director), Cox (Cox is also an investor in At Home and a former distributor of the At Home service) and others, alleging breaches of fiduciary duty relating to March 2000 agreements (which, among other things, revised the distributor relationships), and seeking recovery of alleged short-swing profits pursuant to Section 16(b) of the Exchange Act (purported to have arisen in connection with certain transactions relating to At Home stock effected pursuant to the March 2000 agreements).</w:t>
      </w:r>
    </w:p>
    <w:p>
      <w:pPr>
        <w:spacing w:after="0" w:line="200" w:lineRule="exact"/>
        <w:rPr>
          <w:sz w:val="20"/>
          <w:szCs w:val="20"/>
          <w:color w:val="auto"/>
        </w:rPr>
      </w:pPr>
    </w:p>
    <w:p>
      <w:pPr>
        <w:spacing w:after="0" w:line="343" w:lineRule="exact"/>
        <w:rPr>
          <w:sz w:val="20"/>
          <w:szCs w:val="20"/>
          <w:color w:val="auto"/>
        </w:rPr>
      </w:pPr>
    </w:p>
    <w:p>
      <w:pPr>
        <w:jc w:val="both"/>
        <w:spacing w:after="0" w:line="235" w:lineRule="auto"/>
        <w:rPr>
          <w:sz w:val="20"/>
          <w:szCs w:val="20"/>
          <w:color w:val="auto"/>
        </w:rPr>
      </w:pPr>
      <w:r>
        <w:rPr>
          <w:rFonts w:ascii="Arial" w:cs="Arial" w:eastAsia="Arial" w:hAnsi="Arial"/>
          <w:sz w:val="18"/>
          <w:szCs w:val="18"/>
          <w:color w:val="auto"/>
        </w:rPr>
        <w:t>In the Southern District of New York actions (item (i) above), the court dismissed all claims. The plaintiffs’ appealed this decision, and the Court of Appeals for the Second Circuit denied the plaintiffs’ appeal. The plaintiffs petitioned the Court of Appeals for rehearing. The Delaware case (item (ii) above) was transferred to the United States District Court for the Southern District of New York. The court dismissed the Section 16(b) claims, and the breach of fiduciary duty claim, for lack of federal jurisdiction. The Court of Appeals for the Second Circuit denied the plaintiffs’ appeal from the decision dismissing the Section 16(b) claims, and the U.S. Supreme Court denied the plaintiffs’ petition for a further appeal. The plaintiffs recommenced the breach of fiduciary duty claim in Delaware Chancery Court. The Court has set a trial date in October 2007.</w:t>
      </w:r>
    </w:p>
    <w:p>
      <w:pPr>
        <w:spacing w:after="0" w:line="627" w:lineRule="exact"/>
        <w:rPr>
          <w:sz w:val="20"/>
          <w:szCs w:val="20"/>
          <w:color w:val="auto"/>
        </w:rPr>
      </w:pPr>
    </w:p>
    <w:p>
      <w:pPr>
        <w:sectPr>
          <w:pgSz w:w="11900" w:h="16838" w:orient="portrait"/>
          <w:cols w:equalWidth="0" w:num="2">
            <w:col w:w="5480" w:space="340"/>
            <w:col w:w="5480"/>
          </w:cols>
          <w:pgMar w:left="240" w:top="459" w:right="359" w:bottom="1440" w:gutter="0" w:footer="0" w:header="0"/>
        </w:sectPr>
      </w:pPr>
    </w:p>
    <w:tbl>
      <w:tblPr>
        <w:tblLayout w:type="fixed"/>
        <w:tblInd w:w="0" w:type="dxa"/>
        <w:tblCellMar>
          <w:top w:w="0" w:type="dxa"/>
          <w:left w:w="0" w:type="dxa"/>
          <w:bottom w:w="0" w:type="dxa"/>
          <w:right w:w="0" w:type="dxa"/>
        </w:tblCellMar>
      </w:tblPr>
      <w:tr>
        <w:trPr>
          <w:trHeight w:val="178"/>
        </w:trPr>
        <w:tc>
          <w:tcPr>
            <w:tcW w:w="5160" w:type="dxa"/>
            <w:vAlign w:val="bottom"/>
          </w:tcPr>
          <w:p>
            <w:pPr>
              <w:spacing w:after="0"/>
              <w:rPr>
                <w:sz w:val="20"/>
                <w:szCs w:val="20"/>
                <w:color w:val="auto"/>
              </w:rPr>
            </w:pPr>
            <w:r>
              <w:rPr>
                <w:rFonts w:ascii="Arial" w:cs="Arial" w:eastAsia="Arial" w:hAnsi="Arial"/>
                <w:sz w:val="14"/>
                <w:szCs w:val="14"/>
                <w:b w:val="1"/>
                <w:bCs w:val="1"/>
                <w:color w:val="auto"/>
              </w:rPr>
              <w:t xml:space="preserve">Notes to Consolidated Financial Statements </w:t>
            </w:r>
            <w:r>
              <w:rPr>
                <w:rFonts w:ascii="Arial" w:cs="Arial" w:eastAsia="Arial" w:hAnsi="Arial"/>
                <w:sz w:val="14"/>
                <w:szCs w:val="14"/>
                <w:color w:val="auto"/>
              </w:rPr>
              <w:t>Comcast 2006 Annual Report</w:t>
            </w:r>
          </w:p>
        </w:tc>
        <w:tc>
          <w:tcPr>
            <w:tcW w:w="680" w:type="dxa"/>
            <w:vAlign w:val="bottom"/>
          </w:tcPr>
          <w:p>
            <w:pPr>
              <w:jc w:val="right"/>
              <w:spacing w:after="0"/>
              <w:rPr>
                <w:sz w:val="20"/>
                <w:szCs w:val="20"/>
                <w:color w:val="auto"/>
              </w:rPr>
            </w:pPr>
            <w:r>
              <w:rPr>
                <w:rFonts w:ascii="Arial" w:cs="Arial" w:eastAsia="Arial" w:hAnsi="Arial"/>
                <w:sz w:val="14"/>
                <w:szCs w:val="14"/>
                <w:b w:val="1"/>
                <w:bCs w:val="1"/>
                <w:color w:val="auto"/>
              </w:rPr>
              <w:t>64</w:t>
            </w:r>
          </w:p>
        </w:tc>
      </w:tr>
    </w:tbl>
    <w:p>
      <w:pPr>
        <w:sectPr>
          <w:pgSz w:w="11900" w:h="16838" w:orient="portrait"/>
          <w:cols w:equalWidth="0" w:num="1">
            <w:col w:w="11300"/>
          </w:cols>
          <w:pgMar w:left="240" w:top="459" w:right="359" w:bottom="1440" w:gutter="0" w:footer="0" w:header="0"/>
          <w:type w:val="continuous"/>
        </w:sectPr>
      </w:pPr>
    </w:p>
    <w:bookmarkStart w:id="141" w:name="page142"/>
    <w:bookmarkEnd w:id="141"/>
    <w:p>
      <w:pPr>
        <w:spacing w:after="0"/>
        <w:rPr>
          <w:rFonts w:ascii="Arial" w:cs="Arial" w:eastAsia="Arial" w:hAnsi="Arial"/>
          <w:sz w:val="16"/>
          <w:szCs w:val="16"/>
          <w:b w:val="1"/>
          <w:bCs w:val="1"/>
          <w:u w:val="single" w:color="auto"/>
          <w:color w:val="0000EE"/>
        </w:rPr>
      </w:pPr>
      <w:r>
        <w:rPr>
          <w:rFonts w:ascii="Arial" w:cs="Arial" w:eastAsia="Arial" w:hAnsi="Arial"/>
          <w:sz w:val="16"/>
          <w:szCs w:val="16"/>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212" name="Picture 2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2"/>
                    <pic:cNvPicPr>
                      <a:picLocks noChangeAspect="1" noChangeArrowheads="1"/>
                    </pic:cNvPicPr>
                  </pic:nvPicPr>
                  <pic:blipFill>
                    <a:blip r:embed="rId219">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3">
        <w:r>
          <w:rPr>
            <w:rFonts w:ascii="Arial" w:cs="Arial" w:eastAsia="Arial" w:hAnsi="Arial"/>
            <w:sz w:val="16"/>
            <w:szCs w:val="16"/>
            <w:b w:val="1"/>
            <w:bCs w:val="1"/>
            <w:u w:val="single" w:color="auto"/>
            <w:color w:val="0000EE"/>
          </w:rPr>
          <w:t>Table of Contents</w:t>
        </w:r>
      </w:hyperlink>
    </w:p>
    <w:p>
      <w:pPr>
        <w:sectPr>
          <w:pgSz w:w="11900" w:h="16838" w:orient="portrait"/>
          <w:cols w:equalWidth="0" w:num="1">
            <w:col w:w="11420"/>
          </w:cols>
          <w:pgMar w:left="240" w:top="459" w:right="239" w:bottom="1440" w:gutter="0" w:footer="0" w:header="0"/>
        </w:sectPr>
      </w:pPr>
    </w:p>
    <w:p>
      <w:pPr>
        <w:spacing w:after="0" w:line="200" w:lineRule="exact"/>
        <w:rPr>
          <w:sz w:val="20"/>
          <w:szCs w:val="20"/>
          <w:color w:val="auto"/>
        </w:rPr>
      </w:pPr>
    </w:p>
    <w:p>
      <w:pPr>
        <w:spacing w:after="0" w:line="299" w:lineRule="exact"/>
        <w:rPr>
          <w:sz w:val="20"/>
          <w:szCs w:val="20"/>
          <w:color w:val="auto"/>
        </w:rPr>
      </w:pPr>
    </w:p>
    <w:p>
      <w:pPr>
        <w:jc w:val="both"/>
        <w:spacing w:after="0" w:line="237" w:lineRule="auto"/>
        <w:rPr>
          <w:sz w:val="20"/>
          <w:szCs w:val="20"/>
          <w:color w:val="auto"/>
        </w:rPr>
      </w:pPr>
      <w:r>
        <w:rPr>
          <w:rFonts w:ascii="Arial" w:cs="Arial" w:eastAsia="Arial" w:hAnsi="Arial"/>
          <w:sz w:val="18"/>
          <w:szCs w:val="18"/>
          <w:color w:val="auto"/>
        </w:rPr>
        <w:t>Under the terms of our 2002 acquisition of AT&amp;T Corp.’s cable business, we are contractually liable for 50% of any liabilities of AT&amp;T in the actions described in items (i) and (ii) above (in which we are also a defendant).</w:t>
      </w:r>
    </w:p>
    <w:p>
      <w:pPr>
        <w:spacing w:after="0" w:line="155" w:lineRule="exact"/>
        <w:rPr>
          <w:sz w:val="20"/>
          <w:szCs w:val="20"/>
          <w:color w:val="auto"/>
        </w:rPr>
      </w:pPr>
    </w:p>
    <w:p>
      <w:pPr>
        <w:jc w:val="both"/>
        <w:spacing w:after="0" w:line="236" w:lineRule="auto"/>
        <w:rPr>
          <w:sz w:val="20"/>
          <w:szCs w:val="20"/>
          <w:color w:val="auto"/>
        </w:rPr>
      </w:pPr>
      <w:r>
        <w:rPr>
          <w:rFonts w:ascii="Arial" w:cs="Arial" w:eastAsia="Arial" w:hAnsi="Arial"/>
          <w:sz w:val="18"/>
          <w:szCs w:val="18"/>
          <w:color w:val="auto"/>
        </w:rPr>
        <w:t>We deny any wrongdoing in connection with the claims that have been made directly against us, our subsidiaries and Brian L. Roberts, and are defending all of these claims vigorously. The final disposition of these claims is not expected to have a material adverse effect on our consolidated financial position, but could possibly be material to our consolidated results of operations of any one period. Further, no assurance can be given that any adverse outcome would not be material to our consolidated financial position.</w:t>
      </w:r>
    </w:p>
    <w:p>
      <w:pPr>
        <w:spacing w:after="0" w:line="150" w:lineRule="exact"/>
        <w:rPr>
          <w:sz w:val="20"/>
          <w:szCs w:val="20"/>
          <w:color w:val="auto"/>
        </w:rPr>
      </w:pPr>
    </w:p>
    <w:p>
      <w:pPr>
        <w:spacing w:after="0"/>
        <w:rPr>
          <w:sz w:val="20"/>
          <w:szCs w:val="20"/>
          <w:color w:val="auto"/>
        </w:rPr>
      </w:pPr>
      <w:r>
        <w:rPr>
          <w:rFonts w:ascii="Arial" w:cs="Arial" w:eastAsia="Arial" w:hAnsi="Arial"/>
          <w:sz w:val="18"/>
          <w:szCs w:val="18"/>
          <w:color w:val="35BF85"/>
        </w:rPr>
        <w:t>AT&amp;T — TCI Cases</w:t>
      </w:r>
    </w:p>
    <w:p>
      <w:pPr>
        <w:jc w:val="both"/>
        <w:spacing w:after="0" w:line="236" w:lineRule="auto"/>
        <w:rPr>
          <w:sz w:val="20"/>
          <w:szCs w:val="20"/>
          <w:color w:val="auto"/>
        </w:rPr>
      </w:pPr>
      <w:r>
        <w:rPr>
          <w:rFonts w:ascii="Arial" w:cs="Arial" w:eastAsia="Arial" w:hAnsi="Arial"/>
          <w:sz w:val="18"/>
          <w:szCs w:val="18"/>
          <w:color w:val="auto"/>
        </w:rPr>
        <w:t>In June 1998, class action lawsuits were filed by then-shareholders of Tele-Communications, Inc. (“TCI”) Series A TCI Group Common Stock (“Common A”) against AT&amp;T and the directors of TCI relating to the acquisition of TCI by AT&amp;T, alleging that former members of the TCI board of directors breached their fiduciary duties to Common A shareholders by agreeing to transaction terms whereby holders of the Series B TCI Group Common Stock received a 10% premium over what Common A shareholders received.</w:t>
      </w:r>
    </w:p>
    <w:p>
      <w:pPr>
        <w:spacing w:after="0" w:line="154" w:lineRule="exact"/>
        <w:rPr>
          <w:sz w:val="20"/>
          <w:szCs w:val="20"/>
          <w:color w:val="auto"/>
        </w:rPr>
      </w:pPr>
    </w:p>
    <w:p>
      <w:pPr>
        <w:jc w:val="both"/>
        <w:spacing w:after="0" w:line="235" w:lineRule="auto"/>
        <w:rPr>
          <w:sz w:val="20"/>
          <w:szCs w:val="20"/>
          <w:color w:val="auto"/>
        </w:rPr>
      </w:pPr>
      <w:r>
        <w:rPr>
          <w:rFonts w:ascii="Arial" w:cs="Arial" w:eastAsia="Arial" w:hAnsi="Arial"/>
          <w:sz w:val="18"/>
          <w:szCs w:val="18"/>
          <w:color w:val="auto"/>
        </w:rPr>
        <w:t>In connection with the TCI acquisition (completed in early 1999), AT&amp;T agreed under certain circumstances to indemnify TCI’s former directors for certain liabilities, potentially including those incurred in connection with this action. Under the terms of our acquisition of AT&amp;T Corp.’s cable business, (i) we agreed to indemnify AT&amp;T for certain liabilities, potentially including those incurred by AT&amp;T in connection with this action, and (ii) we assumed certain obligations of TCI to indemnify its former directors, potentially including those incurred in connection with this action.</w:t>
      </w:r>
    </w:p>
    <w:p>
      <w:pPr>
        <w:spacing w:after="0" w:line="161" w:lineRule="exact"/>
        <w:rPr>
          <w:sz w:val="20"/>
          <w:szCs w:val="20"/>
          <w:color w:val="auto"/>
        </w:rPr>
      </w:pPr>
    </w:p>
    <w:p>
      <w:pPr>
        <w:jc w:val="both"/>
        <w:spacing w:after="0" w:line="236" w:lineRule="auto"/>
        <w:rPr>
          <w:sz w:val="20"/>
          <w:szCs w:val="20"/>
          <w:color w:val="auto"/>
        </w:rPr>
      </w:pPr>
      <w:r>
        <w:rPr>
          <w:rFonts w:ascii="Arial" w:cs="Arial" w:eastAsia="Arial" w:hAnsi="Arial"/>
          <w:sz w:val="18"/>
          <w:szCs w:val="18"/>
          <w:color w:val="auto"/>
        </w:rPr>
        <w:t>In October 2006 these lawsuits were settled. We agreed to contribute approximately $44 million to the settlement. This amount was paid in November 2006 and did not have a material impact on our results of operations for the year ended December 31, 2006. The settlement was approved in February 2007.</w:t>
      </w:r>
    </w:p>
    <w:p>
      <w:pPr>
        <w:spacing w:after="0" w:line="153" w:lineRule="exact"/>
        <w:rPr>
          <w:sz w:val="20"/>
          <w:szCs w:val="20"/>
          <w:color w:val="auto"/>
        </w:rPr>
      </w:pPr>
    </w:p>
    <w:p>
      <w:pPr>
        <w:spacing w:after="0"/>
        <w:rPr>
          <w:sz w:val="20"/>
          <w:szCs w:val="20"/>
          <w:color w:val="auto"/>
        </w:rPr>
      </w:pPr>
      <w:r>
        <w:rPr>
          <w:rFonts w:ascii="Arial" w:cs="Arial" w:eastAsia="Arial" w:hAnsi="Arial"/>
          <w:sz w:val="18"/>
          <w:szCs w:val="18"/>
          <w:color w:val="35BF85"/>
        </w:rPr>
        <w:t>Patent Litigation</w:t>
      </w:r>
    </w:p>
    <w:p>
      <w:pPr>
        <w:jc w:val="both"/>
        <w:spacing w:after="0" w:line="235" w:lineRule="auto"/>
        <w:rPr>
          <w:sz w:val="20"/>
          <w:szCs w:val="20"/>
          <w:color w:val="auto"/>
        </w:rPr>
      </w:pPr>
      <w:r>
        <w:rPr>
          <w:rFonts w:ascii="Arial" w:cs="Arial" w:eastAsia="Arial" w:hAnsi="Arial"/>
          <w:sz w:val="18"/>
          <w:szCs w:val="18"/>
          <w:color w:val="auto"/>
        </w:rPr>
        <w:t>We are a defendant in several unrelated lawsuits claiming infringement of various patents relating to various aspects of our businesses. In certain of these cases other industry participants are also defendants, and also in certain of these cases we expect that any potential liability would be in part or in whole the responsibility of our equipment vendors pursuant to applicable contractual indemnification provisions. To the extent that the allegations in these lawsuits can be analyzed by us at this stage of their proceedings, we believe the claims are without merit and intend to defend the actions vigorously. The final disposition of</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79" w:lineRule="exact"/>
        <w:rPr>
          <w:sz w:val="20"/>
          <w:szCs w:val="20"/>
          <w:color w:val="auto"/>
        </w:rPr>
      </w:pPr>
    </w:p>
    <w:p>
      <w:pPr>
        <w:jc w:val="both"/>
        <w:ind w:left="140" w:right="120"/>
        <w:spacing w:after="0" w:line="236" w:lineRule="auto"/>
        <w:rPr>
          <w:sz w:val="20"/>
          <w:szCs w:val="20"/>
          <w:color w:val="auto"/>
        </w:rPr>
      </w:pPr>
      <w:r>
        <w:rPr>
          <w:rFonts w:ascii="Arial" w:cs="Arial" w:eastAsia="Arial" w:hAnsi="Arial"/>
          <w:sz w:val="18"/>
          <w:szCs w:val="18"/>
          <w:color w:val="auto"/>
        </w:rPr>
        <w:t>these claims is not expected to have a material adverse effect on our consolidated financial position, but could possibly be material to our consolidated results of operations of any one period. Further, no assurance can be given that any adverse outcome would not be material to our consolidated financial position.</w:t>
      </w:r>
    </w:p>
    <w:p>
      <w:pPr>
        <w:spacing w:after="0" w:line="153" w:lineRule="exact"/>
        <w:rPr>
          <w:sz w:val="20"/>
          <w:szCs w:val="20"/>
          <w:color w:val="auto"/>
        </w:rPr>
      </w:pPr>
    </w:p>
    <w:p>
      <w:pPr>
        <w:ind w:left="140"/>
        <w:spacing w:after="0"/>
        <w:rPr>
          <w:sz w:val="20"/>
          <w:szCs w:val="20"/>
          <w:color w:val="auto"/>
        </w:rPr>
      </w:pPr>
      <w:r>
        <w:rPr>
          <w:rFonts w:ascii="Arial" w:cs="Arial" w:eastAsia="Arial" w:hAnsi="Arial"/>
          <w:sz w:val="18"/>
          <w:szCs w:val="18"/>
          <w:color w:val="35BF85"/>
        </w:rPr>
        <w:t>Antitrust Cases</w:t>
      </w:r>
    </w:p>
    <w:p>
      <w:pPr>
        <w:jc w:val="both"/>
        <w:ind w:left="140" w:right="120"/>
        <w:spacing w:after="0" w:line="235" w:lineRule="auto"/>
        <w:rPr>
          <w:sz w:val="20"/>
          <w:szCs w:val="20"/>
          <w:color w:val="auto"/>
        </w:rPr>
      </w:pPr>
      <w:r>
        <w:rPr>
          <w:rFonts w:ascii="Arial" w:cs="Arial" w:eastAsia="Arial" w:hAnsi="Arial"/>
          <w:sz w:val="18"/>
          <w:szCs w:val="18"/>
          <w:color w:val="auto"/>
        </w:rPr>
        <w:t>We are defendants in two purported class actions originally filed in the United States District Courts for the District of Massachusetts and the Eastern District of Pennsylvania, respectively. The potential class in the Massachusetts case is our subscriber base in the “Boston Cluster” area, and the potential class in the Pennsylvania case is our subscriber base in the “Philadelphia and Chicago clusters,” as those terms are defined in the complaints. In each case, the plaintiffs allege that certain subscriber exchange transactions with other cable providers resulted in unlawful “horizontal market restraints” in those areas and seek damages pursuant to antitrust statutes, including treble damages.</w:t>
      </w:r>
    </w:p>
    <w:p>
      <w:pPr>
        <w:spacing w:after="0" w:line="161" w:lineRule="exact"/>
        <w:rPr>
          <w:sz w:val="20"/>
          <w:szCs w:val="20"/>
          <w:color w:val="auto"/>
        </w:rPr>
      </w:pPr>
    </w:p>
    <w:p>
      <w:pPr>
        <w:jc w:val="both"/>
        <w:ind w:left="140" w:right="120"/>
        <w:spacing w:after="0" w:line="235" w:lineRule="auto"/>
        <w:rPr>
          <w:sz w:val="20"/>
          <w:szCs w:val="20"/>
          <w:color w:val="auto"/>
        </w:rPr>
      </w:pPr>
      <w:r>
        <w:rPr>
          <w:rFonts w:ascii="Arial" w:cs="Arial" w:eastAsia="Arial" w:hAnsi="Arial"/>
          <w:sz w:val="18"/>
          <w:szCs w:val="18"/>
          <w:color w:val="auto"/>
        </w:rPr>
        <w:t>As a result of recent events in both cases relating to the procedural issue of whether the plaintiffs’ claims could proceed in court or, alternatively, whether the plaintiffs should be compelled to arbitrate their claims pursuant to arbitration clauses in their subscriber agreements, it has become more likely that these cases will proceed in court. Our motion to dismiss the Pennsylvania case on the pleadings was denied, and the plaintiffs have moved to certify a class action. We are opposing the plaintiffs’ motion and are proceeding with class discovery. We have moved to dismiss the Massachusetts case. The Massachusetts case was recently transferred to the Eastern District of Pennsylvania and plaintiffs are seeking to consolidate it with the Pennsylvania case.</w:t>
      </w:r>
    </w:p>
    <w:p>
      <w:pPr>
        <w:spacing w:after="0" w:line="161" w:lineRule="exact"/>
        <w:rPr>
          <w:sz w:val="20"/>
          <w:szCs w:val="20"/>
          <w:color w:val="auto"/>
        </w:rPr>
      </w:pPr>
    </w:p>
    <w:p>
      <w:pPr>
        <w:jc w:val="both"/>
        <w:ind w:left="140" w:right="120"/>
        <w:spacing w:after="0" w:line="236" w:lineRule="auto"/>
        <w:rPr>
          <w:sz w:val="20"/>
          <w:szCs w:val="20"/>
          <w:color w:val="auto"/>
        </w:rPr>
      </w:pPr>
      <w:r>
        <w:rPr>
          <w:rFonts w:ascii="Arial" w:cs="Arial" w:eastAsia="Arial" w:hAnsi="Arial"/>
          <w:sz w:val="18"/>
          <w:szCs w:val="18"/>
          <w:color w:val="auto"/>
        </w:rPr>
        <w:t>We believe the claims in these actions are without merit and are defending the actions vigorously. The final disposition of these claims is not expected to have a material adverse effect on our consolidated financial position, but could possibly be material to our consolidated results of operations of any one period. Further, no assurance can be given that any adverse outcome would not be material to our consolidated financial position.</w:t>
      </w:r>
    </w:p>
    <w:p>
      <w:pPr>
        <w:spacing w:after="0" w:line="151" w:lineRule="exact"/>
        <w:rPr>
          <w:sz w:val="20"/>
          <w:szCs w:val="20"/>
          <w:color w:val="auto"/>
        </w:rPr>
      </w:pPr>
    </w:p>
    <w:p>
      <w:pPr>
        <w:ind w:left="140"/>
        <w:spacing w:after="0"/>
        <w:rPr>
          <w:sz w:val="20"/>
          <w:szCs w:val="20"/>
          <w:color w:val="auto"/>
        </w:rPr>
      </w:pPr>
      <w:r>
        <w:rPr>
          <w:rFonts w:ascii="Arial" w:cs="Arial" w:eastAsia="Arial" w:hAnsi="Arial"/>
          <w:sz w:val="18"/>
          <w:szCs w:val="18"/>
          <w:color w:val="35BF85"/>
        </w:rPr>
        <w:t>Other</w:t>
      </w:r>
    </w:p>
    <w:p>
      <w:pPr>
        <w:jc w:val="both"/>
        <w:ind w:left="140" w:right="120"/>
        <w:spacing w:after="0" w:line="237" w:lineRule="auto"/>
        <w:rPr>
          <w:sz w:val="20"/>
          <w:szCs w:val="20"/>
          <w:color w:val="auto"/>
        </w:rPr>
      </w:pPr>
      <w:r>
        <w:rPr>
          <w:rFonts w:ascii="Arial" w:cs="Arial" w:eastAsia="Arial" w:hAnsi="Arial"/>
          <w:sz w:val="18"/>
          <w:szCs w:val="18"/>
          <w:color w:val="auto"/>
        </w:rPr>
        <w:t>We are subject to other legal proceedings and claims that arise in the ordinary course of our business. The amount of ultimate liability with respect to such actions is not expected to materially affect our financial position, results of operations or liquidity.</w:t>
      </w:r>
    </w:p>
    <w:p>
      <w:pPr>
        <w:spacing w:after="0" w:line="155" w:lineRule="exact"/>
        <w:rPr>
          <w:sz w:val="20"/>
          <w:szCs w:val="20"/>
          <w:color w:val="auto"/>
        </w:rPr>
      </w:pPr>
    </w:p>
    <w:p>
      <w:pPr>
        <w:ind w:left="140"/>
        <w:spacing w:after="0"/>
        <w:rPr>
          <w:sz w:val="20"/>
          <w:szCs w:val="20"/>
          <w:color w:val="auto"/>
        </w:rPr>
      </w:pPr>
      <w:r>
        <w:rPr>
          <w:rFonts w:ascii="Arial" w:cs="Arial" w:eastAsia="Arial" w:hAnsi="Arial"/>
          <w:sz w:val="18"/>
          <w:szCs w:val="18"/>
          <w:color w:val="35BF85"/>
        </w:rPr>
        <w:t>Note 14: Financial Data by Business Segment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85725</wp:posOffset>
            </wp:positionH>
            <wp:positionV relativeFrom="paragraph">
              <wp:posOffset>63500</wp:posOffset>
            </wp:positionV>
            <wp:extent cx="3481705" cy="8890"/>
            <wp:wrapNone/>
            <wp:docPr id="213" name="Picture 2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3"/>
                    <pic:cNvPicPr>
                      <a:picLocks noChangeAspect="1" noChangeArrowheads="1"/>
                    </pic:cNvPicPr>
                  </pic:nvPicPr>
                  <pic:blipFill>
                    <a:blip r:embed="rId220">
                      <a:extLst>
                        <a:ext uri="{28A0092B-C50C-407E-A947-70E740481C1C}"/>
                      </a:extLst>
                    </a:blip>
                    <a:srcRect/>
                    <a:stretch>
                      <a:fillRect/>
                    </a:stretch>
                  </pic:blipFill>
                  <pic:spPr bwMode="auto">
                    <a:xfrm>
                      <a:off x="0" y="0"/>
                      <a:ext cx="3481705" cy="8890"/>
                    </a:xfrm>
                    <a:prstGeom prst="rect">
                      <a:avLst/>
                    </a:prstGeom>
                    <a:noFill/>
                  </pic:spPr>
                </pic:pic>
              </a:graphicData>
            </a:graphic>
          </wp:anchor>
        </w:drawing>
      </w:r>
    </w:p>
    <w:p>
      <w:pPr>
        <w:spacing w:after="0" w:line="259" w:lineRule="exact"/>
        <w:rPr>
          <w:sz w:val="20"/>
          <w:szCs w:val="20"/>
          <w:color w:val="auto"/>
        </w:rPr>
      </w:pPr>
    </w:p>
    <w:p>
      <w:pPr>
        <w:jc w:val="both"/>
        <w:ind w:left="140" w:right="120"/>
        <w:spacing w:after="0" w:line="271" w:lineRule="auto"/>
        <w:rPr>
          <w:sz w:val="20"/>
          <w:szCs w:val="20"/>
          <w:color w:val="auto"/>
        </w:rPr>
      </w:pPr>
      <w:r>
        <w:rPr>
          <w:rFonts w:ascii="Arial" w:cs="Arial" w:eastAsia="Arial" w:hAnsi="Arial"/>
          <w:sz w:val="16"/>
          <w:szCs w:val="16"/>
          <w:color w:val="auto"/>
        </w:rPr>
        <w:t>Our reportable segments consist of our Cable and Programming businesses. In evaluating the profitability of our segments, the components of net income (loss) below operating income (loss) before depreciation and amortization are not separately evaluated by our management. Assets are not allocated to segments for management reporting. Our financial data by business segment is as follows:</w:t>
      </w:r>
    </w:p>
    <w:p>
      <w:pPr>
        <w:spacing w:after="0" w:line="152" w:lineRule="exact"/>
        <w:rPr>
          <w:sz w:val="20"/>
          <w:szCs w:val="20"/>
          <w:color w:val="auto"/>
        </w:rPr>
      </w:pPr>
    </w:p>
    <w:p>
      <w:pPr>
        <w:spacing w:after="0"/>
        <w:tabs>
          <w:tab w:leader="none" w:pos="1080" w:val="left"/>
        </w:tabs>
        <w:rPr>
          <w:sz w:val="20"/>
          <w:szCs w:val="20"/>
          <w:color w:val="auto"/>
        </w:rPr>
      </w:pPr>
      <w:r>
        <w:rPr>
          <w:rFonts w:ascii="Arial" w:cs="Arial" w:eastAsia="Arial" w:hAnsi="Arial"/>
          <w:sz w:val="12"/>
          <w:szCs w:val="12"/>
          <w:b w:val="1"/>
          <w:bCs w:val="1"/>
          <w:color w:val="auto"/>
        </w:rPr>
        <w:t>65</w:t>
      </w:r>
      <w:r>
        <w:rPr>
          <w:sz w:val="20"/>
          <w:szCs w:val="20"/>
          <w:color w:val="auto"/>
        </w:rPr>
        <w:tab/>
      </w:r>
      <w:r>
        <w:rPr>
          <w:rFonts w:ascii="Arial" w:cs="Arial" w:eastAsia="Arial" w:hAnsi="Arial"/>
          <w:sz w:val="12"/>
          <w:szCs w:val="12"/>
          <w:color w:val="auto"/>
        </w:rPr>
        <w:t xml:space="preserve">Comcast 2006 Annual Report </w:t>
      </w:r>
      <w:r>
        <w:rPr>
          <w:rFonts w:ascii="Arial" w:cs="Arial" w:eastAsia="Arial" w:hAnsi="Arial"/>
          <w:sz w:val="12"/>
          <w:szCs w:val="12"/>
          <w:b w:val="1"/>
          <w:bCs w:val="1"/>
          <w:color w:val="auto"/>
        </w:rPr>
        <w:t>Notes to Consolidated Financial Statements</w:t>
      </w:r>
    </w:p>
    <w:p>
      <w:pPr>
        <w:sectPr>
          <w:pgSz w:w="11900" w:h="16838" w:orient="portrait"/>
          <w:cols w:equalWidth="0" w:num="2">
            <w:col w:w="5480" w:space="200"/>
            <w:col w:w="5740"/>
          </w:cols>
          <w:pgMar w:left="240" w:top="459" w:right="239" w:bottom="1440" w:gutter="0" w:footer="0" w:header="0"/>
          <w:type w:val="continuous"/>
        </w:sectPr>
      </w:pPr>
    </w:p>
    <w:bookmarkStart w:id="142" w:name="page143"/>
    <w:bookmarkEnd w:id="14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214" name="Picture 2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4"/>
                    <pic:cNvPicPr>
                      <a:picLocks noChangeAspect="1" noChangeArrowheads="1"/>
                    </pic:cNvPicPr>
                  </pic:nvPicPr>
                  <pic:blipFill>
                    <a:blip r:embed="rId221">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200" w:lineRule="exact"/>
        <w:rPr>
          <w:sz w:val="20"/>
          <w:szCs w:val="20"/>
          <w:color w:val="auto"/>
        </w:rPr>
      </w:pPr>
    </w:p>
    <w:p>
      <w:pPr>
        <w:spacing w:after="0" w:line="266"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4520" w:type="dxa"/>
            <w:vAlign w:val="bottom"/>
          </w:tcPr>
          <w:p>
            <w:pPr>
              <w:spacing w:after="0"/>
              <w:rPr>
                <w:sz w:val="14"/>
                <w:szCs w:val="14"/>
                <w:color w:val="auto"/>
              </w:rPr>
            </w:pPr>
          </w:p>
        </w:tc>
        <w:tc>
          <w:tcPr>
            <w:tcW w:w="166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820" w:type="dxa"/>
            <w:vAlign w:val="bottom"/>
          </w:tcPr>
          <w:p>
            <w:pPr>
              <w:jc w:val="right"/>
              <w:ind w:right="33"/>
              <w:spacing w:after="0"/>
              <w:rPr>
                <w:sz w:val="20"/>
                <w:szCs w:val="20"/>
                <w:color w:val="auto"/>
              </w:rPr>
            </w:pPr>
            <w:r>
              <w:rPr>
                <w:rFonts w:ascii="Arial" w:cs="Arial" w:eastAsia="Arial" w:hAnsi="Arial"/>
                <w:sz w:val="14"/>
                <w:szCs w:val="14"/>
                <w:color w:val="auto"/>
              </w:rPr>
              <w:t>Corporate</w:t>
            </w:r>
          </w:p>
        </w:tc>
        <w:tc>
          <w:tcPr>
            <w:tcW w:w="82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83"/>
        </w:trPr>
        <w:tc>
          <w:tcPr>
            <w:tcW w:w="4520" w:type="dxa"/>
            <w:vAlign w:val="bottom"/>
            <w:tcBorders>
              <w:bottom w:val="single" w:sz="8" w:color="auto"/>
            </w:tcBorders>
          </w:tcPr>
          <w:p>
            <w:pPr>
              <w:spacing w:after="0"/>
              <w:rPr>
                <w:sz w:val="20"/>
                <w:szCs w:val="20"/>
                <w:color w:val="auto"/>
              </w:rPr>
            </w:pPr>
            <w:r>
              <w:rPr>
                <w:rFonts w:ascii="Arial" w:cs="Arial" w:eastAsia="Arial" w:hAnsi="Arial"/>
                <w:sz w:val="14"/>
                <w:szCs w:val="14"/>
                <w:color w:val="auto"/>
              </w:rPr>
              <w:t>(in millions)</w:t>
            </w:r>
          </w:p>
        </w:tc>
        <w:tc>
          <w:tcPr>
            <w:tcW w:w="1660" w:type="dxa"/>
            <w:vAlign w:val="bottom"/>
            <w:tcBorders>
              <w:bottom w:val="single" w:sz="8" w:color="auto"/>
            </w:tcBorders>
          </w:tcPr>
          <w:p>
            <w:pPr>
              <w:jc w:val="right"/>
              <w:ind w:right="175"/>
              <w:spacing w:after="0" w:line="183" w:lineRule="exact"/>
              <w:rPr>
                <w:sz w:val="20"/>
                <w:szCs w:val="20"/>
                <w:color w:val="auto"/>
              </w:rPr>
            </w:pPr>
            <w:r>
              <w:rPr>
                <w:rFonts w:ascii="Arial" w:cs="Arial" w:eastAsia="Arial" w:hAnsi="Arial"/>
                <w:sz w:val="21"/>
                <w:szCs w:val="21"/>
                <w:color w:val="auto"/>
                <w:vertAlign w:val="subscript"/>
              </w:rPr>
              <w:t>Cable</w:t>
            </w:r>
            <w:r>
              <w:rPr>
                <w:rFonts w:ascii="Arial" w:cs="Arial" w:eastAsia="Arial" w:hAnsi="Arial"/>
                <w:sz w:val="10"/>
                <w:szCs w:val="10"/>
                <w:color w:val="auto"/>
              </w:rPr>
              <w:t>(a)(b)</w:t>
            </w:r>
          </w:p>
        </w:tc>
        <w:tc>
          <w:tcPr>
            <w:tcW w:w="1600" w:type="dxa"/>
            <w:vAlign w:val="bottom"/>
            <w:tcBorders>
              <w:bottom w:val="single" w:sz="8" w:color="auto"/>
            </w:tcBorders>
            <w:gridSpan w:val="2"/>
          </w:tcPr>
          <w:p>
            <w:pPr>
              <w:ind w:left="260"/>
              <w:spacing w:after="0" w:line="183" w:lineRule="exact"/>
              <w:rPr>
                <w:sz w:val="20"/>
                <w:szCs w:val="20"/>
                <w:color w:val="auto"/>
              </w:rPr>
            </w:pPr>
            <w:r>
              <w:rPr>
                <w:rFonts w:ascii="Arial" w:cs="Arial" w:eastAsia="Arial" w:hAnsi="Arial"/>
                <w:sz w:val="13"/>
                <w:szCs w:val="13"/>
                <w:color w:val="auto"/>
              </w:rPr>
              <w:t>Programming</w:t>
            </w:r>
            <w:r>
              <w:rPr>
                <w:rFonts w:ascii="Arial" w:cs="Arial" w:eastAsia="Arial" w:hAnsi="Arial"/>
                <w:sz w:val="21"/>
                <w:szCs w:val="21"/>
                <w:color w:val="auto"/>
                <w:vertAlign w:val="superscript"/>
              </w:rPr>
              <w:t>(c)</w:t>
            </w:r>
          </w:p>
        </w:tc>
        <w:tc>
          <w:tcPr>
            <w:tcW w:w="1120" w:type="dxa"/>
            <w:vAlign w:val="bottom"/>
            <w:tcBorders>
              <w:bottom w:val="single" w:sz="8" w:color="auto"/>
            </w:tcBorders>
            <w:gridSpan w:val="2"/>
          </w:tcPr>
          <w:p>
            <w:pPr>
              <w:ind w:left="120"/>
              <w:spacing w:after="0" w:line="183" w:lineRule="exact"/>
              <w:rPr>
                <w:sz w:val="20"/>
                <w:szCs w:val="20"/>
                <w:color w:val="auto"/>
              </w:rPr>
            </w:pPr>
            <w:r>
              <w:rPr>
                <w:rFonts w:ascii="Arial" w:cs="Arial" w:eastAsia="Arial" w:hAnsi="Arial"/>
                <w:sz w:val="13"/>
                <w:szCs w:val="13"/>
                <w:color w:val="auto"/>
              </w:rPr>
              <w:t>and Other</w:t>
            </w:r>
            <w:r>
              <w:rPr>
                <w:rFonts w:ascii="Arial" w:cs="Arial" w:eastAsia="Arial" w:hAnsi="Arial"/>
                <w:sz w:val="21"/>
                <w:szCs w:val="21"/>
                <w:color w:val="auto"/>
                <w:vertAlign w:val="superscript"/>
              </w:rPr>
              <w:t>(d)(e)</w:t>
            </w:r>
          </w:p>
        </w:tc>
        <w:tc>
          <w:tcPr>
            <w:tcW w:w="1720" w:type="dxa"/>
            <w:vAlign w:val="bottom"/>
            <w:tcBorders>
              <w:bottom w:val="single" w:sz="8" w:color="auto"/>
            </w:tcBorders>
            <w:gridSpan w:val="2"/>
          </w:tcPr>
          <w:p>
            <w:pPr>
              <w:ind w:left="380"/>
              <w:spacing w:after="0" w:line="183" w:lineRule="exact"/>
              <w:rPr>
                <w:sz w:val="20"/>
                <w:szCs w:val="20"/>
                <w:color w:val="auto"/>
              </w:rPr>
            </w:pPr>
            <w:r>
              <w:rPr>
                <w:rFonts w:ascii="Arial" w:cs="Arial" w:eastAsia="Arial" w:hAnsi="Arial"/>
                <w:sz w:val="13"/>
                <w:szCs w:val="13"/>
                <w:color w:val="auto"/>
              </w:rPr>
              <w:t>Eliminations</w:t>
            </w:r>
            <w:r>
              <w:rPr>
                <w:rFonts w:ascii="Arial" w:cs="Arial" w:eastAsia="Arial" w:hAnsi="Arial"/>
                <w:sz w:val="21"/>
                <w:szCs w:val="21"/>
                <w:color w:val="auto"/>
                <w:vertAlign w:val="superscript"/>
              </w:rPr>
              <w:t>(e)(f)</w:t>
            </w:r>
          </w:p>
        </w:tc>
        <w:tc>
          <w:tcPr>
            <w:tcW w:w="80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Total</w:t>
            </w:r>
          </w:p>
        </w:tc>
        <w:tc>
          <w:tcPr>
            <w:tcW w:w="0" w:type="dxa"/>
            <w:vAlign w:val="bottom"/>
          </w:tcPr>
          <w:p>
            <w:pPr>
              <w:spacing w:after="0"/>
              <w:rPr>
                <w:sz w:val="1"/>
                <w:szCs w:val="1"/>
                <w:color w:val="auto"/>
              </w:rPr>
            </w:pPr>
          </w:p>
        </w:tc>
      </w:tr>
      <w:tr>
        <w:trPr>
          <w:trHeight w:val="199"/>
        </w:trPr>
        <w:tc>
          <w:tcPr>
            <w:tcW w:w="4520" w:type="dxa"/>
            <w:vAlign w:val="bottom"/>
          </w:tcPr>
          <w:p>
            <w:pPr>
              <w:spacing w:after="0" w:line="200" w:lineRule="exact"/>
              <w:rPr>
                <w:sz w:val="20"/>
                <w:szCs w:val="20"/>
                <w:color w:val="auto"/>
              </w:rPr>
            </w:pPr>
            <w:r>
              <w:rPr>
                <w:rFonts w:ascii="Arial" w:cs="Arial" w:eastAsia="Arial" w:hAnsi="Arial"/>
                <w:sz w:val="18"/>
                <w:szCs w:val="18"/>
                <w:b w:val="1"/>
                <w:bCs w:val="1"/>
                <w:color w:val="auto"/>
              </w:rPr>
              <w:t>2006</w:t>
            </w:r>
          </w:p>
        </w:tc>
        <w:tc>
          <w:tcPr>
            <w:tcW w:w="1660" w:type="dxa"/>
            <w:vAlign w:val="bottom"/>
            <w:vMerge w:val="restart"/>
          </w:tcPr>
          <w:p>
            <w:pPr>
              <w:jc w:val="right"/>
              <w:ind w:right="175"/>
              <w:spacing w:after="0"/>
              <w:rPr>
                <w:sz w:val="20"/>
                <w:szCs w:val="20"/>
                <w:color w:val="auto"/>
              </w:rPr>
            </w:pPr>
            <w:r>
              <w:rPr>
                <w:rFonts w:ascii="Arial" w:cs="Arial" w:eastAsia="Arial" w:hAnsi="Arial"/>
                <w:sz w:val="18"/>
                <w:szCs w:val="18"/>
                <w:b w:val="1"/>
                <w:bCs w:val="1"/>
                <w:color w:val="auto"/>
              </w:rPr>
              <w:t>$24,100</w:t>
            </w:r>
          </w:p>
        </w:tc>
        <w:tc>
          <w:tcPr>
            <w:tcW w:w="560" w:type="dxa"/>
            <w:vAlign w:val="bottom"/>
            <w:vMerge w:val="restart"/>
          </w:tcPr>
          <w:p>
            <w:pPr>
              <w:ind w:left="260"/>
              <w:spacing w:after="0"/>
              <w:rPr>
                <w:sz w:val="20"/>
                <w:szCs w:val="20"/>
                <w:color w:val="auto"/>
              </w:rPr>
            </w:pPr>
            <w:r>
              <w:rPr>
                <w:rFonts w:ascii="Arial" w:cs="Arial" w:eastAsia="Arial" w:hAnsi="Arial"/>
                <w:sz w:val="18"/>
                <w:szCs w:val="18"/>
                <w:b w:val="1"/>
                <w:bCs w:val="1"/>
                <w:color w:val="auto"/>
              </w:rPr>
              <w:t>$</w:t>
            </w:r>
          </w:p>
        </w:tc>
        <w:tc>
          <w:tcPr>
            <w:tcW w:w="1040" w:type="dxa"/>
            <w:vAlign w:val="bottom"/>
            <w:vMerge w:val="restart"/>
          </w:tcPr>
          <w:p>
            <w:pPr>
              <w:jc w:val="right"/>
              <w:ind w:right="312"/>
              <w:spacing w:after="0"/>
              <w:rPr>
                <w:sz w:val="20"/>
                <w:szCs w:val="20"/>
                <w:color w:val="auto"/>
              </w:rPr>
            </w:pPr>
            <w:r>
              <w:rPr>
                <w:rFonts w:ascii="Arial" w:cs="Arial" w:eastAsia="Arial" w:hAnsi="Arial"/>
                <w:sz w:val="18"/>
                <w:szCs w:val="18"/>
                <w:b w:val="1"/>
                <w:bCs w:val="1"/>
                <w:color w:val="auto"/>
              </w:rPr>
              <w:t>1,053</w:t>
            </w:r>
          </w:p>
        </w:tc>
        <w:tc>
          <w:tcPr>
            <w:tcW w:w="300" w:type="dxa"/>
            <w:vAlign w:val="bottom"/>
            <w:vMerge w:val="restart"/>
          </w:tcPr>
          <w:p>
            <w:pPr>
              <w:ind w:left="120"/>
              <w:spacing w:after="0"/>
              <w:rPr>
                <w:sz w:val="20"/>
                <w:szCs w:val="20"/>
                <w:color w:val="auto"/>
              </w:rPr>
            </w:pPr>
            <w:r>
              <w:rPr>
                <w:rFonts w:ascii="Arial" w:cs="Arial" w:eastAsia="Arial" w:hAnsi="Arial"/>
                <w:sz w:val="18"/>
                <w:szCs w:val="18"/>
                <w:b w:val="1"/>
                <w:bCs w:val="1"/>
                <w:color w:val="auto"/>
              </w:rPr>
              <w:t>$</w:t>
            </w:r>
          </w:p>
        </w:tc>
        <w:tc>
          <w:tcPr>
            <w:tcW w:w="820" w:type="dxa"/>
            <w:vAlign w:val="bottom"/>
            <w:vMerge w:val="restart"/>
          </w:tcPr>
          <w:p>
            <w:pPr>
              <w:jc w:val="right"/>
              <w:ind w:right="33"/>
              <w:spacing w:after="0"/>
              <w:rPr>
                <w:sz w:val="20"/>
                <w:szCs w:val="20"/>
                <w:color w:val="auto"/>
              </w:rPr>
            </w:pPr>
            <w:r>
              <w:rPr>
                <w:rFonts w:ascii="Arial" w:cs="Arial" w:eastAsia="Arial" w:hAnsi="Arial"/>
                <w:sz w:val="18"/>
                <w:szCs w:val="18"/>
                <w:b w:val="1"/>
                <w:bCs w:val="1"/>
                <w:color w:val="auto"/>
              </w:rPr>
              <w:t>355</w:t>
            </w:r>
          </w:p>
        </w:tc>
        <w:tc>
          <w:tcPr>
            <w:tcW w:w="820" w:type="dxa"/>
            <w:vAlign w:val="bottom"/>
            <w:vMerge w:val="restart"/>
          </w:tcPr>
          <w:p>
            <w:pPr>
              <w:ind w:left="380"/>
              <w:spacing w:after="0"/>
              <w:rPr>
                <w:sz w:val="20"/>
                <w:szCs w:val="20"/>
                <w:color w:val="auto"/>
              </w:rPr>
            </w:pPr>
            <w:r>
              <w:rPr>
                <w:rFonts w:ascii="Arial" w:cs="Arial" w:eastAsia="Arial" w:hAnsi="Arial"/>
                <w:sz w:val="18"/>
                <w:szCs w:val="18"/>
                <w:b w:val="1"/>
                <w:bCs w:val="1"/>
                <w:color w:val="auto"/>
              </w:rPr>
              <w:t>$</w:t>
            </w:r>
          </w:p>
        </w:tc>
        <w:tc>
          <w:tcPr>
            <w:tcW w:w="900" w:type="dxa"/>
            <w:vAlign w:val="bottom"/>
            <w:vMerge w:val="restart"/>
          </w:tcPr>
          <w:p>
            <w:pPr>
              <w:jc w:val="right"/>
              <w:ind w:right="213"/>
              <w:spacing w:after="0"/>
              <w:rPr>
                <w:sz w:val="20"/>
                <w:szCs w:val="20"/>
                <w:color w:val="auto"/>
              </w:rPr>
            </w:pPr>
            <w:r>
              <w:rPr>
                <w:rFonts w:ascii="Arial" w:cs="Arial" w:eastAsia="Arial" w:hAnsi="Arial"/>
                <w:sz w:val="18"/>
                <w:szCs w:val="18"/>
                <w:b w:val="1"/>
                <w:bCs w:val="1"/>
                <w:color w:val="auto"/>
              </w:rPr>
              <w:t>(542)</w:t>
            </w:r>
          </w:p>
        </w:tc>
        <w:tc>
          <w:tcPr>
            <w:tcW w:w="800" w:type="dxa"/>
            <w:vAlign w:val="bottom"/>
            <w:vMerge w:val="restart"/>
          </w:tcPr>
          <w:p>
            <w:pPr>
              <w:jc w:val="right"/>
              <w:spacing w:after="0"/>
              <w:rPr>
                <w:sz w:val="20"/>
                <w:szCs w:val="20"/>
                <w:color w:val="auto"/>
              </w:rPr>
            </w:pPr>
            <w:r>
              <w:rPr>
                <w:rFonts w:ascii="Arial" w:cs="Arial" w:eastAsia="Arial" w:hAnsi="Arial"/>
                <w:sz w:val="18"/>
                <w:szCs w:val="18"/>
                <w:b w:val="1"/>
                <w:bCs w:val="1"/>
                <w:color w:val="auto"/>
              </w:rPr>
              <w:t>$24,966</w:t>
            </w:r>
          </w:p>
        </w:tc>
        <w:tc>
          <w:tcPr>
            <w:tcW w:w="0" w:type="dxa"/>
            <w:vAlign w:val="bottom"/>
          </w:tcPr>
          <w:p>
            <w:pPr>
              <w:spacing w:after="0"/>
              <w:rPr>
                <w:sz w:val="1"/>
                <w:szCs w:val="1"/>
                <w:color w:val="auto"/>
              </w:rPr>
            </w:pPr>
          </w:p>
        </w:tc>
      </w:tr>
      <w:tr>
        <w:trPr>
          <w:trHeight w:val="203"/>
        </w:trPr>
        <w:tc>
          <w:tcPr>
            <w:tcW w:w="4520" w:type="dxa"/>
            <w:vAlign w:val="bottom"/>
          </w:tcPr>
          <w:p>
            <w:pPr>
              <w:spacing w:after="0" w:line="203" w:lineRule="exact"/>
              <w:rPr>
                <w:sz w:val="20"/>
                <w:szCs w:val="20"/>
                <w:color w:val="auto"/>
              </w:rPr>
            </w:pPr>
            <w:r>
              <w:rPr>
                <w:rFonts w:ascii="Arial" w:cs="Arial" w:eastAsia="Arial" w:hAnsi="Arial"/>
                <w:sz w:val="18"/>
                <w:szCs w:val="18"/>
                <w:color w:val="auto"/>
              </w:rPr>
              <w:t>Revenues</w:t>
            </w:r>
            <w:r>
              <w:rPr>
                <w:rFonts w:ascii="Arial" w:cs="Arial" w:eastAsia="Arial" w:hAnsi="Arial"/>
                <w:sz w:val="22"/>
                <w:szCs w:val="22"/>
                <w:color w:val="auto"/>
                <w:vertAlign w:val="superscript"/>
              </w:rPr>
              <w:t>(g)</w:t>
            </w:r>
          </w:p>
        </w:tc>
        <w:tc>
          <w:tcPr>
            <w:tcW w:w="1660" w:type="dxa"/>
            <w:vAlign w:val="bottom"/>
            <w:vMerge w:val="continue"/>
          </w:tcPr>
          <w:p>
            <w:pPr>
              <w:spacing w:after="0"/>
              <w:rPr>
                <w:sz w:val="17"/>
                <w:szCs w:val="17"/>
                <w:color w:val="auto"/>
              </w:rPr>
            </w:pPr>
          </w:p>
        </w:tc>
        <w:tc>
          <w:tcPr>
            <w:tcW w:w="560" w:type="dxa"/>
            <w:vAlign w:val="bottom"/>
            <w:vMerge w:val="continue"/>
          </w:tcPr>
          <w:p>
            <w:pPr>
              <w:spacing w:after="0"/>
              <w:rPr>
                <w:sz w:val="17"/>
                <w:szCs w:val="17"/>
                <w:color w:val="auto"/>
              </w:rPr>
            </w:pPr>
          </w:p>
        </w:tc>
        <w:tc>
          <w:tcPr>
            <w:tcW w:w="1040" w:type="dxa"/>
            <w:vAlign w:val="bottom"/>
            <w:vMerge w:val="continue"/>
          </w:tcPr>
          <w:p>
            <w:pPr>
              <w:spacing w:after="0"/>
              <w:rPr>
                <w:sz w:val="17"/>
                <w:szCs w:val="17"/>
                <w:color w:val="auto"/>
              </w:rPr>
            </w:pPr>
          </w:p>
        </w:tc>
        <w:tc>
          <w:tcPr>
            <w:tcW w:w="300" w:type="dxa"/>
            <w:vAlign w:val="bottom"/>
            <w:vMerge w:val="continue"/>
          </w:tcPr>
          <w:p>
            <w:pPr>
              <w:spacing w:after="0"/>
              <w:rPr>
                <w:sz w:val="17"/>
                <w:szCs w:val="17"/>
                <w:color w:val="auto"/>
              </w:rPr>
            </w:pPr>
          </w:p>
        </w:tc>
        <w:tc>
          <w:tcPr>
            <w:tcW w:w="820" w:type="dxa"/>
            <w:vAlign w:val="bottom"/>
            <w:vMerge w:val="continue"/>
          </w:tcPr>
          <w:p>
            <w:pPr>
              <w:spacing w:after="0"/>
              <w:rPr>
                <w:sz w:val="17"/>
                <w:szCs w:val="17"/>
                <w:color w:val="auto"/>
              </w:rPr>
            </w:pPr>
          </w:p>
        </w:tc>
        <w:tc>
          <w:tcPr>
            <w:tcW w:w="820" w:type="dxa"/>
            <w:vAlign w:val="bottom"/>
            <w:vMerge w:val="continue"/>
          </w:tcPr>
          <w:p>
            <w:pPr>
              <w:spacing w:after="0"/>
              <w:rPr>
                <w:sz w:val="17"/>
                <w:szCs w:val="17"/>
                <w:color w:val="auto"/>
              </w:rPr>
            </w:pPr>
          </w:p>
        </w:tc>
        <w:tc>
          <w:tcPr>
            <w:tcW w:w="900" w:type="dxa"/>
            <w:vAlign w:val="bottom"/>
            <w:vMerge w:val="continue"/>
          </w:tcPr>
          <w:p>
            <w:pPr>
              <w:spacing w:after="0"/>
              <w:rPr>
                <w:sz w:val="17"/>
                <w:szCs w:val="17"/>
                <w:color w:val="auto"/>
              </w:rPr>
            </w:pPr>
          </w:p>
        </w:tc>
        <w:tc>
          <w:tcPr>
            <w:tcW w:w="800" w:type="dxa"/>
            <w:vAlign w:val="bottom"/>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4520" w:type="dxa"/>
            <w:vAlign w:val="bottom"/>
          </w:tcPr>
          <w:p>
            <w:pPr>
              <w:spacing w:after="0" w:line="202" w:lineRule="exact"/>
              <w:rPr>
                <w:sz w:val="20"/>
                <w:szCs w:val="20"/>
                <w:color w:val="auto"/>
              </w:rPr>
            </w:pPr>
            <w:r>
              <w:rPr>
                <w:rFonts w:ascii="Arial" w:cs="Arial" w:eastAsia="Arial" w:hAnsi="Arial"/>
                <w:sz w:val="18"/>
                <w:szCs w:val="18"/>
                <w:color w:val="auto"/>
              </w:rPr>
              <w:t>Operating income (loss) before depreciation and</w:t>
            </w:r>
          </w:p>
        </w:tc>
        <w:tc>
          <w:tcPr>
            <w:tcW w:w="1660" w:type="dxa"/>
            <w:vAlign w:val="bottom"/>
            <w:vMerge w:val="restart"/>
          </w:tcPr>
          <w:p>
            <w:pPr>
              <w:jc w:val="right"/>
              <w:ind w:right="175"/>
              <w:spacing w:after="0"/>
              <w:rPr>
                <w:sz w:val="20"/>
                <w:szCs w:val="20"/>
                <w:color w:val="auto"/>
              </w:rPr>
            </w:pPr>
            <w:r>
              <w:rPr>
                <w:rFonts w:ascii="Arial" w:cs="Arial" w:eastAsia="Arial" w:hAnsi="Arial"/>
                <w:sz w:val="18"/>
                <w:szCs w:val="18"/>
                <w:b w:val="1"/>
                <w:bCs w:val="1"/>
                <w:color w:val="auto"/>
              </w:rPr>
              <w:t>9,704</w:t>
            </w:r>
          </w:p>
        </w:tc>
        <w:tc>
          <w:tcPr>
            <w:tcW w:w="560" w:type="dxa"/>
            <w:vAlign w:val="bottom"/>
          </w:tcPr>
          <w:p>
            <w:pPr>
              <w:spacing w:after="0"/>
              <w:rPr>
                <w:sz w:val="17"/>
                <w:szCs w:val="17"/>
                <w:color w:val="auto"/>
              </w:rPr>
            </w:pPr>
          </w:p>
        </w:tc>
        <w:tc>
          <w:tcPr>
            <w:tcW w:w="1040" w:type="dxa"/>
            <w:vAlign w:val="bottom"/>
            <w:vMerge w:val="restart"/>
          </w:tcPr>
          <w:p>
            <w:pPr>
              <w:jc w:val="right"/>
              <w:ind w:right="312"/>
              <w:spacing w:after="0"/>
              <w:rPr>
                <w:sz w:val="20"/>
                <w:szCs w:val="20"/>
                <w:color w:val="auto"/>
              </w:rPr>
            </w:pPr>
            <w:r>
              <w:rPr>
                <w:rFonts w:ascii="Arial" w:cs="Arial" w:eastAsia="Arial" w:hAnsi="Arial"/>
                <w:sz w:val="18"/>
                <w:szCs w:val="18"/>
                <w:b w:val="1"/>
                <w:bCs w:val="1"/>
                <w:color w:val="auto"/>
              </w:rPr>
              <w:t>241</w:t>
            </w:r>
          </w:p>
        </w:tc>
        <w:tc>
          <w:tcPr>
            <w:tcW w:w="300" w:type="dxa"/>
            <w:vAlign w:val="bottom"/>
          </w:tcPr>
          <w:p>
            <w:pPr>
              <w:spacing w:after="0"/>
              <w:rPr>
                <w:sz w:val="17"/>
                <w:szCs w:val="17"/>
                <w:color w:val="auto"/>
              </w:rPr>
            </w:pPr>
          </w:p>
        </w:tc>
        <w:tc>
          <w:tcPr>
            <w:tcW w:w="820" w:type="dxa"/>
            <w:vAlign w:val="bottom"/>
            <w:vMerge w:val="restart"/>
          </w:tcPr>
          <w:p>
            <w:pPr>
              <w:jc w:val="right"/>
              <w:spacing w:after="0"/>
              <w:rPr>
                <w:sz w:val="20"/>
                <w:szCs w:val="20"/>
                <w:color w:val="auto"/>
              </w:rPr>
            </w:pPr>
            <w:r>
              <w:rPr>
                <w:rFonts w:ascii="Arial" w:cs="Arial" w:eastAsia="Arial" w:hAnsi="Arial"/>
                <w:sz w:val="18"/>
                <w:szCs w:val="18"/>
                <w:b w:val="1"/>
                <w:bCs w:val="1"/>
                <w:color w:val="auto"/>
              </w:rPr>
              <w:t>(357)</w:t>
            </w:r>
          </w:p>
        </w:tc>
        <w:tc>
          <w:tcPr>
            <w:tcW w:w="820" w:type="dxa"/>
            <w:vAlign w:val="bottom"/>
          </w:tcPr>
          <w:p>
            <w:pPr>
              <w:spacing w:after="0"/>
              <w:rPr>
                <w:sz w:val="17"/>
                <w:szCs w:val="17"/>
                <w:color w:val="auto"/>
              </w:rPr>
            </w:pPr>
          </w:p>
        </w:tc>
        <w:tc>
          <w:tcPr>
            <w:tcW w:w="900" w:type="dxa"/>
            <w:vAlign w:val="bottom"/>
            <w:vMerge w:val="restart"/>
          </w:tcPr>
          <w:p>
            <w:pPr>
              <w:jc w:val="right"/>
              <w:ind w:right="213"/>
              <w:spacing w:after="0"/>
              <w:rPr>
                <w:sz w:val="20"/>
                <w:szCs w:val="20"/>
                <w:color w:val="auto"/>
              </w:rPr>
            </w:pPr>
            <w:r>
              <w:rPr>
                <w:rFonts w:ascii="Arial" w:cs="Arial" w:eastAsia="Arial" w:hAnsi="Arial"/>
                <w:sz w:val="18"/>
                <w:szCs w:val="18"/>
                <w:b w:val="1"/>
                <w:bCs w:val="1"/>
                <w:color w:val="auto"/>
              </w:rPr>
              <w:t>(146)</w:t>
            </w:r>
          </w:p>
        </w:tc>
        <w:tc>
          <w:tcPr>
            <w:tcW w:w="800" w:type="dxa"/>
            <w:vAlign w:val="bottom"/>
            <w:vMerge w:val="restart"/>
          </w:tcPr>
          <w:p>
            <w:pPr>
              <w:jc w:val="right"/>
              <w:spacing w:after="0"/>
              <w:rPr>
                <w:sz w:val="20"/>
                <w:szCs w:val="20"/>
                <w:color w:val="auto"/>
              </w:rPr>
            </w:pPr>
            <w:r>
              <w:rPr>
                <w:rFonts w:ascii="Arial" w:cs="Arial" w:eastAsia="Arial" w:hAnsi="Arial"/>
                <w:sz w:val="18"/>
                <w:szCs w:val="18"/>
                <w:b w:val="1"/>
                <w:bCs w:val="1"/>
                <w:color w:val="auto"/>
              </w:rPr>
              <w:t>9,442</w:t>
            </w:r>
          </w:p>
        </w:tc>
        <w:tc>
          <w:tcPr>
            <w:tcW w:w="0" w:type="dxa"/>
            <w:vAlign w:val="bottom"/>
          </w:tcPr>
          <w:p>
            <w:pPr>
              <w:spacing w:after="0"/>
              <w:rPr>
                <w:sz w:val="1"/>
                <w:szCs w:val="1"/>
                <w:color w:val="auto"/>
              </w:rPr>
            </w:pPr>
          </w:p>
        </w:tc>
      </w:tr>
      <w:tr>
        <w:trPr>
          <w:trHeight w:val="181"/>
        </w:trPr>
        <w:tc>
          <w:tcPr>
            <w:tcW w:w="4520" w:type="dxa"/>
            <w:vAlign w:val="bottom"/>
          </w:tcPr>
          <w:p>
            <w:pPr>
              <w:ind w:left="220"/>
              <w:spacing w:after="0" w:line="181" w:lineRule="exact"/>
              <w:rPr>
                <w:sz w:val="20"/>
                <w:szCs w:val="20"/>
                <w:color w:val="auto"/>
              </w:rPr>
            </w:pPr>
            <w:r>
              <w:rPr>
                <w:rFonts w:ascii="Arial" w:cs="Arial" w:eastAsia="Arial" w:hAnsi="Arial"/>
                <w:sz w:val="16"/>
                <w:szCs w:val="16"/>
                <w:color w:val="auto"/>
              </w:rPr>
              <w:t>amortization</w:t>
            </w:r>
            <w:r>
              <w:rPr>
                <w:rFonts w:ascii="Arial" w:cs="Arial" w:eastAsia="Arial" w:hAnsi="Arial"/>
                <w:sz w:val="20"/>
                <w:szCs w:val="20"/>
                <w:color w:val="auto"/>
                <w:vertAlign w:val="superscript"/>
              </w:rPr>
              <w:t>(h)</w:t>
            </w:r>
          </w:p>
        </w:tc>
        <w:tc>
          <w:tcPr>
            <w:tcW w:w="1660" w:type="dxa"/>
            <w:vAlign w:val="bottom"/>
            <w:vMerge w:val="continue"/>
          </w:tcPr>
          <w:p>
            <w:pPr>
              <w:spacing w:after="0"/>
              <w:rPr>
                <w:sz w:val="15"/>
                <w:szCs w:val="15"/>
                <w:color w:val="auto"/>
              </w:rPr>
            </w:pPr>
          </w:p>
        </w:tc>
        <w:tc>
          <w:tcPr>
            <w:tcW w:w="560" w:type="dxa"/>
            <w:vAlign w:val="bottom"/>
          </w:tcPr>
          <w:p>
            <w:pPr>
              <w:spacing w:after="0"/>
              <w:rPr>
                <w:sz w:val="15"/>
                <w:szCs w:val="15"/>
                <w:color w:val="auto"/>
              </w:rPr>
            </w:pPr>
          </w:p>
        </w:tc>
        <w:tc>
          <w:tcPr>
            <w:tcW w:w="1040" w:type="dxa"/>
            <w:vAlign w:val="bottom"/>
            <w:vMerge w:val="continue"/>
          </w:tcPr>
          <w:p>
            <w:pPr>
              <w:spacing w:after="0"/>
              <w:rPr>
                <w:sz w:val="15"/>
                <w:szCs w:val="15"/>
                <w:color w:val="auto"/>
              </w:rPr>
            </w:pPr>
          </w:p>
        </w:tc>
        <w:tc>
          <w:tcPr>
            <w:tcW w:w="300" w:type="dxa"/>
            <w:vAlign w:val="bottom"/>
          </w:tcPr>
          <w:p>
            <w:pPr>
              <w:spacing w:after="0"/>
              <w:rPr>
                <w:sz w:val="15"/>
                <w:szCs w:val="15"/>
                <w:color w:val="auto"/>
              </w:rPr>
            </w:pPr>
          </w:p>
        </w:tc>
        <w:tc>
          <w:tcPr>
            <w:tcW w:w="820" w:type="dxa"/>
            <w:vAlign w:val="bottom"/>
            <w:vMerge w:val="continue"/>
          </w:tcPr>
          <w:p>
            <w:pPr>
              <w:spacing w:after="0"/>
              <w:rPr>
                <w:sz w:val="15"/>
                <w:szCs w:val="15"/>
                <w:color w:val="auto"/>
              </w:rPr>
            </w:pPr>
          </w:p>
        </w:tc>
        <w:tc>
          <w:tcPr>
            <w:tcW w:w="820" w:type="dxa"/>
            <w:vAlign w:val="bottom"/>
          </w:tcPr>
          <w:p>
            <w:pPr>
              <w:spacing w:after="0"/>
              <w:rPr>
                <w:sz w:val="15"/>
                <w:szCs w:val="15"/>
                <w:color w:val="auto"/>
              </w:rPr>
            </w:pPr>
          </w:p>
        </w:tc>
        <w:tc>
          <w:tcPr>
            <w:tcW w:w="900" w:type="dxa"/>
            <w:vAlign w:val="bottom"/>
            <w:vMerge w:val="continue"/>
          </w:tcPr>
          <w:p>
            <w:pPr>
              <w:spacing w:after="0"/>
              <w:rPr>
                <w:sz w:val="15"/>
                <w:szCs w:val="15"/>
                <w:color w:val="auto"/>
              </w:rPr>
            </w:pPr>
          </w:p>
        </w:tc>
        <w:tc>
          <w:tcPr>
            <w:tcW w:w="800" w:type="dxa"/>
            <w:vAlign w:val="bottom"/>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203"/>
        </w:trPr>
        <w:tc>
          <w:tcPr>
            <w:tcW w:w="4520" w:type="dxa"/>
            <w:vAlign w:val="bottom"/>
          </w:tcPr>
          <w:p>
            <w:pPr>
              <w:spacing w:after="0" w:line="202" w:lineRule="exact"/>
              <w:rPr>
                <w:sz w:val="20"/>
                <w:szCs w:val="20"/>
                <w:color w:val="auto"/>
              </w:rPr>
            </w:pPr>
            <w:r>
              <w:rPr>
                <w:rFonts w:ascii="Arial" w:cs="Arial" w:eastAsia="Arial" w:hAnsi="Arial"/>
                <w:sz w:val="18"/>
                <w:szCs w:val="18"/>
                <w:color w:val="auto"/>
              </w:rPr>
              <w:t>Depreciation and amortization</w:t>
            </w:r>
          </w:p>
        </w:tc>
        <w:tc>
          <w:tcPr>
            <w:tcW w:w="1660" w:type="dxa"/>
            <w:vAlign w:val="bottom"/>
          </w:tcPr>
          <w:p>
            <w:pPr>
              <w:jc w:val="right"/>
              <w:ind w:right="175"/>
              <w:spacing w:after="0" w:line="202" w:lineRule="exact"/>
              <w:rPr>
                <w:sz w:val="20"/>
                <w:szCs w:val="20"/>
                <w:color w:val="auto"/>
              </w:rPr>
            </w:pPr>
            <w:r>
              <w:rPr>
                <w:rFonts w:ascii="Arial" w:cs="Arial" w:eastAsia="Arial" w:hAnsi="Arial"/>
                <w:sz w:val="18"/>
                <w:szCs w:val="18"/>
                <w:b w:val="1"/>
                <w:bCs w:val="1"/>
                <w:color w:val="auto"/>
              </w:rPr>
              <w:t>4,657</w:t>
            </w:r>
          </w:p>
        </w:tc>
        <w:tc>
          <w:tcPr>
            <w:tcW w:w="560" w:type="dxa"/>
            <w:vAlign w:val="bottom"/>
          </w:tcPr>
          <w:p>
            <w:pPr>
              <w:spacing w:after="0"/>
              <w:rPr>
                <w:sz w:val="17"/>
                <w:szCs w:val="17"/>
                <w:color w:val="auto"/>
              </w:rPr>
            </w:pPr>
          </w:p>
        </w:tc>
        <w:tc>
          <w:tcPr>
            <w:tcW w:w="1040" w:type="dxa"/>
            <w:vAlign w:val="bottom"/>
          </w:tcPr>
          <w:p>
            <w:pPr>
              <w:jc w:val="right"/>
              <w:ind w:right="312"/>
              <w:spacing w:after="0" w:line="202" w:lineRule="exact"/>
              <w:rPr>
                <w:sz w:val="20"/>
                <w:szCs w:val="20"/>
                <w:color w:val="auto"/>
              </w:rPr>
            </w:pPr>
            <w:r>
              <w:rPr>
                <w:rFonts w:ascii="Arial" w:cs="Arial" w:eastAsia="Arial" w:hAnsi="Arial"/>
                <w:sz w:val="18"/>
                <w:szCs w:val="18"/>
                <w:b w:val="1"/>
                <w:bCs w:val="1"/>
                <w:color w:val="auto"/>
              </w:rPr>
              <w:t>166</w:t>
            </w:r>
          </w:p>
        </w:tc>
        <w:tc>
          <w:tcPr>
            <w:tcW w:w="300" w:type="dxa"/>
            <w:vAlign w:val="bottom"/>
          </w:tcPr>
          <w:p>
            <w:pPr>
              <w:spacing w:after="0"/>
              <w:rPr>
                <w:sz w:val="17"/>
                <w:szCs w:val="17"/>
                <w:color w:val="auto"/>
              </w:rPr>
            </w:pPr>
          </w:p>
        </w:tc>
        <w:tc>
          <w:tcPr>
            <w:tcW w:w="820" w:type="dxa"/>
            <w:vAlign w:val="bottom"/>
          </w:tcPr>
          <w:p>
            <w:pPr>
              <w:jc w:val="right"/>
              <w:ind w:right="33"/>
              <w:spacing w:after="0" w:line="202" w:lineRule="exact"/>
              <w:rPr>
                <w:sz w:val="20"/>
                <w:szCs w:val="20"/>
                <w:color w:val="auto"/>
              </w:rPr>
            </w:pPr>
            <w:r>
              <w:rPr>
                <w:rFonts w:ascii="Arial" w:cs="Arial" w:eastAsia="Arial" w:hAnsi="Arial"/>
                <w:sz w:val="18"/>
                <w:szCs w:val="18"/>
                <w:b w:val="1"/>
                <w:bCs w:val="1"/>
                <w:color w:val="auto"/>
              </w:rPr>
              <w:t>80</w:t>
            </w:r>
          </w:p>
        </w:tc>
        <w:tc>
          <w:tcPr>
            <w:tcW w:w="820" w:type="dxa"/>
            <w:vAlign w:val="bottom"/>
          </w:tcPr>
          <w:p>
            <w:pPr>
              <w:spacing w:after="0"/>
              <w:rPr>
                <w:sz w:val="17"/>
                <w:szCs w:val="17"/>
                <w:color w:val="auto"/>
              </w:rPr>
            </w:pPr>
          </w:p>
        </w:tc>
        <w:tc>
          <w:tcPr>
            <w:tcW w:w="900" w:type="dxa"/>
            <w:vAlign w:val="bottom"/>
          </w:tcPr>
          <w:p>
            <w:pPr>
              <w:jc w:val="right"/>
              <w:ind w:right="213"/>
              <w:spacing w:after="0" w:line="202" w:lineRule="exact"/>
              <w:rPr>
                <w:sz w:val="20"/>
                <w:szCs w:val="20"/>
                <w:color w:val="auto"/>
              </w:rPr>
            </w:pPr>
            <w:r>
              <w:rPr>
                <w:rFonts w:ascii="Arial" w:cs="Arial" w:eastAsia="Arial" w:hAnsi="Arial"/>
                <w:sz w:val="18"/>
                <w:szCs w:val="18"/>
                <w:b w:val="1"/>
                <w:bCs w:val="1"/>
                <w:color w:val="auto"/>
              </w:rPr>
              <w:t>(80)</w:t>
            </w:r>
          </w:p>
        </w:tc>
        <w:tc>
          <w:tcPr>
            <w:tcW w:w="800" w:type="dxa"/>
            <w:vAlign w:val="bottom"/>
          </w:tcPr>
          <w:p>
            <w:pPr>
              <w:jc w:val="right"/>
              <w:spacing w:after="0" w:line="202" w:lineRule="exact"/>
              <w:rPr>
                <w:sz w:val="20"/>
                <w:szCs w:val="20"/>
                <w:color w:val="auto"/>
              </w:rPr>
            </w:pPr>
            <w:r>
              <w:rPr>
                <w:rFonts w:ascii="Arial" w:cs="Arial" w:eastAsia="Arial" w:hAnsi="Arial"/>
                <w:sz w:val="18"/>
                <w:szCs w:val="18"/>
                <w:b w:val="1"/>
                <w:bCs w:val="1"/>
                <w:color w:val="auto"/>
              </w:rPr>
              <w:t>4,823</w:t>
            </w:r>
          </w:p>
        </w:tc>
        <w:tc>
          <w:tcPr>
            <w:tcW w:w="0" w:type="dxa"/>
            <w:vAlign w:val="bottom"/>
          </w:tcPr>
          <w:p>
            <w:pPr>
              <w:spacing w:after="0"/>
              <w:rPr>
                <w:sz w:val="1"/>
                <w:szCs w:val="1"/>
                <w:color w:val="auto"/>
              </w:rPr>
            </w:pPr>
          </w:p>
        </w:tc>
      </w:tr>
      <w:tr>
        <w:trPr>
          <w:trHeight w:val="203"/>
        </w:trPr>
        <w:tc>
          <w:tcPr>
            <w:tcW w:w="4520" w:type="dxa"/>
            <w:vAlign w:val="bottom"/>
          </w:tcPr>
          <w:p>
            <w:pPr>
              <w:spacing w:after="0" w:line="202" w:lineRule="exact"/>
              <w:rPr>
                <w:sz w:val="20"/>
                <w:szCs w:val="20"/>
                <w:color w:val="auto"/>
              </w:rPr>
            </w:pPr>
            <w:r>
              <w:rPr>
                <w:rFonts w:ascii="Arial" w:cs="Arial" w:eastAsia="Arial" w:hAnsi="Arial"/>
                <w:sz w:val="18"/>
                <w:szCs w:val="18"/>
                <w:color w:val="auto"/>
              </w:rPr>
              <w:t>Operating income (loss)</w:t>
            </w:r>
          </w:p>
        </w:tc>
        <w:tc>
          <w:tcPr>
            <w:tcW w:w="1660" w:type="dxa"/>
            <w:vAlign w:val="bottom"/>
          </w:tcPr>
          <w:p>
            <w:pPr>
              <w:jc w:val="right"/>
              <w:ind w:right="175"/>
              <w:spacing w:after="0" w:line="202" w:lineRule="exact"/>
              <w:rPr>
                <w:sz w:val="20"/>
                <w:szCs w:val="20"/>
                <w:color w:val="auto"/>
              </w:rPr>
            </w:pPr>
            <w:r>
              <w:rPr>
                <w:rFonts w:ascii="Arial" w:cs="Arial" w:eastAsia="Arial" w:hAnsi="Arial"/>
                <w:sz w:val="18"/>
                <w:szCs w:val="18"/>
                <w:b w:val="1"/>
                <w:bCs w:val="1"/>
                <w:color w:val="auto"/>
              </w:rPr>
              <w:t>5,047</w:t>
            </w:r>
          </w:p>
        </w:tc>
        <w:tc>
          <w:tcPr>
            <w:tcW w:w="560" w:type="dxa"/>
            <w:vAlign w:val="bottom"/>
          </w:tcPr>
          <w:p>
            <w:pPr>
              <w:spacing w:after="0"/>
              <w:rPr>
                <w:sz w:val="17"/>
                <w:szCs w:val="17"/>
                <w:color w:val="auto"/>
              </w:rPr>
            </w:pPr>
          </w:p>
        </w:tc>
        <w:tc>
          <w:tcPr>
            <w:tcW w:w="1040" w:type="dxa"/>
            <w:vAlign w:val="bottom"/>
          </w:tcPr>
          <w:p>
            <w:pPr>
              <w:jc w:val="right"/>
              <w:ind w:right="312"/>
              <w:spacing w:after="0" w:line="202" w:lineRule="exact"/>
              <w:rPr>
                <w:sz w:val="20"/>
                <w:szCs w:val="20"/>
                <w:color w:val="auto"/>
              </w:rPr>
            </w:pPr>
            <w:r>
              <w:rPr>
                <w:rFonts w:ascii="Arial" w:cs="Arial" w:eastAsia="Arial" w:hAnsi="Arial"/>
                <w:sz w:val="18"/>
                <w:szCs w:val="18"/>
                <w:b w:val="1"/>
                <w:bCs w:val="1"/>
                <w:color w:val="auto"/>
              </w:rPr>
              <w:t>75</w:t>
            </w:r>
          </w:p>
        </w:tc>
        <w:tc>
          <w:tcPr>
            <w:tcW w:w="300" w:type="dxa"/>
            <w:vAlign w:val="bottom"/>
          </w:tcPr>
          <w:p>
            <w:pPr>
              <w:spacing w:after="0"/>
              <w:rPr>
                <w:sz w:val="17"/>
                <w:szCs w:val="17"/>
                <w:color w:val="auto"/>
              </w:rPr>
            </w:pPr>
          </w:p>
        </w:tc>
        <w:tc>
          <w:tcPr>
            <w:tcW w:w="820" w:type="dxa"/>
            <w:vAlign w:val="bottom"/>
          </w:tcPr>
          <w:p>
            <w:pPr>
              <w:jc w:val="right"/>
              <w:spacing w:after="0" w:line="202" w:lineRule="exact"/>
              <w:rPr>
                <w:sz w:val="20"/>
                <w:szCs w:val="20"/>
                <w:color w:val="auto"/>
              </w:rPr>
            </w:pPr>
            <w:r>
              <w:rPr>
                <w:rFonts w:ascii="Arial" w:cs="Arial" w:eastAsia="Arial" w:hAnsi="Arial"/>
                <w:sz w:val="18"/>
                <w:szCs w:val="18"/>
                <w:b w:val="1"/>
                <w:bCs w:val="1"/>
                <w:color w:val="auto"/>
              </w:rPr>
              <w:t>(437)</w:t>
            </w:r>
          </w:p>
        </w:tc>
        <w:tc>
          <w:tcPr>
            <w:tcW w:w="820" w:type="dxa"/>
            <w:vAlign w:val="bottom"/>
          </w:tcPr>
          <w:p>
            <w:pPr>
              <w:spacing w:after="0"/>
              <w:rPr>
                <w:sz w:val="17"/>
                <w:szCs w:val="17"/>
                <w:color w:val="auto"/>
              </w:rPr>
            </w:pPr>
          </w:p>
        </w:tc>
        <w:tc>
          <w:tcPr>
            <w:tcW w:w="900" w:type="dxa"/>
            <w:vAlign w:val="bottom"/>
          </w:tcPr>
          <w:p>
            <w:pPr>
              <w:jc w:val="right"/>
              <w:ind w:right="213"/>
              <w:spacing w:after="0" w:line="202" w:lineRule="exact"/>
              <w:rPr>
                <w:sz w:val="20"/>
                <w:szCs w:val="20"/>
                <w:color w:val="auto"/>
              </w:rPr>
            </w:pPr>
            <w:r>
              <w:rPr>
                <w:rFonts w:ascii="Arial" w:cs="Arial" w:eastAsia="Arial" w:hAnsi="Arial"/>
                <w:sz w:val="18"/>
                <w:szCs w:val="18"/>
                <w:b w:val="1"/>
                <w:bCs w:val="1"/>
                <w:color w:val="auto"/>
              </w:rPr>
              <w:t>(66)</w:t>
            </w:r>
          </w:p>
        </w:tc>
        <w:tc>
          <w:tcPr>
            <w:tcW w:w="800" w:type="dxa"/>
            <w:vAlign w:val="bottom"/>
          </w:tcPr>
          <w:p>
            <w:pPr>
              <w:jc w:val="right"/>
              <w:spacing w:after="0" w:line="202" w:lineRule="exact"/>
              <w:rPr>
                <w:sz w:val="20"/>
                <w:szCs w:val="20"/>
                <w:color w:val="auto"/>
              </w:rPr>
            </w:pPr>
            <w:r>
              <w:rPr>
                <w:rFonts w:ascii="Arial" w:cs="Arial" w:eastAsia="Arial" w:hAnsi="Arial"/>
                <w:sz w:val="18"/>
                <w:szCs w:val="18"/>
                <w:b w:val="1"/>
                <w:bCs w:val="1"/>
                <w:color w:val="auto"/>
              </w:rPr>
              <w:t>4,619</w:t>
            </w:r>
          </w:p>
        </w:tc>
        <w:tc>
          <w:tcPr>
            <w:tcW w:w="0" w:type="dxa"/>
            <w:vAlign w:val="bottom"/>
          </w:tcPr>
          <w:p>
            <w:pPr>
              <w:spacing w:after="0"/>
              <w:rPr>
                <w:sz w:val="1"/>
                <w:szCs w:val="1"/>
                <w:color w:val="auto"/>
              </w:rPr>
            </w:pPr>
          </w:p>
        </w:tc>
      </w:tr>
      <w:tr>
        <w:trPr>
          <w:trHeight w:val="203"/>
        </w:trPr>
        <w:tc>
          <w:tcPr>
            <w:tcW w:w="4520" w:type="dxa"/>
            <w:vAlign w:val="bottom"/>
          </w:tcPr>
          <w:p>
            <w:pPr>
              <w:spacing w:after="0" w:line="202" w:lineRule="exact"/>
              <w:rPr>
                <w:sz w:val="20"/>
                <w:szCs w:val="20"/>
                <w:color w:val="auto"/>
              </w:rPr>
            </w:pPr>
            <w:r>
              <w:rPr>
                <w:rFonts w:ascii="Arial" w:cs="Arial" w:eastAsia="Arial" w:hAnsi="Arial"/>
                <w:sz w:val="18"/>
                <w:szCs w:val="18"/>
                <w:color w:val="auto"/>
              </w:rPr>
              <w:t>Capital Expenditures</w:t>
            </w:r>
          </w:p>
        </w:tc>
        <w:tc>
          <w:tcPr>
            <w:tcW w:w="1660" w:type="dxa"/>
            <w:vAlign w:val="bottom"/>
          </w:tcPr>
          <w:p>
            <w:pPr>
              <w:jc w:val="right"/>
              <w:ind w:right="175"/>
              <w:spacing w:after="0" w:line="202" w:lineRule="exact"/>
              <w:rPr>
                <w:sz w:val="20"/>
                <w:szCs w:val="20"/>
                <w:color w:val="auto"/>
              </w:rPr>
            </w:pPr>
            <w:r>
              <w:rPr>
                <w:rFonts w:ascii="Arial" w:cs="Arial" w:eastAsia="Arial" w:hAnsi="Arial"/>
                <w:sz w:val="18"/>
                <w:szCs w:val="18"/>
                <w:b w:val="1"/>
                <w:bCs w:val="1"/>
                <w:color w:val="auto"/>
              </w:rPr>
              <w:t>4,244</w:t>
            </w:r>
          </w:p>
        </w:tc>
        <w:tc>
          <w:tcPr>
            <w:tcW w:w="560" w:type="dxa"/>
            <w:vAlign w:val="bottom"/>
          </w:tcPr>
          <w:p>
            <w:pPr>
              <w:spacing w:after="0"/>
              <w:rPr>
                <w:sz w:val="17"/>
                <w:szCs w:val="17"/>
                <w:color w:val="auto"/>
              </w:rPr>
            </w:pPr>
          </w:p>
        </w:tc>
        <w:tc>
          <w:tcPr>
            <w:tcW w:w="1040" w:type="dxa"/>
            <w:vAlign w:val="bottom"/>
          </w:tcPr>
          <w:p>
            <w:pPr>
              <w:jc w:val="right"/>
              <w:ind w:right="312"/>
              <w:spacing w:after="0" w:line="202" w:lineRule="exact"/>
              <w:rPr>
                <w:sz w:val="20"/>
                <w:szCs w:val="20"/>
                <w:color w:val="auto"/>
              </w:rPr>
            </w:pPr>
            <w:r>
              <w:rPr>
                <w:rFonts w:ascii="Arial" w:cs="Arial" w:eastAsia="Arial" w:hAnsi="Arial"/>
                <w:sz w:val="18"/>
                <w:szCs w:val="18"/>
                <w:b w:val="1"/>
                <w:bCs w:val="1"/>
                <w:color w:val="auto"/>
              </w:rPr>
              <w:t>16</w:t>
            </w:r>
          </w:p>
        </w:tc>
        <w:tc>
          <w:tcPr>
            <w:tcW w:w="300" w:type="dxa"/>
            <w:vAlign w:val="bottom"/>
          </w:tcPr>
          <w:p>
            <w:pPr>
              <w:spacing w:after="0"/>
              <w:rPr>
                <w:sz w:val="17"/>
                <w:szCs w:val="17"/>
                <w:color w:val="auto"/>
              </w:rPr>
            </w:pPr>
          </w:p>
        </w:tc>
        <w:tc>
          <w:tcPr>
            <w:tcW w:w="820" w:type="dxa"/>
            <w:vAlign w:val="bottom"/>
          </w:tcPr>
          <w:p>
            <w:pPr>
              <w:jc w:val="right"/>
              <w:ind w:right="33"/>
              <w:spacing w:after="0" w:line="202" w:lineRule="exact"/>
              <w:rPr>
                <w:sz w:val="20"/>
                <w:szCs w:val="20"/>
                <w:color w:val="auto"/>
              </w:rPr>
            </w:pPr>
            <w:r>
              <w:rPr>
                <w:rFonts w:ascii="Arial" w:cs="Arial" w:eastAsia="Arial" w:hAnsi="Arial"/>
                <w:sz w:val="18"/>
                <w:szCs w:val="18"/>
                <w:b w:val="1"/>
                <w:bCs w:val="1"/>
                <w:color w:val="auto"/>
              </w:rPr>
              <w:t>31</w:t>
            </w:r>
          </w:p>
        </w:tc>
        <w:tc>
          <w:tcPr>
            <w:tcW w:w="820" w:type="dxa"/>
            <w:vAlign w:val="bottom"/>
          </w:tcPr>
          <w:p>
            <w:pPr>
              <w:spacing w:after="0"/>
              <w:rPr>
                <w:sz w:val="17"/>
                <w:szCs w:val="17"/>
                <w:color w:val="auto"/>
              </w:rPr>
            </w:pPr>
          </w:p>
        </w:tc>
        <w:tc>
          <w:tcPr>
            <w:tcW w:w="900" w:type="dxa"/>
            <w:vAlign w:val="bottom"/>
          </w:tcPr>
          <w:p>
            <w:pPr>
              <w:jc w:val="right"/>
              <w:ind w:right="273"/>
              <w:spacing w:after="0" w:line="202" w:lineRule="exact"/>
              <w:rPr>
                <w:sz w:val="20"/>
                <w:szCs w:val="20"/>
                <w:color w:val="auto"/>
              </w:rPr>
            </w:pPr>
            <w:r>
              <w:rPr>
                <w:rFonts w:ascii="Arial" w:cs="Arial" w:eastAsia="Arial" w:hAnsi="Arial"/>
                <w:sz w:val="18"/>
                <w:szCs w:val="18"/>
                <w:b w:val="1"/>
                <w:bCs w:val="1"/>
                <w:color w:val="auto"/>
              </w:rPr>
              <w:t>104</w:t>
            </w:r>
          </w:p>
        </w:tc>
        <w:tc>
          <w:tcPr>
            <w:tcW w:w="800" w:type="dxa"/>
            <w:vAlign w:val="bottom"/>
          </w:tcPr>
          <w:p>
            <w:pPr>
              <w:jc w:val="right"/>
              <w:spacing w:after="0" w:line="202" w:lineRule="exact"/>
              <w:rPr>
                <w:sz w:val="20"/>
                <w:szCs w:val="20"/>
                <w:color w:val="auto"/>
              </w:rPr>
            </w:pPr>
            <w:r>
              <w:rPr>
                <w:rFonts w:ascii="Arial" w:cs="Arial" w:eastAsia="Arial" w:hAnsi="Arial"/>
                <w:sz w:val="18"/>
                <w:szCs w:val="18"/>
                <w:b w:val="1"/>
                <w:bCs w:val="1"/>
                <w:color w:val="auto"/>
              </w:rPr>
              <w:t>4,395</w:t>
            </w:r>
          </w:p>
        </w:tc>
        <w:tc>
          <w:tcPr>
            <w:tcW w:w="0" w:type="dxa"/>
            <w:vAlign w:val="bottom"/>
          </w:tcPr>
          <w:p>
            <w:pPr>
              <w:spacing w:after="0"/>
              <w:rPr>
                <w:sz w:val="1"/>
                <w:szCs w:val="1"/>
                <w:color w:val="auto"/>
              </w:rPr>
            </w:pPr>
          </w:p>
        </w:tc>
      </w:tr>
      <w:tr>
        <w:trPr>
          <w:trHeight w:val="225"/>
        </w:trPr>
        <w:tc>
          <w:tcPr>
            <w:tcW w:w="4520" w:type="dxa"/>
            <w:vAlign w:val="bottom"/>
          </w:tcPr>
          <w:p>
            <w:pPr>
              <w:spacing w:after="0"/>
              <w:rPr>
                <w:sz w:val="20"/>
                <w:szCs w:val="20"/>
                <w:color w:val="auto"/>
              </w:rPr>
            </w:pPr>
            <w:r>
              <w:rPr>
                <w:rFonts w:ascii="Arial" w:cs="Arial" w:eastAsia="Arial" w:hAnsi="Arial"/>
                <w:sz w:val="18"/>
                <w:szCs w:val="18"/>
                <w:b w:val="1"/>
                <w:bCs w:val="1"/>
                <w:color w:val="auto"/>
              </w:rPr>
              <w:t>2005</w:t>
            </w:r>
          </w:p>
        </w:tc>
        <w:tc>
          <w:tcPr>
            <w:tcW w:w="1660" w:type="dxa"/>
            <w:vAlign w:val="bottom"/>
          </w:tcPr>
          <w:p>
            <w:pPr>
              <w:spacing w:after="0"/>
              <w:rPr>
                <w:sz w:val="19"/>
                <w:szCs w:val="19"/>
                <w:color w:val="auto"/>
              </w:rPr>
            </w:pPr>
          </w:p>
        </w:tc>
        <w:tc>
          <w:tcPr>
            <w:tcW w:w="560" w:type="dxa"/>
            <w:vAlign w:val="bottom"/>
          </w:tcPr>
          <w:p>
            <w:pPr>
              <w:spacing w:after="0"/>
              <w:rPr>
                <w:sz w:val="19"/>
                <w:szCs w:val="19"/>
                <w:color w:val="auto"/>
              </w:rPr>
            </w:pPr>
          </w:p>
        </w:tc>
        <w:tc>
          <w:tcPr>
            <w:tcW w:w="104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820" w:type="dxa"/>
            <w:vAlign w:val="bottom"/>
          </w:tcPr>
          <w:p>
            <w:pPr>
              <w:spacing w:after="0"/>
              <w:rPr>
                <w:sz w:val="19"/>
                <w:szCs w:val="19"/>
                <w:color w:val="auto"/>
              </w:rPr>
            </w:pPr>
          </w:p>
        </w:tc>
        <w:tc>
          <w:tcPr>
            <w:tcW w:w="820" w:type="dxa"/>
            <w:vAlign w:val="bottom"/>
          </w:tcPr>
          <w:p>
            <w:pPr>
              <w:spacing w:after="0"/>
              <w:rPr>
                <w:sz w:val="19"/>
                <w:szCs w:val="19"/>
                <w:color w:val="auto"/>
              </w:rPr>
            </w:pPr>
          </w:p>
        </w:tc>
        <w:tc>
          <w:tcPr>
            <w:tcW w:w="90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3"/>
        </w:trPr>
        <w:tc>
          <w:tcPr>
            <w:tcW w:w="4520" w:type="dxa"/>
            <w:vAlign w:val="bottom"/>
          </w:tcPr>
          <w:p>
            <w:pPr>
              <w:spacing w:after="0" w:line="203" w:lineRule="exact"/>
              <w:rPr>
                <w:sz w:val="20"/>
                <w:szCs w:val="20"/>
                <w:color w:val="auto"/>
              </w:rPr>
            </w:pPr>
            <w:r>
              <w:rPr>
                <w:rFonts w:ascii="Arial" w:cs="Arial" w:eastAsia="Arial" w:hAnsi="Arial"/>
                <w:sz w:val="18"/>
                <w:szCs w:val="18"/>
                <w:color w:val="auto"/>
              </w:rPr>
              <w:t>Revenues</w:t>
            </w:r>
            <w:r>
              <w:rPr>
                <w:rFonts w:ascii="Arial" w:cs="Arial" w:eastAsia="Arial" w:hAnsi="Arial"/>
                <w:sz w:val="22"/>
                <w:szCs w:val="22"/>
                <w:color w:val="auto"/>
                <w:vertAlign w:val="superscript"/>
              </w:rPr>
              <w:t>(g)</w:t>
            </w:r>
          </w:p>
        </w:tc>
        <w:tc>
          <w:tcPr>
            <w:tcW w:w="1660" w:type="dxa"/>
            <w:vAlign w:val="bottom"/>
          </w:tcPr>
          <w:p>
            <w:pPr>
              <w:jc w:val="right"/>
              <w:ind w:right="175"/>
              <w:spacing w:after="0" w:line="202" w:lineRule="exact"/>
              <w:rPr>
                <w:sz w:val="20"/>
                <w:szCs w:val="20"/>
                <w:color w:val="auto"/>
              </w:rPr>
            </w:pPr>
            <w:r>
              <w:rPr>
                <w:rFonts w:ascii="Arial" w:cs="Arial" w:eastAsia="Arial" w:hAnsi="Arial"/>
                <w:sz w:val="18"/>
                <w:szCs w:val="18"/>
                <w:color w:val="auto"/>
              </w:rPr>
              <w:t>$19,987</w:t>
            </w:r>
          </w:p>
        </w:tc>
        <w:tc>
          <w:tcPr>
            <w:tcW w:w="560" w:type="dxa"/>
            <w:vAlign w:val="bottom"/>
          </w:tcPr>
          <w:p>
            <w:pPr>
              <w:ind w:left="260"/>
              <w:spacing w:after="0" w:line="202" w:lineRule="exact"/>
              <w:rPr>
                <w:sz w:val="20"/>
                <w:szCs w:val="20"/>
                <w:color w:val="auto"/>
              </w:rPr>
            </w:pPr>
            <w:r>
              <w:rPr>
                <w:rFonts w:ascii="Arial" w:cs="Arial" w:eastAsia="Arial" w:hAnsi="Arial"/>
                <w:sz w:val="18"/>
                <w:szCs w:val="18"/>
                <w:color w:val="auto"/>
              </w:rPr>
              <w:t>$</w:t>
            </w:r>
          </w:p>
        </w:tc>
        <w:tc>
          <w:tcPr>
            <w:tcW w:w="1040" w:type="dxa"/>
            <w:vAlign w:val="bottom"/>
          </w:tcPr>
          <w:p>
            <w:pPr>
              <w:jc w:val="right"/>
              <w:ind w:right="312"/>
              <w:spacing w:after="0" w:line="202" w:lineRule="exact"/>
              <w:rPr>
                <w:sz w:val="20"/>
                <w:szCs w:val="20"/>
                <w:color w:val="auto"/>
              </w:rPr>
            </w:pPr>
            <w:r>
              <w:rPr>
                <w:rFonts w:ascii="Arial" w:cs="Arial" w:eastAsia="Arial" w:hAnsi="Arial"/>
                <w:sz w:val="18"/>
                <w:szCs w:val="18"/>
                <w:color w:val="auto"/>
              </w:rPr>
              <w:t>919</w:t>
            </w:r>
          </w:p>
        </w:tc>
        <w:tc>
          <w:tcPr>
            <w:tcW w:w="300" w:type="dxa"/>
            <w:vAlign w:val="bottom"/>
          </w:tcPr>
          <w:p>
            <w:pPr>
              <w:ind w:left="120"/>
              <w:spacing w:after="0" w:line="202" w:lineRule="exact"/>
              <w:rPr>
                <w:sz w:val="20"/>
                <w:szCs w:val="20"/>
                <w:color w:val="auto"/>
              </w:rPr>
            </w:pPr>
            <w:r>
              <w:rPr>
                <w:rFonts w:ascii="Arial" w:cs="Arial" w:eastAsia="Arial" w:hAnsi="Arial"/>
                <w:sz w:val="18"/>
                <w:szCs w:val="18"/>
                <w:color w:val="auto"/>
              </w:rPr>
              <w:t>$</w:t>
            </w:r>
          </w:p>
        </w:tc>
        <w:tc>
          <w:tcPr>
            <w:tcW w:w="820" w:type="dxa"/>
            <w:vAlign w:val="bottom"/>
          </w:tcPr>
          <w:p>
            <w:pPr>
              <w:jc w:val="right"/>
              <w:ind w:right="33"/>
              <w:spacing w:after="0" w:line="202" w:lineRule="exact"/>
              <w:rPr>
                <w:sz w:val="20"/>
                <w:szCs w:val="20"/>
                <w:color w:val="auto"/>
              </w:rPr>
            </w:pPr>
            <w:r>
              <w:rPr>
                <w:rFonts w:ascii="Arial" w:cs="Arial" w:eastAsia="Arial" w:hAnsi="Arial"/>
                <w:sz w:val="18"/>
                <w:szCs w:val="18"/>
                <w:color w:val="auto"/>
              </w:rPr>
              <w:t>315</w:t>
            </w:r>
          </w:p>
        </w:tc>
        <w:tc>
          <w:tcPr>
            <w:tcW w:w="820" w:type="dxa"/>
            <w:vAlign w:val="bottom"/>
          </w:tcPr>
          <w:p>
            <w:pPr>
              <w:ind w:left="380"/>
              <w:spacing w:after="0" w:line="202" w:lineRule="exact"/>
              <w:rPr>
                <w:sz w:val="20"/>
                <w:szCs w:val="20"/>
                <w:color w:val="auto"/>
              </w:rPr>
            </w:pPr>
            <w:r>
              <w:rPr>
                <w:rFonts w:ascii="Arial" w:cs="Arial" w:eastAsia="Arial" w:hAnsi="Arial"/>
                <w:sz w:val="18"/>
                <w:szCs w:val="18"/>
                <w:color w:val="auto"/>
              </w:rPr>
              <w:t>$</w:t>
            </w:r>
          </w:p>
        </w:tc>
        <w:tc>
          <w:tcPr>
            <w:tcW w:w="900" w:type="dxa"/>
            <w:vAlign w:val="bottom"/>
          </w:tcPr>
          <w:p>
            <w:pPr>
              <w:jc w:val="right"/>
              <w:ind w:right="213"/>
              <w:spacing w:after="0" w:line="202" w:lineRule="exact"/>
              <w:rPr>
                <w:sz w:val="20"/>
                <w:szCs w:val="20"/>
                <w:color w:val="auto"/>
              </w:rPr>
            </w:pPr>
            <w:r>
              <w:rPr>
                <w:rFonts w:ascii="Arial" w:cs="Arial" w:eastAsia="Arial" w:hAnsi="Arial"/>
                <w:sz w:val="18"/>
                <w:szCs w:val="18"/>
                <w:color w:val="auto"/>
              </w:rPr>
              <w:t>(146)</w:t>
            </w:r>
          </w:p>
        </w:tc>
        <w:tc>
          <w:tcPr>
            <w:tcW w:w="800" w:type="dxa"/>
            <w:vAlign w:val="bottom"/>
          </w:tcPr>
          <w:p>
            <w:pPr>
              <w:jc w:val="right"/>
              <w:spacing w:after="0" w:line="202" w:lineRule="exact"/>
              <w:rPr>
                <w:sz w:val="20"/>
                <w:szCs w:val="20"/>
                <w:color w:val="auto"/>
              </w:rPr>
            </w:pPr>
            <w:r>
              <w:rPr>
                <w:rFonts w:ascii="Arial" w:cs="Arial" w:eastAsia="Arial" w:hAnsi="Arial"/>
                <w:sz w:val="18"/>
                <w:szCs w:val="18"/>
                <w:color w:val="auto"/>
              </w:rPr>
              <w:t>$21,075</w:t>
            </w:r>
          </w:p>
        </w:tc>
        <w:tc>
          <w:tcPr>
            <w:tcW w:w="0" w:type="dxa"/>
            <w:vAlign w:val="bottom"/>
          </w:tcPr>
          <w:p>
            <w:pPr>
              <w:spacing w:after="0"/>
              <w:rPr>
                <w:sz w:val="1"/>
                <w:szCs w:val="1"/>
                <w:color w:val="auto"/>
              </w:rPr>
            </w:pPr>
          </w:p>
        </w:tc>
      </w:tr>
      <w:tr>
        <w:trPr>
          <w:trHeight w:val="203"/>
        </w:trPr>
        <w:tc>
          <w:tcPr>
            <w:tcW w:w="4520" w:type="dxa"/>
            <w:vAlign w:val="bottom"/>
          </w:tcPr>
          <w:p>
            <w:pPr>
              <w:spacing w:after="0" w:line="202" w:lineRule="exact"/>
              <w:rPr>
                <w:sz w:val="20"/>
                <w:szCs w:val="20"/>
                <w:color w:val="auto"/>
              </w:rPr>
            </w:pPr>
            <w:r>
              <w:rPr>
                <w:rFonts w:ascii="Arial" w:cs="Arial" w:eastAsia="Arial" w:hAnsi="Arial"/>
                <w:sz w:val="18"/>
                <w:szCs w:val="18"/>
                <w:color w:val="auto"/>
              </w:rPr>
              <w:t>Operating income (loss) before depreciation and</w:t>
            </w:r>
          </w:p>
        </w:tc>
        <w:tc>
          <w:tcPr>
            <w:tcW w:w="1660" w:type="dxa"/>
            <w:vAlign w:val="bottom"/>
          </w:tcPr>
          <w:p>
            <w:pPr>
              <w:spacing w:after="0"/>
              <w:rPr>
                <w:sz w:val="17"/>
                <w:szCs w:val="17"/>
                <w:color w:val="auto"/>
              </w:rPr>
            </w:pPr>
          </w:p>
        </w:tc>
        <w:tc>
          <w:tcPr>
            <w:tcW w:w="560" w:type="dxa"/>
            <w:vAlign w:val="bottom"/>
          </w:tcPr>
          <w:p>
            <w:pPr>
              <w:spacing w:after="0"/>
              <w:rPr>
                <w:sz w:val="17"/>
                <w:szCs w:val="17"/>
                <w:color w:val="auto"/>
              </w:rPr>
            </w:pPr>
          </w:p>
        </w:tc>
        <w:tc>
          <w:tcPr>
            <w:tcW w:w="104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4520" w:type="dxa"/>
            <w:vAlign w:val="bottom"/>
          </w:tcPr>
          <w:p>
            <w:pPr>
              <w:ind w:left="220"/>
              <w:spacing w:after="0" w:line="203" w:lineRule="exact"/>
              <w:rPr>
                <w:sz w:val="20"/>
                <w:szCs w:val="20"/>
                <w:color w:val="auto"/>
              </w:rPr>
            </w:pPr>
            <w:r>
              <w:rPr>
                <w:rFonts w:ascii="Arial" w:cs="Arial" w:eastAsia="Arial" w:hAnsi="Arial"/>
                <w:sz w:val="18"/>
                <w:szCs w:val="18"/>
                <w:color w:val="auto"/>
              </w:rPr>
              <w:t>amortization</w:t>
            </w:r>
            <w:r>
              <w:rPr>
                <w:rFonts w:ascii="Arial" w:cs="Arial" w:eastAsia="Arial" w:hAnsi="Arial"/>
                <w:sz w:val="22"/>
                <w:szCs w:val="22"/>
                <w:color w:val="auto"/>
                <w:vertAlign w:val="superscript"/>
              </w:rPr>
              <w:t>(h)(i)</w:t>
            </w:r>
          </w:p>
        </w:tc>
        <w:tc>
          <w:tcPr>
            <w:tcW w:w="1660" w:type="dxa"/>
            <w:vAlign w:val="bottom"/>
          </w:tcPr>
          <w:p>
            <w:pPr>
              <w:jc w:val="right"/>
              <w:ind w:right="175"/>
              <w:spacing w:after="0" w:line="202" w:lineRule="exact"/>
              <w:rPr>
                <w:sz w:val="20"/>
                <w:szCs w:val="20"/>
                <w:color w:val="auto"/>
              </w:rPr>
            </w:pPr>
            <w:r>
              <w:rPr>
                <w:rFonts w:ascii="Arial" w:cs="Arial" w:eastAsia="Arial" w:hAnsi="Arial"/>
                <w:sz w:val="18"/>
                <w:szCs w:val="18"/>
                <w:color w:val="auto"/>
              </w:rPr>
              <w:t>7,947</w:t>
            </w:r>
          </w:p>
        </w:tc>
        <w:tc>
          <w:tcPr>
            <w:tcW w:w="560" w:type="dxa"/>
            <w:vAlign w:val="bottom"/>
          </w:tcPr>
          <w:p>
            <w:pPr>
              <w:spacing w:after="0"/>
              <w:rPr>
                <w:sz w:val="17"/>
                <w:szCs w:val="17"/>
                <w:color w:val="auto"/>
              </w:rPr>
            </w:pPr>
          </w:p>
        </w:tc>
        <w:tc>
          <w:tcPr>
            <w:tcW w:w="1040" w:type="dxa"/>
            <w:vAlign w:val="bottom"/>
          </w:tcPr>
          <w:p>
            <w:pPr>
              <w:jc w:val="right"/>
              <w:ind w:right="312"/>
              <w:spacing w:after="0" w:line="202" w:lineRule="exact"/>
              <w:rPr>
                <w:sz w:val="20"/>
                <w:szCs w:val="20"/>
                <w:color w:val="auto"/>
              </w:rPr>
            </w:pPr>
            <w:r>
              <w:rPr>
                <w:rFonts w:ascii="Arial" w:cs="Arial" w:eastAsia="Arial" w:hAnsi="Arial"/>
                <w:sz w:val="18"/>
                <w:szCs w:val="18"/>
                <w:color w:val="auto"/>
              </w:rPr>
              <w:t>272</w:t>
            </w:r>
          </w:p>
        </w:tc>
        <w:tc>
          <w:tcPr>
            <w:tcW w:w="300" w:type="dxa"/>
            <w:vAlign w:val="bottom"/>
          </w:tcPr>
          <w:p>
            <w:pPr>
              <w:spacing w:after="0"/>
              <w:rPr>
                <w:sz w:val="17"/>
                <w:szCs w:val="17"/>
                <w:color w:val="auto"/>
              </w:rPr>
            </w:pPr>
          </w:p>
        </w:tc>
        <w:tc>
          <w:tcPr>
            <w:tcW w:w="820" w:type="dxa"/>
            <w:vAlign w:val="bottom"/>
          </w:tcPr>
          <w:p>
            <w:pPr>
              <w:jc w:val="right"/>
              <w:spacing w:after="0" w:line="202" w:lineRule="exact"/>
              <w:rPr>
                <w:sz w:val="20"/>
                <w:szCs w:val="20"/>
                <w:color w:val="auto"/>
              </w:rPr>
            </w:pPr>
            <w:r>
              <w:rPr>
                <w:rFonts w:ascii="Arial" w:cs="Arial" w:eastAsia="Arial" w:hAnsi="Arial"/>
                <w:sz w:val="18"/>
                <w:szCs w:val="18"/>
                <w:color w:val="auto"/>
              </w:rPr>
              <w:t>(302)</w:t>
            </w:r>
          </w:p>
        </w:tc>
        <w:tc>
          <w:tcPr>
            <w:tcW w:w="820" w:type="dxa"/>
            <w:vAlign w:val="bottom"/>
          </w:tcPr>
          <w:p>
            <w:pPr>
              <w:spacing w:after="0"/>
              <w:rPr>
                <w:sz w:val="17"/>
                <w:szCs w:val="17"/>
                <w:color w:val="auto"/>
              </w:rPr>
            </w:pPr>
          </w:p>
        </w:tc>
        <w:tc>
          <w:tcPr>
            <w:tcW w:w="900" w:type="dxa"/>
            <w:vAlign w:val="bottom"/>
          </w:tcPr>
          <w:p>
            <w:pPr>
              <w:jc w:val="right"/>
              <w:ind w:right="273"/>
              <w:spacing w:after="0" w:line="202" w:lineRule="exact"/>
              <w:rPr>
                <w:sz w:val="20"/>
                <w:szCs w:val="20"/>
                <w:color w:val="auto"/>
              </w:rPr>
            </w:pPr>
            <w:r>
              <w:rPr>
                <w:rFonts w:ascii="Arial" w:cs="Arial" w:eastAsia="Arial" w:hAnsi="Arial"/>
                <w:sz w:val="18"/>
                <w:szCs w:val="18"/>
                <w:color w:val="auto"/>
              </w:rPr>
              <w:t>155</w:t>
            </w:r>
          </w:p>
        </w:tc>
        <w:tc>
          <w:tcPr>
            <w:tcW w:w="800" w:type="dxa"/>
            <w:vAlign w:val="bottom"/>
          </w:tcPr>
          <w:p>
            <w:pPr>
              <w:jc w:val="right"/>
              <w:spacing w:after="0" w:line="202" w:lineRule="exact"/>
              <w:rPr>
                <w:sz w:val="20"/>
                <w:szCs w:val="20"/>
                <w:color w:val="auto"/>
              </w:rPr>
            </w:pPr>
            <w:r>
              <w:rPr>
                <w:rFonts w:ascii="Arial" w:cs="Arial" w:eastAsia="Arial" w:hAnsi="Arial"/>
                <w:sz w:val="18"/>
                <w:szCs w:val="18"/>
                <w:color w:val="auto"/>
              </w:rPr>
              <w:t>8,072</w:t>
            </w:r>
          </w:p>
        </w:tc>
        <w:tc>
          <w:tcPr>
            <w:tcW w:w="0" w:type="dxa"/>
            <w:vAlign w:val="bottom"/>
          </w:tcPr>
          <w:p>
            <w:pPr>
              <w:spacing w:after="0"/>
              <w:rPr>
                <w:sz w:val="1"/>
                <w:szCs w:val="1"/>
                <w:color w:val="auto"/>
              </w:rPr>
            </w:pPr>
          </w:p>
        </w:tc>
      </w:tr>
      <w:tr>
        <w:trPr>
          <w:trHeight w:val="203"/>
        </w:trPr>
        <w:tc>
          <w:tcPr>
            <w:tcW w:w="4520" w:type="dxa"/>
            <w:vAlign w:val="bottom"/>
          </w:tcPr>
          <w:p>
            <w:pPr>
              <w:spacing w:after="0" w:line="202" w:lineRule="exact"/>
              <w:rPr>
                <w:sz w:val="20"/>
                <w:szCs w:val="20"/>
                <w:color w:val="auto"/>
              </w:rPr>
            </w:pPr>
            <w:r>
              <w:rPr>
                <w:rFonts w:ascii="Arial" w:cs="Arial" w:eastAsia="Arial" w:hAnsi="Arial"/>
                <w:sz w:val="18"/>
                <w:szCs w:val="18"/>
                <w:color w:val="auto"/>
              </w:rPr>
              <w:t>Depreciation and amortization</w:t>
            </w:r>
          </w:p>
        </w:tc>
        <w:tc>
          <w:tcPr>
            <w:tcW w:w="1660" w:type="dxa"/>
            <w:vAlign w:val="bottom"/>
          </w:tcPr>
          <w:p>
            <w:pPr>
              <w:jc w:val="right"/>
              <w:ind w:right="175"/>
              <w:spacing w:after="0" w:line="202" w:lineRule="exact"/>
              <w:rPr>
                <w:sz w:val="20"/>
                <w:szCs w:val="20"/>
                <w:color w:val="auto"/>
              </w:rPr>
            </w:pPr>
            <w:r>
              <w:rPr>
                <w:rFonts w:ascii="Arial" w:cs="Arial" w:eastAsia="Arial" w:hAnsi="Arial"/>
                <w:sz w:val="18"/>
                <w:szCs w:val="18"/>
                <w:color w:val="auto"/>
              </w:rPr>
              <w:t>4,346</w:t>
            </w:r>
          </w:p>
        </w:tc>
        <w:tc>
          <w:tcPr>
            <w:tcW w:w="560" w:type="dxa"/>
            <w:vAlign w:val="bottom"/>
          </w:tcPr>
          <w:p>
            <w:pPr>
              <w:spacing w:after="0"/>
              <w:rPr>
                <w:sz w:val="17"/>
                <w:szCs w:val="17"/>
                <w:color w:val="auto"/>
              </w:rPr>
            </w:pPr>
          </w:p>
        </w:tc>
        <w:tc>
          <w:tcPr>
            <w:tcW w:w="1040" w:type="dxa"/>
            <w:vAlign w:val="bottom"/>
          </w:tcPr>
          <w:p>
            <w:pPr>
              <w:jc w:val="right"/>
              <w:ind w:right="312"/>
              <w:spacing w:after="0" w:line="202" w:lineRule="exact"/>
              <w:rPr>
                <w:sz w:val="20"/>
                <w:szCs w:val="20"/>
                <w:color w:val="auto"/>
              </w:rPr>
            </w:pPr>
            <w:r>
              <w:rPr>
                <w:rFonts w:ascii="Arial" w:cs="Arial" w:eastAsia="Arial" w:hAnsi="Arial"/>
                <w:sz w:val="18"/>
                <w:szCs w:val="18"/>
                <w:color w:val="auto"/>
              </w:rPr>
              <w:t>154</w:t>
            </w:r>
          </w:p>
        </w:tc>
        <w:tc>
          <w:tcPr>
            <w:tcW w:w="300" w:type="dxa"/>
            <w:vAlign w:val="bottom"/>
          </w:tcPr>
          <w:p>
            <w:pPr>
              <w:spacing w:after="0"/>
              <w:rPr>
                <w:sz w:val="17"/>
                <w:szCs w:val="17"/>
                <w:color w:val="auto"/>
              </w:rPr>
            </w:pPr>
          </w:p>
        </w:tc>
        <w:tc>
          <w:tcPr>
            <w:tcW w:w="820" w:type="dxa"/>
            <w:vAlign w:val="bottom"/>
          </w:tcPr>
          <w:p>
            <w:pPr>
              <w:jc w:val="right"/>
              <w:ind w:right="33"/>
              <w:spacing w:after="0" w:line="202" w:lineRule="exact"/>
              <w:rPr>
                <w:sz w:val="20"/>
                <w:szCs w:val="20"/>
                <w:color w:val="auto"/>
              </w:rPr>
            </w:pPr>
            <w:r>
              <w:rPr>
                <w:rFonts w:ascii="Arial" w:cs="Arial" w:eastAsia="Arial" w:hAnsi="Arial"/>
                <w:sz w:val="18"/>
                <w:szCs w:val="18"/>
                <w:color w:val="auto"/>
              </w:rPr>
              <w:t>71</w:t>
            </w:r>
          </w:p>
        </w:tc>
        <w:tc>
          <w:tcPr>
            <w:tcW w:w="820" w:type="dxa"/>
            <w:vAlign w:val="bottom"/>
          </w:tcPr>
          <w:p>
            <w:pPr>
              <w:spacing w:after="0"/>
              <w:rPr>
                <w:sz w:val="17"/>
                <w:szCs w:val="17"/>
                <w:color w:val="auto"/>
              </w:rPr>
            </w:pPr>
          </w:p>
        </w:tc>
        <w:tc>
          <w:tcPr>
            <w:tcW w:w="900" w:type="dxa"/>
            <w:vAlign w:val="bottom"/>
          </w:tcPr>
          <w:p>
            <w:pPr>
              <w:jc w:val="right"/>
              <w:ind w:right="213"/>
              <w:spacing w:after="0" w:line="202" w:lineRule="exact"/>
              <w:rPr>
                <w:sz w:val="20"/>
                <w:szCs w:val="20"/>
                <w:color w:val="auto"/>
              </w:rPr>
            </w:pPr>
            <w:r>
              <w:rPr>
                <w:rFonts w:ascii="Arial" w:cs="Arial" w:eastAsia="Arial" w:hAnsi="Arial"/>
                <w:sz w:val="18"/>
                <w:szCs w:val="18"/>
                <w:color w:val="auto"/>
              </w:rPr>
              <w:t>(20)</w:t>
            </w:r>
          </w:p>
        </w:tc>
        <w:tc>
          <w:tcPr>
            <w:tcW w:w="800" w:type="dxa"/>
            <w:vAlign w:val="bottom"/>
          </w:tcPr>
          <w:p>
            <w:pPr>
              <w:jc w:val="right"/>
              <w:spacing w:after="0" w:line="202" w:lineRule="exact"/>
              <w:rPr>
                <w:sz w:val="20"/>
                <w:szCs w:val="20"/>
                <w:color w:val="auto"/>
              </w:rPr>
            </w:pPr>
            <w:r>
              <w:rPr>
                <w:rFonts w:ascii="Arial" w:cs="Arial" w:eastAsia="Arial" w:hAnsi="Arial"/>
                <w:sz w:val="18"/>
                <w:szCs w:val="18"/>
                <w:color w:val="auto"/>
              </w:rPr>
              <w:t>4,551</w:t>
            </w:r>
          </w:p>
        </w:tc>
        <w:tc>
          <w:tcPr>
            <w:tcW w:w="0" w:type="dxa"/>
            <w:vAlign w:val="bottom"/>
          </w:tcPr>
          <w:p>
            <w:pPr>
              <w:spacing w:after="0"/>
              <w:rPr>
                <w:sz w:val="1"/>
                <w:szCs w:val="1"/>
                <w:color w:val="auto"/>
              </w:rPr>
            </w:pPr>
          </w:p>
        </w:tc>
      </w:tr>
      <w:tr>
        <w:trPr>
          <w:trHeight w:val="203"/>
        </w:trPr>
        <w:tc>
          <w:tcPr>
            <w:tcW w:w="4520" w:type="dxa"/>
            <w:vAlign w:val="bottom"/>
          </w:tcPr>
          <w:p>
            <w:pPr>
              <w:spacing w:after="0" w:line="203" w:lineRule="exact"/>
              <w:rPr>
                <w:sz w:val="20"/>
                <w:szCs w:val="20"/>
                <w:color w:val="auto"/>
              </w:rPr>
            </w:pPr>
            <w:r>
              <w:rPr>
                <w:rFonts w:ascii="Arial" w:cs="Arial" w:eastAsia="Arial" w:hAnsi="Arial"/>
                <w:sz w:val="18"/>
                <w:szCs w:val="18"/>
                <w:color w:val="auto"/>
              </w:rPr>
              <w:t>Operating income (loss)</w:t>
            </w:r>
            <w:r>
              <w:rPr>
                <w:rFonts w:ascii="Arial" w:cs="Arial" w:eastAsia="Arial" w:hAnsi="Arial"/>
                <w:sz w:val="22"/>
                <w:szCs w:val="22"/>
                <w:color w:val="auto"/>
                <w:vertAlign w:val="superscript"/>
              </w:rPr>
              <w:t>(i)</w:t>
            </w:r>
          </w:p>
        </w:tc>
        <w:tc>
          <w:tcPr>
            <w:tcW w:w="1660" w:type="dxa"/>
            <w:vAlign w:val="bottom"/>
          </w:tcPr>
          <w:p>
            <w:pPr>
              <w:jc w:val="right"/>
              <w:ind w:right="175"/>
              <w:spacing w:after="0" w:line="202" w:lineRule="exact"/>
              <w:rPr>
                <w:sz w:val="20"/>
                <w:szCs w:val="20"/>
                <w:color w:val="auto"/>
              </w:rPr>
            </w:pPr>
            <w:r>
              <w:rPr>
                <w:rFonts w:ascii="Arial" w:cs="Arial" w:eastAsia="Arial" w:hAnsi="Arial"/>
                <w:sz w:val="18"/>
                <w:szCs w:val="18"/>
                <w:color w:val="auto"/>
              </w:rPr>
              <w:t>3,601</w:t>
            </w:r>
          </w:p>
        </w:tc>
        <w:tc>
          <w:tcPr>
            <w:tcW w:w="560" w:type="dxa"/>
            <w:vAlign w:val="bottom"/>
          </w:tcPr>
          <w:p>
            <w:pPr>
              <w:spacing w:after="0"/>
              <w:rPr>
                <w:sz w:val="17"/>
                <w:szCs w:val="17"/>
                <w:color w:val="auto"/>
              </w:rPr>
            </w:pPr>
          </w:p>
        </w:tc>
        <w:tc>
          <w:tcPr>
            <w:tcW w:w="1040" w:type="dxa"/>
            <w:vAlign w:val="bottom"/>
          </w:tcPr>
          <w:p>
            <w:pPr>
              <w:jc w:val="right"/>
              <w:ind w:right="312"/>
              <w:spacing w:after="0" w:line="202" w:lineRule="exact"/>
              <w:rPr>
                <w:sz w:val="20"/>
                <w:szCs w:val="20"/>
                <w:color w:val="auto"/>
              </w:rPr>
            </w:pPr>
            <w:r>
              <w:rPr>
                <w:rFonts w:ascii="Arial" w:cs="Arial" w:eastAsia="Arial" w:hAnsi="Arial"/>
                <w:sz w:val="18"/>
                <w:szCs w:val="18"/>
                <w:color w:val="auto"/>
              </w:rPr>
              <w:t>118</w:t>
            </w:r>
          </w:p>
        </w:tc>
        <w:tc>
          <w:tcPr>
            <w:tcW w:w="300" w:type="dxa"/>
            <w:vAlign w:val="bottom"/>
          </w:tcPr>
          <w:p>
            <w:pPr>
              <w:spacing w:after="0"/>
              <w:rPr>
                <w:sz w:val="17"/>
                <w:szCs w:val="17"/>
                <w:color w:val="auto"/>
              </w:rPr>
            </w:pPr>
          </w:p>
        </w:tc>
        <w:tc>
          <w:tcPr>
            <w:tcW w:w="820" w:type="dxa"/>
            <w:vAlign w:val="bottom"/>
          </w:tcPr>
          <w:p>
            <w:pPr>
              <w:jc w:val="right"/>
              <w:spacing w:after="0" w:line="202" w:lineRule="exact"/>
              <w:rPr>
                <w:sz w:val="20"/>
                <w:szCs w:val="20"/>
                <w:color w:val="auto"/>
              </w:rPr>
            </w:pPr>
            <w:r>
              <w:rPr>
                <w:rFonts w:ascii="Arial" w:cs="Arial" w:eastAsia="Arial" w:hAnsi="Arial"/>
                <w:sz w:val="18"/>
                <w:szCs w:val="18"/>
                <w:color w:val="auto"/>
              </w:rPr>
              <w:t>(373)</w:t>
            </w:r>
          </w:p>
        </w:tc>
        <w:tc>
          <w:tcPr>
            <w:tcW w:w="820" w:type="dxa"/>
            <w:vAlign w:val="bottom"/>
          </w:tcPr>
          <w:p>
            <w:pPr>
              <w:spacing w:after="0"/>
              <w:rPr>
                <w:sz w:val="17"/>
                <w:szCs w:val="17"/>
                <w:color w:val="auto"/>
              </w:rPr>
            </w:pPr>
          </w:p>
        </w:tc>
        <w:tc>
          <w:tcPr>
            <w:tcW w:w="900" w:type="dxa"/>
            <w:vAlign w:val="bottom"/>
          </w:tcPr>
          <w:p>
            <w:pPr>
              <w:jc w:val="right"/>
              <w:ind w:right="273"/>
              <w:spacing w:after="0" w:line="202" w:lineRule="exact"/>
              <w:rPr>
                <w:sz w:val="20"/>
                <w:szCs w:val="20"/>
                <w:color w:val="auto"/>
              </w:rPr>
            </w:pPr>
            <w:r>
              <w:rPr>
                <w:rFonts w:ascii="Arial" w:cs="Arial" w:eastAsia="Arial" w:hAnsi="Arial"/>
                <w:sz w:val="18"/>
                <w:szCs w:val="18"/>
                <w:color w:val="auto"/>
              </w:rPr>
              <w:t>175</w:t>
            </w:r>
          </w:p>
        </w:tc>
        <w:tc>
          <w:tcPr>
            <w:tcW w:w="800" w:type="dxa"/>
            <w:vAlign w:val="bottom"/>
          </w:tcPr>
          <w:p>
            <w:pPr>
              <w:jc w:val="right"/>
              <w:spacing w:after="0" w:line="202" w:lineRule="exact"/>
              <w:rPr>
                <w:sz w:val="20"/>
                <w:szCs w:val="20"/>
                <w:color w:val="auto"/>
              </w:rPr>
            </w:pPr>
            <w:r>
              <w:rPr>
                <w:rFonts w:ascii="Arial" w:cs="Arial" w:eastAsia="Arial" w:hAnsi="Arial"/>
                <w:sz w:val="18"/>
                <w:szCs w:val="18"/>
                <w:color w:val="auto"/>
              </w:rPr>
              <w:t>3,521</w:t>
            </w:r>
          </w:p>
        </w:tc>
        <w:tc>
          <w:tcPr>
            <w:tcW w:w="0" w:type="dxa"/>
            <w:vAlign w:val="bottom"/>
          </w:tcPr>
          <w:p>
            <w:pPr>
              <w:spacing w:after="0"/>
              <w:rPr>
                <w:sz w:val="1"/>
                <w:szCs w:val="1"/>
                <w:color w:val="auto"/>
              </w:rPr>
            </w:pPr>
          </w:p>
        </w:tc>
      </w:tr>
      <w:tr>
        <w:trPr>
          <w:trHeight w:val="181"/>
        </w:trPr>
        <w:tc>
          <w:tcPr>
            <w:tcW w:w="4520" w:type="dxa"/>
            <w:vAlign w:val="bottom"/>
          </w:tcPr>
          <w:p>
            <w:pPr>
              <w:spacing w:after="0" w:line="181" w:lineRule="exact"/>
              <w:rPr>
                <w:sz w:val="20"/>
                <w:szCs w:val="20"/>
                <w:color w:val="auto"/>
              </w:rPr>
            </w:pPr>
            <w:r>
              <w:rPr>
                <w:rFonts w:ascii="Arial" w:cs="Arial" w:eastAsia="Arial" w:hAnsi="Arial"/>
                <w:sz w:val="18"/>
                <w:szCs w:val="18"/>
                <w:color w:val="auto"/>
              </w:rPr>
              <w:t>Capital Expenditures</w:t>
            </w:r>
          </w:p>
        </w:tc>
        <w:tc>
          <w:tcPr>
            <w:tcW w:w="1660" w:type="dxa"/>
            <w:vAlign w:val="bottom"/>
          </w:tcPr>
          <w:p>
            <w:pPr>
              <w:jc w:val="right"/>
              <w:ind w:right="175"/>
              <w:spacing w:after="0" w:line="181" w:lineRule="exact"/>
              <w:rPr>
                <w:sz w:val="20"/>
                <w:szCs w:val="20"/>
                <w:color w:val="auto"/>
              </w:rPr>
            </w:pPr>
            <w:r>
              <w:rPr>
                <w:rFonts w:ascii="Arial" w:cs="Arial" w:eastAsia="Arial" w:hAnsi="Arial"/>
                <w:sz w:val="18"/>
                <w:szCs w:val="18"/>
                <w:color w:val="auto"/>
              </w:rPr>
              <w:t>3,409</w:t>
            </w:r>
          </w:p>
        </w:tc>
        <w:tc>
          <w:tcPr>
            <w:tcW w:w="560" w:type="dxa"/>
            <w:vAlign w:val="bottom"/>
          </w:tcPr>
          <w:p>
            <w:pPr>
              <w:spacing w:after="0"/>
              <w:rPr>
                <w:sz w:val="15"/>
                <w:szCs w:val="15"/>
                <w:color w:val="auto"/>
              </w:rPr>
            </w:pPr>
          </w:p>
        </w:tc>
        <w:tc>
          <w:tcPr>
            <w:tcW w:w="1040" w:type="dxa"/>
            <w:vAlign w:val="bottom"/>
          </w:tcPr>
          <w:p>
            <w:pPr>
              <w:jc w:val="right"/>
              <w:ind w:right="312"/>
              <w:spacing w:after="0" w:line="181" w:lineRule="exact"/>
              <w:rPr>
                <w:sz w:val="20"/>
                <w:szCs w:val="20"/>
                <w:color w:val="auto"/>
              </w:rPr>
            </w:pPr>
            <w:r>
              <w:rPr>
                <w:rFonts w:ascii="Arial" w:cs="Arial" w:eastAsia="Arial" w:hAnsi="Arial"/>
                <w:sz w:val="18"/>
                <w:szCs w:val="18"/>
                <w:color w:val="auto"/>
              </w:rPr>
              <w:t>16</w:t>
            </w:r>
          </w:p>
        </w:tc>
        <w:tc>
          <w:tcPr>
            <w:tcW w:w="300" w:type="dxa"/>
            <w:vAlign w:val="bottom"/>
          </w:tcPr>
          <w:p>
            <w:pPr>
              <w:spacing w:after="0"/>
              <w:rPr>
                <w:sz w:val="15"/>
                <w:szCs w:val="15"/>
                <w:color w:val="auto"/>
              </w:rPr>
            </w:pPr>
          </w:p>
        </w:tc>
        <w:tc>
          <w:tcPr>
            <w:tcW w:w="820" w:type="dxa"/>
            <w:vAlign w:val="bottom"/>
          </w:tcPr>
          <w:p>
            <w:pPr>
              <w:jc w:val="right"/>
              <w:ind w:right="33"/>
              <w:spacing w:after="0" w:line="181" w:lineRule="exact"/>
              <w:rPr>
                <w:sz w:val="20"/>
                <w:szCs w:val="20"/>
                <w:color w:val="auto"/>
              </w:rPr>
            </w:pPr>
            <w:r>
              <w:rPr>
                <w:rFonts w:ascii="Arial" w:cs="Arial" w:eastAsia="Arial" w:hAnsi="Arial"/>
                <w:sz w:val="18"/>
                <w:szCs w:val="18"/>
                <w:color w:val="auto"/>
              </w:rPr>
              <w:t>38</w:t>
            </w:r>
          </w:p>
        </w:tc>
        <w:tc>
          <w:tcPr>
            <w:tcW w:w="820" w:type="dxa"/>
            <w:vAlign w:val="bottom"/>
          </w:tcPr>
          <w:p>
            <w:pPr>
              <w:spacing w:after="0"/>
              <w:rPr>
                <w:sz w:val="15"/>
                <w:szCs w:val="15"/>
                <w:color w:val="auto"/>
              </w:rPr>
            </w:pPr>
          </w:p>
        </w:tc>
        <w:tc>
          <w:tcPr>
            <w:tcW w:w="900" w:type="dxa"/>
            <w:vAlign w:val="bottom"/>
          </w:tcPr>
          <w:p>
            <w:pPr>
              <w:jc w:val="right"/>
              <w:ind w:right="273"/>
              <w:spacing w:after="0" w:line="181" w:lineRule="exact"/>
              <w:rPr>
                <w:sz w:val="20"/>
                <w:szCs w:val="20"/>
                <w:color w:val="auto"/>
              </w:rPr>
            </w:pPr>
            <w:r>
              <w:rPr>
                <w:rFonts w:ascii="Arial" w:cs="Arial" w:eastAsia="Arial" w:hAnsi="Arial"/>
                <w:sz w:val="18"/>
                <w:szCs w:val="18"/>
                <w:color w:val="auto"/>
              </w:rPr>
              <w:t>158</w:t>
            </w:r>
          </w:p>
        </w:tc>
        <w:tc>
          <w:tcPr>
            <w:tcW w:w="800" w:type="dxa"/>
            <w:vAlign w:val="bottom"/>
          </w:tcPr>
          <w:p>
            <w:pPr>
              <w:jc w:val="right"/>
              <w:spacing w:after="0" w:line="181" w:lineRule="exact"/>
              <w:rPr>
                <w:sz w:val="20"/>
                <w:szCs w:val="20"/>
                <w:color w:val="auto"/>
              </w:rPr>
            </w:pPr>
            <w:r>
              <w:rPr>
                <w:rFonts w:ascii="Arial" w:cs="Arial" w:eastAsia="Arial" w:hAnsi="Arial"/>
                <w:sz w:val="18"/>
                <w:szCs w:val="18"/>
                <w:color w:val="auto"/>
              </w:rPr>
              <w:t>3,621</w:t>
            </w:r>
          </w:p>
        </w:tc>
        <w:tc>
          <w:tcPr>
            <w:tcW w:w="0" w:type="dxa"/>
            <w:vAlign w:val="bottom"/>
          </w:tcPr>
          <w:p>
            <w:pPr>
              <w:spacing w:after="0"/>
              <w:rPr>
                <w:sz w:val="1"/>
                <w:szCs w:val="1"/>
                <w:color w:val="auto"/>
              </w:rPr>
            </w:pPr>
          </w:p>
        </w:tc>
      </w:tr>
      <w:tr>
        <w:trPr>
          <w:trHeight w:val="225"/>
        </w:trPr>
        <w:tc>
          <w:tcPr>
            <w:tcW w:w="4520" w:type="dxa"/>
            <w:vAlign w:val="bottom"/>
          </w:tcPr>
          <w:p>
            <w:pPr>
              <w:spacing w:after="0"/>
              <w:rPr>
                <w:sz w:val="20"/>
                <w:szCs w:val="20"/>
                <w:color w:val="auto"/>
              </w:rPr>
            </w:pPr>
            <w:r>
              <w:rPr>
                <w:rFonts w:ascii="Arial" w:cs="Arial" w:eastAsia="Arial" w:hAnsi="Arial"/>
                <w:sz w:val="18"/>
                <w:szCs w:val="18"/>
                <w:b w:val="1"/>
                <w:bCs w:val="1"/>
                <w:color w:val="auto"/>
              </w:rPr>
              <w:t>2004</w:t>
            </w:r>
          </w:p>
        </w:tc>
        <w:tc>
          <w:tcPr>
            <w:tcW w:w="1660" w:type="dxa"/>
            <w:vAlign w:val="bottom"/>
          </w:tcPr>
          <w:p>
            <w:pPr>
              <w:spacing w:after="0"/>
              <w:rPr>
                <w:sz w:val="19"/>
                <w:szCs w:val="19"/>
                <w:color w:val="auto"/>
              </w:rPr>
            </w:pPr>
          </w:p>
        </w:tc>
        <w:tc>
          <w:tcPr>
            <w:tcW w:w="560" w:type="dxa"/>
            <w:vAlign w:val="bottom"/>
          </w:tcPr>
          <w:p>
            <w:pPr>
              <w:spacing w:after="0"/>
              <w:rPr>
                <w:sz w:val="19"/>
                <w:szCs w:val="19"/>
                <w:color w:val="auto"/>
              </w:rPr>
            </w:pPr>
          </w:p>
        </w:tc>
        <w:tc>
          <w:tcPr>
            <w:tcW w:w="104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820" w:type="dxa"/>
            <w:vAlign w:val="bottom"/>
          </w:tcPr>
          <w:p>
            <w:pPr>
              <w:spacing w:after="0"/>
              <w:rPr>
                <w:sz w:val="19"/>
                <w:szCs w:val="19"/>
                <w:color w:val="auto"/>
              </w:rPr>
            </w:pPr>
          </w:p>
        </w:tc>
        <w:tc>
          <w:tcPr>
            <w:tcW w:w="820" w:type="dxa"/>
            <w:vAlign w:val="bottom"/>
          </w:tcPr>
          <w:p>
            <w:pPr>
              <w:spacing w:after="0"/>
              <w:rPr>
                <w:sz w:val="19"/>
                <w:szCs w:val="19"/>
                <w:color w:val="auto"/>
              </w:rPr>
            </w:pPr>
          </w:p>
        </w:tc>
        <w:tc>
          <w:tcPr>
            <w:tcW w:w="90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3"/>
        </w:trPr>
        <w:tc>
          <w:tcPr>
            <w:tcW w:w="4520" w:type="dxa"/>
            <w:vAlign w:val="bottom"/>
          </w:tcPr>
          <w:p>
            <w:pPr>
              <w:spacing w:after="0" w:line="203" w:lineRule="exact"/>
              <w:rPr>
                <w:sz w:val="20"/>
                <w:szCs w:val="20"/>
                <w:color w:val="auto"/>
              </w:rPr>
            </w:pPr>
            <w:r>
              <w:rPr>
                <w:rFonts w:ascii="Arial" w:cs="Arial" w:eastAsia="Arial" w:hAnsi="Arial"/>
                <w:sz w:val="18"/>
                <w:szCs w:val="18"/>
                <w:color w:val="auto"/>
              </w:rPr>
              <w:t>Revenues</w:t>
            </w:r>
            <w:r>
              <w:rPr>
                <w:rFonts w:ascii="Arial" w:cs="Arial" w:eastAsia="Arial" w:hAnsi="Arial"/>
                <w:sz w:val="22"/>
                <w:szCs w:val="22"/>
                <w:color w:val="auto"/>
                <w:vertAlign w:val="superscript"/>
              </w:rPr>
              <w:t>(g)</w:t>
            </w:r>
          </w:p>
        </w:tc>
        <w:tc>
          <w:tcPr>
            <w:tcW w:w="1660" w:type="dxa"/>
            <w:vAlign w:val="bottom"/>
          </w:tcPr>
          <w:p>
            <w:pPr>
              <w:jc w:val="right"/>
              <w:ind w:right="175"/>
              <w:spacing w:after="0" w:line="202" w:lineRule="exact"/>
              <w:rPr>
                <w:sz w:val="20"/>
                <w:szCs w:val="20"/>
                <w:color w:val="auto"/>
              </w:rPr>
            </w:pPr>
            <w:r>
              <w:rPr>
                <w:rFonts w:ascii="Arial" w:cs="Arial" w:eastAsia="Arial" w:hAnsi="Arial"/>
                <w:sz w:val="18"/>
                <w:szCs w:val="18"/>
                <w:color w:val="auto"/>
              </w:rPr>
              <w:t>$18,230</w:t>
            </w:r>
          </w:p>
        </w:tc>
        <w:tc>
          <w:tcPr>
            <w:tcW w:w="560" w:type="dxa"/>
            <w:vAlign w:val="bottom"/>
          </w:tcPr>
          <w:p>
            <w:pPr>
              <w:ind w:left="260"/>
              <w:spacing w:after="0" w:line="202" w:lineRule="exact"/>
              <w:rPr>
                <w:sz w:val="20"/>
                <w:szCs w:val="20"/>
                <w:color w:val="auto"/>
              </w:rPr>
            </w:pPr>
            <w:r>
              <w:rPr>
                <w:rFonts w:ascii="Arial" w:cs="Arial" w:eastAsia="Arial" w:hAnsi="Arial"/>
                <w:sz w:val="18"/>
                <w:szCs w:val="18"/>
                <w:color w:val="auto"/>
              </w:rPr>
              <w:t>$</w:t>
            </w:r>
          </w:p>
        </w:tc>
        <w:tc>
          <w:tcPr>
            <w:tcW w:w="1040" w:type="dxa"/>
            <w:vAlign w:val="bottom"/>
          </w:tcPr>
          <w:p>
            <w:pPr>
              <w:jc w:val="right"/>
              <w:ind w:right="312"/>
              <w:spacing w:after="0" w:line="202" w:lineRule="exact"/>
              <w:rPr>
                <w:sz w:val="20"/>
                <w:szCs w:val="20"/>
                <w:color w:val="auto"/>
              </w:rPr>
            </w:pPr>
            <w:r>
              <w:rPr>
                <w:rFonts w:ascii="Arial" w:cs="Arial" w:eastAsia="Arial" w:hAnsi="Arial"/>
                <w:sz w:val="18"/>
                <w:szCs w:val="18"/>
                <w:color w:val="auto"/>
              </w:rPr>
              <w:t>787</w:t>
            </w:r>
          </w:p>
        </w:tc>
        <w:tc>
          <w:tcPr>
            <w:tcW w:w="300" w:type="dxa"/>
            <w:vAlign w:val="bottom"/>
          </w:tcPr>
          <w:p>
            <w:pPr>
              <w:ind w:left="120"/>
              <w:spacing w:after="0" w:line="202" w:lineRule="exact"/>
              <w:rPr>
                <w:sz w:val="20"/>
                <w:szCs w:val="20"/>
                <w:color w:val="auto"/>
              </w:rPr>
            </w:pPr>
            <w:r>
              <w:rPr>
                <w:rFonts w:ascii="Arial" w:cs="Arial" w:eastAsia="Arial" w:hAnsi="Arial"/>
                <w:sz w:val="18"/>
                <w:szCs w:val="18"/>
                <w:color w:val="auto"/>
              </w:rPr>
              <w:t>$</w:t>
            </w:r>
          </w:p>
        </w:tc>
        <w:tc>
          <w:tcPr>
            <w:tcW w:w="820" w:type="dxa"/>
            <w:vAlign w:val="bottom"/>
          </w:tcPr>
          <w:p>
            <w:pPr>
              <w:jc w:val="right"/>
              <w:ind w:right="33"/>
              <w:spacing w:after="0" w:line="202" w:lineRule="exact"/>
              <w:rPr>
                <w:sz w:val="20"/>
                <w:szCs w:val="20"/>
                <w:color w:val="auto"/>
              </w:rPr>
            </w:pPr>
            <w:r>
              <w:rPr>
                <w:rFonts w:ascii="Arial" w:cs="Arial" w:eastAsia="Arial" w:hAnsi="Arial"/>
                <w:sz w:val="18"/>
                <w:szCs w:val="18"/>
                <w:color w:val="auto"/>
              </w:rPr>
              <w:t>332</w:t>
            </w:r>
          </w:p>
        </w:tc>
        <w:tc>
          <w:tcPr>
            <w:tcW w:w="820" w:type="dxa"/>
            <w:vAlign w:val="bottom"/>
          </w:tcPr>
          <w:p>
            <w:pPr>
              <w:ind w:left="380"/>
              <w:spacing w:after="0" w:line="202" w:lineRule="exact"/>
              <w:rPr>
                <w:sz w:val="20"/>
                <w:szCs w:val="20"/>
                <w:color w:val="auto"/>
              </w:rPr>
            </w:pPr>
            <w:r>
              <w:rPr>
                <w:rFonts w:ascii="Arial" w:cs="Arial" w:eastAsia="Arial" w:hAnsi="Arial"/>
                <w:sz w:val="18"/>
                <w:szCs w:val="18"/>
                <w:color w:val="auto"/>
              </w:rPr>
              <w:t>$</w:t>
            </w:r>
          </w:p>
        </w:tc>
        <w:tc>
          <w:tcPr>
            <w:tcW w:w="900" w:type="dxa"/>
            <w:vAlign w:val="bottom"/>
          </w:tcPr>
          <w:p>
            <w:pPr>
              <w:jc w:val="right"/>
              <w:ind w:right="213"/>
              <w:spacing w:after="0" w:line="202" w:lineRule="exact"/>
              <w:rPr>
                <w:sz w:val="20"/>
                <w:szCs w:val="20"/>
                <w:color w:val="auto"/>
              </w:rPr>
            </w:pPr>
            <w:r>
              <w:rPr>
                <w:rFonts w:ascii="Arial" w:cs="Arial" w:eastAsia="Arial" w:hAnsi="Arial"/>
                <w:sz w:val="18"/>
                <w:szCs w:val="18"/>
                <w:color w:val="auto"/>
              </w:rPr>
              <w:t>(128)</w:t>
            </w:r>
          </w:p>
        </w:tc>
        <w:tc>
          <w:tcPr>
            <w:tcW w:w="800" w:type="dxa"/>
            <w:vAlign w:val="bottom"/>
          </w:tcPr>
          <w:p>
            <w:pPr>
              <w:jc w:val="right"/>
              <w:spacing w:after="0" w:line="202" w:lineRule="exact"/>
              <w:rPr>
                <w:sz w:val="20"/>
                <w:szCs w:val="20"/>
                <w:color w:val="auto"/>
              </w:rPr>
            </w:pPr>
            <w:r>
              <w:rPr>
                <w:rFonts w:ascii="Arial" w:cs="Arial" w:eastAsia="Arial" w:hAnsi="Arial"/>
                <w:sz w:val="18"/>
                <w:szCs w:val="18"/>
                <w:color w:val="auto"/>
              </w:rPr>
              <w:t>$19,221</w:t>
            </w:r>
          </w:p>
        </w:tc>
        <w:tc>
          <w:tcPr>
            <w:tcW w:w="0" w:type="dxa"/>
            <w:vAlign w:val="bottom"/>
          </w:tcPr>
          <w:p>
            <w:pPr>
              <w:spacing w:after="0"/>
              <w:rPr>
                <w:sz w:val="1"/>
                <w:szCs w:val="1"/>
                <w:color w:val="auto"/>
              </w:rPr>
            </w:pPr>
          </w:p>
        </w:tc>
      </w:tr>
      <w:tr>
        <w:trPr>
          <w:trHeight w:val="203"/>
        </w:trPr>
        <w:tc>
          <w:tcPr>
            <w:tcW w:w="4520" w:type="dxa"/>
            <w:vAlign w:val="bottom"/>
          </w:tcPr>
          <w:p>
            <w:pPr>
              <w:spacing w:after="0" w:line="202" w:lineRule="exact"/>
              <w:rPr>
                <w:sz w:val="20"/>
                <w:szCs w:val="20"/>
                <w:color w:val="auto"/>
              </w:rPr>
            </w:pPr>
            <w:r>
              <w:rPr>
                <w:rFonts w:ascii="Arial" w:cs="Arial" w:eastAsia="Arial" w:hAnsi="Arial"/>
                <w:sz w:val="18"/>
                <w:szCs w:val="18"/>
                <w:color w:val="auto"/>
              </w:rPr>
              <w:t>Operating income (loss) before depreciation and</w:t>
            </w:r>
          </w:p>
        </w:tc>
        <w:tc>
          <w:tcPr>
            <w:tcW w:w="1660" w:type="dxa"/>
            <w:vAlign w:val="bottom"/>
          </w:tcPr>
          <w:p>
            <w:pPr>
              <w:spacing w:after="0"/>
              <w:rPr>
                <w:sz w:val="17"/>
                <w:szCs w:val="17"/>
                <w:color w:val="auto"/>
              </w:rPr>
            </w:pPr>
          </w:p>
        </w:tc>
        <w:tc>
          <w:tcPr>
            <w:tcW w:w="560" w:type="dxa"/>
            <w:vAlign w:val="bottom"/>
          </w:tcPr>
          <w:p>
            <w:pPr>
              <w:spacing w:after="0"/>
              <w:rPr>
                <w:sz w:val="17"/>
                <w:szCs w:val="17"/>
                <w:color w:val="auto"/>
              </w:rPr>
            </w:pPr>
          </w:p>
        </w:tc>
        <w:tc>
          <w:tcPr>
            <w:tcW w:w="104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4520" w:type="dxa"/>
            <w:vAlign w:val="bottom"/>
          </w:tcPr>
          <w:p>
            <w:pPr>
              <w:ind w:left="220"/>
              <w:spacing w:after="0" w:line="203" w:lineRule="exact"/>
              <w:rPr>
                <w:sz w:val="20"/>
                <w:szCs w:val="20"/>
                <w:color w:val="auto"/>
              </w:rPr>
            </w:pPr>
            <w:r>
              <w:rPr>
                <w:rFonts w:ascii="Arial" w:cs="Arial" w:eastAsia="Arial" w:hAnsi="Arial"/>
                <w:sz w:val="18"/>
                <w:szCs w:val="18"/>
                <w:color w:val="auto"/>
              </w:rPr>
              <w:t>amortization</w:t>
            </w:r>
            <w:r>
              <w:rPr>
                <w:rFonts w:ascii="Arial" w:cs="Arial" w:eastAsia="Arial" w:hAnsi="Arial"/>
                <w:sz w:val="22"/>
                <w:szCs w:val="22"/>
                <w:color w:val="auto"/>
                <w:vertAlign w:val="superscript"/>
              </w:rPr>
              <w:t>(h)(i)</w:t>
            </w:r>
          </w:p>
        </w:tc>
        <w:tc>
          <w:tcPr>
            <w:tcW w:w="1660" w:type="dxa"/>
            <w:vAlign w:val="bottom"/>
          </w:tcPr>
          <w:p>
            <w:pPr>
              <w:jc w:val="right"/>
              <w:ind w:right="175"/>
              <w:spacing w:after="0" w:line="202" w:lineRule="exact"/>
              <w:rPr>
                <w:sz w:val="20"/>
                <w:szCs w:val="20"/>
                <w:color w:val="auto"/>
              </w:rPr>
            </w:pPr>
            <w:r>
              <w:rPr>
                <w:rFonts w:ascii="Arial" w:cs="Arial" w:eastAsia="Arial" w:hAnsi="Arial"/>
                <w:sz w:val="18"/>
                <w:szCs w:val="18"/>
                <w:color w:val="auto"/>
              </w:rPr>
              <w:t>6,940</w:t>
            </w:r>
          </w:p>
        </w:tc>
        <w:tc>
          <w:tcPr>
            <w:tcW w:w="560" w:type="dxa"/>
            <w:vAlign w:val="bottom"/>
          </w:tcPr>
          <w:p>
            <w:pPr>
              <w:spacing w:after="0"/>
              <w:rPr>
                <w:sz w:val="17"/>
                <w:szCs w:val="17"/>
                <w:color w:val="auto"/>
              </w:rPr>
            </w:pPr>
          </w:p>
        </w:tc>
        <w:tc>
          <w:tcPr>
            <w:tcW w:w="1040" w:type="dxa"/>
            <w:vAlign w:val="bottom"/>
          </w:tcPr>
          <w:p>
            <w:pPr>
              <w:jc w:val="right"/>
              <w:ind w:right="312"/>
              <w:spacing w:after="0" w:line="202" w:lineRule="exact"/>
              <w:rPr>
                <w:sz w:val="20"/>
                <w:szCs w:val="20"/>
                <w:color w:val="auto"/>
              </w:rPr>
            </w:pPr>
            <w:r>
              <w:rPr>
                <w:rFonts w:ascii="Arial" w:cs="Arial" w:eastAsia="Arial" w:hAnsi="Arial"/>
                <w:sz w:val="18"/>
                <w:szCs w:val="18"/>
                <w:color w:val="auto"/>
              </w:rPr>
              <w:t>269</w:t>
            </w:r>
          </w:p>
        </w:tc>
        <w:tc>
          <w:tcPr>
            <w:tcW w:w="300" w:type="dxa"/>
            <w:vAlign w:val="bottom"/>
          </w:tcPr>
          <w:p>
            <w:pPr>
              <w:spacing w:after="0"/>
              <w:rPr>
                <w:sz w:val="17"/>
                <w:szCs w:val="17"/>
                <w:color w:val="auto"/>
              </w:rPr>
            </w:pPr>
          </w:p>
        </w:tc>
        <w:tc>
          <w:tcPr>
            <w:tcW w:w="820" w:type="dxa"/>
            <w:vAlign w:val="bottom"/>
          </w:tcPr>
          <w:p>
            <w:pPr>
              <w:jc w:val="right"/>
              <w:spacing w:after="0" w:line="202" w:lineRule="exact"/>
              <w:rPr>
                <w:sz w:val="20"/>
                <w:szCs w:val="20"/>
                <w:color w:val="auto"/>
              </w:rPr>
            </w:pPr>
            <w:r>
              <w:rPr>
                <w:rFonts w:ascii="Arial" w:cs="Arial" w:eastAsia="Arial" w:hAnsi="Arial"/>
                <w:sz w:val="18"/>
                <w:szCs w:val="18"/>
                <w:color w:val="auto"/>
              </w:rPr>
              <w:t>(310)</w:t>
            </w:r>
          </w:p>
        </w:tc>
        <w:tc>
          <w:tcPr>
            <w:tcW w:w="820" w:type="dxa"/>
            <w:vAlign w:val="bottom"/>
          </w:tcPr>
          <w:p>
            <w:pPr>
              <w:spacing w:after="0"/>
              <w:rPr>
                <w:sz w:val="17"/>
                <w:szCs w:val="17"/>
                <w:color w:val="auto"/>
              </w:rPr>
            </w:pPr>
          </w:p>
        </w:tc>
        <w:tc>
          <w:tcPr>
            <w:tcW w:w="900" w:type="dxa"/>
            <w:vAlign w:val="bottom"/>
          </w:tcPr>
          <w:p>
            <w:pPr>
              <w:jc w:val="right"/>
              <w:ind w:right="273"/>
              <w:spacing w:after="0" w:line="202" w:lineRule="exact"/>
              <w:rPr>
                <w:sz w:val="20"/>
                <w:szCs w:val="20"/>
                <w:color w:val="auto"/>
              </w:rPr>
            </w:pPr>
            <w:r>
              <w:rPr>
                <w:rFonts w:ascii="Arial" w:cs="Arial" w:eastAsia="Arial" w:hAnsi="Arial"/>
                <w:sz w:val="18"/>
                <w:szCs w:val="18"/>
                <w:color w:val="auto"/>
              </w:rPr>
              <w:t>281</w:t>
            </w:r>
          </w:p>
        </w:tc>
        <w:tc>
          <w:tcPr>
            <w:tcW w:w="800" w:type="dxa"/>
            <w:vAlign w:val="bottom"/>
          </w:tcPr>
          <w:p>
            <w:pPr>
              <w:jc w:val="right"/>
              <w:spacing w:after="0" w:line="202" w:lineRule="exact"/>
              <w:rPr>
                <w:sz w:val="20"/>
                <w:szCs w:val="20"/>
                <w:color w:val="auto"/>
              </w:rPr>
            </w:pPr>
            <w:r>
              <w:rPr>
                <w:rFonts w:ascii="Arial" w:cs="Arial" w:eastAsia="Arial" w:hAnsi="Arial"/>
                <w:sz w:val="18"/>
                <w:szCs w:val="18"/>
                <w:color w:val="auto"/>
              </w:rPr>
              <w:t>7,180</w:t>
            </w:r>
          </w:p>
        </w:tc>
        <w:tc>
          <w:tcPr>
            <w:tcW w:w="0" w:type="dxa"/>
            <w:vAlign w:val="bottom"/>
          </w:tcPr>
          <w:p>
            <w:pPr>
              <w:spacing w:after="0"/>
              <w:rPr>
                <w:sz w:val="1"/>
                <w:szCs w:val="1"/>
                <w:color w:val="auto"/>
              </w:rPr>
            </w:pPr>
          </w:p>
        </w:tc>
      </w:tr>
      <w:tr>
        <w:trPr>
          <w:trHeight w:val="203"/>
        </w:trPr>
        <w:tc>
          <w:tcPr>
            <w:tcW w:w="4520" w:type="dxa"/>
            <w:vAlign w:val="bottom"/>
          </w:tcPr>
          <w:p>
            <w:pPr>
              <w:spacing w:after="0" w:line="202" w:lineRule="exact"/>
              <w:rPr>
                <w:sz w:val="20"/>
                <w:szCs w:val="20"/>
                <w:color w:val="auto"/>
              </w:rPr>
            </w:pPr>
            <w:r>
              <w:rPr>
                <w:rFonts w:ascii="Arial" w:cs="Arial" w:eastAsia="Arial" w:hAnsi="Arial"/>
                <w:sz w:val="18"/>
                <w:szCs w:val="18"/>
                <w:color w:val="auto"/>
              </w:rPr>
              <w:t>Depreciation and amortization</w:t>
            </w:r>
          </w:p>
        </w:tc>
        <w:tc>
          <w:tcPr>
            <w:tcW w:w="1660" w:type="dxa"/>
            <w:vAlign w:val="bottom"/>
          </w:tcPr>
          <w:p>
            <w:pPr>
              <w:jc w:val="right"/>
              <w:ind w:right="175"/>
              <w:spacing w:after="0" w:line="202" w:lineRule="exact"/>
              <w:rPr>
                <w:sz w:val="20"/>
                <w:szCs w:val="20"/>
                <w:color w:val="auto"/>
              </w:rPr>
            </w:pPr>
            <w:r>
              <w:rPr>
                <w:rFonts w:ascii="Arial" w:cs="Arial" w:eastAsia="Arial" w:hAnsi="Arial"/>
                <w:sz w:val="18"/>
                <w:szCs w:val="18"/>
                <w:color w:val="auto"/>
              </w:rPr>
              <w:t>4,102</w:t>
            </w:r>
          </w:p>
        </w:tc>
        <w:tc>
          <w:tcPr>
            <w:tcW w:w="560" w:type="dxa"/>
            <w:vAlign w:val="bottom"/>
          </w:tcPr>
          <w:p>
            <w:pPr>
              <w:spacing w:after="0"/>
              <w:rPr>
                <w:sz w:val="17"/>
                <w:szCs w:val="17"/>
                <w:color w:val="auto"/>
              </w:rPr>
            </w:pPr>
          </w:p>
        </w:tc>
        <w:tc>
          <w:tcPr>
            <w:tcW w:w="1040" w:type="dxa"/>
            <w:vAlign w:val="bottom"/>
          </w:tcPr>
          <w:p>
            <w:pPr>
              <w:jc w:val="right"/>
              <w:ind w:right="312"/>
              <w:spacing w:after="0" w:line="202" w:lineRule="exact"/>
              <w:rPr>
                <w:sz w:val="20"/>
                <w:szCs w:val="20"/>
                <w:color w:val="auto"/>
              </w:rPr>
            </w:pPr>
            <w:r>
              <w:rPr>
                <w:rFonts w:ascii="Arial" w:cs="Arial" w:eastAsia="Arial" w:hAnsi="Arial"/>
                <w:sz w:val="18"/>
                <w:szCs w:val="18"/>
                <w:color w:val="auto"/>
              </w:rPr>
              <w:t>162</w:t>
            </w:r>
          </w:p>
        </w:tc>
        <w:tc>
          <w:tcPr>
            <w:tcW w:w="300" w:type="dxa"/>
            <w:vAlign w:val="bottom"/>
          </w:tcPr>
          <w:p>
            <w:pPr>
              <w:spacing w:after="0"/>
              <w:rPr>
                <w:sz w:val="17"/>
                <w:szCs w:val="17"/>
                <w:color w:val="auto"/>
              </w:rPr>
            </w:pPr>
          </w:p>
        </w:tc>
        <w:tc>
          <w:tcPr>
            <w:tcW w:w="820" w:type="dxa"/>
            <w:vAlign w:val="bottom"/>
          </w:tcPr>
          <w:p>
            <w:pPr>
              <w:jc w:val="right"/>
              <w:ind w:right="33"/>
              <w:spacing w:after="0" w:line="202" w:lineRule="exact"/>
              <w:rPr>
                <w:sz w:val="20"/>
                <w:szCs w:val="20"/>
                <w:color w:val="auto"/>
              </w:rPr>
            </w:pPr>
            <w:r>
              <w:rPr>
                <w:rFonts w:ascii="Arial" w:cs="Arial" w:eastAsia="Arial" w:hAnsi="Arial"/>
                <w:sz w:val="18"/>
                <w:szCs w:val="18"/>
                <w:color w:val="auto"/>
              </w:rPr>
              <w:t>105</w:t>
            </w:r>
          </w:p>
        </w:tc>
        <w:tc>
          <w:tcPr>
            <w:tcW w:w="820" w:type="dxa"/>
            <w:vAlign w:val="bottom"/>
          </w:tcPr>
          <w:p>
            <w:pPr>
              <w:spacing w:after="0"/>
              <w:rPr>
                <w:sz w:val="17"/>
                <w:szCs w:val="17"/>
                <w:color w:val="auto"/>
              </w:rPr>
            </w:pPr>
          </w:p>
        </w:tc>
        <w:tc>
          <w:tcPr>
            <w:tcW w:w="900" w:type="dxa"/>
            <w:vAlign w:val="bottom"/>
          </w:tcPr>
          <w:p>
            <w:pPr>
              <w:jc w:val="right"/>
              <w:ind w:right="213"/>
              <w:spacing w:after="0" w:line="202" w:lineRule="exact"/>
              <w:rPr>
                <w:sz w:val="20"/>
                <w:szCs w:val="20"/>
                <w:color w:val="auto"/>
              </w:rPr>
            </w:pPr>
            <w:r>
              <w:rPr>
                <w:rFonts w:ascii="Arial" w:cs="Arial" w:eastAsia="Arial" w:hAnsi="Arial"/>
                <w:sz w:val="18"/>
                <w:szCs w:val="18"/>
                <w:color w:val="auto"/>
              </w:rPr>
              <w:t>(18)</w:t>
            </w:r>
          </w:p>
        </w:tc>
        <w:tc>
          <w:tcPr>
            <w:tcW w:w="800" w:type="dxa"/>
            <w:vAlign w:val="bottom"/>
          </w:tcPr>
          <w:p>
            <w:pPr>
              <w:jc w:val="right"/>
              <w:spacing w:after="0" w:line="202" w:lineRule="exact"/>
              <w:rPr>
                <w:sz w:val="20"/>
                <w:szCs w:val="20"/>
                <w:color w:val="auto"/>
              </w:rPr>
            </w:pPr>
            <w:r>
              <w:rPr>
                <w:rFonts w:ascii="Arial" w:cs="Arial" w:eastAsia="Arial" w:hAnsi="Arial"/>
                <w:sz w:val="18"/>
                <w:szCs w:val="18"/>
                <w:color w:val="auto"/>
              </w:rPr>
              <w:t>4,351</w:t>
            </w:r>
          </w:p>
        </w:tc>
        <w:tc>
          <w:tcPr>
            <w:tcW w:w="0" w:type="dxa"/>
            <w:vAlign w:val="bottom"/>
          </w:tcPr>
          <w:p>
            <w:pPr>
              <w:spacing w:after="0"/>
              <w:rPr>
                <w:sz w:val="1"/>
                <w:szCs w:val="1"/>
                <w:color w:val="auto"/>
              </w:rPr>
            </w:pPr>
          </w:p>
        </w:tc>
      </w:tr>
      <w:tr>
        <w:trPr>
          <w:trHeight w:val="203"/>
        </w:trPr>
        <w:tc>
          <w:tcPr>
            <w:tcW w:w="4520" w:type="dxa"/>
            <w:vAlign w:val="bottom"/>
          </w:tcPr>
          <w:p>
            <w:pPr>
              <w:spacing w:after="0" w:line="203" w:lineRule="exact"/>
              <w:rPr>
                <w:sz w:val="20"/>
                <w:szCs w:val="20"/>
                <w:color w:val="auto"/>
              </w:rPr>
            </w:pPr>
            <w:r>
              <w:rPr>
                <w:rFonts w:ascii="Arial" w:cs="Arial" w:eastAsia="Arial" w:hAnsi="Arial"/>
                <w:sz w:val="18"/>
                <w:szCs w:val="18"/>
                <w:color w:val="auto"/>
              </w:rPr>
              <w:t>Operating income (loss)</w:t>
            </w:r>
            <w:r>
              <w:rPr>
                <w:rFonts w:ascii="Arial" w:cs="Arial" w:eastAsia="Arial" w:hAnsi="Arial"/>
                <w:sz w:val="22"/>
                <w:szCs w:val="22"/>
                <w:color w:val="auto"/>
                <w:vertAlign w:val="superscript"/>
              </w:rPr>
              <w:t>(i)</w:t>
            </w:r>
          </w:p>
        </w:tc>
        <w:tc>
          <w:tcPr>
            <w:tcW w:w="1660" w:type="dxa"/>
            <w:vAlign w:val="bottom"/>
          </w:tcPr>
          <w:p>
            <w:pPr>
              <w:jc w:val="right"/>
              <w:ind w:right="175"/>
              <w:spacing w:after="0" w:line="202" w:lineRule="exact"/>
              <w:rPr>
                <w:sz w:val="20"/>
                <w:szCs w:val="20"/>
                <w:color w:val="auto"/>
              </w:rPr>
            </w:pPr>
            <w:r>
              <w:rPr>
                <w:rFonts w:ascii="Arial" w:cs="Arial" w:eastAsia="Arial" w:hAnsi="Arial"/>
                <w:sz w:val="18"/>
                <w:szCs w:val="18"/>
                <w:color w:val="auto"/>
              </w:rPr>
              <w:t>2,838</w:t>
            </w:r>
          </w:p>
        </w:tc>
        <w:tc>
          <w:tcPr>
            <w:tcW w:w="560" w:type="dxa"/>
            <w:vAlign w:val="bottom"/>
          </w:tcPr>
          <w:p>
            <w:pPr>
              <w:spacing w:after="0"/>
              <w:rPr>
                <w:sz w:val="17"/>
                <w:szCs w:val="17"/>
                <w:color w:val="auto"/>
              </w:rPr>
            </w:pPr>
          </w:p>
        </w:tc>
        <w:tc>
          <w:tcPr>
            <w:tcW w:w="1040" w:type="dxa"/>
            <w:vAlign w:val="bottom"/>
          </w:tcPr>
          <w:p>
            <w:pPr>
              <w:jc w:val="right"/>
              <w:ind w:right="312"/>
              <w:spacing w:after="0" w:line="202" w:lineRule="exact"/>
              <w:rPr>
                <w:sz w:val="20"/>
                <w:szCs w:val="20"/>
                <w:color w:val="auto"/>
              </w:rPr>
            </w:pPr>
            <w:r>
              <w:rPr>
                <w:rFonts w:ascii="Arial" w:cs="Arial" w:eastAsia="Arial" w:hAnsi="Arial"/>
                <w:sz w:val="18"/>
                <w:szCs w:val="18"/>
                <w:color w:val="auto"/>
              </w:rPr>
              <w:t>107</w:t>
            </w:r>
          </w:p>
        </w:tc>
        <w:tc>
          <w:tcPr>
            <w:tcW w:w="300" w:type="dxa"/>
            <w:vAlign w:val="bottom"/>
          </w:tcPr>
          <w:p>
            <w:pPr>
              <w:spacing w:after="0"/>
              <w:rPr>
                <w:sz w:val="17"/>
                <w:szCs w:val="17"/>
                <w:color w:val="auto"/>
              </w:rPr>
            </w:pPr>
          </w:p>
        </w:tc>
        <w:tc>
          <w:tcPr>
            <w:tcW w:w="820" w:type="dxa"/>
            <w:vAlign w:val="bottom"/>
          </w:tcPr>
          <w:p>
            <w:pPr>
              <w:jc w:val="right"/>
              <w:spacing w:after="0" w:line="202" w:lineRule="exact"/>
              <w:rPr>
                <w:sz w:val="20"/>
                <w:szCs w:val="20"/>
                <w:color w:val="auto"/>
              </w:rPr>
            </w:pPr>
            <w:r>
              <w:rPr>
                <w:rFonts w:ascii="Arial" w:cs="Arial" w:eastAsia="Arial" w:hAnsi="Arial"/>
                <w:sz w:val="18"/>
                <w:szCs w:val="18"/>
                <w:color w:val="auto"/>
              </w:rPr>
              <w:t>(415)</w:t>
            </w:r>
          </w:p>
        </w:tc>
        <w:tc>
          <w:tcPr>
            <w:tcW w:w="820" w:type="dxa"/>
            <w:vAlign w:val="bottom"/>
          </w:tcPr>
          <w:p>
            <w:pPr>
              <w:spacing w:after="0"/>
              <w:rPr>
                <w:sz w:val="17"/>
                <w:szCs w:val="17"/>
                <w:color w:val="auto"/>
              </w:rPr>
            </w:pPr>
          </w:p>
        </w:tc>
        <w:tc>
          <w:tcPr>
            <w:tcW w:w="900" w:type="dxa"/>
            <w:vAlign w:val="bottom"/>
          </w:tcPr>
          <w:p>
            <w:pPr>
              <w:jc w:val="right"/>
              <w:ind w:right="273"/>
              <w:spacing w:after="0" w:line="202" w:lineRule="exact"/>
              <w:rPr>
                <w:sz w:val="20"/>
                <w:szCs w:val="20"/>
                <w:color w:val="auto"/>
              </w:rPr>
            </w:pPr>
            <w:r>
              <w:rPr>
                <w:rFonts w:ascii="Arial" w:cs="Arial" w:eastAsia="Arial" w:hAnsi="Arial"/>
                <w:sz w:val="18"/>
                <w:szCs w:val="18"/>
                <w:color w:val="auto"/>
              </w:rPr>
              <w:t>299</w:t>
            </w:r>
          </w:p>
        </w:tc>
        <w:tc>
          <w:tcPr>
            <w:tcW w:w="800" w:type="dxa"/>
            <w:vAlign w:val="bottom"/>
          </w:tcPr>
          <w:p>
            <w:pPr>
              <w:jc w:val="right"/>
              <w:spacing w:after="0" w:line="202" w:lineRule="exact"/>
              <w:rPr>
                <w:sz w:val="20"/>
                <w:szCs w:val="20"/>
                <w:color w:val="auto"/>
              </w:rPr>
            </w:pPr>
            <w:r>
              <w:rPr>
                <w:rFonts w:ascii="Arial" w:cs="Arial" w:eastAsia="Arial" w:hAnsi="Arial"/>
                <w:sz w:val="18"/>
                <w:szCs w:val="18"/>
                <w:color w:val="auto"/>
              </w:rPr>
              <w:t>2,829</w:t>
            </w:r>
          </w:p>
        </w:tc>
        <w:tc>
          <w:tcPr>
            <w:tcW w:w="0" w:type="dxa"/>
            <w:vAlign w:val="bottom"/>
          </w:tcPr>
          <w:p>
            <w:pPr>
              <w:spacing w:after="0"/>
              <w:rPr>
                <w:sz w:val="1"/>
                <w:szCs w:val="1"/>
                <w:color w:val="auto"/>
              </w:rPr>
            </w:pPr>
          </w:p>
        </w:tc>
      </w:tr>
      <w:tr>
        <w:trPr>
          <w:trHeight w:val="199"/>
        </w:trPr>
        <w:tc>
          <w:tcPr>
            <w:tcW w:w="4520" w:type="dxa"/>
            <w:vAlign w:val="bottom"/>
            <w:tcBorders>
              <w:bottom w:val="single" w:sz="8" w:color="35BF85"/>
            </w:tcBorders>
          </w:tcPr>
          <w:p>
            <w:pPr>
              <w:spacing w:after="0" w:line="200" w:lineRule="exact"/>
              <w:rPr>
                <w:sz w:val="20"/>
                <w:szCs w:val="20"/>
                <w:color w:val="auto"/>
              </w:rPr>
            </w:pPr>
            <w:r>
              <w:rPr>
                <w:rFonts w:ascii="Arial" w:cs="Arial" w:eastAsia="Arial" w:hAnsi="Arial"/>
                <w:sz w:val="18"/>
                <w:szCs w:val="18"/>
                <w:color w:val="auto"/>
              </w:rPr>
              <w:t>Capital Expenditures</w:t>
            </w:r>
          </w:p>
        </w:tc>
        <w:tc>
          <w:tcPr>
            <w:tcW w:w="1660" w:type="dxa"/>
            <w:vAlign w:val="bottom"/>
            <w:tcBorders>
              <w:bottom w:val="single" w:sz="8" w:color="35BF85"/>
            </w:tcBorders>
          </w:tcPr>
          <w:p>
            <w:pPr>
              <w:jc w:val="right"/>
              <w:ind w:right="175"/>
              <w:spacing w:after="0" w:line="200" w:lineRule="exact"/>
              <w:rPr>
                <w:sz w:val="20"/>
                <w:szCs w:val="20"/>
                <w:color w:val="auto"/>
              </w:rPr>
            </w:pPr>
            <w:r>
              <w:rPr>
                <w:rFonts w:ascii="Arial" w:cs="Arial" w:eastAsia="Arial" w:hAnsi="Arial"/>
                <w:sz w:val="18"/>
                <w:szCs w:val="18"/>
                <w:color w:val="auto"/>
              </w:rPr>
              <w:t>3,394</w:t>
            </w:r>
          </w:p>
        </w:tc>
        <w:tc>
          <w:tcPr>
            <w:tcW w:w="560" w:type="dxa"/>
            <w:vAlign w:val="bottom"/>
            <w:tcBorders>
              <w:bottom w:val="single" w:sz="8" w:color="35BF85"/>
            </w:tcBorders>
          </w:tcPr>
          <w:p>
            <w:pPr>
              <w:spacing w:after="0"/>
              <w:rPr>
                <w:sz w:val="17"/>
                <w:szCs w:val="17"/>
                <w:color w:val="auto"/>
              </w:rPr>
            </w:pPr>
          </w:p>
        </w:tc>
        <w:tc>
          <w:tcPr>
            <w:tcW w:w="1040" w:type="dxa"/>
            <w:vAlign w:val="bottom"/>
            <w:tcBorders>
              <w:bottom w:val="single" w:sz="8" w:color="35BF85"/>
            </w:tcBorders>
          </w:tcPr>
          <w:p>
            <w:pPr>
              <w:jc w:val="right"/>
              <w:ind w:right="312"/>
              <w:spacing w:after="0" w:line="200" w:lineRule="exact"/>
              <w:rPr>
                <w:sz w:val="20"/>
                <w:szCs w:val="20"/>
                <w:color w:val="auto"/>
              </w:rPr>
            </w:pPr>
            <w:r>
              <w:rPr>
                <w:rFonts w:ascii="Arial" w:cs="Arial" w:eastAsia="Arial" w:hAnsi="Arial"/>
                <w:sz w:val="18"/>
                <w:szCs w:val="18"/>
                <w:color w:val="auto"/>
              </w:rPr>
              <w:t>17</w:t>
            </w:r>
          </w:p>
        </w:tc>
        <w:tc>
          <w:tcPr>
            <w:tcW w:w="300" w:type="dxa"/>
            <w:vAlign w:val="bottom"/>
            <w:tcBorders>
              <w:bottom w:val="single" w:sz="8" w:color="35BF85"/>
            </w:tcBorders>
          </w:tcPr>
          <w:p>
            <w:pPr>
              <w:spacing w:after="0"/>
              <w:rPr>
                <w:sz w:val="17"/>
                <w:szCs w:val="17"/>
                <w:color w:val="auto"/>
              </w:rPr>
            </w:pPr>
          </w:p>
        </w:tc>
        <w:tc>
          <w:tcPr>
            <w:tcW w:w="820" w:type="dxa"/>
            <w:vAlign w:val="bottom"/>
            <w:tcBorders>
              <w:bottom w:val="single" w:sz="8" w:color="35BF85"/>
            </w:tcBorders>
          </w:tcPr>
          <w:p>
            <w:pPr>
              <w:jc w:val="right"/>
              <w:ind w:right="33"/>
              <w:spacing w:after="0" w:line="200" w:lineRule="exact"/>
              <w:rPr>
                <w:sz w:val="20"/>
                <w:szCs w:val="20"/>
                <w:color w:val="auto"/>
              </w:rPr>
            </w:pPr>
            <w:r>
              <w:rPr>
                <w:rFonts w:ascii="Arial" w:cs="Arial" w:eastAsia="Arial" w:hAnsi="Arial"/>
                <w:sz w:val="18"/>
                <w:szCs w:val="18"/>
                <w:color w:val="auto"/>
              </w:rPr>
              <w:t>21</w:t>
            </w:r>
          </w:p>
        </w:tc>
        <w:tc>
          <w:tcPr>
            <w:tcW w:w="820" w:type="dxa"/>
            <w:vAlign w:val="bottom"/>
            <w:tcBorders>
              <w:bottom w:val="single" w:sz="8" w:color="35BF85"/>
            </w:tcBorders>
          </w:tcPr>
          <w:p>
            <w:pPr>
              <w:spacing w:after="0"/>
              <w:rPr>
                <w:sz w:val="17"/>
                <w:szCs w:val="17"/>
                <w:color w:val="auto"/>
              </w:rPr>
            </w:pPr>
          </w:p>
        </w:tc>
        <w:tc>
          <w:tcPr>
            <w:tcW w:w="900" w:type="dxa"/>
            <w:vAlign w:val="bottom"/>
            <w:tcBorders>
              <w:bottom w:val="single" w:sz="8" w:color="35BF85"/>
            </w:tcBorders>
          </w:tcPr>
          <w:p>
            <w:pPr>
              <w:jc w:val="right"/>
              <w:ind w:right="273"/>
              <w:spacing w:after="0" w:line="200" w:lineRule="exact"/>
              <w:rPr>
                <w:sz w:val="20"/>
                <w:szCs w:val="20"/>
                <w:color w:val="auto"/>
              </w:rPr>
            </w:pPr>
            <w:r>
              <w:rPr>
                <w:rFonts w:ascii="Arial" w:cs="Arial" w:eastAsia="Arial" w:hAnsi="Arial"/>
                <w:sz w:val="18"/>
                <w:szCs w:val="18"/>
                <w:color w:val="auto"/>
              </w:rPr>
              <w:t>228</w:t>
            </w:r>
          </w:p>
        </w:tc>
        <w:tc>
          <w:tcPr>
            <w:tcW w:w="800" w:type="dxa"/>
            <w:vAlign w:val="bottom"/>
            <w:tcBorders>
              <w:bottom w:val="single" w:sz="8" w:color="35BF85"/>
            </w:tcBorders>
          </w:tcPr>
          <w:p>
            <w:pPr>
              <w:jc w:val="right"/>
              <w:spacing w:after="0" w:line="200" w:lineRule="exact"/>
              <w:rPr>
                <w:sz w:val="20"/>
                <w:szCs w:val="20"/>
                <w:color w:val="auto"/>
              </w:rPr>
            </w:pPr>
            <w:r>
              <w:rPr>
                <w:rFonts w:ascii="Arial" w:cs="Arial" w:eastAsia="Arial" w:hAnsi="Arial"/>
                <w:sz w:val="18"/>
                <w:szCs w:val="18"/>
                <w:color w:val="auto"/>
              </w:rPr>
              <w:t>3,660</w:t>
            </w:r>
          </w:p>
        </w:tc>
        <w:tc>
          <w:tcPr>
            <w:tcW w:w="0" w:type="dxa"/>
            <w:vAlign w:val="bottom"/>
          </w:tcPr>
          <w:p>
            <w:pPr>
              <w:spacing w:after="0"/>
              <w:rPr>
                <w:sz w:val="1"/>
                <w:szCs w:val="1"/>
                <w:color w:val="auto"/>
              </w:rPr>
            </w:pPr>
          </w:p>
        </w:tc>
      </w:tr>
      <w:tr>
        <w:trPr>
          <w:trHeight w:val="209"/>
        </w:trPr>
        <w:tc>
          <w:tcPr>
            <w:tcW w:w="7780" w:type="dxa"/>
            <w:vAlign w:val="bottom"/>
            <w:gridSpan w:val="4"/>
          </w:tcPr>
          <w:p>
            <w:pPr>
              <w:spacing w:after="0"/>
              <w:rPr>
                <w:sz w:val="20"/>
                <w:szCs w:val="20"/>
                <w:color w:val="auto"/>
              </w:rPr>
            </w:pPr>
            <w:r>
              <w:rPr>
                <w:rFonts w:ascii="Arial" w:cs="Arial" w:eastAsia="Arial" w:hAnsi="Arial"/>
                <w:sz w:val="14"/>
                <w:szCs w:val="14"/>
                <w:color w:val="auto"/>
                <w:w w:val="97"/>
              </w:rPr>
              <w:t>(a) For the years ended December 31, 2006, 2005 and 2004, Cable segment revenues were derived from the following services:</w:t>
            </w:r>
          </w:p>
        </w:tc>
        <w:tc>
          <w:tcPr>
            <w:tcW w:w="30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433"/>
        </w:trPr>
        <w:tc>
          <w:tcPr>
            <w:tcW w:w="4520" w:type="dxa"/>
            <w:vAlign w:val="bottom"/>
            <w:tcBorders>
              <w:bottom w:val="single" w:sz="8" w:color="auto"/>
            </w:tcBorders>
          </w:tcPr>
          <w:p>
            <w:pPr>
              <w:spacing w:after="0"/>
              <w:rPr>
                <w:sz w:val="24"/>
                <w:szCs w:val="24"/>
                <w:color w:val="auto"/>
              </w:rPr>
            </w:pPr>
          </w:p>
        </w:tc>
        <w:tc>
          <w:tcPr>
            <w:tcW w:w="1660" w:type="dxa"/>
            <w:vAlign w:val="bottom"/>
            <w:tcBorders>
              <w:bottom w:val="single" w:sz="8" w:color="auto"/>
            </w:tcBorders>
          </w:tcPr>
          <w:p>
            <w:pPr>
              <w:spacing w:after="0"/>
              <w:rPr>
                <w:sz w:val="24"/>
                <w:szCs w:val="24"/>
                <w:color w:val="auto"/>
              </w:rPr>
            </w:pPr>
          </w:p>
        </w:tc>
        <w:tc>
          <w:tcPr>
            <w:tcW w:w="560" w:type="dxa"/>
            <w:vAlign w:val="bottom"/>
            <w:tcBorders>
              <w:bottom w:val="single" w:sz="8" w:color="auto"/>
            </w:tcBorders>
          </w:tcPr>
          <w:p>
            <w:pPr>
              <w:spacing w:after="0"/>
              <w:rPr>
                <w:sz w:val="24"/>
                <w:szCs w:val="24"/>
                <w:color w:val="auto"/>
              </w:rPr>
            </w:pPr>
          </w:p>
        </w:tc>
        <w:tc>
          <w:tcPr>
            <w:tcW w:w="1040" w:type="dxa"/>
            <w:vAlign w:val="bottom"/>
            <w:tcBorders>
              <w:bottom w:val="single" w:sz="8" w:color="auto"/>
            </w:tcBorders>
          </w:tcPr>
          <w:p>
            <w:pPr>
              <w:spacing w:after="0"/>
              <w:rPr>
                <w:sz w:val="24"/>
                <w:szCs w:val="24"/>
                <w:color w:val="auto"/>
              </w:rPr>
            </w:pPr>
          </w:p>
        </w:tc>
        <w:tc>
          <w:tcPr>
            <w:tcW w:w="300" w:type="dxa"/>
            <w:vAlign w:val="bottom"/>
            <w:tcBorders>
              <w:bottom w:val="single" w:sz="8" w:color="auto"/>
            </w:tcBorders>
          </w:tcPr>
          <w:p>
            <w:pPr>
              <w:spacing w:after="0"/>
              <w:rPr>
                <w:sz w:val="24"/>
                <w:szCs w:val="24"/>
                <w:color w:val="auto"/>
              </w:rPr>
            </w:pPr>
          </w:p>
        </w:tc>
        <w:tc>
          <w:tcPr>
            <w:tcW w:w="820" w:type="dxa"/>
            <w:vAlign w:val="bottom"/>
            <w:tcBorders>
              <w:bottom w:val="single" w:sz="8" w:color="auto"/>
            </w:tcBorders>
          </w:tcPr>
          <w:p>
            <w:pPr>
              <w:spacing w:after="0"/>
              <w:rPr>
                <w:sz w:val="24"/>
                <w:szCs w:val="24"/>
                <w:color w:val="auto"/>
              </w:rPr>
            </w:pPr>
          </w:p>
        </w:tc>
        <w:tc>
          <w:tcPr>
            <w:tcW w:w="820" w:type="dxa"/>
            <w:vAlign w:val="bottom"/>
            <w:tcBorders>
              <w:bottom w:val="single" w:sz="8" w:color="auto"/>
            </w:tcBorders>
          </w:tcPr>
          <w:p>
            <w:pPr>
              <w:jc w:val="right"/>
              <w:ind w:right="236"/>
              <w:spacing w:after="0"/>
              <w:rPr>
                <w:sz w:val="20"/>
                <w:szCs w:val="20"/>
                <w:color w:val="auto"/>
              </w:rPr>
            </w:pPr>
            <w:r>
              <w:rPr>
                <w:rFonts w:ascii="Arial" w:cs="Arial" w:eastAsia="Arial" w:hAnsi="Arial"/>
                <w:sz w:val="14"/>
                <w:szCs w:val="14"/>
                <w:b w:val="1"/>
                <w:bCs w:val="1"/>
                <w:color w:val="auto"/>
              </w:rPr>
              <w:t>2006</w:t>
            </w:r>
          </w:p>
        </w:tc>
        <w:tc>
          <w:tcPr>
            <w:tcW w:w="900" w:type="dxa"/>
            <w:vAlign w:val="bottom"/>
            <w:tcBorders>
              <w:bottom w:val="single" w:sz="8" w:color="auto"/>
            </w:tcBorders>
          </w:tcPr>
          <w:p>
            <w:pPr>
              <w:jc w:val="right"/>
              <w:ind w:right="213"/>
              <w:spacing w:after="0"/>
              <w:rPr>
                <w:sz w:val="20"/>
                <w:szCs w:val="20"/>
                <w:color w:val="auto"/>
              </w:rPr>
            </w:pPr>
            <w:r>
              <w:rPr>
                <w:rFonts w:ascii="Arial" w:cs="Arial" w:eastAsia="Arial" w:hAnsi="Arial"/>
                <w:sz w:val="14"/>
                <w:szCs w:val="14"/>
                <w:color w:val="auto"/>
              </w:rPr>
              <w:t>2005</w:t>
            </w:r>
          </w:p>
        </w:tc>
        <w:tc>
          <w:tcPr>
            <w:tcW w:w="800" w:type="dxa"/>
            <w:vAlign w:val="bottom"/>
            <w:tcBorders>
              <w:bottom w:val="single" w:sz="8" w:color="auto"/>
            </w:tcBorders>
          </w:tcPr>
          <w:p>
            <w:pPr>
              <w:jc w:val="right"/>
              <w:ind w:right="74"/>
              <w:spacing w:after="0"/>
              <w:rPr>
                <w:sz w:val="20"/>
                <w:szCs w:val="20"/>
                <w:color w:val="auto"/>
              </w:rPr>
            </w:pPr>
            <w:r>
              <w:rPr>
                <w:rFonts w:ascii="Arial" w:cs="Arial" w:eastAsia="Arial" w:hAnsi="Arial"/>
                <w:sz w:val="14"/>
                <w:szCs w:val="14"/>
                <w:color w:val="auto"/>
              </w:rPr>
              <w:t>2004</w:t>
            </w:r>
          </w:p>
        </w:tc>
        <w:tc>
          <w:tcPr>
            <w:tcW w:w="0" w:type="dxa"/>
            <w:vAlign w:val="bottom"/>
          </w:tcPr>
          <w:p>
            <w:pPr>
              <w:spacing w:after="0"/>
              <w:rPr>
                <w:sz w:val="1"/>
                <w:szCs w:val="1"/>
                <w:color w:val="auto"/>
              </w:rPr>
            </w:pPr>
          </w:p>
        </w:tc>
      </w:tr>
      <w:tr>
        <w:trPr>
          <w:trHeight w:val="177"/>
        </w:trPr>
        <w:tc>
          <w:tcPr>
            <w:tcW w:w="4520" w:type="dxa"/>
            <w:vAlign w:val="bottom"/>
          </w:tcPr>
          <w:p>
            <w:pPr>
              <w:spacing w:after="0" w:line="177" w:lineRule="exact"/>
              <w:rPr>
                <w:sz w:val="20"/>
                <w:szCs w:val="20"/>
                <w:color w:val="auto"/>
              </w:rPr>
            </w:pPr>
            <w:r>
              <w:rPr>
                <w:rFonts w:ascii="Arial" w:cs="Arial" w:eastAsia="Arial" w:hAnsi="Arial"/>
                <w:sz w:val="18"/>
                <w:szCs w:val="18"/>
                <w:color w:val="auto"/>
              </w:rPr>
              <w:t>Video</w:t>
            </w:r>
          </w:p>
        </w:tc>
        <w:tc>
          <w:tcPr>
            <w:tcW w:w="1660" w:type="dxa"/>
            <w:vAlign w:val="bottom"/>
          </w:tcPr>
          <w:p>
            <w:pPr>
              <w:spacing w:after="0"/>
              <w:rPr>
                <w:sz w:val="15"/>
                <w:szCs w:val="15"/>
                <w:color w:val="auto"/>
              </w:rPr>
            </w:pPr>
          </w:p>
        </w:tc>
        <w:tc>
          <w:tcPr>
            <w:tcW w:w="560" w:type="dxa"/>
            <w:vAlign w:val="bottom"/>
          </w:tcPr>
          <w:p>
            <w:pPr>
              <w:spacing w:after="0"/>
              <w:rPr>
                <w:sz w:val="15"/>
                <w:szCs w:val="15"/>
                <w:color w:val="auto"/>
              </w:rPr>
            </w:pPr>
          </w:p>
        </w:tc>
        <w:tc>
          <w:tcPr>
            <w:tcW w:w="104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820" w:type="dxa"/>
            <w:vAlign w:val="bottom"/>
          </w:tcPr>
          <w:p>
            <w:pPr>
              <w:jc w:val="right"/>
              <w:ind w:right="76"/>
              <w:spacing w:after="0" w:line="177" w:lineRule="exact"/>
              <w:rPr>
                <w:sz w:val="20"/>
                <w:szCs w:val="20"/>
                <w:color w:val="auto"/>
              </w:rPr>
            </w:pPr>
            <w:r>
              <w:rPr>
                <w:rFonts w:ascii="Arial" w:cs="Arial" w:eastAsia="Arial" w:hAnsi="Arial"/>
                <w:sz w:val="18"/>
                <w:szCs w:val="18"/>
                <w:b w:val="1"/>
                <w:bCs w:val="1"/>
                <w:color w:val="auto"/>
              </w:rPr>
              <w:t>62.6%</w:t>
            </w:r>
          </w:p>
        </w:tc>
        <w:tc>
          <w:tcPr>
            <w:tcW w:w="900" w:type="dxa"/>
            <w:vAlign w:val="bottom"/>
          </w:tcPr>
          <w:p>
            <w:pPr>
              <w:jc w:val="right"/>
              <w:ind w:right="53"/>
              <w:spacing w:after="0" w:line="177" w:lineRule="exact"/>
              <w:rPr>
                <w:sz w:val="20"/>
                <w:szCs w:val="20"/>
                <w:color w:val="auto"/>
              </w:rPr>
            </w:pPr>
            <w:r>
              <w:rPr>
                <w:rFonts w:ascii="Arial" w:cs="Arial" w:eastAsia="Arial" w:hAnsi="Arial"/>
                <w:sz w:val="18"/>
                <w:szCs w:val="18"/>
                <w:color w:val="auto"/>
              </w:rPr>
              <w:t>64.6%</w:t>
            </w:r>
          </w:p>
        </w:tc>
        <w:tc>
          <w:tcPr>
            <w:tcW w:w="800" w:type="dxa"/>
            <w:vAlign w:val="bottom"/>
          </w:tcPr>
          <w:p>
            <w:pPr>
              <w:jc w:val="right"/>
              <w:spacing w:after="0" w:line="177" w:lineRule="exact"/>
              <w:rPr>
                <w:sz w:val="20"/>
                <w:szCs w:val="20"/>
                <w:color w:val="auto"/>
              </w:rPr>
            </w:pPr>
            <w:r>
              <w:rPr>
                <w:rFonts w:ascii="Arial" w:cs="Arial" w:eastAsia="Arial" w:hAnsi="Arial"/>
                <w:sz w:val="18"/>
                <w:szCs w:val="18"/>
                <w:color w:val="auto"/>
              </w:rPr>
              <w:t>67.0%</w:t>
            </w:r>
          </w:p>
        </w:tc>
        <w:tc>
          <w:tcPr>
            <w:tcW w:w="0" w:type="dxa"/>
            <w:vAlign w:val="bottom"/>
          </w:tcPr>
          <w:p>
            <w:pPr>
              <w:spacing w:after="0"/>
              <w:rPr>
                <w:sz w:val="1"/>
                <w:szCs w:val="1"/>
                <w:color w:val="auto"/>
              </w:rPr>
            </w:pPr>
          </w:p>
        </w:tc>
      </w:tr>
      <w:tr>
        <w:trPr>
          <w:trHeight w:val="203"/>
        </w:trPr>
        <w:tc>
          <w:tcPr>
            <w:tcW w:w="4520" w:type="dxa"/>
            <w:vAlign w:val="bottom"/>
          </w:tcPr>
          <w:p>
            <w:pPr>
              <w:spacing w:after="0" w:line="202" w:lineRule="exact"/>
              <w:rPr>
                <w:sz w:val="20"/>
                <w:szCs w:val="20"/>
                <w:color w:val="auto"/>
              </w:rPr>
            </w:pPr>
            <w:r>
              <w:rPr>
                <w:rFonts w:ascii="Arial" w:cs="Arial" w:eastAsia="Arial" w:hAnsi="Arial"/>
                <w:sz w:val="18"/>
                <w:szCs w:val="18"/>
                <w:color w:val="auto"/>
              </w:rPr>
              <w:t>High-speed Internet</w:t>
            </w:r>
          </w:p>
        </w:tc>
        <w:tc>
          <w:tcPr>
            <w:tcW w:w="1660" w:type="dxa"/>
            <w:vAlign w:val="bottom"/>
          </w:tcPr>
          <w:p>
            <w:pPr>
              <w:spacing w:after="0"/>
              <w:rPr>
                <w:sz w:val="17"/>
                <w:szCs w:val="17"/>
                <w:color w:val="auto"/>
              </w:rPr>
            </w:pPr>
          </w:p>
        </w:tc>
        <w:tc>
          <w:tcPr>
            <w:tcW w:w="560" w:type="dxa"/>
            <w:vAlign w:val="bottom"/>
          </w:tcPr>
          <w:p>
            <w:pPr>
              <w:spacing w:after="0"/>
              <w:rPr>
                <w:sz w:val="17"/>
                <w:szCs w:val="17"/>
                <w:color w:val="auto"/>
              </w:rPr>
            </w:pPr>
          </w:p>
        </w:tc>
        <w:tc>
          <w:tcPr>
            <w:tcW w:w="104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820" w:type="dxa"/>
            <w:vAlign w:val="bottom"/>
          </w:tcPr>
          <w:p>
            <w:pPr>
              <w:jc w:val="right"/>
              <w:ind w:right="236"/>
              <w:spacing w:after="0" w:line="202" w:lineRule="exact"/>
              <w:rPr>
                <w:sz w:val="20"/>
                <w:szCs w:val="20"/>
                <w:color w:val="auto"/>
              </w:rPr>
            </w:pPr>
            <w:r>
              <w:rPr>
                <w:rFonts w:ascii="Arial" w:cs="Arial" w:eastAsia="Arial" w:hAnsi="Arial"/>
                <w:sz w:val="18"/>
                <w:szCs w:val="18"/>
                <w:b w:val="1"/>
                <w:bCs w:val="1"/>
                <w:color w:val="auto"/>
              </w:rPr>
              <w:t>20.7</w:t>
            </w:r>
          </w:p>
        </w:tc>
        <w:tc>
          <w:tcPr>
            <w:tcW w:w="900" w:type="dxa"/>
            <w:vAlign w:val="bottom"/>
          </w:tcPr>
          <w:p>
            <w:pPr>
              <w:jc w:val="right"/>
              <w:ind w:right="213"/>
              <w:spacing w:after="0" w:line="202" w:lineRule="exact"/>
              <w:rPr>
                <w:sz w:val="20"/>
                <w:szCs w:val="20"/>
                <w:color w:val="auto"/>
              </w:rPr>
            </w:pPr>
            <w:r>
              <w:rPr>
                <w:rFonts w:ascii="Arial" w:cs="Arial" w:eastAsia="Arial" w:hAnsi="Arial"/>
                <w:sz w:val="18"/>
                <w:szCs w:val="18"/>
                <w:color w:val="auto"/>
              </w:rPr>
              <w:t>18.8</w:t>
            </w:r>
          </w:p>
        </w:tc>
        <w:tc>
          <w:tcPr>
            <w:tcW w:w="800" w:type="dxa"/>
            <w:vAlign w:val="bottom"/>
          </w:tcPr>
          <w:p>
            <w:pPr>
              <w:jc w:val="right"/>
              <w:ind w:right="74"/>
              <w:spacing w:after="0" w:line="202" w:lineRule="exact"/>
              <w:rPr>
                <w:sz w:val="20"/>
                <w:szCs w:val="20"/>
                <w:color w:val="auto"/>
              </w:rPr>
            </w:pPr>
            <w:r>
              <w:rPr>
                <w:rFonts w:ascii="Arial" w:cs="Arial" w:eastAsia="Arial" w:hAnsi="Arial"/>
                <w:sz w:val="18"/>
                <w:szCs w:val="18"/>
                <w:color w:val="auto"/>
              </w:rPr>
              <w:t>16.1</w:t>
            </w:r>
          </w:p>
        </w:tc>
        <w:tc>
          <w:tcPr>
            <w:tcW w:w="0" w:type="dxa"/>
            <w:vAlign w:val="bottom"/>
          </w:tcPr>
          <w:p>
            <w:pPr>
              <w:spacing w:after="0"/>
              <w:rPr>
                <w:sz w:val="1"/>
                <w:szCs w:val="1"/>
                <w:color w:val="auto"/>
              </w:rPr>
            </w:pPr>
          </w:p>
        </w:tc>
      </w:tr>
      <w:tr>
        <w:trPr>
          <w:trHeight w:val="203"/>
        </w:trPr>
        <w:tc>
          <w:tcPr>
            <w:tcW w:w="4520" w:type="dxa"/>
            <w:vAlign w:val="bottom"/>
          </w:tcPr>
          <w:p>
            <w:pPr>
              <w:spacing w:after="0" w:line="202" w:lineRule="exact"/>
              <w:rPr>
                <w:sz w:val="20"/>
                <w:szCs w:val="20"/>
                <w:color w:val="auto"/>
              </w:rPr>
            </w:pPr>
            <w:r>
              <w:rPr>
                <w:rFonts w:ascii="Arial" w:cs="Arial" w:eastAsia="Arial" w:hAnsi="Arial"/>
                <w:sz w:val="18"/>
                <w:szCs w:val="18"/>
                <w:color w:val="auto"/>
              </w:rPr>
              <w:t>Phone</w:t>
            </w:r>
          </w:p>
        </w:tc>
        <w:tc>
          <w:tcPr>
            <w:tcW w:w="1660" w:type="dxa"/>
            <w:vAlign w:val="bottom"/>
          </w:tcPr>
          <w:p>
            <w:pPr>
              <w:spacing w:after="0"/>
              <w:rPr>
                <w:sz w:val="17"/>
                <w:szCs w:val="17"/>
                <w:color w:val="auto"/>
              </w:rPr>
            </w:pPr>
          </w:p>
        </w:tc>
        <w:tc>
          <w:tcPr>
            <w:tcW w:w="560" w:type="dxa"/>
            <w:vAlign w:val="bottom"/>
          </w:tcPr>
          <w:p>
            <w:pPr>
              <w:spacing w:after="0"/>
              <w:rPr>
                <w:sz w:val="17"/>
                <w:szCs w:val="17"/>
                <w:color w:val="auto"/>
              </w:rPr>
            </w:pPr>
          </w:p>
        </w:tc>
        <w:tc>
          <w:tcPr>
            <w:tcW w:w="104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820" w:type="dxa"/>
            <w:vAlign w:val="bottom"/>
          </w:tcPr>
          <w:p>
            <w:pPr>
              <w:jc w:val="right"/>
              <w:ind w:right="236"/>
              <w:spacing w:after="0" w:line="202" w:lineRule="exact"/>
              <w:rPr>
                <w:sz w:val="20"/>
                <w:szCs w:val="20"/>
                <w:color w:val="auto"/>
              </w:rPr>
            </w:pPr>
            <w:r>
              <w:rPr>
                <w:rFonts w:ascii="Arial" w:cs="Arial" w:eastAsia="Arial" w:hAnsi="Arial"/>
                <w:sz w:val="18"/>
                <w:szCs w:val="18"/>
                <w:b w:val="1"/>
                <w:bCs w:val="1"/>
                <w:color w:val="auto"/>
              </w:rPr>
              <w:t>3.8</w:t>
            </w:r>
          </w:p>
        </w:tc>
        <w:tc>
          <w:tcPr>
            <w:tcW w:w="900" w:type="dxa"/>
            <w:vAlign w:val="bottom"/>
          </w:tcPr>
          <w:p>
            <w:pPr>
              <w:jc w:val="right"/>
              <w:ind w:right="213"/>
              <w:spacing w:after="0" w:line="202" w:lineRule="exact"/>
              <w:rPr>
                <w:sz w:val="20"/>
                <w:szCs w:val="20"/>
                <w:color w:val="auto"/>
              </w:rPr>
            </w:pPr>
            <w:r>
              <w:rPr>
                <w:rFonts w:ascii="Arial" w:cs="Arial" w:eastAsia="Arial" w:hAnsi="Arial"/>
                <w:sz w:val="18"/>
                <w:szCs w:val="18"/>
                <w:color w:val="auto"/>
              </w:rPr>
              <w:t>3.1</w:t>
            </w:r>
          </w:p>
        </w:tc>
        <w:tc>
          <w:tcPr>
            <w:tcW w:w="800" w:type="dxa"/>
            <w:vAlign w:val="bottom"/>
          </w:tcPr>
          <w:p>
            <w:pPr>
              <w:jc w:val="right"/>
              <w:ind w:right="74"/>
              <w:spacing w:after="0" w:line="202" w:lineRule="exact"/>
              <w:rPr>
                <w:sz w:val="20"/>
                <w:szCs w:val="20"/>
                <w:color w:val="auto"/>
              </w:rPr>
            </w:pPr>
            <w:r>
              <w:rPr>
                <w:rFonts w:ascii="Arial" w:cs="Arial" w:eastAsia="Arial" w:hAnsi="Arial"/>
                <w:sz w:val="18"/>
                <w:szCs w:val="18"/>
                <w:color w:val="auto"/>
              </w:rPr>
              <w:t>3.4</w:t>
            </w:r>
          </w:p>
        </w:tc>
        <w:tc>
          <w:tcPr>
            <w:tcW w:w="0" w:type="dxa"/>
            <w:vAlign w:val="bottom"/>
          </w:tcPr>
          <w:p>
            <w:pPr>
              <w:spacing w:after="0"/>
              <w:rPr>
                <w:sz w:val="1"/>
                <w:szCs w:val="1"/>
                <w:color w:val="auto"/>
              </w:rPr>
            </w:pPr>
          </w:p>
        </w:tc>
      </w:tr>
      <w:tr>
        <w:trPr>
          <w:trHeight w:val="203"/>
        </w:trPr>
        <w:tc>
          <w:tcPr>
            <w:tcW w:w="4520" w:type="dxa"/>
            <w:vAlign w:val="bottom"/>
          </w:tcPr>
          <w:p>
            <w:pPr>
              <w:spacing w:after="0" w:line="202" w:lineRule="exact"/>
              <w:rPr>
                <w:sz w:val="20"/>
                <w:szCs w:val="20"/>
                <w:color w:val="auto"/>
              </w:rPr>
            </w:pPr>
            <w:r>
              <w:rPr>
                <w:rFonts w:ascii="Arial" w:cs="Arial" w:eastAsia="Arial" w:hAnsi="Arial"/>
                <w:sz w:val="18"/>
                <w:szCs w:val="18"/>
                <w:color w:val="auto"/>
              </w:rPr>
              <w:t>Advertising</w:t>
            </w:r>
          </w:p>
        </w:tc>
        <w:tc>
          <w:tcPr>
            <w:tcW w:w="1660" w:type="dxa"/>
            <w:vAlign w:val="bottom"/>
          </w:tcPr>
          <w:p>
            <w:pPr>
              <w:spacing w:after="0"/>
              <w:rPr>
                <w:sz w:val="17"/>
                <w:szCs w:val="17"/>
                <w:color w:val="auto"/>
              </w:rPr>
            </w:pPr>
          </w:p>
        </w:tc>
        <w:tc>
          <w:tcPr>
            <w:tcW w:w="560" w:type="dxa"/>
            <w:vAlign w:val="bottom"/>
          </w:tcPr>
          <w:p>
            <w:pPr>
              <w:spacing w:after="0"/>
              <w:rPr>
                <w:sz w:val="17"/>
                <w:szCs w:val="17"/>
                <w:color w:val="auto"/>
              </w:rPr>
            </w:pPr>
          </w:p>
        </w:tc>
        <w:tc>
          <w:tcPr>
            <w:tcW w:w="104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820" w:type="dxa"/>
            <w:vAlign w:val="bottom"/>
          </w:tcPr>
          <w:p>
            <w:pPr>
              <w:jc w:val="right"/>
              <w:ind w:right="236"/>
              <w:spacing w:after="0" w:line="202" w:lineRule="exact"/>
              <w:rPr>
                <w:sz w:val="20"/>
                <w:szCs w:val="20"/>
                <w:color w:val="auto"/>
              </w:rPr>
            </w:pPr>
            <w:r>
              <w:rPr>
                <w:rFonts w:ascii="Arial" w:cs="Arial" w:eastAsia="Arial" w:hAnsi="Arial"/>
                <w:sz w:val="18"/>
                <w:szCs w:val="18"/>
                <w:b w:val="1"/>
                <w:bCs w:val="1"/>
                <w:color w:val="auto"/>
              </w:rPr>
              <w:t>6.4</w:t>
            </w:r>
          </w:p>
        </w:tc>
        <w:tc>
          <w:tcPr>
            <w:tcW w:w="900" w:type="dxa"/>
            <w:vAlign w:val="bottom"/>
          </w:tcPr>
          <w:p>
            <w:pPr>
              <w:jc w:val="right"/>
              <w:ind w:right="213"/>
              <w:spacing w:after="0" w:line="202" w:lineRule="exact"/>
              <w:rPr>
                <w:sz w:val="20"/>
                <w:szCs w:val="20"/>
                <w:color w:val="auto"/>
              </w:rPr>
            </w:pPr>
            <w:r>
              <w:rPr>
                <w:rFonts w:ascii="Arial" w:cs="Arial" w:eastAsia="Arial" w:hAnsi="Arial"/>
                <w:sz w:val="18"/>
                <w:szCs w:val="18"/>
                <w:color w:val="auto"/>
              </w:rPr>
              <w:t>6.4</w:t>
            </w:r>
          </w:p>
        </w:tc>
        <w:tc>
          <w:tcPr>
            <w:tcW w:w="800" w:type="dxa"/>
            <w:vAlign w:val="bottom"/>
          </w:tcPr>
          <w:p>
            <w:pPr>
              <w:jc w:val="right"/>
              <w:ind w:right="74"/>
              <w:spacing w:after="0" w:line="202" w:lineRule="exact"/>
              <w:rPr>
                <w:sz w:val="20"/>
                <w:szCs w:val="20"/>
                <w:color w:val="auto"/>
              </w:rPr>
            </w:pPr>
            <w:r>
              <w:rPr>
                <w:rFonts w:ascii="Arial" w:cs="Arial" w:eastAsia="Arial" w:hAnsi="Arial"/>
                <w:sz w:val="18"/>
                <w:szCs w:val="18"/>
                <w:color w:val="auto"/>
              </w:rPr>
              <w:t>6.6</w:t>
            </w:r>
          </w:p>
        </w:tc>
        <w:tc>
          <w:tcPr>
            <w:tcW w:w="0" w:type="dxa"/>
            <w:vAlign w:val="bottom"/>
          </w:tcPr>
          <w:p>
            <w:pPr>
              <w:spacing w:after="0"/>
              <w:rPr>
                <w:sz w:val="1"/>
                <w:szCs w:val="1"/>
                <w:color w:val="auto"/>
              </w:rPr>
            </w:pPr>
          </w:p>
        </w:tc>
      </w:tr>
      <w:tr>
        <w:trPr>
          <w:trHeight w:val="221"/>
        </w:trPr>
        <w:tc>
          <w:tcPr>
            <w:tcW w:w="452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Other</w:t>
            </w:r>
          </w:p>
        </w:tc>
        <w:tc>
          <w:tcPr>
            <w:tcW w:w="1660" w:type="dxa"/>
            <w:vAlign w:val="bottom"/>
            <w:tcBorders>
              <w:bottom w:val="single" w:sz="8" w:color="auto"/>
            </w:tcBorders>
          </w:tcPr>
          <w:p>
            <w:pPr>
              <w:spacing w:after="0"/>
              <w:rPr>
                <w:sz w:val="19"/>
                <w:szCs w:val="19"/>
                <w:color w:val="auto"/>
              </w:rPr>
            </w:pPr>
          </w:p>
        </w:tc>
        <w:tc>
          <w:tcPr>
            <w:tcW w:w="560" w:type="dxa"/>
            <w:vAlign w:val="bottom"/>
            <w:tcBorders>
              <w:bottom w:val="single" w:sz="8" w:color="auto"/>
            </w:tcBorders>
          </w:tcPr>
          <w:p>
            <w:pPr>
              <w:spacing w:after="0"/>
              <w:rPr>
                <w:sz w:val="19"/>
                <w:szCs w:val="19"/>
                <w:color w:val="auto"/>
              </w:rPr>
            </w:pPr>
          </w:p>
        </w:tc>
        <w:tc>
          <w:tcPr>
            <w:tcW w:w="1040" w:type="dxa"/>
            <w:vAlign w:val="bottom"/>
            <w:tcBorders>
              <w:bottom w:val="single" w:sz="8" w:color="auto"/>
            </w:tcBorders>
          </w:tcPr>
          <w:p>
            <w:pPr>
              <w:spacing w:after="0"/>
              <w:rPr>
                <w:sz w:val="19"/>
                <w:szCs w:val="19"/>
                <w:color w:val="auto"/>
              </w:rPr>
            </w:pPr>
          </w:p>
        </w:tc>
        <w:tc>
          <w:tcPr>
            <w:tcW w:w="300" w:type="dxa"/>
            <w:vAlign w:val="bottom"/>
            <w:tcBorders>
              <w:bottom w:val="single" w:sz="8" w:color="auto"/>
            </w:tcBorders>
          </w:tcPr>
          <w:p>
            <w:pPr>
              <w:spacing w:after="0"/>
              <w:rPr>
                <w:sz w:val="19"/>
                <w:szCs w:val="19"/>
                <w:color w:val="auto"/>
              </w:rPr>
            </w:pPr>
          </w:p>
        </w:tc>
        <w:tc>
          <w:tcPr>
            <w:tcW w:w="820" w:type="dxa"/>
            <w:vAlign w:val="bottom"/>
            <w:tcBorders>
              <w:bottom w:val="single" w:sz="8" w:color="auto"/>
            </w:tcBorders>
          </w:tcPr>
          <w:p>
            <w:pPr>
              <w:spacing w:after="0"/>
              <w:rPr>
                <w:sz w:val="19"/>
                <w:szCs w:val="19"/>
                <w:color w:val="auto"/>
              </w:rPr>
            </w:pPr>
          </w:p>
        </w:tc>
        <w:tc>
          <w:tcPr>
            <w:tcW w:w="820" w:type="dxa"/>
            <w:vAlign w:val="bottom"/>
            <w:tcBorders>
              <w:bottom w:val="single" w:sz="8" w:color="auto"/>
            </w:tcBorders>
          </w:tcPr>
          <w:p>
            <w:pPr>
              <w:jc w:val="right"/>
              <w:ind w:right="236"/>
              <w:spacing w:after="0"/>
              <w:rPr>
                <w:sz w:val="20"/>
                <w:szCs w:val="20"/>
                <w:color w:val="auto"/>
              </w:rPr>
            </w:pPr>
            <w:r>
              <w:rPr>
                <w:rFonts w:ascii="Arial" w:cs="Arial" w:eastAsia="Arial" w:hAnsi="Arial"/>
                <w:sz w:val="18"/>
                <w:szCs w:val="18"/>
                <w:b w:val="1"/>
                <w:bCs w:val="1"/>
                <w:color w:val="auto"/>
              </w:rPr>
              <w:t>6.5</w:t>
            </w:r>
          </w:p>
        </w:tc>
        <w:tc>
          <w:tcPr>
            <w:tcW w:w="900" w:type="dxa"/>
            <w:vAlign w:val="bottom"/>
            <w:tcBorders>
              <w:bottom w:val="single" w:sz="8" w:color="auto"/>
            </w:tcBorders>
          </w:tcPr>
          <w:p>
            <w:pPr>
              <w:jc w:val="right"/>
              <w:ind w:right="213"/>
              <w:spacing w:after="0"/>
              <w:rPr>
                <w:sz w:val="20"/>
                <w:szCs w:val="20"/>
                <w:color w:val="auto"/>
              </w:rPr>
            </w:pPr>
            <w:r>
              <w:rPr>
                <w:rFonts w:ascii="Arial" w:cs="Arial" w:eastAsia="Arial" w:hAnsi="Arial"/>
                <w:sz w:val="18"/>
                <w:szCs w:val="18"/>
                <w:color w:val="auto"/>
              </w:rPr>
              <w:t>7.1</w:t>
            </w:r>
          </w:p>
        </w:tc>
        <w:tc>
          <w:tcPr>
            <w:tcW w:w="800" w:type="dxa"/>
            <w:vAlign w:val="bottom"/>
            <w:tcBorders>
              <w:bottom w:val="single" w:sz="8" w:color="auto"/>
            </w:tcBorders>
          </w:tcPr>
          <w:p>
            <w:pPr>
              <w:jc w:val="right"/>
              <w:ind w:right="74"/>
              <w:spacing w:after="0"/>
              <w:rPr>
                <w:sz w:val="20"/>
                <w:szCs w:val="20"/>
                <w:color w:val="auto"/>
              </w:rPr>
            </w:pPr>
            <w:r>
              <w:rPr>
                <w:rFonts w:ascii="Arial" w:cs="Arial" w:eastAsia="Arial" w:hAnsi="Arial"/>
                <w:sz w:val="18"/>
                <w:szCs w:val="18"/>
                <w:color w:val="auto"/>
              </w:rPr>
              <w:t>6.9</w:t>
            </w:r>
          </w:p>
        </w:tc>
        <w:tc>
          <w:tcPr>
            <w:tcW w:w="0" w:type="dxa"/>
            <w:vAlign w:val="bottom"/>
          </w:tcPr>
          <w:p>
            <w:pPr>
              <w:spacing w:after="0"/>
              <w:rPr>
                <w:sz w:val="1"/>
                <w:szCs w:val="1"/>
                <w:color w:val="auto"/>
              </w:rPr>
            </w:pPr>
          </w:p>
        </w:tc>
      </w:tr>
      <w:tr>
        <w:trPr>
          <w:trHeight w:val="196"/>
        </w:trPr>
        <w:tc>
          <w:tcPr>
            <w:tcW w:w="4520" w:type="dxa"/>
            <w:vAlign w:val="bottom"/>
            <w:tcBorders>
              <w:bottom w:val="single" w:sz="8" w:color="35BF85"/>
            </w:tcBorders>
          </w:tcPr>
          <w:p>
            <w:pPr>
              <w:spacing w:after="0" w:line="196" w:lineRule="exact"/>
              <w:rPr>
                <w:sz w:val="20"/>
                <w:szCs w:val="20"/>
                <w:color w:val="auto"/>
              </w:rPr>
            </w:pPr>
            <w:r>
              <w:rPr>
                <w:rFonts w:ascii="Arial" w:cs="Arial" w:eastAsia="Arial" w:hAnsi="Arial"/>
                <w:sz w:val="18"/>
                <w:szCs w:val="18"/>
                <w:color w:val="auto"/>
              </w:rPr>
              <w:t>Total</w:t>
            </w:r>
          </w:p>
        </w:tc>
        <w:tc>
          <w:tcPr>
            <w:tcW w:w="1660" w:type="dxa"/>
            <w:vAlign w:val="bottom"/>
            <w:tcBorders>
              <w:bottom w:val="single" w:sz="8" w:color="35BF85"/>
            </w:tcBorders>
          </w:tcPr>
          <w:p>
            <w:pPr>
              <w:spacing w:after="0"/>
              <w:rPr>
                <w:sz w:val="17"/>
                <w:szCs w:val="17"/>
                <w:color w:val="auto"/>
              </w:rPr>
            </w:pPr>
          </w:p>
        </w:tc>
        <w:tc>
          <w:tcPr>
            <w:tcW w:w="560" w:type="dxa"/>
            <w:vAlign w:val="bottom"/>
            <w:tcBorders>
              <w:bottom w:val="single" w:sz="8" w:color="35BF85"/>
            </w:tcBorders>
          </w:tcPr>
          <w:p>
            <w:pPr>
              <w:spacing w:after="0"/>
              <w:rPr>
                <w:sz w:val="17"/>
                <w:szCs w:val="17"/>
                <w:color w:val="auto"/>
              </w:rPr>
            </w:pPr>
          </w:p>
        </w:tc>
        <w:tc>
          <w:tcPr>
            <w:tcW w:w="1040" w:type="dxa"/>
            <w:vAlign w:val="bottom"/>
            <w:tcBorders>
              <w:bottom w:val="single" w:sz="8" w:color="35BF85"/>
            </w:tcBorders>
          </w:tcPr>
          <w:p>
            <w:pPr>
              <w:spacing w:after="0"/>
              <w:rPr>
                <w:sz w:val="17"/>
                <w:szCs w:val="17"/>
                <w:color w:val="auto"/>
              </w:rPr>
            </w:pPr>
          </w:p>
        </w:tc>
        <w:tc>
          <w:tcPr>
            <w:tcW w:w="300" w:type="dxa"/>
            <w:vAlign w:val="bottom"/>
            <w:tcBorders>
              <w:bottom w:val="single" w:sz="8" w:color="35BF85"/>
            </w:tcBorders>
          </w:tcPr>
          <w:p>
            <w:pPr>
              <w:spacing w:after="0"/>
              <w:rPr>
                <w:sz w:val="17"/>
                <w:szCs w:val="17"/>
                <w:color w:val="auto"/>
              </w:rPr>
            </w:pPr>
          </w:p>
        </w:tc>
        <w:tc>
          <w:tcPr>
            <w:tcW w:w="820" w:type="dxa"/>
            <w:vAlign w:val="bottom"/>
            <w:tcBorders>
              <w:bottom w:val="single" w:sz="8" w:color="35BF85"/>
            </w:tcBorders>
          </w:tcPr>
          <w:p>
            <w:pPr>
              <w:spacing w:after="0"/>
              <w:rPr>
                <w:sz w:val="17"/>
                <w:szCs w:val="17"/>
                <w:color w:val="auto"/>
              </w:rPr>
            </w:pPr>
          </w:p>
        </w:tc>
        <w:tc>
          <w:tcPr>
            <w:tcW w:w="820" w:type="dxa"/>
            <w:vAlign w:val="bottom"/>
            <w:tcBorders>
              <w:bottom w:val="single" w:sz="8" w:color="35BF85"/>
            </w:tcBorders>
          </w:tcPr>
          <w:p>
            <w:pPr>
              <w:jc w:val="right"/>
              <w:ind w:right="76"/>
              <w:spacing w:after="0" w:line="196" w:lineRule="exact"/>
              <w:rPr>
                <w:sz w:val="20"/>
                <w:szCs w:val="20"/>
                <w:color w:val="auto"/>
              </w:rPr>
            </w:pPr>
            <w:r>
              <w:rPr>
                <w:rFonts w:ascii="Arial" w:cs="Arial" w:eastAsia="Arial" w:hAnsi="Arial"/>
                <w:sz w:val="18"/>
                <w:szCs w:val="18"/>
                <w:b w:val="1"/>
                <w:bCs w:val="1"/>
                <w:color w:val="auto"/>
              </w:rPr>
              <w:t>100.0%</w:t>
            </w:r>
          </w:p>
        </w:tc>
        <w:tc>
          <w:tcPr>
            <w:tcW w:w="900" w:type="dxa"/>
            <w:vAlign w:val="bottom"/>
            <w:tcBorders>
              <w:bottom w:val="single" w:sz="8" w:color="35BF85"/>
            </w:tcBorders>
          </w:tcPr>
          <w:p>
            <w:pPr>
              <w:jc w:val="right"/>
              <w:ind w:right="53"/>
              <w:spacing w:after="0" w:line="196" w:lineRule="exact"/>
              <w:rPr>
                <w:sz w:val="20"/>
                <w:szCs w:val="20"/>
                <w:color w:val="auto"/>
              </w:rPr>
            </w:pPr>
            <w:r>
              <w:rPr>
                <w:rFonts w:ascii="Arial" w:cs="Arial" w:eastAsia="Arial" w:hAnsi="Arial"/>
                <w:sz w:val="18"/>
                <w:szCs w:val="18"/>
                <w:color w:val="auto"/>
              </w:rPr>
              <w:t>100.0%</w:t>
            </w:r>
          </w:p>
        </w:tc>
        <w:tc>
          <w:tcPr>
            <w:tcW w:w="800" w:type="dxa"/>
            <w:vAlign w:val="bottom"/>
            <w:tcBorders>
              <w:bottom w:val="single" w:sz="8" w:color="35BF85"/>
            </w:tcBorders>
          </w:tcPr>
          <w:p>
            <w:pPr>
              <w:jc w:val="right"/>
              <w:spacing w:after="0" w:line="196" w:lineRule="exact"/>
              <w:rPr>
                <w:sz w:val="20"/>
                <w:szCs w:val="20"/>
                <w:color w:val="auto"/>
              </w:rPr>
            </w:pPr>
            <w:r>
              <w:rPr>
                <w:rFonts w:ascii="Arial" w:cs="Arial" w:eastAsia="Arial" w:hAnsi="Arial"/>
                <w:sz w:val="18"/>
                <w:szCs w:val="18"/>
                <w:color w:val="auto"/>
              </w:rPr>
              <w:t>100.0%</w:t>
            </w:r>
          </w:p>
        </w:tc>
        <w:tc>
          <w:tcPr>
            <w:tcW w:w="0" w:type="dxa"/>
            <w:vAlign w:val="bottom"/>
          </w:tcPr>
          <w:p>
            <w:pPr>
              <w:spacing w:after="0"/>
              <w:rPr>
                <w:sz w:val="1"/>
                <w:szCs w:val="1"/>
                <w:color w:val="auto"/>
              </w:rPr>
            </w:pPr>
          </w:p>
        </w:tc>
      </w:tr>
    </w:tbl>
    <w:p>
      <w:pPr>
        <w:spacing w:after="0" w:line="53" w:lineRule="exact"/>
        <w:rPr>
          <w:sz w:val="20"/>
          <w:szCs w:val="20"/>
          <w:color w:val="auto"/>
        </w:rPr>
      </w:pPr>
    </w:p>
    <w:p>
      <w:pPr>
        <w:jc w:val="both"/>
        <w:ind w:firstLine="8"/>
        <w:spacing w:after="0" w:line="226" w:lineRule="auto"/>
        <w:tabs>
          <w:tab w:leader="none" w:pos="238" w:val="left"/>
        </w:tabs>
        <w:numPr>
          <w:ilvl w:val="0"/>
          <w:numId w:val="92"/>
        </w:numPr>
        <w:rPr>
          <w:rFonts w:ascii="Arial" w:cs="Arial" w:eastAsia="Arial" w:hAnsi="Arial"/>
          <w:sz w:val="14"/>
          <w:szCs w:val="14"/>
          <w:color w:val="auto"/>
        </w:rPr>
      </w:pPr>
      <w:r>
        <w:rPr>
          <w:rFonts w:ascii="Arial" w:cs="Arial" w:eastAsia="Arial" w:hAnsi="Arial"/>
          <w:sz w:val="14"/>
          <w:szCs w:val="14"/>
          <w:color w:val="auto"/>
        </w:rPr>
        <w:t xml:space="preserve">Our regional sports and news networks (Comcast SportsNet, Comcast SportsNet Mid-Atlantic, Comcast SportsNet Chicago, Comcast SportsNet West, Cable Sports Southeast, MountainWest Sports Network and CN8 — The Comcast Network) are included in our Cable segment. To be consistent with our management reporting presentation, beginning August 1, 2006, the Cable segment also includes the operating results of the cable systems serving Houston, Texas held in the TKCCP (see </w:t>
      </w:r>
      <w:hyperlink w:anchor="page126">
        <w:r>
          <w:rPr>
            <w:rFonts w:ascii="Arial" w:cs="Arial" w:eastAsia="Arial" w:hAnsi="Arial"/>
            <w:sz w:val="14"/>
            <w:szCs w:val="14"/>
            <w:u w:val="single" w:color="auto"/>
            <w:color w:val="0000EE"/>
          </w:rPr>
          <w:t>Note 5</w:t>
        </w:r>
      </w:hyperlink>
      <w:r>
        <w:rPr>
          <w:rFonts w:ascii="Arial" w:cs="Arial" w:eastAsia="Arial" w:hAnsi="Arial"/>
          <w:sz w:val="14"/>
          <w:szCs w:val="14"/>
          <w:color w:val="auto"/>
        </w:rPr>
        <w:t>). The operating results of the cable systems serving Houston, Texas are reversed in the Eliminations column to reconcile to our consolidated financial statements.</w:t>
      </w:r>
    </w:p>
    <w:p>
      <w:pPr>
        <w:spacing w:after="0" w:line="41" w:lineRule="exact"/>
        <w:rPr>
          <w:rFonts w:ascii="Arial" w:cs="Arial" w:eastAsia="Arial" w:hAnsi="Arial"/>
          <w:sz w:val="14"/>
          <w:szCs w:val="14"/>
          <w:color w:val="auto"/>
        </w:rPr>
      </w:pPr>
    </w:p>
    <w:p>
      <w:pPr>
        <w:ind w:left="200" w:hanging="192"/>
        <w:spacing w:after="0"/>
        <w:tabs>
          <w:tab w:leader="none" w:pos="200" w:val="left"/>
        </w:tabs>
        <w:numPr>
          <w:ilvl w:val="0"/>
          <w:numId w:val="92"/>
        </w:numPr>
        <w:rPr>
          <w:rFonts w:ascii="Arial" w:cs="Arial" w:eastAsia="Arial" w:hAnsi="Arial"/>
          <w:sz w:val="14"/>
          <w:szCs w:val="14"/>
          <w:color w:val="auto"/>
        </w:rPr>
      </w:pPr>
      <w:r>
        <w:rPr>
          <w:rFonts w:ascii="Arial" w:cs="Arial" w:eastAsia="Arial" w:hAnsi="Arial"/>
          <w:sz w:val="14"/>
          <w:szCs w:val="14"/>
          <w:color w:val="auto"/>
        </w:rPr>
        <w:t>Programming includes our consolidated national programming networks: E!, Style, The Golf Channel, VERSUS, G4 and AZN Television.</w:t>
      </w:r>
    </w:p>
    <w:p>
      <w:pPr>
        <w:spacing w:after="0" w:line="41" w:lineRule="exact"/>
        <w:rPr>
          <w:rFonts w:ascii="Arial" w:cs="Arial" w:eastAsia="Arial" w:hAnsi="Arial"/>
          <w:sz w:val="14"/>
          <w:szCs w:val="14"/>
          <w:color w:val="auto"/>
        </w:rPr>
      </w:pPr>
    </w:p>
    <w:p>
      <w:pPr>
        <w:ind w:firstLine="8"/>
        <w:spacing w:after="0" w:line="231" w:lineRule="auto"/>
        <w:tabs>
          <w:tab w:leader="none" w:pos="206" w:val="left"/>
        </w:tabs>
        <w:numPr>
          <w:ilvl w:val="0"/>
          <w:numId w:val="92"/>
        </w:numPr>
        <w:rPr>
          <w:rFonts w:ascii="Arial" w:cs="Arial" w:eastAsia="Arial" w:hAnsi="Arial"/>
          <w:sz w:val="14"/>
          <w:szCs w:val="14"/>
          <w:color w:val="auto"/>
        </w:rPr>
      </w:pPr>
      <w:r>
        <w:rPr>
          <w:rFonts w:ascii="Arial" w:cs="Arial" w:eastAsia="Arial" w:hAnsi="Arial"/>
          <w:sz w:val="14"/>
          <w:szCs w:val="14"/>
          <w:color w:val="auto"/>
        </w:rPr>
        <w:t>Corporate and Other includes Comcast Spectacor, a portion of operating results of our less than wholly owned technology development ventures (see “(e)” below), corporate activities and all other businesses not presented in our Cable or Programming segments.</w:t>
      </w:r>
    </w:p>
    <w:p>
      <w:pPr>
        <w:spacing w:after="0" w:line="41" w:lineRule="exact"/>
        <w:rPr>
          <w:rFonts w:ascii="Arial" w:cs="Arial" w:eastAsia="Arial" w:hAnsi="Arial"/>
          <w:sz w:val="14"/>
          <w:szCs w:val="14"/>
          <w:color w:val="auto"/>
        </w:rPr>
      </w:pPr>
    </w:p>
    <w:p>
      <w:pPr>
        <w:jc w:val="both"/>
        <w:ind w:firstLine="8"/>
        <w:spacing w:after="0" w:line="226" w:lineRule="auto"/>
        <w:tabs>
          <w:tab w:leader="none" w:pos="213" w:val="left"/>
        </w:tabs>
        <w:numPr>
          <w:ilvl w:val="0"/>
          <w:numId w:val="92"/>
        </w:numPr>
        <w:rPr>
          <w:rFonts w:ascii="Arial" w:cs="Arial" w:eastAsia="Arial" w:hAnsi="Arial"/>
          <w:sz w:val="14"/>
          <w:szCs w:val="14"/>
          <w:color w:val="auto"/>
        </w:rPr>
      </w:pPr>
      <w:r>
        <w:rPr>
          <w:rFonts w:ascii="Arial" w:cs="Arial" w:eastAsia="Arial" w:hAnsi="Arial"/>
          <w:sz w:val="14"/>
          <w:szCs w:val="14"/>
          <w:color w:val="auto"/>
        </w:rPr>
        <w:t>We consolidate our less than wholly owned technology development ventures, which we control or of which we are considered the primary beneficiary. These ventures are with various corporate partners, such as Motorola and Gemstar. The ventures have been created to share the costs of development of new technologies for set-top boxes and other devices. The results of these entities are included within Corporate and Other. Cost allocations are made to the Cable segment based on our percentage ownership in each entity. The remaining net costs related to the minority corporate partners are included in Corporate and Other.</w:t>
      </w:r>
    </w:p>
    <w:p>
      <w:pPr>
        <w:spacing w:after="0" w:line="41" w:lineRule="exact"/>
        <w:rPr>
          <w:rFonts w:ascii="Arial" w:cs="Arial" w:eastAsia="Arial" w:hAnsi="Arial"/>
          <w:sz w:val="14"/>
          <w:szCs w:val="14"/>
          <w:color w:val="auto"/>
        </w:rPr>
      </w:pPr>
    </w:p>
    <w:p>
      <w:pPr>
        <w:ind w:left="180" w:hanging="172"/>
        <w:spacing w:after="0"/>
        <w:tabs>
          <w:tab w:leader="none" w:pos="180" w:val="left"/>
        </w:tabs>
        <w:numPr>
          <w:ilvl w:val="0"/>
          <w:numId w:val="92"/>
        </w:numPr>
        <w:rPr>
          <w:rFonts w:ascii="Arial" w:cs="Arial" w:eastAsia="Arial" w:hAnsi="Arial"/>
          <w:sz w:val="14"/>
          <w:szCs w:val="14"/>
          <w:color w:val="auto"/>
        </w:rPr>
      </w:pPr>
      <w:r>
        <w:rPr>
          <w:rFonts w:ascii="Arial" w:cs="Arial" w:eastAsia="Arial" w:hAnsi="Arial"/>
          <w:sz w:val="14"/>
          <w:szCs w:val="14"/>
          <w:color w:val="auto"/>
        </w:rPr>
        <w:t>Included in the Eliminations column are intersegment transactions that our segments enter into with one another. The most common types of transactions are the following:</w:t>
      </w:r>
    </w:p>
    <w:p>
      <w:pPr>
        <w:spacing w:after="0" w:line="42" w:lineRule="exact"/>
        <w:rPr>
          <w:sz w:val="20"/>
          <w:szCs w:val="20"/>
          <w:color w:val="auto"/>
        </w:rPr>
      </w:pPr>
    </w:p>
    <w:p>
      <w:pPr>
        <w:ind w:left="100" w:hanging="92"/>
        <w:spacing w:after="0"/>
        <w:tabs>
          <w:tab w:leader="none" w:pos="100" w:val="left"/>
        </w:tabs>
        <w:numPr>
          <w:ilvl w:val="0"/>
          <w:numId w:val="93"/>
        </w:numPr>
        <w:rPr>
          <w:rFonts w:ascii="Arial" w:cs="Arial" w:eastAsia="Arial" w:hAnsi="Arial"/>
          <w:sz w:val="14"/>
          <w:szCs w:val="14"/>
          <w:color w:val="auto"/>
        </w:rPr>
      </w:pPr>
      <w:r>
        <w:rPr>
          <w:rFonts w:ascii="Arial" w:cs="Arial" w:eastAsia="Arial" w:hAnsi="Arial"/>
          <w:sz w:val="14"/>
          <w:szCs w:val="14"/>
          <w:color w:val="auto"/>
        </w:rPr>
        <w:t>our Programming segment generates revenue by selling cable network programming to our Cable segment, which represents a substantial majority of the revenue elimination amount</w:t>
      </w:r>
    </w:p>
    <w:p>
      <w:pPr>
        <w:spacing w:after="0" w:line="41" w:lineRule="exact"/>
        <w:rPr>
          <w:rFonts w:ascii="Arial" w:cs="Arial" w:eastAsia="Arial" w:hAnsi="Arial"/>
          <w:sz w:val="14"/>
          <w:szCs w:val="14"/>
          <w:color w:val="auto"/>
        </w:rPr>
      </w:pPr>
    </w:p>
    <w:p>
      <w:pPr>
        <w:ind w:left="100" w:hanging="92"/>
        <w:spacing w:after="0"/>
        <w:tabs>
          <w:tab w:leader="none" w:pos="100" w:val="left"/>
        </w:tabs>
        <w:numPr>
          <w:ilvl w:val="0"/>
          <w:numId w:val="93"/>
        </w:numPr>
        <w:rPr>
          <w:rFonts w:ascii="Arial" w:cs="Arial" w:eastAsia="Arial" w:hAnsi="Arial"/>
          <w:sz w:val="14"/>
          <w:szCs w:val="14"/>
          <w:color w:val="auto"/>
        </w:rPr>
      </w:pPr>
      <w:r>
        <w:rPr>
          <w:rFonts w:ascii="Arial" w:cs="Arial" w:eastAsia="Arial" w:hAnsi="Arial"/>
          <w:sz w:val="14"/>
          <w:szCs w:val="14"/>
          <w:color w:val="auto"/>
        </w:rPr>
        <w:t>our Cable segment receives incentives offered by our Programming segment when negotiating programming contracts that are recorded as a reduction of programming expenses</w:t>
      </w:r>
    </w:p>
    <w:p>
      <w:pPr>
        <w:spacing w:after="0" w:line="41" w:lineRule="exact"/>
        <w:rPr>
          <w:rFonts w:ascii="Arial" w:cs="Arial" w:eastAsia="Arial" w:hAnsi="Arial"/>
          <w:sz w:val="14"/>
          <w:szCs w:val="14"/>
          <w:color w:val="auto"/>
        </w:rPr>
      </w:pPr>
    </w:p>
    <w:p>
      <w:pPr>
        <w:ind w:left="100" w:hanging="92"/>
        <w:spacing w:after="0"/>
        <w:tabs>
          <w:tab w:leader="none" w:pos="100" w:val="left"/>
        </w:tabs>
        <w:numPr>
          <w:ilvl w:val="0"/>
          <w:numId w:val="93"/>
        </w:numPr>
        <w:rPr>
          <w:rFonts w:ascii="Arial" w:cs="Arial" w:eastAsia="Arial" w:hAnsi="Arial"/>
          <w:sz w:val="14"/>
          <w:szCs w:val="14"/>
          <w:color w:val="auto"/>
        </w:rPr>
      </w:pPr>
      <w:r>
        <w:rPr>
          <w:rFonts w:ascii="Arial" w:cs="Arial" w:eastAsia="Arial" w:hAnsi="Arial"/>
          <w:sz w:val="14"/>
          <w:szCs w:val="14"/>
          <w:color w:val="auto"/>
        </w:rPr>
        <w:t>our Cable segment generates revenue by selling the use of satellite feeds to our Programming segment</w:t>
      </w:r>
    </w:p>
    <w:p>
      <w:pPr>
        <w:spacing w:after="0" w:line="42" w:lineRule="exact"/>
        <w:rPr>
          <w:sz w:val="20"/>
          <w:szCs w:val="20"/>
          <w:color w:val="auto"/>
        </w:rPr>
      </w:pPr>
    </w:p>
    <w:p>
      <w:pPr>
        <w:ind w:left="220" w:hanging="212"/>
        <w:spacing w:after="0"/>
        <w:tabs>
          <w:tab w:leader="none" w:pos="220" w:val="left"/>
        </w:tabs>
        <w:numPr>
          <w:ilvl w:val="0"/>
          <w:numId w:val="94"/>
        </w:numPr>
        <w:rPr>
          <w:rFonts w:ascii="Arial" w:cs="Arial" w:eastAsia="Arial" w:hAnsi="Arial"/>
          <w:sz w:val="14"/>
          <w:szCs w:val="14"/>
          <w:color w:val="auto"/>
        </w:rPr>
      </w:pPr>
      <w:r>
        <w:rPr>
          <w:rFonts w:ascii="Arial" w:cs="Arial" w:eastAsia="Arial" w:hAnsi="Arial"/>
          <w:sz w:val="14"/>
          <w:szCs w:val="14"/>
          <w:color w:val="auto"/>
        </w:rPr>
        <w:t>Non-U.S. revenues were not significant in any period. No single customer accounted for a significant amount of our revenue in any period.</w:t>
      </w:r>
    </w:p>
    <w:p>
      <w:pPr>
        <w:spacing w:after="0" w:line="41" w:lineRule="exact"/>
        <w:rPr>
          <w:rFonts w:ascii="Arial" w:cs="Arial" w:eastAsia="Arial" w:hAnsi="Arial"/>
          <w:sz w:val="14"/>
          <w:szCs w:val="14"/>
          <w:color w:val="auto"/>
        </w:rPr>
      </w:pPr>
    </w:p>
    <w:p>
      <w:pPr>
        <w:jc w:val="both"/>
        <w:ind w:firstLine="8"/>
        <w:spacing w:after="0" w:line="224" w:lineRule="auto"/>
        <w:tabs>
          <w:tab w:leader="none" w:pos="219" w:val="left"/>
        </w:tabs>
        <w:numPr>
          <w:ilvl w:val="0"/>
          <w:numId w:val="94"/>
        </w:numPr>
        <w:rPr>
          <w:rFonts w:ascii="Arial" w:cs="Arial" w:eastAsia="Arial" w:hAnsi="Arial"/>
          <w:sz w:val="14"/>
          <w:szCs w:val="14"/>
          <w:color w:val="auto"/>
        </w:rPr>
      </w:pPr>
      <w:r>
        <w:rPr>
          <w:rFonts w:ascii="Arial" w:cs="Arial" w:eastAsia="Arial" w:hAnsi="Arial"/>
          <w:sz w:val="14"/>
          <w:szCs w:val="14"/>
          <w:color w:val="auto"/>
        </w:rPr>
        <w:t>To measure the performance of our operating segments, we use operating income before depreciation and amortization, excluding impairment charges related to fixed and intangible assets, and gains or losses from the sale of assets, if any. This measure eliminates the significant level of noncash depreciation and amortization expense that results from the capital-intensive nature of our businesses and from intangible assets recognized in business combinations. It is also unaffected by our capital structure or investment activities. We use this measure to evaluate our consolidated operating performance, the operating performance of our operating segments, and to allocate resources and capital to our operating segments. It is also a significant performance measure in our annual incentive compensation programs. We believe that this measure is useful to investors because it is one of the bases for comparing our operating performance with other companies in our industries, although our measure may not be directly comparable to similar measures used by other companies. This measure should not be considered a substitute for operating income (loss), net income (loss), net cash provided by operating activities or other measures of performance or liquidity reported in accordance with GAAP.</w:t>
      </w:r>
    </w:p>
    <w:p>
      <w:pPr>
        <w:spacing w:after="0" w:line="40" w:lineRule="exact"/>
        <w:rPr>
          <w:rFonts w:ascii="Arial" w:cs="Arial" w:eastAsia="Arial" w:hAnsi="Arial"/>
          <w:sz w:val="14"/>
          <w:szCs w:val="14"/>
          <w:color w:val="auto"/>
        </w:rPr>
      </w:pPr>
    </w:p>
    <w:p>
      <w:pPr>
        <w:jc w:val="both"/>
        <w:ind w:firstLine="8"/>
        <w:spacing w:after="0" w:line="228" w:lineRule="auto"/>
        <w:tabs>
          <w:tab w:leader="none" w:pos="160" w:val="left"/>
        </w:tabs>
        <w:numPr>
          <w:ilvl w:val="0"/>
          <w:numId w:val="94"/>
        </w:numPr>
        <w:rPr>
          <w:rFonts w:ascii="Arial" w:cs="Arial" w:eastAsia="Arial" w:hAnsi="Arial"/>
          <w:sz w:val="14"/>
          <w:szCs w:val="14"/>
          <w:color w:val="0000EE"/>
        </w:rPr>
      </w:pPr>
      <w:r>
        <w:rPr>
          <w:rFonts w:ascii="Arial" w:cs="Arial" w:eastAsia="Arial" w:hAnsi="Arial"/>
          <w:sz w:val="14"/>
          <w:szCs w:val="14"/>
          <w:color w:val="auto"/>
        </w:rPr>
        <w:t xml:space="preserve">To be consistent with our management reporting presentation, the 2005 and 2004 segment amounts have been adjusted as if stock options had been expensed as of January 1, 2004 (see </w:t>
      </w:r>
      <w:hyperlink w:anchor="page134">
        <w:r>
          <w:rPr>
            <w:rFonts w:ascii="Arial" w:cs="Arial" w:eastAsia="Arial" w:hAnsi="Arial"/>
            <w:sz w:val="14"/>
            <w:szCs w:val="14"/>
            <w:u w:val="single" w:color="auto"/>
            <w:color w:val="0000EE"/>
          </w:rPr>
          <w:t>Note 10</w:t>
        </w:r>
      </w:hyperlink>
      <w:r>
        <w:rPr>
          <w:rFonts w:ascii="Arial" w:cs="Arial" w:eastAsia="Arial" w:hAnsi="Arial"/>
          <w:sz w:val="14"/>
          <w:szCs w:val="14"/>
          <w:color w:val="000000"/>
        </w:rPr>
        <w:t>). The total adjustments are reversed in the Eliminations column to reconcile to our consolidated 2005 and 2004 amounts. For the years ended December 31, 2005 and 2004, the</w:t>
      </w:r>
      <w:r>
        <w:rPr>
          <w:rFonts w:ascii="Arial" w:cs="Arial" w:eastAsia="Arial" w:hAnsi="Arial"/>
          <w:sz w:val="14"/>
          <w:szCs w:val="14"/>
          <w:color w:val="0000EE"/>
        </w:rPr>
        <w:t xml:space="preserve"> </w:t>
      </w:r>
      <w:r>
        <w:rPr>
          <w:rFonts w:ascii="Arial" w:cs="Arial" w:eastAsia="Arial" w:hAnsi="Arial"/>
          <w:sz w:val="14"/>
          <w:szCs w:val="14"/>
          <w:color w:val="000000"/>
        </w:rPr>
        <w:t>adjustments reducing operating income (loss) before depreciation and amortization by segment were as follows:</w:t>
      </w:r>
    </w:p>
    <w:p>
      <w:pPr>
        <w:spacing w:after="0" w:line="178"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5920" w:type="dxa"/>
            <w:vAlign w:val="bottom"/>
            <w:tcBorders>
              <w:bottom w:val="single" w:sz="8" w:color="auto"/>
            </w:tcBorders>
          </w:tcPr>
          <w:p>
            <w:pPr>
              <w:spacing w:after="0"/>
              <w:rPr>
                <w:sz w:val="20"/>
                <w:szCs w:val="20"/>
                <w:color w:val="auto"/>
              </w:rPr>
            </w:pPr>
            <w:r>
              <w:rPr>
                <w:rFonts w:ascii="Arial" w:cs="Arial" w:eastAsia="Arial" w:hAnsi="Arial"/>
                <w:sz w:val="14"/>
                <w:szCs w:val="14"/>
                <w:color w:val="auto"/>
              </w:rPr>
              <w:t>(in millions)</w:t>
            </w:r>
          </w:p>
        </w:tc>
        <w:tc>
          <w:tcPr>
            <w:tcW w:w="4860" w:type="dxa"/>
            <w:vAlign w:val="bottom"/>
            <w:tcBorders>
              <w:bottom w:val="single" w:sz="8" w:color="auto"/>
            </w:tcBorders>
          </w:tcPr>
          <w:p>
            <w:pPr>
              <w:jc w:val="right"/>
              <w:ind w:right="96"/>
              <w:spacing w:after="0"/>
              <w:rPr>
                <w:sz w:val="20"/>
                <w:szCs w:val="20"/>
                <w:color w:val="auto"/>
              </w:rPr>
            </w:pPr>
            <w:r>
              <w:rPr>
                <w:rFonts w:ascii="Arial" w:cs="Arial" w:eastAsia="Arial" w:hAnsi="Arial"/>
                <w:sz w:val="14"/>
                <w:szCs w:val="14"/>
                <w:color w:val="auto"/>
              </w:rPr>
              <w:t>2005</w:t>
            </w:r>
          </w:p>
        </w:tc>
        <w:tc>
          <w:tcPr>
            <w:tcW w:w="64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2004</w:t>
            </w:r>
          </w:p>
        </w:tc>
      </w:tr>
      <w:tr>
        <w:trPr>
          <w:trHeight w:val="199"/>
        </w:trPr>
        <w:tc>
          <w:tcPr>
            <w:tcW w:w="5920" w:type="dxa"/>
            <w:vAlign w:val="bottom"/>
          </w:tcPr>
          <w:p>
            <w:pPr>
              <w:spacing w:after="0" w:line="200" w:lineRule="exact"/>
              <w:rPr>
                <w:sz w:val="20"/>
                <w:szCs w:val="20"/>
                <w:color w:val="auto"/>
              </w:rPr>
            </w:pPr>
            <w:r>
              <w:rPr>
                <w:rFonts w:ascii="Arial" w:cs="Arial" w:eastAsia="Arial" w:hAnsi="Arial"/>
                <w:sz w:val="18"/>
                <w:szCs w:val="18"/>
                <w:color w:val="auto"/>
              </w:rPr>
              <w:t>Cable</w:t>
            </w:r>
          </w:p>
        </w:tc>
        <w:tc>
          <w:tcPr>
            <w:tcW w:w="4860" w:type="dxa"/>
            <w:vAlign w:val="bottom"/>
          </w:tcPr>
          <w:p>
            <w:pPr>
              <w:jc w:val="right"/>
              <w:ind w:right="96"/>
              <w:spacing w:after="0" w:line="200" w:lineRule="exact"/>
              <w:rPr>
                <w:sz w:val="20"/>
                <w:szCs w:val="20"/>
                <w:color w:val="auto"/>
              </w:rPr>
            </w:pPr>
            <w:r>
              <w:rPr>
                <w:rFonts w:ascii="Arial" w:cs="Arial" w:eastAsia="Arial" w:hAnsi="Arial"/>
                <w:sz w:val="18"/>
                <w:szCs w:val="18"/>
                <w:color w:val="auto"/>
              </w:rPr>
              <w:t>$116</w:t>
            </w:r>
          </w:p>
        </w:tc>
        <w:tc>
          <w:tcPr>
            <w:tcW w:w="640" w:type="dxa"/>
            <w:vAlign w:val="bottom"/>
          </w:tcPr>
          <w:p>
            <w:pPr>
              <w:jc w:val="right"/>
              <w:spacing w:after="0" w:line="200" w:lineRule="exact"/>
              <w:rPr>
                <w:sz w:val="20"/>
                <w:szCs w:val="20"/>
                <w:color w:val="auto"/>
              </w:rPr>
            </w:pPr>
            <w:r>
              <w:rPr>
                <w:rFonts w:ascii="Arial" w:cs="Arial" w:eastAsia="Arial" w:hAnsi="Arial"/>
                <w:sz w:val="18"/>
                <w:szCs w:val="18"/>
                <w:color w:val="auto"/>
              </w:rPr>
              <w:t>$180</w:t>
            </w:r>
          </w:p>
        </w:tc>
      </w:tr>
      <w:tr>
        <w:trPr>
          <w:trHeight w:val="203"/>
        </w:trPr>
        <w:tc>
          <w:tcPr>
            <w:tcW w:w="5920" w:type="dxa"/>
            <w:vAlign w:val="bottom"/>
          </w:tcPr>
          <w:p>
            <w:pPr>
              <w:spacing w:after="0" w:line="202" w:lineRule="exact"/>
              <w:rPr>
                <w:sz w:val="20"/>
                <w:szCs w:val="20"/>
                <w:color w:val="auto"/>
              </w:rPr>
            </w:pPr>
            <w:r>
              <w:rPr>
                <w:rFonts w:ascii="Arial" w:cs="Arial" w:eastAsia="Arial" w:hAnsi="Arial"/>
                <w:sz w:val="18"/>
                <w:szCs w:val="18"/>
                <w:color w:val="auto"/>
              </w:rPr>
              <w:t>Programming</w:t>
            </w:r>
          </w:p>
        </w:tc>
        <w:tc>
          <w:tcPr>
            <w:tcW w:w="4860" w:type="dxa"/>
            <w:vAlign w:val="bottom"/>
          </w:tcPr>
          <w:p>
            <w:pPr>
              <w:jc w:val="right"/>
              <w:ind w:right="96"/>
              <w:spacing w:after="0" w:line="202" w:lineRule="exact"/>
              <w:rPr>
                <w:sz w:val="20"/>
                <w:szCs w:val="20"/>
                <w:color w:val="auto"/>
              </w:rPr>
            </w:pPr>
            <w:r>
              <w:rPr>
                <w:rFonts w:ascii="Arial" w:cs="Arial" w:eastAsia="Arial" w:hAnsi="Arial"/>
                <w:sz w:val="18"/>
                <w:szCs w:val="18"/>
                <w:color w:val="auto"/>
              </w:rPr>
              <w:t>1</w:t>
            </w:r>
          </w:p>
        </w:tc>
        <w:tc>
          <w:tcPr>
            <w:tcW w:w="640" w:type="dxa"/>
            <w:vAlign w:val="bottom"/>
          </w:tcPr>
          <w:p>
            <w:pPr>
              <w:jc w:val="right"/>
              <w:spacing w:after="0" w:line="202" w:lineRule="exact"/>
              <w:rPr>
                <w:sz w:val="20"/>
                <w:szCs w:val="20"/>
                <w:color w:val="auto"/>
              </w:rPr>
            </w:pPr>
            <w:r>
              <w:rPr>
                <w:rFonts w:ascii="Arial" w:cs="Arial" w:eastAsia="Arial" w:hAnsi="Arial"/>
                <w:sz w:val="18"/>
                <w:szCs w:val="18"/>
                <w:color w:val="auto"/>
              </w:rPr>
              <w:t>(4)</w:t>
            </w:r>
          </w:p>
        </w:tc>
      </w:tr>
      <w:tr>
        <w:trPr>
          <w:trHeight w:val="199"/>
        </w:trPr>
        <w:tc>
          <w:tcPr>
            <w:tcW w:w="5920" w:type="dxa"/>
            <w:vAlign w:val="bottom"/>
            <w:tcBorders>
              <w:bottom w:val="single" w:sz="8" w:color="auto"/>
            </w:tcBorders>
          </w:tcPr>
          <w:p>
            <w:pPr>
              <w:spacing w:after="0" w:line="200" w:lineRule="exact"/>
              <w:rPr>
                <w:sz w:val="20"/>
                <w:szCs w:val="20"/>
                <w:color w:val="auto"/>
              </w:rPr>
            </w:pPr>
            <w:r>
              <w:rPr>
                <w:rFonts w:ascii="Arial" w:cs="Arial" w:eastAsia="Arial" w:hAnsi="Arial"/>
                <w:sz w:val="18"/>
                <w:szCs w:val="18"/>
                <w:color w:val="auto"/>
              </w:rPr>
              <w:t>Corporate and Other</w:t>
            </w:r>
          </w:p>
        </w:tc>
        <w:tc>
          <w:tcPr>
            <w:tcW w:w="4860" w:type="dxa"/>
            <w:vAlign w:val="bottom"/>
            <w:tcBorders>
              <w:bottom w:val="single" w:sz="8" w:color="auto"/>
            </w:tcBorders>
          </w:tcPr>
          <w:p>
            <w:pPr>
              <w:jc w:val="right"/>
              <w:ind w:right="96"/>
              <w:spacing w:after="0" w:line="200" w:lineRule="exact"/>
              <w:rPr>
                <w:sz w:val="20"/>
                <w:szCs w:val="20"/>
                <w:color w:val="auto"/>
              </w:rPr>
            </w:pPr>
            <w:r>
              <w:rPr>
                <w:rFonts w:ascii="Arial" w:cs="Arial" w:eastAsia="Arial" w:hAnsi="Arial"/>
                <w:sz w:val="18"/>
                <w:szCs w:val="18"/>
                <w:color w:val="auto"/>
              </w:rPr>
              <w:t>49</w:t>
            </w:r>
          </w:p>
        </w:tc>
        <w:tc>
          <w:tcPr>
            <w:tcW w:w="640" w:type="dxa"/>
            <w:vAlign w:val="bottom"/>
            <w:tcBorders>
              <w:bottom w:val="single" w:sz="8" w:color="auto"/>
            </w:tcBorders>
          </w:tcPr>
          <w:p>
            <w:pPr>
              <w:jc w:val="right"/>
              <w:spacing w:after="0" w:line="200" w:lineRule="exact"/>
              <w:rPr>
                <w:sz w:val="20"/>
                <w:szCs w:val="20"/>
                <w:color w:val="auto"/>
              </w:rPr>
            </w:pPr>
            <w:r>
              <w:rPr>
                <w:rFonts w:ascii="Arial" w:cs="Arial" w:eastAsia="Arial" w:hAnsi="Arial"/>
                <w:sz w:val="18"/>
                <w:szCs w:val="18"/>
                <w:color w:val="auto"/>
              </w:rPr>
              <w:t>107</w:t>
            </w:r>
          </w:p>
        </w:tc>
      </w:tr>
      <w:tr>
        <w:trPr>
          <w:trHeight w:val="196"/>
        </w:trPr>
        <w:tc>
          <w:tcPr>
            <w:tcW w:w="5920" w:type="dxa"/>
            <w:vAlign w:val="bottom"/>
            <w:tcBorders>
              <w:bottom w:val="single" w:sz="8" w:color="35BF85"/>
            </w:tcBorders>
          </w:tcPr>
          <w:p>
            <w:pPr>
              <w:spacing w:after="0" w:line="196" w:lineRule="exact"/>
              <w:rPr>
                <w:sz w:val="20"/>
                <w:szCs w:val="20"/>
                <w:color w:val="auto"/>
              </w:rPr>
            </w:pPr>
            <w:r>
              <w:rPr>
                <w:rFonts w:ascii="Arial" w:cs="Arial" w:eastAsia="Arial" w:hAnsi="Arial"/>
                <w:sz w:val="18"/>
                <w:szCs w:val="18"/>
                <w:color w:val="auto"/>
              </w:rPr>
              <w:t>Total</w:t>
            </w:r>
          </w:p>
        </w:tc>
        <w:tc>
          <w:tcPr>
            <w:tcW w:w="4860" w:type="dxa"/>
            <w:vAlign w:val="bottom"/>
            <w:tcBorders>
              <w:bottom w:val="single" w:sz="8" w:color="35BF85"/>
            </w:tcBorders>
          </w:tcPr>
          <w:p>
            <w:pPr>
              <w:jc w:val="right"/>
              <w:ind w:right="96"/>
              <w:spacing w:after="0" w:line="196" w:lineRule="exact"/>
              <w:rPr>
                <w:sz w:val="20"/>
                <w:szCs w:val="20"/>
                <w:color w:val="auto"/>
              </w:rPr>
            </w:pPr>
            <w:r>
              <w:rPr>
                <w:rFonts w:ascii="Arial" w:cs="Arial" w:eastAsia="Arial" w:hAnsi="Arial"/>
                <w:sz w:val="18"/>
                <w:szCs w:val="18"/>
                <w:color w:val="auto"/>
              </w:rPr>
              <w:t>$166</w:t>
            </w:r>
          </w:p>
        </w:tc>
        <w:tc>
          <w:tcPr>
            <w:tcW w:w="640" w:type="dxa"/>
            <w:vAlign w:val="bottom"/>
            <w:tcBorders>
              <w:bottom w:val="single" w:sz="8" w:color="35BF85"/>
            </w:tcBorders>
          </w:tcPr>
          <w:p>
            <w:pPr>
              <w:jc w:val="right"/>
              <w:spacing w:after="0" w:line="196" w:lineRule="exact"/>
              <w:rPr>
                <w:sz w:val="20"/>
                <w:szCs w:val="20"/>
                <w:color w:val="auto"/>
              </w:rPr>
            </w:pPr>
            <w:r>
              <w:rPr>
                <w:rFonts w:ascii="Arial" w:cs="Arial" w:eastAsia="Arial" w:hAnsi="Arial"/>
                <w:sz w:val="18"/>
                <w:szCs w:val="18"/>
                <w:color w:val="auto"/>
              </w:rPr>
              <w:t>$283</w:t>
            </w:r>
          </w:p>
        </w:tc>
      </w:tr>
    </w:tbl>
    <w:p>
      <w:pPr>
        <w:spacing w:after="0" w:line="132" w:lineRule="exact"/>
        <w:rPr>
          <w:sz w:val="20"/>
          <w:szCs w:val="20"/>
          <w:color w:val="auto"/>
        </w:rPr>
      </w:pPr>
    </w:p>
    <w:p>
      <w:pPr>
        <w:sectPr>
          <w:pgSz w:w="11900" w:h="16838" w:orient="portrait"/>
          <w:cols w:equalWidth="0" w:num="1">
            <w:col w:w="11420"/>
          </w:cols>
          <w:pgMar w:left="240" w:top="459" w:right="239" w:bottom="1440" w:gutter="0" w:footer="0" w:header="0"/>
        </w:sectPr>
      </w:pPr>
    </w:p>
    <w:p>
      <w:pPr>
        <w:spacing w:after="0"/>
        <w:tabs>
          <w:tab w:leader="none" w:pos="5680" w:val="left"/>
        </w:tabs>
        <w:rPr>
          <w:sz w:val="20"/>
          <w:szCs w:val="20"/>
          <w:color w:val="auto"/>
        </w:rPr>
      </w:pPr>
      <w:r>
        <w:rPr>
          <w:rFonts w:ascii="Arial" w:cs="Arial" w:eastAsia="Arial" w:hAnsi="Arial"/>
          <w:sz w:val="14"/>
          <w:szCs w:val="14"/>
          <w:b w:val="1"/>
          <w:bCs w:val="1"/>
          <w:color w:val="auto"/>
        </w:rPr>
        <w:t xml:space="preserve">Notes to Consolidated Financial Statements </w:t>
      </w:r>
      <w:r>
        <w:rPr>
          <w:rFonts w:ascii="Arial" w:cs="Arial" w:eastAsia="Arial" w:hAnsi="Arial"/>
          <w:sz w:val="14"/>
          <w:szCs w:val="14"/>
          <w:color w:val="auto"/>
        </w:rPr>
        <w:t>Comcast 2006 Annual Report</w:t>
      </w:r>
      <w:r>
        <w:rPr>
          <w:sz w:val="20"/>
          <w:szCs w:val="20"/>
          <w:color w:val="auto"/>
        </w:rPr>
        <w:tab/>
      </w:r>
      <w:r>
        <w:rPr>
          <w:rFonts w:ascii="Arial" w:cs="Arial" w:eastAsia="Arial" w:hAnsi="Arial"/>
          <w:sz w:val="12"/>
          <w:szCs w:val="12"/>
          <w:b w:val="1"/>
          <w:bCs w:val="1"/>
          <w:color w:val="auto"/>
        </w:rPr>
        <w:t>66</w:t>
      </w:r>
    </w:p>
    <w:p>
      <w:pPr>
        <w:sectPr>
          <w:pgSz w:w="11900" w:h="16838" w:orient="portrait"/>
          <w:cols w:equalWidth="0" w:num="1">
            <w:col w:w="11420"/>
          </w:cols>
          <w:pgMar w:left="240" w:top="459" w:right="239" w:bottom="1440" w:gutter="0" w:footer="0" w:header="0"/>
          <w:type w:val="continuous"/>
        </w:sectPr>
      </w:pPr>
    </w:p>
    <w:bookmarkStart w:id="143" w:name="page144"/>
    <w:bookmarkEnd w:id="14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215" name="Picture 2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5"/>
                    <pic:cNvPicPr>
                      <a:picLocks noChangeAspect="1" noChangeArrowheads="1"/>
                    </pic:cNvPicPr>
                  </pic:nvPicPr>
                  <pic:blipFill>
                    <a:blip r:embed="rId222">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200" w:lineRule="exact"/>
        <w:rPr>
          <w:sz w:val="20"/>
          <w:szCs w:val="20"/>
          <w:color w:val="auto"/>
        </w:rPr>
      </w:pPr>
    </w:p>
    <w:p>
      <w:pPr>
        <w:spacing w:after="0" w:line="276" w:lineRule="exact"/>
        <w:rPr>
          <w:sz w:val="20"/>
          <w:szCs w:val="20"/>
          <w:color w:val="auto"/>
        </w:rPr>
      </w:pPr>
    </w:p>
    <w:p>
      <w:pPr>
        <w:spacing w:after="0"/>
        <w:rPr>
          <w:sz w:val="20"/>
          <w:szCs w:val="20"/>
          <w:color w:val="auto"/>
        </w:rPr>
      </w:pPr>
      <w:r>
        <w:rPr>
          <w:rFonts w:ascii="Arial" w:cs="Arial" w:eastAsia="Arial" w:hAnsi="Arial"/>
          <w:sz w:val="18"/>
          <w:szCs w:val="18"/>
          <w:color w:val="35BF85"/>
        </w:rPr>
        <w:t>Note 15: Quarterly Financial Information (Unaudited)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63500</wp:posOffset>
            </wp:positionV>
            <wp:extent cx="7246620" cy="8890"/>
            <wp:wrapNone/>
            <wp:docPr id="216" name="Picture 2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6"/>
                    <pic:cNvPicPr>
                      <a:picLocks noChangeAspect="1" noChangeArrowheads="1"/>
                    </pic:cNvPicPr>
                  </pic:nvPicPr>
                  <pic:blipFill>
                    <a:blip r:embed="rId223">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391"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6080" w:type="dxa"/>
            <w:vAlign w:val="bottom"/>
          </w:tcPr>
          <w:p>
            <w:pPr>
              <w:spacing w:after="0"/>
              <w:rPr>
                <w:sz w:val="14"/>
                <w:szCs w:val="14"/>
                <w:color w:val="auto"/>
              </w:rPr>
            </w:pPr>
          </w:p>
        </w:tc>
        <w:tc>
          <w:tcPr>
            <w:tcW w:w="1240" w:type="dxa"/>
            <w:vAlign w:val="bottom"/>
          </w:tcPr>
          <w:p>
            <w:pPr>
              <w:spacing w:after="0"/>
              <w:rPr>
                <w:sz w:val="14"/>
                <w:szCs w:val="14"/>
                <w:color w:val="auto"/>
              </w:rPr>
            </w:pPr>
          </w:p>
        </w:tc>
        <w:tc>
          <w:tcPr>
            <w:tcW w:w="600" w:type="dxa"/>
            <w:vAlign w:val="bottom"/>
          </w:tcPr>
          <w:p>
            <w:pPr>
              <w:jc w:val="right"/>
              <w:ind w:right="54"/>
              <w:spacing w:after="0"/>
              <w:rPr>
                <w:sz w:val="20"/>
                <w:szCs w:val="20"/>
                <w:color w:val="auto"/>
              </w:rPr>
            </w:pPr>
            <w:r>
              <w:rPr>
                <w:rFonts w:ascii="Arial" w:cs="Arial" w:eastAsia="Arial" w:hAnsi="Arial"/>
                <w:sz w:val="14"/>
                <w:szCs w:val="14"/>
                <w:color w:val="auto"/>
              </w:rPr>
              <w:t>First</w:t>
            </w:r>
          </w:p>
        </w:tc>
        <w:tc>
          <w:tcPr>
            <w:tcW w:w="260" w:type="dxa"/>
            <w:vAlign w:val="bottom"/>
          </w:tcPr>
          <w:p>
            <w:pPr>
              <w:spacing w:after="0"/>
              <w:rPr>
                <w:sz w:val="14"/>
                <w:szCs w:val="14"/>
                <w:color w:val="auto"/>
              </w:rPr>
            </w:pPr>
          </w:p>
        </w:tc>
        <w:tc>
          <w:tcPr>
            <w:tcW w:w="620" w:type="dxa"/>
            <w:vAlign w:val="bottom"/>
          </w:tcPr>
          <w:p>
            <w:pPr>
              <w:jc w:val="right"/>
              <w:ind w:right="74"/>
              <w:spacing w:after="0"/>
              <w:rPr>
                <w:sz w:val="20"/>
                <w:szCs w:val="20"/>
                <w:color w:val="auto"/>
              </w:rPr>
            </w:pPr>
            <w:r>
              <w:rPr>
                <w:rFonts w:ascii="Arial" w:cs="Arial" w:eastAsia="Arial" w:hAnsi="Arial"/>
                <w:sz w:val="14"/>
                <w:szCs w:val="14"/>
                <w:color w:val="auto"/>
                <w:w w:val="92"/>
              </w:rPr>
              <w:t>Second</w:t>
            </w:r>
          </w:p>
        </w:tc>
        <w:tc>
          <w:tcPr>
            <w:tcW w:w="240" w:type="dxa"/>
            <w:vAlign w:val="bottom"/>
          </w:tcPr>
          <w:p>
            <w:pPr>
              <w:spacing w:after="0"/>
              <w:rPr>
                <w:sz w:val="14"/>
                <w:szCs w:val="14"/>
                <w:color w:val="auto"/>
              </w:rPr>
            </w:pPr>
          </w:p>
        </w:tc>
        <w:tc>
          <w:tcPr>
            <w:tcW w:w="620" w:type="dxa"/>
            <w:vAlign w:val="bottom"/>
          </w:tcPr>
          <w:p>
            <w:pPr>
              <w:jc w:val="right"/>
              <w:ind w:right="74"/>
              <w:spacing w:after="0"/>
              <w:rPr>
                <w:sz w:val="20"/>
                <w:szCs w:val="20"/>
                <w:color w:val="auto"/>
              </w:rPr>
            </w:pPr>
            <w:r>
              <w:rPr>
                <w:rFonts w:ascii="Arial" w:cs="Arial" w:eastAsia="Arial" w:hAnsi="Arial"/>
                <w:sz w:val="14"/>
                <w:szCs w:val="14"/>
                <w:color w:val="auto"/>
              </w:rPr>
              <w:t>Third</w:t>
            </w:r>
          </w:p>
        </w:tc>
        <w:tc>
          <w:tcPr>
            <w:tcW w:w="240" w:type="dxa"/>
            <w:vAlign w:val="bottom"/>
          </w:tcPr>
          <w:p>
            <w:pPr>
              <w:spacing w:after="0"/>
              <w:rPr>
                <w:sz w:val="14"/>
                <w:szCs w:val="14"/>
                <w:color w:val="auto"/>
              </w:rPr>
            </w:pPr>
          </w:p>
        </w:tc>
        <w:tc>
          <w:tcPr>
            <w:tcW w:w="760" w:type="dxa"/>
            <w:vAlign w:val="bottom"/>
          </w:tcPr>
          <w:p>
            <w:pPr>
              <w:jc w:val="right"/>
              <w:ind w:right="214"/>
              <w:spacing w:after="0"/>
              <w:rPr>
                <w:sz w:val="20"/>
                <w:szCs w:val="20"/>
                <w:color w:val="auto"/>
              </w:rPr>
            </w:pPr>
            <w:r>
              <w:rPr>
                <w:rFonts w:ascii="Arial" w:cs="Arial" w:eastAsia="Arial" w:hAnsi="Arial"/>
                <w:sz w:val="14"/>
                <w:szCs w:val="14"/>
                <w:color w:val="auto"/>
              </w:rPr>
              <w:t>Fourth</w:t>
            </w:r>
          </w:p>
        </w:tc>
        <w:tc>
          <w:tcPr>
            <w:tcW w:w="220" w:type="dxa"/>
            <w:vAlign w:val="bottom"/>
          </w:tcPr>
          <w:p>
            <w:pPr>
              <w:spacing w:after="0"/>
              <w:rPr>
                <w:sz w:val="14"/>
                <w:szCs w:val="14"/>
                <w:color w:val="auto"/>
              </w:rPr>
            </w:pPr>
          </w:p>
        </w:tc>
        <w:tc>
          <w:tcPr>
            <w:tcW w:w="540" w:type="dxa"/>
            <w:vAlign w:val="bottom"/>
          </w:tcPr>
          <w:p>
            <w:pPr>
              <w:jc w:val="right"/>
              <w:spacing w:after="0"/>
              <w:rPr>
                <w:sz w:val="20"/>
                <w:szCs w:val="20"/>
                <w:color w:val="auto"/>
              </w:rPr>
            </w:pPr>
            <w:r>
              <w:rPr>
                <w:rFonts w:ascii="Arial" w:cs="Arial" w:eastAsia="Arial" w:hAnsi="Arial"/>
                <w:sz w:val="14"/>
                <w:szCs w:val="14"/>
                <w:color w:val="auto"/>
              </w:rPr>
              <w:t>Total</w:t>
            </w:r>
          </w:p>
        </w:tc>
        <w:tc>
          <w:tcPr>
            <w:tcW w:w="0" w:type="dxa"/>
            <w:vAlign w:val="bottom"/>
          </w:tcPr>
          <w:p>
            <w:pPr>
              <w:spacing w:after="0"/>
              <w:rPr>
                <w:sz w:val="1"/>
                <w:szCs w:val="1"/>
                <w:color w:val="auto"/>
              </w:rPr>
            </w:pPr>
          </w:p>
        </w:tc>
      </w:tr>
      <w:tr>
        <w:trPr>
          <w:trHeight w:val="163"/>
        </w:trPr>
        <w:tc>
          <w:tcPr>
            <w:tcW w:w="6080" w:type="dxa"/>
            <w:vAlign w:val="bottom"/>
            <w:tcBorders>
              <w:bottom w:val="single" w:sz="8" w:color="auto"/>
            </w:tcBorders>
          </w:tcPr>
          <w:p>
            <w:pPr>
              <w:spacing w:after="0"/>
              <w:rPr>
                <w:sz w:val="20"/>
                <w:szCs w:val="20"/>
                <w:color w:val="auto"/>
              </w:rPr>
            </w:pPr>
            <w:r>
              <w:rPr>
                <w:rFonts w:ascii="Arial" w:cs="Arial" w:eastAsia="Arial" w:hAnsi="Arial"/>
                <w:sz w:val="14"/>
                <w:szCs w:val="14"/>
                <w:color w:val="auto"/>
              </w:rPr>
              <w:t>(in millions, except per share data)</w:t>
            </w:r>
          </w:p>
        </w:tc>
        <w:tc>
          <w:tcPr>
            <w:tcW w:w="1240" w:type="dxa"/>
            <w:vAlign w:val="bottom"/>
            <w:tcBorders>
              <w:bottom w:val="single" w:sz="8" w:color="auto"/>
            </w:tcBorders>
          </w:tcPr>
          <w:p>
            <w:pPr>
              <w:spacing w:after="0"/>
              <w:rPr>
                <w:sz w:val="14"/>
                <w:szCs w:val="14"/>
                <w:color w:val="auto"/>
              </w:rPr>
            </w:pPr>
          </w:p>
        </w:tc>
        <w:tc>
          <w:tcPr>
            <w:tcW w:w="600" w:type="dxa"/>
            <w:vAlign w:val="bottom"/>
            <w:tcBorders>
              <w:bottom w:val="single" w:sz="8" w:color="auto"/>
            </w:tcBorders>
          </w:tcPr>
          <w:p>
            <w:pPr>
              <w:jc w:val="right"/>
              <w:ind w:right="54"/>
              <w:spacing w:after="0"/>
              <w:rPr>
                <w:sz w:val="20"/>
                <w:szCs w:val="20"/>
                <w:color w:val="auto"/>
              </w:rPr>
            </w:pPr>
            <w:r>
              <w:rPr>
                <w:rFonts w:ascii="Arial" w:cs="Arial" w:eastAsia="Arial" w:hAnsi="Arial"/>
                <w:sz w:val="14"/>
                <w:szCs w:val="14"/>
                <w:color w:val="auto"/>
                <w:w w:val="92"/>
              </w:rPr>
              <w:t>Quarter</w:t>
            </w:r>
          </w:p>
        </w:tc>
        <w:tc>
          <w:tcPr>
            <w:tcW w:w="260" w:type="dxa"/>
            <w:vAlign w:val="bottom"/>
            <w:tcBorders>
              <w:bottom w:val="single" w:sz="8" w:color="auto"/>
            </w:tcBorders>
          </w:tcPr>
          <w:p>
            <w:pPr>
              <w:spacing w:after="0"/>
              <w:rPr>
                <w:sz w:val="14"/>
                <w:szCs w:val="14"/>
                <w:color w:val="auto"/>
              </w:rPr>
            </w:pPr>
          </w:p>
        </w:tc>
        <w:tc>
          <w:tcPr>
            <w:tcW w:w="620" w:type="dxa"/>
            <w:vAlign w:val="bottom"/>
            <w:tcBorders>
              <w:bottom w:val="single" w:sz="8" w:color="auto"/>
            </w:tcBorders>
          </w:tcPr>
          <w:p>
            <w:pPr>
              <w:jc w:val="right"/>
              <w:ind w:right="74"/>
              <w:spacing w:after="0"/>
              <w:rPr>
                <w:sz w:val="20"/>
                <w:szCs w:val="20"/>
                <w:color w:val="auto"/>
              </w:rPr>
            </w:pPr>
            <w:r>
              <w:rPr>
                <w:rFonts w:ascii="Arial" w:cs="Arial" w:eastAsia="Arial" w:hAnsi="Arial"/>
                <w:sz w:val="14"/>
                <w:szCs w:val="14"/>
                <w:color w:val="auto"/>
                <w:w w:val="92"/>
              </w:rPr>
              <w:t>Quarter</w:t>
            </w:r>
          </w:p>
        </w:tc>
        <w:tc>
          <w:tcPr>
            <w:tcW w:w="240" w:type="dxa"/>
            <w:vAlign w:val="bottom"/>
            <w:tcBorders>
              <w:bottom w:val="single" w:sz="8" w:color="auto"/>
            </w:tcBorders>
          </w:tcPr>
          <w:p>
            <w:pPr>
              <w:spacing w:after="0"/>
              <w:rPr>
                <w:sz w:val="14"/>
                <w:szCs w:val="14"/>
                <w:color w:val="auto"/>
              </w:rPr>
            </w:pPr>
          </w:p>
        </w:tc>
        <w:tc>
          <w:tcPr>
            <w:tcW w:w="620" w:type="dxa"/>
            <w:vAlign w:val="bottom"/>
            <w:tcBorders>
              <w:bottom w:val="single" w:sz="8" w:color="auto"/>
            </w:tcBorders>
          </w:tcPr>
          <w:p>
            <w:pPr>
              <w:jc w:val="right"/>
              <w:ind w:right="74"/>
              <w:spacing w:after="0"/>
              <w:rPr>
                <w:sz w:val="20"/>
                <w:szCs w:val="20"/>
                <w:color w:val="auto"/>
              </w:rPr>
            </w:pPr>
            <w:r>
              <w:rPr>
                <w:rFonts w:ascii="Arial" w:cs="Arial" w:eastAsia="Arial" w:hAnsi="Arial"/>
                <w:sz w:val="14"/>
                <w:szCs w:val="14"/>
                <w:color w:val="auto"/>
                <w:w w:val="92"/>
              </w:rPr>
              <w:t>Quarter</w:t>
            </w:r>
          </w:p>
        </w:tc>
        <w:tc>
          <w:tcPr>
            <w:tcW w:w="240" w:type="dxa"/>
            <w:vAlign w:val="bottom"/>
            <w:tcBorders>
              <w:bottom w:val="single" w:sz="8" w:color="auto"/>
            </w:tcBorders>
          </w:tcPr>
          <w:p>
            <w:pPr>
              <w:spacing w:after="0"/>
              <w:rPr>
                <w:sz w:val="14"/>
                <w:szCs w:val="14"/>
                <w:color w:val="auto"/>
              </w:rPr>
            </w:pPr>
          </w:p>
        </w:tc>
        <w:tc>
          <w:tcPr>
            <w:tcW w:w="760" w:type="dxa"/>
            <w:vAlign w:val="bottom"/>
            <w:tcBorders>
              <w:bottom w:val="single" w:sz="8" w:color="auto"/>
            </w:tcBorders>
          </w:tcPr>
          <w:p>
            <w:pPr>
              <w:jc w:val="right"/>
              <w:ind w:right="214"/>
              <w:spacing w:after="0"/>
              <w:rPr>
                <w:sz w:val="20"/>
                <w:szCs w:val="20"/>
                <w:color w:val="auto"/>
              </w:rPr>
            </w:pPr>
            <w:r>
              <w:rPr>
                <w:rFonts w:ascii="Arial" w:cs="Arial" w:eastAsia="Arial" w:hAnsi="Arial"/>
                <w:sz w:val="14"/>
                <w:szCs w:val="14"/>
                <w:color w:val="auto"/>
                <w:w w:val="92"/>
              </w:rPr>
              <w:t>Quarter</w:t>
            </w:r>
          </w:p>
        </w:tc>
        <w:tc>
          <w:tcPr>
            <w:tcW w:w="220" w:type="dxa"/>
            <w:vAlign w:val="bottom"/>
            <w:tcBorders>
              <w:bottom w:val="single" w:sz="8" w:color="auto"/>
            </w:tcBorders>
          </w:tcPr>
          <w:p>
            <w:pPr>
              <w:spacing w:after="0"/>
              <w:rPr>
                <w:sz w:val="14"/>
                <w:szCs w:val="14"/>
                <w:color w:val="auto"/>
              </w:rPr>
            </w:pPr>
          </w:p>
        </w:tc>
        <w:tc>
          <w:tcPr>
            <w:tcW w:w="54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Year</w:t>
            </w:r>
          </w:p>
        </w:tc>
        <w:tc>
          <w:tcPr>
            <w:tcW w:w="0" w:type="dxa"/>
            <w:vAlign w:val="bottom"/>
          </w:tcPr>
          <w:p>
            <w:pPr>
              <w:spacing w:after="0"/>
              <w:rPr>
                <w:sz w:val="1"/>
                <w:szCs w:val="1"/>
                <w:color w:val="auto"/>
              </w:rPr>
            </w:pPr>
          </w:p>
        </w:tc>
      </w:tr>
      <w:tr>
        <w:trPr>
          <w:trHeight w:val="199"/>
        </w:trPr>
        <w:tc>
          <w:tcPr>
            <w:tcW w:w="6080" w:type="dxa"/>
            <w:vAlign w:val="bottom"/>
          </w:tcPr>
          <w:p>
            <w:pPr>
              <w:spacing w:after="0" w:line="200" w:lineRule="exact"/>
              <w:rPr>
                <w:sz w:val="20"/>
                <w:szCs w:val="20"/>
                <w:color w:val="auto"/>
              </w:rPr>
            </w:pPr>
            <w:r>
              <w:rPr>
                <w:rFonts w:ascii="Arial" w:cs="Arial" w:eastAsia="Arial" w:hAnsi="Arial"/>
                <w:sz w:val="18"/>
                <w:szCs w:val="18"/>
                <w:b w:val="1"/>
                <w:bCs w:val="1"/>
                <w:color w:val="auto"/>
              </w:rPr>
              <w:t>2006</w:t>
            </w:r>
          </w:p>
        </w:tc>
        <w:tc>
          <w:tcPr>
            <w:tcW w:w="1240" w:type="dxa"/>
            <w:vAlign w:val="bottom"/>
            <w:vMerge w:val="restart"/>
          </w:tcPr>
          <w:p>
            <w:pPr>
              <w:jc w:val="right"/>
              <w:spacing w:after="0"/>
              <w:rPr>
                <w:sz w:val="20"/>
                <w:szCs w:val="20"/>
                <w:color w:val="auto"/>
              </w:rPr>
            </w:pPr>
            <w:r>
              <w:rPr>
                <w:rFonts w:ascii="Arial" w:cs="Arial" w:eastAsia="Arial" w:hAnsi="Arial"/>
                <w:sz w:val="18"/>
                <w:szCs w:val="18"/>
                <w:b w:val="1"/>
                <w:bCs w:val="1"/>
                <w:color w:val="auto"/>
              </w:rPr>
              <w:t>$</w:t>
            </w:r>
          </w:p>
        </w:tc>
        <w:tc>
          <w:tcPr>
            <w:tcW w:w="600" w:type="dxa"/>
            <w:vAlign w:val="bottom"/>
            <w:vMerge w:val="restart"/>
          </w:tcPr>
          <w:p>
            <w:pPr>
              <w:jc w:val="right"/>
              <w:ind w:right="54"/>
              <w:spacing w:after="0"/>
              <w:rPr>
                <w:sz w:val="20"/>
                <w:szCs w:val="20"/>
                <w:color w:val="auto"/>
              </w:rPr>
            </w:pPr>
            <w:r>
              <w:rPr>
                <w:rFonts w:ascii="Arial" w:cs="Arial" w:eastAsia="Arial" w:hAnsi="Arial"/>
                <w:sz w:val="18"/>
                <w:szCs w:val="18"/>
                <w:b w:val="1"/>
                <w:bCs w:val="1"/>
                <w:color w:val="auto"/>
                <w:w w:val="97"/>
              </w:rPr>
              <w:t>5,595</w:t>
            </w:r>
          </w:p>
        </w:tc>
        <w:tc>
          <w:tcPr>
            <w:tcW w:w="260" w:type="dxa"/>
            <w:vAlign w:val="bottom"/>
            <w:vMerge w:val="restart"/>
          </w:tcPr>
          <w:p>
            <w:pPr>
              <w:jc w:val="right"/>
              <w:spacing w:after="0"/>
              <w:rPr>
                <w:sz w:val="20"/>
                <w:szCs w:val="20"/>
                <w:color w:val="auto"/>
              </w:rPr>
            </w:pPr>
            <w:r>
              <w:rPr>
                <w:rFonts w:ascii="Arial" w:cs="Arial" w:eastAsia="Arial" w:hAnsi="Arial"/>
                <w:sz w:val="18"/>
                <w:szCs w:val="18"/>
                <w:b w:val="1"/>
                <w:bCs w:val="1"/>
                <w:color w:val="auto"/>
              </w:rPr>
              <w:t>$</w:t>
            </w:r>
          </w:p>
        </w:tc>
        <w:tc>
          <w:tcPr>
            <w:tcW w:w="620" w:type="dxa"/>
            <w:vAlign w:val="bottom"/>
            <w:vMerge w:val="restart"/>
          </w:tcPr>
          <w:p>
            <w:pPr>
              <w:jc w:val="right"/>
              <w:ind w:right="74"/>
              <w:spacing w:after="0"/>
              <w:rPr>
                <w:sz w:val="20"/>
                <w:szCs w:val="20"/>
                <w:color w:val="auto"/>
              </w:rPr>
            </w:pPr>
            <w:r>
              <w:rPr>
                <w:rFonts w:ascii="Arial" w:cs="Arial" w:eastAsia="Arial" w:hAnsi="Arial"/>
                <w:sz w:val="18"/>
                <w:szCs w:val="18"/>
                <w:b w:val="1"/>
                <w:bCs w:val="1"/>
                <w:color w:val="auto"/>
                <w:w w:val="97"/>
              </w:rPr>
              <w:t>5,908</w:t>
            </w:r>
          </w:p>
        </w:tc>
        <w:tc>
          <w:tcPr>
            <w:tcW w:w="240" w:type="dxa"/>
            <w:vAlign w:val="bottom"/>
            <w:vMerge w:val="restart"/>
          </w:tcPr>
          <w:p>
            <w:pPr>
              <w:jc w:val="right"/>
              <w:spacing w:after="0"/>
              <w:rPr>
                <w:sz w:val="20"/>
                <w:szCs w:val="20"/>
                <w:color w:val="auto"/>
              </w:rPr>
            </w:pPr>
            <w:r>
              <w:rPr>
                <w:rFonts w:ascii="Arial" w:cs="Arial" w:eastAsia="Arial" w:hAnsi="Arial"/>
                <w:sz w:val="18"/>
                <w:szCs w:val="18"/>
                <w:b w:val="1"/>
                <w:bCs w:val="1"/>
                <w:color w:val="auto"/>
              </w:rPr>
              <w:t>$</w:t>
            </w:r>
          </w:p>
        </w:tc>
        <w:tc>
          <w:tcPr>
            <w:tcW w:w="620" w:type="dxa"/>
            <w:vAlign w:val="bottom"/>
            <w:vMerge w:val="restart"/>
          </w:tcPr>
          <w:p>
            <w:pPr>
              <w:jc w:val="right"/>
              <w:ind w:right="74"/>
              <w:spacing w:after="0"/>
              <w:rPr>
                <w:sz w:val="20"/>
                <w:szCs w:val="20"/>
                <w:color w:val="auto"/>
              </w:rPr>
            </w:pPr>
            <w:r>
              <w:rPr>
                <w:rFonts w:ascii="Arial" w:cs="Arial" w:eastAsia="Arial" w:hAnsi="Arial"/>
                <w:sz w:val="18"/>
                <w:szCs w:val="18"/>
                <w:b w:val="1"/>
                <w:bCs w:val="1"/>
                <w:color w:val="auto"/>
                <w:w w:val="97"/>
              </w:rPr>
              <w:t>6,432</w:t>
            </w:r>
          </w:p>
        </w:tc>
        <w:tc>
          <w:tcPr>
            <w:tcW w:w="240" w:type="dxa"/>
            <w:vAlign w:val="bottom"/>
            <w:vMerge w:val="restart"/>
          </w:tcPr>
          <w:p>
            <w:pPr>
              <w:jc w:val="right"/>
              <w:spacing w:after="0"/>
              <w:rPr>
                <w:sz w:val="20"/>
                <w:szCs w:val="20"/>
                <w:color w:val="auto"/>
              </w:rPr>
            </w:pPr>
            <w:r>
              <w:rPr>
                <w:rFonts w:ascii="Arial" w:cs="Arial" w:eastAsia="Arial" w:hAnsi="Arial"/>
                <w:sz w:val="18"/>
                <w:szCs w:val="18"/>
                <w:b w:val="1"/>
                <w:bCs w:val="1"/>
                <w:color w:val="auto"/>
              </w:rPr>
              <w:t>$</w:t>
            </w:r>
          </w:p>
        </w:tc>
        <w:tc>
          <w:tcPr>
            <w:tcW w:w="760" w:type="dxa"/>
            <w:vAlign w:val="bottom"/>
            <w:vMerge w:val="restart"/>
          </w:tcPr>
          <w:p>
            <w:pPr>
              <w:jc w:val="right"/>
              <w:ind w:right="214"/>
              <w:spacing w:after="0"/>
              <w:rPr>
                <w:sz w:val="20"/>
                <w:szCs w:val="20"/>
                <w:color w:val="auto"/>
              </w:rPr>
            </w:pPr>
            <w:r>
              <w:rPr>
                <w:rFonts w:ascii="Arial" w:cs="Arial" w:eastAsia="Arial" w:hAnsi="Arial"/>
                <w:sz w:val="18"/>
                <w:szCs w:val="18"/>
                <w:b w:val="1"/>
                <w:bCs w:val="1"/>
                <w:color w:val="auto"/>
                <w:w w:val="97"/>
              </w:rPr>
              <w:t>7,031</w:t>
            </w:r>
          </w:p>
        </w:tc>
        <w:tc>
          <w:tcPr>
            <w:tcW w:w="220" w:type="dxa"/>
            <w:vAlign w:val="bottom"/>
            <w:vMerge w:val="restart"/>
          </w:tcPr>
          <w:p>
            <w:pPr>
              <w:jc w:val="right"/>
              <w:spacing w:after="0"/>
              <w:rPr>
                <w:sz w:val="20"/>
                <w:szCs w:val="20"/>
                <w:color w:val="auto"/>
              </w:rPr>
            </w:pPr>
            <w:r>
              <w:rPr>
                <w:rFonts w:ascii="Arial" w:cs="Arial" w:eastAsia="Arial" w:hAnsi="Arial"/>
                <w:sz w:val="18"/>
                <w:szCs w:val="18"/>
                <w:b w:val="1"/>
                <w:bCs w:val="1"/>
                <w:color w:val="auto"/>
              </w:rPr>
              <w:t>$</w:t>
            </w:r>
          </w:p>
        </w:tc>
        <w:tc>
          <w:tcPr>
            <w:tcW w:w="540" w:type="dxa"/>
            <w:vAlign w:val="bottom"/>
            <w:vMerge w:val="restart"/>
          </w:tcPr>
          <w:p>
            <w:pPr>
              <w:jc w:val="right"/>
              <w:spacing w:after="0"/>
              <w:rPr>
                <w:sz w:val="20"/>
                <w:szCs w:val="20"/>
                <w:color w:val="auto"/>
              </w:rPr>
            </w:pPr>
            <w:r>
              <w:rPr>
                <w:rFonts w:ascii="Arial" w:cs="Arial" w:eastAsia="Arial" w:hAnsi="Arial"/>
                <w:sz w:val="18"/>
                <w:szCs w:val="18"/>
                <w:b w:val="1"/>
                <w:bCs w:val="1"/>
                <w:color w:val="auto"/>
                <w:w w:val="94"/>
              </w:rPr>
              <w:t>24,966</w:t>
            </w:r>
          </w:p>
        </w:tc>
        <w:tc>
          <w:tcPr>
            <w:tcW w:w="0" w:type="dxa"/>
            <w:vAlign w:val="bottom"/>
          </w:tcPr>
          <w:p>
            <w:pPr>
              <w:spacing w:after="0"/>
              <w:rPr>
                <w:sz w:val="1"/>
                <w:szCs w:val="1"/>
                <w:color w:val="auto"/>
              </w:rPr>
            </w:pPr>
          </w:p>
        </w:tc>
      </w:tr>
      <w:tr>
        <w:trPr>
          <w:trHeight w:val="181"/>
        </w:trPr>
        <w:tc>
          <w:tcPr>
            <w:tcW w:w="6080" w:type="dxa"/>
            <w:vAlign w:val="bottom"/>
          </w:tcPr>
          <w:p>
            <w:pPr>
              <w:spacing w:after="0" w:line="181" w:lineRule="exact"/>
              <w:rPr>
                <w:sz w:val="20"/>
                <w:szCs w:val="20"/>
                <w:color w:val="auto"/>
              </w:rPr>
            </w:pPr>
            <w:r>
              <w:rPr>
                <w:rFonts w:ascii="Arial" w:cs="Arial" w:eastAsia="Arial" w:hAnsi="Arial"/>
                <w:sz w:val="18"/>
                <w:szCs w:val="18"/>
                <w:color w:val="auto"/>
              </w:rPr>
              <w:t>Revenues</w:t>
            </w:r>
          </w:p>
        </w:tc>
        <w:tc>
          <w:tcPr>
            <w:tcW w:w="1240" w:type="dxa"/>
            <w:vAlign w:val="bottom"/>
            <w:vMerge w:val="continue"/>
          </w:tcPr>
          <w:p>
            <w:pPr>
              <w:spacing w:after="0"/>
              <w:rPr>
                <w:sz w:val="15"/>
                <w:szCs w:val="15"/>
                <w:color w:val="auto"/>
              </w:rPr>
            </w:pPr>
          </w:p>
        </w:tc>
        <w:tc>
          <w:tcPr>
            <w:tcW w:w="600" w:type="dxa"/>
            <w:vAlign w:val="bottom"/>
            <w:vMerge w:val="continue"/>
          </w:tcPr>
          <w:p>
            <w:pPr>
              <w:spacing w:after="0"/>
              <w:rPr>
                <w:sz w:val="15"/>
                <w:szCs w:val="15"/>
                <w:color w:val="auto"/>
              </w:rPr>
            </w:pPr>
          </w:p>
        </w:tc>
        <w:tc>
          <w:tcPr>
            <w:tcW w:w="260" w:type="dxa"/>
            <w:vAlign w:val="bottom"/>
            <w:vMerge w:val="continue"/>
          </w:tcPr>
          <w:p>
            <w:pPr>
              <w:spacing w:after="0"/>
              <w:rPr>
                <w:sz w:val="15"/>
                <w:szCs w:val="15"/>
                <w:color w:val="auto"/>
              </w:rPr>
            </w:pPr>
          </w:p>
        </w:tc>
        <w:tc>
          <w:tcPr>
            <w:tcW w:w="620" w:type="dxa"/>
            <w:vAlign w:val="bottom"/>
            <w:vMerge w:val="continue"/>
          </w:tcPr>
          <w:p>
            <w:pPr>
              <w:spacing w:after="0"/>
              <w:rPr>
                <w:sz w:val="15"/>
                <w:szCs w:val="15"/>
                <w:color w:val="auto"/>
              </w:rPr>
            </w:pPr>
          </w:p>
        </w:tc>
        <w:tc>
          <w:tcPr>
            <w:tcW w:w="240" w:type="dxa"/>
            <w:vAlign w:val="bottom"/>
            <w:vMerge w:val="continue"/>
          </w:tcPr>
          <w:p>
            <w:pPr>
              <w:spacing w:after="0"/>
              <w:rPr>
                <w:sz w:val="15"/>
                <w:szCs w:val="15"/>
                <w:color w:val="auto"/>
              </w:rPr>
            </w:pPr>
          </w:p>
        </w:tc>
        <w:tc>
          <w:tcPr>
            <w:tcW w:w="620" w:type="dxa"/>
            <w:vAlign w:val="bottom"/>
            <w:vMerge w:val="continue"/>
          </w:tcPr>
          <w:p>
            <w:pPr>
              <w:spacing w:after="0"/>
              <w:rPr>
                <w:sz w:val="15"/>
                <w:szCs w:val="15"/>
                <w:color w:val="auto"/>
              </w:rPr>
            </w:pPr>
          </w:p>
        </w:tc>
        <w:tc>
          <w:tcPr>
            <w:tcW w:w="240" w:type="dxa"/>
            <w:vAlign w:val="bottom"/>
            <w:vMerge w:val="continue"/>
          </w:tcPr>
          <w:p>
            <w:pPr>
              <w:spacing w:after="0"/>
              <w:rPr>
                <w:sz w:val="15"/>
                <w:szCs w:val="15"/>
                <w:color w:val="auto"/>
              </w:rPr>
            </w:pPr>
          </w:p>
        </w:tc>
        <w:tc>
          <w:tcPr>
            <w:tcW w:w="760" w:type="dxa"/>
            <w:vAlign w:val="bottom"/>
            <w:vMerge w:val="continue"/>
          </w:tcPr>
          <w:p>
            <w:pPr>
              <w:spacing w:after="0"/>
              <w:rPr>
                <w:sz w:val="15"/>
                <w:szCs w:val="15"/>
                <w:color w:val="auto"/>
              </w:rPr>
            </w:pPr>
          </w:p>
        </w:tc>
        <w:tc>
          <w:tcPr>
            <w:tcW w:w="220" w:type="dxa"/>
            <w:vAlign w:val="bottom"/>
            <w:vMerge w:val="continue"/>
          </w:tcPr>
          <w:p>
            <w:pPr>
              <w:spacing w:after="0"/>
              <w:rPr>
                <w:sz w:val="15"/>
                <w:szCs w:val="15"/>
                <w:color w:val="auto"/>
              </w:rPr>
            </w:pPr>
          </w:p>
        </w:tc>
        <w:tc>
          <w:tcPr>
            <w:tcW w:w="540" w:type="dxa"/>
            <w:vAlign w:val="bottom"/>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203"/>
        </w:trPr>
        <w:tc>
          <w:tcPr>
            <w:tcW w:w="6080" w:type="dxa"/>
            <w:vAlign w:val="bottom"/>
          </w:tcPr>
          <w:p>
            <w:pPr>
              <w:spacing w:after="0" w:line="202" w:lineRule="exact"/>
              <w:rPr>
                <w:sz w:val="20"/>
                <w:szCs w:val="20"/>
                <w:color w:val="auto"/>
              </w:rPr>
            </w:pPr>
            <w:r>
              <w:rPr>
                <w:rFonts w:ascii="Arial" w:cs="Arial" w:eastAsia="Arial" w:hAnsi="Arial"/>
                <w:sz w:val="18"/>
                <w:szCs w:val="18"/>
                <w:color w:val="auto"/>
              </w:rPr>
              <w:t>Operating income</w:t>
            </w:r>
          </w:p>
        </w:tc>
        <w:tc>
          <w:tcPr>
            <w:tcW w:w="1240" w:type="dxa"/>
            <w:vAlign w:val="bottom"/>
          </w:tcPr>
          <w:p>
            <w:pPr>
              <w:spacing w:after="0"/>
              <w:rPr>
                <w:sz w:val="17"/>
                <w:szCs w:val="17"/>
                <w:color w:val="auto"/>
              </w:rPr>
            </w:pPr>
          </w:p>
        </w:tc>
        <w:tc>
          <w:tcPr>
            <w:tcW w:w="600" w:type="dxa"/>
            <w:vAlign w:val="bottom"/>
          </w:tcPr>
          <w:p>
            <w:pPr>
              <w:jc w:val="right"/>
              <w:ind w:right="54"/>
              <w:spacing w:after="0" w:line="202" w:lineRule="exact"/>
              <w:rPr>
                <w:sz w:val="20"/>
                <w:szCs w:val="20"/>
                <w:color w:val="auto"/>
              </w:rPr>
            </w:pPr>
            <w:r>
              <w:rPr>
                <w:rFonts w:ascii="Arial" w:cs="Arial" w:eastAsia="Arial" w:hAnsi="Arial"/>
                <w:sz w:val="18"/>
                <w:szCs w:val="18"/>
                <w:b w:val="1"/>
                <w:bCs w:val="1"/>
                <w:color w:val="auto"/>
                <w:w w:val="97"/>
              </w:rPr>
              <w:t>1,004</w:t>
            </w:r>
          </w:p>
        </w:tc>
        <w:tc>
          <w:tcPr>
            <w:tcW w:w="260" w:type="dxa"/>
            <w:vAlign w:val="bottom"/>
          </w:tcPr>
          <w:p>
            <w:pPr>
              <w:spacing w:after="0"/>
              <w:rPr>
                <w:sz w:val="17"/>
                <w:szCs w:val="17"/>
                <w:color w:val="auto"/>
              </w:rPr>
            </w:pPr>
          </w:p>
        </w:tc>
        <w:tc>
          <w:tcPr>
            <w:tcW w:w="620" w:type="dxa"/>
            <w:vAlign w:val="bottom"/>
          </w:tcPr>
          <w:p>
            <w:pPr>
              <w:jc w:val="right"/>
              <w:ind w:right="74"/>
              <w:spacing w:after="0" w:line="202" w:lineRule="exact"/>
              <w:rPr>
                <w:sz w:val="20"/>
                <w:szCs w:val="20"/>
                <w:color w:val="auto"/>
              </w:rPr>
            </w:pPr>
            <w:r>
              <w:rPr>
                <w:rFonts w:ascii="Arial" w:cs="Arial" w:eastAsia="Arial" w:hAnsi="Arial"/>
                <w:sz w:val="18"/>
                <w:szCs w:val="18"/>
                <w:b w:val="1"/>
                <w:bCs w:val="1"/>
                <w:color w:val="auto"/>
                <w:w w:val="97"/>
              </w:rPr>
              <w:t>1,173</w:t>
            </w:r>
          </w:p>
        </w:tc>
        <w:tc>
          <w:tcPr>
            <w:tcW w:w="240" w:type="dxa"/>
            <w:vAlign w:val="bottom"/>
          </w:tcPr>
          <w:p>
            <w:pPr>
              <w:spacing w:after="0"/>
              <w:rPr>
                <w:sz w:val="17"/>
                <w:szCs w:val="17"/>
                <w:color w:val="auto"/>
              </w:rPr>
            </w:pPr>
          </w:p>
        </w:tc>
        <w:tc>
          <w:tcPr>
            <w:tcW w:w="620" w:type="dxa"/>
            <w:vAlign w:val="bottom"/>
          </w:tcPr>
          <w:p>
            <w:pPr>
              <w:jc w:val="right"/>
              <w:ind w:right="74"/>
              <w:spacing w:after="0" w:line="202" w:lineRule="exact"/>
              <w:rPr>
                <w:sz w:val="20"/>
                <w:szCs w:val="20"/>
                <w:color w:val="auto"/>
              </w:rPr>
            </w:pPr>
            <w:r>
              <w:rPr>
                <w:rFonts w:ascii="Arial" w:cs="Arial" w:eastAsia="Arial" w:hAnsi="Arial"/>
                <w:sz w:val="18"/>
                <w:szCs w:val="18"/>
                <w:b w:val="1"/>
                <w:bCs w:val="1"/>
                <w:color w:val="auto"/>
                <w:w w:val="97"/>
              </w:rPr>
              <w:t>1,224</w:t>
            </w:r>
          </w:p>
        </w:tc>
        <w:tc>
          <w:tcPr>
            <w:tcW w:w="240" w:type="dxa"/>
            <w:vAlign w:val="bottom"/>
          </w:tcPr>
          <w:p>
            <w:pPr>
              <w:spacing w:after="0"/>
              <w:rPr>
                <w:sz w:val="17"/>
                <w:szCs w:val="17"/>
                <w:color w:val="auto"/>
              </w:rPr>
            </w:pPr>
          </w:p>
        </w:tc>
        <w:tc>
          <w:tcPr>
            <w:tcW w:w="760" w:type="dxa"/>
            <w:vAlign w:val="bottom"/>
          </w:tcPr>
          <w:p>
            <w:pPr>
              <w:jc w:val="right"/>
              <w:ind w:right="214"/>
              <w:spacing w:after="0" w:line="202" w:lineRule="exact"/>
              <w:rPr>
                <w:sz w:val="20"/>
                <w:szCs w:val="20"/>
                <w:color w:val="auto"/>
              </w:rPr>
            </w:pPr>
            <w:r>
              <w:rPr>
                <w:rFonts w:ascii="Arial" w:cs="Arial" w:eastAsia="Arial" w:hAnsi="Arial"/>
                <w:sz w:val="18"/>
                <w:szCs w:val="18"/>
                <w:b w:val="1"/>
                <w:bCs w:val="1"/>
                <w:color w:val="auto"/>
                <w:w w:val="97"/>
              </w:rPr>
              <w:t>1,218</w:t>
            </w:r>
          </w:p>
        </w:tc>
        <w:tc>
          <w:tcPr>
            <w:tcW w:w="220" w:type="dxa"/>
            <w:vAlign w:val="bottom"/>
          </w:tcPr>
          <w:p>
            <w:pPr>
              <w:spacing w:after="0"/>
              <w:rPr>
                <w:sz w:val="17"/>
                <w:szCs w:val="17"/>
                <w:color w:val="auto"/>
              </w:rPr>
            </w:pPr>
          </w:p>
        </w:tc>
        <w:tc>
          <w:tcPr>
            <w:tcW w:w="540" w:type="dxa"/>
            <w:vAlign w:val="bottom"/>
          </w:tcPr>
          <w:p>
            <w:pPr>
              <w:jc w:val="right"/>
              <w:spacing w:after="0" w:line="202" w:lineRule="exact"/>
              <w:rPr>
                <w:sz w:val="20"/>
                <w:szCs w:val="20"/>
                <w:color w:val="auto"/>
              </w:rPr>
            </w:pPr>
            <w:r>
              <w:rPr>
                <w:rFonts w:ascii="Arial" w:cs="Arial" w:eastAsia="Arial" w:hAnsi="Arial"/>
                <w:sz w:val="18"/>
                <w:szCs w:val="18"/>
                <w:b w:val="1"/>
                <w:bCs w:val="1"/>
                <w:color w:val="auto"/>
              </w:rPr>
              <w:t>4,619</w:t>
            </w:r>
          </w:p>
        </w:tc>
        <w:tc>
          <w:tcPr>
            <w:tcW w:w="0" w:type="dxa"/>
            <w:vAlign w:val="bottom"/>
          </w:tcPr>
          <w:p>
            <w:pPr>
              <w:spacing w:after="0"/>
              <w:rPr>
                <w:sz w:val="1"/>
                <w:szCs w:val="1"/>
                <w:color w:val="auto"/>
              </w:rPr>
            </w:pPr>
          </w:p>
        </w:tc>
      </w:tr>
      <w:tr>
        <w:trPr>
          <w:trHeight w:val="203"/>
        </w:trPr>
        <w:tc>
          <w:tcPr>
            <w:tcW w:w="6080" w:type="dxa"/>
            <w:vAlign w:val="bottom"/>
          </w:tcPr>
          <w:p>
            <w:pPr>
              <w:spacing w:after="0" w:line="202" w:lineRule="exact"/>
              <w:rPr>
                <w:sz w:val="20"/>
                <w:szCs w:val="20"/>
                <w:color w:val="auto"/>
              </w:rPr>
            </w:pPr>
            <w:r>
              <w:rPr>
                <w:rFonts w:ascii="Arial" w:cs="Arial" w:eastAsia="Arial" w:hAnsi="Arial"/>
                <w:sz w:val="18"/>
                <w:szCs w:val="18"/>
                <w:color w:val="auto"/>
              </w:rPr>
              <w:t>Income from continuing operations</w:t>
            </w:r>
          </w:p>
        </w:tc>
        <w:tc>
          <w:tcPr>
            <w:tcW w:w="1240" w:type="dxa"/>
            <w:vAlign w:val="bottom"/>
          </w:tcPr>
          <w:p>
            <w:pPr>
              <w:spacing w:after="0"/>
              <w:rPr>
                <w:sz w:val="17"/>
                <w:szCs w:val="17"/>
                <w:color w:val="auto"/>
              </w:rPr>
            </w:pPr>
          </w:p>
        </w:tc>
        <w:tc>
          <w:tcPr>
            <w:tcW w:w="600" w:type="dxa"/>
            <w:vAlign w:val="bottom"/>
          </w:tcPr>
          <w:p>
            <w:pPr>
              <w:jc w:val="right"/>
              <w:ind w:right="54"/>
              <w:spacing w:after="0" w:line="202" w:lineRule="exact"/>
              <w:rPr>
                <w:sz w:val="20"/>
                <w:szCs w:val="20"/>
                <w:color w:val="auto"/>
              </w:rPr>
            </w:pPr>
            <w:r>
              <w:rPr>
                <w:rFonts w:ascii="Arial" w:cs="Arial" w:eastAsia="Arial" w:hAnsi="Arial"/>
                <w:sz w:val="18"/>
                <w:szCs w:val="18"/>
                <w:b w:val="1"/>
                <w:bCs w:val="1"/>
                <w:color w:val="auto"/>
              </w:rPr>
              <w:t>438</w:t>
            </w:r>
          </w:p>
        </w:tc>
        <w:tc>
          <w:tcPr>
            <w:tcW w:w="260" w:type="dxa"/>
            <w:vAlign w:val="bottom"/>
          </w:tcPr>
          <w:p>
            <w:pPr>
              <w:spacing w:after="0"/>
              <w:rPr>
                <w:sz w:val="17"/>
                <w:szCs w:val="17"/>
                <w:color w:val="auto"/>
              </w:rPr>
            </w:pPr>
          </w:p>
        </w:tc>
        <w:tc>
          <w:tcPr>
            <w:tcW w:w="620" w:type="dxa"/>
            <w:vAlign w:val="bottom"/>
          </w:tcPr>
          <w:p>
            <w:pPr>
              <w:jc w:val="right"/>
              <w:ind w:right="74"/>
              <w:spacing w:after="0" w:line="202" w:lineRule="exact"/>
              <w:rPr>
                <w:sz w:val="20"/>
                <w:szCs w:val="20"/>
                <w:color w:val="auto"/>
              </w:rPr>
            </w:pPr>
            <w:r>
              <w:rPr>
                <w:rFonts w:ascii="Arial" w:cs="Arial" w:eastAsia="Arial" w:hAnsi="Arial"/>
                <w:sz w:val="18"/>
                <w:szCs w:val="18"/>
                <w:b w:val="1"/>
                <w:bCs w:val="1"/>
                <w:color w:val="auto"/>
              </w:rPr>
              <w:t>399</w:t>
            </w:r>
          </w:p>
        </w:tc>
        <w:tc>
          <w:tcPr>
            <w:tcW w:w="240" w:type="dxa"/>
            <w:vAlign w:val="bottom"/>
          </w:tcPr>
          <w:p>
            <w:pPr>
              <w:spacing w:after="0"/>
              <w:rPr>
                <w:sz w:val="17"/>
                <w:szCs w:val="17"/>
                <w:color w:val="auto"/>
              </w:rPr>
            </w:pPr>
          </w:p>
        </w:tc>
        <w:tc>
          <w:tcPr>
            <w:tcW w:w="620" w:type="dxa"/>
            <w:vAlign w:val="bottom"/>
          </w:tcPr>
          <w:p>
            <w:pPr>
              <w:jc w:val="right"/>
              <w:ind w:right="74"/>
              <w:spacing w:after="0" w:line="202" w:lineRule="exact"/>
              <w:rPr>
                <w:sz w:val="20"/>
                <w:szCs w:val="20"/>
                <w:color w:val="auto"/>
              </w:rPr>
            </w:pPr>
            <w:r>
              <w:rPr>
                <w:rFonts w:ascii="Arial" w:cs="Arial" w:eastAsia="Arial" w:hAnsi="Arial"/>
                <w:sz w:val="18"/>
                <w:szCs w:val="18"/>
                <w:b w:val="1"/>
                <w:bCs w:val="1"/>
                <w:color w:val="auto"/>
              </w:rPr>
              <w:t>969</w:t>
            </w:r>
          </w:p>
        </w:tc>
        <w:tc>
          <w:tcPr>
            <w:tcW w:w="240" w:type="dxa"/>
            <w:vAlign w:val="bottom"/>
          </w:tcPr>
          <w:p>
            <w:pPr>
              <w:spacing w:after="0"/>
              <w:rPr>
                <w:sz w:val="17"/>
                <w:szCs w:val="17"/>
                <w:color w:val="auto"/>
              </w:rPr>
            </w:pPr>
          </w:p>
        </w:tc>
        <w:tc>
          <w:tcPr>
            <w:tcW w:w="760" w:type="dxa"/>
            <w:vAlign w:val="bottom"/>
          </w:tcPr>
          <w:p>
            <w:pPr>
              <w:ind w:left="180"/>
              <w:spacing w:after="0" w:line="202" w:lineRule="exact"/>
              <w:rPr>
                <w:sz w:val="20"/>
                <w:szCs w:val="20"/>
                <w:color w:val="auto"/>
              </w:rPr>
            </w:pPr>
            <w:r>
              <w:rPr>
                <w:rFonts w:ascii="Arial" w:cs="Arial" w:eastAsia="Arial" w:hAnsi="Arial"/>
                <w:sz w:val="18"/>
                <w:szCs w:val="18"/>
                <w:b w:val="1"/>
                <w:bCs w:val="1"/>
                <w:color w:val="auto"/>
              </w:rPr>
              <w:t>429</w:t>
            </w:r>
            <w:r>
              <w:rPr>
                <w:rFonts w:ascii="Arial" w:cs="Arial" w:eastAsia="Arial" w:hAnsi="Arial"/>
                <w:sz w:val="11"/>
                <w:szCs w:val="11"/>
                <w:b w:val="1"/>
                <w:bCs w:val="1"/>
                <w:color w:val="auto"/>
              </w:rPr>
              <w:t>(a)</w:t>
            </w:r>
          </w:p>
        </w:tc>
        <w:tc>
          <w:tcPr>
            <w:tcW w:w="220" w:type="dxa"/>
            <w:vAlign w:val="bottom"/>
          </w:tcPr>
          <w:p>
            <w:pPr>
              <w:spacing w:after="0"/>
              <w:rPr>
                <w:sz w:val="17"/>
                <w:szCs w:val="17"/>
                <w:color w:val="auto"/>
              </w:rPr>
            </w:pPr>
          </w:p>
        </w:tc>
        <w:tc>
          <w:tcPr>
            <w:tcW w:w="540" w:type="dxa"/>
            <w:vAlign w:val="bottom"/>
          </w:tcPr>
          <w:p>
            <w:pPr>
              <w:jc w:val="right"/>
              <w:spacing w:after="0" w:line="202" w:lineRule="exact"/>
              <w:rPr>
                <w:sz w:val="20"/>
                <w:szCs w:val="20"/>
                <w:color w:val="auto"/>
              </w:rPr>
            </w:pPr>
            <w:r>
              <w:rPr>
                <w:rFonts w:ascii="Arial" w:cs="Arial" w:eastAsia="Arial" w:hAnsi="Arial"/>
                <w:sz w:val="18"/>
                <w:szCs w:val="18"/>
                <w:b w:val="1"/>
                <w:bCs w:val="1"/>
                <w:color w:val="auto"/>
              </w:rPr>
              <w:t>2,235</w:t>
            </w:r>
          </w:p>
        </w:tc>
        <w:tc>
          <w:tcPr>
            <w:tcW w:w="0" w:type="dxa"/>
            <w:vAlign w:val="bottom"/>
          </w:tcPr>
          <w:p>
            <w:pPr>
              <w:spacing w:after="0"/>
              <w:rPr>
                <w:sz w:val="1"/>
                <w:szCs w:val="1"/>
                <w:color w:val="auto"/>
              </w:rPr>
            </w:pPr>
          </w:p>
        </w:tc>
      </w:tr>
      <w:tr>
        <w:trPr>
          <w:trHeight w:val="203"/>
        </w:trPr>
        <w:tc>
          <w:tcPr>
            <w:tcW w:w="6080" w:type="dxa"/>
            <w:vAlign w:val="bottom"/>
          </w:tcPr>
          <w:p>
            <w:pPr>
              <w:spacing w:after="0" w:line="202" w:lineRule="exact"/>
              <w:rPr>
                <w:sz w:val="20"/>
                <w:szCs w:val="20"/>
                <w:color w:val="auto"/>
              </w:rPr>
            </w:pPr>
            <w:r>
              <w:rPr>
                <w:rFonts w:ascii="Arial" w:cs="Arial" w:eastAsia="Arial" w:hAnsi="Arial"/>
                <w:sz w:val="18"/>
                <w:szCs w:val="18"/>
                <w:color w:val="auto"/>
              </w:rPr>
              <w:t>Income from discontinued operations</w:t>
            </w:r>
          </w:p>
        </w:tc>
        <w:tc>
          <w:tcPr>
            <w:tcW w:w="1240" w:type="dxa"/>
            <w:vAlign w:val="bottom"/>
          </w:tcPr>
          <w:p>
            <w:pPr>
              <w:spacing w:after="0"/>
              <w:rPr>
                <w:sz w:val="17"/>
                <w:szCs w:val="17"/>
                <w:color w:val="auto"/>
              </w:rPr>
            </w:pPr>
          </w:p>
        </w:tc>
        <w:tc>
          <w:tcPr>
            <w:tcW w:w="600" w:type="dxa"/>
            <w:vAlign w:val="bottom"/>
          </w:tcPr>
          <w:p>
            <w:pPr>
              <w:jc w:val="right"/>
              <w:ind w:right="54"/>
              <w:spacing w:after="0" w:line="202" w:lineRule="exact"/>
              <w:rPr>
                <w:sz w:val="20"/>
                <w:szCs w:val="20"/>
                <w:color w:val="auto"/>
              </w:rPr>
            </w:pPr>
            <w:r>
              <w:rPr>
                <w:rFonts w:ascii="Arial" w:cs="Arial" w:eastAsia="Arial" w:hAnsi="Arial"/>
                <w:sz w:val="18"/>
                <w:szCs w:val="18"/>
                <w:b w:val="1"/>
                <w:bCs w:val="1"/>
                <w:color w:val="auto"/>
              </w:rPr>
              <w:t>28</w:t>
            </w:r>
          </w:p>
        </w:tc>
        <w:tc>
          <w:tcPr>
            <w:tcW w:w="260" w:type="dxa"/>
            <w:vAlign w:val="bottom"/>
          </w:tcPr>
          <w:p>
            <w:pPr>
              <w:spacing w:after="0"/>
              <w:rPr>
                <w:sz w:val="17"/>
                <w:szCs w:val="17"/>
                <w:color w:val="auto"/>
              </w:rPr>
            </w:pPr>
          </w:p>
        </w:tc>
        <w:tc>
          <w:tcPr>
            <w:tcW w:w="620" w:type="dxa"/>
            <w:vAlign w:val="bottom"/>
          </w:tcPr>
          <w:p>
            <w:pPr>
              <w:jc w:val="right"/>
              <w:ind w:right="74"/>
              <w:spacing w:after="0" w:line="202" w:lineRule="exact"/>
              <w:rPr>
                <w:sz w:val="20"/>
                <w:szCs w:val="20"/>
                <w:color w:val="auto"/>
              </w:rPr>
            </w:pPr>
            <w:r>
              <w:rPr>
                <w:rFonts w:ascii="Arial" w:cs="Arial" w:eastAsia="Arial" w:hAnsi="Arial"/>
                <w:sz w:val="18"/>
                <w:szCs w:val="18"/>
                <w:b w:val="1"/>
                <w:bCs w:val="1"/>
                <w:color w:val="auto"/>
              </w:rPr>
              <w:t>61</w:t>
            </w:r>
          </w:p>
        </w:tc>
        <w:tc>
          <w:tcPr>
            <w:tcW w:w="240" w:type="dxa"/>
            <w:vAlign w:val="bottom"/>
          </w:tcPr>
          <w:p>
            <w:pPr>
              <w:spacing w:after="0"/>
              <w:rPr>
                <w:sz w:val="17"/>
                <w:szCs w:val="17"/>
                <w:color w:val="auto"/>
              </w:rPr>
            </w:pPr>
          </w:p>
        </w:tc>
        <w:tc>
          <w:tcPr>
            <w:tcW w:w="620" w:type="dxa"/>
            <w:vAlign w:val="bottom"/>
          </w:tcPr>
          <w:p>
            <w:pPr>
              <w:jc w:val="right"/>
              <w:ind w:right="74"/>
              <w:spacing w:after="0" w:line="202" w:lineRule="exact"/>
              <w:rPr>
                <w:sz w:val="20"/>
                <w:szCs w:val="20"/>
                <w:color w:val="auto"/>
              </w:rPr>
            </w:pPr>
            <w:r>
              <w:rPr>
                <w:rFonts w:ascii="Arial" w:cs="Arial" w:eastAsia="Arial" w:hAnsi="Arial"/>
                <w:sz w:val="18"/>
                <w:szCs w:val="18"/>
                <w:b w:val="1"/>
                <w:bCs w:val="1"/>
                <w:color w:val="auto"/>
              </w:rPr>
              <w:t>14</w:t>
            </w:r>
          </w:p>
        </w:tc>
        <w:tc>
          <w:tcPr>
            <w:tcW w:w="240" w:type="dxa"/>
            <w:vAlign w:val="bottom"/>
          </w:tcPr>
          <w:p>
            <w:pPr>
              <w:spacing w:after="0"/>
              <w:rPr>
                <w:sz w:val="17"/>
                <w:szCs w:val="17"/>
                <w:color w:val="auto"/>
              </w:rPr>
            </w:pPr>
          </w:p>
        </w:tc>
        <w:tc>
          <w:tcPr>
            <w:tcW w:w="760" w:type="dxa"/>
            <w:vAlign w:val="bottom"/>
          </w:tcPr>
          <w:p>
            <w:pPr>
              <w:ind w:left="200"/>
              <w:spacing w:after="0" w:line="202" w:lineRule="exact"/>
              <w:rPr>
                <w:sz w:val="20"/>
                <w:szCs w:val="20"/>
                <w:color w:val="auto"/>
              </w:rPr>
            </w:pPr>
            <w:r>
              <w:rPr>
                <w:rFonts w:ascii="Arial" w:cs="Arial" w:eastAsia="Arial" w:hAnsi="Arial"/>
                <w:sz w:val="18"/>
                <w:szCs w:val="18"/>
                <w:b w:val="1"/>
                <w:bCs w:val="1"/>
                <w:color w:val="auto"/>
              </w:rPr>
              <w:t>—</w:t>
            </w:r>
          </w:p>
        </w:tc>
        <w:tc>
          <w:tcPr>
            <w:tcW w:w="220" w:type="dxa"/>
            <w:vAlign w:val="bottom"/>
          </w:tcPr>
          <w:p>
            <w:pPr>
              <w:spacing w:after="0"/>
              <w:rPr>
                <w:sz w:val="17"/>
                <w:szCs w:val="17"/>
                <w:color w:val="auto"/>
              </w:rPr>
            </w:pPr>
          </w:p>
        </w:tc>
        <w:tc>
          <w:tcPr>
            <w:tcW w:w="540" w:type="dxa"/>
            <w:vAlign w:val="bottom"/>
          </w:tcPr>
          <w:p>
            <w:pPr>
              <w:jc w:val="right"/>
              <w:spacing w:after="0" w:line="202" w:lineRule="exact"/>
              <w:rPr>
                <w:sz w:val="20"/>
                <w:szCs w:val="20"/>
                <w:color w:val="auto"/>
              </w:rPr>
            </w:pPr>
            <w:r>
              <w:rPr>
                <w:rFonts w:ascii="Arial" w:cs="Arial" w:eastAsia="Arial" w:hAnsi="Arial"/>
                <w:sz w:val="18"/>
                <w:szCs w:val="18"/>
                <w:b w:val="1"/>
                <w:bCs w:val="1"/>
                <w:color w:val="auto"/>
              </w:rPr>
              <w:t>103</w:t>
            </w:r>
          </w:p>
        </w:tc>
        <w:tc>
          <w:tcPr>
            <w:tcW w:w="0" w:type="dxa"/>
            <w:vAlign w:val="bottom"/>
          </w:tcPr>
          <w:p>
            <w:pPr>
              <w:spacing w:after="0"/>
              <w:rPr>
                <w:sz w:val="1"/>
                <w:szCs w:val="1"/>
                <w:color w:val="auto"/>
              </w:rPr>
            </w:pPr>
          </w:p>
        </w:tc>
      </w:tr>
      <w:tr>
        <w:trPr>
          <w:trHeight w:val="203"/>
        </w:trPr>
        <w:tc>
          <w:tcPr>
            <w:tcW w:w="6080" w:type="dxa"/>
            <w:vAlign w:val="bottom"/>
          </w:tcPr>
          <w:p>
            <w:pPr>
              <w:spacing w:after="0" w:line="202" w:lineRule="exact"/>
              <w:rPr>
                <w:sz w:val="20"/>
                <w:szCs w:val="20"/>
                <w:color w:val="auto"/>
              </w:rPr>
            </w:pPr>
            <w:r>
              <w:rPr>
                <w:rFonts w:ascii="Arial" w:cs="Arial" w:eastAsia="Arial" w:hAnsi="Arial"/>
                <w:sz w:val="18"/>
                <w:szCs w:val="18"/>
                <w:color w:val="auto"/>
              </w:rPr>
              <w:t>Gain on discontinued operations</w:t>
            </w:r>
          </w:p>
        </w:tc>
        <w:tc>
          <w:tcPr>
            <w:tcW w:w="1240" w:type="dxa"/>
            <w:vAlign w:val="bottom"/>
          </w:tcPr>
          <w:p>
            <w:pPr>
              <w:spacing w:after="0"/>
              <w:rPr>
                <w:sz w:val="17"/>
                <w:szCs w:val="17"/>
                <w:color w:val="auto"/>
              </w:rPr>
            </w:pPr>
          </w:p>
        </w:tc>
        <w:tc>
          <w:tcPr>
            <w:tcW w:w="600" w:type="dxa"/>
            <w:vAlign w:val="bottom"/>
          </w:tcPr>
          <w:p>
            <w:pPr>
              <w:jc w:val="right"/>
              <w:ind w:right="154"/>
              <w:spacing w:after="0" w:line="202" w:lineRule="exact"/>
              <w:rPr>
                <w:sz w:val="20"/>
                <w:szCs w:val="20"/>
                <w:color w:val="auto"/>
              </w:rPr>
            </w:pPr>
            <w:r>
              <w:rPr>
                <w:rFonts w:ascii="Arial" w:cs="Arial" w:eastAsia="Arial" w:hAnsi="Arial"/>
                <w:sz w:val="18"/>
                <w:szCs w:val="18"/>
                <w:b w:val="1"/>
                <w:bCs w:val="1"/>
                <w:color w:val="auto"/>
              </w:rPr>
              <w:t>—</w:t>
            </w:r>
          </w:p>
        </w:tc>
        <w:tc>
          <w:tcPr>
            <w:tcW w:w="260" w:type="dxa"/>
            <w:vAlign w:val="bottom"/>
          </w:tcPr>
          <w:p>
            <w:pPr>
              <w:spacing w:after="0"/>
              <w:rPr>
                <w:sz w:val="17"/>
                <w:szCs w:val="17"/>
                <w:color w:val="auto"/>
              </w:rPr>
            </w:pPr>
          </w:p>
        </w:tc>
        <w:tc>
          <w:tcPr>
            <w:tcW w:w="620" w:type="dxa"/>
            <w:vAlign w:val="bottom"/>
          </w:tcPr>
          <w:p>
            <w:pPr>
              <w:jc w:val="right"/>
              <w:ind w:right="174"/>
              <w:spacing w:after="0" w:line="202" w:lineRule="exact"/>
              <w:rPr>
                <w:sz w:val="20"/>
                <w:szCs w:val="20"/>
                <w:color w:val="auto"/>
              </w:rPr>
            </w:pPr>
            <w:r>
              <w:rPr>
                <w:rFonts w:ascii="Arial" w:cs="Arial" w:eastAsia="Arial" w:hAnsi="Arial"/>
                <w:sz w:val="18"/>
                <w:szCs w:val="18"/>
                <w:b w:val="1"/>
                <w:bCs w:val="1"/>
                <w:color w:val="auto"/>
              </w:rPr>
              <w:t>—</w:t>
            </w:r>
          </w:p>
        </w:tc>
        <w:tc>
          <w:tcPr>
            <w:tcW w:w="240" w:type="dxa"/>
            <w:vAlign w:val="bottom"/>
          </w:tcPr>
          <w:p>
            <w:pPr>
              <w:spacing w:after="0"/>
              <w:rPr>
                <w:sz w:val="17"/>
                <w:szCs w:val="17"/>
                <w:color w:val="auto"/>
              </w:rPr>
            </w:pPr>
          </w:p>
        </w:tc>
        <w:tc>
          <w:tcPr>
            <w:tcW w:w="620" w:type="dxa"/>
            <w:vAlign w:val="bottom"/>
          </w:tcPr>
          <w:p>
            <w:pPr>
              <w:jc w:val="right"/>
              <w:ind w:right="74"/>
              <w:spacing w:after="0" w:line="202" w:lineRule="exact"/>
              <w:rPr>
                <w:sz w:val="20"/>
                <w:szCs w:val="20"/>
                <w:color w:val="auto"/>
              </w:rPr>
            </w:pPr>
            <w:r>
              <w:rPr>
                <w:rFonts w:ascii="Arial" w:cs="Arial" w:eastAsia="Arial" w:hAnsi="Arial"/>
                <w:sz w:val="18"/>
                <w:szCs w:val="18"/>
                <w:b w:val="1"/>
                <w:bCs w:val="1"/>
                <w:color w:val="auto"/>
              </w:rPr>
              <w:t>234</w:t>
            </w:r>
          </w:p>
        </w:tc>
        <w:tc>
          <w:tcPr>
            <w:tcW w:w="240" w:type="dxa"/>
            <w:vAlign w:val="bottom"/>
          </w:tcPr>
          <w:p>
            <w:pPr>
              <w:spacing w:after="0"/>
              <w:rPr>
                <w:sz w:val="17"/>
                <w:szCs w:val="17"/>
                <w:color w:val="auto"/>
              </w:rPr>
            </w:pPr>
          </w:p>
        </w:tc>
        <w:tc>
          <w:tcPr>
            <w:tcW w:w="760" w:type="dxa"/>
            <w:vAlign w:val="bottom"/>
          </w:tcPr>
          <w:p>
            <w:pPr>
              <w:jc w:val="right"/>
              <w:ind w:right="14"/>
              <w:spacing w:after="0" w:line="203" w:lineRule="exact"/>
              <w:rPr>
                <w:sz w:val="20"/>
                <w:szCs w:val="20"/>
                <w:color w:val="auto"/>
              </w:rPr>
            </w:pPr>
            <w:r>
              <w:rPr>
                <w:rFonts w:ascii="Arial" w:cs="Arial" w:eastAsia="Arial" w:hAnsi="Arial"/>
                <w:sz w:val="18"/>
                <w:szCs w:val="18"/>
                <w:b w:val="1"/>
                <w:bCs w:val="1"/>
                <w:color w:val="auto"/>
              </w:rPr>
              <w:t>(39)</w:t>
            </w:r>
            <w:r>
              <w:rPr>
                <w:rFonts w:ascii="Arial" w:cs="Arial" w:eastAsia="Arial" w:hAnsi="Arial"/>
                <w:sz w:val="22"/>
                <w:szCs w:val="22"/>
                <w:b w:val="1"/>
                <w:bCs w:val="1"/>
                <w:color w:val="auto"/>
                <w:vertAlign w:val="superscript"/>
              </w:rPr>
              <w:t>(a)</w:t>
            </w:r>
          </w:p>
        </w:tc>
        <w:tc>
          <w:tcPr>
            <w:tcW w:w="220" w:type="dxa"/>
            <w:vAlign w:val="bottom"/>
          </w:tcPr>
          <w:p>
            <w:pPr>
              <w:spacing w:after="0"/>
              <w:rPr>
                <w:sz w:val="17"/>
                <w:szCs w:val="17"/>
                <w:color w:val="auto"/>
              </w:rPr>
            </w:pPr>
          </w:p>
        </w:tc>
        <w:tc>
          <w:tcPr>
            <w:tcW w:w="540" w:type="dxa"/>
            <w:vAlign w:val="bottom"/>
          </w:tcPr>
          <w:p>
            <w:pPr>
              <w:jc w:val="right"/>
              <w:spacing w:after="0" w:line="202" w:lineRule="exact"/>
              <w:rPr>
                <w:sz w:val="20"/>
                <w:szCs w:val="20"/>
                <w:color w:val="auto"/>
              </w:rPr>
            </w:pPr>
            <w:r>
              <w:rPr>
                <w:rFonts w:ascii="Arial" w:cs="Arial" w:eastAsia="Arial" w:hAnsi="Arial"/>
                <w:sz w:val="18"/>
                <w:szCs w:val="18"/>
                <w:b w:val="1"/>
                <w:bCs w:val="1"/>
                <w:color w:val="auto"/>
              </w:rPr>
              <w:t>195</w:t>
            </w:r>
          </w:p>
        </w:tc>
        <w:tc>
          <w:tcPr>
            <w:tcW w:w="0" w:type="dxa"/>
            <w:vAlign w:val="bottom"/>
          </w:tcPr>
          <w:p>
            <w:pPr>
              <w:spacing w:after="0"/>
              <w:rPr>
                <w:sz w:val="1"/>
                <w:szCs w:val="1"/>
                <w:color w:val="auto"/>
              </w:rPr>
            </w:pPr>
          </w:p>
        </w:tc>
      </w:tr>
      <w:tr>
        <w:trPr>
          <w:trHeight w:val="225"/>
        </w:trPr>
        <w:tc>
          <w:tcPr>
            <w:tcW w:w="6080" w:type="dxa"/>
            <w:vAlign w:val="bottom"/>
          </w:tcPr>
          <w:p>
            <w:pPr>
              <w:spacing w:after="0"/>
              <w:rPr>
                <w:sz w:val="20"/>
                <w:szCs w:val="20"/>
                <w:color w:val="auto"/>
              </w:rPr>
            </w:pPr>
            <w:r>
              <w:rPr>
                <w:rFonts w:ascii="Arial" w:cs="Arial" w:eastAsia="Arial" w:hAnsi="Arial"/>
                <w:sz w:val="18"/>
                <w:szCs w:val="18"/>
                <w:color w:val="auto"/>
              </w:rPr>
              <w:t>Net income</w:t>
            </w:r>
          </w:p>
        </w:tc>
        <w:tc>
          <w:tcPr>
            <w:tcW w:w="1240" w:type="dxa"/>
            <w:vAlign w:val="bottom"/>
          </w:tcPr>
          <w:p>
            <w:pPr>
              <w:jc w:val="right"/>
              <w:spacing w:after="0"/>
              <w:rPr>
                <w:sz w:val="20"/>
                <w:szCs w:val="20"/>
                <w:color w:val="auto"/>
              </w:rPr>
            </w:pPr>
            <w:r>
              <w:rPr>
                <w:rFonts w:ascii="Arial" w:cs="Arial" w:eastAsia="Arial" w:hAnsi="Arial"/>
                <w:sz w:val="18"/>
                <w:szCs w:val="18"/>
                <w:b w:val="1"/>
                <w:bCs w:val="1"/>
                <w:color w:val="auto"/>
              </w:rPr>
              <w:t>$</w:t>
            </w:r>
          </w:p>
        </w:tc>
        <w:tc>
          <w:tcPr>
            <w:tcW w:w="600" w:type="dxa"/>
            <w:vAlign w:val="bottom"/>
          </w:tcPr>
          <w:p>
            <w:pPr>
              <w:jc w:val="right"/>
              <w:ind w:right="54"/>
              <w:spacing w:after="0"/>
              <w:rPr>
                <w:sz w:val="20"/>
                <w:szCs w:val="20"/>
                <w:color w:val="auto"/>
              </w:rPr>
            </w:pPr>
            <w:r>
              <w:rPr>
                <w:rFonts w:ascii="Arial" w:cs="Arial" w:eastAsia="Arial" w:hAnsi="Arial"/>
                <w:sz w:val="18"/>
                <w:szCs w:val="18"/>
                <w:b w:val="1"/>
                <w:bCs w:val="1"/>
                <w:color w:val="auto"/>
              </w:rPr>
              <w:t>466</w:t>
            </w:r>
          </w:p>
        </w:tc>
        <w:tc>
          <w:tcPr>
            <w:tcW w:w="260" w:type="dxa"/>
            <w:vAlign w:val="bottom"/>
          </w:tcPr>
          <w:p>
            <w:pPr>
              <w:jc w:val="right"/>
              <w:spacing w:after="0"/>
              <w:rPr>
                <w:sz w:val="20"/>
                <w:szCs w:val="20"/>
                <w:color w:val="auto"/>
              </w:rPr>
            </w:pPr>
            <w:r>
              <w:rPr>
                <w:rFonts w:ascii="Arial" w:cs="Arial" w:eastAsia="Arial" w:hAnsi="Arial"/>
                <w:sz w:val="18"/>
                <w:szCs w:val="18"/>
                <w:b w:val="1"/>
                <w:bCs w:val="1"/>
                <w:color w:val="auto"/>
              </w:rPr>
              <w:t>$</w:t>
            </w:r>
          </w:p>
        </w:tc>
        <w:tc>
          <w:tcPr>
            <w:tcW w:w="620" w:type="dxa"/>
            <w:vAlign w:val="bottom"/>
          </w:tcPr>
          <w:p>
            <w:pPr>
              <w:jc w:val="right"/>
              <w:ind w:right="74"/>
              <w:spacing w:after="0"/>
              <w:rPr>
                <w:sz w:val="20"/>
                <w:szCs w:val="20"/>
                <w:color w:val="auto"/>
              </w:rPr>
            </w:pPr>
            <w:r>
              <w:rPr>
                <w:rFonts w:ascii="Arial" w:cs="Arial" w:eastAsia="Arial" w:hAnsi="Arial"/>
                <w:sz w:val="18"/>
                <w:szCs w:val="18"/>
                <w:b w:val="1"/>
                <w:bCs w:val="1"/>
                <w:color w:val="auto"/>
              </w:rPr>
              <w:t>460</w:t>
            </w:r>
          </w:p>
        </w:tc>
        <w:tc>
          <w:tcPr>
            <w:tcW w:w="240" w:type="dxa"/>
            <w:vAlign w:val="bottom"/>
          </w:tcPr>
          <w:p>
            <w:pPr>
              <w:jc w:val="right"/>
              <w:spacing w:after="0"/>
              <w:rPr>
                <w:sz w:val="20"/>
                <w:szCs w:val="20"/>
                <w:color w:val="auto"/>
              </w:rPr>
            </w:pPr>
            <w:r>
              <w:rPr>
                <w:rFonts w:ascii="Arial" w:cs="Arial" w:eastAsia="Arial" w:hAnsi="Arial"/>
                <w:sz w:val="18"/>
                <w:szCs w:val="18"/>
                <w:b w:val="1"/>
                <w:bCs w:val="1"/>
                <w:color w:val="auto"/>
              </w:rPr>
              <w:t>$</w:t>
            </w:r>
          </w:p>
        </w:tc>
        <w:tc>
          <w:tcPr>
            <w:tcW w:w="620" w:type="dxa"/>
            <w:vAlign w:val="bottom"/>
          </w:tcPr>
          <w:p>
            <w:pPr>
              <w:jc w:val="right"/>
              <w:ind w:right="74"/>
              <w:spacing w:after="0"/>
              <w:rPr>
                <w:sz w:val="20"/>
                <w:szCs w:val="20"/>
                <w:color w:val="auto"/>
              </w:rPr>
            </w:pPr>
            <w:r>
              <w:rPr>
                <w:rFonts w:ascii="Arial" w:cs="Arial" w:eastAsia="Arial" w:hAnsi="Arial"/>
                <w:sz w:val="18"/>
                <w:szCs w:val="18"/>
                <w:b w:val="1"/>
                <w:bCs w:val="1"/>
                <w:color w:val="auto"/>
                <w:w w:val="97"/>
              </w:rPr>
              <w:t>1,217</w:t>
            </w:r>
          </w:p>
        </w:tc>
        <w:tc>
          <w:tcPr>
            <w:tcW w:w="240" w:type="dxa"/>
            <w:vAlign w:val="bottom"/>
          </w:tcPr>
          <w:p>
            <w:pPr>
              <w:jc w:val="right"/>
              <w:spacing w:after="0"/>
              <w:rPr>
                <w:sz w:val="20"/>
                <w:szCs w:val="20"/>
                <w:color w:val="auto"/>
              </w:rPr>
            </w:pPr>
            <w:r>
              <w:rPr>
                <w:rFonts w:ascii="Arial" w:cs="Arial" w:eastAsia="Arial" w:hAnsi="Arial"/>
                <w:sz w:val="18"/>
                <w:szCs w:val="18"/>
                <w:b w:val="1"/>
                <w:bCs w:val="1"/>
                <w:color w:val="auto"/>
              </w:rPr>
              <w:t>$</w:t>
            </w:r>
          </w:p>
        </w:tc>
        <w:tc>
          <w:tcPr>
            <w:tcW w:w="760" w:type="dxa"/>
            <w:vAlign w:val="bottom"/>
          </w:tcPr>
          <w:p>
            <w:pPr>
              <w:jc w:val="right"/>
              <w:ind w:right="214"/>
              <w:spacing w:after="0"/>
              <w:rPr>
                <w:sz w:val="20"/>
                <w:szCs w:val="20"/>
                <w:color w:val="auto"/>
              </w:rPr>
            </w:pPr>
            <w:r>
              <w:rPr>
                <w:rFonts w:ascii="Arial" w:cs="Arial" w:eastAsia="Arial" w:hAnsi="Arial"/>
                <w:sz w:val="18"/>
                <w:szCs w:val="18"/>
                <w:b w:val="1"/>
                <w:bCs w:val="1"/>
                <w:color w:val="auto"/>
              </w:rPr>
              <w:t>390</w:t>
            </w:r>
          </w:p>
        </w:tc>
        <w:tc>
          <w:tcPr>
            <w:tcW w:w="220" w:type="dxa"/>
            <w:vAlign w:val="bottom"/>
          </w:tcPr>
          <w:p>
            <w:pPr>
              <w:jc w:val="right"/>
              <w:spacing w:after="0"/>
              <w:rPr>
                <w:sz w:val="20"/>
                <w:szCs w:val="20"/>
                <w:color w:val="auto"/>
              </w:rPr>
            </w:pPr>
            <w:r>
              <w:rPr>
                <w:rFonts w:ascii="Arial" w:cs="Arial" w:eastAsia="Arial" w:hAnsi="Arial"/>
                <w:sz w:val="18"/>
                <w:szCs w:val="18"/>
                <w:b w:val="1"/>
                <w:bCs w:val="1"/>
                <w:color w:val="auto"/>
              </w:rPr>
              <w:t>$</w:t>
            </w:r>
          </w:p>
        </w:tc>
        <w:tc>
          <w:tcPr>
            <w:tcW w:w="540" w:type="dxa"/>
            <w:vAlign w:val="bottom"/>
          </w:tcPr>
          <w:p>
            <w:pPr>
              <w:jc w:val="right"/>
              <w:spacing w:after="0"/>
              <w:rPr>
                <w:sz w:val="20"/>
                <w:szCs w:val="20"/>
                <w:color w:val="auto"/>
              </w:rPr>
            </w:pPr>
            <w:r>
              <w:rPr>
                <w:rFonts w:ascii="Arial" w:cs="Arial" w:eastAsia="Arial" w:hAnsi="Arial"/>
                <w:sz w:val="18"/>
                <w:szCs w:val="18"/>
                <w:b w:val="1"/>
                <w:bCs w:val="1"/>
                <w:color w:val="auto"/>
              </w:rPr>
              <w:t>2,533</w:t>
            </w:r>
          </w:p>
        </w:tc>
        <w:tc>
          <w:tcPr>
            <w:tcW w:w="0" w:type="dxa"/>
            <w:vAlign w:val="bottom"/>
          </w:tcPr>
          <w:p>
            <w:pPr>
              <w:spacing w:after="0"/>
              <w:rPr>
                <w:sz w:val="1"/>
                <w:szCs w:val="1"/>
                <w:color w:val="auto"/>
              </w:rPr>
            </w:pPr>
          </w:p>
        </w:tc>
      </w:tr>
      <w:tr>
        <w:trPr>
          <w:trHeight w:val="203"/>
        </w:trPr>
        <w:tc>
          <w:tcPr>
            <w:tcW w:w="6080" w:type="dxa"/>
            <w:vAlign w:val="bottom"/>
          </w:tcPr>
          <w:p>
            <w:pPr>
              <w:spacing w:after="0" w:line="203" w:lineRule="exact"/>
              <w:rPr>
                <w:sz w:val="20"/>
                <w:szCs w:val="20"/>
                <w:color w:val="auto"/>
              </w:rPr>
            </w:pPr>
            <w:r>
              <w:rPr>
                <w:rFonts w:ascii="Arial" w:cs="Arial" w:eastAsia="Arial" w:hAnsi="Arial"/>
                <w:sz w:val="18"/>
                <w:szCs w:val="18"/>
                <w:color w:val="auto"/>
              </w:rPr>
              <w:t>Basic earnings for common stockholders per common share</w:t>
            </w:r>
            <w:r>
              <w:rPr>
                <w:rFonts w:ascii="Arial" w:cs="Arial" w:eastAsia="Arial" w:hAnsi="Arial"/>
                <w:sz w:val="22"/>
                <w:szCs w:val="22"/>
                <w:color w:val="auto"/>
                <w:vertAlign w:val="superscript"/>
              </w:rPr>
              <w:t>(c)</w:t>
            </w:r>
          </w:p>
        </w:tc>
        <w:tc>
          <w:tcPr>
            <w:tcW w:w="1240" w:type="dxa"/>
            <w:vAlign w:val="bottom"/>
            <w:vMerge w:val="restart"/>
          </w:tcPr>
          <w:p>
            <w:pPr>
              <w:jc w:val="right"/>
              <w:spacing w:after="0"/>
              <w:rPr>
                <w:sz w:val="20"/>
                <w:szCs w:val="20"/>
                <w:color w:val="auto"/>
              </w:rPr>
            </w:pPr>
            <w:r>
              <w:rPr>
                <w:rFonts w:ascii="Arial" w:cs="Arial" w:eastAsia="Arial" w:hAnsi="Arial"/>
                <w:sz w:val="18"/>
                <w:szCs w:val="18"/>
                <w:b w:val="1"/>
                <w:bCs w:val="1"/>
                <w:color w:val="auto"/>
              </w:rPr>
              <w:t>$</w:t>
            </w:r>
          </w:p>
        </w:tc>
        <w:tc>
          <w:tcPr>
            <w:tcW w:w="600" w:type="dxa"/>
            <w:vAlign w:val="bottom"/>
            <w:vMerge w:val="restart"/>
          </w:tcPr>
          <w:p>
            <w:pPr>
              <w:jc w:val="right"/>
              <w:ind w:right="54"/>
              <w:spacing w:after="0"/>
              <w:rPr>
                <w:sz w:val="20"/>
                <w:szCs w:val="20"/>
                <w:color w:val="auto"/>
              </w:rPr>
            </w:pPr>
            <w:r>
              <w:rPr>
                <w:rFonts w:ascii="Arial" w:cs="Arial" w:eastAsia="Arial" w:hAnsi="Arial"/>
                <w:sz w:val="18"/>
                <w:szCs w:val="18"/>
                <w:b w:val="1"/>
                <w:bCs w:val="1"/>
                <w:color w:val="auto"/>
              </w:rPr>
              <w:t>0.14</w:t>
            </w:r>
          </w:p>
        </w:tc>
        <w:tc>
          <w:tcPr>
            <w:tcW w:w="260" w:type="dxa"/>
            <w:vAlign w:val="bottom"/>
            <w:vMerge w:val="restart"/>
          </w:tcPr>
          <w:p>
            <w:pPr>
              <w:jc w:val="right"/>
              <w:spacing w:after="0"/>
              <w:rPr>
                <w:sz w:val="20"/>
                <w:szCs w:val="20"/>
                <w:color w:val="auto"/>
              </w:rPr>
            </w:pPr>
            <w:r>
              <w:rPr>
                <w:rFonts w:ascii="Arial" w:cs="Arial" w:eastAsia="Arial" w:hAnsi="Arial"/>
                <w:sz w:val="18"/>
                <w:szCs w:val="18"/>
                <w:b w:val="1"/>
                <w:bCs w:val="1"/>
                <w:color w:val="auto"/>
              </w:rPr>
              <w:t>$</w:t>
            </w:r>
          </w:p>
        </w:tc>
        <w:tc>
          <w:tcPr>
            <w:tcW w:w="620" w:type="dxa"/>
            <w:vAlign w:val="bottom"/>
            <w:vMerge w:val="restart"/>
          </w:tcPr>
          <w:p>
            <w:pPr>
              <w:jc w:val="right"/>
              <w:ind w:right="74"/>
              <w:spacing w:after="0"/>
              <w:rPr>
                <w:sz w:val="20"/>
                <w:szCs w:val="20"/>
                <w:color w:val="auto"/>
              </w:rPr>
            </w:pPr>
            <w:r>
              <w:rPr>
                <w:rFonts w:ascii="Arial" w:cs="Arial" w:eastAsia="Arial" w:hAnsi="Arial"/>
                <w:sz w:val="18"/>
                <w:szCs w:val="18"/>
                <w:b w:val="1"/>
                <w:bCs w:val="1"/>
                <w:color w:val="auto"/>
              </w:rPr>
              <w:t>0.13</w:t>
            </w:r>
          </w:p>
        </w:tc>
        <w:tc>
          <w:tcPr>
            <w:tcW w:w="240" w:type="dxa"/>
            <w:vAlign w:val="bottom"/>
            <w:vMerge w:val="restart"/>
          </w:tcPr>
          <w:p>
            <w:pPr>
              <w:jc w:val="right"/>
              <w:spacing w:after="0"/>
              <w:rPr>
                <w:sz w:val="20"/>
                <w:szCs w:val="20"/>
                <w:color w:val="auto"/>
              </w:rPr>
            </w:pPr>
            <w:r>
              <w:rPr>
                <w:rFonts w:ascii="Arial" w:cs="Arial" w:eastAsia="Arial" w:hAnsi="Arial"/>
                <w:sz w:val="18"/>
                <w:szCs w:val="18"/>
                <w:b w:val="1"/>
                <w:bCs w:val="1"/>
                <w:color w:val="auto"/>
              </w:rPr>
              <w:t>$</w:t>
            </w:r>
          </w:p>
        </w:tc>
        <w:tc>
          <w:tcPr>
            <w:tcW w:w="620" w:type="dxa"/>
            <w:vAlign w:val="bottom"/>
            <w:vMerge w:val="restart"/>
          </w:tcPr>
          <w:p>
            <w:pPr>
              <w:jc w:val="right"/>
              <w:ind w:right="74"/>
              <w:spacing w:after="0"/>
              <w:rPr>
                <w:sz w:val="20"/>
                <w:szCs w:val="20"/>
                <w:color w:val="auto"/>
              </w:rPr>
            </w:pPr>
            <w:r>
              <w:rPr>
                <w:rFonts w:ascii="Arial" w:cs="Arial" w:eastAsia="Arial" w:hAnsi="Arial"/>
                <w:sz w:val="18"/>
                <w:szCs w:val="18"/>
                <w:b w:val="1"/>
                <w:bCs w:val="1"/>
                <w:color w:val="auto"/>
              </w:rPr>
              <w:t>0.31</w:t>
            </w:r>
          </w:p>
        </w:tc>
        <w:tc>
          <w:tcPr>
            <w:tcW w:w="240" w:type="dxa"/>
            <w:vAlign w:val="bottom"/>
            <w:vMerge w:val="restart"/>
          </w:tcPr>
          <w:p>
            <w:pPr>
              <w:jc w:val="right"/>
              <w:spacing w:after="0"/>
              <w:rPr>
                <w:sz w:val="20"/>
                <w:szCs w:val="20"/>
                <w:color w:val="auto"/>
              </w:rPr>
            </w:pPr>
            <w:r>
              <w:rPr>
                <w:rFonts w:ascii="Arial" w:cs="Arial" w:eastAsia="Arial" w:hAnsi="Arial"/>
                <w:sz w:val="18"/>
                <w:szCs w:val="18"/>
                <w:b w:val="1"/>
                <w:bCs w:val="1"/>
                <w:color w:val="auto"/>
              </w:rPr>
              <w:t>$</w:t>
            </w:r>
          </w:p>
        </w:tc>
        <w:tc>
          <w:tcPr>
            <w:tcW w:w="760" w:type="dxa"/>
            <w:vAlign w:val="bottom"/>
            <w:vMerge w:val="restart"/>
          </w:tcPr>
          <w:p>
            <w:pPr>
              <w:jc w:val="right"/>
              <w:ind w:right="214"/>
              <w:spacing w:after="0"/>
              <w:rPr>
                <w:sz w:val="20"/>
                <w:szCs w:val="20"/>
                <w:color w:val="auto"/>
              </w:rPr>
            </w:pPr>
            <w:r>
              <w:rPr>
                <w:rFonts w:ascii="Arial" w:cs="Arial" w:eastAsia="Arial" w:hAnsi="Arial"/>
                <w:sz w:val="18"/>
                <w:szCs w:val="18"/>
                <w:b w:val="1"/>
                <w:bCs w:val="1"/>
                <w:color w:val="auto"/>
              </w:rPr>
              <w:t>0.14</w:t>
            </w:r>
          </w:p>
        </w:tc>
        <w:tc>
          <w:tcPr>
            <w:tcW w:w="220" w:type="dxa"/>
            <w:vAlign w:val="bottom"/>
            <w:vMerge w:val="restart"/>
          </w:tcPr>
          <w:p>
            <w:pPr>
              <w:jc w:val="right"/>
              <w:spacing w:after="0"/>
              <w:rPr>
                <w:sz w:val="20"/>
                <w:szCs w:val="20"/>
                <w:color w:val="auto"/>
              </w:rPr>
            </w:pPr>
            <w:r>
              <w:rPr>
                <w:rFonts w:ascii="Arial" w:cs="Arial" w:eastAsia="Arial" w:hAnsi="Arial"/>
                <w:sz w:val="18"/>
                <w:szCs w:val="18"/>
                <w:b w:val="1"/>
                <w:bCs w:val="1"/>
                <w:color w:val="auto"/>
              </w:rPr>
              <w:t>$</w:t>
            </w:r>
          </w:p>
        </w:tc>
        <w:tc>
          <w:tcPr>
            <w:tcW w:w="540" w:type="dxa"/>
            <w:vAlign w:val="bottom"/>
            <w:vMerge w:val="restart"/>
          </w:tcPr>
          <w:p>
            <w:pPr>
              <w:jc w:val="right"/>
              <w:spacing w:after="0"/>
              <w:rPr>
                <w:sz w:val="20"/>
                <w:szCs w:val="20"/>
                <w:color w:val="auto"/>
              </w:rPr>
            </w:pPr>
            <w:r>
              <w:rPr>
                <w:rFonts w:ascii="Arial" w:cs="Arial" w:eastAsia="Arial" w:hAnsi="Arial"/>
                <w:sz w:val="18"/>
                <w:szCs w:val="18"/>
                <w:b w:val="1"/>
                <w:bCs w:val="1"/>
                <w:color w:val="auto"/>
              </w:rPr>
              <w:t>0.71</w:t>
            </w:r>
          </w:p>
        </w:tc>
        <w:tc>
          <w:tcPr>
            <w:tcW w:w="0" w:type="dxa"/>
            <w:vAlign w:val="bottom"/>
          </w:tcPr>
          <w:p>
            <w:pPr>
              <w:spacing w:after="0"/>
              <w:rPr>
                <w:sz w:val="1"/>
                <w:szCs w:val="1"/>
                <w:color w:val="auto"/>
              </w:rPr>
            </w:pPr>
          </w:p>
        </w:tc>
      </w:tr>
      <w:tr>
        <w:trPr>
          <w:trHeight w:val="181"/>
        </w:trPr>
        <w:tc>
          <w:tcPr>
            <w:tcW w:w="6080" w:type="dxa"/>
            <w:vAlign w:val="bottom"/>
          </w:tcPr>
          <w:p>
            <w:pPr>
              <w:ind w:left="220"/>
              <w:spacing w:after="0" w:line="181" w:lineRule="exact"/>
              <w:rPr>
                <w:sz w:val="20"/>
                <w:szCs w:val="20"/>
                <w:color w:val="auto"/>
              </w:rPr>
            </w:pPr>
            <w:r>
              <w:rPr>
                <w:rFonts w:ascii="Arial" w:cs="Arial" w:eastAsia="Arial" w:hAnsi="Arial"/>
                <w:sz w:val="18"/>
                <w:szCs w:val="18"/>
                <w:color w:val="auto"/>
              </w:rPr>
              <w:t>Income from continuing operations</w:t>
            </w:r>
          </w:p>
        </w:tc>
        <w:tc>
          <w:tcPr>
            <w:tcW w:w="1240" w:type="dxa"/>
            <w:vAlign w:val="bottom"/>
            <w:vMerge w:val="continue"/>
          </w:tcPr>
          <w:p>
            <w:pPr>
              <w:spacing w:after="0"/>
              <w:rPr>
                <w:sz w:val="15"/>
                <w:szCs w:val="15"/>
                <w:color w:val="auto"/>
              </w:rPr>
            </w:pPr>
          </w:p>
        </w:tc>
        <w:tc>
          <w:tcPr>
            <w:tcW w:w="600" w:type="dxa"/>
            <w:vAlign w:val="bottom"/>
            <w:vMerge w:val="continue"/>
          </w:tcPr>
          <w:p>
            <w:pPr>
              <w:spacing w:after="0"/>
              <w:rPr>
                <w:sz w:val="15"/>
                <w:szCs w:val="15"/>
                <w:color w:val="auto"/>
              </w:rPr>
            </w:pPr>
          </w:p>
        </w:tc>
        <w:tc>
          <w:tcPr>
            <w:tcW w:w="260" w:type="dxa"/>
            <w:vAlign w:val="bottom"/>
            <w:vMerge w:val="continue"/>
          </w:tcPr>
          <w:p>
            <w:pPr>
              <w:spacing w:after="0"/>
              <w:rPr>
                <w:sz w:val="15"/>
                <w:szCs w:val="15"/>
                <w:color w:val="auto"/>
              </w:rPr>
            </w:pPr>
          </w:p>
        </w:tc>
        <w:tc>
          <w:tcPr>
            <w:tcW w:w="620" w:type="dxa"/>
            <w:vAlign w:val="bottom"/>
            <w:vMerge w:val="continue"/>
          </w:tcPr>
          <w:p>
            <w:pPr>
              <w:spacing w:after="0"/>
              <w:rPr>
                <w:sz w:val="15"/>
                <w:szCs w:val="15"/>
                <w:color w:val="auto"/>
              </w:rPr>
            </w:pPr>
          </w:p>
        </w:tc>
        <w:tc>
          <w:tcPr>
            <w:tcW w:w="240" w:type="dxa"/>
            <w:vAlign w:val="bottom"/>
            <w:vMerge w:val="continue"/>
          </w:tcPr>
          <w:p>
            <w:pPr>
              <w:spacing w:after="0"/>
              <w:rPr>
                <w:sz w:val="15"/>
                <w:szCs w:val="15"/>
                <w:color w:val="auto"/>
              </w:rPr>
            </w:pPr>
          </w:p>
        </w:tc>
        <w:tc>
          <w:tcPr>
            <w:tcW w:w="620" w:type="dxa"/>
            <w:vAlign w:val="bottom"/>
            <w:vMerge w:val="continue"/>
          </w:tcPr>
          <w:p>
            <w:pPr>
              <w:spacing w:after="0"/>
              <w:rPr>
                <w:sz w:val="15"/>
                <w:szCs w:val="15"/>
                <w:color w:val="auto"/>
              </w:rPr>
            </w:pPr>
          </w:p>
        </w:tc>
        <w:tc>
          <w:tcPr>
            <w:tcW w:w="240" w:type="dxa"/>
            <w:vAlign w:val="bottom"/>
            <w:vMerge w:val="continue"/>
          </w:tcPr>
          <w:p>
            <w:pPr>
              <w:spacing w:after="0"/>
              <w:rPr>
                <w:sz w:val="15"/>
                <w:szCs w:val="15"/>
                <w:color w:val="auto"/>
              </w:rPr>
            </w:pPr>
          </w:p>
        </w:tc>
        <w:tc>
          <w:tcPr>
            <w:tcW w:w="760" w:type="dxa"/>
            <w:vAlign w:val="bottom"/>
            <w:vMerge w:val="continue"/>
          </w:tcPr>
          <w:p>
            <w:pPr>
              <w:spacing w:after="0"/>
              <w:rPr>
                <w:sz w:val="15"/>
                <w:szCs w:val="15"/>
                <w:color w:val="auto"/>
              </w:rPr>
            </w:pPr>
          </w:p>
        </w:tc>
        <w:tc>
          <w:tcPr>
            <w:tcW w:w="220" w:type="dxa"/>
            <w:vAlign w:val="bottom"/>
            <w:vMerge w:val="continue"/>
          </w:tcPr>
          <w:p>
            <w:pPr>
              <w:spacing w:after="0"/>
              <w:rPr>
                <w:sz w:val="15"/>
                <w:szCs w:val="15"/>
                <w:color w:val="auto"/>
              </w:rPr>
            </w:pPr>
          </w:p>
        </w:tc>
        <w:tc>
          <w:tcPr>
            <w:tcW w:w="540" w:type="dxa"/>
            <w:vAlign w:val="bottom"/>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203"/>
        </w:trPr>
        <w:tc>
          <w:tcPr>
            <w:tcW w:w="6080" w:type="dxa"/>
            <w:vAlign w:val="bottom"/>
          </w:tcPr>
          <w:p>
            <w:pPr>
              <w:ind w:left="220"/>
              <w:spacing w:after="0" w:line="202" w:lineRule="exact"/>
              <w:rPr>
                <w:sz w:val="20"/>
                <w:szCs w:val="20"/>
                <w:color w:val="auto"/>
              </w:rPr>
            </w:pPr>
            <w:r>
              <w:rPr>
                <w:rFonts w:ascii="Arial" w:cs="Arial" w:eastAsia="Arial" w:hAnsi="Arial"/>
                <w:sz w:val="18"/>
                <w:szCs w:val="18"/>
                <w:color w:val="auto"/>
              </w:rPr>
              <w:t>Income from discontinued operations</w:t>
            </w:r>
          </w:p>
        </w:tc>
        <w:tc>
          <w:tcPr>
            <w:tcW w:w="1240" w:type="dxa"/>
            <w:vAlign w:val="bottom"/>
          </w:tcPr>
          <w:p>
            <w:pPr>
              <w:spacing w:after="0"/>
              <w:rPr>
                <w:sz w:val="17"/>
                <w:szCs w:val="17"/>
                <w:color w:val="auto"/>
              </w:rPr>
            </w:pPr>
          </w:p>
        </w:tc>
        <w:tc>
          <w:tcPr>
            <w:tcW w:w="600" w:type="dxa"/>
            <w:vAlign w:val="bottom"/>
          </w:tcPr>
          <w:p>
            <w:pPr>
              <w:jc w:val="right"/>
              <w:ind w:right="54"/>
              <w:spacing w:after="0" w:line="202" w:lineRule="exact"/>
              <w:rPr>
                <w:sz w:val="20"/>
                <w:szCs w:val="20"/>
                <w:color w:val="auto"/>
              </w:rPr>
            </w:pPr>
            <w:r>
              <w:rPr>
                <w:rFonts w:ascii="Arial" w:cs="Arial" w:eastAsia="Arial" w:hAnsi="Arial"/>
                <w:sz w:val="18"/>
                <w:szCs w:val="18"/>
                <w:b w:val="1"/>
                <w:bCs w:val="1"/>
                <w:color w:val="auto"/>
              </w:rPr>
              <w:t>0.01</w:t>
            </w:r>
          </w:p>
        </w:tc>
        <w:tc>
          <w:tcPr>
            <w:tcW w:w="260" w:type="dxa"/>
            <w:vAlign w:val="bottom"/>
          </w:tcPr>
          <w:p>
            <w:pPr>
              <w:spacing w:after="0"/>
              <w:rPr>
                <w:sz w:val="17"/>
                <w:szCs w:val="17"/>
                <w:color w:val="auto"/>
              </w:rPr>
            </w:pPr>
          </w:p>
        </w:tc>
        <w:tc>
          <w:tcPr>
            <w:tcW w:w="620" w:type="dxa"/>
            <w:vAlign w:val="bottom"/>
          </w:tcPr>
          <w:p>
            <w:pPr>
              <w:jc w:val="right"/>
              <w:ind w:right="74"/>
              <w:spacing w:after="0" w:line="202" w:lineRule="exact"/>
              <w:rPr>
                <w:sz w:val="20"/>
                <w:szCs w:val="20"/>
                <w:color w:val="auto"/>
              </w:rPr>
            </w:pPr>
            <w:r>
              <w:rPr>
                <w:rFonts w:ascii="Arial" w:cs="Arial" w:eastAsia="Arial" w:hAnsi="Arial"/>
                <w:sz w:val="18"/>
                <w:szCs w:val="18"/>
                <w:b w:val="1"/>
                <w:bCs w:val="1"/>
                <w:color w:val="auto"/>
              </w:rPr>
              <w:t>0.02</w:t>
            </w:r>
          </w:p>
        </w:tc>
        <w:tc>
          <w:tcPr>
            <w:tcW w:w="240" w:type="dxa"/>
            <w:vAlign w:val="bottom"/>
          </w:tcPr>
          <w:p>
            <w:pPr>
              <w:spacing w:after="0"/>
              <w:rPr>
                <w:sz w:val="17"/>
                <w:szCs w:val="17"/>
                <w:color w:val="auto"/>
              </w:rPr>
            </w:pPr>
          </w:p>
        </w:tc>
        <w:tc>
          <w:tcPr>
            <w:tcW w:w="620" w:type="dxa"/>
            <w:vAlign w:val="bottom"/>
          </w:tcPr>
          <w:p>
            <w:pPr>
              <w:jc w:val="right"/>
              <w:ind w:right="174"/>
              <w:spacing w:after="0" w:line="202" w:lineRule="exact"/>
              <w:rPr>
                <w:sz w:val="20"/>
                <w:szCs w:val="20"/>
                <w:color w:val="auto"/>
              </w:rPr>
            </w:pPr>
            <w:r>
              <w:rPr>
                <w:rFonts w:ascii="Arial" w:cs="Arial" w:eastAsia="Arial" w:hAnsi="Arial"/>
                <w:sz w:val="18"/>
                <w:szCs w:val="18"/>
                <w:b w:val="1"/>
                <w:bCs w:val="1"/>
                <w:color w:val="auto"/>
              </w:rPr>
              <w:t>—</w:t>
            </w:r>
          </w:p>
        </w:tc>
        <w:tc>
          <w:tcPr>
            <w:tcW w:w="240" w:type="dxa"/>
            <w:vAlign w:val="bottom"/>
          </w:tcPr>
          <w:p>
            <w:pPr>
              <w:spacing w:after="0"/>
              <w:rPr>
                <w:sz w:val="17"/>
                <w:szCs w:val="17"/>
                <w:color w:val="auto"/>
              </w:rPr>
            </w:pPr>
          </w:p>
        </w:tc>
        <w:tc>
          <w:tcPr>
            <w:tcW w:w="760" w:type="dxa"/>
            <w:vAlign w:val="bottom"/>
          </w:tcPr>
          <w:p>
            <w:pPr>
              <w:ind w:left="200"/>
              <w:spacing w:after="0" w:line="202" w:lineRule="exact"/>
              <w:rPr>
                <w:sz w:val="20"/>
                <w:szCs w:val="20"/>
                <w:color w:val="auto"/>
              </w:rPr>
            </w:pPr>
            <w:r>
              <w:rPr>
                <w:rFonts w:ascii="Arial" w:cs="Arial" w:eastAsia="Arial" w:hAnsi="Arial"/>
                <w:sz w:val="18"/>
                <w:szCs w:val="18"/>
                <w:b w:val="1"/>
                <w:bCs w:val="1"/>
                <w:color w:val="auto"/>
              </w:rPr>
              <w:t>—</w:t>
            </w:r>
          </w:p>
        </w:tc>
        <w:tc>
          <w:tcPr>
            <w:tcW w:w="220" w:type="dxa"/>
            <w:vAlign w:val="bottom"/>
          </w:tcPr>
          <w:p>
            <w:pPr>
              <w:spacing w:after="0"/>
              <w:rPr>
                <w:sz w:val="17"/>
                <w:szCs w:val="17"/>
                <w:color w:val="auto"/>
              </w:rPr>
            </w:pPr>
          </w:p>
        </w:tc>
        <w:tc>
          <w:tcPr>
            <w:tcW w:w="540" w:type="dxa"/>
            <w:vAlign w:val="bottom"/>
          </w:tcPr>
          <w:p>
            <w:pPr>
              <w:jc w:val="right"/>
              <w:spacing w:after="0" w:line="202" w:lineRule="exact"/>
              <w:rPr>
                <w:sz w:val="20"/>
                <w:szCs w:val="20"/>
                <w:color w:val="auto"/>
              </w:rPr>
            </w:pPr>
            <w:r>
              <w:rPr>
                <w:rFonts w:ascii="Arial" w:cs="Arial" w:eastAsia="Arial" w:hAnsi="Arial"/>
                <w:sz w:val="18"/>
                <w:szCs w:val="18"/>
                <w:b w:val="1"/>
                <w:bCs w:val="1"/>
                <w:color w:val="auto"/>
              </w:rPr>
              <w:t>0.03</w:t>
            </w:r>
          </w:p>
        </w:tc>
        <w:tc>
          <w:tcPr>
            <w:tcW w:w="0" w:type="dxa"/>
            <w:vAlign w:val="bottom"/>
          </w:tcPr>
          <w:p>
            <w:pPr>
              <w:spacing w:after="0"/>
              <w:rPr>
                <w:sz w:val="1"/>
                <w:szCs w:val="1"/>
                <w:color w:val="auto"/>
              </w:rPr>
            </w:pPr>
          </w:p>
        </w:tc>
      </w:tr>
      <w:tr>
        <w:trPr>
          <w:trHeight w:val="203"/>
        </w:trPr>
        <w:tc>
          <w:tcPr>
            <w:tcW w:w="6080" w:type="dxa"/>
            <w:vAlign w:val="bottom"/>
          </w:tcPr>
          <w:p>
            <w:pPr>
              <w:ind w:left="220"/>
              <w:spacing w:after="0" w:line="202" w:lineRule="exact"/>
              <w:rPr>
                <w:sz w:val="20"/>
                <w:szCs w:val="20"/>
                <w:color w:val="auto"/>
              </w:rPr>
            </w:pPr>
            <w:r>
              <w:rPr>
                <w:rFonts w:ascii="Arial" w:cs="Arial" w:eastAsia="Arial" w:hAnsi="Arial"/>
                <w:sz w:val="18"/>
                <w:szCs w:val="18"/>
                <w:color w:val="auto"/>
              </w:rPr>
              <w:t>Gain on discontinued operations</w:t>
            </w:r>
          </w:p>
        </w:tc>
        <w:tc>
          <w:tcPr>
            <w:tcW w:w="1240" w:type="dxa"/>
            <w:vAlign w:val="bottom"/>
          </w:tcPr>
          <w:p>
            <w:pPr>
              <w:spacing w:after="0"/>
              <w:rPr>
                <w:sz w:val="17"/>
                <w:szCs w:val="17"/>
                <w:color w:val="auto"/>
              </w:rPr>
            </w:pPr>
          </w:p>
        </w:tc>
        <w:tc>
          <w:tcPr>
            <w:tcW w:w="600" w:type="dxa"/>
            <w:vAlign w:val="bottom"/>
          </w:tcPr>
          <w:p>
            <w:pPr>
              <w:jc w:val="right"/>
              <w:ind w:right="154"/>
              <w:spacing w:after="0" w:line="202" w:lineRule="exact"/>
              <w:rPr>
                <w:sz w:val="20"/>
                <w:szCs w:val="20"/>
                <w:color w:val="auto"/>
              </w:rPr>
            </w:pPr>
            <w:r>
              <w:rPr>
                <w:rFonts w:ascii="Arial" w:cs="Arial" w:eastAsia="Arial" w:hAnsi="Arial"/>
                <w:sz w:val="18"/>
                <w:szCs w:val="18"/>
                <w:b w:val="1"/>
                <w:bCs w:val="1"/>
                <w:color w:val="auto"/>
              </w:rPr>
              <w:t>—</w:t>
            </w:r>
          </w:p>
        </w:tc>
        <w:tc>
          <w:tcPr>
            <w:tcW w:w="260" w:type="dxa"/>
            <w:vAlign w:val="bottom"/>
          </w:tcPr>
          <w:p>
            <w:pPr>
              <w:spacing w:after="0"/>
              <w:rPr>
                <w:sz w:val="17"/>
                <w:szCs w:val="17"/>
                <w:color w:val="auto"/>
              </w:rPr>
            </w:pPr>
          </w:p>
        </w:tc>
        <w:tc>
          <w:tcPr>
            <w:tcW w:w="620" w:type="dxa"/>
            <w:vAlign w:val="bottom"/>
          </w:tcPr>
          <w:p>
            <w:pPr>
              <w:jc w:val="right"/>
              <w:ind w:right="174"/>
              <w:spacing w:after="0" w:line="202" w:lineRule="exact"/>
              <w:rPr>
                <w:sz w:val="20"/>
                <w:szCs w:val="20"/>
                <w:color w:val="auto"/>
              </w:rPr>
            </w:pPr>
            <w:r>
              <w:rPr>
                <w:rFonts w:ascii="Arial" w:cs="Arial" w:eastAsia="Arial" w:hAnsi="Arial"/>
                <w:sz w:val="18"/>
                <w:szCs w:val="18"/>
                <w:b w:val="1"/>
                <w:bCs w:val="1"/>
                <w:color w:val="auto"/>
              </w:rPr>
              <w:t>—</w:t>
            </w:r>
          </w:p>
        </w:tc>
        <w:tc>
          <w:tcPr>
            <w:tcW w:w="240" w:type="dxa"/>
            <w:vAlign w:val="bottom"/>
          </w:tcPr>
          <w:p>
            <w:pPr>
              <w:spacing w:after="0"/>
              <w:rPr>
                <w:sz w:val="17"/>
                <w:szCs w:val="17"/>
                <w:color w:val="auto"/>
              </w:rPr>
            </w:pPr>
          </w:p>
        </w:tc>
        <w:tc>
          <w:tcPr>
            <w:tcW w:w="620" w:type="dxa"/>
            <w:vAlign w:val="bottom"/>
          </w:tcPr>
          <w:p>
            <w:pPr>
              <w:jc w:val="right"/>
              <w:ind w:right="74"/>
              <w:spacing w:after="0" w:line="202" w:lineRule="exact"/>
              <w:rPr>
                <w:sz w:val="20"/>
                <w:szCs w:val="20"/>
                <w:color w:val="auto"/>
              </w:rPr>
            </w:pPr>
            <w:r>
              <w:rPr>
                <w:rFonts w:ascii="Arial" w:cs="Arial" w:eastAsia="Arial" w:hAnsi="Arial"/>
                <w:sz w:val="18"/>
                <w:szCs w:val="18"/>
                <w:b w:val="1"/>
                <w:bCs w:val="1"/>
                <w:color w:val="auto"/>
              </w:rPr>
              <w:t>0.07</w:t>
            </w:r>
          </w:p>
        </w:tc>
        <w:tc>
          <w:tcPr>
            <w:tcW w:w="240" w:type="dxa"/>
            <w:vAlign w:val="bottom"/>
          </w:tcPr>
          <w:p>
            <w:pPr>
              <w:spacing w:after="0"/>
              <w:rPr>
                <w:sz w:val="17"/>
                <w:szCs w:val="17"/>
                <w:color w:val="auto"/>
              </w:rPr>
            </w:pPr>
          </w:p>
        </w:tc>
        <w:tc>
          <w:tcPr>
            <w:tcW w:w="760" w:type="dxa"/>
            <w:vAlign w:val="bottom"/>
          </w:tcPr>
          <w:p>
            <w:pPr>
              <w:jc w:val="right"/>
              <w:ind w:right="154"/>
              <w:spacing w:after="0" w:line="202" w:lineRule="exact"/>
              <w:rPr>
                <w:sz w:val="20"/>
                <w:szCs w:val="20"/>
                <w:color w:val="auto"/>
              </w:rPr>
            </w:pPr>
            <w:r>
              <w:rPr>
                <w:rFonts w:ascii="Arial" w:cs="Arial" w:eastAsia="Arial" w:hAnsi="Arial"/>
                <w:sz w:val="18"/>
                <w:szCs w:val="18"/>
                <w:b w:val="1"/>
                <w:bCs w:val="1"/>
                <w:color w:val="auto"/>
              </w:rPr>
              <w:t>(.01)</w:t>
            </w:r>
          </w:p>
        </w:tc>
        <w:tc>
          <w:tcPr>
            <w:tcW w:w="220" w:type="dxa"/>
            <w:vAlign w:val="bottom"/>
          </w:tcPr>
          <w:p>
            <w:pPr>
              <w:spacing w:after="0"/>
              <w:rPr>
                <w:sz w:val="17"/>
                <w:szCs w:val="17"/>
                <w:color w:val="auto"/>
              </w:rPr>
            </w:pPr>
          </w:p>
        </w:tc>
        <w:tc>
          <w:tcPr>
            <w:tcW w:w="540" w:type="dxa"/>
            <w:vAlign w:val="bottom"/>
          </w:tcPr>
          <w:p>
            <w:pPr>
              <w:jc w:val="right"/>
              <w:spacing w:after="0" w:line="202" w:lineRule="exact"/>
              <w:rPr>
                <w:sz w:val="20"/>
                <w:szCs w:val="20"/>
                <w:color w:val="auto"/>
              </w:rPr>
            </w:pPr>
            <w:r>
              <w:rPr>
                <w:rFonts w:ascii="Arial" w:cs="Arial" w:eastAsia="Arial" w:hAnsi="Arial"/>
                <w:sz w:val="18"/>
                <w:szCs w:val="18"/>
                <w:b w:val="1"/>
                <w:bCs w:val="1"/>
                <w:color w:val="auto"/>
              </w:rPr>
              <w:t>0.06</w:t>
            </w:r>
          </w:p>
        </w:tc>
        <w:tc>
          <w:tcPr>
            <w:tcW w:w="0" w:type="dxa"/>
            <w:vAlign w:val="bottom"/>
          </w:tcPr>
          <w:p>
            <w:pPr>
              <w:spacing w:after="0"/>
              <w:rPr>
                <w:sz w:val="1"/>
                <w:szCs w:val="1"/>
                <w:color w:val="auto"/>
              </w:rPr>
            </w:pPr>
          </w:p>
        </w:tc>
      </w:tr>
      <w:tr>
        <w:trPr>
          <w:trHeight w:val="225"/>
        </w:trPr>
        <w:tc>
          <w:tcPr>
            <w:tcW w:w="6080" w:type="dxa"/>
            <w:vAlign w:val="bottom"/>
          </w:tcPr>
          <w:p>
            <w:pPr>
              <w:ind w:left="220"/>
              <w:spacing w:after="0"/>
              <w:rPr>
                <w:sz w:val="20"/>
                <w:szCs w:val="20"/>
                <w:color w:val="auto"/>
              </w:rPr>
            </w:pPr>
            <w:r>
              <w:rPr>
                <w:rFonts w:ascii="Arial" w:cs="Arial" w:eastAsia="Arial" w:hAnsi="Arial"/>
                <w:sz w:val="18"/>
                <w:szCs w:val="18"/>
                <w:color w:val="auto"/>
              </w:rPr>
              <w:t>Net income</w:t>
            </w:r>
          </w:p>
        </w:tc>
        <w:tc>
          <w:tcPr>
            <w:tcW w:w="1240" w:type="dxa"/>
            <w:vAlign w:val="bottom"/>
          </w:tcPr>
          <w:p>
            <w:pPr>
              <w:jc w:val="right"/>
              <w:spacing w:after="0"/>
              <w:rPr>
                <w:sz w:val="20"/>
                <w:szCs w:val="20"/>
                <w:color w:val="auto"/>
              </w:rPr>
            </w:pPr>
            <w:r>
              <w:rPr>
                <w:rFonts w:ascii="Arial" w:cs="Arial" w:eastAsia="Arial" w:hAnsi="Arial"/>
                <w:sz w:val="18"/>
                <w:szCs w:val="18"/>
                <w:b w:val="1"/>
                <w:bCs w:val="1"/>
                <w:color w:val="auto"/>
              </w:rPr>
              <w:t>$</w:t>
            </w:r>
          </w:p>
        </w:tc>
        <w:tc>
          <w:tcPr>
            <w:tcW w:w="600" w:type="dxa"/>
            <w:vAlign w:val="bottom"/>
          </w:tcPr>
          <w:p>
            <w:pPr>
              <w:jc w:val="right"/>
              <w:ind w:right="54"/>
              <w:spacing w:after="0"/>
              <w:rPr>
                <w:sz w:val="20"/>
                <w:szCs w:val="20"/>
                <w:color w:val="auto"/>
              </w:rPr>
            </w:pPr>
            <w:r>
              <w:rPr>
                <w:rFonts w:ascii="Arial" w:cs="Arial" w:eastAsia="Arial" w:hAnsi="Arial"/>
                <w:sz w:val="18"/>
                <w:szCs w:val="18"/>
                <w:b w:val="1"/>
                <w:bCs w:val="1"/>
                <w:color w:val="auto"/>
              </w:rPr>
              <w:t>0.15</w:t>
            </w:r>
          </w:p>
        </w:tc>
        <w:tc>
          <w:tcPr>
            <w:tcW w:w="260" w:type="dxa"/>
            <w:vAlign w:val="bottom"/>
          </w:tcPr>
          <w:p>
            <w:pPr>
              <w:jc w:val="right"/>
              <w:spacing w:after="0"/>
              <w:rPr>
                <w:sz w:val="20"/>
                <w:szCs w:val="20"/>
                <w:color w:val="auto"/>
              </w:rPr>
            </w:pPr>
            <w:r>
              <w:rPr>
                <w:rFonts w:ascii="Arial" w:cs="Arial" w:eastAsia="Arial" w:hAnsi="Arial"/>
                <w:sz w:val="18"/>
                <w:szCs w:val="18"/>
                <w:b w:val="1"/>
                <w:bCs w:val="1"/>
                <w:color w:val="auto"/>
              </w:rPr>
              <w:t>$</w:t>
            </w:r>
          </w:p>
        </w:tc>
        <w:tc>
          <w:tcPr>
            <w:tcW w:w="620" w:type="dxa"/>
            <w:vAlign w:val="bottom"/>
          </w:tcPr>
          <w:p>
            <w:pPr>
              <w:jc w:val="right"/>
              <w:ind w:right="74"/>
              <w:spacing w:after="0"/>
              <w:rPr>
                <w:sz w:val="20"/>
                <w:szCs w:val="20"/>
                <w:color w:val="auto"/>
              </w:rPr>
            </w:pPr>
            <w:r>
              <w:rPr>
                <w:rFonts w:ascii="Arial" w:cs="Arial" w:eastAsia="Arial" w:hAnsi="Arial"/>
                <w:sz w:val="18"/>
                <w:szCs w:val="18"/>
                <w:b w:val="1"/>
                <w:bCs w:val="1"/>
                <w:color w:val="auto"/>
              </w:rPr>
              <w:t>0.15</w:t>
            </w:r>
          </w:p>
        </w:tc>
        <w:tc>
          <w:tcPr>
            <w:tcW w:w="240" w:type="dxa"/>
            <w:vAlign w:val="bottom"/>
          </w:tcPr>
          <w:p>
            <w:pPr>
              <w:jc w:val="right"/>
              <w:spacing w:after="0"/>
              <w:rPr>
                <w:sz w:val="20"/>
                <w:szCs w:val="20"/>
                <w:color w:val="auto"/>
              </w:rPr>
            </w:pPr>
            <w:r>
              <w:rPr>
                <w:rFonts w:ascii="Arial" w:cs="Arial" w:eastAsia="Arial" w:hAnsi="Arial"/>
                <w:sz w:val="18"/>
                <w:szCs w:val="18"/>
                <w:b w:val="1"/>
                <w:bCs w:val="1"/>
                <w:color w:val="auto"/>
              </w:rPr>
              <w:t>$</w:t>
            </w:r>
          </w:p>
        </w:tc>
        <w:tc>
          <w:tcPr>
            <w:tcW w:w="620" w:type="dxa"/>
            <w:vAlign w:val="bottom"/>
          </w:tcPr>
          <w:p>
            <w:pPr>
              <w:jc w:val="right"/>
              <w:ind w:right="74"/>
              <w:spacing w:after="0"/>
              <w:rPr>
                <w:sz w:val="20"/>
                <w:szCs w:val="20"/>
                <w:color w:val="auto"/>
              </w:rPr>
            </w:pPr>
            <w:r>
              <w:rPr>
                <w:rFonts w:ascii="Arial" w:cs="Arial" w:eastAsia="Arial" w:hAnsi="Arial"/>
                <w:sz w:val="18"/>
                <w:szCs w:val="18"/>
                <w:b w:val="1"/>
                <w:bCs w:val="1"/>
                <w:color w:val="auto"/>
              </w:rPr>
              <w:t>0.38</w:t>
            </w:r>
          </w:p>
        </w:tc>
        <w:tc>
          <w:tcPr>
            <w:tcW w:w="240" w:type="dxa"/>
            <w:vAlign w:val="bottom"/>
          </w:tcPr>
          <w:p>
            <w:pPr>
              <w:jc w:val="right"/>
              <w:spacing w:after="0"/>
              <w:rPr>
                <w:sz w:val="20"/>
                <w:szCs w:val="20"/>
                <w:color w:val="auto"/>
              </w:rPr>
            </w:pPr>
            <w:r>
              <w:rPr>
                <w:rFonts w:ascii="Arial" w:cs="Arial" w:eastAsia="Arial" w:hAnsi="Arial"/>
                <w:sz w:val="18"/>
                <w:szCs w:val="18"/>
                <w:b w:val="1"/>
                <w:bCs w:val="1"/>
                <w:color w:val="auto"/>
              </w:rPr>
              <w:t>$</w:t>
            </w:r>
          </w:p>
        </w:tc>
        <w:tc>
          <w:tcPr>
            <w:tcW w:w="760" w:type="dxa"/>
            <w:vAlign w:val="bottom"/>
          </w:tcPr>
          <w:p>
            <w:pPr>
              <w:jc w:val="right"/>
              <w:ind w:right="214"/>
              <w:spacing w:after="0"/>
              <w:rPr>
                <w:sz w:val="20"/>
                <w:szCs w:val="20"/>
                <w:color w:val="auto"/>
              </w:rPr>
            </w:pPr>
            <w:r>
              <w:rPr>
                <w:rFonts w:ascii="Arial" w:cs="Arial" w:eastAsia="Arial" w:hAnsi="Arial"/>
                <w:sz w:val="18"/>
                <w:szCs w:val="18"/>
                <w:b w:val="1"/>
                <w:bCs w:val="1"/>
                <w:color w:val="auto"/>
              </w:rPr>
              <w:t>0.13</w:t>
            </w:r>
          </w:p>
        </w:tc>
        <w:tc>
          <w:tcPr>
            <w:tcW w:w="220" w:type="dxa"/>
            <w:vAlign w:val="bottom"/>
          </w:tcPr>
          <w:p>
            <w:pPr>
              <w:jc w:val="right"/>
              <w:spacing w:after="0"/>
              <w:rPr>
                <w:sz w:val="20"/>
                <w:szCs w:val="20"/>
                <w:color w:val="auto"/>
              </w:rPr>
            </w:pPr>
            <w:r>
              <w:rPr>
                <w:rFonts w:ascii="Arial" w:cs="Arial" w:eastAsia="Arial" w:hAnsi="Arial"/>
                <w:sz w:val="18"/>
                <w:szCs w:val="18"/>
                <w:b w:val="1"/>
                <w:bCs w:val="1"/>
                <w:color w:val="auto"/>
              </w:rPr>
              <w:t>$</w:t>
            </w:r>
          </w:p>
        </w:tc>
        <w:tc>
          <w:tcPr>
            <w:tcW w:w="540" w:type="dxa"/>
            <w:vAlign w:val="bottom"/>
          </w:tcPr>
          <w:p>
            <w:pPr>
              <w:jc w:val="right"/>
              <w:spacing w:after="0"/>
              <w:rPr>
                <w:sz w:val="20"/>
                <w:szCs w:val="20"/>
                <w:color w:val="auto"/>
              </w:rPr>
            </w:pPr>
            <w:r>
              <w:rPr>
                <w:rFonts w:ascii="Arial" w:cs="Arial" w:eastAsia="Arial" w:hAnsi="Arial"/>
                <w:sz w:val="18"/>
                <w:szCs w:val="18"/>
                <w:b w:val="1"/>
                <w:bCs w:val="1"/>
                <w:color w:val="auto"/>
              </w:rPr>
              <w:t>0.80</w:t>
            </w:r>
          </w:p>
        </w:tc>
        <w:tc>
          <w:tcPr>
            <w:tcW w:w="0" w:type="dxa"/>
            <w:vAlign w:val="bottom"/>
          </w:tcPr>
          <w:p>
            <w:pPr>
              <w:spacing w:after="0"/>
              <w:rPr>
                <w:sz w:val="1"/>
                <w:szCs w:val="1"/>
                <w:color w:val="auto"/>
              </w:rPr>
            </w:pPr>
          </w:p>
        </w:tc>
      </w:tr>
      <w:tr>
        <w:trPr>
          <w:trHeight w:val="203"/>
        </w:trPr>
        <w:tc>
          <w:tcPr>
            <w:tcW w:w="6080" w:type="dxa"/>
            <w:vAlign w:val="bottom"/>
          </w:tcPr>
          <w:p>
            <w:pPr>
              <w:spacing w:after="0" w:line="203" w:lineRule="exact"/>
              <w:rPr>
                <w:sz w:val="20"/>
                <w:szCs w:val="20"/>
                <w:color w:val="auto"/>
              </w:rPr>
            </w:pPr>
            <w:r>
              <w:rPr>
                <w:rFonts w:ascii="Arial" w:cs="Arial" w:eastAsia="Arial" w:hAnsi="Arial"/>
                <w:sz w:val="18"/>
                <w:szCs w:val="18"/>
                <w:color w:val="auto"/>
              </w:rPr>
              <w:t>Diluted earnings for common stockholders per common share</w:t>
            </w:r>
            <w:r>
              <w:rPr>
                <w:rFonts w:ascii="Arial" w:cs="Arial" w:eastAsia="Arial" w:hAnsi="Arial"/>
                <w:sz w:val="22"/>
                <w:szCs w:val="22"/>
                <w:color w:val="auto"/>
                <w:vertAlign w:val="superscript"/>
              </w:rPr>
              <w:t>(c)</w:t>
            </w:r>
          </w:p>
        </w:tc>
        <w:tc>
          <w:tcPr>
            <w:tcW w:w="1240" w:type="dxa"/>
            <w:vAlign w:val="bottom"/>
            <w:vMerge w:val="restart"/>
          </w:tcPr>
          <w:p>
            <w:pPr>
              <w:jc w:val="right"/>
              <w:spacing w:after="0"/>
              <w:rPr>
                <w:sz w:val="20"/>
                <w:szCs w:val="20"/>
                <w:color w:val="auto"/>
              </w:rPr>
            </w:pPr>
            <w:r>
              <w:rPr>
                <w:rFonts w:ascii="Arial" w:cs="Arial" w:eastAsia="Arial" w:hAnsi="Arial"/>
                <w:sz w:val="18"/>
                <w:szCs w:val="18"/>
                <w:b w:val="1"/>
                <w:bCs w:val="1"/>
                <w:color w:val="auto"/>
              </w:rPr>
              <w:t>$</w:t>
            </w:r>
          </w:p>
        </w:tc>
        <w:tc>
          <w:tcPr>
            <w:tcW w:w="600" w:type="dxa"/>
            <w:vAlign w:val="bottom"/>
            <w:vMerge w:val="restart"/>
          </w:tcPr>
          <w:p>
            <w:pPr>
              <w:jc w:val="right"/>
              <w:ind w:right="54"/>
              <w:spacing w:after="0"/>
              <w:rPr>
                <w:sz w:val="20"/>
                <w:szCs w:val="20"/>
                <w:color w:val="auto"/>
              </w:rPr>
            </w:pPr>
            <w:r>
              <w:rPr>
                <w:rFonts w:ascii="Arial" w:cs="Arial" w:eastAsia="Arial" w:hAnsi="Arial"/>
                <w:sz w:val="18"/>
                <w:szCs w:val="18"/>
                <w:b w:val="1"/>
                <w:bCs w:val="1"/>
                <w:color w:val="auto"/>
              </w:rPr>
              <w:t>0.14</w:t>
            </w:r>
          </w:p>
        </w:tc>
        <w:tc>
          <w:tcPr>
            <w:tcW w:w="260" w:type="dxa"/>
            <w:vAlign w:val="bottom"/>
            <w:vMerge w:val="restart"/>
          </w:tcPr>
          <w:p>
            <w:pPr>
              <w:jc w:val="right"/>
              <w:spacing w:after="0"/>
              <w:rPr>
                <w:sz w:val="20"/>
                <w:szCs w:val="20"/>
                <w:color w:val="auto"/>
              </w:rPr>
            </w:pPr>
            <w:r>
              <w:rPr>
                <w:rFonts w:ascii="Arial" w:cs="Arial" w:eastAsia="Arial" w:hAnsi="Arial"/>
                <w:sz w:val="18"/>
                <w:szCs w:val="18"/>
                <w:b w:val="1"/>
                <w:bCs w:val="1"/>
                <w:color w:val="auto"/>
              </w:rPr>
              <w:t>$</w:t>
            </w:r>
          </w:p>
        </w:tc>
        <w:tc>
          <w:tcPr>
            <w:tcW w:w="620" w:type="dxa"/>
            <w:vAlign w:val="bottom"/>
            <w:vMerge w:val="restart"/>
          </w:tcPr>
          <w:p>
            <w:pPr>
              <w:jc w:val="right"/>
              <w:ind w:right="74"/>
              <w:spacing w:after="0"/>
              <w:rPr>
                <w:sz w:val="20"/>
                <w:szCs w:val="20"/>
                <w:color w:val="auto"/>
              </w:rPr>
            </w:pPr>
            <w:r>
              <w:rPr>
                <w:rFonts w:ascii="Arial" w:cs="Arial" w:eastAsia="Arial" w:hAnsi="Arial"/>
                <w:sz w:val="18"/>
                <w:szCs w:val="18"/>
                <w:b w:val="1"/>
                <w:bCs w:val="1"/>
                <w:color w:val="auto"/>
              </w:rPr>
              <w:t>0.13</w:t>
            </w:r>
          </w:p>
        </w:tc>
        <w:tc>
          <w:tcPr>
            <w:tcW w:w="240" w:type="dxa"/>
            <w:vAlign w:val="bottom"/>
            <w:vMerge w:val="restart"/>
          </w:tcPr>
          <w:p>
            <w:pPr>
              <w:jc w:val="right"/>
              <w:spacing w:after="0"/>
              <w:rPr>
                <w:sz w:val="20"/>
                <w:szCs w:val="20"/>
                <w:color w:val="auto"/>
              </w:rPr>
            </w:pPr>
            <w:r>
              <w:rPr>
                <w:rFonts w:ascii="Arial" w:cs="Arial" w:eastAsia="Arial" w:hAnsi="Arial"/>
                <w:sz w:val="18"/>
                <w:szCs w:val="18"/>
                <w:b w:val="1"/>
                <w:bCs w:val="1"/>
                <w:color w:val="auto"/>
              </w:rPr>
              <w:t>$</w:t>
            </w:r>
          </w:p>
        </w:tc>
        <w:tc>
          <w:tcPr>
            <w:tcW w:w="620" w:type="dxa"/>
            <w:vAlign w:val="bottom"/>
            <w:vMerge w:val="restart"/>
          </w:tcPr>
          <w:p>
            <w:pPr>
              <w:jc w:val="right"/>
              <w:ind w:right="74"/>
              <w:spacing w:after="0"/>
              <w:rPr>
                <w:sz w:val="20"/>
                <w:szCs w:val="20"/>
                <w:color w:val="auto"/>
              </w:rPr>
            </w:pPr>
            <w:r>
              <w:rPr>
                <w:rFonts w:ascii="Arial" w:cs="Arial" w:eastAsia="Arial" w:hAnsi="Arial"/>
                <w:sz w:val="18"/>
                <w:szCs w:val="18"/>
                <w:b w:val="1"/>
                <w:bCs w:val="1"/>
                <w:color w:val="auto"/>
              </w:rPr>
              <w:t>0.31</w:t>
            </w:r>
          </w:p>
        </w:tc>
        <w:tc>
          <w:tcPr>
            <w:tcW w:w="240" w:type="dxa"/>
            <w:vAlign w:val="bottom"/>
            <w:vMerge w:val="restart"/>
          </w:tcPr>
          <w:p>
            <w:pPr>
              <w:jc w:val="right"/>
              <w:spacing w:after="0"/>
              <w:rPr>
                <w:sz w:val="20"/>
                <w:szCs w:val="20"/>
                <w:color w:val="auto"/>
              </w:rPr>
            </w:pPr>
            <w:r>
              <w:rPr>
                <w:rFonts w:ascii="Arial" w:cs="Arial" w:eastAsia="Arial" w:hAnsi="Arial"/>
                <w:sz w:val="18"/>
                <w:szCs w:val="18"/>
                <w:b w:val="1"/>
                <w:bCs w:val="1"/>
                <w:color w:val="auto"/>
              </w:rPr>
              <w:t>$</w:t>
            </w:r>
          </w:p>
        </w:tc>
        <w:tc>
          <w:tcPr>
            <w:tcW w:w="760" w:type="dxa"/>
            <w:vAlign w:val="bottom"/>
            <w:vMerge w:val="restart"/>
          </w:tcPr>
          <w:p>
            <w:pPr>
              <w:jc w:val="right"/>
              <w:ind w:right="214"/>
              <w:spacing w:after="0"/>
              <w:rPr>
                <w:sz w:val="20"/>
                <w:szCs w:val="20"/>
                <w:color w:val="auto"/>
              </w:rPr>
            </w:pPr>
            <w:r>
              <w:rPr>
                <w:rFonts w:ascii="Arial" w:cs="Arial" w:eastAsia="Arial" w:hAnsi="Arial"/>
                <w:sz w:val="18"/>
                <w:szCs w:val="18"/>
                <w:b w:val="1"/>
                <w:bCs w:val="1"/>
                <w:color w:val="auto"/>
              </w:rPr>
              <w:t>0.14</w:t>
            </w:r>
          </w:p>
        </w:tc>
        <w:tc>
          <w:tcPr>
            <w:tcW w:w="220" w:type="dxa"/>
            <w:vAlign w:val="bottom"/>
            <w:vMerge w:val="restart"/>
          </w:tcPr>
          <w:p>
            <w:pPr>
              <w:jc w:val="right"/>
              <w:spacing w:after="0"/>
              <w:rPr>
                <w:sz w:val="20"/>
                <w:szCs w:val="20"/>
                <w:color w:val="auto"/>
              </w:rPr>
            </w:pPr>
            <w:r>
              <w:rPr>
                <w:rFonts w:ascii="Arial" w:cs="Arial" w:eastAsia="Arial" w:hAnsi="Arial"/>
                <w:sz w:val="18"/>
                <w:szCs w:val="18"/>
                <w:b w:val="1"/>
                <w:bCs w:val="1"/>
                <w:color w:val="auto"/>
              </w:rPr>
              <w:t>$</w:t>
            </w:r>
          </w:p>
        </w:tc>
        <w:tc>
          <w:tcPr>
            <w:tcW w:w="540" w:type="dxa"/>
            <w:vAlign w:val="bottom"/>
            <w:vMerge w:val="restart"/>
          </w:tcPr>
          <w:p>
            <w:pPr>
              <w:jc w:val="right"/>
              <w:spacing w:after="0"/>
              <w:rPr>
                <w:sz w:val="20"/>
                <w:szCs w:val="20"/>
                <w:color w:val="auto"/>
              </w:rPr>
            </w:pPr>
            <w:r>
              <w:rPr>
                <w:rFonts w:ascii="Arial" w:cs="Arial" w:eastAsia="Arial" w:hAnsi="Arial"/>
                <w:sz w:val="18"/>
                <w:szCs w:val="18"/>
                <w:b w:val="1"/>
                <w:bCs w:val="1"/>
                <w:color w:val="auto"/>
              </w:rPr>
              <w:t>0.70</w:t>
            </w:r>
          </w:p>
        </w:tc>
        <w:tc>
          <w:tcPr>
            <w:tcW w:w="0" w:type="dxa"/>
            <w:vAlign w:val="bottom"/>
          </w:tcPr>
          <w:p>
            <w:pPr>
              <w:spacing w:after="0"/>
              <w:rPr>
                <w:sz w:val="1"/>
                <w:szCs w:val="1"/>
                <w:color w:val="auto"/>
              </w:rPr>
            </w:pPr>
          </w:p>
        </w:tc>
      </w:tr>
      <w:tr>
        <w:trPr>
          <w:trHeight w:val="181"/>
        </w:trPr>
        <w:tc>
          <w:tcPr>
            <w:tcW w:w="6080" w:type="dxa"/>
            <w:vAlign w:val="bottom"/>
          </w:tcPr>
          <w:p>
            <w:pPr>
              <w:ind w:left="220"/>
              <w:spacing w:after="0" w:line="181" w:lineRule="exact"/>
              <w:rPr>
                <w:sz w:val="20"/>
                <w:szCs w:val="20"/>
                <w:color w:val="auto"/>
              </w:rPr>
            </w:pPr>
            <w:r>
              <w:rPr>
                <w:rFonts w:ascii="Arial" w:cs="Arial" w:eastAsia="Arial" w:hAnsi="Arial"/>
                <w:sz w:val="18"/>
                <w:szCs w:val="18"/>
                <w:color w:val="auto"/>
              </w:rPr>
              <w:t>Income from continuing operations</w:t>
            </w:r>
          </w:p>
        </w:tc>
        <w:tc>
          <w:tcPr>
            <w:tcW w:w="1240" w:type="dxa"/>
            <w:vAlign w:val="bottom"/>
            <w:vMerge w:val="continue"/>
          </w:tcPr>
          <w:p>
            <w:pPr>
              <w:spacing w:after="0"/>
              <w:rPr>
                <w:sz w:val="15"/>
                <w:szCs w:val="15"/>
                <w:color w:val="auto"/>
              </w:rPr>
            </w:pPr>
          </w:p>
        </w:tc>
        <w:tc>
          <w:tcPr>
            <w:tcW w:w="600" w:type="dxa"/>
            <w:vAlign w:val="bottom"/>
            <w:vMerge w:val="continue"/>
          </w:tcPr>
          <w:p>
            <w:pPr>
              <w:spacing w:after="0"/>
              <w:rPr>
                <w:sz w:val="15"/>
                <w:szCs w:val="15"/>
                <w:color w:val="auto"/>
              </w:rPr>
            </w:pPr>
          </w:p>
        </w:tc>
        <w:tc>
          <w:tcPr>
            <w:tcW w:w="260" w:type="dxa"/>
            <w:vAlign w:val="bottom"/>
            <w:vMerge w:val="continue"/>
          </w:tcPr>
          <w:p>
            <w:pPr>
              <w:spacing w:after="0"/>
              <w:rPr>
                <w:sz w:val="15"/>
                <w:szCs w:val="15"/>
                <w:color w:val="auto"/>
              </w:rPr>
            </w:pPr>
          </w:p>
        </w:tc>
        <w:tc>
          <w:tcPr>
            <w:tcW w:w="620" w:type="dxa"/>
            <w:vAlign w:val="bottom"/>
            <w:vMerge w:val="continue"/>
          </w:tcPr>
          <w:p>
            <w:pPr>
              <w:spacing w:after="0"/>
              <w:rPr>
                <w:sz w:val="15"/>
                <w:szCs w:val="15"/>
                <w:color w:val="auto"/>
              </w:rPr>
            </w:pPr>
          </w:p>
        </w:tc>
        <w:tc>
          <w:tcPr>
            <w:tcW w:w="240" w:type="dxa"/>
            <w:vAlign w:val="bottom"/>
            <w:vMerge w:val="continue"/>
          </w:tcPr>
          <w:p>
            <w:pPr>
              <w:spacing w:after="0"/>
              <w:rPr>
                <w:sz w:val="15"/>
                <w:szCs w:val="15"/>
                <w:color w:val="auto"/>
              </w:rPr>
            </w:pPr>
          </w:p>
        </w:tc>
        <w:tc>
          <w:tcPr>
            <w:tcW w:w="620" w:type="dxa"/>
            <w:vAlign w:val="bottom"/>
            <w:vMerge w:val="continue"/>
          </w:tcPr>
          <w:p>
            <w:pPr>
              <w:spacing w:after="0"/>
              <w:rPr>
                <w:sz w:val="15"/>
                <w:szCs w:val="15"/>
                <w:color w:val="auto"/>
              </w:rPr>
            </w:pPr>
          </w:p>
        </w:tc>
        <w:tc>
          <w:tcPr>
            <w:tcW w:w="240" w:type="dxa"/>
            <w:vAlign w:val="bottom"/>
            <w:vMerge w:val="continue"/>
          </w:tcPr>
          <w:p>
            <w:pPr>
              <w:spacing w:after="0"/>
              <w:rPr>
                <w:sz w:val="15"/>
                <w:szCs w:val="15"/>
                <w:color w:val="auto"/>
              </w:rPr>
            </w:pPr>
          </w:p>
        </w:tc>
        <w:tc>
          <w:tcPr>
            <w:tcW w:w="760" w:type="dxa"/>
            <w:vAlign w:val="bottom"/>
            <w:vMerge w:val="continue"/>
          </w:tcPr>
          <w:p>
            <w:pPr>
              <w:spacing w:after="0"/>
              <w:rPr>
                <w:sz w:val="15"/>
                <w:szCs w:val="15"/>
                <w:color w:val="auto"/>
              </w:rPr>
            </w:pPr>
          </w:p>
        </w:tc>
        <w:tc>
          <w:tcPr>
            <w:tcW w:w="220" w:type="dxa"/>
            <w:vAlign w:val="bottom"/>
            <w:vMerge w:val="continue"/>
          </w:tcPr>
          <w:p>
            <w:pPr>
              <w:spacing w:after="0"/>
              <w:rPr>
                <w:sz w:val="15"/>
                <w:szCs w:val="15"/>
                <w:color w:val="auto"/>
              </w:rPr>
            </w:pPr>
          </w:p>
        </w:tc>
        <w:tc>
          <w:tcPr>
            <w:tcW w:w="540" w:type="dxa"/>
            <w:vAlign w:val="bottom"/>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203"/>
        </w:trPr>
        <w:tc>
          <w:tcPr>
            <w:tcW w:w="6080" w:type="dxa"/>
            <w:vAlign w:val="bottom"/>
          </w:tcPr>
          <w:p>
            <w:pPr>
              <w:ind w:left="220"/>
              <w:spacing w:after="0" w:line="202" w:lineRule="exact"/>
              <w:rPr>
                <w:sz w:val="20"/>
                <w:szCs w:val="20"/>
                <w:color w:val="auto"/>
              </w:rPr>
            </w:pPr>
            <w:r>
              <w:rPr>
                <w:rFonts w:ascii="Arial" w:cs="Arial" w:eastAsia="Arial" w:hAnsi="Arial"/>
                <w:sz w:val="18"/>
                <w:szCs w:val="18"/>
                <w:color w:val="auto"/>
              </w:rPr>
              <w:t>Income from discontinued operations</w:t>
            </w:r>
          </w:p>
        </w:tc>
        <w:tc>
          <w:tcPr>
            <w:tcW w:w="1240" w:type="dxa"/>
            <w:vAlign w:val="bottom"/>
          </w:tcPr>
          <w:p>
            <w:pPr>
              <w:spacing w:after="0"/>
              <w:rPr>
                <w:sz w:val="17"/>
                <w:szCs w:val="17"/>
                <w:color w:val="auto"/>
              </w:rPr>
            </w:pPr>
          </w:p>
        </w:tc>
        <w:tc>
          <w:tcPr>
            <w:tcW w:w="600" w:type="dxa"/>
            <w:vAlign w:val="bottom"/>
          </w:tcPr>
          <w:p>
            <w:pPr>
              <w:jc w:val="right"/>
              <w:ind w:right="54"/>
              <w:spacing w:after="0" w:line="202" w:lineRule="exact"/>
              <w:rPr>
                <w:sz w:val="20"/>
                <w:szCs w:val="20"/>
                <w:color w:val="auto"/>
              </w:rPr>
            </w:pPr>
            <w:r>
              <w:rPr>
                <w:rFonts w:ascii="Arial" w:cs="Arial" w:eastAsia="Arial" w:hAnsi="Arial"/>
                <w:sz w:val="18"/>
                <w:szCs w:val="18"/>
                <w:b w:val="1"/>
                <w:bCs w:val="1"/>
                <w:color w:val="auto"/>
              </w:rPr>
              <w:t>0.01</w:t>
            </w:r>
          </w:p>
        </w:tc>
        <w:tc>
          <w:tcPr>
            <w:tcW w:w="260" w:type="dxa"/>
            <w:vAlign w:val="bottom"/>
          </w:tcPr>
          <w:p>
            <w:pPr>
              <w:spacing w:after="0"/>
              <w:rPr>
                <w:sz w:val="17"/>
                <w:szCs w:val="17"/>
                <w:color w:val="auto"/>
              </w:rPr>
            </w:pPr>
          </w:p>
        </w:tc>
        <w:tc>
          <w:tcPr>
            <w:tcW w:w="620" w:type="dxa"/>
            <w:vAlign w:val="bottom"/>
          </w:tcPr>
          <w:p>
            <w:pPr>
              <w:jc w:val="right"/>
              <w:ind w:right="74"/>
              <w:spacing w:after="0" w:line="202" w:lineRule="exact"/>
              <w:rPr>
                <w:sz w:val="20"/>
                <w:szCs w:val="20"/>
                <w:color w:val="auto"/>
              </w:rPr>
            </w:pPr>
            <w:r>
              <w:rPr>
                <w:rFonts w:ascii="Arial" w:cs="Arial" w:eastAsia="Arial" w:hAnsi="Arial"/>
                <w:sz w:val="18"/>
                <w:szCs w:val="18"/>
                <w:b w:val="1"/>
                <w:bCs w:val="1"/>
                <w:color w:val="auto"/>
              </w:rPr>
              <w:t>0.02</w:t>
            </w:r>
          </w:p>
        </w:tc>
        <w:tc>
          <w:tcPr>
            <w:tcW w:w="240" w:type="dxa"/>
            <w:vAlign w:val="bottom"/>
          </w:tcPr>
          <w:p>
            <w:pPr>
              <w:spacing w:after="0"/>
              <w:rPr>
                <w:sz w:val="17"/>
                <w:szCs w:val="17"/>
                <w:color w:val="auto"/>
              </w:rPr>
            </w:pPr>
          </w:p>
        </w:tc>
        <w:tc>
          <w:tcPr>
            <w:tcW w:w="620" w:type="dxa"/>
            <w:vAlign w:val="bottom"/>
          </w:tcPr>
          <w:p>
            <w:pPr>
              <w:jc w:val="right"/>
              <w:ind w:right="174"/>
              <w:spacing w:after="0" w:line="202" w:lineRule="exact"/>
              <w:rPr>
                <w:sz w:val="20"/>
                <w:szCs w:val="20"/>
                <w:color w:val="auto"/>
              </w:rPr>
            </w:pPr>
            <w:r>
              <w:rPr>
                <w:rFonts w:ascii="Arial" w:cs="Arial" w:eastAsia="Arial" w:hAnsi="Arial"/>
                <w:sz w:val="18"/>
                <w:szCs w:val="18"/>
                <w:b w:val="1"/>
                <w:bCs w:val="1"/>
                <w:color w:val="auto"/>
              </w:rPr>
              <w:t>—</w:t>
            </w:r>
          </w:p>
        </w:tc>
        <w:tc>
          <w:tcPr>
            <w:tcW w:w="240" w:type="dxa"/>
            <w:vAlign w:val="bottom"/>
          </w:tcPr>
          <w:p>
            <w:pPr>
              <w:spacing w:after="0"/>
              <w:rPr>
                <w:sz w:val="17"/>
                <w:szCs w:val="17"/>
                <w:color w:val="auto"/>
              </w:rPr>
            </w:pPr>
          </w:p>
        </w:tc>
        <w:tc>
          <w:tcPr>
            <w:tcW w:w="760" w:type="dxa"/>
            <w:vAlign w:val="bottom"/>
          </w:tcPr>
          <w:p>
            <w:pPr>
              <w:ind w:left="200"/>
              <w:spacing w:after="0" w:line="202" w:lineRule="exact"/>
              <w:rPr>
                <w:sz w:val="20"/>
                <w:szCs w:val="20"/>
                <w:color w:val="auto"/>
              </w:rPr>
            </w:pPr>
            <w:r>
              <w:rPr>
                <w:rFonts w:ascii="Arial" w:cs="Arial" w:eastAsia="Arial" w:hAnsi="Arial"/>
                <w:sz w:val="18"/>
                <w:szCs w:val="18"/>
                <w:b w:val="1"/>
                <w:bCs w:val="1"/>
                <w:color w:val="auto"/>
              </w:rPr>
              <w:t>—</w:t>
            </w:r>
          </w:p>
        </w:tc>
        <w:tc>
          <w:tcPr>
            <w:tcW w:w="220" w:type="dxa"/>
            <w:vAlign w:val="bottom"/>
          </w:tcPr>
          <w:p>
            <w:pPr>
              <w:spacing w:after="0"/>
              <w:rPr>
                <w:sz w:val="17"/>
                <w:szCs w:val="17"/>
                <w:color w:val="auto"/>
              </w:rPr>
            </w:pPr>
          </w:p>
        </w:tc>
        <w:tc>
          <w:tcPr>
            <w:tcW w:w="540" w:type="dxa"/>
            <w:vAlign w:val="bottom"/>
          </w:tcPr>
          <w:p>
            <w:pPr>
              <w:jc w:val="right"/>
              <w:spacing w:after="0" w:line="202" w:lineRule="exact"/>
              <w:rPr>
                <w:sz w:val="20"/>
                <w:szCs w:val="20"/>
                <w:color w:val="auto"/>
              </w:rPr>
            </w:pPr>
            <w:r>
              <w:rPr>
                <w:rFonts w:ascii="Arial" w:cs="Arial" w:eastAsia="Arial" w:hAnsi="Arial"/>
                <w:sz w:val="18"/>
                <w:szCs w:val="18"/>
                <w:b w:val="1"/>
                <w:bCs w:val="1"/>
                <w:color w:val="auto"/>
              </w:rPr>
              <w:t>0.03</w:t>
            </w:r>
          </w:p>
        </w:tc>
        <w:tc>
          <w:tcPr>
            <w:tcW w:w="0" w:type="dxa"/>
            <w:vAlign w:val="bottom"/>
          </w:tcPr>
          <w:p>
            <w:pPr>
              <w:spacing w:after="0"/>
              <w:rPr>
                <w:sz w:val="1"/>
                <w:szCs w:val="1"/>
                <w:color w:val="auto"/>
              </w:rPr>
            </w:pPr>
          </w:p>
        </w:tc>
      </w:tr>
      <w:tr>
        <w:trPr>
          <w:trHeight w:val="203"/>
        </w:trPr>
        <w:tc>
          <w:tcPr>
            <w:tcW w:w="6080" w:type="dxa"/>
            <w:vAlign w:val="bottom"/>
          </w:tcPr>
          <w:p>
            <w:pPr>
              <w:ind w:left="220"/>
              <w:spacing w:after="0" w:line="202" w:lineRule="exact"/>
              <w:rPr>
                <w:sz w:val="20"/>
                <w:szCs w:val="20"/>
                <w:color w:val="auto"/>
              </w:rPr>
            </w:pPr>
            <w:r>
              <w:rPr>
                <w:rFonts w:ascii="Arial" w:cs="Arial" w:eastAsia="Arial" w:hAnsi="Arial"/>
                <w:sz w:val="18"/>
                <w:szCs w:val="18"/>
                <w:color w:val="auto"/>
              </w:rPr>
              <w:t>Gain on discontinued operations</w:t>
            </w:r>
          </w:p>
        </w:tc>
        <w:tc>
          <w:tcPr>
            <w:tcW w:w="1240" w:type="dxa"/>
            <w:vAlign w:val="bottom"/>
          </w:tcPr>
          <w:p>
            <w:pPr>
              <w:spacing w:after="0"/>
              <w:rPr>
                <w:sz w:val="17"/>
                <w:szCs w:val="17"/>
                <w:color w:val="auto"/>
              </w:rPr>
            </w:pPr>
          </w:p>
        </w:tc>
        <w:tc>
          <w:tcPr>
            <w:tcW w:w="600" w:type="dxa"/>
            <w:vAlign w:val="bottom"/>
          </w:tcPr>
          <w:p>
            <w:pPr>
              <w:jc w:val="right"/>
              <w:ind w:right="154"/>
              <w:spacing w:after="0" w:line="202" w:lineRule="exact"/>
              <w:rPr>
                <w:sz w:val="20"/>
                <w:szCs w:val="20"/>
                <w:color w:val="auto"/>
              </w:rPr>
            </w:pPr>
            <w:r>
              <w:rPr>
                <w:rFonts w:ascii="Arial" w:cs="Arial" w:eastAsia="Arial" w:hAnsi="Arial"/>
                <w:sz w:val="18"/>
                <w:szCs w:val="18"/>
                <w:b w:val="1"/>
                <w:bCs w:val="1"/>
                <w:color w:val="auto"/>
              </w:rPr>
              <w:t>—</w:t>
            </w:r>
          </w:p>
        </w:tc>
        <w:tc>
          <w:tcPr>
            <w:tcW w:w="260" w:type="dxa"/>
            <w:vAlign w:val="bottom"/>
          </w:tcPr>
          <w:p>
            <w:pPr>
              <w:spacing w:after="0"/>
              <w:rPr>
                <w:sz w:val="17"/>
                <w:szCs w:val="17"/>
                <w:color w:val="auto"/>
              </w:rPr>
            </w:pPr>
          </w:p>
        </w:tc>
        <w:tc>
          <w:tcPr>
            <w:tcW w:w="620" w:type="dxa"/>
            <w:vAlign w:val="bottom"/>
          </w:tcPr>
          <w:p>
            <w:pPr>
              <w:jc w:val="right"/>
              <w:ind w:right="174"/>
              <w:spacing w:after="0" w:line="202" w:lineRule="exact"/>
              <w:rPr>
                <w:sz w:val="20"/>
                <w:szCs w:val="20"/>
                <w:color w:val="auto"/>
              </w:rPr>
            </w:pPr>
            <w:r>
              <w:rPr>
                <w:rFonts w:ascii="Arial" w:cs="Arial" w:eastAsia="Arial" w:hAnsi="Arial"/>
                <w:sz w:val="18"/>
                <w:szCs w:val="18"/>
                <w:b w:val="1"/>
                <w:bCs w:val="1"/>
                <w:color w:val="auto"/>
              </w:rPr>
              <w:t>—</w:t>
            </w:r>
          </w:p>
        </w:tc>
        <w:tc>
          <w:tcPr>
            <w:tcW w:w="240" w:type="dxa"/>
            <w:vAlign w:val="bottom"/>
          </w:tcPr>
          <w:p>
            <w:pPr>
              <w:spacing w:after="0"/>
              <w:rPr>
                <w:sz w:val="17"/>
                <w:szCs w:val="17"/>
                <w:color w:val="auto"/>
              </w:rPr>
            </w:pPr>
          </w:p>
        </w:tc>
        <w:tc>
          <w:tcPr>
            <w:tcW w:w="620" w:type="dxa"/>
            <w:vAlign w:val="bottom"/>
          </w:tcPr>
          <w:p>
            <w:pPr>
              <w:jc w:val="right"/>
              <w:ind w:right="74"/>
              <w:spacing w:after="0" w:line="202" w:lineRule="exact"/>
              <w:rPr>
                <w:sz w:val="20"/>
                <w:szCs w:val="20"/>
                <w:color w:val="auto"/>
              </w:rPr>
            </w:pPr>
            <w:r>
              <w:rPr>
                <w:rFonts w:ascii="Arial" w:cs="Arial" w:eastAsia="Arial" w:hAnsi="Arial"/>
                <w:sz w:val="18"/>
                <w:szCs w:val="18"/>
                <w:b w:val="1"/>
                <w:bCs w:val="1"/>
                <w:color w:val="auto"/>
              </w:rPr>
              <w:t>0.07</w:t>
            </w:r>
          </w:p>
        </w:tc>
        <w:tc>
          <w:tcPr>
            <w:tcW w:w="240" w:type="dxa"/>
            <w:vAlign w:val="bottom"/>
          </w:tcPr>
          <w:p>
            <w:pPr>
              <w:spacing w:after="0"/>
              <w:rPr>
                <w:sz w:val="17"/>
                <w:szCs w:val="17"/>
                <w:color w:val="auto"/>
              </w:rPr>
            </w:pPr>
          </w:p>
        </w:tc>
        <w:tc>
          <w:tcPr>
            <w:tcW w:w="760" w:type="dxa"/>
            <w:vAlign w:val="bottom"/>
          </w:tcPr>
          <w:p>
            <w:pPr>
              <w:jc w:val="right"/>
              <w:ind w:right="154"/>
              <w:spacing w:after="0" w:line="202" w:lineRule="exact"/>
              <w:rPr>
                <w:sz w:val="20"/>
                <w:szCs w:val="20"/>
                <w:color w:val="auto"/>
              </w:rPr>
            </w:pPr>
            <w:r>
              <w:rPr>
                <w:rFonts w:ascii="Arial" w:cs="Arial" w:eastAsia="Arial" w:hAnsi="Arial"/>
                <w:sz w:val="18"/>
                <w:szCs w:val="18"/>
                <w:b w:val="1"/>
                <w:bCs w:val="1"/>
                <w:color w:val="auto"/>
              </w:rPr>
              <w:t>(0.01)</w:t>
            </w:r>
          </w:p>
        </w:tc>
        <w:tc>
          <w:tcPr>
            <w:tcW w:w="220" w:type="dxa"/>
            <w:vAlign w:val="bottom"/>
          </w:tcPr>
          <w:p>
            <w:pPr>
              <w:spacing w:after="0"/>
              <w:rPr>
                <w:sz w:val="17"/>
                <w:szCs w:val="17"/>
                <w:color w:val="auto"/>
              </w:rPr>
            </w:pPr>
          </w:p>
        </w:tc>
        <w:tc>
          <w:tcPr>
            <w:tcW w:w="540" w:type="dxa"/>
            <w:vAlign w:val="bottom"/>
          </w:tcPr>
          <w:p>
            <w:pPr>
              <w:jc w:val="right"/>
              <w:spacing w:after="0" w:line="202" w:lineRule="exact"/>
              <w:rPr>
                <w:sz w:val="20"/>
                <w:szCs w:val="20"/>
                <w:color w:val="auto"/>
              </w:rPr>
            </w:pPr>
            <w:r>
              <w:rPr>
                <w:rFonts w:ascii="Arial" w:cs="Arial" w:eastAsia="Arial" w:hAnsi="Arial"/>
                <w:sz w:val="18"/>
                <w:szCs w:val="18"/>
                <w:b w:val="1"/>
                <w:bCs w:val="1"/>
                <w:color w:val="auto"/>
              </w:rPr>
              <w:t>0.06</w:t>
            </w:r>
          </w:p>
        </w:tc>
        <w:tc>
          <w:tcPr>
            <w:tcW w:w="0" w:type="dxa"/>
            <w:vAlign w:val="bottom"/>
          </w:tcPr>
          <w:p>
            <w:pPr>
              <w:spacing w:after="0"/>
              <w:rPr>
                <w:sz w:val="1"/>
                <w:szCs w:val="1"/>
                <w:color w:val="auto"/>
              </w:rPr>
            </w:pPr>
          </w:p>
        </w:tc>
      </w:tr>
      <w:tr>
        <w:trPr>
          <w:trHeight w:val="203"/>
        </w:trPr>
        <w:tc>
          <w:tcPr>
            <w:tcW w:w="6080" w:type="dxa"/>
            <w:vAlign w:val="bottom"/>
          </w:tcPr>
          <w:p>
            <w:pPr>
              <w:ind w:left="220"/>
              <w:spacing w:after="0" w:line="202" w:lineRule="exact"/>
              <w:rPr>
                <w:sz w:val="20"/>
                <w:szCs w:val="20"/>
                <w:color w:val="auto"/>
              </w:rPr>
            </w:pPr>
            <w:r>
              <w:rPr>
                <w:rFonts w:ascii="Arial" w:cs="Arial" w:eastAsia="Arial" w:hAnsi="Arial"/>
                <w:sz w:val="18"/>
                <w:szCs w:val="18"/>
                <w:color w:val="auto"/>
              </w:rPr>
              <w:t>Net income</w:t>
            </w:r>
          </w:p>
        </w:tc>
        <w:tc>
          <w:tcPr>
            <w:tcW w:w="1240" w:type="dxa"/>
            <w:vAlign w:val="bottom"/>
          </w:tcPr>
          <w:p>
            <w:pPr>
              <w:jc w:val="right"/>
              <w:spacing w:after="0" w:line="202" w:lineRule="exact"/>
              <w:rPr>
                <w:sz w:val="20"/>
                <w:szCs w:val="20"/>
                <w:color w:val="auto"/>
              </w:rPr>
            </w:pPr>
            <w:r>
              <w:rPr>
                <w:rFonts w:ascii="Arial" w:cs="Arial" w:eastAsia="Arial" w:hAnsi="Arial"/>
                <w:sz w:val="18"/>
                <w:szCs w:val="18"/>
                <w:b w:val="1"/>
                <w:bCs w:val="1"/>
                <w:color w:val="auto"/>
              </w:rPr>
              <w:t>$</w:t>
            </w:r>
          </w:p>
        </w:tc>
        <w:tc>
          <w:tcPr>
            <w:tcW w:w="600" w:type="dxa"/>
            <w:vAlign w:val="bottom"/>
          </w:tcPr>
          <w:p>
            <w:pPr>
              <w:jc w:val="right"/>
              <w:ind w:right="54"/>
              <w:spacing w:after="0" w:line="202" w:lineRule="exact"/>
              <w:rPr>
                <w:sz w:val="20"/>
                <w:szCs w:val="20"/>
                <w:color w:val="auto"/>
              </w:rPr>
            </w:pPr>
            <w:r>
              <w:rPr>
                <w:rFonts w:ascii="Arial" w:cs="Arial" w:eastAsia="Arial" w:hAnsi="Arial"/>
                <w:sz w:val="18"/>
                <w:szCs w:val="18"/>
                <w:b w:val="1"/>
                <w:bCs w:val="1"/>
                <w:color w:val="auto"/>
              </w:rPr>
              <w:t>0.15</w:t>
            </w:r>
          </w:p>
        </w:tc>
        <w:tc>
          <w:tcPr>
            <w:tcW w:w="260" w:type="dxa"/>
            <w:vAlign w:val="bottom"/>
          </w:tcPr>
          <w:p>
            <w:pPr>
              <w:jc w:val="right"/>
              <w:spacing w:after="0" w:line="202" w:lineRule="exact"/>
              <w:rPr>
                <w:sz w:val="20"/>
                <w:szCs w:val="20"/>
                <w:color w:val="auto"/>
              </w:rPr>
            </w:pPr>
            <w:r>
              <w:rPr>
                <w:rFonts w:ascii="Arial" w:cs="Arial" w:eastAsia="Arial" w:hAnsi="Arial"/>
                <w:sz w:val="18"/>
                <w:szCs w:val="18"/>
                <w:b w:val="1"/>
                <w:bCs w:val="1"/>
                <w:color w:val="auto"/>
              </w:rPr>
              <w:t>$</w:t>
            </w:r>
          </w:p>
        </w:tc>
        <w:tc>
          <w:tcPr>
            <w:tcW w:w="620" w:type="dxa"/>
            <w:vAlign w:val="bottom"/>
          </w:tcPr>
          <w:p>
            <w:pPr>
              <w:jc w:val="right"/>
              <w:ind w:right="74"/>
              <w:spacing w:after="0" w:line="202" w:lineRule="exact"/>
              <w:rPr>
                <w:sz w:val="20"/>
                <w:szCs w:val="20"/>
                <w:color w:val="auto"/>
              </w:rPr>
            </w:pPr>
            <w:r>
              <w:rPr>
                <w:rFonts w:ascii="Arial" w:cs="Arial" w:eastAsia="Arial" w:hAnsi="Arial"/>
                <w:sz w:val="18"/>
                <w:szCs w:val="18"/>
                <w:b w:val="1"/>
                <w:bCs w:val="1"/>
                <w:color w:val="auto"/>
              </w:rPr>
              <w:t>0.15</w:t>
            </w:r>
          </w:p>
        </w:tc>
        <w:tc>
          <w:tcPr>
            <w:tcW w:w="240" w:type="dxa"/>
            <w:vAlign w:val="bottom"/>
          </w:tcPr>
          <w:p>
            <w:pPr>
              <w:jc w:val="right"/>
              <w:spacing w:after="0" w:line="202" w:lineRule="exact"/>
              <w:rPr>
                <w:sz w:val="20"/>
                <w:szCs w:val="20"/>
                <w:color w:val="auto"/>
              </w:rPr>
            </w:pPr>
            <w:r>
              <w:rPr>
                <w:rFonts w:ascii="Arial" w:cs="Arial" w:eastAsia="Arial" w:hAnsi="Arial"/>
                <w:sz w:val="18"/>
                <w:szCs w:val="18"/>
                <w:b w:val="1"/>
                <w:bCs w:val="1"/>
                <w:color w:val="auto"/>
              </w:rPr>
              <w:t>$</w:t>
            </w:r>
          </w:p>
        </w:tc>
        <w:tc>
          <w:tcPr>
            <w:tcW w:w="620" w:type="dxa"/>
            <w:vAlign w:val="bottom"/>
          </w:tcPr>
          <w:p>
            <w:pPr>
              <w:jc w:val="right"/>
              <w:ind w:right="74"/>
              <w:spacing w:after="0" w:line="202" w:lineRule="exact"/>
              <w:rPr>
                <w:sz w:val="20"/>
                <w:szCs w:val="20"/>
                <w:color w:val="auto"/>
              </w:rPr>
            </w:pPr>
            <w:r>
              <w:rPr>
                <w:rFonts w:ascii="Arial" w:cs="Arial" w:eastAsia="Arial" w:hAnsi="Arial"/>
                <w:sz w:val="18"/>
                <w:szCs w:val="18"/>
                <w:b w:val="1"/>
                <w:bCs w:val="1"/>
                <w:color w:val="auto"/>
              </w:rPr>
              <w:t>0.38</w:t>
            </w:r>
          </w:p>
        </w:tc>
        <w:tc>
          <w:tcPr>
            <w:tcW w:w="240" w:type="dxa"/>
            <w:vAlign w:val="bottom"/>
          </w:tcPr>
          <w:p>
            <w:pPr>
              <w:jc w:val="right"/>
              <w:spacing w:after="0" w:line="202" w:lineRule="exact"/>
              <w:rPr>
                <w:sz w:val="20"/>
                <w:szCs w:val="20"/>
                <w:color w:val="auto"/>
              </w:rPr>
            </w:pPr>
            <w:r>
              <w:rPr>
                <w:rFonts w:ascii="Arial" w:cs="Arial" w:eastAsia="Arial" w:hAnsi="Arial"/>
                <w:sz w:val="18"/>
                <w:szCs w:val="18"/>
                <w:b w:val="1"/>
                <w:bCs w:val="1"/>
                <w:color w:val="auto"/>
              </w:rPr>
              <w:t>$</w:t>
            </w:r>
          </w:p>
        </w:tc>
        <w:tc>
          <w:tcPr>
            <w:tcW w:w="760" w:type="dxa"/>
            <w:vAlign w:val="bottom"/>
          </w:tcPr>
          <w:p>
            <w:pPr>
              <w:jc w:val="right"/>
              <w:ind w:right="214"/>
              <w:spacing w:after="0" w:line="202" w:lineRule="exact"/>
              <w:rPr>
                <w:sz w:val="20"/>
                <w:szCs w:val="20"/>
                <w:color w:val="auto"/>
              </w:rPr>
            </w:pPr>
            <w:r>
              <w:rPr>
                <w:rFonts w:ascii="Arial" w:cs="Arial" w:eastAsia="Arial" w:hAnsi="Arial"/>
                <w:sz w:val="18"/>
                <w:szCs w:val="18"/>
                <w:b w:val="1"/>
                <w:bCs w:val="1"/>
                <w:color w:val="auto"/>
              </w:rPr>
              <w:t>0.13</w:t>
            </w:r>
          </w:p>
        </w:tc>
        <w:tc>
          <w:tcPr>
            <w:tcW w:w="220" w:type="dxa"/>
            <w:vAlign w:val="bottom"/>
          </w:tcPr>
          <w:p>
            <w:pPr>
              <w:jc w:val="right"/>
              <w:spacing w:after="0" w:line="202" w:lineRule="exact"/>
              <w:rPr>
                <w:sz w:val="20"/>
                <w:szCs w:val="20"/>
                <w:color w:val="auto"/>
              </w:rPr>
            </w:pPr>
            <w:r>
              <w:rPr>
                <w:rFonts w:ascii="Arial" w:cs="Arial" w:eastAsia="Arial" w:hAnsi="Arial"/>
                <w:sz w:val="18"/>
                <w:szCs w:val="18"/>
                <w:b w:val="1"/>
                <w:bCs w:val="1"/>
                <w:color w:val="auto"/>
              </w:rPr>
              <w:t>$</w:t>
            </w:r>
          </w:p>
        </w:tc>
        <w:tc>
          <w:tcPr>
            <w:tcW w:w="540" w:type="dxa"/>
            <w:vAlign w:val="bottom"/>
          </w:tcPr>
          <w:p>
            <w:pPr>
              <w:jc w:val="right"/>
              <w:spacing w:after="0" w:line="202" w:lineRule="exact"/>
              <w:rPr>
                <w:sz w:val="20"/>
                <w:szCs w:val="20"/>
                <w:color w:val="auto"/>
              </w:rPr>
            </w:pPr>
            <w:r>
              <w:rPr>
                <w:rFonts w:ascii="Arial" w:cs="Arial" w:eastAsia="Arial" w:hAnsi="Arial"/>
                <w:sz w:val="18"/>
                <w:szCs w:val="18"/>
                <w:b w:val="1"/>
                <w:bCs w:val="1"/>
                <w:color w:val="auto"/>
              </w:rPr>
              <w:t>0.79</w:t>
            </w:r>
          </w:p>
        </w:tc>
        <w:tc>
          <w:tcPr>
            <w:tcW w:w="0" w:type="dxa"/>
            <w:vAlign w:val="bottom"/>
          </w:tcPr>
          <w:p>
            <w:pPr>
              <w:spacing w:after="0"/>
              <w:rPr>
                <w:sz w:val="1"/>
                <w:szCs w:val="1"/>
                <w:color w:val="auto"/>
              </w:rPr>
            </w:pPr>
          </w:p>
        </w:tc>
      </w:tr>
      <w:tr>
        <w:trPr>
          <w:trHeight w:val="225"/>
        </w:trPr>
        <w:tc>
          <w:tcPr>
            <w:tcW w:w="6080" w:type="dxa"/>
            <w:vAlign w:val="bottom"/>
          </w:tcPr>
          <w:p>
            <w:pPr>
              <w:spacing w:after="0"/>
              <w:rPr>
                <w:sz w:val="20"/>
                <w:szCs w:val="20"/>
                <w:color w:val="auto"/>
              </w:rPr>
            </w:pPr>
            <w:r>
              <w:rPr>
                <w:rFonts w:ascii="Arial" w:cs="Arial" w:eastAsia="Arial" w:hAnsi="Arial"/>
                <w:sz w:val="18"/>
                <w:szCs w:val="18"/>
                <w:b w:val="1"/>
                <w:bCs w:val="1"/>
                <w:color w:val="auto"/>
              </w:rPr>
              <w:t>2005</w:t>
            </w:r>
          </w:p>
        </w:tc>
        <w:tc>
          <w:tcPr>
            <w:tcW w:w="1240" w:type="dxa"/>
            <w:vAlign w:val="bottom"/>
          </w:tcPr>
          <w:p>
            <w:pPr>
              <w:spacing w:after="0"/>
              <w:rPr>
                <w:sz w:val="19"/>
                <w:szCs w:val="19"/>
                <w:color w:val="auto"/>
              </w:rPr>
            </w:pPr>
          </w:p>
        </w:tc>
        <w:tc>
          <w:tcPr>
            <w:tcW w:w="6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6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6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76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5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3"/>
        </w:trPr>
        <w:tc>
          <w:tcPr>
            <w:tcW w:w="6080" w:type="dxa"/>
            <w:vAlign w:val="bottom"/>
          </w:tcPr>
          <w:p>
            <w:pPr>
              <w:spacing w:after="0" w:line="202" w:lineRule="exact"/>
              <w:rPr>
                <w:sz w:val="20"/>
                <w:szCs w:val="20"/>
                <w:color w:val="auto"/>
              </w:rPr>
            </w:pPr>
            <w:r>
              <w:rPr>
                <w:rFonts w:ascii="Arial" w:cs="Arial" w:eastAsia="Arial" w:hAnsi="Arial"/>
                <w:sz w:val="18"/>
                <w:szCs w:val="18"/>
                <w:color w:val="auto"/>
              </w:rPr>
              <w:t>Revenues</w:t>
            </w:r>
          </w:p>
        </w:tc>
        <w:tc>
          <w:tcPr>
            <w:tcW w:w="1240" w:type="dxa"/>
            <w:vAlign w:val="bottom"/>
          </w:tcPr>
          <w:p>
            <w:pPr>
              <w:jc w:val="right"/>
              <w:spacing w:after="0" w:line="202" w:lineRule="exact"/>
              <w:rPr>
                <w:sz w:val="20"/>
                <w:szCs w:val="20"/>
                <w:color w:val="auto"/>
              </w:rPr>
            </w:pPr>
            <w:r>
              <w:rPr>
                <w:rFonts w:ascii="Arial" w:cs="Arial" w:eastAsia="Arial" w:hAnsi="Arial"/>
                <w:sz w:val="18"/>
                <w:szCs w:val="18"/>
                <w:color w:val="auto"/>
              </w:rPr>
              <w:t>$</w:t>
            </w:r>
          </w:p>
        </w:tc>
        <w:tc>
          <w:tcPr>
            <w:tcW w:w="600" w:type="dxa"/>
            <w:vAlign w:val="bottom"/>
          </w:tcPr>
          <w:p>
            <w:pPr>
              <w:jc w:val="right"/>
              <w:ind w:right="54"/>
              <w:spacing w:after="0" w:line="202" w:lineRule="exact"/>
              <w:rPr>
                <w:sz w:val="20"/>
                <w:szCs w:val="20"/>
                <w:color w:val="auto"/>
              </w:rPr>
            </w:pPr>
            <w:r>
              <w:rPr>
                <w:rFonts w:ascii="Arial" w:cs="Arial" w:eastAsia="Arial" w:hAnsi="Arial"/>
                <w:sz w:val="18"/>
                <w:szCs w:val="18"/>
                <w:color w:val="auto"/>
                <w:w w:val="97"/>
              </w:rPr>
              <w:t>5,074</w:t>
            </w:r>
          </w:p>
        </w:tc>
        <w:tc>
          <w:tcPr>
            <w:tcW w:w="260" w:type="dxa"/>
            <w:vAlign w:val="bottom"/>
          </w:tcPr>
          <w:p>
            <w:pPr>
              <w:jc w:val="right"/>
              <w:spacing w:after="0" w:line="202" w:lineRule="exact"/>
              <w:rPr>
                <w:sz w:val="20"/>
                <w:szCs w:val="20"/>
                <w:color w:val="auto"/>
              </w:rPr>
            </w:pPr>
            <w:r>
              <w:rPr>
                <w:rFonts w:ascii="Arial" w:cs="Arial" w:eastAsia="Arial" w:hAnsi="Arial"/>
                <w:sz w:val="18"/>
                <w:szCs w:val="18"/>
                <w:color w:val="auto"/>
              </w:rPr>
              <w:t>$</w:t>
            </w:r>
          </w:p>
        </w:tc>
        <w:tc>
          <w:tcPr>
            <w:tcW w:w="620" w:type="dxa"/>
            <w:vAlign w:val="bottom"/>
          </w:tcPr>
          <w:p>
            <w:pPr>
              <w:jc w:val="right"/>
              <w:ind w:right="74"/>
              <w:spacing w:after="0" w:line="202" w:lineRule="exact"/>
              <w:rPr>
                <w:sz w:val="20"/>
                <w:szCs w:val="20"/>
                <w:color w:val="auto"/>
              </w:rPr>
            </w:pPr>
            <w:r>
              <w:rPr>
                <w:rFonts w:ascii="Arial" w:cs="Arial" w:eastAsia="Arial" w:hAnsi="Arial"/>
                <w:sz w:val="18"/>
                <w:szCs w:val="18"/>
                <w:color w:val="auto"/>
                <w:w w:val="97"/>
              </w:rPr>
              <w:t>5,301</w:t>
            </w:r>
          </w:p>
        </w:tc>
        <w:tc>
          <w:tcPr>
            <w:tcW w:w="240" w:type="dxa"/>
            <w:vAlign w:val="bottom"/>
          </w:tcPr>
          <w:p>
            <w:pPr>
              <w:jc w:val="right"/>
              <w:spacing w:after="0" w:line="202" w:lineRule="exact"/>
              <w:rPr>
                <w:sz w:val="20"/>
                <w:szCs w:val="20"/>
                <w:color w:val="auto"/>
              </w:rPr>
            </w:pPr>
            <w:r>
              <w:rPr>
                <w:rFonts w:ascii="Arial" w:cs="Arial" w:eastAsia="Arial" w:hAnsi="Arial"/>
                <w:sz w:val="18"/>
                <w:szCs w:val="18"/>
                <w:color w:val="auto"/>
              </w:rPr>
              <w:t>$</w:t>
            </w:r>
          </w:p>
        </w:tc>
        <w:tc>
          <w:tcPr>
            <w:tcW w:w="620" w:type="dxa"/>
            <w:vAlign w:val="bottom"/>
          </w:tcPr>
          <w:p>
            <w:pPr>
              <w:jc w:val="right"/>
              <w:ind w:right="74"/>
              <w:spacing w:after="0" w:line="202" w:lineRule="exact"/>
              <w:rPr>
                <w:sz w:val="20"/>
                <w:szCs w:val="20"/>
                <w:color w:val="auto"/>
              </w:rPr>
            </w:pPr>
            <w:r>
              <w:rPr>
                <w:rFonts w:ascii="Arial" w:cs="Arial" w:eastAsia="Arial" w:hAnsi="Arial"/>
                <w:sz w:val="18"/>
                <w:szCs w:val="18"/>
                <w:color w:val="auto"/>
                <w:w w:val="97"/>
              </w:rPr>
              <w:t>5,284</w:t>
            </w:r>
          </w:p>
        </w:tc>
        <w:tc>
          <w:tcPr>
            <w:tcW w:w="240" w:type="dxa"/>
            <w:vAlign w:val="bottom"/>
          </w:tcPr>
          <w:p>
            <w:pPr>
              <w:jc w:val="right"/>
              <w:spacing w:after="0" w:line="202" w:lineRule="exact"/>
              <w:rPr>
                <w:sz w:val="20"/>
                <w:szCs w:val="20"/>
                <w:color w:val="auto"/>
              </w:rPr>
            </w:pPr>
            <w:r>
              <w:rPr>
                <w:rFonts w:ascii="Arial" w:cs="Arial" w:eastAsia="Arial" w:hAnsi="Arial"/>
                <w:sz w:val="18"/>
                <w:szCs w:val="18"/>
                <w:color w:val="auto"/>
              </w:rPr>
              <w:t>$</w:t>
            </w:r>
          </w:p>
        </w:tc>
        <w:tc>
          <w:tcPr>
            <w:tcW w:w="760" w:type="dxa"/>
            <w:vAlign w:val="bottom"/>
          </w:tcPr>
          <w:p>
            <w:pPr>
              <w:jc w:val="right"/>
              <w:ind w:right="214"/>
              <w:spacing w:after="0" w:line="202" w:lineRule="exact"/>
              <w:rPr>
                <w:sz w:val="20"/>
                <w:szCs w:val="20"/>
                <w:color w:val="auto"/>
              </w:rPr>
            </w:pPr>
            <w:r>
              <w:rPr>
                <w:rFonts w:ascii="Arial" w:cs="Arial" w:eastAsia="Arial" w:hAnsi="Arial"/>
                <w:sz w:val="18"/>
                <w:szCs w:val="18"/>
                <w:color w:val="auto"/>
                <w:w w:val="97"/>
              </w:rPr>
              <w:t>5,416</w:t>
            </w:r>
          </w:p>
        </w:tc>
        <w:tc>
          <w:tcPr>
            <w:tcW w:w="220" w:type="dxa"/>
            <w:vAlign w:val="bottom"/>
          </w:tcPr>
          <w:p>
            <w:pPr>
              <w:jc w:val="right"/>
              <w:spacing w:after="0" w:line="202" w:lineRule="exact"/>
              <w:rPr>
                <w:sz w:val="20"/>
                <w:szCs w:val="20"/>
                <w:color w:val="auto"/>
              </w:rPr>
            </w:pPr>
            <w:r>
              <w:rPr>
                <w:rFonts w:ascii="Arial" w:cs="Arial" w:eastAsia="Arial" w:hAnsi="Arial"/>
                <w:sz w:val="18"/>
                <w:szCs w:val="18"/>
                <w:color w:val="auto"/>
              </w:rPr>
              <w:t>$</w:t>
            </w:r>
          </w:p>
        </w:tc>
        <w:tc>
          <w:tcPr>
            <w:tcW w:w="540" w:type="dxa"/>
            <w:vAlign w:val="bottom"/>
          </w:tcPr>
          <w:p>
            <w:pPr>
              <w:jc w:val="right"/>
              <w:spacing w:after="0" w:line="202" w:lineRule="exact"/>
              <w:rPr>
                <w:sz w:val="20"/>
                <w:szCs w:val="20"/>
                <w:color w:val="auto"/>
              </w:rPr>
            </w:pPr>
            <w:r>
              <w:rPr>
                <w:rFonts w:ascii="Arial" w:cs="Arial" w:eastAsia="Arial" w:hAnsi="Arial"/>
                <w:sz w:val="18"/>
                <w:szCs w:val="18"/>
                <w:color w:val="auto"/>
                <w:w w:val="94"/>
              </w:rPr>
              <w:t>21,075</w:t>
            </w:r>
          </w:p>
        </w:tc>
        <w:tc>
          <w:tcPr>
            <w:tcW w:w="0" w:type="dxa"/>
            <w:vAlign w:val="bottom"/>
          </w:tcPr>
          <w:p>
            <w:pPr>
              <w:spacing w:after="0"/>
              <w:rPr>
                <w:sz w:val="1"/>
                <w:szCs w:val="1"/>
                <w:color w:val="auto"/>
              </w:rPr>
            </w:pPr>
          </w:p>
        </w:tc>
      </w:tr>
      <w:tr>
        <w:trPr>
          <w:trHeight w:val="203"/>
        </w:trPr>
        <w:tc>
          <w:tcPr>
            <w:tcW w:w="6080" w:type="dxa"/>
            <w:vAlign w:val="bottom"/>
          </w:tcPr>
          <w:p>
            <w:pPr>
              <w:spacing w:after="0" w:line="202" w:lineRule="exact"/>
              <w:rPr>
                <w:sz w:val="20"/>
                <w:szCs w:val="20"/>
                <w:color w:val="auto"/>
              </w:rPr>
            </w:pPr>
            <w:r>
              <w:rPr>
                <w:rFonts w:ascii="Arial" w:cs="Arial" w:eastAsia="Arial" w:hAnsi="Arial"/>
                <w:sz w:val="18"/>
                <w:szCs w:val="18"/>
                <w:color w:val="auto"/>
              </w:rPr>
              <w:t>Operating income</w:t>
            </w:r>
          </w:p>
        </w:tc>
        <w:tc>
          <w:tcPr>
            <w:tcW w:w="1240" w:type="dxa"/>
            <w:vAlign w:val="bottom"/>
          </w:tcPr>
          <w:p>
            <w:pPr>
              <w:spacing w:after="0"/>
              <w:rPr>
                <w:sz w:val="17"/>
                <w:szCs w:val="17"/>
                <w:color w:val="auto"/>
              </w:rPr>
            </w:pPr>
          </w:p>
        </w:tc>
        <w:tc>
          <w:tcPr>
            <w:tcW w:w="600" w:type="dxa"/>
            <w:vAlign w:val="bottom"/>
          </w:tcPr>
          <w:p>
            <w:pPr>
              <w:jc w:val="right"/>
              <w:ind w:right="54"/>
              <w:spacing w:after="0" w:line="202" w:lineRule="exact"/>
              <w:rPr>
                <w:sz w:val="20"/>
                <w:szCs w:val="20"/>
                <w:color w:val="auto"/>
              </w:rPr>
            </w:pPr>
            <w:r>
              <w:rPr>
                <w:rFonts w:ascii="Arial" w:cs="Arial" w:eastAsia="Arial" w:hAnsi="Arial"/>
                <w:sz w:val="18"/>
                <w:szCs w:val="18"/>
                <w:color w:val="auto"/>
              </w:rPr>
              <w:t>829</w:t>
            </w:r>
          </w:p>
        </w:tc>
        <w:tc>
          <w:tcPr>
            <w:tcW w:w="260" w:type="dxa"/>
            <w:vAlign w:val="bottom"/>
          </w:tcPr>
          <w:p>
            <w:pPr>
              <w:spacing w:after="0"/>
              <w:rPr>
                <w:sz w:val="17"/>
                <w:szCs w:val="17"/>
                <w:color w:val="auto"/>
              </w:rPr>
            </w:pPr>
          </w:p>
        </w:tc>
        <w:tc>
          <w:tcPr>
            <w:tcW w:w="620" w:type="dxa"/>
            <w:vAlign w:val="bottom"/>
          </w:tcPr>
          <w:p>
            <w:pPr>
              <w:jc w:val="right"/>
              <w:ind w:right="74"/>
              <w:spacing w:after="0" w:line="202" w:lineRule="exact"/>
              <w:rPr>
                <w:sz w:val="20"/>
                <w:szCs w:val="20"/>
                <w:color w:val="auto"/>
              </w:rPr>
            </w:pPr>
            <w:r>
              <w:rPr>
                <w:rFonts w:ascii="Arial" w:cs="Arial" w:eastAsia="Arial" w:hAnsi="Arial"/>
                <w:sz w:val="18"/>
                <w:szCs w:val="18"/>
                <w:color w:val="auto"/>
                <w:w w:val="97"/>
              </w:rPr>
              <w:t>1,002</w:t>
            </w:r>
          </w:p>
        </w:tc>
        <w:tc>
          <w:tcPr>
            <w:tcW w:w="240" w:type="dxa"/>
            <w:vAlign w:val="bottom"/>
          </w:tcPr>
          <w:p>
            <w:pPr>
              <w:spacing w:after="0"/>
              <w:rPr>
                <w:sz w:val="17"/>
                <w:szCs w:val="17"/>
                <w:color w:val="auto"/>
              </w:rPr>
            </w:pPr>
          </w:p>
        </w:tc>
        <w:tc>
          <w:tcPr>
            <w:tcW w:w="620" w:type="dxa"/>
            <w:vAlign w:val="bottom"/>
          </w:tcPr>
          <w:p>
            <w:pPr>
              <w:jc w:val="right"/>
              <w:ind w:right="74"/>
              <w:spacing w:after="0" w:line="202" w:lineRule="exact"/>
              <w:rPr>
                <w:sz w:val="20"/>
                <w:szCs w:val="20"/>
                <w:color w:val="auto"/>
              </w:rPr>
            </w:pPr>
            <w:r>
              <w:rPr>
                <w:rFonts w:ascii="Arial" w:cs="Arial" w:eastAsia="Arial" w:hAnsi="Arial"/>
                <w:sz w:val="18"/>
                <w:szCs w:val="18"/>
                <w:color w:val="auto"/>
              </w:rPr>
              <w:t>841</w:t>
            </w:r>
          </w:p>
        </w:tc>
        <w:tc>
          <w:tcPr>
            <w:tcW w:w="240" w:type="dxa"/>
            <w:vAlign w:val="bottom"/>
          </w:tcPr>
          <w:p>
            <w:pPr>
              <w:spacing w:after="0"/>
              <w:rPr>
                <w:sz w:val="17"/>
                <w:szCs w:val="17"/>
                <w:color w:val="auto"/>
              </w:rPr>
            </w:pPr>
          </w:p>
        </w:tc>
        <w:tc>
          <w:tcPr>
            <w:tcW w:w="760" w:type="dxa"/>
            <w:vAlign w:val="bottom"/>
          </w:tcPr>
          <w:p>
            <w:pPr>
              <w:jc w:val="right"/>
              <w:ind w:right="214"/>
              <w:spacing w:after="0" w:line="202" w:lineRule="exact"/>
              <w:rPr>
                <w:sz w:val="20"/>
                <w:szCs w:val="20"/>
                <w:color w:val="auto"/>
              </w:rPr>
            </w:pPr>
            <w:r>
              <w:rPr>
                <w:rFonts w:ascii="Arial" w:cs="Arial" w:eastAsia="Arial" w:hAnsi="Arial"/>
                <w:sz w:val="18"/>
                <w:szCs w:val="18"/>
                <w:color w:val="auto"/>
              </w:rPr>
              <w:t>849</w:t>
            </w:r>
          </w:p>
        </w:tc>
        <w:tc>
          <w:tcPr>
            <w:tcW w:w="220" w:type="dxa"/>
            <w:vAlign w:val="bottom"/>
          </w:tcPr>
          <w:p>
            <w:pPr>
              <w:spacing w:after="0"/>
              <w:rPr>
                <w:sz w:val="17"/>
                <w:szCs w:val="17"/>
                <w:color w:val="auto"/>
              </w:rPr>
            </w:pPr>
          </w:p>
        </w:tc>
        <w:tc>
          <w:tcPr>
            <w:tcW w:w="540" w:type="dxa"/>
            <w:vAlign w:val="bottom"/>
          </w:tcPr>
          <w:p>
            <w:pPr>
              <w:jc w:val="right"/>
              <w:spacing w:after="0" w:line="202" w:lineRule="exact"/>
              <w:rPr>
                <w:sz w:val="20"/>
                <w:szCs w:val="20"/>
                <w:color w:val="auto"/>
              </w:rPr>
            </w:pPr>
            <w:r>
              <w:rPr>
                <w:rFonts w:ascii="Arial" w:cs="Arial" w:eastAsia="Arial" w:hAnsi="Arial"/>
                <w:sz w:val="18"/>
                <w:szCs w:val="18"/>
                <w:color w:val="auto"/>
              </w:rPr>
              <w:t>3,521</w:t>
            </w:r>
          </w:p>
        </w:tc>
        <w:tc>
          <w:tcPr>
            <w:tcW w:w="0" w:type="dxa"/>
            <w:vAlign w:val="bottom"/>
          </w:tcPr>
          <w:p>
            <w:pPr>
              <w:spacing w:after="0"/>
              <w:rPr>
                <w:sz w:val="1"/>
                <w:szCs w:val="1"/>
                <w:color w:val="auto"/>
              </w:rPr>
            </w:pPr>
          </w:p>
        </w:tc>
      </w:tr>
      <w:tr>
        <w:trPr>
          <w:trHeight w:val="203"/>
        </w:trPr>
        <w:tc>
          <w:tcPr>
            <w:tcW w:w="6080" w:type="dxa"/>
            <w:vAlign w:val="bottom"/>
          </w:tcPr>
          <w:p>
            <w:pPr>
              <w:spacing w:after="0" w:line="202" w:lineRule="exact"/>
              <w:rPr>
                <w:sz w:val="20"/>
                <w:szCs w:val="20"/>
                <w:color w:val="auto"/>
              </w:rPr>
            </w:pPr>
            <w:r>
              <w:rPr>
                <w:rFonts w:ascii="Arial" w:cs="Arial" w:eastAsia="Arial" w:hAnsi="Arial"/>
                <w:sz w:val="18"/>
                <w:szCs w:val="18"/>
                <w:color w:val="auto"/>
              </w:rPr>
              <w:t>Income from continuing operations</w:t>
            </w:r>
          </w:p>
        </w:tc>
        <w:tc>
          <w:tcPr>
            <w:tcW w:w="1240" w:type="dxa"/>
            <w:vAlign w:val="bottom"/>
          </w:tcPr>
          <w:p>
            <w:pPr>
              <w:spacing w:after="0"/>
              <w:rPr>
                <w:sz w:val="17"/>
                <w:szCs w:val="17"/>
                <w:color w:val="auto"/>
              </w:rPr>
            </w:pPr>
          </w:p>
        </w:tc>
        <w:tc>
          <w:tcPr>
            <w:tcW w:w="600" w:type="dxa"/>
            <w:vAlign w:val="bottom"/>
          </w:tcPr>
          <w:p>
            <w:pPr>
              <w:jc w:val="right"/>
              <w:ind w:right="54"/>
              <w:spacing w:after="0" w:line="202" w:lineRule="exact"/>
              <w:rPr>
                <w:sz w:val="20"/>
                <w:szCs w:val="20"/>
                <w:color w:val="auto"/>
              </w:rPr>
            </w:pPr>
            <w:r>
              <w:rPr>
                <w:rFonts w:ascii="Arial" w:cs="Arial" w:eastAsia="Arial" w:hAnsi="Arial"/>
                <w:sz w:val="18"/>
                <w:szCs w:val="18"/>
                <w:color w:val="auto"/>
              </w:rPr>
              <w:t>122</w:t>
            </w:r>
          </w:p>
        </w:tc>
        <w:tc>
          <w:tcPr>
            <w:tcW w:w="260" w:type="dxa"/>
            <w:vAlign w:val="bottom"/>
          </w:tcPr>
          <w:p>
            <w:pPr>
              <w:spacing w:after="0"/>
              <w:rPr>
                <w:sz w:val="17"/>
                <w:szCs w:val="17"/>
                <w:color w:val="auto"/>
              </w:rPr>
            </w:pPr>
          </w:p>
        </w:tc>
        <w:tc>
          <w:tcPr>
            <w:tcW w:w="620" w:type="dxa"/>
            <w:vAlign w:val="bottom"/>
          </w:tcPr>
          <w:p>
            <w:pPr>
              <w:jc w:val="right"/>
              <w:ind w:right="74"/>
              <w:spacing w:after="0" w:line="202" w:lineRule="exact"/>
              <w:rPr>
                <w:sz w:val="20"/>
                <w:szCs w:val="20"/>
                <w:color w:val="auto"/>
              </w:rPr>
            </w:pPr>
            <w:r>
              <w:rPr>
                <w:rFonts w:ascii="Arial" w:cs="Arial" w:eastAsia="Arial" w:hAnsi="Arial"/>
                <w:sz w:val="18"/>
                <w:szCs w:val="18"/>
                <w:color w:val="auto"/>
              </w:rPr>
              <w:t>401</w:t>
            </w:r>
          </w:p>
        </w:tc>
        <w:tc>
          <w:tcPr>
            <w:tcW w:w="240" w:type="dxa"/>
            <w:vAlign w:val="bottom"/>
          </w:tcPr>
          <w:p>
            <w:pPr>
              <w:spacing w:after="0"/>
              <w:rPr>
                <w:sz w:val="17"/>
                <w:szCs w:val="17"/>
                <w:color w:val="auto"/>
              </w:rPr>
            </w:pPr>
          </w:p>
        </w:tc>
        <w:tc>
          <w:tcPr>
            <w:tcW w:w="620" w:type="dxa"/>
            <w:vAlign w:val="bottom"/>
          </w:tcPr>
          <w:p>
            <w:pPr>
              <w:jc w:val="right"/>
              <w:ind w:right="74"/>
              <w:spacing w:after="0" w:line="202" w:lineRule="exact"/>
              <w:rPr>
                <w:sz w:val="20"/>
                <w:szCs w:val="20"/>
                <w:color w:val="auto"/>
              </w:rPr>
            </w:pPr>
            <w:r>
              <w:rPr>
                <w:rFonts w:ascii="Arial" w:cs="Arial" w:eastAsia="Arial" w:hAnsi="Arial"/>
                <w:sz w:val="18"/>
                <w:szCs w:val="18"/>
                <w:color w:val="auto"/>
              </w:rPr>
              <w:t>198</w:t>
            </w:r>
          </w:p>
        </w:tc>
        <w:tc>
          <w:tcPr>
            <w:tcW w:w="240" w:type="dxa"/>
            <w:vAlign w:val="bottom"/>
          </w:tcPr>
          <w:p>
            <w:pPr>
              <w:spacing w:after="0"/>
              <w:rPr>
                <w:sz w:val="17"/>
                <w:szCs w:val="17"/>
                <w:color w:val="auto"/>
              </w:rPr>
            </w:pPr>
          </w:p>
        </w:tc>
        <w:tc>
          <w:tcPr>
            <w:tcW w:w="760" w:type="dxa"/>
            <w:vAlign w:val="bottom"/>
          </w:tcPr>
          <w:p>
            <w:pPr>
              <w:jc w:val="right"/>
              <w:ind w:right="214"/>
              <w:spacing w:after="0" w:line="202" w:lineRule="exact"/>
              <w:rPr>
                <w:sz w:val="20"/>
                <w:szCs w:val="20"/>
                <w:color w:val="auto"/>
              </w:rPr>
            </w:pPr>
            <w:r>
              <w:rPr>
                <w:rFonts w:ascii="Arial" w:cs="Arial" w:eastAsia="Arial" w:hAnsi="Arial"/>
                <w:sz w:val="18"/>
                <w:szCs w:val="18"/>
                <w:color w:val="auto"/>
              </w:rPr>
              <w:t>107</w:t>
            </w:r>
          </w:p>
        </w:tc>
        <w:tc>
          <w:tcPr>
            <w:tcW w:w="220" w:type="dxa"/>
            <w:vAlign w:val="bottom"/>
          </w:tcPr>
          <w:p>
            <w:pPr>
              <w:spacing w:after="0"/>
              <w:rPr>
                <w:sz w:val="17"/>
                <w:szCs w:val="17"/>
                <w:color w:val="auto"/>
              </w:rPr>
            </w:pPr>
          </w:p>
        </w:tc>
        <w:tc>
          <w:tcPr>
            <w:tcW w:w="540" w:type="dxa"/>
            <w:vAlign w:val="bottom"/>
          </w:tcPr>
          <w:p>
            <w:pPr>
              <w:jc w:val="right"/>
              <w:spacing w:after="0" w:line="202" w:lineRule="exact"/>
              <w:rPr>
                <w:sz w:val="20"/>
                <w:szCs w:val="20"/>
                <w:color w:val="auto"/>
              </w:rPr>
            </w:pPr>
            <w:r>
              <w:rPr>
                <w:rFonts w:ascii="Arial" w:cs="Arial" w:eastAsia="Arial" w:hAnsi="Arial"/>
                <w:sz w:val="18"/>
                <w:szCs w:val="18"/>
                <w:color w:val="auto"/>
              </w:rPr>
              <w:t>828</w:t>
            </w:r>
          </w:p>
        </w:tc>
        <w:tc>
          <w:tcPr>
            <w:tcW w:w="0" w:type="dxa"/>
            <w:vAlign w:val="bottom"/>
          </w:tcPr>
          <w:p>
            <w:pPr>
              <w:spacing w:after="0"/>
              <w:rPr>
                <w:sz w:val="1"/>
                <w:szCs w:val="1"/>
                <w:color w:val="auto"/>
              </w:rPr>
            </w:pPr>
          </w:p>
        </w:tc>
      </w:tr>
      <w:tr>
        <w:trPr>
          <w:trHeight w:val="203"/>
        </w:trPr>
        <w:tc>
          <w:tcPr>
            <w:tcW w:w="6080" w:type="dxa"/>
            <w:vAlign w:val="bottom"/>
          </w:tcPr>
          <w:p>
            <w:pPr>
              <w:spacing w:after="0" w:line="202" w:lineRule="exact"/>
              <w:rPr>
                <w:sz w:val="20"/>
                <w:szCs w:val="20"/>
                <w:color w:val="auto"/>
              </w:rPr>
            </w:pPr>
            <w:r>
              <w:rPr>
                <w:rFonts w:ascii="Arial" w:cs="Arial" w:eastAsia="Arial" w:hAnsi="Arial"/>
                <w:sz w:val="18"/>
                <w:szCs w:val="18"/>
                <w:color w:val="auto"/>
              </w:rPr>
              <w:t>Income from discontinued operations</w:t>
            </w:r>
          </w:p>
        </w:tc>
        <w:tc>
          <w:tcPr>
            <w:tcW w:w="1240" w:type="dxa"/>
            <w:vAlign w:val="bottom"/>
          </w:tcPr>
          <w:p>
            <w:pPr>
              <w:spacing w:after="0"/>
              <w:rPr>
                <w:sz w:val="17"/>
                <w:szCs w:val="17"/>
                <w:color w:val="auto"/>
              </w:rPr>
            </w:pPr>
          </w:p>
        </w:tc>
        <w:tc>
          <w:tcPr>
            <w:tcW w:w="600" w:type="dxa"/>
            <w:vAlign w:val="bottom"/>
          </w:tcPr>
          <w:p>
            <w:pPr>
              <w:jc w:val="right"/>
              <w:ind w:right="54"/>
              <w:spacing w:after="0" w:line="202" w:lineRule="exact"/>
              <w:rPr>
                <w:sz w:val="20"/>
                <w:szCs w:val="20"/>
                <w:color w:val="auto"/>
              </w:rPr>
            </w:pPr>
            <w:r>
              <w:rPr>
                <w:rFonts w:ascii="Arial" w:cs="Arial" w:eastAsia="Arial" w:hAnsi="Arial"/>
                <w:sz w:val="18"/>
                <w:szCs w:val="18"/>
                <w:color w:val="auto"/>
              </w:rPr>
              <w:t>21</w:t>
            </w:r>
          </w:p>
        </w:tc>
        <w:tc>
          <w:tcPr>
            <w:tcW w:w="260" w:type="dxa"/>
            <w:vAlign w:val="bottom"/>
          </w:tcPr>
          <w:p>
            <w:pPr>
              <w:spacing w:after="0"/>
              <w:rPr>
                <w:sz w:val="17"/>
                <w:szCs w:val="17"/>
                <w:color w:val="auto"/>
              </w:rPr>
            </w:pPr>
          </w:p>
        </w:tc>
        <w:tc>
          <w:tcPr>
            <w:tcW w:w="620" w:type="dxa"/>
            <w:vAlign w:val="bottom"/>
          </w:tcPr>
          <w:p>
            <w:pPr>
              <w:jc w:val="right"/>
              <w:ind w:right="74"/>
              <w:spacing w:after="0" w:line="202" w:lineRule="exact"/>
              <w:rPr>
                <w:sz w:val="20"/>
                <w:szCs w:val="20"/>
                <w:color w:val="auto"/>
              </w:rPr>
            </w:pPr>
            <w:r>
              <w:rPr>
                <w:rFonts w:ascii="Arial" w:cs="Arial" w:eastAsia="Arial" w:hAnsi="Arial"/>
                <w:sz w:val="18"/>
                <w:szCs w:val="18"/>
                <w:color w:val="auto"/>
              </w:rPr>
              <w:t>29</w:t>
            </w:r>
          </w:p>
        </w:tc>
        <w:tc>
          <w:tcPr>
            <w:tcW w:w="240" w:type="dxa"/>
            <w:vAlign w:val="bottom"/>
          </w:tcPr>
          <w:p>
            <w:pPr>
              <w:spacing w:after="0"/>
              <w:rPr>
                <w:sz w:val="17"/>
                <w:szCs w:val="17"/>
                <w:color w:val="auto"/>
              </w:rPr>
            </w:pPr>
          </w:p>
        </w:tc>
        <w:tc>
          <w:tcPr>
            <w:tcW w:w="620" w:type="dxa"/>
            <w:vAlign w:val="bottom"/>
          </w:tcPr>
          <w:p>
            <w:pPr>
              <w:jc w:val="right"/>
              <w:ind w:right="74"/>
              <w:spacing w:after="0" w:line="202" w:lineRule="exact"/>
              <w:rPr>
                <w:sz w:val="20"/>
                <w:szCs w:val="20"/>
                <w:color w:val="auto"/>
              </w:rPr>
            </w:pPr>
            <w:r>
              <w:rPr>
                <w:rFonts w:ascii="Arial" w:cs="Arial" w:eastAsia="Arial" w:hAnsi="Arial"/>
                <w:sz w:val="18"/>
                <w:szCs w:val="18"/>
                <w:color w:val="auto"/>
              </w:rPr>
              <w:t>24</w:t>
            </w:r>
          </w:p>
        </w:tc>
        <w:tc>
          <w:tcPr>
            <w:tcW w:w="240" w:type="dxa"/>
            <w:vAlign w:val="bottom"/>
          </w:tcPr>
          <w:p>
            <w:pPr>
              <w:spacing w:after="0"/>
              <w:rPr>
                <w:sz w:val="17"/>
                <w:szCs w:val="17"/>
                <w:color w:val="auto"/>
              </w:rPr>
            </w:pPr>
          </w:p>
        </w:tc>
        <w:tc>
          <w:tcPr>
            <w:tcW w:w="760" w:type="dxa"/>
            <w:vAlign w:val="bottom"/>
          </w:tcPr>
          <w:p>
            <w:pPr>
              <w:jc w:val="right"/>
              <w:ind w:right="214"/>
              <w:spacing w:after="0" w:line="202" w:lineRule="exact"/>
              <w:rPr>
                <w:sz w:val="20"/>
                <w:szCs w:val="20"/>
                <w:color w:val="auto"/>
              </w:rPr>
            </w:pPr>
            <w:r>
              <w:rPr>
                <w:rFonts w:ascii="Arial" w:cs="Arial" w:eastAsia="Arial" w:hAnsi="Arial"/>
                <w:sz w:val="18"/>
                <w:szCs w:val="18"/>
                <w:color w:val="auto"/>
              </w:rPr>
              <w:t>26</w:t>
            </w:r>
          </w:p>
        </w:tc>
        <w:tc>
          <w:tcPr>
            <w:tcW w:w="220" w:type="dxa"/>
            <w:vAlign w:val="bottom"/>
          </w:tcPr>
          <w:p>
            <w:pPr>
              <w:spacing w:after="0"/>
              <w:rPr>
                <w:sz w:val="17"/>
                <w:szCs w:val="17"/>
                <w:color w:val="auto"/>
              </w:rPr>
            </w:pPr>
          </w:p>
        </w:tc>
        <w:tc>
          <w:tcPr>
            <w:tcW w:w="540" w:type="dxa"/>
            <w:vAlign w:val="bottom"/>
          </w:tcPr>
          <w:p>
            <w:pPr>
              <w:jc w:val="right"/>
              <w:spacing w:after="0" w:line="202" w:lineRule="exact"/>
              <w:rPr>
                <w:sz w:val="20"/>
                <w:szCs w:val="20"/>
                <w:color w:val="auto"/>
              </w:rPr>
            </w:pPr>
            <w:r>
              <w:rPr>
                <w:rFonts w:ascii="Arial" w:cs="Arial" w:eastAsia="Arial" w:hAnsi="Arial"/>
                <w:sz w:val="18"/>
                <w:szCs w:val="18"/>
                <w:color w:val="auto"/>
              </w:rPr>
              <w:t>100</w:t>
            </w:r>
          </w:p>
        </w:tc>
        <w:tc>
          <w:tcPr>
            <w:tcW w:w="0" w:type="dxa"/>
            <w:vAlign w:val="bottom"/>
          </w:tcPr>
          <w:p>
            <w:pPr>
              <w:spacing w:after="0"/>
              <w:rPr>
                <w:sz w:val="1"/>
                <w:szCs w:val="1"/>
                <w:color w:val="auto"/>
              </w:rPr>
            </w:pPr>
          </w:p>
        </w:tc>
      </w:tr>
      <w:tr>
        <w:trPr>
          <w:trHeight w:val="203"/>
        </w:trPr>
        <w:tc>
          <w:tcPr>
            <w:tcW w:w="6080" w:type="dxa"/>
            <w:vAlign w:val="bottom"/>
          </w:tcPr>
          <w:p>
            <w:pPr>
              <w:spacing w:after="0" w:line="202" w:lineRule="exact"/>
              <w:rPr>
                <w:sz w:val="20"/>
                <w:szCs w:val="20"/>
                <w:color w:val="auto"/>
              </w:rPr>
            </w:pPr>
            <w:r>
              <w:rPr>
                <w:rFonts w:ascii="Arial" w:cs="Arial" w:eastAsia="Arial" w:hAnsi="Arial"/>
                <w:sz w:val="18"/>
                <w:szCs w:val="18"/>
                <w:color w:val="auto"/>
              </w:rPr>
              <w:t>Net income</w:t>
            </w:r>
          </w:p>
        </w:tc>
        <w:tc>
          <w:tcPr>
            <w:tcW w:w="1240" w:type="dxa"/>
            <w:vAlign w:val="bottom"/>
          </w:tcPr>
          <w:p>
            <w:pPr>
              <w:jc w:val="right"/>
              <w:spacing w:after="0" w:line="202" w:lineRule="exact"/>
              <w:rPr>
                <w:sz w:val="20"/>
                <w:szCs w:val="20"/>
                <w:color w:val="auto"/>
              </w:rPr>
            </w:pPr>
            <w:r>
              <w:rPr>
                <w:rFonts w:ascii="Arial" w:cs="Arial" w:eastAsia="Arial" w:hAnsi="Arial"/>
                <w:sz w:val="18"/>
                <w:szCs w:val="18"/>
                <w:color w:val="auto"/>
              </w:rPr>
              <w:t>$</w:t>
            </w:r>
          </w:p>
        </w:tc>
        <w:tc>
          <w:tcPr>
            <w:tcW w:w="600" w:type="dxa"/>
            <w:vAlign w:val="bottom"/>
          </w:tcPr>
          <w:p>
            <w:pPr>
              <w:jc w:val="right"/>
              <w:ind w:right="54"/>
              <w:spacing w:after="0" w:line="202" w:lineRule="exact"/>
              <w:rPr>
                <w:sz w:val="20"/>
                <w:szCs w:val="20"/>
                <w:color w:val="auto"/>
              </w:rPr>
            </w:pPr>
            <w:r>
              <w:rPr>
                <w:rFonts w:ascii="Arial" w:cs="Arial" w:eastAsia="Arial" w:hAnsi="Arial"/>
                <w:sz w:val="18"/>
                <w:szCs w:val="18"/>
                <w:color w:val="auto"/>
              </w:rPr>
              <w:t>143</w:t>
            </w:r>
          </w:p>
        </w:tc>
        <w:tc>
          <w:tcPr>
            <w:tcW w:w="260" w:type="dxa"/>
            <w:vAlign w:val="bottom"/>
          </w:tcPr>
          <w:p>
            <w:pPr>
              <w:jc w:val="right"/>
              <w:spacing w:after="0" w:line="202" w:lineRule="exact"/>
              <w:rPr>
                <w:sz w:val="20"/>
                <w:szCs w:val="20"/>
                <w:color w:val="auto"/>
              </w:rPr>
            </w:pPr>
            <w:r>
              <w:rPr>
                <w:rFonts w:ascii="Arial" w:cs="Arial" w:eastAsia="Arial" w:hAnsi="Arial"/>
                <w:sz w:val="18"/>
                <w:szCs w:val="18"/>
                <w:color w:val="auto"/>
              </w:rPr>
              <w:t>$</w:t>
            </w:r>
          </w:p>
        </w:tc>
        <w:tc>
          <w:tcPr>
            <w:tcW w:w="620" w:type="dxa"/>
            <w:vAlign w:val="bottom"/>
          </w:tcPr>
          <w:p>
            <w:pPr>
              <w:jc w:val="right"/>
              <w:ind w:right="74"/>
              <w:spacing w:after="0" w:line="202" w:lineRule="exact"/>
              <w:rPr>
                <w:sz w:val="20"/>
                <w:szCs w:val="20"/>
                <w:color w:val="auto"/>
              </w:rPr>
            </w:pPr>
            <w:r>
              <w:rPr>
                <w:rFonts w:ascii="Arial" w:cs="Arial" w:eastAsia="Arial" w:hAnsi="Arial"/>
                <w:sz w:val="18"/>
                <w:szCs w:val="18"/>
                <w:color w:val="auto"/>
              </w:rPr>
              <w:t>430</w:t>
            </w:r>
          </w:p>
        </w:tc>
        <w:tc>
          <w:tcPr>
            <w:tcW w:w="240" w:type="dxa"/>
            <w:vAlign w:val="bottom"/>
          </w:tcPr>
          <w:p>
            <w:pPr>
              <w:jc w:val="right"/>
              <w:spacing w:after="0" w:line="202" w:lineRule="exact"/>
              <w:rPr>
                <w:sz w:val="20"/>
                <w:szCs w:val="20"/>
                <w:color w:val="auto"/>
              </w:rPr>
            </w:pPr>
            <w:r>
              <w:rPr>
                <w:rFonts w:ascii="Arial" w:cs="Arial" w:eastAsia="Arial" w:hAnsi="Arial"/>
                <w:sz w:val="18"/>
                <w:szCs w:val="18"/>
                <w:color w:val="auto"/>
              </w:rPr>
              <w:t>$</w:t>
            </w:r>
          </w:p>
        </w:tc>
        <w:tc>
          <w:tcPr>
            <w:tcW w:w="620" w:type="dxa"/>
            <w:vAlign w:val="bottom"/>
          </w:tcPr>
          <w:p>
            <w:pPr>
              <w:jc w:val="right"/>
              <w:ind w:right="74"/>
              <w:spacing w:after="0" w:line="202" w:lineRule="exact"/>
              <w:rPr>
                <w:sz w:val="20"/>
                <w:szCs w:val="20"/>
                <w:color w:val="auto"/>
              </w:rPr>
            </w:pPr>
            <w:r>
              <w:rPr>
                <w:rFonts w:ascii="Arial" w:cs="Arial" w:eastAsia="Arial" w:hAnsi="Arial"/>
                <w:sz w:val="18"/>
                <w:szCs w:val="18"/>
                <w:color w:val="auto"/>
              </w:rPr>
              <w:t>222</w:t>
            </w:r>
          </w:p>
        </w:tc>
        <w:tc>
          <w:tcPr>
            <w:tcW w:w="240" w:type="dxa"/>
            <w:vAlign w:val="bottom"/>
          </w:tcPr>
          <w:p>
            <w:pPr>
              <w:jc w:val="right"/>
              <w:spacing w:after="0" w:line="202" w:lineRule="exact"/>
              <w:rPr>
                <w:sz w:val="20"/>
                <w:szCs w:val="20"/>
                <w:color w:val="auto"/>
              </w:rPr>
            </w:pPr>
            <w:r>
              <w:rPr>
                <w:rFonts w:ascii="Arial" w:cs="Arial" w:eastAsia="Arial" w:hAnsi="Arial"/>
                <w:sz w:val="18"/>
                <w:szCs w:val="18"/>
                <w:color w:val="auto"/>
              </w:rPr>
              <w:t>$</w:t>
            </w:r>
          </w:p>
        </w:tc>
        <w:tc>
          <w:tcPr>
            <w:tcW w:w="760" w:type="dxa"/>
            <w:vAlign w:val="bottom"/>
          </w:tcPr>
          <w:p>
            <w:pPr>
              <w:ind w:left="180"/>
              <w:spacing w:after="0" w:line="202" w:lineRule="exact"/>
              <w:rPr>
                <w:sz w:val="20"/>
                <w:szCs w:val="20"/>
                <w:color w:val="auto"/>
              </w:rPr>
            </w:pPr>
            <w:r>
              <w:rPr>
                <w:rFonts w:ascii="Arial" w:cs="Arial" w:eastAsia="Arial" w:hAnsi="Arial"/>
                <w:sz w:val="18"/>
                <w:szCs w:val="18"/>
                <w:color w:val="auto"/>
              </w:rPr>
              <w:t>133</w:t>
            </w:r>
            <w:r>
              <w:rPr>
                <w:rFonts w:ascii="Arial" w:cs="Arial" w:eastAsia="Arial" w:hAnsi="Arial"/>
                <w:sz w:val="11"/>
                <w:szCs w:val="11"/>
                <w:color w:val="auto"/>
              </w:rPr>
              <w:t>(b)</w:t>
            </w:r>
          </w:p>
        </w:tc>
        <w:tc>
          <w:tcPr>
            <w:tcW w:w="220" w:type="dxa"/>
            <w:vAlign w:val="bottom"/>
          </w:tcPr>
          <w:p>
            <w:pPr>
              <w:jc w:val="right"/>
              <w:spacing w:after="0" w:line="202" w:lineRule="exact"/>
              <w:rPr>
                <w:sz w:val="20"/>
                <w:szCs w:val="20"/>
                <w:color w:val="auto"/>
              </w:rPr>
            </w:pPr>
            <w:r>
              <w:rPr>
                <w:rFonts w:ascii="Arial" w:cs="Arial" w:eastAsia="Arial" w:hAnsi="Arial"/>
                <w:sz w:val="18"/>
                <w:szCs w:val="18"/>
                <w:color w:val="auto"/>
              </w:rPr>
              <w:t>$</w:t>
            </w:r>
          </w:p>
        </w:tc>
        <w:tc>
          <w:tcPr>
            <w:tcW w:w="540" w:type="dxa"/>
            <w:vAlign w:val="bottom"/>
          </w:tcPr>
          <w:p>
            <w:pPr>
              <w:jc w:val="right"/>
              <w:spacing w:after="0" w:line="202" w:lineRule="exact"/>
              <w:rPr>
                <w:sz w:val="20"/>
                <w:szCs w:val="20"/>
                <w:color w:val="auto"/>
              </w:rPr>
            </w:pPr>
            <w:r>
              <w:rPr>
                <w:rFonts w:ascii="Arial" w:cs="Arial" w:eastAsia="Arial" w:hAnsi="Arial"/>
                <w:sz w:val="18"/>
                <w:szCs w:val="18"/>
                <w:color w:val="auto"/>
              </w:rPr>
              <w:t>928</w:t>
            </w:r>
          </w:p>
        </w:tc>
        <w:tc>
          <w:tcPr>
            <w:tcW w:w="0" w:type="dxa"/>
            <w:vAlign w:val="bottom"/>
          </w:tcPr>
          <w:p>
            <w:pPr>
              <w:spacing w:after="0"/>
              <w:rPr>
                <w:sz w:val="1"/>
                <w:szCs w:val="1"/>
                <w:color w:val="auto"/>
              </w:rPr>
            </w:pPr>
          </w:p>
        </w:tc>
      </w:tr>
      <w:tr>
        <w:trPr>
          <w:trHeight w:val="203"/>
        </w:trPr>
        <w:tc>
          <w:tcPr>
            <w:tcW w:w="6080" w:type="dxa"/>
            <w:vAlign w:val="bottom"/>
          </w:tcPr>
          <w:p>
            <w:pPr>
              <w:spacing w:after="0" w:line="203" w:lineRule="exact"/>
              <w:rPr>
                <w:sz w:val="20"/>
                <w:szCs w:val="20"/>
                <w:color w:val="auto"/>
              </w:rPr>
            </w:pPr>
            <w:r>
              <w:rPr>
                <w:rFonts w:ascii="Arial" w:cs="Arial" w:eastAsia="Arial" w:hAnsi="Arial"/>
                <w:sz w:val="18"/>
                <w:szCs w:val="18"/>
                <w:color w:val="auto"/>
              </w:rPr>
              <w:t>Basic earnings for common stockholders per common share</w:t>
            </w:r>
            <w:r>
              <w:rPr>
                <w:rFonts w:ascii="Arial" w:cs="Arial" w:eastAsia="Arial" w:hAnsi="Arial"/>
                <w:sz w:val="22"/>
                <w:szCs w:val="22"/>
                <w:color w:val="auto"/>
                <w:vertAlign w:val="superscript"/>
              </w:rPr>
              <w:t>(c)</w:t>
            </w:r>
          </w:p>
        </w:tc>
        <w:tc>
          <w:tcPr>
            <w:tcW w:w="1240" w:type="dxa"/>
            <w:vAlign w:val="bottom"/>
          </w:tcPr>
          <w:p>
            <w:pPr>
              <w:spacing w:after="0"/>
              <w:rPr>
                <w:sz w:val="17"/>
                <w:szCs w:val="17"/>
                <w:color w:val="auto"/>
              </w:rPr>
            </w:pPr>
          </w:p>
        </w:tc>
        <w:tc>
          <w:tcPr>
            <w:tcW w:w="60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62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62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5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6080" w:type="dxa"/>
            <w:vAlign w:val="bottom"/>
          </w:tcPr>
          <w:p>
            <w:pPr>
              <w:ind w:left="220"/>
              <w:spacing w:after="0" w:line="202" w:lineRule="exact"/>
              <w:rPr>
                <w:sz w:val="20"/>
                <w:szCs w:val="20"/>
                <w:color w:val="auto"/>
              </w:rPr>
            </w:pPr>
            <w:r>
              <w:rPr>
                <w:rFonts w:ascii="Arial" w:cs="Arial" w:eastAsia="Arial" w:hAnsi="Arial"/>
                <w:sz w:val="18"/>
                <w:szCs w:val="18"/>
                <w:color w:val="auto"/>
              </w:rPr>
              <w:t>Income from continuing operations</w:t>
            </w:r>
          </w:p>
        </w:tc>
        <w:tc>
          <w:tcPr>
            <w:tcW w:w="1240" w:type="dxa"/>
            <w:vAlign w:val="bottom"/>
          </w:tcPr>
          <w:p>
            <w:pPr>
              <w:jc w:val="right"/>
              <w:spacing w:after="0" w:line="202" w:lineRule="exact"/>
              <w:rPr>
                <w:sz w:val="20"/>
                <w:szCs w:val="20"/>
                <w:color w:val="auto"/>
              </w:rPr>
            </w:pPr>
            <w:r>
              <w:rPr>
                <w:rFonts w:ascii="Arial" w:cs="Arial" w:eastAsia="Arial" w:hAnsi="Arial"/>
                <w:sz w:val="18"/>
                <w:szCs w:val="18"/>
                <w:color w:val="auto"/>
              </w:rPr>
              <w:t>$</w:t>
            </w:r>
          </w:p>
        </w:tc>
        <w:tc>
          <w:tcPr>
            <w:tcW w:w="600" w:type="dxa"/>
            <w:vAlign w:val="bottom"/>
          </w:tcPr>
          <w:p>
            <w:pPr>
              <w:jc w:val="right"/>
              <w:ind w:right="54"/>
              <w:spacing w:after="0" w:line="202" w:lineRule="exact"/>
              <w:rPr>
                <w:sz w:val="20"/>
                <w:szCs w:val="20"/>
                <w:color w:val="auto"/>
              </w:rPr>
            </w:pPr>
            <w:r>
              <w:rPr>
                <w:rFonts w:ascii="Arial" w:cs="Arial" w:eastAsia="Arial" w:hAnsi="Arial"/>
                <w:sz w:val="18"/>
                <w:szCs w:val="18"/>
                <w:color w:val="auto"/>
              </w:rPr>
              <w:t>0.04</w:t>
            </w:r>
          </w:p>
        </w:tc>
        <w:tc>
          <w:tcPr>
            <w:tcW w:w="260" w:type="dxa"/>
            <w:vAlign w:val="bottom"/>
          </w:tcPr>
          <w:p>
            <w:pPr>
              <w:jc w:val="right"/>
              <w:spacing w:after="0" w:line="202" w:lineRule="exact"/>
              <w:rPr>
                <w:sz w:val="20"/>
                <w:szCs w:val="20"/>
                <w:color w:val="auto"/>
              </w:rPr>
            </w:pPr>
            <w:r>
              <w:rPr>
                <w:rFonts w:ascii="Arial" w:cs="Arial" w:eastAsia="Arial" w:hAnsi="Arial"/>
                <w:sz w:val="18"/>
                <w:szCs w:val="18"/>
                <w:color w:val="auto"/>
              </w:rPr>
              <w:t>$</w:t>
            </w:r>
          </w:p>
        </w:tc>
        <w:tc>
          <w:tcPr>
            <w:tcW w:w="620" w:type="dxa"/>
            <w:vAlign w:val="bottom"/>
          </w:tcPr>
          <w:p>
            <w:pPr>
              <w:jc w:val="right"/>
              <w:ind w:right="74"/>
              <w:spacing w:after="0" w:line="202" w:lineRule="exact"/>
              <w:rPr>
                <w:sz w:val="20"/>
                <w:szCs w:val="20"/>
                <w:color w:val="auto"/>
              </w:rPr>
            </w:pPr>
            <w:r>
              <w:rPr>
                <w:rFonts w:ascii="Arial" w:cs="Arial" w:eastAsia="Arial" w:hAnsi="Arial"/>
                <w:sz w:val="18"/>
                <w:szCs w:val="18"/>
                <w:color w:val="auto"/>
              </w:rPr>
              <w:t>0.12</w:t>
            </w:r>
          </w:p>
        </w:tc>
        <w:tc>
          <w:tcPr>
            <w:tcW w:w="240" w:type="dxa"/>
            <w:vAlign w:val="bottom"/>
          </w:tcPr>
          <w:p>
            <w:pPr>
              <w:jc w:val="right"/>
              <w:spacing w:after="0" w:line="202" w:lineRule="exact"/>
              <w:rPr>
                <w:sz w:val="20"/>
                <w:szCs w:val="20"/>
                <w:color w:val="auto"/>
              </w:rPr>
            </w:pPr>
            <w:r>
              <w:rPr>
                <w:rFonts w:ascii="Arial" w:cs="Arial" w:eastAsia="Arial" w:hAnsi="Arial"/>
                <w:sz w:val="18"/>
                <w:szCs w:val="18"/>
                <w:color w:val="auto"/>
              </w:rPr>
              <w:t>$</w:t>
            </w:r>
          </w:p>
        </w:tc>
        <w:tc>
          <w:tcPr>
            <w:tcW w:w="620" w:type="dxa"/>
            <w:vAlign w:val="bottom"/>
          </w:tcPr>
          <w:p>
            <w:pPr>
              <w:jc w:val="right"/>
              <w:ind w:right="74"/>
              <w:spacing w:after="0" w:line="202" w:lineRule="exact"/>
              <w:rPr>
                <w:sz w:val="20"/>
                <w:szCs w:val="20"/>
                <w:color w:val="auto"/>
              </w:rPr>
            </w:pPr>
            <w:r>
              <w:rPr>
                <w:rFonts w:ascii="Arial" w:cs="Arial" w:eastAsia="Arial" w:hAnsi="Arial"/>
                <w:sz w:val="18"/>
                <w:szCs w:val="18"/>
                <w:color w:val="auto"/>
              </w:rPr>
              <w:t>0.06</w:t>
            </w:r>
          </w:p>
        </w:tc>
        <w:tc>
          <w:tcPr>
            <w:tcW w:w="240" w:type="dxa"/>
            <w:vAlign w:val="bottom"/>
          </w:tcPr>
          <w:p>
            <w:pPr>
              <w:jc w:val="right"/>
              <w:spacing w:after="0" w:line="202" w:lineRule="exact"/>
              <w:rPr>
                <w:sz w:val="20"/>
                <w:szCs w:val="20"/>
                <w:color w:val="auto"/>
              </w:rPr>
            </w:pPr>
            <w:r>
              <w:rPr>
                <w:rFonts w:ascii="Arial" w:cs="Arial" w:eastAsia="Arial" w:hAnsi="Arial"/>
                <w:sz w:val="18"/>
                <w:szCs w:val="18"/>
                <w:color w:val="auto"/>
              </w:rPr>
              <w:t>$</w:t>
            </w:r>
          </w:p>
        </w:tc>
        <w:tc>
          <w:tcPr>
            <w:tcW w:w="760" w:type="dxa"/>
            <w:vAlign w:val="bottom"/>
          </w:tcPr>
          <w:p>
            <w:pPr>
              <w:jc w:val="right"/>
              <w:ind w:right="214"/>
              <w:spacing w:after="0" w:line="202" w:lineRule="exact"/>
              <w:rPr>
                <w:sz w:val="20"/>
                <w:szCs w:val="20"/>
                <w:color w:val="auto"/>
              </w:rPr>
            </w:pPr>
            <w:r>
              <w:rPr>
                <w:rFonts w:ascii="Arial" w:cs="Arial" w:eastAsia="Arial" w:hAnsi="Arial"/>
                <w:sz w:val="18"/>
                <w:szCs w:val="18"/>
                <w:color w:val="auto"/>
              </w:rPr>
              <w:t>0.03</w:t>
            </w:r>
          </w:p>
        </w:tc>
        <w:tc>
          <w:tcPr>
            <w:tcW w:w="220" w:type="dxa"/>
            <w:vAlign w:val="bottom"/>
          </w:tcPr>
          <w:p>
            <w:pPr>
              <w:jc w:val="right"/>
              <w:spacing w:after="0" w:line="202" w:lineRule="exact"/>
              <w:rPr>
                <w:sz w:val="20"/>
                <w:szCs w:val="20"/>
                <w:color w:val="auto"/>
              </w:rPr>
            </w:pPr>
            <w:r>
              <w:rPr>
                <w:rFonts w:ascii="Arial" w:cs="Arial" w:eastAsia="Arial" w:hAnsi="Arial"/>
                <w:sz w:val="18"/>
                <w:szCs w:val="18"/>
                <w:color w:val="auto"/>
              </w:rPr>
              <w:t>$</w:t>
            </w:r>
          </w:p>
        </w:tc>
        <w:tc>
          <w:tcPr>
            <w:tcW w:w="540" w:type="dxa"/>
            <w:vAlign w:val="bottom"/>
          </w:tcPr>
          <w:p>
            <w:pPr>
              <w:jc w:val="right"/>
              <w:spacing w:after="0" w:line="202" w:lineRule="exact"/>
              <w:rPr>
                <w:sz w:val="20"/>
                <w:szCs w:val="20"/>
                <w:color w:val="auto"/>
              </w:rPr>
            </w:pPr>
            <w:r>
              <w:rPr>
                <w:rFonts w:ascii="Arial" w:cs="Arial" w:eastAsia="Arial" w:hAnsi="Arial"/>
                <w:sz w:val="18"/>
                <w:szCs w:val="18"/>
                <w:color w:val="auto"/>
              </w:rPr>
              <w:t>0.25</w:t>
            </w:r>
          </w:p>
        </w:tc>
        <w:tc>
          <w:tcPr>
            <w:tcW w:w="0" w:type="dxa"/>
            <w:vAlign w:val="bottom"/>
          </w:tcPr>
          <w:p>
            <w:pPr>
              <w:spacing w:after="0"/>
              <w:rPr>
                <w:sz w:val="1"/>
                <w:szCs w:val="1"/>
                <w:color w:val="auto"/>
              </w:rPr>
            </w:pPr>
          </w:p>
        </w:tc>
      </w:tr>
      <w:tr>
        <w:trPr>
          <w:trHeight w:val="203"/>
        </w:trPr>
        <w:tc>
          <w:tcPr>
            <w:tcW w:w="6080" w:type="dxa"/>
            <w:vAlign w:val="bottom"/>
          </w:tcPr>
          <w:p>
            <w:pPr>
              <w:ind w:left="220"/>
              <w:spacing w:after="0" w:line="202" w:lineRule="exact"/>
              <w:rPr>
                <w:sz w:val="20"/>
                <w:szCs w:val="20"/>
                <w:color w:val="auto"/>
              </w:rPr>
            </w:pPr>
            <w:r>
              <w:rPr>
                <w:rFonts w:ascii="Arial" w:cs="Arial" w:eastAsia="Arial" w:hAnsi="Arial"/>
                <w:sz w:val="18"/>
                <w:szCs w:val="18"/>
                <w:color w:val="auto"/>
              </w:rPr>
              <w:t>Income from discontinued operations</w:t>
            </w:r>
          </w:p>
        </w:tc>
        <w:tc>
          <w:tcPr>
            <w:tcW w:w="1240" w:type="dxa"/>
            <w:vAlign w:val="bottom"/>
          </w:tcPr>
          <w:p>
            <w:pPr>
              <w:spacing w:after="0"/>
              <w:rPr>
                <w:sz w:val="17"/>
                <w:szCs w:val="17"/>
                <w:color w:val="auto"/>
              </w:rPr>
            </w:pPr>
          </w:p>
        </w:tc>
        <w:tc>
          <w:tcPr>
            <w:tcW w:w="600" w:type="dxa"/>
            <w:vAlign w:val="bottom"/>
          </w:tcPr>
          <w:p>
            <w:pPr>
              <w:jc w:val="right"/>
              <w:ind w:right="154"/>
              <w:spacing w:after="0" w:line="202" w:lineRule="exact"/>
              <w:rPr>
                <w:sz w:val="20"/>
                <w:szCs w:val="20"/>
                <w:color w:val="auto"/>
              </w:rPr>
            </w:pPr>
            <w:r>
              <w:rPr>
                <w:rFonts w:ascii="Arial" w:cs="Arial" w:eastAsia="Arial" w:hAnsi="Arial"/>
                <w:sz w:val="18"/>
                <w:szCs w:val="18"/>
                <w:color w:val="auto"/>
              </w:rPr>
              <w:t>—</w:t>
            </w:r>
          </w:p>
        </w:tc>
        <w:tc>
          <w:tcPr>
            <w:tcW w:w="260" w:type="dxa"/>
            <w:vAlign w:val="bottom"/>
          </w:tcPr>
          <w:p>
            <w:pPr>
              <w:spacing w:after="0"/>
              <w:rPr>
                <w:sz w:val="17"/>
                <w:szCs w:val="17"/>
                <w:color w:val="auto"/>
              </w:rPr>
            </w:pPr>
          </w:p>
        </w:tc>
        <w:tc>
          <w:tcPr>
            <w:tcW w:w="620" w:type="dxa"/>
            <w:vAlign w:val="bottom"/>
          </w:tcPr>
          <w:p>
            <w:pPr>
              <w:jc w:val="right"/>
              <w:ind w:right="74"/>
              <w:spacing w:after="0" w:line="202" w:lineRule="exact"/>
              <w:rPr>
                <w:sz w:val="20"/>
                <w:szCs w:val="20"/>
                <w:color w:val="auto"/>
              </w:rPr>
            </w:pPr>
            <w:r>
              <w:rPr>
                <w:rFonts w:ascii="Arial" w:cs="Arial" w:eastAsia="Arial" w:hAnsi="Arial"/>
                <w:sz w:val="18"/>
                <w:szCs w:val="18"/>
                <w:color w:val="auto"/>
              </w:rPr>
              <w:t>0.01</w:t>
            </w:r>
          </w:p>
        </w:tc>
        <w:tc>
          <w:tcPr>
            <w:tcW w:w="240" w:type="dxa"/>
            <w:vAlign w:val="bottom"/>
          </w:tcPr>
          <w:p>
            <w:pPr>
              <w:spacing w:after="0"/>
              <w:rPr>
                <w:sz w:val="17"/>
                <w:szCs w:val="17"/>
                <w:color w:val="auto"/>
              </w:rPr>
            </w:pPr>
          </w:p>
        </w:tc>
        <w:tc>
          <w:tcPr>
            <w:tcW w:w="620" w:type="dxa"/>
            <w:vAlign w:val="bottom"/>
          </w:tcPr>
          <w:p>
            <w:pPr>
              <w:jc w:val="right"/>
              <w:ind w:right="74"/>
              <w:spacing w:after="0" w:line="202" w:lineRule="exact"/>
              <w:rPr>
                <w:sz w:val="20"/>
                <w:szCs w:val="20"/>
                <w:color w:val="auto"/>
              </w:rPr>
            </w:pPr>
            <w:r>
              <w:rPr>
                <w:rFonts w:ascii="Arial" w:cs="Arial" w:eastAsia="Arial" w:hAnsi="Arial"/>
                <w:sz w:val="18"/>
                <w:szCs w:val="18"/>
                <w:color w:val="auto"/>
              </w:rPr>
              <w:t>0.01</w:t>
            </w:r>
          </w:p>
        </w:tc>
        <w:tc>
          <w:tcPr>
            <w:tcW w:w="240" w:type="dxa"/>
            <w:vAlign w:val="bottom"/>
          </w:tcPr>
          <w:p>
            <w:pPr>
              <w:spacing w:after="0"/>
              <w:rPr>
                <w:sz w:val="17"/>
                <w:szCs w:val="17"/>
                <w:color w:val="auto"/>
              </w:rPr>
            </w:pPr>
          </w:p>
        </w:tc>
        <w:tc>
          <w:tcPr>
            <w:tcW w:w="760" w:type="dxa"/>
            <w:vAlign w:val="bottom"/>
          </w:tcPr>
          <w:p>
            <w:pPr>
              <w:jc w:val="right"/>
              <w:ind w:right="214"/>
              <w:spacing w:after="0" w:line="202" w:lineRule="exact"/>
              <w:rPr>
                <w:sz w:val="20"/>
                <w:szCs w:val="20"/>
                <w:color w:val="auto"/>
              </w:rPr>
            </w:pPr>
            <w:r>
              <w:rPr>
                <w:rFonts w:ascii="Arial" w:cs="Arial" w:eastAsia="Arial" w:hAnsi="Arial"/>
                <w:sz w:val="18"/>
                <w:szCs w:val="18"/>
                <w:color w:val="auto"/>
              </w:rPr>
              <w:t>0.01</w:t>
            </w:r>
          </w:p>
        </w:tc>
        <w:tc>
          <w:tcPr>
            <w:tcW w:w="220" w:type="dxa"/>
            <w:vAlign w:val="bottom"/>
          </w:tcPr>
          <w:p>
            <w:pPr>
              <w:spacing w:after="0"/>
              <w:rPr>
                <w:sz w:val="17"/>
                <w:szCs w:val="17"/>
                <w:color w:val="auto"/>
              </w:rPr>
            </w:pPr>
          </w:p>
        </w:tc>
        <w:tc>
          <w:tcPr>
            <w:tcW w:w="540" w:type="dxa"/>
            <w:vAlign w:val="bottom"/>
          </w:tcPr>
          <w:p>
            <w:pPr>
              <w:jc w:val="right"/>
              <w:spacing w:after="0" w:line="202" w:lineRule="exact"/>
              <w:rPr>
                <w:sz w:val="20"/>
                <w:szCs w:val="20"/>
                <w:color w:val="auto"/>
              </w:rPr>
            </w:pPr>
            <w:r>
              <w:rPr>
                <w:rFonts w:ascii="Arial" w:cs="Arial" w:eastAsia="Arial" w:hAnsi="Arial"/>
                <w:sz w:val="18"/>
                <w:szCs w:val="18"/>
                <w:color w:val="auto"/>
              </w:rPr>
              <w:t>0.03</w:t>
            </w:r>
          </w:p>
        </w:tc>
        <w:tc>
          <w:tcPr>
            <w:tcW w:w="0" w:type="dxa"/>
            <w:vAlign w:val="bottom"/>
          </w:tcPr>
          <w:p>
            <w:pPr>
              <w:spacing w:after="0"/>
              <w:rPr>
                <w:sz w:val="1"/>
                <w:szCs w:val="1"/>
                <w:color w:val="auto"/>
              </w:rPr>
            </w:pPr>
          </w:p>
        </w:tc>
      </w:tr>
      <w:tr>
        <w:trPr>
          <w:trHeight w:val="203"/>
        </w:trPr>
        <w:tc>
          <w:tcPr>
            <w:tcW w:w="6080" w:type="dxa"/>
            <w:vAlign w:val="bottom"/>
          </w:tcPr>
          <w:p>
            <w:pPr>
              <w:ind w:left="220"/>
              <w:spacing w:after="0" w:line="202" w:lineRule="exact"/>
              <w:rPr>
                <w:sz w:val="20"/>
                <w:szCs w:val="20"/>
                <w:color w:val="auto"/>
              </w:rPr>
            </w:pPr>
            <w:r>
              <w:rPr>
                <w:rFonts w:ascii="Arial" w:cs="Arial" w:eastAsia="Arial" w:hAnsi="Arial"/>
                <w:sz w:val="18"/>
                <w:szCs w:val="18"/>
                <w:color w:val="auto"/>
              </w:rPr>
              <w:t>Net income</w:t>
            </w:r>
          </w:p>
        </w:tc>
        <w:tc>
          <w:tcPr>
            <w:tcW w:w="1240" w:type="dxa"/>
            <w:vAlign w:val="bottom"/>
          </w:tcPr>
          <w:p>
            <w:pPr>
              <w:jc w:val="right"/>
              <w:spacing w:after="0" w:line="202" w:lineRule="exact"/>
              <w:rPr>
                <w:sz w:val="20"/>
                <w:szCs w:val="20"/>
                <w:color w:val="auto"/>
              </w:rPr>
            </w:pPr>
            <w:r>
              <w:rPr>
                <w:rFonts w:ascii="Arial" w:cs="Arial" w:eastAsia="Arial" w:hAnsi="Arial"/>
                <w:sz w:val="18"/>
                <w:szCs w:val="18"/>
                <w:color w:val="auto"/>
              </w:rPr>
              <w:t>$</w:t>
            </w:r>
          </w:p>
        </w:tc>
        <w:tc>
          <w:tcPr>
            <w:tcW w:w="600" w:type="dxa"/>
            <w:vAlign w:val="bottom"/>
          </w:tcPr>
          <w:p>
            <w:pPr>
              <w:jc w:val="right"/>
              <w:ind w:right="54"/>
              <w:spacing w:after="0" w:line="202" w:lineRule="exact"/>
              <w:rPr>
                <w:sz w:val="20"/>
                <w:szCs w:val="20"/>
                <w:color w:val="auto"/>
              </w:rPr>
            </w:pPr>
            <w:r>
              <w:rPr>
                <w:rFonts w:ascii="Arial" w:cs="Arial" w:eastAsia="Arial" w:hAnsi="Arial"/>
                <w:sz w:val="18"/>
                <w:szCs w:val="18"/>
                <w:color w:val="auto"/>
              </w:rPr>
              <w:t>0.04</w:t>
            </w:r>
          </w:p>
        </w:tc>
        <w:tc>
          <w:tcPr>
            <w:tcW w:w="260" w:type="dxa"/>
            <w:vAlign w:val="bottom"/>
          </w:tcPr>
          <w:p>
            <w:pPr>
              <w:jc w:val="right"/>
              <w:spacing w:after="0" w:line="202" w:lineRule="exact"/>
              <w:rPr>
                <w:sz w:val="20"/>
                <w:szCs w:val="20"/>
                <w:color w:val="auto"/>
              </w:rPr>
            </w:pPr>
            <w:r>
              <w:rPr>
                <w:rFonts w:ascii="Arial" w:cs="Arial" w:eastAsia="Arial" w:hAnsi="Arial"/>
                <w:sz w:val="18"/>
                <w:szCs w:val="18"/>
                <w:color w:val="auto"/>
              </w:rPr>
              <w:t>$</w:t>
            </w:r>
          </w:p>
        </w:tc>
        <w:tc>
          <w:tcPr>
            <w:tcW w:w="620" w:type="dxa"/>
            <w:vAlign w:val="bottom"/>
          </w:tcPr>
          <w:p>
            <w:pPr>
              <w:jc w:val="right"/>
              <w:ind w:right="74"/>
              <w:spacing w:after="0" w:line="202" w:lineRule="exact"/>
              <w:rPr>
                <w:sz w:val="20"/>
                <w:szCs w:val="20"/>
                <w:color w:val="auto"/>
              </w:rPr>
            </w:pPr>
            <w:r>
              <w:rPr>
                <w:rFonts w:ascii="Arial" w:cs="Arial" w:eastAsia="Arial" w:hAnsi="Arial"/>
                <w:sz w:val="18"/>
                <w:szCs w:val="18"/>
                <w:color w:val="auto"/>
              </w:rPr>
              <w:t>0.13</w:t>
            </w:r>
          </w:p>
        </w:tc>
        <w:tc>
          <w:tcPr>
            <w:tcW w:w="240" w:type="dxa"/>
            <w:vAlign w:val="bottom"/>
          </w:tcPr>
          <w:p>
            <w:pPr>
              <w:jc w:val="right"/>
              <w:spacing w:after="0" w:line="202" w:lineRule="exact"/>
              <w:rPr>
                <w:sz w:val="20"/>
                <w:szCs w:val="20"/>
                <w:color w:val="auto"/>
              </w:rPr>
            </w:pPr>
            <w:r>
              <w:rPr>
                <w:rFonts w:ascii="Arial" w:cs="Arial" w:eastAsia="Arial" w:hAnsi="Arial"/>
                <w:sz w:val="18"/>
                <w:szCs w:val="18"/>
                <w:color w:val="auto"/>
              </w:rPr>
              <w:t>$</w:t>
            </w:r>
          </w:p>
        </w:tc>
        <w:tc>
          <w:tcPr>
            <w:tcW w:w="620" w:type="dxa"/>
            <w:vAlign w:val="bottom"/>
          </w:tcPr>
          <w:p>
            <w:pPr>
              <w:jc w:val="right"/>
              <w:ind w:right="74"/>
              <w:spacing w:after="0" w:line="202" w:lineRule="exact"/>
              <w:rPr>
                <w:sz w:val="20"/>
                <w:szCs w:val="20"/>
                <w:color w:val="auto"/>
              </w:rPr>
            </w:pPr>
            <w:r>
              <w:rPr>
                <w:rFonts w:ascii="Arial" w:cs="Arial" w:eastAsia="Arial" w:hAnsi="Arial"/>
                <w:sz w:val="18"/>
                <w:szCs w:val="18"/>
                <w:color w:val="auto"/>
              </w:rPr>
              <w:t>0.07</w:t>
            </w:r>
          </w:p>
        </w:tc>
        <w:tc>
          <w:tcPr>
            <w:tcW w:w="240" w:type="dxa"/>
            <w:vAlign w:val="bottom"/>
          </w:tcPr>
          <w:p>
            <w:pPr>
              <w:jc w:val="right"/>
              <w:spacing w:after="0" w:line="202" w:lineRule="exact"/>
              <w:rPr>
                <w:sz w:val="20"/>
                <w:szCs w:val="20"/>
                <w:color w:val="auto"/>
              </w:rPr>
            </w:pPr>
            <w:r>
              <w:rPr>
                <w:rFonts w:ascii="Arial" w:cs="Arial" w:eastAsia="Arial" w:hAnsi="Arial"/>
                <w:sz w:val="18"/>
                <w:szCs w:val="18"/>
                <w:color w:val="auto"/>
              </w:rPr>
              <w:t>$</w:t>
            </w:r>
          </w:p>
        </w:tc>
        <w:tc>
          <w:tcPr>
            <w:tcW w:w="760" w:type="dxa"/>
            <w:vAlign w:val="bottom"/>
          </w:tcPr>
          <w:p>
            <w:pPr>
              <w:jc w:val="right"/>
              <w:ind w:right="214"/>
              <w:spacing w:after="0" w:line="202" w:lineRule="exact"/>
              <w:rPr>
                <w:sz w:val="20"/>
                <w:szCs w:val="20"/>
                <w:color w:val="auto"/>
              </w:rPr>
            </w:pPr>
            <w:r>
              <w:rPr>
                <w:rFonts w:ascii="Arial" w:cs="Arial" w:eastAsia="Arial" w:hAnsi="Arial"/>
                <w:sz w:val="18"/>
                <w:szCs w:val="18"/>
                <w:color w:val="auto"/>
              </w:rPr>
              <w:t>0.04</w:t>
            </w:r>
          </w:p>
        </w:tc>
        <w:tc>
          <w:tcPr>
            <w:tcW w:w="220" w:type="dxa"/>
            <w:vAlign w:val="bottom"/>
          </w:tcPr>
          <w:p>
            <w:pPr>
              <w:jc w:val="right"/>
              <w:spacing w:after="0" w:line="202" w:lineRule="exact"/>
              <w:rPr>
                <w:sz w:val="20"/>
                <w:szCs w:val="20"/>
                <w:color w:val="auto"/>
              </w:rPr>
            </w:pPr>
            <w:r>
              <w:rPr>
                <w:rFonts w:ascii="Arial" w:cs="Arial" w:eastAsia="Arial" w:hAnsi="Arial"/>
                <w:sz w:val="18"/>
                <w:szCs w:val="18"/>
                <w:color w:val="auto"/>
              </w:rPr>
              <w:t>$</w:t>
            </w:r>
          </w:p>
        </w:tc>
        <w:tc>
          <w:tcPr>
            <w:tcW w:w="540" w:type="dxa"/>
            <w:vAlign w:val="bottom"/>
          </w:tcPr>
          <w:p>
            <w:pPr>
              <w:jc w:val="right"/>
              <w:spacing w:after="0" w:line="202" w:lineRule="exact"/>
              <w:rPr>
                <w:sz w:val="20"/>
                <w:szCs w:val="20"/>
                <w:color w:val="auto"/>
              </w:rPr>
            </w:pPr>
            <w:r>
              <w:rPr>
                <w:rFonts w:ascii="Arial" w:cs="Arial" w:eastAsia="Arial" w:hAnsi="Arial"/>
                <w:sz w:val="18"/>
                <w:szCs w:val="18"/>
                <w:color w:val="auto"/>
              </w:rPr>
              <w:t>0.28</w:t>
            </w:r>
          </w:p>
        </w:tc>
        <w:tc>
          <w:tcPr>
            <w:tcW w:w="0" w:type="dxa"/>
            <w:vAlign w:val="bottom"/>
          </w:tcPr>
          <w:p>
            <w:pPr>
              <w:spacing w:after="0"/>
              <w:rPr>
                <w:sz w:val="1"/>
                <w:szCs w:val="1"/>
                <w:color w:val="auto"/>
              </w:rPr>
            </w:pPr>
          </w:p>
        </w:tc>
      </w:tr>
      <w:tr>
        <w:trPr>
          <w:trHeight w:val="203"/>
        </w:trPr>
        <w:tc>
          <w:tcPr>
            <w:tcW w:w="6080" w:type="dxa"/>
            <w:vAlign w:val="bottom"/>
          </w:tcPr>
          <w:p>
            <w:pPr>
              <w:spacing w:after="0" w:line="203" w:lineRule="exact"/>
              <w:rPr>
                <w:sz w:val="20"/>
                <w:szCs w:val="20"/>
                <w:color w:val="auto"/>
              </w:rPr>
            </w:pPr>
            <w:r>
              <w:rPr>
                <w:rFonts w:ascii="Arial" w:cs="Arial" w:eastAsia="Arial" w:hAnsi="Arial"/>
                <w:sz w:val="18"/>
                <w:szCs w:val="18"/>
                <w:color w:val="auto"/>
              </w:rPr>
              <w:t>Diluted earnings for common stockholders per common share</w:t>
            </w:r>
            <w:r>
              <w:rPr>
                <w:rFonts w:ascii="Arial" w:cs="Arial" w:eastAsia="Arial" w:hAnsi="Arial"/>
                <w:sz w:val="22"/>
                <w:szCs w:val="22"/>
                <w:color w:val="auto"/>
                <w:vertAlign w:val="superscript"/>
              </w:rPr>
              <w:t>(c)</w:t>
            </w:r>
          </w:p>
        </w:tc>
        <w:tc>
          <w:tcPr>
            <w:tcW w:w="1240" w:type="dxa"/>
            <w:vAlign w:val="bottom"/>
          </w:tcPr>
          <w:p>
            <w:pPr>
              <w:spacing w:after="0"/>
              <w:rPr>
                <w:sz w:val="17"/>
                <w:szCs w:val="17"/>
                <w:color w:val="auto"/>
              </w:rPr>
            </w:pPr>
          </w:p>
        </w:tc>
        <w:tc>
          <w:tcPr>
            <w:tcW w:w="60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62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62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5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6080" w:type="dxa"/>
            <w:vAlign w:val="bottom"/>
          </w:tcPr>
          <w:p>
            <w:pPr>
              <w:ind w:left="220"/>
              <w:spacing w:after="0" w:line="202" w:lineRule="exact"/>
              <w:rPr>
                <w:sz w:val="20"/>
                <w:szCs w:val="20"/>
                <w:color w:val="auto"/>
              </w:rPr>
            </w:pPr>
            <w:r>
              <w:rPr>
                <w:rFonts w:ascii="Arial" w:cs="Arial" w:eastAsia="Arial" w:hAnsi="Arial"/>
                <w:sz w:val="18"/>
                <w:szCs w:val="18"/>
                <w:color w:val="auto"/>
              </w:rPr>
              <w:t>Income from continuing operations</w:t>
            </w:r>
          </w:p>
        </w:tc>
        <w:tc>
          <w:tcPr>
            <w:tcW w:w="1240" w:type="dxa"/>
            <w:vAlign w:val="bottom"/>
          </w:tcPr>
          <w:p>
            <w:pPr>
              <w:jc w:val="right"/>
              <w:spacing w:after="0" w:line="202" w:lineRule="exact"/>
              <w:rPr>
                <w:sz w:val="20"/>
                <w:szCs w:val="20"/>
                <w:color w:val="auto"/>
              </w:rPr>
            </w:pPr>
            <w:r>
              <w:rPr>
                <w:rFonts w:ascii="Arial" w:cs="Arial" w:eastAsia="Arial" w:hAnsi="Arial"/>
                <w:sz w:val="18"/>
                <w:szCs w:val="18"/>
                <w:color w:val="auto"/>
              </w:rPr>
              <w:t>$</w:t>
            </w:r>
          </w:p>
        </w:tc>
        <w:tc>
          <w:tcPr>
            <w:tcW w:w="600" w:type="dxa"/>
            <w:vAlign w:val="bottom"/>
          </w:tcPr>
          <w:p>
            <w:pPr>
              <w:jc w:val="right"/>
              <w:ind w:right="54"/>
              <w:spacing w:after="0" w:line="202" w:lineRule="exact"/>
              <w:rPr>
                <w:sz w:val="20"/>
                <w:szCs w:val="20"/>
                <w:color w:val="auto"/>
              </w:rPr>
            </w:pPr>
            <w:r>
              <w:rPr>
                <w:rFonts w:ascii="Arial" w:cs="Arial" w:eastAsia="Arial" w:hAnsi="Arial"/>
                <w:sz w:val="18"/>
                <w:szCs w:val="18"/>
                <w:color w:val="auto"/>
              </w:rPr>
              <w:t>0.04</w:t>
            </w:r>
          </w:p>
        </w:tc>
        <w:tc>
          <w:tcPr>
            <w:tcW w:w="260" w:type="dxa"/>
            <w:vAlign w:val="bottom"/>
          </w:tcPr>
          <w:p>
            <w:pPr>
              <w:jc w:val="right"/>
              <w:spacing w:after="0" w:line="202" w:lineRule="exact"/>
              <w:rPr>
                <w:sz w:val="20"/>
                <w:szCs w:val="20"/>
                <w:color w:val="auto"/>
              </w:rPr>
            </w:pPr>
            <w:r>
              <w:rPr>
                <w:rFonts w:ascii="Arial" w:cs="Arial" w:eastAsia="Arial" w:hAnsi="Arial"/>
                <w:sz w:val="18"/>
                <w:szCs w:val="18"/>
                <w:color w:val="auto"/>
              </w:rPr>
              <w:t>$</w:t>
            </w:r>
          </w:p>
        </w:tc>
        <w:tc>
          <w:tcPr>
            <w:tcW w:w="620" w:type="dxa"/>
            <w:vAlign w:val="bottom"/>
          </w:tcPr>
          <w:p>
            <w:pPr>
              <w:jc w:val="right"/>
              <w:ind w:right="74"/>
              <w:spacing w:after="0" w:line="202" w:lineRule="exact"/>
              <w:rPr>
                <w:sz w:val="20"/>
                <w:szCs w:val="20"/>
                <w:color w:val="auto"/>
              </w:rPr>
            </w:pPr>
            <w:r>
              <w:rPr>
                <w:rFonts w:ascii="Arial" w:cs="Arial" w:eastAsia="Arial" w:hAnsi="Arial"/>
                <w:sz w:val="18"/>
                <w:szCs w:val="18"/>
                <w:color w:val="auto"/>
              </w:rPr>
              <w:t>0.12</w:t>
            </w:r>
          </w:p>
        </w:tc>
        <w:tc>
          <w:tcPr>
            <w:tcW w:w="240" w:type="dxa"/>
            <w:vAlign w:val="bottom"/>
          </w:tcPr>
          <w:p>
            <w:pPr>
              <w:jc w:val="right"/>
              <w:spacing w:after="0" w:line="202" w:lineRule="exact"/>
              <w:rPr>
                <w:sz w:val="20"/>
                <w:szCs w:val="20"/>
                <w:color w:val="auto"/>
              </w:rPr>
            </w:pPr>
            <w:r>
              <w:rPr>
                <w:rFonts w:ascii="Arial" w:cs="Arial" w:eastAsia="Arial" w:hAnsi="Arial"/>
                <w:sz w:val="18"/>
                <w:szCs w:val="18"/>
                <w:color w:val="auto"/>
              </w:rPr>
              <w:t>$</w:t>
            </w:r>
          </w:p>
        </w:tc>
        <w:tc>
          <w:tcPr>
            <w:tcW w:w="620" w:type="dxa"/>
            <w:vAlign w:val="bottom"/>
          </w:tcPr>
          <w:p>
            <w:pPr>
              <w:jc w:val="right"/>
              <w:ind w:right="74"/>
              <w:spacing w:after="0" w:line="202" w:lineRule="exact"/>
              <w:rPr>
                <w:sz w:val="20"/>
                <w:szCs w:val="20"/>
                <w:color w:val="auto"/>
              </w:rPr>
            </w:pPr>
            <w:r>
              <w:rPr>
                <w:rFonts w:ascii="Arial" w:cs="Arial" w:eastAsia="Arial" w:hAnsi="Arial"/>
                <w:sz w:val="18"/>
                <w:szCs w:val="18"/>
                <w:color w:val="auto"/>
              </w:rPr>
              <w:t>0.06</w:t>
            </w:r>
          </w:p>
        </w:tc>
        <w:tc>
          <w:tcPr>
            <w:tcW w:w="240" w:type="dxa"/>
            <w:vAlign w:val="bottom"/>
          </w:tcPr>
          <w:p>
            <w:pPr>
              <w:jc w:val="right"/>
              <w:spacing w:after="0" w:line="202" w:lineRule="exact"/>
              <w:rPr>
                <w:sz w:val="20"/>
                <w:szCs w:val="20"/>
                <w:color w:val="auto"/>
              </w:rPr>
            </w:pPr>
            <w:r>
              <w:rPr>
                <w:rFonts w:ascii="Arial" w:cs="Arial" w:eastAsia="Arial" w:hAnsi="Arial"/>
                <w:sz w:val="18"/>
                <w:szCs w:val="18"/>
                <w:color w:val="auto"/>
              </w:rPr>
              <w:t>$</w:t>
            </w:r>
          </w:p>
        </w:tc>
        <w:tc>
          <w:tcPr>
            <w:tcW w:w="760" w:type="dxa"/>
            <w:vAlign w:val="bottom"/>
          </w:tcPr>
          <w:p>
            <w:pPr>
              <w:jc w:val="right"/>
              <w:ind w:right="214"/>
              <w:spacing w:after="0" w:line="202" w:lineRule="exact"/>
              <w:rPr>
                <w:sz w:val="20"/>
                <w:szCs w:val="20"/>
                <w:color w:val="auto"/>
              </w:rPr>
            </w:pPr>
            <w:r>
              <w:rPr>
                <w:rFonts w:ascii="Arial" w:cs="Arial" w:eastAsia="Arial" w:hAnsi="Arial"/>
                <w:sz w:val="18"/>
                <w:szCs w:val="18"/>
                <w:color w:val="auto"/>
              </w:rPr>
              <w:t>0.03</w:t>
            </w:r>
          </w:p>
        </w:tc>
        <w:tc>
          <w:tcPr>
            <w:tcW w:w="220" w:type="dxa"/>
            <w:vAlign w:val="bottom"/>
          </w:tcPr>
          <w:p>
            <w:pPr>
              <w:jc w:val="right"/>
              <w:spacing w:after="0" w:line="202" w:lineRule="exact"/>
              <w:rPr>
                <w:sz w:val="20"/>
                <w:szCs w:val="20"/>
                <w:color w:val="auto"/>
              </w:rPr>
            </w:pPr>
            <w:r>
              <w:rPr>
                <w:rFonts w:ascii="Arial" w:cs="Arial" w:eastAsia="Arial" w:hAnsi="Arial"/>
                <w:sz w:val="18"/>
                <w:szCs w:val="18"/>
                <w:color w:val="auto"/>
              </w:rPr>
              <w:t>$</w:t>
            </w:r>
          </w:p>
        </w:tc>
        <w:tc>
          <w:tcPr>
            <w:tcW w:w="540" w:type="dxa"/>
            <w:vAlign w:val="bottom"/>
          </w:tcPr>
          <w:p>
            <w:pPr>
              <w:jc w:val="right"/>
              <w:spacing w:after="0" w:line="202" w:lineRule="exact"/>
              <w:rPr>
                <w:sz w:val="20"/>
                <w:szCs w:val="20"/>
                <w:color w:val="auto"/>
              </w:rPr>
            </w:pPr>
            <w:r>
              <w:rPr>
                <w:rFonts w:ascii="Arial" w:cs="Arial" w:eastAsia="Arial" w:hAnsi="Arial"/>
                <w:sz w:val="18"/>
                <w:szCs w:val="18"/>
                <w:color w:val="auto"/>
              </w:rPr>
              <w:t>0.25</w:t>
            </w:r>
          </w:p>
        </w:tc>
        <w:tc>
          <w:tcPr>
            <w:tcW w:w="0" w:type="dxa"/>
            <w:vAlign w:val="bottom"/>
          </w:tcPr>
          <w:p>
            <w:pPr>
              <w:spacing w:after="0"/>
              <w:rPr>
                <w:sz w:val="1"/>
                <w:szCs w:val="1"/>
                <w:color w:val="auto"/>
              </w:rPr>
            </w:pPr>
          </w:p>
        </w:tc>
      </w:tr>
      <w:tr>
        <w:trPr>
          <w:trHeight w:val="203"/>
        </w:trPr>
        <w:tc>
          <w:tcPr>
            <w:tcW w:w="6080" w:type="dxa"/>
            <w:vAlign w:val="bottom"/>
          </w:tcPr>
          <w:p>
            <w:pPr>
              <w:ind w:left="220"/>
              <w:spacing w:after="0" w:line="202" w:lineRule="exact"/>
              <w:rPr>
                <w:sz w:val="20"/>
                <w:szCs w:val="20"/>
                <w:color w:val="auto"/>
              </w:rPr>
            </w:pPr>
            <w:r>
              <w:rPr>
                <w:rFonts w:ascii="Arial" w:cs="Arial" w:eastAsia="Arial" w:hAnsi="Arial"/>
                <w:sz w:val="18"/>
                <w:szCs w:val="18"/>
                <w:color w:val="auto"/>
              </w:rPr>
              <w:t>Income from discontinued operations</w:t>
            </w:r>
          </w:p>
        </w:tc>
        <w:tc>
          <w:tcPr>
            <w:tcW w:w="1240" w:type="dxa"/>
            <w:vAlign w:val="bottom"/>
          </w:tcPr>
          <w:p>
            <w:pPr>
              <w:spacing w:after="0"/>
              <w:rPr>
                <w:sz w:val="17"/>
                <w:szCs w:val="17"/>
                <w:color w:val="auto"/>
              </w:rPr>
            </w:pPr>
          </w:p>
        </w:tc>
        <w:tc>
          <w:tcPr>
            <w:tcW w:w="600" w:type="dxa"/>
            <w:vAlign w:val="bottom"/>
          </w:tcPr>
          <w:p>
            <w:pPr>
              <w:jc w:val="right"/>
              <w:ind w:right="154"/>
              <w:spacing w:after="0" w:line="202" w:lineRule="exact"/>
              <w:rPr>
                <w:sz w:val="20"/>
                <w:szCs w:val="20"/>
                <w:color w:val="auto"/>
              </w:rPr>
            </w:pPr>
            <w:r>
              <w:rPr>
                <w:rFonts w:ascii="Arial" w:cs="Arial" w:eastAsia="Arial" w:hAnsi="Arial"/>
                <w:sz w:val="18"/>
                <w:szCs w:val="18"/>
                <w:color w:val="auto"/>
              </w:rPr>
              <w:t>—</w:t>
            </w:r>
          </w:p>
        </w:tc>
        <w:tc>
          <w:tcPr>
            <w:tcW w:w="260" w:type="dxa"/>
            <w:vAlign w:val="bottom"/>
          </w:tcPr>
          <w:p>
            <w:pPr>
              <w:spacing w:after="0"/>
              <w:rPr>
                <w:sz w:val="17"/>
                <w:szCs w:val="17"/>
                <w:color w:val="auto"/>
              </w:rPr>
            </w:pPr>
          </w:p>
        </w:tc>
        <w:tc>
          <w:tcPr>
            <w:tcW w:w="620" w:type="dxa"/>
            <w:vAlign w:val="bottom"/>
          </w:tcPr>
          <w:p>
            <w:pPr>
              <w:jc w:val="right"/>
              <w:ind w:right="74"/>
              <w:spacing w:after="0" w:line="202" w:lineRule="exact"/>
              <w:rPr>
                <w:sz w:val="20"/>
                <w:szCs w:val="20"/>
                <w:color w:val="auto"/>
              </w:rPr>
            </w:pPr>
            <w:r>
              <w:rPr>
                <w:rFonts w:ascii="Arial" w:cs="Arial" w:eastAsia="Arial" w:hAnsi="Arial"/>
                <w:sz w:val="18"/>
                <w:szCs w:val="18"/>
                <w:color w:val="auto"/>
              </w:rPr>
              <w:t>0.01</w:t>
            </w:r>
          </w:p>
        </w:tc>
        <w:tc>
          <w:tcPr>
            <w:tcW w:w="240" w:type="dxa"/>
            <w:vAlign w:val="bottom"/>
          </w:tcPr>
          <w:p>
            <w:pPr>
              <w:spacing w:after="0"/>
              <w:rPr>
                <w:sz w:val="17"/>
                <w:szCs w:val="17"/>
                <w:color w:val="auto"/>
              </w:rPr>
            </w:pPr>
          </w:p>
        </w:tc>
        <w:tc>
          <w:tcPr>
            <w:tcW w:w="620" w:type="dxa"/>
            <w:vAlign w:val="bottom"/>
          </w:tcPr>
          <w:p>
            <w:pPr>
              <w:jc w:val="right"/>
              <w:ind w:right="74"/>
              <w:spacing w:after="0" w:line="202" w:lineRule="exact"/>
              <w:rPr>
                <w:sz w:val="20"/>
                <w:szCs w:val="20"/>
                <w:color w:val="auto"/>
              </w:rPr>
            </w:pPr>
            <w:r>
              <w:rPr>
                <w:rFonts w:ascii="Arial" w:cs="Arial" w:eastAsia="Arial" w:hAnsi="Arial"/>
                <w:sz w:val="18"/>
                <w:szCs w:val="18"/>
                <w:color w:val="auto"/>
              </w:rPr>
              <w:t>0.01</w:t>
            </w:r>
          </w:p>
        </w:tc>
        <w:tc>
          <w:tcPr>
            <w:tcW w:w="240" w:type="dxa"/>
            <w:vAlign w:val="bottom"/>
          </w:tcPr>
          <w:p>
            <w:pPr>
              <w:spacing w:after="0"/>
              <w:rPr>
                <w:sz w:val="17"/>
                <w:szCs w:val="17"/>
                <w:color w:val="auto"/>
              </w:rPr>
            </w:pPr>
          </w:p>
        </w:tc>
        <w:tc>
          <w:tcPr>
            <w:tcW w:w="760" w:type="dxa"/>
            <w:vAlign w:val="bottom"/>
          </w:tcPr>
          <w:p>
            <w:pPr>
              <w:jc w:val="right"/>
              <w:ind w:right="214"/>
              <w:spacing w:after="0" w:line="202" w:lineRule="exact"/>
              <w:rPr>
                <w:sz w:val="20"/>
                <w:szCs w:val="20"/>
                <w:color w:val="auto"/>
              </w:rPr>
            </w:pPr>
            <w:r>
              <w:rPr>
                <w:rFonts w:ascii="Arial" w:cs="Arial" w:eastAsia="Arial" w:hAnsi="Arial"/>
                <w:sz w:val="18"/>
                <w:szCs w:val="18"/>
                <w:color w:val="auto"/>
              </w:rPr>
              <w:t>0.01</w:t>
            </w:r>
          </w:p>
        </w:tc>
        <w:tc>
          <w:tcPr>
            <w:tcW w:w="220" w:type="dxa"/>
            <w:vAlign w:val="bottom"/>
          </w:tcPr>
          <w:p>
            <w:pPr>
              <w:spacing w:after="0"/>
              <w:rPr>
                <w:sz w:val="17"/>
                <w:szCs w:val="17"/>
                <w:color w:val="auto"/>
              </w:rPr>
            </w:pPr>
          </w:p>
        </w:tc>
        <w:tc>
          <w:tcPr>
            <w:tcW w:w="540" w:type="dxa"/>
            <w:vAlign w:val="bottom"/>
          </w:tcPr>
          <w:p>
            <w:pPr>
              <w:jc w:val="right"/>
              <w:spacing w:after="0" w:line="202" w:lineRule="exact"/>
              <w:rPr>
                <w:sz w:val="20"/>
                <w:szCs w:val="20"/>
                <w:color w:val="auto"/>
              </w:rPr>
            </w:pPr>
            <w:r>
              <w:rPr>
                <w:rFonts w:ascii="Arial" w:cs="Arial" w:eastAsia="Arial" w:hAnsi="Arial"/>
                <w:sz w:val="18"/>
                <w:szCs w:val="18"/>
                <w:color w:val="auto"/>
              </w:rPr>
              <w:t>0.03</w:t>
            </w:r>
          </w:p>
        </w:tc>
        <w:tc>
          <w:tcPr>
            <w:tcW w:w="0" w:type="dxa"/>
            <w:vAlign w:val="bottom"/>
          </w:tcPr>
          <w:p>
            <w:pPr>
              <w:spacing w:after="0"/>
              <w:rPr>
                <w:sz w:val="1"/>
                <w:szCs w:val="1"/>
                <w:color w:val="auto"/>
              </w:rPr>
            </w:pPr>
          </w:p>
        </w:tc>
      </w:tr>
      <w:tr>
        <w:trPr>
          <w:trHeight w:val="199"/>
        </w:trPr>
        <w:tc>
          <w:tcPr>
            <w:tcW w:w="6080" w:type="dxa"/>
            <w:vAlign w:val="bottom"/>
            <w:tcBorders>
              <w:bottom w:val="single" w:sz="8" w:color="35BF85"/>
            </w:tcBorders>
          </w:tcPr>
          <w:p>
            <w:pPr>
              <w:ind w:left="220"/>
              <w:spacing w:after="0" w:line="200" w:lineRule="exact"/>
              <w:rPr>
                <w:sz w:val="20"/>
                <w:szCs w:val="20"/>
                <w:color w:val="auto"/>
              </w:rPr>
            </w:pPr>
            <w:r>
              <w:rPr>
                <w:rFonts w:ascii="Arial" w:cs="Arial" w:eastAsia="Arial" w:hAnsi="Arial"/>
                <w:sz w:val="18"/>
                <w:szCs w:val="18"/>
                <w:color w:val="auto"/>
              </w:rPr>
              <w:t>Net income</w:t>
            </w:r>
          </w:p>
        </w:tc>
        <w:tc>
          <w:tcPr>
            <w:tcW w:w="1240" w:type="dxa"/>
            <w:vAlign w:val="bottom"/>
            <w:tcBorders>
              <w:bottom w:val="single" w:sz="8" w:color="35BF85"/>
            </w:tcBorders>
          </w:tcPr>
          <w:p>
            <w:pPr>
              <w:jc w:val="right"/>
              <w:spacing w:after="0" w:line="200" w:lineRule="exact"/>
              <w:rPr>
                <w:sz w:val="20"/>
                <w:szCs w:val="20"/>
                <w:color w:val="auto"/>
              </w:rPr>
            </w:pPr>
            <w:r>
              <w:rPr>
                <w:rFonts w:ascii="Arial" w:cs="Arial" w:eastAsia="Arial" w:hAnsi="Arial"/>
                <w:sz w:val="18"/>
                <w:szCs w:val="18"/>
                <w:color w:val="auto"/>
              </w:rPr>
              <w:t>$</w:t>
            </w:r>
          </w:p>
        </w:tc>
        <w:tc>
          <w:tcPr>
            <w:tcW w:w="600" w:type="dxa"/>
            <w:vAlign w:val="bottom"/>
            <w:tcBorders>
              <w:bottom w:val="single" w:sz="8" w:color="35BF85"/>
            </w:tcBorders>
          </w:tcPr>
          <w:p>
            <w:pPr>
              <w:jc w:val="right"/>
              <w:ind w:right="54"/>
              <w:spacing w:after="0" w:line="200" w:lineRule="exact"/>
              <w:rPr>
                <w:sz w:val="20"/>
                <w:szCs w:val="20"/>
                <w:color w:val="auto"/>
              </w:rPr>
            </w:pPr>
            <w:r>
              <w:rPr>
                <w:rFonts w:ascii="Arial" w:cs="Arial" w:eastAsia="Arial" w:hAnsi="Arial"/>
                <w:sz w:val="18"/>
                <w:szCs w:val="18"/>
                <w:color w:val="auto"/>
              </w:rPr>
              <w:t>0.04</w:t>
            </w:r>
          </w:p>
        </w:tc>
        <w:tc>
          <w:tcPr>
            <w:tcW w:w="260" w:type="dxa"/>
            <w:vAlign w:val="bottom"/>
            <w:tcBorders>
              <w:bottom w:val="single" w:sz="8" w:color="35BF85"/>
            </w:tcBorders>
          </w:tcPr>
          <w:p>
            <w:pPr>
              <w:jc w:val="right"/>
              <w:spacing w:after="0" w:line="200" w:lineRule="exact"/>
              <w:rPr>
                <w:sz w:val="20"/>
                <w:szCs w:val="20"/>
                <w:color w:val="auto"/>
              </w:rPr>
            </w:pPr>
            <w:r>
              <w:rPr>
                <w:rFonts w:ascii="Arial" w:cs="Arial" w:eastAsia="Arial" w:hAnsi="Arial"/>
                <w:sz w:val="18"/>
                <w:szCs w:val="18"/>
                <w:color w:val="auto"/>
              </w:rPr>
              <w:t>$</w:t>
            </w:r>
          </w:p>
        </w:tc>
        <w:tc>
          <w:tcPr>
            <w:tcW w:w="620" w:type="dxa"/>
            <w:vAlign w:val="bottom"/>
            <w:tcBorders>
              <w:bottom w:val="single" w:sz="8" w:color="35BF85"/>
            </w:tcBorders>
          </w:tcPr>
          <w:p>
            <w:pPr>
              <w:jc w:val="right"/>
              <w:ind w:right="74"/>
              <w:spacing w:after="0" w:line="200" w:lineRule="exact"/>
              <w:rPr>
                <w:sz w:val="20"/>
                <w:szCs w:val="20"/>
                <w:color w:val="auto"/>
              </w:rPr>
            </w:pPr>
            <w:r>
              <w:rPr>
                <w:rFonts w:ascii="Arial" w:cs="Arial" w:eastAsia="Arial" w:hAnsi="Arial"/>
                <w:sz w:val="18"/>
                <w:szCs w:val="18"/>
                <w:color w:val="auto"/>
              </w:rPr>
              <w:t>0.13</w:t>
            </w:r>
          </w:p>
        </w:tc>
        <w:tc>
          <w:tcPr>
            <w:tcW w:w="240" w:type="dxa"/>
            <w:vAlign w:val="bottom"/>
            <w:tcBorders>
              <w:bottom w:val="single" w:sz="8" w:color="35BF85"/>
            </w:tcBorders>
          </w:tcPr>
          <w:p>
            <w:pPr>
              <w:jc w:val="right"/>
              <w:spacing w:after="0" w:line="200" w:lineRule="exact"/>
              <w:rPr>
                <w:sz w:val="20"/>
                <w:szCs w:val="20"/>
                <w:color w:val="auto"/>
              </w:rPr>
            </w:pPr>
            <w:r>
              <w:rPr>
                <w:rFonts w:ascii="Arial" w:cs="Arial" w:eastAsia="Arial" w:hAnsi="Arial"/>
                <w:sz w:val="18"/>
                <w:szCs w:val="18"/>
                <w:color w:val="auto"/>
              </w:rPr>
              <w:t>$</w:t>
            </w:r>
          </w:p>
        </w:tc>
        <w:tc>
          <w:tcPr>
            <w:tcW w:w="620" w:type="dxa"/>
            <w:vAlign w:val="bottom"/>
            <w:tcBorders>
              <w:bottom w:val="single" w:sz="8" w:color="35BF85"/>
            </w:tcBorders>
          </w:tcPr>
          <w:p>
            <w:pPr>
              <w:jc w:val="right"/>
              <w:ind w:right="74"/>
              <w:spacing w:after="0" w:line="200" w:lineRule="exact"/>
              <w:rPr>
                <w:sz w:val="20"/>
                <w:szCs w:val="20"/>
                <w:color w:val="auto"/>
              </w:rPr>
            </w:pPr>
            <w:r>
              <w:rPr>
                <w:rFonts w:ascii="Arial" w:cs="Arial" w:eastAsia="Arial" w:hAnsi="Arial"/>
                <w:sz w:val="18"/>
                <w:szCs w:val="18"/>
                <w:color w:val="auto"/>
              </w:rPr>
              <w:t>0.07</w:t>
            </w:r>
          </w:p>
        </w:tc>
        <w:tc>
          <w:tcPr>
            <w:tcW w:w="240" w:type="dxa"/>
            <w:vAlign w:val="bottom"/>
            <w:tcBorders>
              <w:bottom w:val="single" w:sz="8" w:color="35BF85"/>
            </w:tcBorders>
          </w:tcPr>
          <w:p>
            <w:pPr>
              <w:jc w:val="right"/>
              <w:spacing w:after="0" w:line="200" w:lineRule="exact"/>
              <w:rPr>
                <w:sz w:val="20"/>
                <w:szCs w:val="20"/>
                <w:color w:val="auto"/>
              </w:rPr>
            </w:pPr>
            <w:r>
              <w:rPr>
                <w:rFonts w:ascii="Arial" w:cs="Arial" w:eastAsia="Arial" w:hAnsi="Arial"/>
                <w:sz w:val="18"/>
                <w:szCs w:val="18"/>
                <w:color w:val="auto"/>
              </w:rPr>
              <w:t>$</w:t>
            </w:r>
          </w:p>
        </w:tc>
        <w:tc>
          <w:tcPr>
            <w:tcW w:w="760" w:type="dxa"/>
            <w:vAlign w:val="bottom"/>
            <w:tcBorders>
              <w:bottom w:val="single" w:sz="8" w:color="35BF85"/>
            </w:tcBorders>
          </w:tcPr>
          <w:p>
            <w:pPr>
              <w:jc w:val="right"/>
              <w:ind w:right="214"/>
              <w:spacing w:after="0" w:line="200" w:lineRule="exact"/>
              <w:rPr>
                <w:sz w:val="20"/>
                <w:szCs w:val="20"/>
                <w:color w:val="auto"/>
              </w:rPr>
            </w:pPr>
            <w:r>
              <w:rPr>
                <w:rFonts w:ascii="Arial" w:cs="Arial" w:eastAsia="Arial" w:hAnsi="Arial"/>
                <w:sz w:val="18"/>
                <w:szCs w:val="18"/>
                <w:color w:val="auto"/>
              </w:rPr>
              <w:t>0.04</w:t>
            </w:r>
          </w:p>
        </w:tc>
        <w:tc>
          <w:tcPr>
            <w:tcW w:w="220" w:type="dxa"/>
            <w:vAlign w:val="bottom"/>
            <w:tcBorders>
              <w:bottom w:val="single" w:sz="8" w:color="35BF85"/>
            </w:tcBorders>
          </w:tcPr>
          <w:p>
            <w:pPr>
              <w:jc w:val="right"/>
              <w:spacing w:after="0" w:line="200" w:lineRule="exact"/>
              <w:rPr>
                <w:sz w:val="20"/>
                <w:szCs w:val="20"/>
                <w:color w:val="auto"/>
              </w:rPr>
            </w:pPr>
            <w:r>
              <w:rPr>
                <w:rFonts w:ascii="Arial" w:cs="Arial" w:eastAsia="Arial" w:hAnsi="Arial"/>
                <w:sz w:val="18"/>
                <w:szCs w:val="18"/>
                <w:color w:val="auto"/>
              </w:rPr>
              <w:t>$</w:t>
            </w:r>
          </w:p>
        </w:tc>
        <w:tc>
          <w:tcPr>
            <w:tcW w:w="540" w:type="dxa"/>
            <w:vAlign w:val="bottom"/>
            <w:tcBorders>
              <w:bottom w:val="single" w:sz="8" w:color="35BF85"/>
            </w:tcBorders>
          </w:tcPr>
          <w:p>
            <w:pPr>
              <w:jc w:val="right"/>
              <w:spacing w:after="0" w:line="200" w:lineRule="exact"/>
              <w:rPr>
                <w:sz w:val="20"/>
                <w:szCs w:val="20"/>
                <w:color w:val="auto"/>
              </w:rPr>
            </w:pPr>
            <w:r>
              <w:rPr>
                <w:rFonts w:ascii="Arial" w:cs="Arial" w:eastAsia="Arial" w:hAnsi="Arial"/>
                <w:sz w:val="18"/>
                <w:szCs w:val="18"/>
                <w:color w:val="auto"/>
              </w:rPr>
              <w:t>0.28</w:t>
            </w:r>
          </w:p>
        </w:tc>
        <w:tc>
          <w:tcPr>
            <w:tcW w:w="0" w:type="dxa"/>
            <w:vAlign w:val="bottom"/>
          </w:tcPr>
          <w:p>
            <w:pPr>
              <w:spacing w:after="0"/>
              <w:rPr>
                <w:sz w:val="1"/>
                <w:szCs w:val="1"/>
                <w:color w:val="auto"/>
              </w:rPr>
            </w:pPr>
          </w:p>
        </w:tc>
      </w:tr>
    </w:tbl>
    <w:p>
      <w:pPr>
        <w:spacing w:after="0" w:line="53" w:lineRule="exact"/>
        <w:rPr>
          <w:sz w:val="20"/>
          <w:szCs w:val="20"/>
          <w:color w:val="auto"/>
        </w:rPr>
      </w:pPr>
    </w:p>
    <w:p>
      <w:pPr>
        <w:ind w:left="220" w:hanging="212"/>
        <w:spacing w:after="0"/>
        <w:tabs>
          <w:tab w:leader="none" w:pos="220" w:val="left"/>
        </w:tabs>
        <w:numPr>
          <w:ilvl w:val="0"/>
          <w:numId w:val="95"/>
        </w:numPr>
        <w:rPr>
          <w:rFonts w:ascii="Arial" w:cs="Arial" w:eastAsia="Arial" w:hAnsi="Arial"/>
          <w:sz w:val="14"/>
          <w:szCs w:val="14"/>
          <w:color w:val="auto"/>
        </w:rPr>
      </w:pPr>
      <w:r>
        <w:rPr>
          <w:rFonts w:ascii="Arial" w:cs="Arial" w:eastAsia="Arial" w:hAnsi="Arial"/>
          <w:sz w:val="14"/>
          <w:szCs w:val="14"/>
          <w:color w:val="auto"/>
        </w:rPr>
        <w:t>Includes adjustments reducing estimated gains recorded on transactions that closed in the third quarter of 2006.</w:t>
      </w:r>
    </w:p>
    <w:p>
      <w:pPr>
        <w:spacing w:after="0" w:line="41" w:lineRule="exact"/>
        <w:rPr>
          <w:rFonts w:ascii="Arial" w:cs="Arial" w:eastAsia="Arial" w:hAnsi="Arial"/>
          <w:sz w:val="14"/>
          <w:szCs w:val="14"/>
          <w:color w:val="auto"/>
        </w:rPr>
      </w:pPr>
    </w:p>
    <w:p>
      <w:pPr>
        <w:ind w:left="220" w:hanging="212"/>
        <w:spacing w:after="0"/>
        <w:tabs>
          <w:tab w:leader="none" w:pos="220" w:val="left"/>
        </w:tabs>
        <w:numPr>
          <w:ilvl w:val="0"/>
          <w:numId w:val="95"/>
        </w:numPr>
        <w:rPr>
          <w:rFonts w:ascii="Arial" w:cs="Arial" w:eastAsia="Arial" w:hAnsi="Arial"/>
          <w:sz w:val="14"/>
          <w:szCs w:val="14"/>
          <w:color w:val="auto"/>
        </w:rPr>
      </w:pPr>
      <w:r>
        <w:rPr>
          <w:rFonts w:ascii="Arial" w:cs="Arial" w:eastAsia="Arial" w:hAnsi="Arial"/>
          <w:sz w:val="14"/>
          <w:szCs w:val="14"/>
          <w:color w:val="auto"/>
        </w:rPr>
        <w:t>Includes refinement to our effective tax rate in the fourth quarter of 2005.</w:t>
      </w:r>
    </w:p>
    <w:p>
      <w:pPr>
        <w:spacing w:after="0" w:line="41" w:lineRule="exact"/>
        <w:rPr>
          <w:rFonts w:ascii="Arial" w:cs="Arial" w:eastAsia="Arial" w:hAnsi="Arial"/>
          <w:sz w:val="14"/>
          <w:szCs w:val="14"/>
          <w:color w:val="auto"/>
        </w:rPr>
      </w:pPr>
    </w:p>
    <w:p>
      <w:pPr>
        <w:ind w:left="200" w:hanging="192"/>
        <w:spacing w:after="0"/>
        <w:tabs>
          <w:tab w:leader="none" w:pos="200" w:val="left"/>
        </w:tabs>
        <w:numPr>
          <w:ilvl w:val="0"/>
          <w:numId w:val="95"/>
        </w:numPr>
        <w:rPr>
          <w:rFonts w:ascii="Arial" w:cs="Arial" w:eastAsia="Arial" w:hAnsi="Arial"/>
          <w:sz w:val="14"/>
          <w:szCs w:val="14"/>
          <w:color w:val="auto"/>
        </w:rPr>
      </w:pPr>
      <w:r>
        <w:rPr>
          <w:rFonts w:ascii="Arial" w:cs="Arial" w:eastAsia="Arial" w:hAnsi="Arial"/>
          <w:sz w:val="14"/>
          <w:szCs w:val="14"/>
          <w:color w:val="auto"/>
        </w:rPr>
        <w:t>Adjusted to reflect the Stock Split</w:t>
      </w:r>
    </w:p>
    <w:p>
      <w:pPr>
        <w:spacing w:after="0" w:line="120" w:lineRule="exact"/>
        <w:rPr>
          <w:sz w:val="20"/>
          <w:szCs w:val="20"/>
          <w:color w:val="auto"/>
        </w:rPr>
      </w:pPr>
    </w:p>
    <w:p>
      <w:pPr>
        <w:jc w:val="both"/>
        <w:ind w:left="5680"/>
        <w:spacing w:after="0"/>
        <w:tabs>
          <w:tab w:leader="none" w:pos="6760" w:val="left"/>
        </w:tabs>
        <w:rPr>
          <w:sz w:val="20"/>
          <w:szCs w:val="20"/>
          <w:color w:val="auto"/>
        </w:rPr>
      </w:pPr>
      <w:r>
        <w:rPr>
          <w:rFonts w:ascii="Arial" w:cs="Arial" w:eastAsia="Arial" w:hAnsi="Arial"/>
          <w:sz w:val="14"/>
          <w:szCs w:val="14"/>
          <w:b w:val="1"/>
          <w:bCs w:val="1"/>
          <w:color w:val="auto"/>
        </w:rPr>
        <w:t>67</w:t>
      </w:r>
      <w:r>
        <w:rPr>
          <w:sz w:val="20"/>
          <w:szCs w:val="20"/>
          <w:color w:val="auto"/>
        </w:rPr>
        <w:tab/>
      </w:r>
      <w:r>
        <w:rPr>
          <w:rFonts w:ascii="Arial" w:cs="Arial" w:eastAsia="Arial" w:hAnsi="Arial"/>
          <w:sz w:val="14"/>
          <w:szCs w:val="14"/>
          <w:color w:val="auto"/>
        </w:rPr>
        <w:t xml:space="preserve">Comcast 2006 Annual Report </w:t>
      </w:r>
      <w:r>
        <w:rPr>
          <w:rFonts w:ascii="Arial" w:cs="Arial" w:eastAsia="Arial" w:hAnsi="Arial"/>
          <w:sz w:val="14"/>
          <w:szCs w:val="14"/>
          <w:b w:val="1"/>
          <w:bCs w:val="1"/>
          <w:color w:val="auto"/>
        </w:rPr>
        <w:t>Notes to Consolidated Financial Statements</w:t>
      </w:r>
    </w:p>
    <w:p>
      <w:pPr>
        <w:sectPr>
          <w:pgSz w:w="11900" w:h="16838" w:orient="portrait"/>
          <w:cols w:equalWidth="0" w:num="1">
            <w:col w:w="11420"/>
          </w:cols>
          <w:pgMar w:left="240" w:top="460" w:right="239" w:bottom="1440" w:gutter="0" w:footer="0" w:header="0"/>
        </w:sectPr>
      </w:pPr>
    </w:p>
    <w:bookmarkStart w:id="144" w:name="page145"/>
    <w:bookmarkEnd w:id="14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217" name="Picture 2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7"/>
                    <pic:cNvPicPr>
                      <a:picLocks noChangeAspect="1" noChangeArrowheads="1"/>
                    </pic:cNvPicPr>
                  </pic:nvPicPr>
                  <pic:blipFill>
                    <a:blip r:embed="rId224">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200" w:lineRule="exact"/>
        <w:rPr>
          <w:sz w:val="20"/>
          <w:szCs w:val="20"/>
          <w:color w:val="auto"/>
        </w:rPr>
      </w:pPr>
    </w:p>
    <w:p>
      <w:pPr>
        <w:spacing w:after="0" w:line="254" w:lineRule="exact"/>
        <w:rPr>
          <w:sz w:val="20"/>
          <w:szCs w:val="20"/>
          <w:color w:val="auto"/>
        </w:rPr>
      </w:pPr>
    </w:p>
    <w:p>
      <w:pPr>
        <w:jc w:val="right"/>
        <w:ind w:right="120"/>
        <w:spacing w:after="0" w:line="244" w:lineRule="auto"/>
        <w:rPr>
          <w:sz w:val="20"/>
          <w:szCs w:val="20"/>
          <w:color w:val="auto"/>
        </w:rPr>
      </w:pPr>
      <w:r>
        <w:rPr>
          <w:rFonts w:ascii="Arial" w:cs="Arial" w:eastAsia="Arial" w:hAnsi="Arial"/>
          <w:sz w:val="18"/>
          <w:szCs w:val="18"/>
          <w:b w:val="1"/>
          <w:bCs w:val="1"/>
          <w:color w:val="35BF85"/>
        </w:rPr>
        <w:t xml:space="preserve">Note 16: Condensed Consolidating Financial Information           </w:t>
      </w:r>
      <w:r>
        <w:rPr>
          <w:rFonts w:ascii="Arial" w:cs="Arial" w:eastAsia="Arial" w:hAnsi="Arial"/>
          <w:sz w:val="18"/>
          <w:szCs w:val="18"/>
          <w:color w:val="000000"/>
        </w:rPr>
        <w:t>In September 2005, Comcast Corporation unconditionally guaranteed</w:t>
      </w:r>
      <w:r>
        <w:rPr>
          <w:rFonts w:ascii="Arial" w:cs="Arial" w:eastAsia="Arial" w:hAnsi="Arial"/>
          <w:sz w:val="18"/>
          <w:szCs w:val="18"/>
          <w:b w:val="1"/>
          <w:bCs w:val="1"/>
          <w:color w:val="35BF85"/>
        </w:rPr>
        <w:t xml:space="preserve"> </w:t>
      </w:r>
      <w:r>
        <w:rPr>
          <w:rFonts w:ascii="Arial" w:cs="Arial" w:eastAsia="Arial" w:hAnsi="Arial"/>
          <w:sz w:val="18"/>
          <w:szCs w:val="18"/>
          <w:color w:val="000000"/>
        </w:rPr>
        <w:t xml:space="preserve">Comcast Holdings’ ZONES due October 2029 and its 10 </w:t>
      </w:r>
      <w:r>
        <w:rPr>
          <w:rFonts w:ascii="Arial" w:cs="Arial" w:eastAsia="Arial" w:hAnsi="Arial"/>
          <w:sz w:val="22"/>
          <w:szCs w:val="22"/>
          <w:color w:val="000000"/>
          <w:vertAlign w:val="superscript"/>
        </w:rPr>
        <w:t>5</w:t>
      </w:r>
      <w:r>
        <w:rPr>
          <w:rFonts w:ascii="Arial" w:cs="Arial" w:eastAsia="Arial" w:hAnsi="Arial"/>
          <w:sz w:val="18"/>
          <w:szCs w:val="18"/>
          <w:color w:val="000000"/>
        </w:rPr>
        <w:t>/</w:t>
      </w:r>
      <w:r>
        <w:rPr>
          <w:rFonts w:ascii="Arial" w:cs="Arial" w:eastAsia="Arial" w:hAnsi="Arial"/>
          <w:sz w:val="13"/>
          <w:szCs w:val="13"/>
          <w:color w:val="000000"/>
        </w:rPr>
        <w:t>8</w:t>
      </w:r>
      <w:r>
        <w:rPr>
          <w:rFonts w:ascii="Arial" w:cs="Arial" w:eastAsia="Arial" w:hAnsi="Arial"/>
          <w:sz w:val="18"/>
          <w:szCs w:val="18"/>
          <w:color w:val="000000"/>
        </w:rPr>
        <w:t>% Senior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-86995</wp:posOffset>
            </wp:positionV>
            <wp:extent cx="3481705" cy="8890"/>
            <wp:wrapNone/>
            <wp:docPr id="218" name="Picture 2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8"/>
                    <pic:cNvPicPr>
                      <a:picLocks noChangeAspect="1" noChangeArrowheads="1"/>
                    </pic:cNvPicPr>
                  </pic:nvPicPr>
                  <pic:blipFill>
                    <a:blip r:embed="rId225">
                      <a:extLst>
                        <a:ext uri="{28A0092B-C50C-407E-A947-70E740481C1C}"/>
                      </a:extLst>
                    </a:blip>
                    <a:srcRect/>
                    <a:stretch>
                      <a:fillRect/>
                    </a:stretch>
                  </pic:blipFill>
                  <pic:spPr bwMode="auto">
                    <a:xfrm>
                      <a:off x="0" y="0"/>
                      <a:ext cx="3481705" cy="8890"/>
                    </a:xfrm>
                    <a:prstGeom prst="rect">
                      <a:avLst/>
                    </a:prstGeom>
                    <a:noFill/>
                  </pic:spPr>
                </pic:pic>
              </a:graphicData>
            </a:graphic>
          </wp:anchor>
        </w:drawing>
      </w:r>
    </w:p>
    <w:p>
      <w:pPr>
        <w:sectPr>
          <w:pgSz w:w="11900" w:h="16838" w:orient="portrait"/>
          <w:cols w:equalWidth="0" w:num="1">
            <w:col w:w="11420"/>
          </w:cols>
          <w:pgMar w:left="240" w:top="459" w:right="239" w:bottom="1440" w:gutter="0" w:footer="0" w:header="0"/>
        </w:sectPr>
      </w:pPr>
    </w:p>
    <w:p>
      <w:pPr>
        <w:spacing w:after="0" w:line="41" w:lineRule="exact"/>
        <w:rPr>
          <w:sz w:val="20"/>
          <w:szCs w:val="20"/>
          <w:color w:val="auto"/>
        </w:rPr>
      </w:pPr>
    </w:p>
    <w:p>
      <w:pPr>
        <w:jc w:val="both"/>
        <w:spacing w:after="0" w:line="236" w:lineRule="auto"/>
        <w:rPr>
          <w:sz w:val="20"/>
          <w:szCs w:val="20"/>
          <w:color w:val="auto"/>
        </w:rPr>
      </w:pPr>
      <w:r>
        <w:rPr>
          <w:rFonts w:ascii="Arial" w:cs="Arial" w:eastAsia="Arial" w:hAnsi="Arial"/>
          <w:sz w:val="18"/>
          <w:szCs w:val="18"/>
          <w:color w:val="auto"/>
        </w:rPr>
        <w:t>Comcast Corporation and five of our cable holding company subsidiaries, Comcast Cable Communications, LLC (“CCCL”), Comcast Cable Communications Holdings, Inc. (“CCCH”), Comcast MO Group, Inc. (“Comcast MO Group”), Comcast Cable Holdings, LLC (“CCH”), and Comcast MO of Delaware, LLC (“Comcast MO of Delaware”) fully and unconditionally guaranteed each other’s debt securities. Comcast MO Group, CCH and Comcast MO of Delaware are collectively referred to as the “Combined CCHMO Parents.”</w:t>
      </w:r>
    </w:p>
    <w:p>
      <w:pPr>
        <w:spacing w:after="0" w:line="20" w:lineRule="exact"/>
        <w:rPr>
          <w:sz w:val="20"/>
          <w:szCs w:val="20"/>
          <w:color w:val="auto"/>
        </w:rPr>
      </w:pPr>
      <w:r>
        <w:rPr>
          <w:sz w:val="20"/>
          <w:szCs w:val="20"/>
          <w:color w:val="auto"/>
        </w:rPr>
        <w:br w:type="column"/>
      </w:r>
    </w:p>
    <w:p>
      <w:pPr>
        <w:jc w:val="both"/>
        <w:ind w:right="120"/>
        <w:spacing w:after="0" w:line="236" w:lineRule="auto"/>
        <w:rPr>
          <w:sz w:val="20"/>
          <w:szCs w:val="20"/>
          <w:color w:val="auto"/>
        </w:rPr>
      </w:pPr>
      <w:r>
        <w:rPr>
          <w:rFonts w:ascii="Arial" w:cs="Arial" w:eastAsia="Arial" w:hAnsi="Arial"/>
          <w:sz w:val="18"/>
          <w:szCs w:val="18"/>
          <w:color w:val="auto"/>
        </w:rPr>
        <w:t>Subordinated Debentures due 2012, both of which were issued by Comcast Holdings; accordingly, we have added Comcast Holdings’ condensed consolidated financial information for all periods presented. Our condensed consolidating financial information is as follows:</w:t>
      </w:r>
    </w:p>
    <w:p>
      <w:pPr>
        <w:spacing w:after="0" w:line="851" w:lineRule="exact"/>
        <w:rPr>
          <w:sz w:val="20"/>
          <w:szCs w:val="20"/>
          <w:color w:val="auto"/>
        </w:rPr>
      </w:pPr>
    </w:p>
    <w:p>
      <w:pPr>
        <w:sectPr>
          <w:pgSz w:w="11900" w:h="16838" w:orient="portrait"/>
          <w:cols w:equalWidth="0" w:num="2">
            <w:col w:w="5480" w:space="340"/>
            <w:col w:w="5600"/>
          </w:cols>
          <w:pgMar w:left="240" w:top="459" w:right="239" w:bottom="1440" w:gutter="0" w:footer="0" w:header="0"/>
          <w:type w:val="continuous"/>
        </w:sectPr>
      </w:pPr>
    </w:p>
    <w:p>
      <w:pPr>
        <w:spacing w:after="0" w:line="13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Condensed Consolidating Balance Sheet</w:t>
      </w:r>
    </w:p>
    <w:p>
      <w:pPr>
        <w:spacing w:after="0" w:line="18" w:lineRule="exact"/>
        <w:rPr>
          <w:sz w:val="20"/>
          <w:szCs w:val="20"/>
          <w:color w:val="auto"/>
        </w:rPr>
      </w:pPr>
    </w:p>
    <w:p>
      <w:pPr>
        <w:spacing w:after="0"/>
        <w:rPr>
          <w:sz w:val="20"/>
          <w:szCs w:val="20"/>
          <w:color w:val="auto"/>
        </w:rPr>
      </w:pPr>
      <w:r>
        <w:rPr>
          <w:rFonts w:ascii="Arial" w:cs="Arial" w:eastAsia="Arial" w:hAnsi="Arial"/>
          <w:sz w:val="18"/>
          <w:szCs w:val="18"/>
          <w:color w:val="auto"/>
        </w:rPr>
        <w:t>As of December 31, 2006</w:t>
      </w:r>
    </w:p>
    <w:p>
      <w:pPr>
        <w:spacing w:after="0" w:line="182"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380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900" w:type="dxa"/>
            <w:vAlign w:val="bottom"/>
          </w:tcPr>
          <w:p>
            <w:pPr>
              <w:jc w:val="right"/>
              <w:ind w:right="92"/>
              <w:spacing w:after="0"/>
              <w:rPr>
                <w:sz w:val="20"/>
                <w:szCs w:val="20"/>
                <w:color w:val="auto"/>
              </w:rPr>
            </w:pPr>
            <w:r>
              <w:rPr>
                <w:rFonts w:ascii="Arial" w:cs="Arial" w:eastAsia="Arial" w:hAnsi="Arial"/>
                <w:sz w:val="14"/>
                <w:szCs w:val="14"/>
                <w:color w:val="auto"/>
              </w:rPr>
              <w:t>Elimination</w:t>
            </w:r>
          </w:p>
        </w:tc>
        <w:tc>
          <w:tcPr>
            <w:tcW w:w="980" w:type="dxa"/>
            <w:vAlign w:val="bottom"/>
            <w:gridSpan w:val="2"/>
            <w:vMerge w:val="restart"/>
          </w:tcPr>
          <w:p>
            <w:pPr>
              <w:ind w:left="120"/>
              <w:spacing w:after="0"/>
              <w:rPr>
                <w:sz w:val="20"/>
                <w:szCs w:val="20"/>
                <w:color w:val="auto"/>
              </w:rPr>
            </w:pPr>
            <w:r>
              <w:rPr>
                <w:rFonts w:ascii="Arial" w:cs="Arial" w:eastAsia="Arial" w:hAnsi="Arial"/>
                <w:sz w:val="14"/>
                <w:szCs w:val="14"/>
                <w:b w:val="1"/>
                <w:bCs w:val="1"/>
                <w:color w:val="auto"/>
                <w:w w:val="94"/>
              </w:rPr>
              <w:t>Consolidated</w:t>
            </w:r>
          </w:p>
        </w:tc>
        <w:tc>
          <w:tcPr>
            <w:tcW w:w="0" w:type="dxa"/>
            <w:vAlign w:val="bottom"/>
          </w:tcPr>
          <w:p>
            <w:pPr>
              <w:spacing w:after="0"/>
              <w:rPr>
                <w:sz w:val="1"/>
                <w:szCs w:val="1"/>
                <w:color w:val="auto"/>
              </w:rPr>
            </w:pPr>
          </w:p>
        </w:tc>
      </w:tr>
      <w:tr>
        <w:trPr>
          <w:trHeight w:val="122"/>
        </w:trPr>
        <w:tc>
          <w:tcPr>
            <w:tcW w:w="20" w:type="dxa"/>
            <w:vAlign w:val="bottom"/>
          </w:tcPr>
          <w:p>
            <w:pPr>
              <w:spacing w:after="0"/>
              <w:rPr>
                <w:sz w:val="10"/>
                <w:szCs w:val="10"/>
                <w:color w:val="auto"/>
              </w:rPr>
            </w:pPr>
          </w:p>
        </w:tc>
        <w:tc>
          <w:tcPr>
            <w:tcW w:w="3800" w:type="dxa"/>
            <w:vAlign w:val="bottom"/>
          </w:tcPr>
          <w:p>
            <w:pPr>
              <w:spacing w:after="0"/>
              <w:rPr>
                <w:sz w:val="10"/>
                <w:szCs w:val="10"/>
                <w:color w:val="auto"/>
              </w:rPr>
            </w:pPr>
          </w:p>
        </w:tc>
        <w:tc>
          <w:tcPr>
            <w:tcW w:w="280" w:type="dxa"/>
            <w:vAlign w:val="bottom"/>
          </w:tcPr>
          <w:p>
            <w:pPr>
              <w:spacing w:after="0"/>
              <w:rPr>
                <w:sz w:val="10"/>
                <w:szCs w:val="10"/>
                <w:color w:val="auto"/>
              </w:rPr>
            </w:pPr>
          </w:p>
        </w:tc>
        <w:tc>
          <w:tcPr>
            <w:tcW w:w="66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580" w:type="dxa"/>
            <w:vAlign w:val="bottom"/>
          </w:tcPr>
          <w:p>
            <w:pPr>
              <w:spacing w:after="0"/>
              <w:rPr>
                <w:sz w:val="10"/>
                <w:szCs w:val="10"/>
                <w:color w:val="auto"/>
              </w:rPr>
            </w:pPr>
          </w:p>
        </w:tc>
        <w:tc>
          <w:tcPr>
            <w:tcW w:w="240" w:type="dxa"/>
            <w:vAlign w:val="bottom"/>
          </w:tcPr>
          <w:p>
            <w:pPr>
              <w:spacing w:after="0"/>
              <w:rPr>
                <w:sz w:val="10"/>
                <w:szCs w:val="10"/>
                <w:color w:val="auto"/>
              </w:rPr>
            </w:pPr>
          </w:p>
        </w:tc>
        <w:tc>
          <w:tcPr>
            <w:tcW w:w="600" w:type="dxa"/>
            <w:vAlign w:val="bottom"/>
          </w:tcPr>
          <w:p>
            <w:pPr>
              <w:spacing w:after="0"/>
              <w:rPr>
                <w:sz w:val="10"/>
                <w:szCs w:val="10"/>
                <w:color w:val="auto"/>
              </w:rPr>
            </w:pPr>
          </w:p>
        </w:tc>
        <w:tc>
          <w:tcPr>
            <w:tcW w:w="960" w:type="dxa"/>
            <w:vAlign w:val="bottom"/>
            <w:gridSpan w:val="2"/>
          </w:tcPr>
          <w:p>
            <w:pPr>
              <w:ind w:left="180"/>
              <w:spacing w:after="0" w:line="123" w:lineRule="exact"/>
              <w:rPr>
                <w:sz w:val="20"/>
                <w:szCs w:val="20"/>
                <w:color w:val="auto"/>
              </w:rPr>
            </w:pPr>
            <w:r>
              <w:rPr>
                <w:rFonts w:ascii="Arial" w:cs="Arial" w:eastAsia="Arial" w:hAnsi="Arial"/>
                <w:sz w:val="14"/>
                <w:szCs w:val="14"/>
                <w:color w:val="auto"/>
              </w:rPr>
              <w:t>Combined</w:t>
            </w:r>
          </w:p>
        </w:tc>
        <w:tc>
          <w:tcPr>
            <w:tcW w:w="260" w:type="dxa"/>
            <w:vAlign w:val="bottom"/>
          </w:tcPr>
          <w:p>
            <w:pPr>
              <w:spacing w:after="0"/>
              <w:rPr>
                <w:sz w:val="10"/>
                <w:szCs w:val="10"/>
                <w:color w:val="auto"/>
              </w:rPr>
            </w:pPr>
          </w:p>
        </w:tc>
        <w:tc>
          <w:tcPr>
            <w:tcW w:w="620" w:type="dxa"/>
            <w:vAlign w:val="bottom"/>
          </w:tcPr>
          <w:p>
            <w:pPr>
              <w:spacing w:after="0"/>
              <w:rPr>
                <w:sz w:val="10"/>
                <w:szCs w:val="10"/>
                <w:color w:val="auto"/>
              </w:rPr>
            </w:pPr>
          </w:p>
        </w:tc>
        <w:tc>
          <w:tcPr>
            <w:tcW w:w="260" w:type="dxa"/>
            <w:vAlign w:val="bottom"/>
          </w:tcPr>
          <w:p>
            <w:pPr>
              <w:spacing w:after="0"/>
              <w:rPr>
                <w:sz w:val="10"/>
                <w:szCs w:val="10"/>
                <w:color w:val="auto"/>
              </w:rPr>
            </w:pPr>
          </w:p>
        </w:tc>
        <w:tc>
          <w:tcPr>
            <w:tcW w:w="820" w:type="dxa"/>
            <w:vAlign w:val="bottom"/>
          </w:tcPr>
          <w:p>
            <w:pPr>
              <w:jc w:val="right"/>
              <w:ind w:right="112"/>
              <w:spacing w:after="0" w:line="123" w:lineRule="exact"/>
              <w:rPr>
                <w:sz w:val="20"/>
                <w:szCs w:val="20"/>
                <w:color w:val="auto"/>
              </w:rPr>
            </w:pPr>
            <w:r>
              <w:rPr>
                <w:rFonts w:ascii="Arial" w:cs="Arial" w:eastAsia="Arial" w:hAnsi="Arial"/>
                <w:sz w:val="14"/>
                <w:szCs w:val="14"/>
                <w:color w:val="auto"/>
              </w:rPr>
              <w:t>Non-</w:t>
            </w:r>
          </w:p>
        </w:tc>
        <w:tc>
          <w:tcPr>
            <w:tcW w:w="240" w:type="dxa"/>
            <w:vAlign w:val="bottom"/>
          </w:tcPr>
          <w:p>
            <w:pPr>
              <w:spacing w:after="0"/>
              <w:rPr>
                <w:sz w:val="10"/>
                <w:szCs w:val="10"/>
                <w:color w:val="auto"/>
              </w:rPr>
            </w:pPr>
          </w:p>
        </w:tc>
        <w:tc>
          <w:tcPr>
            <w:tcW w:w="900" w:type="dxa"/>
            <w:vAlign w:val="bottom"/>
          </w:tcPr>
          <w:p>
            <w:pPr>
              <w:jc w:val="right"/>
              <w:ind w:right="92"/>
              <w:spacing w:after="0" w:line="123" w:lineRule="exact"/>
              <w:rPr>
                <w:sz w:val="20"/>
                <w:szCs w:val="20"/>
                <w:color w:val="auto"/>
              </w:rPr>
            </w:pPr>
            <w:r>
              <w:rPr>
                <w:rFonts w:ascii="Arial" w:cs="Arial" w:eastAsia="Arial" w:hAnsi="Arial"/>
                <w:sz w:val="14"/>
                <w:szCs w:val="14"/>
                <w:color w:val="auto"/>
              </w:rPr>
              <w:t>and</w:t>
            </w:r>
          </w:p>
        </w:tc>
        <w:tc>
          <w:tcPr>
            <w:tcW w:w="980" w:type="dxa"/>
            <w:vAlign w:val="bottom"/>
            <w:gridSpan w:val="2"/>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800" w:type="dxa"/>
            <w:vAlign w:val="bottom"/>
          </w:tcPr>
          <w:p>
            <w:pPr>
              <w:spacing w:after="0"/>
              <w:rPr>
                <w:sz w:val="12"/>
                <w:szCs w:val="12"/>
                <w:color w:val="auto"/>
              </w:rPr>
            </w:pPr>
          </w:p>
        </w:tc>
        <w:tc>
          <w:tcPr>
            <w:tcW w:w="940" w:type="dxa"/>
            <w:vAlign w:val="bottom"/>
            <w:gridSpan w:val="2"/>
          </w:tcPr>
          <w:p>
            <w:pPr>
              <w:ind w:left="180"/>
              <w:spacing w:after="0" w:line="149" w:lineRule="exact"/>
              <w:rPr>
                <w:sz w:val="20"/>
                <w:szCs w:val="20"/>
                <w:color w:val="auto"/>
              </w:rPr>
            </w:pPr>
            <w:r>
              <w:rPr>
                <w:rFonts w:ascii="Arial" w:cs="Arial" w:eastAsia="Arial" w:hAnsi="Arial"/>
                <w:sz w:val="14"/>
                <w:szCs w:val="14"/>
                <w:color w:val="auto"/>
              </w:rPr>
              <w:t>Comcast</w:t>
            </w:r>
          </w:p>
        </w:tc>
        <w:tc>
          <w:tcPr>
            <w:tcW w:w="200" w:type="dxa"/>
            <w:vAlign w:val="bottom"/>
          </w:tcPr>
          <w:p>
            <w:pPr>
              <w:spacing w:after="0"/>
              <w:rPr>
                <w:sz w:val="12"/>
                <w:szCs w:val="12"/>
                <w:color w:val="auto"/>
              </w:rPr>
            </w:pPr>
          </w:p>
        </w:tc>
        <w:tc>
          <w:tcPr>
            <w:tcW w:w="580" w:type="dxa"/>
            <w:vAlign w:val="bottom"/>
          </w:tcPr>
          <w:p>
            <w:pPr>
              <w:jc w:val="right"/>
              <w:ind w:right="112"/>
              <w:spacing w:after="0" w:line="149" w:lineRule="exact"/>
              <w:rPr>
                <w:sz w:val="20"/>
                <w:szCs w:val="20"/>
                <w:color w:val="auto"/>
              </w:rPr>
            </w:pPr>
            <w:r>
              <w:rPr>
                <w:rFonts w:ascii="Arial" w:cs="Arial" w:eastAsia="Arial" w:hAnsi="Arial"/>
                <w:sz w:val="14"/>
                <w:szCs w:val="14"/>
                <w:color w:val="auto"/>
                <w:w w:val="99"/>
              </w:rPr>
              <w:t>CCCL</w:t>
            </w:r>
          </w:p>
        </w:tc>
        <w:tc>
          <w:tcPr>
            <w:tcW w:w="240" w:type="dxa"/>
            <w:vAlign w:val="bottom"/>
          </w:tcPr>
          <w:p>
            <w:pPr>
              <w:spacing w:after="0"/>
              <w:rPr>
                <w:sz w:val="12"/>
                <w:szCs w:val="12"/>
                <w:color w:val="auto"/>
              </w:rPr>
            </w:pPr>
          </w:p>
        </w:tc>
        <w:tc>
          <w:tcPr>
            <w:tcW w:w="600" w:type="dxa"/>
            <w:vAlign w:val="bottom"/>
          </w:tcPr>
          <w:p>
            <w:pPr>
              <w:jc w:val="right"/>
              <w:ind w:right="112"/>
              <w:spacing w:after="0" w:line="149" w:lineRule="exact"/>
              <w:rPr>
                <w:sz w:val="20"/>
                <w:szCs w:val="20"/>
                <w:color w:val="auto"/>
              </w:rPr>
            </w:pPr>
            <w:r>
              <w:rPr>
                <w:rFonts w:ascii="Arial" w:cs="Arial" w:eastAsia="Arial" w:hAnsi="Arial"/>
                <w:sz w:val="14"/>
                <w:szCs w:val="14"/>
                <w:color w:val="auto"/>
                <w:w w:val="98"/>
              </w:rPr>
              <w:t>CCCH</w:t>
            </w:r>
          </w:p>
        </w:tc>
        <w:tc>
          <w:tcPr>
            <w:tcW w:w="260" w:type="dxa"/>
            <w:vAlign w:val="bottom"/>
          </w:tcPr>
          <w:p>
            <w:pPr>
              <w:spacing w:after="0"/>
              <w:rPr>
                <w:sz w:val="12"/>
                <w:szCs w:val="12"/>
                <w:color w:val="auto"/>
              </w:rPr>
            </w:pPr>
          </w:p>
        </w:tc>
        <w:tc>
          <w:tcPr>
            <w:tcW w:w="700" w:type="dxa"/>
            <w:vAlign w:val="bottom"/>
          </w:tcPr>
          <w:p>
            <w:pPr>
              <w:jc w:val="right"/>
              <w:ind w:right="112"/>
              <w:spacing w:after="0" w:line="149" w:lineRule="exact"/>
              <w:rPr>
                <w:sz w:val="20"/>
                <w:szCs w:val="20"/>
                <w:color w:val="auto"/>
              </w:rPr>
            </w:pPr>
            <w:r>
              <w:rPr>
                <w:rFonts w:ascii="Arial" w:cs="Arial" w:eastAsia="Arial" w:hAnsi="Arial"/>
                <w:sz w:val="14"/>
                <w:szCs w:val="14"/>
                <w:color w:val="auto"/>
                <w:w w:val="94"/>
              </w:rPr>
              <w:t>CCHMO</w:t>
            </w:r>
          </w:p>
        </w:tc>
        <w:tc>
          <w:tcPr>
            <w:tcW w:w="880" w:type="dxa"/>
            <w:vAlign w:val="bottom"/>
            <w:gridSpan w:val="2"/>
          </w:tcPr>
          <w:p>
            <w:pPr>
              <w:ind w:left="180"/>
              <w:spacing w:after="0" w:line="149" w:lineRule="exact"/>
              <w:rPr>
                <w:sz w:val="20"/>
                <w:szCs w:val="20"/>
                <w:color w:val="auto"/>
              </w:rPr>
            </w:pPr>
            <w:r>
              <w:rPr>
                <w:rFonts w:ascii="Arial" w:cs="Arial" w:eastAsia="Arial" w:hAnsi="Arial"/>
                <w:sz w:val="14"/>
                <w:szCs w:val="14"/>
                <w:color w:val="auto"/>
              </w:rPr>
              <w:t>Comcast</w:t>
            </w:r>
          </w:p>
        </w:tc>
        <w:tc>
          <w:tcPr>
            <w:tcW w:w="260" w:type="dxa"/>
            <w:vAlign w:val="bottom"/>
          </w:tcPr>
          <w:p>
            <w:pPr>
              <w:spacing w:after="0"/>
              <w:rPr>
                <w:sz w:val="12"/>
                <w:szCs w:val="12"/>
                <w:color w:val="auto"/>
              </w:rPr>
            </w:pPr>
          </w:p>
        </w:tc>
        <w:tc>
          <w:tcPr>
            <w:tcW w:w="820" w:type="dxa"/>
            <w:vAlign w:val="bottom"/>
          </w:tcPr>
          <w:p>
            <w:pPr>
              <w:jc w:val="right"/>
              <w:ind w:right="112"/>
              <w:spacing w:after="0" w:line="149" w:lineRule="exact"/>
              <w:rPr>
                <w:sz w:val="20"/>
                <w:szCs w:val="20"/>
                <w:color w:val="auto"/>
              </w:rPr>
            </w:pPr>
            <w:r>
              <w:rPr>
                <w:rFonts w:ascii="Arial" w:cs="Arial" w:eastAsia="Arial" w:hAnsi="Arial"/>
                <w:sz w:val="14"/>
                <w:szCs w:val="14"/>
                <w:color w:val="auto"/>
                <w:w w:val="98"/>
              </w:rPr>
              <w:t>Guarantor</w:t>
            </w:r>
          </w:p>
        </w:tc>
        <w:tc>
          <w:tcPr>
            <w:tcW w:w="1140" w:type="dxa"/>
            <w:vAlign w:val="bottom"/>
            <w:gridSpan w:val="2"/>
          </w:tcPr>
          <w:p>
            <w:pPr>
              <w:ind w:left="160"/>
              <w:spacing w:after="0" w:line="149" w:lineRule="exact"/>
              <w:rPr>
                <w:sz w:val="20"/>
                <w:szCs w:val="20"/>
                <w:color w:val="auto"/>
              </w:rPr>
            </w:pPr>
            <w:r>
              <w:rPr>
                <w:rFonts w:ascii="Arial" w:cs="Arial" w:eastAsia="Arial" w:hAnsi="Arial"/>
                <w:sz w:val="14"/>
                <w:szCs w:val="14"/>
                <w:color w:val="auto"/>
              </w:rPr>
              <w:t>Consolidation</w:t>
            </w:r>
          </w:p>
        </w:tc>
        <w:tc>
          <w:tcPr>
            <w:tcW w:w="200" w:type="dxa"/>
            <w:vAlign w:val="bottom"/>
          </w:tcPr>
          <w:p>
            <w:pPr>
              <w:spacing w:after="0"/>
              <w:rPr>
                <w:sz w:val="12"/>
                <w:szCs w:val="12"/>
                <w:color w:val="auto"/>
              </w:rPr>
            </w:pPr>
          </w:p>
        </w:tc>
        <w:tc>
          <w:tcPr>
            <w:tcW w:w="780" w:type="dxa"/>
            <w:vAlign w:val="bottom"/>
          </w:tcPr>
          <w:p>
            <w:pPr>
              <w:jc w:val="right"/>
              <w:spacing w:after="0" w:line="149" w:lineRule="exact"/>
              <w:rPr>
                <w:sz w:val="20"/>
                <w:szCs w:val="20"/>
                <w:color w:val="auto"/>
              </w:rPr>
            </w:pPr>
            <w:r>
              <w:rPr>
                <w:rFonts w:ascii="Arial" w:cs="Arial" w:eastAsia="Arial" w:hAnsi="Arial"/>
                <w:sz w:val="14"/>
                <w:szCs w:val="14"/>
                <w:b w:val="1"/>
                <w:bCs w:val="1"/>
                <w:color w:val="auto"/>
              </w:rPr>
              <w:t>Comcast</w:t>
            </w:r>
          </w:p>
        </w:tc>
        <w:tc>
          <w:tcPr>
            <w:tcW w:w="0" w:type="dxa"/>
            <w:vAlign w:val="bottom"/>
          </w:tcPr>
          <w:p>
            <w:pPr>
              <w:spacing w:after="0"/>
              <w:rPr>
                <w:sz w:val="1"/>
                <w:szCs w:val="1"/>
                <w:color w:val="auto"/>
              </w:rPr>
            </w:pPr>
          </w:p>
        </w:tc>
      </w:tr>
      <w:tr>
        <w:trPr>
          <w:trHeight w:val="176"/>
        </w:trPr>
        <w:tc>
          <w:tcPr>
            <w:tcW w:w="3820" w:type="dxa"/>
            <w:vAlign w:val="bottom"/>
            <w:tcBorders>
              <w:bottom w:val="single" w:sz="8" w:color="auto"/>
            </w:tcBorders>
            <w:gridSpan w:val="2"/>
          </w:tcPr>
          <w:p>
            <w:pPr>
              <w:spacing w:after="0"/>
              <w:rPr>
                <w:sz w:val="20"/>
                <w:szCs w:val="20"/>
                <w:color w:val="auto"/>
              </w:rPr>
            </w:pPr>
            <w:r>
              <w:rPr>
                <w:rFonts w:ascii="Arial" w:cs="Arial" w:eastAsia="Arial" w:hAnsi="Arial"/>
                <w:sz w:val="14"/>
                <w:szCs w:val="14"/>
                <w:color w:val="auto"/>
              </w:rPr>
              <w:t>(in millions)</w:t>
            </w:r>
          </w:p>
        </w:tc>
        <w:tc>
          <w:tcPr>
            <w:tcW w:w="280" w:type="dxa"/>
            <w:vAlign w:val="bottom"/>
            <w:tcBorders>
              <w:bottom w:val="single" w:sz="8" w:color="auto"/>
            </w:tcBorders>
          </w:tcPr>
          <w:p>
            <w:pPr>
              <w:spacing w:after="0"/>
              <w:rPr>
                <w:sz w:val="15"/>
                <w:szCs w:val="15"/>
                <w:color w:val="auto"/>
              </w:rPr>
            </w:pPr>
          </w:p>
        </w:tc>
        <w:tc>
          <w:tcPr>
            <w:tcW w:w="660" w:type="dxa"/>
            <w:vAlign w:val="bottom"/>
            <w:tcBorders>
              <w:bottom w:val="single" w:sz="8" w:color="auto"/>
            </w:tcBorders>
          </w:tcPr>
          <w:p>
            <w:pPr>
              <w:jc w:val="right"/>
              <w:ind w:right="152"/>
              <w:spacing w:after="0"/>
              <w:rPr>
                <w:sz w:val="20"/>
                <w:szCs w:val="20"/>
                <w:color w:val="auto"/>
              </w:rPr>
            </w:pPr>
            <w:r>
              <w:rPr>
                <w:rFonts w:ascii="Arial" w:cs="Arial" w:eastAsia="Arial" w:hAnsi="Arial"/>
                <w:sz w:val="14"/>
                <w:szCs w:val="14"/>
                <w:color w:val="auto"/>
              </w:rPr>
              <w:t>Parent</w:t>
            </w:r>
          </w:p>
        </w:tc>
        <w:tc>
          <w:tcPr>
            <w:tcW w:w="200" w:type="dxa"/>
            <w:vAlign w:val="bottom"/>
            <w:tcBorders>
              <w:bottom w:val="single" w:sz="8" w:color="auto"/>
            </w:tcBorders>
          </w:tcPr>
          <w:p>
            <w:pPr>
              <w:spacing w:after="0"/>
              <w:rPr>
                <w:sz w:val="15"/>
                <w:szCs w:val="15"/>
                <w:color w:val="auto"/>
              </w:rPr>
            </w:pPr>
          </w:p>
        </w:tc>
        <w:tc>
          <w:tcPr>
            <w:tcW w:w="580" w:type="dxa"/>
            <w:vAlign w:val="bottom"/>
            <w:tcBorders>
              <w:bottom w:val="single" w:sz="8" w:color="auto"/>
            </w:tcBorders>
          </w:tcPr>
          <w:p>
            <w:pPr>
              <w:jc w:val="right"/>
              <w:ind w:right="112"/>
              <w:spacing w:after="0"/>
              <w:rPr>
                <w:sz w:val="20"/>
                <w:szCs w:val="20"/>
                <w:color w:val="auto"/>
              </w:rPr>
            </w:pPr>
            <w:r>
              <w:rPr>
                <w:rFonts w:ascii="Arial" w:cs="Arial" w:eastAsia="Arial" w:hAnsi="Arial"/>
                <w:sz w:val="14"/>
                <w:szCs w:val="14"/>
                <w:color w:val="auto"/>
                <w:w w:val="92"/>
              </w:rPr>
              <w:t>Parent</w:t>
            </w:r>
          </w:p>
        </w:tc>
        <w:tc>
          <w:tcPr>
            <w:tcW w:w="240" w:type="dxa"/>
            <w:vAlign w:val="bottom"/>
            <w:tcBorders>
              <w:bottom w:val="single" w:sz="8" w:color="auto"/>
            </w:tcBorders>
          </w:tcPr>
          <w:p>
            <w:pPr>
              <w:spacing w:after="0"/>
              <w:rPr>
                <w:sz w:val="15"/>
                <w:szCs w:val="15"/>
                <w:color w:val="auto"/>
              </w:rPr>
            </w:pPr>
          </w:p>
        </w:tc>
        <w:tc>
          <w:tcPr>
            <w:tcW w:w="600" w:type="dxa"/>
            <w:vAlign w:val="bottom"/>
            <w:tcBorders>
              <w:bottom w:val="single" w:sz="8" w:color="auto"/>
            </w:tcBorders>
          </w:tcPr>
          <w:p>
            <w:pPr>
              <w:jc w:val="right"/>
              <w:ind w:right="112"/>
              <w:spacing w:after="0"/>
              <w:rPr>
                <w:sz w:val="20"/>
                <w:szCs w:val="20"/>
                <w:color w:val="auto"/>
              </w:rPr>
            </w:pPr>
            <w:r>
              <w:rPr>
                <w:rFonts w:ascii="Arial" w:cs="Arial" w:eastAsia="Arial" w:hAnsi="Arial"/>
                <w:sz w:val="14"/>
                <w:szCs w:val="14"/>
                <w:color w:val="auto"/>
                <w:w w:val="96"/>
              </w:rPr>
              <w:t>Parent</w:t>
            </w:r>
          </w:p>
        </w:tc>
        <w:tc>
          <w:tcPr>
            <w:tcW w:w="260" w:type="dxa"/>
            <w:vAlign w:val="bottom"/>
            <w:tcBorders>
              <w:bottom w:val="single" w:sz="8" w:color="auto"/>
            </w:tcBorders>
          </w:tcPr>
          <w:p>
            <w:pPr>
              <w:spacing w:after="0"/>
              <w:rPr>
                <w:sz w:val="15"/>
                <w:szCs w:val="15"/>
                <w:color w:val="auto"/>
              </w:rPr>
            </w:pPr>
          </w:p>
        </w:tc>
        <w:tc>
          <w:tcPr>
            <w:tcW w:w="700" w:type="dxa"/>
            <w:vAlign w:val="bottom"/>
            <w:tcBorders>
              <w:bottom w:val="single" w:sz="8" w:color="auto"/>
            </w:tcBorders>
          </w:tcPr>
          <w:p>
            <w:pPr>
              <w:jc w:val="right"/>
              <w:ind w:right="112"/>
              <w:spacing w:after="0"/>
              <w:rPr>
                <w:sz w:val="20"/>
                <w:szCs w:val="20"/>
                <w:color w:val="auto"/>
              </w:rPr>
            </w:pPr>
            <w:r>
              <w:rPr>
                <w:rFonts w:ascii="Arial" w:cs="Arial" w:eastAsia="Arial" w:hAnsi="Arial"/>
                <w:sz w:val="14"/>
                <w:szCs w:val="14"/>
                <w:color w:val="auto"/>
              </w:rPr>
              <w:t>Parents</w:t>
            </w:r>
          </w:p>
        </w:tc>
        <w:tc>
          <w:tcPr>
            <w:tcW w:w="880" w:type="dxa"/>
            <w:vAlign w:val="bottom"/>
            <w:tcBorders>
              <w:bottom w:val="single" w:sz="8" w:color="auto"/>
            </w:tcBorders>
            <w:gridSpan w:val="2"/>
          </w:tcPr>
          <w:p>
            <w:pPr>
              <w:ind w:left="180"/>
              <w:spacing w:after="0"/>
              <w:rPr>
                <w:sz w:val="20"/>
                <w:szCs w:val="20"/>
                <w:color w:val="auto"/>
              </w:rPr>
            </w:pPr>
            <w:r>
              <w:rPr>
                <w:rFonts w:ascii="Arial" w:cs="Arial" w:eastAsia="Arial" w:hAnsi="Arial"/>
                <w:sz w:val="14"/>
                <w:szCs w:val="14"/>
                <w:color w:val="auto"/>
              </w:rPr>
              <w:t>Holdings</w:t>
            </w:r>
          </w:p>
        </w:tc>
        <w:tc>
          <w:tcPr>
            <w:tcW w:w="1080" w:type="dxa"/>
            <w:vAlign w:val="bottom"/>
            <w:tcBorders>
              <w:bottom w:val="single" w:sz="8" w:color="auto"/>
            </w:tcBorders>
            <w:gridSpan w:val="2"/>
          </w:tcPr>
          <w:p>
            <w:pPr>
              <w:ind w:left="160"/>
              <w:spacing w:after="0"/>
              <w:rPr>
                <w:sz w:val="20"/>
                <w:szCs w:val="20"/>
                <w:color w:val="auto"/>
              </w:rPr>
            </w:pPr>
            <w:r>
              <w:rPr>
                <w:rFonts w:ascii="Arial" w:cs="Arial" w:eastAsia="Arial" w:hAnsi="Arial"/>
                <w:sz w:val="14"/>
                <w:szCs w:val="14"/>
                <w:color w:val="auto"/>
              </w:rPr>
              <w:t>Subsidiaries</w:t>
            </w:r>
          </w:p>
        </w:tc>
        <w:tc>
          <w:tcPr>
            <w:tcW w:w="240" w:type="dxa"/>
            <w:vAlign w:val="bottom"/>
            <w:tcBorders>
              <w:bottom w:val="single" w:sz="8" w:color="auto"/>
            </w:tcBorders>
          </w:tcPr>
          <w:p>
            <w:pPr>
              <w:spacing w:after="0"/>
              <w:rPr>
                <w:sz w:val="15"/>
                <w:szCs w:val="15"/>
                <w:color w:val="auto"/>
              </w:rPr>
            </w:pPr>
          </w:p>
        </w:tc>
        <w:tc>
          <w:tcPr>
            <w:tcW w:w="900" w:type="dxa"/>
            <w:vAlign w:val="bottom"/>
            <w:tcBorders>
              <w:bottom w:val="single" w:sz="8" w:color="auto"/>
            </w:tcBorders>
          </w:tcPr>
          <w:p>
            <w:pPr>
              <w:jc w:val="right"/>
              <w:ind w:right="92"/>
              <w:spacing w:after="0"/>
              <w:rPr>
                <w:sz w:val="20"/>
                <w:szCs w:val="20"/>
                <w:color w:val="auto"/>
              </w:rPr>
            </w:pPr>
            <w:r>
              <w:rPr>
                <w:rFonts w:ascii="Arial" w:cs="Arial" w:eastAsia="Arial" w:hAnsi="Arial"/>
                <w:sz w:val="14"/>
                <w:szCs w:val="14"/>
                <w:color w:val="auto"/>
                <w:w w:val="93"/>
              </w:rPr>
              <w:t>Adjustments</w:t>
            </w:r>
          </w:p>
        </w:tc>
        <w:tc>
          <w:tcPr>
            <w:tcW w:w="200" w:type="dxa"/>
            <w:vAlign w:val="bottom"/>
            <w:tcBorders>
              <w:bottom w:val="single" w:sz="8" w:color="auto"/>
            </w:tcBorders>
          </w:tcPr>
          <w:p>
            <w:pPr>
              <w:spacing w:after="0"/>
              <w:rPr>
                <w:sz w:val="15"/>
                <w:szCs w:val="15"/>
                <w:color w:val="auto"/>
              </w:rPr>
            </w:pPr>
          </w:p>
        </w:tc>
        <w:tc>
          <w:tcPr>
            <w:tcW w:w="78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w w:val="94"/>
              </w:rPr>
              <w:t>Corporation</w:t>
            </w:r>
          </w:p>
        </w:tc>
        <w:tc>
          <w:tcPr>
            <w:tcW w:w="0" w:type="dxa"/>
            <w:vAlign w:val="bottom"/>
          </w:tcPr>
          <w:p>
            <w:pPr>
              <w:spacing w:after="0"/>
              <w:rPr>
                <w:sz w:val="1"/>
                <w:szCs w:val="1"/>
                <w:color w:val="auto"/>
              </w:rPr>
            </w:pPr>
          </w:p>
        </w:tc>
      </w:tr>
      <w:tr>
        <w:trPr>
          <w:trHeight w:val="141"/>
        </w:trPr>
        <w:tc>
          <w:tcPr>
            <w:tcW w:w="3820" w:type="dxa"/>
            <w:vAlign w:val="bottom"/>
            <w:gridSpan w:val="2"/>
          </w:tcPr>
          <w:p>
            <w:pPr>
              <w:spacing w:after="0" w:line="141" w:lineRule="exact"/>
              <w:rPr>
                <w:sz w:val="20"/>
                <w:szCs w:val="20"/>
                <w:color w:val="auto"/>
              </w:rPr>
            </w:pPr>
            <w:r>
              <w:rPr>
                <w:rFonts w:ascii="Arial" w:cs="Arial" w:eastAsia="Arial" w:hAnsi="Arial"/>
                <w:sz w:val="14"/>
                <w:szCs w:val="14"/>
                <w:b w:val="1"/>
                <w:bCs w:val="1"/>
                <w:color w:val="auto"/>
              </w:rPr>
              <w:t>Assets</w:t>
            </w:r>
          </w:p>
        </w:tc>
        <w:tc>
          <w:tcPr>
            <w:tcW w:w="28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900" w:type="dxa"/>
            <w:vAlign w:val="bottom"/>
          </w:tcPr>
          <w:p>
            <w:pPr>
              <w:spacing w:after="0"/>
              <w:rPr>
                <w:sz w:val="12"/>
                <w:szCs w:val="12"/>
                <w:color w:val="auto"/>
              </w:rPr>
            </w:pPr>
          </w:p>
        </w:tc>
        <w:tc>
          <w:tcPr>
            <w:tcW w:w="200" w:type="dxa"/>
            <w:vAlign w:val="bottom"/>
            <w:vMerge w:val="restart"/>
          </w:tcPr>
          <w:p>
            <w:pPr>
              <w:ind w:left="120"/>
              <w:spacing w:after="0"/>
              <w:rPr>
                <w:sz w:val="20"/>
                <w:szCs w:val="20"/>
                <w:color w:val="auto"/>
              </w:rPr>
            </w:pPr>
            <w:r>
              <w:rPr>
                <w:rFonts w:ascii="Arial" w:cs="Arial" w:eastAsia="Arial" w:hAnsi="Arial"/>
                <w:sz w:val="14"/>
                <w:szCs w:val="14"/>
                <w:b w:val="1"/>
                <w:bCs w:val="1"/>
                <w:color w:val="auto"/>
                <w:w w:val="76"/>
              </w:rPr>
              <w:t>$</w:t>
            </w:r>
          </w:p>
        </w:tc>
        <w:tc>
          <w:tcPr>
            <w:tcW w:w="780" w:type="dxa"/>
            <w:vAlign w:val="bottom"/>
            <w:vMerge w:val="restart"/>
          </w:tcPr>
          <w:p>
            <w:pPr>
              <w:jc w:val="right"/>
              <w:spacing w:after="0"/>
              <w:rPr>
                <w:sz w:val="20"/>
                <w:szCs w:val="20"/>
                <w:color w:val="auto"/>
              </w:rPr>
            </w:pPr>
            <w:r>
              <w:rPr>
                <w:rFonts w:ascii="Arial" w:cs="Arial" w:eastAsia="Arial" w:hAnsi="Arial"/>
                <w:sz w:val="14"/>
                <w:szCs w:val="14"/>
                <w:b w:val="1"/>
                <w:bCs w:val="1"/>
                <w:color w:val="auto"/>
              </w:rPr>
              <w:t>1,239</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3800" w:type="dxa"/>
            <w:vAlign w:val="bottom"/>
          </w:tcPr>
          <w:p>
            <w:pPr>
              <w:ind w:left="200"/>
              <w:spacing w:after="0" w:line="133" w:lineRule="exact"/>
              <w:rPr>
                <w:sz w:val="20"/>
                <w:szCs w:val="20"/>
                <w:color w:val="auto"/>
              </w:rPr>
            </w:pPr>
            <w:r>
              <w:rPr>
                <w:rFonts w:ascii="Arial" w:cs="Arial" w:eastAsia="Arial" w:hAnsi="Arial"/>
                <w:sz w:val="14"/>
                <w:szCs w:val="14"/>
                <w:color w:val="auto"/>
              </w:rPr>
              <w:t>Cash and cash equivalents</w:t>
            </w:r>
          </w:p>
        </w:tc>
        <w:tc>
          <w:tcPr>
            <w:tcW w:w="280" w:type="dxa"/>
            <w:vAlign w:val="bottom"/>
          </w:tcPr>
          <w:p>
            <w:pPr>
              <w:ind w:left="180"/>
              <w:spacing w:after="0" w:line="133" w:lineRule="exact"/>
              <w:rPr>
                <w:sz w:val="20"/>
                <w:szCs w:val="20"/>
                <w:color w:val="auto"/>
              </w:rPr>
            </w:pPr>
            <w:r>
              <w:rPr>
                <w:rFonts w:ascii="Arial" w:cs="Arial" w:eastAsia="Arial" w:hAnsi="Arial"/>
                <w:sz w:val="14"/>
                <w:szCs w:val="14"/>
                <w:color w:val="auto"/>
              </w:rPr>
              <w:t>$</w:t>
            </w:r>
          </w:p>
        </w:tc>
        <w:tc>
          <w:tcPr>
            <w:tcW w:w="660" w:type="dxa"/>
            <w:vAlign w:val="bottom"/>
          </w:tcPr>
          <w:p>
            <w:pPr>
              <w:jc w:val="right"/>
              <w:ind w:right="152"/>
              <w:spacing w:after="0" w:line="133" w:lineRule="exact"/>
              <w:rPr>
                <w:sz w:val="20"/>
                <w:szCs w:val="20"/>
                <w:color w:val="auto"/>
              </w:rPr>
            </w:pPr>
            <w:r>
              <w:rPr>
                <w:rFonts w:ascii="Arial" w:cs="Arial" w:eastAsia="Arial" w:hAnsi="Arial"/>
                <w:sz w:val="14"/>
                <w:szCs w:val="14"/>
                <w:color w:val="auto"/>
              </w:rPr>
              <w:t>77</w:t>
            </w:r>
          </w:p>
        </w:tc>
        <w:tc>
          <w:tcPr>
            <w:tcW w:w="200" w:type="dxa"/>
            <w:vAlign w:val="bottom"/>
          </w:tcPr>
          <w:p>
            <w:pPr>
              <w:jc w:val="right"/>
              <w:spacing w:after="0" w:line="133" w:lineRule="exact"/>
              <w:rPr>
                <w:sz w:val="20"/>
                <w:szCs w:val="20"/>
                <w:color w:val="auto"/>
              </w:rPr>
            </w:pPr>
            <w:r>
              <w:rPr>
                <w:rFonts w:ascii="Arial" w:cs="Arial" w:eastAsia="Arial" w:hAnsi="Arial"/>
                <w:sz w:val="14"/>
                <w:szCs w:val="14"/>
                <w:color w:val="auto"/>
              </w:rPr>
              <w:t>$</w:t>
            </w:r>
          </w:p>
        </w:tc>
        <w:tc>
          <w:tcPr>
            <w:tcW w:w="580" w:type="dxa"/>
            <w:vAlign w:val="bottom"/>
          </w:tcPr>
          <w:p>
            <w:pPr>
              <w:jc w:val="right"/>
              <w:ind w:right="112"/>
              <w:spacing w:after="0" w:line="133" w:lineRule="exact"/>
              <w:rPr>
                <w:sz w:val="20"/>
                <w:szCs w:val="20"/>
                <w:color w:val="auto"/>
              </w:rPr>
            </w:pPr>
            <w:r>
              <w:rPr>
                <w:rFonts w:ascii="Arial" w:cs="Arial" w:eastAsia="Arial" w:hAnsi="Arial"/>
                <w:sz w:val="14"/>
                <w:szCs w:val="14"/>
                <w:color w:val="auto"/>
              </w:rPr>
              <w:t>—</w:t>
            </w:r>
          </w:p>
        </w:tc>
        <w:tc>
          <w:tcPr>
            <w:tcW w:w="240" w:type="dxa"/>
            <w:vAlign w:val="bottom"/>
          </w:tcPr>
          <w:p>
            <w:pPr>
              <w:ind w:left="160"/>
              <w:spacing w:after="0" w:line="133" w:lineRule="exact"/>
              <w:rPr>
                <w:sz w:val="20"/>
                <w:szCs w:val="20"/>
                <w:color w:val="auto"/>
              </w:rPr>
            </w:pPr>
            <w:r>
              <w:rPr>
                <w:rFonts w:ascii="Arial" w:cs="Arial" w:eastAsia="Arial" w:hAnsi="Arial"/>
                <w:sz w:val="14"/>
                <w:szCs w:val="14"/>
                <w:color w:val="auto"/>
                <w:w w:val="76"/>
              </w:rPr>
              <w:t>$</w:t>
            </w:r>
          </w:p>
        </w:tc>
        <w:tc>
          <w:tcPr>
            <w:tcW w:w="600" w:type="dxa"/>
            <w:vAlign w:val="bottom"/>
          </w:tcPr>
          <w:p>
            <w:pPr>
              <w:jc w:val="right"/>
              <w:ind w:right="112"/>
              <w:spacing w:after="0" w:line="133" w:lineRule="exact"/>
              <w:rPr>
                <w:sz w:val="20"/>
                <w:szCs w:val="20"/>
                <w:color w:val="auto"/>
              </w:rPr>
            </w:pPr>
            <w:r>
              <w:rPr>
                <w:rFonts w:ascii="Arial" w:cs="Arial" w:eastAsia="Arial" w:hAnsi="Arial"/>
                <w:sz w:val="14"/>
                <w:szCs w:val="14"/>
                <w:color w:val="auto"/>
              </w:rPr>
              <w:t>—</w:t>
            </w:r>
          </w:p>
        </w:tc>
        <w:tc>
          <w:tcPr>
            <w:tcW w:w="260" w:type="dxa"/>
            <w:vAlign w:val="bottom"/>
          </w:tcPr>
          <w:p>
            <w:pPr>
              <w:ind w:left="160"/>
              <w:spacing w:after="0" w:line="133" w:lineRule="exact"/>
              <w:rPr>
                <w:sz w:val="20"/>
                <w:szCs w:val="20"/>
                <w:color w:val="auto"/>
              </w:rPr>
            </w:pPr>
            <w:r>
              <w:rPr>
                <w:rFonts w:ascii="Arial" w:cs="Arial" w:eastAsia="Arial" w:hAnsi="Arial"/>
                <w:sz w:val="14"/>
                <w:szCs w:val="14"/>
                <w:color w:val="auto"/>
              </w:rPr>
              <w:t>$</w:t>
            </w:r>
          </w:p>
        </w:tc>
        <w:tc>
          <w:tcPr>
            <w:tcW w:w="700" w:type="dxa"/>
            <w:vAlign w:val="bottom"/>
          </w:tcPr>
          <w:p>
            <w:pPr>
              <w:jc w:val="right"/>
              <w:ind w:right="112"/>
              <w:spacing w:after="0" w:line="133" w:lineRule="exact"/>
              <w:rPr>
                <w:sz w:val="20"/>
                <w:szCs w:val="20"/>
                <w:color w:val="auto"/>
              </w:rPr>
            </w:pPr>
            <w:r>
              <w:rPr>
                <w:rFonts w:ascii="Arial" w:cs="Arial" w:eastAsia="Arial" w:hAnsi="Arial"/>
                <w:sz w:val="14"/>
                <w:szCs w:val="14"/>
                <w:color w:val="auto"/>
              </w:rPr>
              <w:t>—</w:t>
            </w:r>
          </w:p>
        </w:tc>
        <w:tc>
          <w:tcPr>
            <w:tcW w:w="260" w:type="dxa"/>
            <w:vAlign w:val="bottom"/>
          </w:tcPr>
          <w:p>
            <w:pPr>
              <w:ind w:left="160"/>
              <w:spacing w:after="0" w:line="133" w:lineRule="exact"/>
              <w:rPr>
                <w:sz w:val="20"/>
                <w:szCs w:val="20"/>
                <w:color w:val="auto"/>
              </w:rPr>
            </w:pPr>
            <w:r>
              <w:rPr>
                <w:rFonts w:ascii="Arial" w:cs="Arial" w:eastAsia="Arial" w:hAnsi="Arial"/>
                <w:sz w:val="14"/>
                <w:szCs w:val="14"/>
                <w:color w:val="auto"/>
              </w:rPr>
              <w:t>$</w:t>
            </w:r>
          </w:p>
        </w:tc>
        <w:tc>
          <w:tcPr>
            <w:tcW w:w="620" w:type="dxa"/>
            <w:vAlign w:val="bottom"/>
          </w:tcPr>
          <w:p>
            <w:pPr>
              <w:jc w:val="right"/>
              <w:ind w:right="112"/>
              <w:spacing w:after="0" w:line="133" w:lineRule="exact"/>
              <w:rPr>
                <w:sz w:val="20"/>
                <w:szCs w:val="20"/>
                <w:color w:val="auto"/>
              </w:rPr>
            </w:pPr>
            <w:r>
              <w:rPr>
                <w:rFonts w:ascii="Arial" w:cs="Arial" w:eastAsia="Arial" w:hAnsi="Arial"/>
                <w:sz w:val="14"/>
                <w:szCs w:val="14"/>
                <w:color w:val="auto"/>
              </w:rPr>
              <w:t>—</w:t>
            </w:r>
          </w:p>
        </w:tc>
        <w:tc>
          <w:tcPr>
            <w:tcW w:w="260" w:type="dxa"/>
            <w:vAlign w:val="bottom"/>
          </w:tcPr>
          <w:p>
            <w:pPr>
              <w:ind w:left="160"/>
              <w:spacing w:after="0" w:line="133" w:lineRule="exact"/>
              <w:rPr>
                <w:sz w:val="20"/>
                <w:szCs w:val="20"/>
                <w:color w:val="auto"/>
              </w:rPr>
            </w:pPr>
            <w:r>
              <w:rPr>
                <w:rFonts w:ascii="Arial" w:cs="Arial" w:eastAsia="Arial" w:hAnsi="Arial"/>
                <w:sz w:val="14"/>
                <w:szCs w:val="14"/>
                <w:color w:val="auto"/>
              </w:rPr>
              <w:t>$</w:t>
            </w:r>
          </w:p>
        </w:tc>
        <w:tc>
          <w:tcPr>
            <w:tcW w:w="820" w:type="dxa"/>
            <w:vAlign w:val="bottom"/>
          </w:tcPr>
          <w:p>
            <w:pPr>
              <w:jc w:val="right"/>
              <w:ind w:right="112"/>
              <w:spacing w:after="0" w:line="133" w:lineRule="exact"/>
              <w:rPr>
                <w:sz w:val="20"/>
                <w:szCs w:val="20"/>
                <w:color w:val="auto"/>
              </w:rPr>
            </w:pPr>
            <w:r>
              <w:rPr>
                <w:rFonts w:ascii="Arial" w:cs="Arial" w:eastAsia="Arial" w:hAnsi="Arial"/>
                <w:sz w:val="14"/>
                <w:szCs w:val="14"/>
                <w:color w:val="auto"/>
              </w:rPr>
              <w:t>1,162</w:t>
            </w:r>
          </w:p>
        </w:tc>
        <w:tc>
          <w:tcPr>
            <w:tcW w:w="240" w:type="dxa"/>
            <w:vAlign w:val="bottom"/>
          </w:tcPr>
          <w:p>
            <w:pPr>
              <w:ind w:left="160"/>
              <w:spacing w:after="0" w:line="133" w:lineRule="exact"/>
              <w:rPr>
                <w:sz w:val="20"/>
                <w:szCs w:val="20"/>
                <w:color w:val="auto"/>
              </w:rPr>
            </w:pPr>
            <w:r>
              <w:rPr>
                <w:rFonts w:ascii="Arial" w:cs="Arial" w:eastAsia="Arial" w:hAnsi="Arial"/>
                <w:sz w:val="14"/>
                <w:szCs w:val="14"/>
                <w:color w:val="auto"/>
                <w:w w:val="76"/>
              </w:rPr>
              <w:t>$</w:t>
            </w:r>
          </w:p>
        </w:tc>
        <w:tc>
          <w:tcPr>
            <w:tcW w:w="900" w:type="dxa"/>
            <w:vAlign w:val="bottom"/>
          </w:tcPr>
          <w:p>
            <w:pPr>
              <w:jc w:val="right"/>
              <w:ind w:right="92"/>
              <w:spacing w:after="0" w:line="133" w:lineRule="exact"/>
              <w:rPr>
                <w:sz w:val="20"/>
                <w:szCs w:val="20"/>
                <w:color w:val="auto"/>
              </w:rPr>
            </w:pPr>
            <w:r>
              <w:rPr>
                <w:rFonts w:ascii="Arial" w:cs="Arial" w:eastAsia="Arial" w:hAnsi="Arial"/>
                <w:sz w:val="14"/>
                <w:szCs w:val="14"/>
                <w:color w:val="auto"/>
              </w:rPr>
              <w:t>—</w:t>
            </w:r>
          </w:p>
        </w:tc>
        <w:tc>
          <w:tcPr>
            <w:tcW w:w="200" w:type="dxa"/>
            <w:vAlign w:val="bottom"/>
            <w:vMerge w:val="continue"/>
          </w:tcPr>
          <w:p>
            <w:pPr>
              <w:spacing w:after="0"/>
              <w:rPr>
                <w:sz w:val="11"/>
                <w:szCs w:val="11"/>
                <w:color w:val="auto"/>
              </w:rPr>
            </w:pPr>
          </w:p>
        </w:tc>
        <w:tc>
          <w:tcPr>
            <w:tcW w:w="780" w:type="dxa"/>
            <w:vAlign w:val="bottom"/>
            <w:vMerge w:val="continue"/>
          </w:tcPr>
          <w:p>
            <w:pPr>
              <w:spacing w:after="0"/>
              <w:rPr>
                <w:sz w:val="11"/>
                <w:szCs w:val="11"/>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800" w:type="dxa"/>
            <w:vAlign w:val="bottom"/>
          </w:tcPr>
          <w:p>
            <w:pPr>
              <w:ind w:left="200"/>
              <w:spacing w:after="0" w:line="149" w:lineRule="exact"/>
              <w:rPr>
                <w:sz w:val="20"/>
                <w:szCs w:val="20"/>
                <w:color w:val="auto"/>
              </w:rPr>
            </w:pPr>
            <w:r>
              <w:rPr>
                <w:rFonts w:ascii="Arial" w:cs="Arial" w:eastAsia="Arial" w:hAnsi="Arial"/>
                <w:sz w:val="14"/>
                <w:szCs w:val="14"/>
                <w:color w:val="auto"/>
              </w:rPr>
              <w:t>Investments</w:t>
            </w:r>
          </w:p>
        </w:tc>
        <w:tc>
          <w:tcPr>
            <w:tcW w:w="280" w:type="dxa"/>
            <w:vAlign w:val="bottom"/>
          </w:tcPr>
          <w:p>
            <w:pPr>
              <w:spacing w:after="0"/>
              <w:rPr>
                <w:sz w:val="12"/>
                <w:szCs w:val="12"/>
                <w:color w:val="auto"/>
              </w:rPr>
            </w:pPr>
          </w:p>
        </w:tc>
        <w:tc>
          <w:tcPr>
            <w:tcW w:w="660" w:type="dxa"/>
            <w:vAlign w:val="bottom"/>
          </w:tcPr>
          <w:p>
            <w:pPr>
              <w:jc w:val="right"/>
              <w:ind w:right="152"/>
              <w:spacing w:after="0" w:line="149" w:lineRule="exact"/>
              <w:rPr>
                <w:sz w:val="20"/>
                <w:szCs w:val="20"/>
                <w:color w:val="auto"/>
              </w:rPr>
            </w:pPr>
            <w:r>
              <w:rPr>
                <w:rFonts w:ascii="Arial" w:cs="Arial" w:eastAsia="Arial" w:hAnsi="Arial"/>
                <w:sz w:val="14"/>
                <w:szCs w:val="14"/>
                <w:color w:val="auto"/>
              </w:rPr>
              <w:t>—</w:t>
            </w:r>
          </w:p>
        </w:tc>
        <w:tc>
          <w:tcPr>
            <w:tcW w:w="200" w:type="dxa"/>
            <w:vAlign w:val="bottom"/>
          </w:tcPr>
          <w:p>
            <w:pPr>
              <w:spacing w:after="0"/>
              <w:rPr>
                <w:sz w:val="12"/>
                <w:szCs w:val="12"/>
                <w:color w:val="auto"/>
              </w:rPr>
            </w:pPr>
          </w:p>
        </w:tc>
        <w:tc>
          <w:tcPr>
            <w:tcW w:w="580" w:type="dxa"/>
            <w:vAlign w:val="bottom"/>
          </w:tcPr>
          <w:p>
            <w:pPr>
              <w:jc w:val="right"/>
              <w:ind w:right="112"/>
              <w:spacing w:after="0" w:line="149" w:lineRule="exact"/>
              <w:rPr>
                <w:sz w:val="20"/>
                <w:szCs w:val="20"/>
                <w:color w:val="auto"/>
              </w:rPr>
            </w:pPr>
            <w:r>
              <w:rPr>
                <w:rFonts w:ascii="Arial" w:cs="Arial" w:eastAsia="Arial" w:hAnsi="Arial"/>
                <w:sz w:val="14"/>
                <w:szCs w:val="14"/>
                <w:color w:val="auto"/>
              </w:rPr>
              <w:t>—</w:t>
            </w:r>
          </w:p>
        </w:tc>
        <w:tc>
          <w:tcPr>
            <w:tcW w:w="240" w:type="dxa"/>
            <w:vAlign w:val="bottom"/>
          </w:tcPr>
          <w:p>
            <w:pPr>
              <w:spacing w:after="0"/>
              <w:rPr>
                <w:sz w:val="12"/>
                <w:szCs w:val="12"/>
                <w:color w:val="auto"/>
              </w:rPr>
            </w:pPr>
          </w:p>
        </w:tc>
        <w:tc>
          <w:tcPr>
            <w:tcW w:w="600" w:type="dxa"/>
            <w:vAlign w:val="bottom"/>
          </w:tcPr>
          <w:p>
            <w:pPr>
              <w:jc w:val="right"/>
              <w:ind w:right="112"/>
              <w:spacing w:after="0" w:line="149" w:lineRule="exact"/>
              <w:rPr>
                <w:sz w:val="20"/>
                <w:szCs w:val="20"/>
                <w:color w:val="auto"/>
              </w:rPr>
            </w:pPr>
            <w:r>
              <w:rPr>
                <w:rFonts w:ascii="Arial" w:cs="Arial" w:eastAsia="Arial" w:hAnsi="Arial"/>
                <w:sz w:val="14"/>
                <w:szCs w:val="14"/>
                <w:color w:val="auto"/>
              </w:rPr>
              <w:t>—</w:t>
            </w:r>
          </w:p>
        </w:tc>
        <w:tc>
          <w:tcPr>
            <w:tcW w:w="260" w:type="dxa"/>
            <w:vAlign w:val="bottom"/>
          </w:tcPr>
          <w:p>
            <w:pPr>
              <w:spacing w:after="0"/>
              <w:rPr>
                <w:sz w:val="12"/>
                <w:szCs w:val="12"/>
                <w:color w:val="auto"/>
              </w:rPr>
            </w:pPr>
          </w:p>
        </w:tc>
        <w:tc>
          <w:tcPr>
            <w:tcW w:w="700" w:type="dxa"/>
            <w:vAlign w:val="bottom"/>
          </w:tcPr>
          <w:p>
            <w:pPr>
              <w:jc w:val="right"/>
              <w:ind w:right="112"/>
              <w:spacing w:after="0" w:line="149" w:lineRule="exact"/>
              <w:rPr>
                <w:sz w:val="20"/>
                <w:szCs w:val="20"/>
                <w:color w:val="auto"/>
              </w:rPr>
            </w:pPr>
            <w:r>
              <w:rPr>
                <w:rFonts w:ascii="Arial" w:cs="Arial" w:eastAsia="Arial" w:hAnsi="Arial"/>
                <w:sz w:val="14"/>
                <w:szCs w:val="14"/>
                <w:color w:val="auto"/>
              </w:rPr>
              <w:t>—</w:t>
            </w:r>
          </w:p>
        </w:tc>
        <w:tc>
          <w:tcPr>
            <w:tcW w:w="260" w:type="dxa"/>
            <w:vAlign w:val="bottom"/>
          </w:tcPr>
          <w:p>
            <w:pPr>
              <w:spacing w:after="0"/>
              <w:rPr>
                <w:sz w:val="12"/>
                <w:szCs w:val="12"/>
                <w:color w:val="auto"/>
              </w:rPr>
            </w:pPr>
          </w:p>
        </w:tc>
        <w:tc>
          <w:tcPr>
            <w:tcW w:w="620" w:type="dxa"/>
            <w:vAlign w:val="bottom"/>
          </w:tcPr>
          <w:p>
            <w:pPr>
              <w:jc w:val="right"/>
              <w:ind w:right="112"/>
              <w:spacing w:after="0" w:line="149" w:lineRule="exact"/>
              <w:rPr>
                <w:sz w:val="20"/>
                <w:szCs w:val="20"/>
                <w:color w:val="auto"/>
              </w:rPr>
            </w:pPr>
            <w:r>
              <w:rPr>
                <w:rFonts w:ascii="Arial" w:cs="Arial" w:eastAsia="Arial" w:hAnsi="Arial"/>
                <w:sz w:val="14"/>
                <w:szCs w:val="14"/>
                <w:color w:val="auto"/>
              </w:rPr>
              <w:t>—</w:t>
            </w:r>
          </w:p>
        </w:tc>
        <w:tc>
          <w:tcPr>
            <w:tcW w:w="260" w:type="dxa"/>
            <w:vAlign w:val="bottom"/>
          </w:tcPr>
          <w:p>
            <w:pPr>
              <w:spacing w:after="0"/>
              <w:rPr>
                <w:sz w:val="12"/>
                <w:szCs w:val="12"/>
                <w:color w:val="auto"/>
              </w:rPr>
            </w:pPr>
          </w:p>
        </w:tc>
        <w:tc>
          <w:tcPr>
            <w:tcW w:w="820" w:type="dxa"/>
            <w:vAlign w:val="bottom"/>
          </w:tcPr>
          <w:p>
            <w:pPr>
              <w:jc w:val="right"/>
              <w:ind w:right="112"/>
              <w:spacing w:after="0" w:line="149" w:lineRule="exact"/>
              <w:rPr>
                <w:sz w:val="20"/>
                <w:szCs w:val="20"/>
                <w:color w:val="auto"/>
              </w:rPr>
            </w:pPr>
            <w:r>
              <w:rPr>
                <w:rFonts w:ascii="Arial" w:cs="Arial" w:eastAsia="Arial" w:hAnsi="Arial"/>
                <w:sz w:val="14"/>
                <w:szCs w:val="14"/>
                <w:color w:val="auto"/>
              </w:rPr>
              <w:t>1,735</w:t>
            </w:r>
          </w:p>
        </w:tc>
        <w:tc>
          <w:tcPr>
            <w:tcW w:w="240" w:type="dxa"/>
            <w:vAlign w:val="bottom"/>
          </w:tcPr>
          <w:p>
            <w:pPr>
              <w:spacing w:after="0"/>
              <w:rPr>
                <w:sz w:val="12"/>
                <w:szCs w:val="12"/>
                <w:color w:val="auto"/>
              </w:rPr>
            </w:pPr>
          </w:p>
        </w:tc>
        <w:tc>
          <w:tcPr>
            <w:tcW w:w="900" w:type="dxa"/>
            <w:vAlign w:val="bottom"/>
          </w:tcPr>
          <w:p>
            <w:pPr>
              <w:jc w:val="right"/>
              <w:ind w:right="92"/>
              <w:spacing w:after="0" w:line="149" w:lineRule="exact"/>
              <w:rPr>
                <w:sz w:val="20"/>
                <w:szCs w:val="20"/>
                <w:color w:val="auto"/>
              </w:rPr>
            </w:pPr>
            <w:r>
              <w:rPr>
                <w:rFonts w:ascii="Arial" w:cs="Arial" w:eastAsia="Arial" w:hAnsi="Arial"/>
                <w:sz w:val="14"/>
                <w:szCs w:val="14"/>
                <w:color w:val="auto"/>
              </w:rPr>
              <w:t>—</w:t>
            </w:r>
          </w:p>
        </w:tc>
        <w:tc>
          <w:tcPr>
            <w:tcW w:w="200" w:type="dxa"/>
            <w:vAlign w:val="bottom"/>
          </w:tcPr>
          <w:p>
            <w:pPr>
              <w:spacing w:after="0"/>
              <w:rPr>
                <w:sz w:val="12"/>
                <w:szCs w:val="12"/>
                <w:color w:val="auto"/>
              </w:rPr>
            </w:pPr>
          </w:p>
        </w:tc>
        <w:tc>
          <w:tcPr>
            <w:tcW w:w="780" w:type="dxa"/>
            <w:vAlign w:val="bottom"/>
          </w:tcPr>
          <w:p>
            <w:pPr>
              <w:jc w:val="right"/>
              <w:spacing w:after="0" w:line="149" w:lineRule="exact"/>
              <w:rPr>
                <w:sz w:val="20"/>
                <w:szCs w:val="20"/>
                <w:color w:val="auto"/>
              </w:rPr>
            </w:pPr>
            <w:r>
              <w:rPr>
                <w:rFonts w:ascii="Arial" w:cs="Arial" w:eastAsia="Arial" w:hAnsi="Arial"/>
                <w:sz w:val="14"/>
                <w:szCs w:val="14"/>
                <w:b w:val="1"/>
                <w:bCs w:val="1"/>
                <w:color w:val="auto"/>
              </w:rPr>
              <w:t>1,735</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800" w:type="dxa"/>
            <w:vAlign w:val="bottom"/>
          </w:tcPr>
          <w:p>
            <w:pPr>
              <w:ind w:left="200"/>
              <w:spacing w:after="0" w:line="149" w:lineRule="exact"/>
              <w:rPr>
                <w:sz w:val="20"/>
                <w:szCs w:val="20"/>
                <w:color w:val="auto"/>
              </w:rPr>
            </w:pPr>
            <w:r>
              <w:rPr>
                <w:rFonts w:ascii="Arial" w:cs="Arial" w:eastAsia="Arial" w:hAnsi="Arial"/>
                <w:sz w:val="14"/>
                <w:szCs w:val="14"/>
                <w:color w:val="auto"/>
              </w:rPr>
              <w:t>Accounts receivable, net</w:t>
            </w:r>
          </w:p>
        </w:tc>
        <w:tc>
          <w:tcPr>
            <w:tcW w:w="280" w:type="dxa"/>
            <w:vAlign w:val="bottom"/>
          </w:tcPr>
          <w:p>
            <w:pPr>
              <w:spacing w:after="0"/>
              <w:rPr>
                <w:sz w:val="12"/>
                <w:szCs w:val="12"/>
                <w:color w:val="auto"/>
              </w:rPr>
            </w:pPr>
          </w:p>
        </w:tc>
        <w:tc>
          <w:tcPr>
            <w:tcW w:w="660" w:type="dxa"/>
            <w:vAlign w:val="bottom"/>
          </w:tcPr>
          <w:p>
            <w:pPr>
              <w:jc w:val="right"/>
              <w:ind w:right="152"/>
              <w:spacing w:after="0" w:line="149" w:lineRule="exact"/>
              <w:rPr>
                <w:sz w:val="20"/>
                <w:szCs w:val="20"/>
                <w:color w:val="auto"/>
              </w:rPr>
            </w:pPr>
            <w:r>
              <w:rPr>
                <w:rFonts w:ascii="Arial" w:cs="Arial" w:eastAsia="Arial" w:hAnsi="Arial"/>
                <w:sz w:val="14"/>
                <w:szCs w:val="14"/>
                <w:color w:val="auto"/>
              </w:rPr>
              <w:t>—</w:t>
            </w:r>
          </w:p>
        </w:tc>
        <w:tc>
          <w:tcPr>
            <w:tcW w:w="200" w:type="dxa"/>
            <w:vAlign w:val="bottom"/>
          </w:tcPr>
          <w:p>
            <w:pPr>
              <w:spacing w:after="0"/>
              <w:rPr>
                <w:sz w:val="12"/>
                <w:szCs w:val="12"/>
                <w:color w:val="auto"/>
              </w:rPr>
            </w:pPr>
          </w:p>
        </w:tc>
        <w:tc>
          <w:tcPr>
            <w:tcW w:w="580" w:type="dxa"/>
            <w:vAlign w:val="bottom"/>
          </w:tcPr>
          <w:p>
            <w:pPr>
              <w:jc w:val="right"/>
              <w:ind w:right="112"/>
              <w:spacing w:after="0" w:line="149" w:lineRule="exact"/>
              <w:rPr>
                <w:sz w:val="20"/>
                <w:szCs w:val="20"/>
                <w:color w:val="auto"/>
              </w:rPr>
            </w:pPr>
            <w:r>
              <w:rPr>
                <w:rFonts w:ascii="Arial" w:cs="Arial" w:eastAsia="Arial" w:hAnsi="Arial"/>
                <w:sz w:val="14"/>
                <w:szCs w:val="14"/>
                <w:color w:val="auto"/>
              </w:rPr>
              <w:t>—</w:t>
            </w:r>
          </w:p>
        </w:tc>
        <w:tc>
          <w:tcPr>
            <w:tcW w:w="240" w:type="dxa"/>
            <w:vAlign w:val="bottom"/>
          </w:tcPr>
          <w:p>
            <w:pPr>
              <w:spacing w:after="0"/>
              <w:rPr>
                <w:sz w:val="12"/>
                <w:szCs w:val="12"/>
                <w:color w:val="auto"/>
              </w:rPr>
            </w:pPr>
          </w:p>
        </w:tc>
        <w:tc>
          <w:tcPr>
            <w:tcW w:w="600" w:type="dxa"/>
            <w:vAlign w:val="bottom"/>
          </w:tcPr>
          <w:p>
            <w:pPr>
              <w:jc w:val="right"/>
              <w:ind w:right="112"/>
              <w:spacing w:after="0" w:line="149" w:lineRule="exact"/>
              <w:rPr>
                <w:sz w:val="20"/>
                <w:szCs w:val="20"/>
                <w:color w:val="auto"/>
              </w:rPr>
            </w:pPr>
            <w:r>
              <w:rPr>
                <w:rFonts w:ascii="Arial" w:cs="Arial" w:eastAsia="Arial" w:hAnsi="Arial"/>
                <w:sz w:val="14"/>
                <w:szCs w:val="14"/>
                <w:color w:val="auto"/>
              </w:rPr>
              <w:t>—</w:t>
            </w:r>
          </w:p>
        </w:tc>
        <w:tc>
          <w:tcPr>
            <w:tcW w:w="260" w:type="dxa"/>
            <w:vAlign w:val="bottom"/>
          </w:tcPr>
          <w:p>
            <w:pPr>
              <w:spacing w:after="0"/>
              <w:rPr>
                <w:sz w:val="12"/>
                <w:szCs w:val="12"/>
                <w:color w:val="auto"/>
              </w:rPr>
            </w:pPr>
          </w:p>
        </w:tc>
        <w:tc>
          <w:tcPr>
            <w:tcW w:w="700" w:type="dxa"/>
            <w:vAlign w:val="bottom"/>
          </w:tcPr>
          <w:p>
            <w:pPr>
              <w:jc w:val="right"/>
              <w:ind w:right="112"/>
              <w:spacing w:after="0" w:line="149" w:lineRule="exact"/>
              <w:rPr>
                <w:sz w:val="20"/>
                <w:szCs w:val="20"/>
                <w:color w:val="auto"/>
              </w:rPr>
            </w:pPr>
            <w:r>
              <w:rPr>
                <w:rFonts w:ascii="Arial" w:cs="Arial" w:eastAsia="Arial" w:hAnsi="Arial"/>
                <w:sz w:val="14"/>
                <w:szCs w:val="14"/>
                <w:color w:val="auto"/>
              </w:rPr>
              <w:t>—</w:t>
            </w:r>
          </w:p>
        </w:tc>
        <w:tc>
          <w:tcPr>
            <w:tcW w:w="260" w:type="dxa"/>
            <w:vAlign w:val="bottom"/>
          </w:tcPr>
          <w:p>
            <w:pPr>
              <w:spacing w:after="0"/>
              <w:rPr>
                <w:sz w:val="12"/>
                <w:szCs w:val="12"/>
                <w:color w:val="auto"/>
              </w:rPr>
            </w:pPr>
          </w:p>
        </w:tc>
        <w:tc>
          <w:tcPr>
            <w:tcW w:w="620" w:type="dxa"/>
            <w:vAlign w:val="bottom"/>
          </w:tcPr>
          <w:p>
            <w:pPr>
              <w:jc w:val="right"/>
              <w:ind w:right="112"/>
              <w:spacing w:after="0" w:line="149" w:lineRule="exact"/>
              <w:rPr>
                <w:sz w:val="20"/>
                <w:szCs w:val="20"/>
                <w:color w:val="auto"/>
              </w:rPr>
            </w:pPr>
            <w:r>
              <w:rPr>
                <w:rFonts w:ascii="Arial" w:cs="Arial" w:eastAsia="Arial" w:hAnsi="Arial"/>
                <w:sz w:val="14"/>
                <w:szCs w:val="14"/>
                <w:color w:val="auto"/>
              </w:rPr>
              <w:t>—</w:t>
            </w:r>
          </w:p>
        </w:tc>
        <w:tc>
          <w:tcPr>
            <w:tcW w:w="260" w:type="dxa"/>
            <w:vAlign w:val="bottom"/>
          </w:tcPr>
          <w:p>
            <w:pPr>
              <w:spacing w:after="0"/>
              <w:rPr>
                <w:sz w:val="12"/>
                <w:szCs w:val="12"/>
                <w:color w:val="auto"/>
              </w:rPr>
            </w:pPr>
          </w:p>
        </w:tc>
        <w:tc>
          <w:tcPr>
            <w:tcW w:w="820" w:type="dxa"/>
            <w:vAlign w:val="bottom"/>
          </w:tcPr>
          <w:p>
            <w:pPr>
              <w:jc w:val="right"/>
              <w:ind w:right="112"/>
              <w:spacing w:after="0" w:line="149" w:lineRule="exact"/>
              <w:rPr>
                <w:sz w:val="20"/>
                <w:szCs w:val="20"/>
                <w:color w:val="auto"/>
              </w:rPr>
            </w:pPr>
            <w:r>
              <w:rPr>
                <w:rFonts w:ascii="Arial" w:cs="Arial" w:eastAsia="Arial" w:hAnsi="Arial"/>
                <w:sz w:val="14"/>
                <w:szCs w:val="14"/>
                <w:color w:val="auto"/>
              </w:rPr>
              <w:t>1,450</w:t>
            </w:r>
          </w:p>
        </w:tc>
        <w:tc>
          <w:tcPr>
            <w:tcW w:w="240" w:type="dxa"/>
            <w:vAlign w:val="bottom"/>
          </w:tcPr>
          <w:p>
            <w:pPr>
              <w:spacing w:after="0"/>
              <w:rPr>
                <w:sz w:val="12"/>
                <w:szCs w:val="12"/>
                <w:color w:val="auto"/>
              </w:rPr>
            </w:pPr>
          </w:p>
        </w:tc>
        <w:tc>
          <w:tcPr>
            <w:tcW w:w="900" w:type="dxa"/>
            <w:vAlign w:val="bottom"/>
          </w:tcPr>
          <w:p>
            <w:pPr>
              <w:jc w:val="right"/>
              <w:ind w:right="92"/>
              <w:spacing w:after="0" w:line="149" w:lineRule="exact"/>
              <w:rPr>
                <w:sz w:val="20"/>
                <w:szCs w:val="20"/>
                <w:color w:val="auto"/>
              </w:rPr>
            </w:pPr>
            <w:r>
              <w:rPr>
                <w:rFonts w:ascii="Arial" w:cs="Arial" w:eastAsia="Arial" w:hAnsi="Arial"/>
                <w:sz w:val="14"/>
                <w:szCs w:val="14"/>
                <w:color w:val="auto"/>
              </w:rPr>
              <w:t>—</w:t>
            </w:r>
          </w:p>
        </w:tc>
        <w:tc>
          <w:tcPr>
            <w:tcW w:w="200" w:type="dxa"/>
            <w:vAlign w:val="bottom"/>
          </w:tcPr>
          <w:p>
            <w:pPr>
              <w:spacing w:after="0"/>
              <w:rPr>
                <w:sz w:val="12"/>
                <w:szCs w:val="12"/>
                <w:color w:val="auto"/>
              </w:rPr>
            </w:pPr>
          </w:p>
        </w:tc>
        <w:tc>
          <w:tcPr>
            <w:tcW w:w="780" w:type="dxa"/>
            <w:vAlign w:val="bottom"/>
          </w:tcPr>
          <w:p>
            <w:pPr>
              <w:jc w:val="right"/>
              <w:spacing w:after="0" w:line="149" w:lineRule="exact"/>
              <w:rPr>
                <w:sz w:val="20"/>
                <w:szCs w:val="20"/>
                <w:color w:val="auto"/>
              </w:rPr>
            </w:pPr>
            <w:r>
              <w:rPr>
                <w:rFonts w:ascii="Arial" w:cs="Arial" w:eastAsia="Arial" w:hAnsi="Arial"/>
                <w:sz w:val="14"/>
                <w:szCs w:val="14"/>
                <w:b w:val="1"/>
                <w:bCs w:val="1"/>
                <w:color w:val="auto"/>
              </w:rPr>
              <w:t>1,450</w:t>
            </w:r>
          </w:p>
        </w:tc>
        <w:tc>
          <w:tcPr>
            <w:tcW w:w="0" w:type="dxa"/>
            <w:vAlign w:val="bottom"/>
          </w:tcPr>
          <w:p>
            <w:pPr>
              <w:spacing w:after="0"/>
              <w:rPr>
                <w:sz w:val="1"/>
                <w:szCs w:val="1"/>
                <w:color w:val="auto"/>
              </w:rPr>
            </w:pPr>
          </w:p>
        </w:tc>
      </w:tr>
      <w:tr>
        <w:trPr>
          <w:trHeight w:val="165"/>
        </w:trPr>
        <w:tc>
          <w:tcPr>
            <w:tcW w:w="20" w:type="dxa"/>
            <w:vAlign w:val="bottom"/>
          </w:tcPr>
          <w:p>
            <w:pPr>
              <w:spacing w:after="0"/>
              <w:rPr>
                <w:sz w:val="14"/>
                <w:szCs w:val="14"/>
                <w:color w:val="auto"/>
              </w:rPr>
            </w:pPr>
          </w:p>
        </w:tc>
        <w:tc>
          <w:tcPr>
            <w:tcW w:w="3800" w:type="dxa"/>
            <w:vAlign w:val="bottom"/>
            <w:tcBorders>
              <w:bottom w:val="single" w:sz="8" w:color="auto"/>
            </w:tcBorders>
          </w:tcPr>
          <w:p>
            <w:pPr>
              <w:ind w:left="200"/>
              <w:spacing w:after="0"/>
              <w:rPr>
                <w:sz w:val="20"/>
                <w:szCs w:val="20"/>
                <w:color w:val="auto"/>
              </w:rPr>
            </w:pPr>
            <w:r>
              <w:rPr>
                <w:rFonts w:ascii="Arial" w:cs="Arial" w:eastAsia="Arial" w:hAnsi="Arial"/>
                <w:sz w:val="14"/>
                <w:szCs w:val="14"/>
                <w:color w:val="auto"/>
              </w:rPr>
              <w:t>Other current assets</w:t>
            </w:r>
          </w:p>
        </w:tc>
        <w:tc>
          <w:tcPr>
            <w:tcW w:w="280" w:type="dxa"/>
            <w:vAlign w:val="bottom"/>
            <w:tcBorders>
              <w:bottom w:val="single" w:sz="8" w:color="auto"/>
            </w:tcBorders>
          </w:tcPr>
          <w:p>
            <w:pPr>
              <w:spacing w:after="0"/>
              <w:rPr>
                <w:sz w:val="14"/>
                <w:szCs w:val="14"/>
                <w:color w:val="auto"/>
              </w:rPr>
            </w:pPr>
          </w:p>
        </w:tc>
        <w:tc>
          <w:tcPr>
            <w:tcW w:w="660" w:type="dxa"/>
            <w:vAlign w:val="bottom"/>
            <w:tcBorders>
              <w:bottom w:val="single" w:sz="8" w:color="auto"/>
            </w:tcBorders>
          </w:tcPr>
          <w:p>
            <w:pPr>
              <w:jc w:val="right"/>
              <w:ind w:right="152"/>
              <w:spacing w:after="0"/>
              <w:rPr>
                <w:sz w:val="20"/>
                <w:szCs w:val="20"/>
                <w:color w:val="auto"/>
              </w:rPr>
            </w:pPr>
            <w:r>
              <w:rPr>
                <w:rFonts w:ascii="Arial" w:cs="Arial" w:eastAsia="Arial" w:hAnsi="Arial"/>
                <w:sz w:val="14"/>
                <w:szCs w:val="14"/>
                <w:color w:val="auto"/>
              </w:rPr>
              <w:t>15</w:t>
            </w:r>
          </w:p>
        </w:tc>
        <w:tc>
          <w:tcPr>
            <w:tcW w:w="200" w:type="dxa"/>
            <w:vAlign w:val="bottom"/>
            <w:tcBorders>
              <w:bottom w:val="single" w:sz="8" w:color="auto"/>
            </w:tcBorders>
          </w:tcPr>
          <w:p>
            <w:pPr>
              <w:spacing w:after="0"/>
              <w:rPr>
                <w:sz w:val="14"/>
                <w:szCs w:val="14"/>
                <w:color w:val="auto"/>
              </w:rPr>
            </w:pPr>
          </w:p>
        </w:tc>
        <w:tc>
          <w:tcPr>
            <w:tcW w:w="580" w:type="dxa"/>
            <w:vAlign w:val="bottom"/>
            <w:tcBorders>
              <w:bottom w:val="single" w:sz="8" w:color="auto"/>
            </w:tcBorders>
          </w:tcPr>
          <w:p>
            <w:pPr>
              <w:jc w:val="right"/>
              <w:ind w:right="112"/>
              <w:spacing w:after="0"/>
              <w:rPr>
                <w:sz w:val="20"/>
                <w:szCs w:val="20"/>
                <w:color w:val="auto"/>
              </w:rPr>
            </w:pPr>
            <w:r>
              <w:rPr>
                <w:rFonts w:ascii="Arial" w:cs="Arial" w:eastAsia="Arial" w:hAnsi="Arial"/>
                <w:sz w:val="14"/>
                <w:szCs w:val="14"/>
                <w:color w:val="auto"/>
              </w:rPr>
              <w:t>1</w:t>
            </w:r>
          </w:p>
        </w:tc>
        <w:tc>
          <w:tcPr>
            <w:tcW w:w="240" w:type="dxa"/>
            <w:vAlign w:val="bottom"/>
            <w:tcBorders>
              <w:bottom w:val="single" w:sz="8" w:color="auto"/>
            </w:tcBorders>
          </w:tcPr>
          <w:p>
            <w:pPr>
              <w:spacing w:after="0"/>
              <w:rPr>
                <w:sz w:val="14"/>
                <w:szCs w:val="14"/>
                <w:color w:val="auto"/>
              </w:rPr>
            </w:pPr>
          </w:p>
        </w:tc>
        <w:tc>
          <w:tcPr>
            <w:tcW w:w="600" w:type="dxa"/>
            <w:vAlign w:val="bottom"/>
            <w:tcBorders>
              <w:bottom w:val="single" w:sz="8" w:color="auto"/>
            </w:tcBorders>
          </w:tcPr>
          <w:p>
            <w:pPr>
              <w:jc w:val="right"/>
              <w:ind w:right="112"/>
              <w:spacing w:after="0"/>
              <w:rPr>
                <w:sz w:val="20"/>
                <w:szCs w:val="20"/>
                <w:color w:val="auto"/>
              </w:rPr>
            </w:pPr>
            <w:r>
              <w:rPr>
                <w:rFonts w:ascii="Arial" w:cs="Arial" w:eastAsia="Arial" w:hAnsi="Arial"/>
                <w:sz w:val="14"/>
                <w:szCs w:val="14"/>
                <w:color w:val="auto"/>
              </w:rPr>
              <w:t>—</w:t>
            </w:r>
          </w:p>
        </w:tc>
        <w:tc>
          <w:tcPr>
            <w:tcW w:w="260" w:type="dxa"/>
            <w:vAlign w:val="bottom"/>
            <w:tcBorders>
              <w:bottom w:val="single" w:sz="8" w:color="auto"/>
            </w:tcBorders>
          </w:tcPr>
          <w:p>
            <w:pPr>
              <w:spacing w:after="0"/>
              <w:rPr>
                <w:sz w:val="14"/>
                <w:szCs w:val="14"/>
                <w:color w:val="auto"/>
              </w:rPr>
            </w:pPr>
          </w:p>
        </w:tc>
        <w:tc>
          <w:tcPr>
            <w:tcW w:w="700" w:type="dxa"/>
            <w:vAlign w:val="bottom"/>
            <w:tcBorders>
              <w:bottom w:val="single" w:sz="8" w:color="auto"/>
            </w:tcBorders>
          </w:tcPr>
          <w:p>
            <w:pPr>
              <w:jc w:val="right"/>
              <w:ind w:right="112"/>
              <w:spacing w:after="0"/>
              <w:rPr>
                <w:sz w:val="20"/>
                <w:szCs w:val="20"/>
                <w:color w:val="auto"/>
              </w:rPr>
            </w:pPr>
            <w:r>
              <w:rPr>
                <w:rFonts w:ascii="Arial" w:cs="Arial" w:eastAsia="Arial" w:hAnsi="Arial"/>
                <w:sz w:val="14"/>
                <w:szCs w:val="14"/>
                <w:color w:val="auto"/>
              </w:rPr>
              <w:t>—</w:t>
            </w:r>
          </w:p>
        </w:tc>
        <w:tc>
          <w:tcPr>
            <w:tcW w:w="260" w:type="dxa"/>
            <w:vAlign w:val="bottom"/>
            <w:tcBorders>
              <w:bottom w:val="single" w:sz="8" w:color="auto"/>
            </w:tcBorders>
          </w:tcPr>
          <w:p>
            <w:pPr>
              <w:spacing w:after="0"/>
              <w:rPr>
                <w:sz w:val="14"/>
                <w:szCs w:val="14"/>
                <w:color w:val="auto"/>
              </w:rPr>
            </w:pPr>
          </w:p>
        </w:tc>
        <w:tc>
          <w:tcPr>
            <w:tcW w:w="620" w:type="dxa"/>
            <w:vAlign w:val="bottom"/>
            <w:tcBorders>
              <w:bottom w:val="single" w:sz="8" w:color="auto"/>
            </w:tcBorders>
          </w:tcPr>
          <w:p>
            <w:pPr>
              <w:jc w:val="right"/>
              <w:ind w:right="112"/>
              <w:spacing w:after="0"/>
              <w:rPr>
                <w:sz w:val="20"/>
                <w:szCs w:val="20"/>
                <w:color w:val="auto"/>
              </w:rPr>
            </w:pPr>
            <w:r>
              <w:rPr>
                <w:rFonts w:ascii="Arial" w:cs="Arial" w:eastAsia="Arial" w:hAnsi="Arial"/>
                <w:sz w:val="14"/>
                <w:szCs w:val="14"/>
                <w:color w:val="auto"/>
              </w:rPr>
              <w:t>—</w:t>
            </w:r>
          </w:p>
        </w:tc>
        <w:tc>
          <w:tcPr>
            <w:tcW w:w="260" w:type="dxa"/>
            <w:vAlign w:val="bottom"/>
            <w:tcBorders>
              <w:bottom w:val="single" w:sz="8" w:color="auto"/>
            </w:tcBorders>
          </w:tcPr>
          <w:p>
            <w:pPr>
              <w:spacing w:after="0"/>
              <w:rPr>
                <w:sz w:val="14"/>
                <w:szCs w:val="14"/>
                <w:color w:val="auto"/>
              </w:rPr>
            </w:pPr>
          </w:p>
        </w:tc>
        <w:tc>
          <w:tcPr>
            <w:tcW w:w="820" w:type="dxa"/>
            <w:vAlign w:val="bottom"/>
            <w:tcBorders>
              <w:bottom w:val="single" w:sz="8" w:color="auto"/>
            </w:tcBorders>
          </w:tcPr>
          <w:p>
            <w:pPr>
              <w:jc w:val="right"/>
              <w:ind w:right="112"/>
              <w:spacing w:after="0"/>
              <w:rPr>
                <w:sz w:val="20"/>
                <w:szCs w:val="20"/>
                <w:color w:val="auto"/>
              </w:rPr>
            </w:pPr>
            <w:r>
              <w:rPr>
                <w:rFonts w:ascii="Arial" w:cs="Arial" w:eastAsia="Arial" w:hAnsi="Arial"/>
                <w:sz w:val="14"/>
                <w:szCs w:val="14"/>
                <w:color w:val="auto"/>
              </w:rPr>
              <w:t>762</w:t>
            </w:r>
          </w:p>
        </w:tc>
        <w:tc>
          <w:tcPr>
            <w:tcW w:w="240" w:type="dxa"/>
            <w:vAlign w:val="bottom"/>
            <w:tcBorders>
              <w:bottom w:val="single" w:sz="8" w:color="auto"/>
            </w:tcBorders>
          </w:tcPr>
          <w:p>
            <w:pPr>
              <w:spacing w:after="0"/>
              <w:rPr>
                <w:sz w:val="14"/>
                <w:szCs w:val="14"/>
                <w:color w:val="auto"/>
              </w:rPr>
            </w:pPr>
          </w:p>
        </w:tc>
        <w:tc>
          <w:tcPr>
            <w:tcW w:w="900" w:type="dxa"/>
            <w:vAlign w:val="bottom"/>
            <w:tcBorders>
              <w:bottom w:val="single" w:sz="8" w:color="auto"/>
            </w:tcBorders>
          </w:tcPr>
          <w:p>
            <w:pPr>
              <w:jc w:val="right"/>
              <w:ind w:right="92"/>
              <w:spacing w:after="0"/>
              <w:rPr>
                <w:sz w:val="20"/>
                <w:szCs w:val="20"/>
                <w:color w:val="auto"/>
              </w:rPr>
            </w:pPr>
            <w:r>
              <w:rPr>
                <w:rFonts w:ascii="Arial" w:cs="Arial" w:eastAsia="Arial" w:hAnsi="Arial"/>
                <w:sz w:val="14"/>
                <w:szCs w:val="14"/>
                <w:color w:val="auto"/>
              </w:rPr>
              <w:t>—</w:t>
            </w:r>
          </w:p>
        </w:tc>
        <w:tc>
          <w:tcPr>
            <w:tcW w:w="200" w:type="dxa"/>
            <w:vAlign w:val="bottom"/>
            <w:tcBorders>
              <w:bottom w:val="single" w:sz="8" w:color="auto"/>
            </w:tcBorders>
          </w:tcPr>
          <w:p>
            <w:pPr>
              <w:spacing w:after="0"/>
              <w:rPr>
                <w:sz w:val="14"/>
                <w:szCs w:val="14"/>
                <w:color w:val="auto"/>
              </w:rPr>
            </w:pPr>
          </w:p>
        </w:tc>
        <w:tc>
          <w:tcPr>
            <w:tcW w:w="78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778</w:t>
            </w: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3800" w:type="dxa"/>
            <w:vAlign w:val="bottom"/>
            <w:tcBorders>
              <w:bottom w:val="single" w:sz="8" w:color="auto"/>
            </w:tcBorders>
          </w:tcPr>
          <w:p>
            <w:pPr>
              <w:ind w:left="420"/>
              <w:spacing w:after="0" w:line="142" w:lineRule="exact"/>
              <w:rPr>
                <w:sz w:val="20"/>
                <w:szCs w:val="20"/>
                <w:color w:val="auto"/>
              </w:rPr>
            </w:pPr>
            <w:r>
              <w:rPr>
                <w:rFonts w:ascii="Arial" w:cs="Arial" w:eastAsia="Arial" w:hAnsi="Arial"/>
                <w:sz w:val="14"/>
                <w:szCs w:val="14"/>
                <w:color w:val="auto"/>
              </w:rPr>
              <w:t>Total current assets</w:t>
            </w:r>
          </w:p>
        </w:tc>
        <w:tc>
          <w:tcPr>
            <w:tcW w:w="280" w:type="dxa"/>
            <w:vAlign w:val="bottom"/>
            <w:tcBorders>
              <w:bottom w:val="single" w:sz="8" w:color="auto"/>
            </w:tcBorders>
          </w:tcPr>
          <w:p>
            <w:pPr>
              <w:spacing w:after="0"/>
              <w:rPr>
                <w:sz w:val="12"/>
                <w:szCs w:val="12"/>
                <w:color w:val="auto"/>
              </w:rPr>
            </w:pPr>
          </w:p>
        </w:tc>
        <w:tc>
          <w:tcPr>
            <w:tcW w:w="660" w:type="dxa"/>
            <w:vAlign w:val="bottom"/>
            <w:tcBorders>
              <w:bottom w:val="single" w:sz="8" w:color="auto"/>
            </w:tcBorders>
          </w:tcPr>
          <w:p>
            <w:pPr>
              <w:jc w:val="right"/>
              <w:ind w:right="152"/>
              <w:spacing w:after="0" w:line="142" w:lineRule="exact"/>
              <w:rPr>
                <w:sz w:val="20"/>
                <w:szCs w:val="20"/>
                <w:color w:val="auto"/>
              </w:rPr>
            </w:pPr>
            <w:r>
              <w:rPr>
                <w:rFonts w:ascii="Arial" w:cs="Arial" w:eastAsia="Arial" w:hAnsi="Arial"/>
                <w:sz w:val="14"/>
                <w:szCs w:val="14"/>
                <w:color w:val="auto"/>
              </w:rPr>
              <w:t>92</w:t>
            </w:r>
          </w:p>
        </w:tc>
        <w:tc>
          <w:tcPr>
            <w:tcW w:w="200" w:type="dxa"/>
            <w:vAlign w:val="bottom"/>
            <w:tcBorders>
              <w:bottom w:val="single" w:sz="8" w:color="auto"/>
            </w:tcBorders>
          </w:tcPr>
          <w:p>
            <w:pPr>
              <w:spacing w:after="0"/>
              <w:rPr>
                <w:sz w:val="12"/>
                <w:szCs w:val="12"/>
                <w:color w:val="auto"/>
              </w:rPr>
            </w:pPr>
          </w:p>
        </w:tc>
        <w:tc>
          <w:tcPr>
            <w:tcW w:w="580" w:type="dxa"/>
            <w:vAlign w:val="bottom"/>
            <w:tcBorders>
              <w:bottom w:val="single" w:sz="8" w:color="auto"/>
            </w:tcBorders>
          </w:tcPr>
          <w:p>
            <w:pPr>
              <w:jc w:val="right"/>
              <w:ind w:right="112"/>
              <w:spacing w:after="0" w:line="142" w:lineRule="exact"/>
              <w:rPr>
                <w:sz w:val="20"/>
                <w:szCs w:val="20"/>
                <w:color w:val="auto"/>
              </w:rPr>
            </w:pPr>
            <w:r>
              <w:rPr>
                <w:rFonts w:ascii="Arial" w:cs="Arial" w:eastAsia="Arial" w:hAnsi="Arial"/>
                <w:sz w:val="14"/>
                <w:szCs w:val="14"/>
                <w:color w:val="auto"/>
              </w:rPr>
              <w:t>1</w:t>
            </w:r>
          </w:p>
        </w:tc>
        <w:tc>
          <w:tcPr>
            <w:tcW w:w="240" w:type="dxa"/>
            <w:vAlign w:val="bottom"/>
            <w:tcBorders>
              <w:bottom w:val="single" w:sz="8" w:color="auto"/>
            </w:tcBorders>
          </w:tcPr>
          <w:p>
            <w:pPr>
              <w:spacing w:after="0"/>
              <w:rPr>
                <w:sz w:val="12"/>
                <w:szCs w:val="12"/>
                <w:color w:val="auto"/>
              </w:rPr>
            </w:pPr>
          </w:p>
        </w:tc>
        <w:tc>
          <w:tcPr>
            <w:tcW w:w="600" w:type="dxa"/>
            <w:vAlign w:val="bottom"/>
            <w:tcBorders>
              <w:bottom w:val="single" w:sz="8" w:color="auto"/>
            </w:tcBorders>
          </w:tcPr>
          <w:p>
            <w:pPr>
              <w:jc w:val="right"/>
              <w:ind w:right="112"/>
              <w:spacing w:after="0" w:line="142" w:lineRule="exact"/>
              <w:rPr>
                <w:sz w:val="20"/>
                <w:szCs w:val="20"/>
                <w:color w:val="auto"/>
              </w:rPr>
            </w:pPr>
            <w:r>
              <w:rPr>
                <w:rFonts w:ascii="Arial" w:cs="Arial" w:eastAsia="Arial" w:hAnsi="Arial"/>
                <w:sz w:val="14"/>
                <w:szCs w:val="14"/>
                <w:color w:val="auto"/>
              </w:rPr>
              <w:t>—</w:t>
            </w:r>
          </w:p>
        </w:tc>
        <w:tc>
          <w:tcPr>
            <w:tcW w:w="260" w:type="dxa"/>
            <w:vAlign w:val="bottom"/>
            <w:tcBorders>
              <w:bottom w:val="single" w:sz="8" w:color="auto"/>
            </w:tcBorders>
          </w:tcPr>
          <w:p>
            <w:pPr>
              <w:spacing w:after="0"/>
              <w:rPr>
                <w:sz w:val="12"/>
                <w:szCs w:val="12"/>
                <w:color w:val="auto"/>
              </w:rPr>
            </w:pPr>
          </w:p>
        </w:tc>
        <w:tc>
          <w:tcPr>
            <w:tcW w:w="700" w:type="dxa"/>
            <w:vAlign w:val="bottom"/>
            <w:tcBorders>
              <w:bottom w:val="single" w:sz="8" w:color="auto"/>
            </w:tcBorders>
          </w:tcPr>
          <w:p>
            <w:pPr>
              <w:jc w:val="right"/>
              <w:ind w:right="112"/>
              <w:spacing w:after="0" w:line="142" w:lineRule="exact"/>
              <w:rPr>
                <w:sz w:val="20"/>
                <w:szCs w:val="20"/>
                <w:color w:val="auto"/>
              </w:rPr>
            </w:pPr>
            <w:r>
              <w:rPr>
                <w:rFonts w:ascii="Arial" w:cs="Arial" w:eastAsia="Arial" w:hAnsi="Arial"/>
                <w:sz w:val="14"/>
                <w:szCs w:val="14"/>
                <w:color w:val="auto"/>
              </w:rPr>
              <w:t>—</w:t>
            </w:r>
          </w:p>
        </w:tc>
        <w:tc>
          <w:tcPr>
            <w:tcW w:w="260" w:type="dxa"/>
            <w:vAlign w:val="bottom"/>
            <w:tcBorders>
              <w:bottom w:val="single" w:sz="8" w:color="auto"/>
            </w:tcBorders>
          </w:tcPr>
          <w:p>
            <w:pPr>
              <w:spacing w:after="0"/>
              <w:rPr>
                <w:sz w:val="12"/>
                <w:szCs w:val="12"/>
                <w:color w:val="auto"/>
              </w:rPr>
            </w:pPr>
          </w:p>
        </w:tc>
        <w:tc>
          <w:tcPr>
            <w:tcW w:w="620" w:type="dxa"/>
            <w:vAlign w:val="bottom"/>
            <w:tcBorders>
              <w:bottom w:val="single" w:sz="8" w:color="auto"/>
            </w:tcBorders>
          </w:tcPr>
          <w:p>
            <w:pPr>
              <w:jc w:val="right"/>
              <w:ind w:right="112"/>
              <w:spacing w:after="0" w:line="142" w:lineRule="exact"/>
              <w:rPr>
                <w:sz w:val="20"/>
                <w:szCs w:val="20"/>
                <w:color w:val="auto"/>
              </w:rPr>
            </w:pPr>
            <w:r>
              <w:rPr>
                <w:rFonts w:ascii="Arial" w:cs="Arial" w:eastAsia="Arial" w:hAnsi="Arial"/>
                <w:sz w:val="14"/>
                <w:szCs w:val="14"/>
                <w:color w:val="auto"/>
              </w:rPr>
              <w:t>—</w:t>
            </w:r>
          </w:p>
        </w:tc>
        <w:tc>
          <w:tcPr>
            <w:tcW w:w="260" w:type="dxa"/>
            <w:vAlign w:val="bottom"/>
            <w:tcBorders>
              <w:bottom w:val="single" w:sz="8" w:color="auto"/>
            </w:tcBorders>
          </w:tcPr>
          <w:p>
            <w:pPr>
              <w:spacing w:after="0"/>
              <w:rPr>
                <w:sz w:val="12"/>
                <w:szCs w:val="12"/>
                <w:color w:val="auto"/>
              </w:rPr>
            </w:pPr>
          </w:p>
        </w:tc>
        <w:tc>
          <w:tcPr>
            <w:tcW w:w="820" w:type="dxa"/>
            <w:vAlign w:val="bottom"/>
            <w:tcBorders>
              <w:bottom w:val="single" w:sz="8" w:color="auto"/>
            </w:tcBorders>
          </w:tcPr>
          <w:p>
            <w:pPr>
              <w:jc w:val="right"/>
              <w:ind w:right="112"/>
              <w:spacing w:after="0" w:line="142" w:lineRule="exact"/>
              <w:rPr>
                <w:sz w:val="20"/>
                <w:szCs w:val="20"/>
                <w:color w:val="auto"/>
              </w:rPr>
            </w:pPr>
            <w:r>
              <w:rPr>
                <w:rFonts w:ascii="Arial" w:cs="Arial" w:eastAsia="Arial" w:hAnsi="Arial"/>
                <w:sz w:val="14"/>
                <w:szCs w:val="14"/>
                <w:color w:val="auto"/>
              </w:rPr>
              <w:t>5,109</w:t>
            </w:r>
          </w:p>
        </w:tc>
        <w:tc>
          <w:tcPr>
            <w:tcW w:w="240" w:type="dxa"/>
            <w:vAlign w:val="bottom"/>
            <w:tcBorders>
              <w:bottom w:val="single" w:sz="8" w:color="auto"/>
            </w:tcBorders>
          </w:tcPr>
          <w:p>
            <w:pPr>
              <w:spacing w:after="0"/>
              <w:rPr>
                <w:sz w:val="12"/>
                <w:szCs w:val="12"/>
                <w:color w:val="auto"/>
              </w:rPr>
            </w:pPr>
          </w:p>
        </w:tc>
        <w:tc>
          <w:tcPr>
            <w:tcW w:w="900" w:type="dxa"/>
            <w:vAlign w:val="bottom"/>
            <w:tcBorders>
              <w:bottom w:val="single" w:sz="8" w:color="auto"/>
            </w:tcBorders>
          </w:tcPr>
          <w:p>
            <w:pPr>
              <w:jc w:val="right"/>
              <w:ind w:right="92"/>
              <w:spacing w:after="0" w:line="142" w:lineRule="exact"/>
              <w:rPr>
                <w:sz w:val="20"/>
                <w:szCs w:val="20"/>
                <w:color w:val="auto"/>
              </w:rPr>
            </w:pPr>
            <w:r>
              <w:rPr>
                <w:rFonts w:ascii="Arial" w:cs="Arial" w:eastAsia="Arial" w:hAnsi="Arial"/>
                <w:sz w:val="14"/>
                <w:szCs w:val="14"/>
                <w:color w:val="auto"/>
              </w:rPr>
              <w:t>—</w:t>
            </w:r>
          </w:p>
        </w:tc>
        <w:tc>
          <w:tcPr>
            <w:tcW w:w="200" w:type="dxa"/>
            <w:vAlign w:val="bottom"/>
            <w:tcBorders>
              <w:bottom w:val="single" w:sz="8" w:color="auto"/>
            </w:tcBorders>
          </w:tcPr>
          <w:p>
            <w:pPr>
              <w:spacing w:after="0"/>
              <w:rPr>
                <w:sz w:val="12"/>
                <w:szCs w:val="12"/>
                <w:color w:val="auto"/>
              </w:rPr>
            </w:pPr>
          </w:p>
        </w:tc>
        <w:tc>
          <w:tcPr>
            <w:tcW w:w="780" w:type="dxa"/>
            <w:vAlign w:val="bottom"/>
            <w:tcBorders>
              <w:bottom w:val="single" w:sz="8" w:color="auto"/>
            </w:tcBorders>
          </w:tcPr>
          <w:p>
            <w:pPr>
              <w:jc w:val="right"/>
              <w:spacing w:after="0" w:line="142" w:lineRule="exact"/>
              <w:rPr>
                <w:sz w:val="20"/>
                <w:szCs w:val="20"/>
                <w:color w:val="auto"/>
              </w:rPr>
            </w:pPr>
            <w:r>
              <w:rPr>
                <w:rFonts w:ascii="Arial" w:cs="Arial" w:eastAsia="Arial" w:hAnsi="Arial"/>
                <w:sz w:val="14"/>
                <w:szCs w:val="14"/>
                <w:b w:val="1"/>
                <w:bCs w:val="1"/>
                <w:color w:val="auto"/>
              </w:rPr>
              <w:t>5,202</w:t>
            </w:r>
          </w:p>
        </w:tc>
        <w:tc>
          <w:tcPr>
            <w:tcW w:w="0" w:type="dxa"/>
            <w:vAlign w:val="bottom"/>
          </w:tcPr>
          <w:p>
            <w:pPr>
              <w:spacing w:after="0"/>
              <w:rPr>
                <w:sz w:val="1"/>
                <w:szCs w:val="1"/>
                <w:color w:val="auto"/>
              </w:rPr>
            </w:pPr>
          </w:p>
        </w:tc>
      </w:tr>
      <w:tr>
        <w:trPr>
          <w:trHeight w:val="141"/>
        </w:trPr>
        <w:tc>
          <w:tcPr>
            <w:tcW w:w="20" w:type="dxa"/>
            <w:vAlign w:val="bottom"/>
          </w:tcPr>
          <w:p>
            <w:pPr>
              <w:spacing w:after="0"/>
              <w:rPr>
                <w:sz w:val="12"/>
                <w:szCs w:val="12"/>
                <w:color w:val="auto"/>
              </w:rPr>
            </w:pPr>
          </w:p>
        </w:tc>
        <w:tc>
          <w:tcPr>
            <w:tcW w:w="3800" w:type="dxa"/>
            <w:vAlign w:val="bottom"/>
          </w:tcPr>
          <w:p>
            <w:pPr>
              <w:spacing w:after="0" w:line="141" w:lineRule="exact"/>
              <w:rPr>
                <w:sz w:val="20"/>
                <w:szCs w:val="20"/>
                <w:color w:val="auto"/>
              </w:rPr>
            </w:pPr>
            <w:r>
              <w:rPr>
                <w:rFonts w:ascii="Arial" w:cs="Arial" w:eastAsia="Arial" w:hAnsi="Arial"/>
                <w:sz w:val="14"/>
                <w:szCs w:val="14"/>
                <w:color w:val="auto"/>
              </w:rPr>
              <w:t>Investments</w:t>
            </w:r>
          </w:p>
        </w:tc>
        <w:tc>
          <w:tcPr>
            <w:tcW w:w="280" w:type="dxa"/>
            <w:vAlign w:val="bottom"/>
          </w:tcPr>
          <w:p>
            <w:pPr>
              <w:spacing w:after="0"/>
              <w:rPr>
                <w:sz w:val="12"/>
                <w:szCs w:val="12"/>
                <w:color w:val="auto"/>
              </w:rPr>
            </w:pPr>
          </w:p>
        </w:tc>
        <w:tc>
          <w:tcPr>
            <w:tcW w:w="660" w:type="dxa"/>
            <w:vAlign w:val="bottom"/>
          </w:tcPr>
          <w:p>
            <w:pPr>
              <w:jc w:val="right"/>
              <w:ind w:right="152"/>
              <w:spacing w:after="0" w:line="141" w:lineRule="exact"/>
              <w:rPr>
                <w:sz w:val="20"/>
                <w:szCs w:val="20"/>
                <w:color w:val="auto"/>
              </w:rPr>
            </w:pPr>
            <w:r>
              <w:rPr>
                <w:rFonts w:ascii="Arial" w:cs="Arial" w:eastAsia="Arial" w:hAnsi="Arial"/>
                <w:sz w:val="14"/>
                <w:szCs w:val="14"/>
                <w:color w:val="auto"/>
              </w:rPr>
              <w:t>—</w:t>
            </w:r>
          </w:p>
        </w:tc>
        <w:tc>
          <w:tcPr>
            <w:tcW w:w="200" w:type="dxa"/>
            <w:vAlign w:val="bottom"/>
          </w:tcPr>
          <w:p>
            <w:pPr>
              <w:spacing w:after="0"/>
              <w:rPr>
                <w:sz w:val="12"/>
                <w:szCs w:val="12"/>
                <w:color w:val="auto"/>
              </w:rPr>
            </w:pPr>
          </w:p>
        </w:tc>
        <w:tc>
          <w:tcPr>
            <w:tcW w:w="580" w:type="dxa"/>
            <w:vAlign w:val="bottom"/>
          </w:tcPr>
          <w:p>
            <w:pPr>
              <w:jc w:val="right"/>
              <w:ind w:right="112"/>
              <w:spacing w:after="0" w:line="141" w:lineRule="exact"/>
              <w:rPr>
                <w:sz w:val="20"/>
                <w:szCs w:val="20"/>
                <w:color w:val="auto"/>
              </w:rPr>
            </w:pPr>
            <w:r>
              <w:rPr>
                <w:rFonts w:ascii="Arial" w:cs="Arial" w:eastAsia="Arial" w:hAnsi="Arial"/>
                <w:sz w:val="14"/>
                <w:szCs w:val="14"/>
                <w:color w:val="auto"/>
              </w:rPr>
              <w:t>—</w:t>
            </w:r>
          </w:p>
        </w:tc>
        <w:tc>
          <w:tcPr>
            <w:tcW w:w="240" w:type="dxa"/>
            <w:vAlign w:val="bottom"/>
          </w:tcPr>
          <w:p>
            <w:pPr>
              <w:spacing w:after="0"/>
              <w:rPr>
                <w:sz w:val="12"/>
                <w:szCs w:val="12"/>
                <w:color w:val="auto"/>
              </w:rPr>
            </w:pPr>
          </w:p>
        </w:tc>
        <w:tc>
          <w:tcPr>
            <w:tcW w:w="600" w:type="dxa"/>
            <w:vAlign w:val="bottom"/>
          </w:tcPr>
          <w:p>
            <w:pPr>
              <w:jc w:val="right"/>
              <w:ind w:right="112"/>
              <w:spacing w:after="0" w:line="141" w:lineRule="exact"/>
              <w:rPr>
                <w:sz w:val="20"/>
                <w:szCs w:val="20"/>
                <w:color w:val="auto"/>
              </w:rPr>
            </w:pPr>
            <w:r>
              <w:rPr>
                <w:rFonts w:ascii="Arial" w:cs="Arial" w:eastAsia="Arial" w:hAnsi="Arial"/>
                <w:sz w:val="14"/>
                <w:szCs w:val="14"/>
                <w:color w:val="auto"/>
              </w:rPr>
              <w:t>—</w:t>
            </w:r>
          </w:p>
        </w:tc>
        <w:tc>
          <w:tcPr>
            <w:tcW w:w="260" w:type="dxa"/>
            <w:vAlign w:val="bottom"/>
          </w:tcPr>
          <w:p>
            <w:pPr>
              <w:spacing w:after="0"/>
              <w:rPr>
                <w:sz w:val="12"/>
                <w:szCs w:val="12"/>
                <w:color w:val="auto"/>
              </w:rPr>
            </w:pPr>
          </w:p>
        </w:tc>
        <w:tc>
          <w:tcPr>
            <w:tcW w:w="700" w:type="dxa"/>
            <w:vAlign w:val="bottom"/>
          </w:tcPr>
          <w:p>
            <w:pPr>
              <w:jc w:val="right"/>
              <w:ind w:right="112"/>
              <w:spacing w:after="0" w:line="141" w:lineRule="exact"/>
              <w:rPr>
                <w:sz w:val="20"/>
                <w:szCs w:val="20"/>
                <w:color w:val="auto"/>
              </w:rPr>
            </w:pPr>
            <w:r>
              <w:rPr>
                <w:rFonts w:ascii="Arial" w:cs="Arial" w:eastAsia="Arial" w:hAnsi="Arial"/>
                <w:sz w:val="14"/>
                <w:szCs w:val="14"/>
                <w:color w:val="auto"/>
              </w:rPr>
              <w:t>—</w:t>
            </w:r>
          </w:p>
        </w:tc>
        <w:tc>
          <w:tcPr>
            <w:tcW w:w="260" w:type="dxa"/>
            <w:vAlign w:val="bottom"/>
          </w:tcPr>
          <w:p>
            <w:pPr>
              <w:spacing w:after="0"/>
              <w:rPr>
                <w:sz w:val="12"/>
                <w:szCs w:val="12"/>
                <w:color w:val="auto"/>
              </w:rPr>
            </w:pPr>
          </w:p>
        </w:tc>
        <w:tc>
          <w:tcPr>
            <w:tcW w:w="620" w:type="dxa"/>
            <w:vAlign w:val="bottom"/>
          </w:tcPr>
          <w:p>
            <w:pPr>
              <w:jc w:val="right"/>
              <w:ind w:right="112"/>
              <w:spacing w:after="0" w:line="141" w:lineRule="exact"/>
              <w:rPr>
                <w:sz w:val="20"/>
                <w:szCs w:val="20"/>
                <w:color w:val="auto"/>
              </w:rPr>
            </w:pPr>
            <w:r>
              <w:rPr>
                <w:rFonts w:ascii="Arial" w:cs="Arial" w:eastAsia="Arial" w:hAnsi="Arial"/>
                <w:sz w:val="14"/>
                <w:szCs w:val="14"/>
                <w:color w:val="auto"/>
              </w:rPr>
              <w:t>—</w:t>
            </w:r>
          </w:p>
        </w:tc>
        <w:tc>
          <w:tcPr>
            <w:tcW w:w="260" w:type="dxa"/>
            <w:vAlign w:val="bottom"/>
          </w:tcPr>
          <w:p>
            <w:pPr>
              <w:spacing w:after="0"/>
              <w:rPr>
                <w:sz w:val="12"/>
                <w:szCs w:val="12"/>
                <w:color w:val="auto"/>
              </w:rPr>
            </w:pPr>
          </w:p>
        </w:tc>
        <w:tc>
          <w:tcPr>
            <w:tcW w:w="820" w:type="dxa"/>
            <w:vAlign w:val="bottom"/>
          </w:tcPr>
          <w:p>
            <w:pPr>
              <w:jc w:val="right"/>
              <w:ind w:right="112"/>
              <w:spacing w:after="0" w:line="141" w:lineRule="exact"/>
              <w:rPr>
                <w:sz w:val="20"/>
                <w:szCs w:val="20"/>
                <w:color w:val="auto"/>
              </w:rPr>
            </w:pPr>
            <w:r>
              <w:rPr>
                <w:rFonts w:ascii="Arial" w:cs="Arial" w:eastAsia="Arial" w:hAnsi="Arial"/>
                <w:sz w:val="14"/>
                <w:szCs w:val="14"/>
                <w:color w:val="auto"/>
              </w:rPr>
              <w:t>8,847</w:t>
            </w:r>
          </w:p>
        </w:tc>
        <w:tc>
          <w:tcPr>
            <w:tcW w:w="240" w:type="dxa"/>
            <w:vAlign w:val="bottom"/>
          </w:tcPr>
          <w:p>
            <w:pPr>
              <w:spacing w:after="0"/>
              <w:rPr>
                <w:sz w:val="12"/>
                <w:szCs w:val="12"/>
                <w:color w:val="auto"/>
              </w:rPr>
            </w:pPr>
          </w:p>
        </w:tc>
        <w:tc>
          <w:tcPr>
            <w:tcW w:w="900" w:type="dxa"/>
            <w:vAlign w:val="bottom"/>
          </w:tcPr>
          <w:p>
            <w:pPr>
              <w:jc w:val="right"/>
              <w:ind w:right="92"/>
              <w:spacing w:after="0" w:line="141" w:lineRule="exact"/>
              <w:rPr>
                <w:sz w:val="20"/>
                <w:szCs w:val="20"/>
                <w:color w:val="auto"/>
              </w:rPr>
            </w:pPr>
            <w:r>
              <w:rPr>
                <w:rFonts w:ascii="Arial" w:cs="Arial" w:eastAsia="Arial" w:hAnsi="Arial"/>
                <w:sz w:val="14"/>
                <w:szCs w:val="14"/>
                <w:color w:val="auto"/>
              </w:rPr>
              <w:t>—</w:t>
            </w:r>
          </w:p>
        </w:tc>
        <w:tc>
          <w:tcPr>
            <w:tcW w:w="200" w:type="dxa"/>
            <w:vAlign w:val="bottom"/>
          </w:tcPr>
          <w:p>
            <w:pPr>
              <w:spacing w:after="0"/>
              <w:rPr>
                <w:sz w:val="12"/>
                <w:szCs w:val="12"/>
                <w:color w:val="auto"/>
              </w:rPr>
            </w:pPr>
          </w:p>
        </w:tc>
        <w:tc>
          <w:tcPr>
            <w:tcW w:w="780" w:type="dxa"/>
            <w:vAlign w:val="bottom"/>
          </w:tcPr>
          <w:p>
            <w:pPr>
              <w:jc w:val="right"/>
              <w:spacing w:after="0" w:line="141" w:lineRule="exact"/>
              <w:rPr>
                <w:sz w:val="20"/>
                <w:szCs w:val="20"/>
                <w:color w:val="auto"/>
              </w:rPr>
            </w:pPr>
            <w:r>
              <w:rPr>
                <w:rFonts w:ascii="Arial" w:cs="Arial" w:eastAsia="Arial" w:hAnsi="Arial"/>
                <w:sz w:val="14"/>
                <w:szCs w:val="14"/>
                <w:b w:val="1"/>
                <w:bCs w:val="1"/>
                <w:color w:val="auto"/>
              </w:rPr>
              <w:t>8,847</w:t>
            </w:r>
          </w:p>
        </w:tc>
        <w:tc>
          <w:tcPr>
            <w:tcW w:w="0" w:type="dxa"/>
            <w:vAlign w:val="bottom"/>
          </w:tcPr>
          <w:p>
            <w:pPr>
              <w:spacing w:after="0"/>
              <w:rPr>
                <w:sz w:val="1"/>
                <w:szCs w:val="1"/>
                <w:color w:val="auto"/>
              </w:rPr>
            </w:pPr>
          </w:p>
        </w:tc>
      </w:tr>
      <w:tr>
        <w:trPr>
          <w:trHeight w:val="149"/>
        </w:trPr>
        <w:tc>
          <w:tcPr>
            <w:tcW w:w="3820" w:type="dxa"/>
            <w:vAlign w:val="bottom"/>
            <w:gridSpan w:val="2"/>
          </w:tcPr>
          <w:p>
            <w:pPr>
              <w:spacing w:after="0" w:line="149" w:lineRule="exact"/>
              <w:rPr>
                <w:sz w:val="20"/>
                <w:szCs w:val="20"/>
                <w:color w:val="auto"/>
              </w:rPr>
            </w:pPr>
            <w:r>
              <w:rPr>
                <w:rFonts w:ascii="Arial" w:cs="Arial" w:eastAsia="Arial" w:hAnsi="Arial"/>
                <w:sz w:val="14"/>
                <w:szCs w:val="14"/>
                <w:color w:val="auto"/>
              </w:rPr>
              <w:t>Investments in and amounts due from subsidiaries</w:t>
            </w:r>
          </w:p>
        </w:tc>
        <w:tc>
          <w:tcPr>
            <w:tcW w:w="28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90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780" w:type="dxa"/>
            <w:vAlign w:val="bottom"/>
            <w:vMerge w:val="restart"/>
          </w:tcPr>
          <w:p>
            <w:pPr>
              <w:jc w:val="right"/>
              <w:spacing w:after="0"/>
              <w:rPr>
                <w:sz w:val="20"/>
                <w:szCs w:val="20"/>
                <w:color w:val="auto"/>
              </w:rPr>
            </w:pPr>
            <w:r>
              <w:rPr>
                <w:rFonts w:ascii="Arial" w:cs="Arial" w:eastAsia="Arial" w:hAnsi="Arial"/>
                <w:sz w:val="14"/>
                <w:szCs w:val="14"/>
                <w:b w:val="1"/>
                <w:bCs w:val="1"/>
                <w:color w:val="auto"/>
              </w:rPr>
              <w:t>—</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3800" w:type="dxa"/>
            <w:vAlign w:val="bottom"/>
          </w:tcPr>
          <w:p>
            <w:pPr>
              <w:ind w:left="200"/>
              <w:spacing w:after="0" w:line="133" w:lineRule="exact"/>
              <w:rPr>
                <w:sz w:val="20"/>
                <w:szCs w:val="20"/>
                <w:color w:val="auto"/>
              </w:rPr>
            </w:pPr>
            <w:r>
              <w:rPr>
                <w:rFonts w:ascii="Arial" w:cs="Arial" w:eastAsia="Arial" w:hAnsi="Arial"/>
                <w:sz w:val="14"/>
                <w:szCs w:val="14"/>
                <w:color w:val="auto"/>
              </w:rPr>
              <w:t>eliminated upon consolidation</w:t>
            </w:r>
          </w:p>
        </w:tc>
        <w:tc>
          <w:tcPr>
            <w:tcW w:w="280" w:type="dxa"/>
            <w:vAlign w:val="bottom"/>
          </w:tcPr>
          <w:p>
            <w:pPr>
              <w:spacing w:after="0"/>
              <w:rPr>
                <w:sz w:val="11"/>
                <w:szCs w:val="11"/>
                <w:color w:val="auto"/>
              </w:rPr>
            </w:pPr>
          </w:p>
        </w:tc>
        <w:tc>
          <w:tcPr>
            <w:tcW w:w="660" w:type="dxa"/>
            <w:vAlign w:val="bottom"/>
          </w:tcPr>
          <w:p>
            <w:pPr>
              <w:jc w:val="right"/>
              <w:ind w:right="152"/>
              <w:spacing w:after="0" w:line="133" w:lineRule="exact"/>
              <w:rPr>
                <w:sz w:val="20"/>
                <w:szCs w:val="20"/>
                <w:color w:val="auto"/>
              </w:rPr>
            </w:pPr>
            <w:r>
              <w:rPr>
                <w:rFonts w:ascii="Arial" w:cs="Arial" w:eastAsia="Arial" w:hAnsi="Arial"/>
                <w:sz w:val="14"/>
                <w:szCs w:val="14"/>
                <w:color w:val="auto"/>
                <w:w w:val="97"/>
              </w:rPr>
              <w:t>62,622</w:t>
            </w:r>
          </w:p>
        </w:tc>
        <w:tc>
          <w:tcPr>
            <w:tcW w:w="200" w:type="dxa"/>
            <w:vAlign w:val="bottom"/>
          </w:tcPr>
          <w:p>
            <w:pPr>
              <w:spacing w:after="0"/>
              <w:rPr>
                <w:sz w:val="11"/>
                <w:szCs w:val="11"/>
                <w:color w:val="auto"/>
              </w:rPr>
            </w:pPr>
          </w:p>
        </w:tc>
        <w:tc>
          <w:tcPr>
            <w:tcW w:w="580" w:type="dxa"/>
            <w:vAlign w:val="bottom"/>
          </w:tcPr>
          <w:p>
            <w:pPr>
              <w:jc w:val="right"/>
              <w:ind w:right="112"/>
              <w:spacing w:after="0" w:line="133" w:lineRule="exact"/>
              <w:rPr>
                <w:sz w:val="20"/>
                <w:szCs w:val="20"/>
                <w:color w:val="auto"/>
              </w:rPr>
            </w:pPr>
            <w:r>
              <w:rPr>
                <w:rFonts w:ascii="Arial" w:cs="Arial" w:eastAsia="Arial" w:hAnsi="Arial"/>
                <w:sz w:val="14"/>
                <w:szCs w:val="14"/>
                <w:color w:val="auto"/>
                <w:w w:val="88"/>
              </w:rPr>
              <w:t>31,152</w:t>
            </w:r>
          </w:p>
        </w:tc>
        <w:tc>
          <w:tcPr>
            <w:tcW w:w="240" w:type="dxa"/>
            <w:vAlign w:val="bottom"/>
          </w:tcPr>
          <w:p>
            <w:pPr>
              <w:spacing w:after="0"/>
              <w:rPr>
                <w:sz w:val="11"/>
                <w:szCs w:val="11"/>
                <w:color w:val="auto"/>
              </w:rPr>
            </w:pPr>
          </w:p>
        </w:tc>
        <w:tc>
          <w:tcPr>
            <w:tcW w:w="600" w:type="dxa"/>
            <w:vAlign w:val="bottom"/>
          </w:tcPr>
          <w:p>
            <w:pPr>
              <w:jc w:val="right"/>
              <w:ind w:right="112"/>
              <w:spacing w:after="0" w:line="133" w:lineRule="exact"/>
              <w:rPr>
                <w:sz w:val="20"/>
                <w:szCs w:val="20"/>
                <w:color w:val="auto"/>
              </w:rPr>
            </w:pPr>
            <w:r>
              <w:rPr>
                <w:rFonts w:ascii="Arial" w:cs="Arial" w:eastAsia="Arial" w:hAnsi="Arial"/>
                <w:sz w:val="14"/>
                <w:szCs w:val="14"/>
                <w:color w:val="auto"/>
                <w:w w:val="93"/>
              </w:rPr>
              <w:t>37,757</w:t>
            </w:r>
          </w:p>
        </w:tc>
        <w:tc>
          <w:tcPr>
            <w:tcW w:w="260" w:type="dxa"/>
            <w:vAlign w:val="bottom"/>
          </w:tcPr>
          <w:p>
            <w:pPr>
              <w:spacing w:after="0"/>
              <w:rPr>
                <w:sz w:val="11"/>
                <w:szCs w:val="11"/>
                <w:color w:val="auto"/>
              </w:rPr>
            </w:pPr>
          </w:p>
        </w:tc>
        <w:tc>
          <w:tcPr>
            <w:tcW w:w="700" w:type="dxa"/>
            <w:vAlign w:val="bottom"/>
          </w:tcPr>
          <w:p>
            <w:pPr>
              <w:jc w:val="right"/>
              <w:ind w:right="112"/>
              <w:spacing w:after="0" w:line="133" w:lineRule="exact"/>
              <w:rPr>
                <w:sz w:val="20"/>
                <w:szCs w:val="20"/>
                <w:color w:val="auto"/>
              </w:rPr>
            </w:pPr>
            <w:r>
              <w:rPr>
                <w:rFonts w:ascii="Arial" w:cs="Arial" w:eastAsia="Arial" w:hAnsi="Arial"/>
                <w:sz w:val="14"/>
                <w:szCs w:val="14"/>
                <w:color w:val="auto"/>
              </w:rPr>
              <w:t>41,151</w:t>
            </w:r>
          </w:p>
        </w:tc>
        <w:tc>
          <w:tcPr>
            <w:tcW w:w="260" w:type="dxa"/>
            <w:vAlign w:val="bottom"/>
          </w:tcPr>
          <w:p>
            <w:pPr>
              <w:spacing w:after="0"/>
              <w:rPr>
                <w:sz w:val="11"/>
                <w:szCs w:val="11"/>
                <w:color w:val="auto"/>
              </w:rPr>
            </w:pPr>
          </w:p>
        </w:tc>
        <w:tc>
          <w:tcPr>
            <w:tcW w:w="620" w:type="dxa"/>
            <w:vAlign w:val="bottom"/>
          </w:tcPr>
          <w:p>
            <w:pPr>
              <w:jc w:val="right"/>
              <w:ind w:right="112"/>
              <w:spacing w:after="0" w:line="133" w:lineRule="exact"/>
              <w:rPr>
                <w:sz w:val="20"/>
                <w:szCs w:val="20"/>
                <w:color w:val="auto"/>
              </w:rPr>
            </w:pPr>
            <w:r>
              <w:rPr>
                <w:rFonts w:ascii="Arial" w:cs="Arial" w:eastAsia="Arial" w:hAnsi="Arial"/>
                <w:sz w:val="14"/>
                <w:szCs w:val="14"/>
                <w:color w:val="auto"/>
                <w:w w:val="97"/>
              </w:rPr>
              <w:t>23,984</w:t>
            </w:r>
          </w:p>
        </w:tc>
        <w:tc>
          <w:tcPr>
            <w:tcW w:w="260" w:type="dxa"/>
            <w:vAlign w:val="bottom"/>
          </w:tcPr>
          <w:p>
            <w:pPr>
              <w:spacing w:after="0"/>
              <w:rPr>
                <w:sz w:val="11"/>
                <w:szCs w:val="11"/>
                <w:color w:val="auto"/>
              </w:rPr>
            </w:pPr>
          </w:p>
        </w:tc>
        <w:tc>
          <w:tcPr>
            <w:tcW w:w="820" w:type="dxa"/>
            <w:vAlign w:val="bottom"/>
          </w:tcPr>
          <w:p>
            <w:pPr>
              <w:jc w:val="right"/>
              <w:ind w:right="112"/>
              <w:spacing w:after="0" w:line="133" w:lineRule="exact"/>
              <w:rPr>
                <w:sz w:val="20"/>
                <w:szCs w:val="20"/>
                <w:color w:val="auto"/>
              </w:rPr>
            </w:pPr>
            <w:r>
              <w:rPr>
                <w:rFonts w:ascii="Arial" w:cs="Arial" w:eastAsia="Arial" w:hAnsi="Arial"/>
                <w:sz w:val="14"/>
                <w:szCs w:val="14"/>
                <w:color w:val="auto"/>
              </w:rPr>
              <w:t>1,895</w:t>
            </w:r>
          </w:p>
        </w:tc>
        <w:tc>
          <w:tcPr>
            <w:tcW w:w="240" w:type="dxa"/>
            <w:vAlign w:val="bottom"/>
          </w:tcPr>
          <w:p>
            <w:pPr>
              <w:spacing w:after="0"/>
              <w:rPr>
                <w:sz w:val="11"/>
                <w:szCs w:val="11"/>
                <w:color w:val="auto"/>
              </w:rPr>
            </w:pPr>
          </w:p>
        </w:tc>
        <w:tc>
          <w:tcPr>
            <w:tcW w:w="900" w:type="dxa"/>
            <w:vAlign w:val="bottom"/>
          </w:tcPr>
          <w:p>
            <w:pPr>
              <w:jc w:val="right"/>
              <w:ind w:right="32"/>
              <w:spacing w:after="0" w:line="133" w:lineRule="exact"/>
              <w:rPr>
                <w:sz w:val="20"/>
                <w:szCs w:val="20"/>
                <w:color w:val="auto"/>
              </w:rPr>
            </w:pPr>
            <w:r>
              <w:rPr>
                <w:rFonts w:ascii="Arial" w:cs="Arial" w:eastAsia="Arial" w:hAnsi="Arial"/>
                <w:sz w:val="14"/>
                <w:szCs w:val="14"/>
                <w:color w:val="auto"/>
              </w:rPr>
              <w:t>(198,561)</w:t>
            </w:r>
          </w:p>
        </w:tc>
        <w:tc>
          <w:tcPr>
            <w:tcW w:w="200" w:type="dxa"/>
            <w:vAlign w:val="bottom"/>
          </w:tcPr>
          <w:p>
            <w:pPr>
              <w:spacing w:after="0"/>
              <w:rPr>
                <w:sz w:val="11"/>
                <w:szCs w:val="11"/>
                <w:color w:val="auto"/>
              </w:rPr>
            </w:pPr>
          </w:p>
        </w:tc>
        <w:tc>
          <w:tcPr>
            <w:tcW w:w="780" w:type="dxa"/>
            <w:vAlign w:val="bottom"/>
            <w:vMerge w:val="continue"/>
          </w:tcPr>
          <w:p>
            <w:pPr>
              <w:spacing w:after="0"/>
              <w:rPr>
                <w:sz w:val="11"/>
                <w:szCs w:val="11"/>
                <w:color w:val="auto"/>
              </w:rPr>
            </w:pPr>
          </w:p>
        </w:tc>
        <w:tc>
          <w:tcPr>
            <w:tcW w:w="0" w:type="dxa"/>
            <w:vAlign w:val="bottom"/>
          </w:tcPr>
          <w:p>
            <w:pPr>
              <w:spacing w:after="0"/>
              <w:rPr>
                <w:sz w:val="1"/>
                <w:szCs w:val="1"/>
                <w:color w:val="auto"/>
              </w:rPr>
            </w:pPr>
          </w:p>
        </w:tc>
      </w:tr>
      <w:tr>
        <w:trPr>
          <w:trHeight w:val="149"/>
        </w:trPr>
        <w:tc>
          <w:tcPr>
            <w:tcW w:w="3820" w:type="dxa"/>
            <w:vAlign w:val="bottom"/>
            <w:gridSpan w:val="2"/>
          </w:tcPr>
          <w:p>
            <w:pPr>
              <w:spacing w:after="0" w:line="149" w:lineRule="exact"/>
              <w:rPr>
                <w:sz w:val="20"/>
                <w:szCs w:val="20"/>
                <w:color w:val="auto"/>
              </w:rPr>
            </w:pPr>
            <w:r>
              <w:rPr>
                <w:rFonts w:ascii="Arial" w:cs="Arial" w:eastAsia="Arial" w:hAnsi="Arial"/>
                <w:sz w:val="14"/>
                <w:szCs w:val="14"/>
                <w:color w:val="auto"/>
              </w:rPr>
              <w:t>Property and equipment, net</w:t>
            </w:r>
          </w:p>
        </w:tc>
        <w:tc>
          <w:tcPr>
            <w:tcW w:w="280" w:type="dxa"/>
            <w:vAlign w:val="bottom"/>
          </w:tcPr>
          <w:p>
            <w:pPr>
              <w:spacing w:after="0"/>
              <w:rPr>
                <w:sz w:val="12"/>
                <w:szCs w:val="12"/>
                <w:color w:val="auto"/>
              </w:rPr>
            </w:pPr>
          </w:p>
        </w:tc>
        <w:tc>
          <w:tcPr>
            <w:tcW w:w="660" w:type="dxa"/>
            <w:vAlign w:val="bottom"/>
          </w:tcPr>
          <w:p>
            <w:pPr>
              <w:jc w:val="right"/>
              <w:ind w:right="152"/>
              <w:spacing w:after="0" w:line="149" w:lineRule="exact"/>
              <w:rPr>
                <w:sz w:val="20"/>
                <w:szCs w:val="20"/>
                <w:color w:val="auto"/>
              </w:rPr>
            </w:pPr>
            <w:r>
              <w:rPr>
                <w:rFonts w:ascii="Arial" w:cs="Arial" w:eastAsia="Arial" w:hAnsi="Arial"/>
                <w:sz w:val="14"/>
                <w:szCs w:val="14"/>
                <w:color w:val="auto"/>
              </w:rPr>
              <w:t>17</w:t>
            </w:r>
          </w:p>
        </w:tc>
        <w:tc>
          <w:tcPr>
            <w:tcW w:w="200" w:type="dxa"/>
            <w:vAlign w:val="bottom"/>
          </w:tcPr>
          <w:p>
            <w:pPr>
              <w:spacing w:after="0"/>
              <w:rPr>
                <w:sz w:val="12"/>
                <w:szCs w:val="12"/>
                <w:color w:val="auto"/>
              </w:rPr>
            </w:pPr>
          </w:p>
        </w:tc>
        <w:tc>
          <w:tcPr>
            <w:tcW w:w="580" w:type="dxa"/>
            <w:vAlign w:val="bottom"/>
          </w:tcPr>
          <w:p>
            <w:pPr>
              <w:jc w:val="right"/>
              <w:ind w:right="112"/>
              <w:spacing w:after="0" w:line="149" w:lineRule="exact"/>
              <w:rPr>
                <w:sz w:val="20"/>
                <w:szCs w:val="20"/>
                <w:color w:val="auto"/>
              </w:rPr>
            </w:pPr>
            <w:r>
              <w:rPr>
                <w:rFonts w:ascii="Arial" w:cs="Arial" w:eastAsia="Arial" w:hAnsi="Arial"/>
                <w:sz w:val="14"/>
                <w:szCs w:val="14"/>
                <w:color w:val="auto"/>
              </w:rPr>
              <w:t>—</w:t>
            </w:r>
          </w:p>
        </w:tc>
        <w:tc>
          <w:tcPr>
            <w:tcW w:w="240" w:type="dxa"/>
            <w:vAlign w:val="bottom"/>
          </w:tcPr>
          <w:p>
            <w:pPr>
              <w:spacing w:after="0"/>
              <w:rPr>
                <w:sz w:val="12"/>
                <w:szCs w:val="12"/>
                <w:color w:val="auto"/>
              </w:rPr>
            </w:pPr>
          </w:p>
        </w:tc>
        <w:tc>
          <w:tcPr>
            <w:tcW w:w="600" w:type="dxa"/>
            <w:vAlign w:val="bottom"/>
          </w:tcPr>
          <w:p>
            <w:pPr>
              <w:jc w:val="right"/>
              <w:ind w:right="112"/>
              <w:spacing w:after="0" w:line="149" w:lineRule="exact"/>
              <w:rPr>
                <w:sz w:val="20"/>
                <w:szCs w:val="20"/>
                <w:color w:val="auto"/>
              </w:rPr>
            </w:pPr>
            <w:r>
              <w:rPr>
                <w:rFonts w:ascii="Arial" w:cs="Arial" w:eastAsia="Arial" w:hAnsi="Arial"/>
                <w:sz w:val="14"/>
                <w:szCs w:val="14"/>
                <w:color w:val="auto"/>
              </w:rPr>
              <w:t>1</w:t>
            </w:r>
          </w:p>
        </w:tc>
        <w:tc>
          <w:tcPr>
            <w:tcW w:w="260" w:type="dxa"/>
            <w:vAlign w:val="bottom"/>
          </w:tcPr>
          <w:p>
            <w:pPr>
              <w:spacing w:after="0"/>
              <w:rPr>
                <w:sz w:val="12"/>
                <w:szCs w:val="12"/>
                <w:color w:val="auto"/>
              </w:rPr>
            </w:pPr>
          </w:p>
        </w:tc>
        <w:tc>
          <w:tcPr>
            <w:tcW w:w="700" w:type="dxa"/>
            <w:vAlign w:val="bottom"/>
          </w:tcPr>
          <w:p>
            <w:pPr>
              <w:jc w:val="right"/>
              <w:ind w:right="112"/>
              <w:spacing w:after="0" w:line="149" w:lineRule="exact"/>
              <w:rPr>
                <w:sz w:val="20"/>
                <w:szCs w:val="20"/>
                <w:color w:val="auto"/>
              </w:rPr>
            </w:pPr>
            <w:r>
              <w:rPr>
                <w:rFonts w:ascii="Arial" w:cs="Arial" w:eastAsia="Arial" w:hAnsi="Arial"/>
                <w:sz w:val="14"/>
                <w:szCs w:val="14"/>
                <w:color w:val="auto"/>
              </w:rPr>
              <w:t>—</w:t>
            </w:r>
          </w:p>
        </w:tc>
        <w:tc>
          <w:tcPr>
            <w:tcW w:w="260" w:type="dxa"/>
            <w:vAlign w:val="bottom"/>
          </w:tcPr>
          <w:p>
            <w:pPr>
              <w:spacing w:after="0"/>
              <w:rPr>
                <w:sz w:val="12"/>
                <w:szCs w:val="12"/>
                <w:color w:val="auto"/>
              </w:rPr>
            </w:pPr>
          </w:p>
        </w:tc>
        <w:tc>
          <w:tcPr>
            <w:tcW w:w="620" w:type="dxa"/>
            <w:vAlign w:val="bottom"/>
          </w:tcPr>
          <w:p>
            <w:pPr>
              <w:jc w:val="right"/>
              <w:ind w:right="112"/>
              <w:spacing w:after="0" w:line="149" w:lineRule="exact"/>
              <w:rPr>
                <w:sz w:val="20"/>
                <w:szCs w:val="20"/>
                <w:color w:val="auto"/>
              </w:rPr>
            </w:pPr>
            <w:r>
              <w:rPr>
                <w:rFonts w:ascii="Arial" w:cs="Arial" w:eastAsia="Arial" w:hAnsi="Arial"/>
                <w:sz w:val="14"/>
                <w:szCs w:val="14"/>
                <w:color w:val="auto"/>
              </w:rPr>
              <w:t>—</w:t>
            </w:r>
          </w:p>
        </w:tc>
        <w:tc>
          <w:tcPr>
            <w:tcW w:w="260" w:type="dxa"/>
            <w:vAlign w:val="bottom"/>
          </w:tcPr>
          <w:p>
            <w:pPr>
              <w:spacing w:after="0"/>
              <w:rPr>
                <w:sz w:val="12"/>
                <w:szCs w:val="12"/>
                <w:color w:val="auto"/>
              </w:rPr>
            </w:pPr>
          </w:p>
        </w:tc>
        <w:tc>
          <w:tcPr>
            <w:tcW w:w="820" w:type="dxa"/>
            <w:vAlign w:val="bottom"/>
          </w:tcPr>
          <w:p>
            <w:pPr>
              <w:jc w:val="right"/>
              <w:ind w:right="112"/>
              <w:spacing w:after="0" w:line="149" w:lineRule="exact"/>
              <w:rPr>
                <w:sz w:val="20"/>
                <w:szCs w:val="20"/>
                <w:color w:val="auto"/>
              </w:rPr>
            </w:pPr>
            <w:r>
              <w:rPr>
                <w:rFonts w:ascii="Arial" w:cs="Arial" w:eastAsia="Arial" w:hAnsi="Arial"/>
                <w:sz w:val="14"/>
                <w:szCs w:val="14"/>
                <w:color w:val="auto"/>
              </w:rPr>
              <w:t>21,230</w:t>
            </w:r>
          </w:p>
        </w:tc>
        <w:tc>
          <w:tcPr>
            <w:tcW w:w="240" w:type="dxa"/>
            <w:vAlign w:val="bottom"/>
          </w:tcPr>
          <w:p>
            <w:pPr>
              <w:spacing w:after="0"/>
              <w:rPr>
                <w:sz w:val="12"/>
                <w:szCs w:val="12"/>
                <w:color w:val="auto"/>
              </w:rPr>
            </w:pPr>
          </w:p>
        </w:tc>
        <w:tc>
          <w:tcPr>
            <w:tcW w:w="900" w:type="dxa"/>
            <w:vAlign w:val="bottom"/>
          </w:tcPr>
          <w:p>
            <w:pPr>
              <w:jc w:val="right"/>
              <w:ind w:right="92"/>
              <w:spacing w:after="0" w:line="149" w:lineRule="exact"/>
              <w:rPr>
                <w:sz w:val="20"/>
                <w:szCs w:val="20"/>
                <w:color w:val="auto"/>
              </w:rPr>
            </w:pPr>
            <w:r>
              <w:rPr>
                <w:rFonts w:ascii="Arial" w:cs="Arial" w:eastAsia="Arial" w:hAnsi="Arial"/>
                <w:sz w:val="14"/>
                <w:szCs w:val="14"/>
                <w:color w:val="auto"/>
              </w:rPr>
              <w:t>—</w:t>
            </w:r>
          </w:p>
        </w:tc>
        <w:tc>
          <w:tcPr>
            <w:tcW w:w="200" w:type="dxa"/>
            <w:vAlign w:val="bottom"/>
          </w:tcPr>
          <w:p>
            <w:pPr>
              <w:spacing w:after="0"/>
              <w:rPr>
                <w:sz w:val="12"/>
                <w:szCs w:val="12"/>
                <w:color w:val="auto"/>
              </w:rPr>
            </w:pPr>
          </w:p>
        </w:tc>
        <w:tc>
          <w:tcPr>
            <w:tcW w:w="780" w:type="dxa"/>
            <w:vAlign w:val="bottom"/>
          </w:tcPr>
          <w:p>
            <w:pPr>
              <w:jc w:val="right"/>
              <w:spacing w:after="0" w:line="149" w:lineRule="exact"/>
              <w:rPr>
                <w:sz w:val="20"/>
                <w:szCs w:val="20"/>
                <w:color w:val="auto"/>
              </w:rPr>
            </w:pPr>
            <w:r>
              <w:rPr>
                <w:rFonts w:ascii="Arial" w:cs="Arial" w:eastAsia="Arial" w:hAnsi="Arial"/>
                <w:sz w:val="14"/>
                <w:szCs w:val="14"/>
                <w:b w:val="1"/>
                <w:bCs w:val="1"/>
                <w:color w:val="auto"/>
              </w:rPr>
              <w:t>21,248</w:t>
            </w:r>
          </w:p>
        </w:tc>
        <w:tc>
          <w:tcPr>
            <w:tcW w:w="0" w:type="dxa"/>
            <w:vAlign w:val="bottom"/>
          </w:tcPr>
          <w:p>
            <w:pPr>
              <w:spacing w:after="0"/>
              <w:rPr>
                <w:sz w:val="1"/>
                <w:szCs w:val="1"/>
                <w:color w:val="auto"/>
              </w:rPr>
            </w:pPr>
          </w:p>
        </w:tc>
      </w:tr>
      <w:tr>
        <w:trPr>
          <w:trHeight w:val="149"/>
        </w:trPr>
        <w:tc>
          <w:tcPr>
            <w:tcW w:w="3820" w:type="dxa"/>
            <w:vAlign w:val="bottom"/>
            <w:gridSpan w:val="2"/>
          </w:tcPr>
          <w:p>
            <w:pPr>
              <w:spacing w:after="0" w:line="149" w:lineRule="exact"/>
              <w:rPr>
                <w:sz w:val="20"/>
                <w:szCs w:val="20"/>
                <w:color w:val="auto"/>
              </w:rPr>
            </w:pPr>
            <w:r>
              <w:rPr>
                <w:rFonts w:ascii="Arial" w:cs="Arial" w:eastAsia="Arial" w:hAnsi="Arial"/>
                <w:sz w:val="14"/>
                <w:szCs w:val="14"/>
                <w:color w:val="auto"/>
              </w:rPr>
              <w:t>Franchise rights</w:t>
            </w:r>
          </w:p>
        </w:tc>
        <w:tc>
          <w:tcPr>
            <w:tcW w:w="280" w:type="dxa"/>
            <w:vAlign w:val="bottom"/>
          </w:tcPr>
          <w:p>
            <w:pPr>
              <w:spacing w:after="0"/>
              <w:rPr>
                <w:sz w:val="12"/>
                <w:szCs w:val="12"/>
                <w:color w:val="auto"/>
              </w:rPr>
            </w:pPr>
          </w:p>
        </w:tc>
        <w:tc>
          <w:tcPr>
            <w:tcW w:w="660" w:type="dxa"/>
            <w:vAlign w:val="bottom"/>
          </w:tcPr>
          <w:p>
            <w:pPr>
              <w:jc w:val="right"/>
              <w:ind w:right="152"/>
              <w:spacing w:after="0" w:line="149" w:lineRule="exact"/>
              <w:rPr>
                <w:sz w:val="20"/>
                <w:szCs w:val="20"/>
                <w:color w:val="auto"/>
              </w:rPr>
            </w:pPr>
            <w:r>
              <w:rPr>
                <w:rFonts w:ascii="Arial" w:cs="Arial" w:eastAsia="Arial" w:hAnsi="Arial"/>
                <w:sz w:val="14"/>
                <w:szCs w:val="14"/>
                <w:color w:val="auto"/>
              </w:rPr>
              <w:t>—</w:t>
            </w:r>
          </w:p>
        </w:tc>
        <w:tc>
          <w:tcPr>
            <w:tcW w:w="200" w:type="dxa"/>
            <w:vAlign w:val="bottom"/>
          </w:tcPr>
          <w:p>
            <w:pPr>
              <w:spacing w:after="0"/>
              <w:rPr>
                <w:sz w:val="12"/>
                <w:szCs w:val="12"/>
                <w:color w:val="auto"/>
              </w:rPr>
            </w:pPr>
          </w:p>
        </w:tc>
        <w:tc>
          <w:tcPr>
            <w:tcW w:w="580" w:type="dxa"/>
            <w:vAlign w:val="bottom"/>
          </w:tcPr>
          <w:p>
            <w:pPr>
              <w:jc w:val="right"/>
              <w:ind w:right="112"/>
              <w:spacing w:after="0" w:line="149" w:lineRule="exact"/>
              <w:rPr>
                <w:sz w:val="20"/>
                <w:szCs w:val="20"/>
                <w:color w:val="auto"/>
              </w:rPr>
            </w:pPr>
            <w:r>
              <w:rPr>
                <w:rFonts w:ascii="Arial" w:cs="Arial" w:eastAsia="Arial" w:hAnsi="Arial"/>
                <w:sz w:val="14"/>
                <w:szCs w:val="14"/>
                <w:color w:val="auto"/>
              </w:rPr>
              <w:t>—</w:t>
            </w:r>
          </w:p>
        </w:tc>
        <w:tc>
          <w:tcPr>
            <w:tcW w:w="240" w:type="dxa"/>
            <w:vAlign w:val="bottom"/>
          </w:tcPr>
          <w:p>
            <w:pPr>
              <w:spacing w:after="0"/>
              <w:rPr>
                <w:sz w:val="12"/>
                <w:szCs w:val="12"/>
                <w:color w:val="auto"/>
              </w:rPr>
            </w:pPr>
          </w:p>
        </w:tc>
        <w:tc>
          <w:tcPr>
            <w:tcW w:w="600" w:type="dxa"/>
            <w:vAlign w:val="bottom"/>
          </w:tcPr>
          <w:p>
            <w:pPr>
              <w:jc w:val="right"/>
              <w:ind w:right="112"/>
              <w:spacing w:after="0" w:line="149" w:lineRule="exact"/>
              <w:rPr>
                <w:sz w:val="20"/>
                <w:szCs w:val="20"/>
                <w:color w:val="auto"/>
              </w:rPr>
            </w:pPr>
            <w:r>
              <w:rPr>
                <w:rFonts w:ascii="Arial" w:cs="Arial" w:eastAsia="Arial" w:hAnsi="Arial"/>
                <w:sz w:val="14"/>
                <w:szCs w:val="14"/>
                <w:color w:val="auto"/>
              </w:rPr>
              <w:t>—</w:t>
            </w:r>
          </w:p>
        </w:tc>
        <w:tc>
          <w:tcPr>
            <w:tcW w:w="260" w:type="dxa"/>
            <w:vAlign w:val="bottom"/>
          </w:tcPr>
          <w:p>
            <w:pPr>
              <w:spacing w:after="0"/>
              <w:rPr>
                <w:sz w:val="12"/>
                <w:szCs w:val="12"/>
                <w:color w:val="auto"/>
              </w:rPr>
            </w:pPr>
          </w:p>
        </w:tc>
        <w:tc>
          <w:tcPr>
            <w:tcW w:w="700" w:type="dxa"/>
            <w:vAlign w:val="bottom"/>
          </w:tcPr>
          <w:p>
            <w:pPr>
              <w:jc w:val="right"/>
              <w:ind w:right="112"/>
              <w:spacing w:after="0" w:line="149" w:lineRule="exact"/>
              <w:rPr>
                <w:sz w:val="20"/>
                <w:szCs w:val="20"/>
                <w:color w:val="auto"/>
              </w:rPr>
            </w:pPr>
            <w:r>
              <w:rPr>
                <w:rFonts w:ascii="Arial" w:cs="Arial" w:eastAsia="Arial" w:hAnsi="Arial"/>
                <w:sz w:val="14"/>
                <w:szCs w:val="14"/>
                <w:color w:val="auto"/>
              </w:rPr>
              <w:t>—</w:t>
            </w:r>
          </w:p>
        </w:tc>
        <w:tc>
          <w:tcPr>
            <w:tcW w:w="260" w:type="dxa"/>
            <w:vAlign w:val="bottom"/>
          </w:tcPr>
          <w:p>
            <w:pPr>
              <w:spacing w:after="0"/>
              <w:rPr>
                <w:sz w:val="12"/>
                <w:szCs w:val="12"/>
                <w:color w:val="auto"/>
              </w:rPr>
            </w:pPr>
          </w:p>
        </w:tc>
        <w:tc>
          <w:tcPr>
            <w:tcW w:w="620" w:type="dxa"/>
            <w:vAlign w:val="bottom"/>
          </w:tcPr>
          <w:p>
            <w:pPr>
              <w:jc w:val="right"/>
              <w:ind w:right="112"/>
              <w:spacing w:after="0" w:line="149" w:lineRule="exact"/>
              <w:rPr>
                <w:sz w:val="20"/>
                <w:szCs w:val="20"/>
                <w:color w:val="auto"/>
              </w:rPr>
            </w:pPr>
            <w:r>
              <w:rPr>
                <w:rFonts w:ascii="Arial" w:cs="Arial" w:eastAsia="Arial" w:hAnsi="Arial"/>
                <w:sz w:val="14"/>
                <w:szCs w:val="14"/>
                <w:color w:val="auto"/>
              </w:rPr>
              <w:t>—</w:t>
            </w:r>
          </w:p>
        </w:tc>
        <w:tc>
          <w:tcPr>
            <w:tcW w:w="260" w:type="dxa"/>
            <w:vAlign w:val="bottom"/>
          </w:tcPr>
          <w:p>
            <w:pPr>
              <w:spacing w:after="0"/>
              <w:rPr>
                <w:sz w:val="12"/>
                <w:szCs w:val="12"/>
                <w:color w:val="auto"/>
              </w:rPr>
            </w:pPr>
          </w:p>
        </w:tc>
        <w:tc>
          <w:tcPr>
            <w:tcW w:w="820" w:type="dxa"/>
            <w:vAlign w:val="bottom"/>
          </w:tcPr>
          <w:p>
            <w:pPr>
              <w:jc w:val="right"/>
              <w:ind w:right="112"/>
              <w:spacing w:after="0" w:line="149" w:lineRule="exact"/>
              <w:rPr>
                <w:sz w:val="20"/>
                <w:szCs w:val="20"/>
                <w:color w:val="auto"/>
              </w:rPr>
            </w:pPr>
            <w:r>
              <w:rPr>
                <w:rFonts w:ascii="Arial" w:cs="Arial" w:eastAsia="Arial" w:hAnsi="Arial"/>
                <w:sz w:val="14"/>
                <w:szCs w:val="14"/>
                <w:color w:val="auto"/>
              </w:rPr>
              <w:t>55,927</w:t>
            </w:r>
          </w:p>
        </w:tc>
        <w:tc>
          <w:tcPr>
            <w:tcW w:w="240" w:type="dxa"/>
            <w:vAlign w:val="bottom"/>
          </w:tcPr>
          <w:p>
            <w:pPr>
              <w:spacing w:after="0"/>
              <w:rPr>
                <w:sz w:val="12"/>
                <w:szCs w:val="12"/>
                <w:color w:val="auto"/>
              </w:rPr>
            </w:pPr>
          </w:p>
        </w:tc>
        <w:tc>
          <w:tcPr>
            <w:tcW w:w="900" w:type="dxa"/>
            <w:vAlign w:val="bottom"/>
          </w:tcPr>
          <w:p>
            <w:pPr>
              <w:jc w:val="right"/>
              <w:ind w:right="92"/>
              <w:spacing w:after="0" w:line="149" w:lineRule="exact"/>
              <w:rPr>
                <w:sz w:val="20"/>
                <w:szCs w:val="20"/>
                <w:color w:val="auto"/>
              </w:rPr>
            </w:pPr>
            <w:r>
              <w:rPr>
                <w:rFonts w:ascii="Arial" w:cs="Arial" w:eastAsia="Arial" w:hAnsi="Arial"/>
                <w:sz w:val="14"/>
                <w:szCs w:val="14"/>
                <w:color w:val="auto"/>
              </w:rPr>
              <w:t>—</w:t>
            </w:r>
          </w:p>
        </w:tc>
        <w:tc>
          <w:tcPr>
            <w:tcW w:w="200" w:type="dxa"/>
            <w:vAlign w:val="bottom"/>
          </w:tcPr>
          <w:p>
            <w:pPr>
              <w:spacing w:after="0"/>
              <w:rPr>
                <w:sz w:val="12"/>
                <w:szCs w:val="12"/>
                <w:color w:val="auto"/>
              </w:rPr>
            </w:pPr>
          </w:p>
        </w:tc>
        <w:tc>
          <w:tcPr>
            <w:tcW w:w="780" w:type="dxa"/>
            <w:vAlign w:val="bottom"/>
          </w:tcPr>
          <w:p>
            <w:pPr>
              <w:jc w:val="right"/>
              <w:spacing w:after="0" w:line="149" w:lineRule="exact"/>
              <w:rPr>
                <w:sz w:val="20"/>
                <w:szCs w:val="20"/>
                <w:color w:val="auto"/>
              </w:rPr>
            </w:pPr>
            <w:r>
              <w:rPr>
                <w:rFonts w:ascii="Arial" w:cs="Arial" w:eastAsia="Arial" w:hAnsi="Arial"/>
                <w:sz w:val="14"/>
                <w:szCs w:val="14"/>
                <w:b w:val="1"/>
                <w:bCs w:val="1"/>
                <w:color w:val="auto"/>
              </w:rPr>
              <w:t>55,927</w:t>
            </w:r>
          </w:p>
        </w:tc>
        <w:tc>
          <w:tcPr>
            <w:tcW w:w="0" w:type="dxa"/>
            <w:vAlign w:val="bottom"/>
          </w:tcPr>
          <w:p>
            <w:pPr>
              <w:spacing w:after="0"/>
              <w:rPr>
                <w:sz w:val="1"/>
                <w:szCs w:val="1"/>
                <w:color w:val="auto"/>
              </w:rPr>
            </w:pPr>
          </w:p>
        </w:tc>
      </w:tr>
      <w:tr>
        <w:trPr>
          <w:trHeight w:val="149"/>
        </w:trPr>
        <w:tc>
          <w:tcPr>
            <w:tcW w:w="3820" w:type="dxa"/>
            <w:vAlign w:val="bottom"/>
            <w:gridSpan w:val="2"/>
          </w:tcPr>
          <w:p>
            <w:pPr>
              <w:spacing w:after="0" w:line="149" w:lineRule="exact"/>
              <w:rPr>
                <w:sz w:val="20"/>
                <w:szCs w:val="20"/>
                <w:color w:val="auto"/>
              </w:rPr>
            </w:pPr>
            <w:r>
              <w:rPr>
                <w:rFonts w:ascii="Arial" w:cs="Arial" w:eastAsia="Arial" w:hAnsi="Arial"/>
                <w:sz w:val="14"/>
                <w:szCs w:val="14"/>
                <w:color w:val="auto"/>
              </w:rPr>
              <w:t>Goodwill</w:t>
            </w:r>
          </w:p>
        </w:tc>
        <w:tc>
          <w:tcPr>
            <w:tcW w:w="280" w:type="dxa"/>
            <w:vAlign w:val="bottom"/>
          </w:tcPr>
          <w:p>
            <w:pPr>
              <w:spacing w:after="0"/>
              <w:rPr>
                <w:sz w:val="12"/>
                <w:szCs w:val="12"/>
                <w:color w:val="auto"/>
              </w:rPr>
            </w:pPr>
          </w:p>
        </w:tc>
        <w:tc>
          <w:tcPr>
            <w:tcW w:w="660" w:type="dxa"/>
            <w:vAlign w:val="bottom"/>
          </w:tcPr>
          <w:p>
            <w:pPr>
              <w:jc w:val="right"/>
              <w:ind w:right="152"/>
              <w:spacing w:after="0" w:line="149" w:lineRule="exact"/>
              <w:rPr>
                <w:sz w:val="20"/>
                <w:szCs w:val="20"/>
                <w:color w:val="auto"/>
              </w:rPr>
            </w:pPr>
            <w:r>
              <w:rPr>
                <w:rFonts w:ascii="Arial" w:cs="Arial" w:eastAsia="Arial" w:hAnsi="Arial"/>
                <w:sz w:val="14"/>
                <w:szCs w:val="14"/>
                <w:color w:val="auto"/>
              </w:rPr>
              <w:t>—</w:t>
            </w:r>
          </w:p>
        </w:tc>
        <w:tc>
          <w:tcPr>
            <w:tcW w:w="200" w:type="dxa"/>
            <w:vAlign w:val="bottom"/>
          </w:tcPr>
          <w:p>
            <w:pPr>
              <w:spacing w:after="0"/>
              <w:rPr>
                <w:sz w:val="12"/>
                <w:szCs w:val="12"/>
                <w:color w:val="auto"/>
              </w:rPr>
            </w:pPr>
          </w:p>
        </w:tc>
        <w:tc>
          <w:tcPr>
            <w:tcW w:w="580" w:type="dxa"/>
            <w:vAlign w:val="bottom"/>
          </w:tcPr>
          <w:p>
            <w:pPr>
              <w:jc w:val="right"/>
              <w:ind w:right="112"/>
              <w:spacing w:after="0" w:line="149" w:lineRule="exact"/>
              <w:rPr>
                <w:sz w:val="20"/>
                <w:szCs w:val="20"/>
                <w:color w:val="auto"/>
              </w:rPr>
            </w:pPr>
            <w:r>
              <w:rPr>
                <w:rFonts w:ascii="Arial" w:cs="Arial" w:eastAsia="Arial" w:hAnsi="Arial"/>
                <w:sz w:val="14"/>
                <w:szCs w:val="14"/>
                <w:color w:val="auto"/>
              </w:rPr>
              <w:t>—</w:t>
            </w:r>
          </w:p>
        </w:tc>
        <w:tc>
          <w:tcPr>
            <w:tcW w:w="240" w:type="dxa"/>
            <w:vAlign w:val="bottom"/>
          </w:tcPr>
          <w:p>
            <w:pPr>
              <w:spacing w:after="0"/>
              <w:rPr>
                <w:sz w:val="12"/>
                <w:szCs w:val="12"/>
                <w:color w:val="auto"/>
              </w:rPr>
            </w:pPr>
          </w:p>
        </w:tc>
        <w:tc>
          <w:tcPr>
            <w:tcW w:w="600" w:type="dxa"/>
            <w:vAlign w:val="bottom"/>
          </w:tcPr>
          <w:p>
            <w:pPr>
              <w:jc w:val="right"/>
              <w:ind w:right="112"/>
              <w:spacing w:after="0" w:line="149" w:lineRule="exact"/>
              <w:rPr>
                <w:sz w:val="20"/>
                <w:szCs w:val="20"/>
                <w:color w:val="auto"/>
              </w:rPr>
            </w:pPr>
            <w:r>
              <w:rPr>
                <w:rFonts w:ascii="Arial" w:cs="Arial" w:eastAsia="Arial" w:hAnsi="Arial"/>
                <w:sz w:val="14"/>
                <w:szCs w:val="14"/>
                <w:color w:val="auto"/>
              </w:rPr>
              <w:t>—</w:t>
            </w:r>
          </w:p>
        </w:tc>
        <w:tc>
          <w:tcPr>
            <w:tcW w:w="260" w:type="dxa"/>
            <w:vAlign w:val="bottom"/>
          </w:tcPr>
          <w:p>
            <w:pPr>
              <w:spacing w:after="0"/>
              <w:rPr>
                <w:sz w:val="12"/>
                <w:szCs w:val="12"/>
                <w:color w:val="auto"/>
              </w:rPr>
            </w:pPr>
          </w:p>
        </w:tc>
        <w:tc>
          <w:tcPr>
            <w:tcW w:w="700" w:type="dxa"/>
            <w:vAlign w:val="bottom"/>
          </w:tcPr>
          <w:p>
            <w:pPr>
              <w:jc w:val="right"/>
              <w:ind w:right="112"/>
              <w:spacing w:after="0" w:line="149" w:lineRule="exact"/>
              <w:rPr>
                <w:sz w:val="20"/>
                <w:szCs w:val="20"/>
                <w:color w:val="auto"/>
              </w:rPr>
            </w:pPr>
            <w:r>
              <w:rPr>
                <w:rFonts w:ascii="Arial" w:cs="Arial" w:eastAsia="Arial" w:hAnsi="Arial"/>
                <w:sz w:val="14"/>
                <w:szCs w:val="14"/>
                <w:color w:val="auto"/>
              </w:rPr>
              <w:t>—</w:t>
            </w:r>
          </w:p>
        </w:tc>
        <w:tc>
          <w:tcPr>
            <w:tcW w:w="260" w:type="dxa"/>
            <w:vAlign w:val="bottom"/>
          </w:tcPr>
          <w:p>
            <w:pPr>
              <w:spacing w:after="0"/>
              <w:rPr>
                <w:sz w:val="12"/>
                <w:szCs w:val="12"/>
                <w:color w:val="auto"/>
              </w:rPr>
            </w:pPr>
          </w:p>
        </w:tc>
        <w:tc>
          <w:tcPr>
            <w:tcW w:w="620" w:type="dxa"/>
            <w:vAlign w:val="bottom"/>
          </w:tcPr>
          <w:p>
            <w:pPr>
              <w:jc w:val="right"/>
              <w:ind w:right="112"/>
              <w:spacing w:after="0" w:line="149" w:lineRule="exact"/>
              <w:rPr>
                <w:sz w:val="20"/>
                <w:szCs w:val="20"/>
                <w:color w:val="auto"/>
              </w:rPr>
            </w:pPr>
            <w:r>
              <w:rPr>
                <w:rFonts w:ascii="Arial" w:cs="Arial" w:eastAsia="Arial" w:hAnsi="Arial"/>
                <w:sz w:val="14"/>
                <w:szCs w:val="14"/>
                <w:color w:val="auto"/>
              </w:rPr>
              <w:t>—</w:t>
            </w:r>
          </w:p>
        </w:tc>
        <w:tc>
          <w:tcPr>
            <w:tcW w:w="260" w:type="dxa"/>
            <w:vAlign w:val="bottom"/>
          </w:tcPr>
          <w:p>
            <w:pPr>
              <w:spacing w:after="0"/>
              <w:rPr>
                <w:sz w:val="12"/>
                <w:szCs w:val="12"/>
                <w:color w:val="auto"/>
              </w:rPr>
            </w:pPr>
          </w:p>
        </w:tc>
        <w:tc>
          <w:tcPr>
            <w:tcW w:w="820" w:type="dxa"/>
            <w:vAlign w:val="bottom"/>
          </w:tcPr>
          <w:p>
            <w:pPr>
              <w:jc w:val="right"/>
              <w:ind w:right="112"/>
              <w:spacing w:after="0" w:line="149" w:lineRule="exact"/>
              <w:rPr>
                <w:sz w:val="20"/>
                <w:szCs w:val="20"/>
                <w:color w:val="auto"/>
              </w:rPr>
            </w:pPr>
            <w:r>
              <w:rPr>
                <w:rFonts w:ascii="Arial" w:cs="Arial" w:eastAsia="Arial" w:hAnsi="Arial"/>
                <w:sz w:val="14"/>
                <w:szCs w:val="14"/>
                <w:color w:val="auto"/>
              </w:rPr>
              <w:t>13,768</w:t>
            </w:r>
          </w:p>
        </w:tc>
        <w:tc>
          <w:tcPr>
            <w:tcW w:w="240" w:type="dxa"/>
            <w:vAlign w:val="bottom"/>
          </w:tcPr>
          <w:p>
            <w:pPr>
              <w:spacing w:after="0"/>
              <w:rPr>
                <w:sz w:val="12"/>
                <w:szCs w:val="12"/>
                <w:color w:val="auto"/>
              </w:rPr>
            </w:pPr>
          </w:p>
        </w:tc>
        <w:tc>
          <w:tcPr>
            <w:tcW w:w="900" w:type="dxa"/>
            <w:vAlign w:val="bottom"/>
          </w:tcPr>
          <w:p>
            <w:pPr>
              <w:jc w:val="right"/>
              <w:ind w:right="92"/>
              <w:spacing w:after="0" w:line="149" w:lineRule="exact"/>
              <w:rPr>
                <w:sz w:val="20"/>
                <w:szCs w:val="20"/>
                <w:color w:val="auto"/>
              </w:rPr>
            </w:pPr>
            <w:r>
              <w:rPr>
                <w:rFonts w:ascii="Arial" w:cs="Arial" w:eastAsia="Arial" w:hAnsi="Arial"/>
                <w:sz w:val="14"/>
                <w:szCs w:val="14"/>
                <w:color w:val="auto"/>
              </w:rPr>
              <w:t>—</w:t>
            </w:r>
          </w:p>
        </w:tc>
        <w:tc>
          <w:tcPr>
            <w:tcW w:w="200" w:type="dxa"/>
            <w:vAlign w:val="bottom"/>
          </w:tcPr>
          <w:p>
            <w:pPr>
              <w:spacing w:after="0"/>
              <w:rPr>
                <w:sz w:val="12"/>
                <w:szCs w:val="12"/>
                <w:color w:val="auto"/>
              </w:rPr>
            </w:pPr>
          </w:p>
        </w:tc>
        <w:tc>
          <w:tcPr>
            <w:tcW w:w="780" w:type="dxa"/>
            <w:vAlign w:val="bottom"/>
          </w:tcPr>
          <w:p>
            <w:pPr>
              <w:jc w:val="right"/>
              <w:spacing w:after="0" w:line="149" w:lineRule="exact"/>
              <w:rPr>
                <w:sz w:val="20"/>
                <w:szCs w:val="20"/>
                <w:color w:val="auto"/>
              </w:rPr>
            </w:pPr>
            <w:r>
              <w:rPr>
                <w:rFonts w:ascii="Arial" w:cs="Arial" w:eastAsia="Arial" w:hAnsi="Arial"/>
                <w:sz w:val="14"/>
                <w:szCs w:val="14"/>
                <w:b w:val="1"/>
                <w:bCs w:val="1"/>
                <w:color w:val="auto"/>
              </w:rPr>
              <w:t>13,768</w:t>
            </w:r>
          </w:p>
        </w:tc>
        <w:tc>
          <w:tcPr>
            <w:tcW w:w="0" w:type="dxa"/>
            <w:vAlign w:val="bottom"/>
          </w:tcPr>
          <w:p>
            <w:pPr>
              <w:spacing w:after="0"/>
              <w:rPr>
                <w:sz w:val="1"/>
                <w:szCs w:val="1"/>
                <w:color w:val="auto"/>
              </w:rPr>
            </w:pPr>
          </w:p>
        </w:tc>
      </w:tr>
      <w:tr>
        <w:trPr>
          <w:trHeight w:val="149"/>
        </w:trPr>
        <w:tc>
          <w:tcPr>
            <w:tcW w:w="3820" w:type="dxa"/>
            <w:vAlign w:val="bottom"/>
            <w:gridSpan w:val="2"/>
          </w:tcPr>
          <w:p>
            <w:pPr>
              <w:spacing w:after="0" w:line="149" w:lineRule="exact"/>
              <w:rPr>
                <w:sz w:val="20"/>
                <w:szCs w:val="20"/>
                <w:color w:val="auto"/>
              </w:rPr>
            </w:pPr>
            <w:r>
              <w:rPr>
                <w:rFonts w:ascii="Arial" w:cs="Arial" w:eastAsia="Arial" w:hAnsi="Arial"/>
                <w:sz w:val="14"/>
                <w:szCs w:val="14"/>
                <w:color w:val="auto"/>
              </w:rPr>
              <w:t>Other intangible assets, net</w:t>
            </w:r>
          </w:p>
        </w:tc>
        <w:tc>
          <w:tcPr>
            <w:tcW w:w="280" w:type="dxa"/>
            <w:vAlign w:val="bottom"/>
          </w:tcPr>
          <w:p>
            <w:pPr>
              <w:spacing w:after="0"/>
              <w:rPr>
                <w:sz w:val="12"/>
                <w:szCs w:val="12"/>
                <w:color w:val="auto"/>
              </w:rPr>
            </w:pPr>
          </w:p>
        </w:tc>
        <w:tc>
          <w:tcPr>
            <w:tcW w:w="660" w:type="dxa"/>
            <w:vAlign w:val="bottom"/>
          </w:tcPr>
          <w:p>
            <w:pPr>
              <w:jc w:val="right"/>
              <w:ind w:right="152"/>
              <w:spacing w:after="0" w:line="149" w:lineRule="exact"/>
              <w:rPr>
                <w:sz w:val="20"/>
                <w:szCs w:val="20"/>
                <w:color w:val="auto"/>
              </w:rPr>
            </w:pPr>
            <w:r>
              <w:rPr>
                <w:rFonts w:ascii="Arial" w:cs="Arial" w:eastAsia="Arial" w:hAnsi="Arial"/>
                <w:sz w:val="14"/>
                <w:szCs w:val="14"/>
                <w:color w:val="auto"/>
              </w:rPr>
              <w:t>—</w:t>
            </w:r>
          </w:p>
        </w:tc>
        <w:tc>
          <w:tcPr>
            <w:tcW w:w="200" w:type="dxa"/>
            <w:vAlign w:val="bottom"/>
          </w:tcPr>
          <w:p>
            <w:pPr>
              <w:spacing w:after="0"/>
              <w:rPr>
                <w:sz w:val="12"/>
                <w:szCs w:val="12"/>
                <w:color w:val="auto"/>
              </w:rPr>
            </w:pPr>
          </w:p>
        </w:tc>
        <w:tc>
          <w:tcPr>
            <w:tcW w:w="580" w:type="dxa"/>
            <w:vAlign w:val="bottom"/>
          </w:tcPr>
          <w:p>
            <w:pPr>
              <w:jc w:val="right"/>
              <w:ind w:right="112"/>
              <w:spacing w:after="0" w:line="149" w:lineRule="exact"/>
              <w:rPr>
                <w:sz w:val="20"/>
                <w:szCs w:val="20"/>
                <w:color w:val="auto"/>
              </w:rPr>
            </w:pPr>
            <w:r>
              <w:rPr>
                <w:rFonts w:ascii="Arial" w:cs="Arial" w:eastAsia="Arial" w:hAnsi="Arial"/>
                <w:sz w:val="14"/>
                <w:szCs w:val="14"/>
                <w:color w:val="auto"/>
              </w:rPr>
              <w:t>—</w:t>
            </w:r>
          </w:p>
        </w:tc>
        <w:tc>
          <w:tcPr>
            <w:tcW w:w="240" w:type="dxa"/>
            <w:vAlign w:val="bottom"/>
          </w:tcPr>
          <w:p>
            <w:pPr>
              <w:spacing w:after="0"/>
              <w:rPr>
                <w:sz w:val="12"/>
                <w:szCs w:val="12"/>
                <w:color w:val="auto"/>
              </w:rPr>
            </w:pPr>
          </w:p>
        </w:tc>
        <w:tc>
          <w:tcPr>
            <w:tcW w:w="600" w:type="dxa"/>
            <w:vAlign w:val="bottom"/>
          </w:tcPr>
          <w:p>
            <w:pPr>
              <w:jc w:val="right"/>
              <w:ind w:right="112"/>
              <w:spacing w:after="0" w:line="149" w:lineRule="exact"/>
              <w:rPr>
                <w:sz w:val="20"/>
                <w:szCs w:val="20"/>
                <w:color w:val="auto"/>
              </w:rPr>
            </w:pPr>
            <w:r>
              <w:rPr>
                <w:rFonts w:ascii="Arial" w:cs="Arial" w:eastAsia="Arial" w:hAnsi="Arial"/>
                <w:sz w:val="14"/>
                <w:szCs w:val="14"/>
                <w:color w:val="auto"/>
              </w:rPr>
              <w:t>—</w:t>
            </w:r>
          </w:p>
        </w:tc>
        <w:tc>
          <w:tcPr>
            <w:tcW w:w="260" w:type="dxa"/>
            <w:vAlign w:val="bottom"/>
          </w:tcPr>
          <w:p>
            <w:pPr>
              <w:spacing w:after="0"/>
              <w:rPr>
                <w:sz w:val="12"/>
                <w:szCs w:val="12"/>
                <w:color w:val="auto"/>
              </w:rPr>
            </w:pPr>
          </w:p>
        </w:tc>
        <w:tc>
          <w:tcPr>
            <w:tcW w:w="700" w:type="dxa"/>
            <w:vAlign w:val="bottom"/>
          </w:tcPr>
          <w:p>
            <w:pPr>
              <w:jc w:val="right"/>
              <w:ind w:right="112"/>
              <w:spacing w:after="0" w:line="149" w:lineRule="exact"/>
              <w:rPr>
                <w:sz w:val="20"/>
                <w:szCs w:val="20"/>
                <w:color w:val="auto"/>
              </w:rPr>
            </w:pPr>
            <w:r>
              <w:rPr>
                <w:rFonts w:ascii="Arial" w:cs="Arial" w:eastAsia="Arial" w:hAnsi="Arial"/>
                <w:sz w:val="14"/>
                <w:szCs w:val="14"/>
                <w:color w:val="auto"/>
              </w:rPr>
              <w:t>—</w:t>
            </w:r>
          </w:p>
        </w:tc>
        <w:tc>
          <w:tcPr>
            <w:tcW w:w="260" w:type="dxa"/>
            <w:vAlign w:val="bottom"/>
          </w:tcPr>
          <w:p>
            <w:pPr>
              <w:spacing w:after="0"/>
              <w:rPr>
                <w:sz w:val="12"/>
                <w:szCs w:val="12"/>
                <w:color w:val="auto"/>
              </w:rPr>
            </w:pPr>
          </w:p>
        </w:tc>
        <w:tc>
          <w:tcPr>
            <w:tcW w:w="620" w:type="dxa"/>
            <w:vAlign w:val="bottom"/>
          </w:tcPr>
          <w:p>
            <w:pPr>
              <w:jc w:val="right"/>
              <w:ind w:right="112"/>
              <w:spacing w:after="0" w:line="149" w:lineRule="exact"/>
              <w:rPr>
                <w:sz w:val="20"/>
                <w:szCs w:val="20"/>
                <w:color w:val="auto"/>
              </w:rPr>
            </w:pPr>
            <w:r>
              <w:rPr>
                <w:rFonts w:ascii="Arial" w:cs="Arial" w:eastAsia="Arial" w:hAnsi="Arial"/>
                <w:sz w:val="14"/>
                <w:szCs w:val="14"/>
                <w:color w:val="auto"/>
              </w:rPr>
              <w:t>—</w:t>
            </w:r>
          </w:p>
        </w:tc>
        <w:tc>
          <w:tcPr>
            <w:tcW w:w="260" w:type="dxa"/>
            <w:vAlign w:val="bottom"/>
          </w:tcPr>
          <w:p>
            <w:pPr>
              <w:spacing w:after="0"/>
              <w:rPr>
                <w:sz w:val="12"/>
                <w:szCs w:val="12"/>
                <w:color w:val="auto"/>
              </w:rPr>
            </w:pPr>
          </w:p>
        </w:tc>
        <w:tc>
          <w:tcPr>
            <w:tcW w:w="820" w:type="dxa"/>
            <w:vAlign w:val="bottom"/>
          </w:tcPr>
          <w:p>
            <w:pPr>
              <w:jc w:val="right"/>
              <w:ind w:right="112"/>
              <w:spacing w:after="0" w:line="149" w:lineRule="exact"/>
              <w:rPr>
                <w:sz w:val="20"/>
                <w:szCs w:val="20"/>
                <w:color w:val="auto"/>
              </w:rPr>
            </w:pPr>
            <w:r>
              <w:rPr>
                <w:rFonts w:ascii="Arial" w:cs="Arial" w:eastAsia="Arial" w:hAnsi="Arial"/>
                <w:sz w:val="14"/>
                <w:szCs w:val="14"/>
                <w:color w:val="auto"/>
              </w:rPr>
              <w:t>4,881</w:t>
            </w:r>
          </w:p>
        </w:tc>
        <w:tc>
          <w:tcPr>
            <w:tcW w:w="240" w:type="dxa"/>
            <w:vAlign w:val="bottom"/>
          </w:tcPr>
          <w:p>
            <w:pPr>
              <w:spacing w:after="0"/>
              <w:rPr>
                <w:sz w:val="12"/>
                <w:szCs w:val="12"/>
                <w:color w:val="auto"/>
              </w:rPr>
            </w:pPr>
          </w:p>
        </w:tc>
        <w:tc>
          <w:tcPr>
            <w:tcW w:w="900" w:type="dxa"/>
            <w:vAlign w:val="bottom"/>
          </w:tcPr>
          <w:p>
            <w:pPr>
              <w:jc w:val="right"/>
              <w:ind w:right="92"/>
              <w:spacing w:after="0" w:line="149" w:lineRule="exact"/>
              <w:rPr>
                <w:sz w:val="20"/>
                <w:szCs w:val="20"/>
                <w:color w:val="auto"/>
              </w:rPr>
            </w:pPr>
            <w:r>
              <w:rPr>
                <w:rFonts w:ascii="Arial" w:cs="Arial" w:eastAsia="Arial" w:hAnsi="Arial"/>
                <w:sz w:val="14"/>
                <w:szCs w:val="14"/>
                <w:color w:val="auto"/>
              </w:rPr>
              <w:t>—</w:t>
            </w:r>
          </w:p>
        </w:tc>
        <w:tc>
          <w:tcPr>
            <w:tcW w:w="200" w:type="dxa"/>
            <w:vAlign w:val="bottom"/>
          </w:tcPr>
          <w:p>
            <w:pPr>
              <w:spacing w:after="0"/>
              <w:rPr>
                <w:sz w:val="12"/>
                <w:szCs w:val="12"/>
                <w:color w:val="auto"/>
              </w:rPr>
            </w:pPr>
          </w:p>
        </w:tc>
        <w:tc>
          <w:tcPr>
            <w:tcW w:w="780" w:type="dxa"/>
            <w:vAlign w:val="bottom"/>
          </w:tcPr>
          <w:p>
            <w:pPr>
              <w:jc w:val="right"/>
              <w:spacing w:after="0" w:line="149" w:lineRule="exact"/>
              <w:rPr>
                <w:sz w:val="20"/>
                <w:szCs w:val="20"/>
                <w:color w:val="auto"/>
              </w:rPr>
            </w:pPr>
            <w:r>
              <w:rPr>
                <w:rFonts w:ascii="Arial" w:cs="Arial" w:eastAsia="Arial" w:hAnsi="Arial"/>
                <w:sz w:val="14"/>
                <w:szCs w:val="14"/>
                <w:b w:val="1"/>
                <w:bCs w:val="1"/>
                <w:color w:val="auto"/>
              </w:rPr>
              <w:t>4,881</w:t>
            </w:r>
          </w:p>
        </w:tc>
        <w:tc>
          <w:tcPr>
            <w:tcW w:w="0" w:type="dxa"/>
            <w:vAlign w:val="bottom"/>
          </w:tcPr>
          <w:p>
            <w:pPr>
              <w:spacing w:after="0"/>
              <w:rPr>
                <w:sz w:val="1"/>
                <w:szCs w:val="1"/>
                <w:color w:val="auto"/>
              </w:rPr>
            </w:pPr>
          </w:p>
        </w:tc>
      </w:tr>
      <w:tr>
        <w:trPr>
          <w:trHeight w:val="165"/>
        </w:trPr>
        <w:tc>
          <w:tcPr>
            <w:tcW w:w="3820" w:type="dxa"/>
            <w:vAlign w:val="bottom"/>
            <w:gridSpan w:val="2"/>
          </w:tcPr>
          <w:p>
            <w:pPr>
              <w:spacing w:after="0"/>
              <w:rPr>
                <w:sz w:val="20"/>
                <w:szCs w:val="20"/>
                <w:color w:val="auto"/>
              </w:rPr>
            </w:pPr>
            <w:r>
              <w:rPr>
                <w:rFonts w:ascii="Arial" w:cs="Arial" w:eastAsia="Arial" w:hAnsi="Arial"/>
                <w:sz w:val="14"/>
                <w:szCs w:val="14"/>
                <w:color w:val="auto"/>
              </w:rPr>
              <w:t>Other noncurrent assets, net</w:t>
            </w:r>
          </w:p>
        </w:tc>
        <w:tc>
          <w:tcPr>
            <w:tcW w:w="280" w:type="dxa"/>
            <w:vAlign w:val="bottom"/>
          </w:tcPr>
          <w:p>
            <w:pPr>
              <w:spacing w:after="0"/>
              <w:rPr>
                <w:sz w:val="14"/>
                <w:szCs w:val="14"/>
                <w:color w:val="auto"/>
              </w:rPr>
            </w:pPr>
          </w:p>
        </w:tc>
        <w:tc>
          <w:tcPr>
            <w:tcW w:w="660" w:type="dxa"/>
            <w:vAlign w:val="bottom"/>
          </w:tcPr>
          <w:p>
            <w:pPr>
              <w:jc w:val="right"/>
              <w:ind w:right="152"/>
              <w:spacing w:after="0"/>
              <w:rPr>
                <w:sz w:val="20"/>
                <w:szCs w:val="20"/>
                <w:color w:val="auto"/>
              </w:rPr>
            </w:pPr>
            <w:r>
              <w:rPr>
                <w:rFonts w:ascii="Arial" w:cs="Arial" w:eastAsia="Arial" w:hAnsi="Arial"/>
                <w:sz w:val="14"/>
                <w:szCs w:val="14"/>
                <w:color w:val="auto"/>
              </w:rPr>
              <w:t>176</w:t>
            </w:r>
          </w:p>
        </w:tc>
        <w:tc>
          <w:tcPr>
            <w:tcW w:w="200" w:type="dxa"/>
            <w:vAlign w:val="bottom"/>
          </w:tcPr>
          <w:p>
            <w:pPr>
              <w:spacing w:after="0"/>
              <w:rPr>
                <w:sz w:val="14"/>
                <w:szCs w:val="14"/>
                <w:color w:val="auto"/>
              </w:rPr>
            </w:pPr>
          </w:p>
        </w:tc>
        <w:tc>
          <w:tcPr>
            <w:tcW w:w="580" w:type="dxa"/>
            <w:vAlign w:val="bottom"/>
          </w:tcPr>
          <w:p>
            <w:pPr>
              <w:jc w:val="right"/>
              <w:ind w:right="112"/>
              <w:spacing w:after="0"/>
              <w:rPr>
                <w:sz w:val="20"/>
                <w:szCs w:val="20"/>
                <w:color w:val="auto"/>
              </w:rPr>
            </w:pPr>
            <w:r>
              <w:rPr>
                <w:rFonts w:ascii="Arial" w:cs="Arial" w:eastAsia="Arial" w:hAnsi="Arial"/>
                <w:sz w:val="14"/>
                <w:szCs w:val="14"/>
                <w:color w:val="auto"/>
              </w:rPr>
              <w:t>16</w:t>
            </w:r>
          </w:p>
        </w:tc>
        <w:tc>
          <w:tcPr>
            <w:tcW w:w="240" w:type="dxa"/>
            <w:vAlign w:val="bottom"/>
          </w:tcPr>
          <w:p>
            <w:pPr>
              <w:spacing w:after="0"/>
              <w:rPr>
                <w:sz w:val="14"/>
                <w:szCs w:val="14"/>
                <w:color w:val="auto"/>
              </w:rPr>
            </w:pPr>
          </w:p>
        </w:tc>
        <w:tc>
          <w:tcPr>
            <w:tcW w:w="600" w:type="dxa"/>
            <w:vAlign w:val="bottom"/>
          </w:tcPr>
          <w:p>
            <w:pPr>
              <w:jc w:val="right"/>
              <w:ind w:right="112"/>
              <w:spacing w:after="0"/>
              <w:rPr>
                <w:sz w:val="20"/>
                <w:szCs w:val="20"/>
                <w:color w:val="auto"/>
              </w:rPr>
            </w:pPr>
            <w:r>
              <w:rPr>
                <w:rFonts w:ascii="Arial" w:cs="Arial" w:eastAsia="Arial" w:hAnsi="Arial"/>
                <w:sz w:val="14"/>
                <w:szCs w:val="14"/>
                <w:color w:val="auto"/>
              </w:rPr>
              <w:t>20</w:t>
            </w:r>
          </w:p>
        </w:tc>
        <w:tc>
          <w:tcPr>
            <w:tcW w:w="260" w:type="dxa"/>
            <w:vAlign w:val="bottom"/>
          </w:tcPr>
          <w:p>
            <w:pPr>
              <w:spacing w:after="0"/>
              <w:rPr>
                <w:sz w:val="14"/>
                <w:szCs w:val="14"/>
                <w:color w:val="auto"/>
              </w:rPr>
            </w:pPr>
          </w:p>
        </w:tc>
        <w:tc>
          <w:tcPr>
            <w:tcW w:w="700" w:type="dxa"/>
            <w:vAlign w:val="bottom"/>
          </w:tcPr>
          <w:p>
            <w:pPr>
              <w:jc w:val="right"/>
              <w:ind w:right="112"/>
              <w:spacing w:after="0"/>
              <w:rPr>
                <w:sz w:val="20"/>
                <w:szCs w:val="20"/>
                <w:color w:val="auto"/>
              </w:rPr>
            </w:pPr>
            <w:r>
              <w:rPr>
                <w:rFonts w:ascii="Arial" w:cs="Arial" w:eastAsia="Arial" w:hAnsi="Arial"/>
                <w:sz w:val="14"/>
                <w:szCs w:val="14"/>
                <w:color w:val="auto"/>
              </w:rPr>
              <w:t>—</w:t>
            </w:r>
          </w:p>
        </w:tc>
        <w:tc>
          <w:tcPr>
            <w:tcW w:w="260" w:type="dxa"/>
            <w:vAlign w:val="bottom"/>
          </w:tcPr>
          <w:p>
            <w:pPr>
              <w:spacing w:after="0"/>
              <w:rPr>
                <w:sz w:val="14"/>
                <w:szCs w:val="14"/>
                <w:color w:val="auto"/>
              </w:rPr>
            </w:pPr>
          </w:p>
        </w:tc>
        <w:tc>
          <w:tcPr>
            <w:tcW w:w="620" w:type="dxa"/>
            <w:vAlign w:val="bottom"/>
          </w:tcPr>
          <w:p>
            <w:pPr>
              <w:jc w:val="right"/>
              <w:ind w:right="112"/>
              <w:spacing w:after="0"/>
              <w:rPr>
                <w:sz w:val="20"/>
                <w:szCs w:val="20"/>
                <w:color w:val="auto"/>
              </w:rPr>
            </w:pPr>
            <w:r>
              <w:rPr>
                <w:rFonts w:ascii="Arial" w:cs="Arial" w:eastAsia="Arial" w:hAnsi="Arial"/>
                <w:sz w:val="14"/>
                <w:szCs w:val="14"/>
                <w:color w:val="auto"/>
              </w:rPr>
              <w:t>31</w:t>
            </w:r>
          </w:p>
        </w:tc>
        <w:tc>
          <w:tcPr>
            <w:tcW w:w="260" w:type="dxa"/>
            <w:vAlign w:val="bottom"/>
          </w:tcPr>
          <w:p>
            <w:pPr>
              <w:spacing w:after="0"/>
              <w:rPr>
                <w:sz w:val="14"/>
                <w:szCs w:val="14"/>
                <w:color w:val="auto"/>
              </w:rPr>
            </w:pPr>
          </w:p>
        </w:tc>
        <w:tc>
          <w:tcPr>
            <w:tcW w:w="820" w:type="dxa"/>
            <w:vAlign w:val="bottom"/>
          </w:tcPr>
          <w:p>
            <w:pPr>
              <w:jc w:val="right"/>
              <w:ind w:right="112"/>
              <w:spacing w:after="0"/>
              <w:rPr>
                <w:sz w:val="20"/>
                <w:szCs w:val="20"/>
                <w:color w:val="auto"/>
              </w:rPr>
            </w:pPr>
            <w:r>
              <w:rPr>
                <w:rFonts w:ascii="Arial" w:cs="Arial" w:eastAsia="Arial" w:hAnsi="Arial"/>
                <w:sz w:val="14"/>
                <w:szCs w:val="14"/>
                <w:color w:val="auto"/>
              </w:rPr>
              <w:t>289</w:t>
            </w:r>
          </w:p>
        </w:tc>
        <w:tc>
          <w:tcPr>
            <w:tcW w:w="240" w:type="dxa"/>
            <w:vAlign w:val="bottom"/>
          </w:tcPr>
          <w:p>
            <w:pPr>
              <w:spacing w:after="0"/>
              <w:rPr>
                <w:sz w:val="14"/>
                <w:szCs w:val="14"/>
                <w:color w:val="auto"/>
              </w:rPr>
            </w:pPr>
          </w:p>
        </w:tc>
        <w:tc>
          <w:tcPr>
            <w:tcW w:w="900" w:type="dxa"/>
            <w:vAlign w:val="bottom"/>
          </w:tcPr>
          <w:p>
            <w:pPr>
              <w:jc w:val="right"/>
              <w:ind w:right="92"/>
              <w:spacing w:after="0"/>
              <w:rPr>
                <w:sz w:val="20"/>
                <w:szCs w:val="20"/>
                <w:color w:val="auto"/>
              </w:rPr>
            </w:pPr>
            <w:r>
              <w:rPr>
                <w:rFonts w:ascii="Arial" w:cs="Arial" w:eastAsia="Arial" w:hAnsi="Arial"/>
                <w:sz w:val="14"/>
                <w:szCs w:val="14"/>
                <w:color w:val="auto"/>
              </w:rPr>
              <w:t>—</w:t>
            </w:r>
          </w:p>
        </w:tc>
        <w:tc>
          <w:tcPr>
            <w:tcW w:w="200" w:type="dxa"/>
            <w:vAlign w:val="bottom"/>
          </w:tcPr>
          <w:p>
            <w:pPr>
              <w:spacing w:after="0"/>
              <w:rPr>
                <w:sz w:val="14"/>
                <w:szCs w:val="14"/>
                <w:color w:val="auto"/>
              </w:rPr>
            </w:pPr>
          </w:p>
        </w:tc>
        <w:tc>
          <w:tcPr>
            <w:tcW w:w="780" w:type="dxa"/>
            <w:vAlign w:val="bottom"/>
          </w:tcPr>
          <w:p>
            <w:pPr>
              <w:jc w:val="right"/>
              <w:spacing w:after="0"/>
              <w:rPr>
                <w:sz w:val="20"/>
                <w:szCs w:val="20"/>
                <w:color w:val="auto"/>
              </w:rPr>
            </w:pPr>
            <w:r>
              <w:rPr>
                <w:rFonts w:ascii="Arial" w:cs="Arial" w:eastAsia="Arial" w:hAnsi="Arial"/>
                <w:sz w:val="14"/>
                <w:szCs w:val="14"/>
                <w:b w:val="1"/>
                <w:bCs w:val="1"/>
                <w:color w:val="auto"/>
              </w:rPr>
              <w:t>532</w:t>
            </w: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3800" w:type="dxa"/>
            <w:vAlign w:val="bottom"/>
            <w:tcBorders>
              <w:top w:val="single" w:sz="8" w:color="auto"/>
              <w:bottom w:val="single" w:sz="8" w:color="35BF85"/>
            </w:tcBorders>
          </w:tcPr>
          <w:p>
            <w:pPr>
              <w:ind w:left="420"/>
              <w:spacing w:after="0" w:line="142" w:lineRule="exact"/>
              <w:rPr>
                <w:sz w:val="20"/>
                <w:szCs w:val="20"/>
                <w:color w:val="auto"/>
              </w:rPr>
            </w:pPr>
            <w:r>
              <w:rPr>
                <w:rFonts w:ascii="Arial" w:cs="Arial" w:eastAsia="Arial" w:hAnsi="Arial"/>
                <w:sz w:val="14"/>
                <w:szCs w:val="14"/>
                <w:color w:val="auto"/>
              </w:rPr>
              <w:t>Total assets</w:t>
            </w:r>
          </w:p>
        </w:tc>
        <w:tc>
          <w:tcPr>
            <w:tcW w:w="280" w:type="dxa"/>
            <w:vAlign w:val="bottom"/>
            <w:tcBorders>
              <w:top w:val="single" w:sz="8" w:color="auto"/>
              <w:bottom w:val="single" w:sz="8" w:color="35BF85"/>
            </w:tcBorders>
          </w:tcPr>
          <w:p>
            <w:pPr>
              <w:ind w:left="180"/>
              <w:spacing w:after="0" w:line="142" w:lineRule="exact"/>
              <w:rPr>
                <w:sz w:val="20"/>
                <w:szCs w:val="20"/>
                <w:color w:val="auto"/>
              </w:rPr>
            </w:pPr>
            <w:r>
              <w:rPr>
                <w:rFonts w:ascii="Arial" w:cs="Arial" w:eastAsia="Arial" w:hAnsi="Arial"/>
                <w:sz w:val="14"/>
                <w:szCs w:val="14"/>
                <w:color w:val="auto"/>
              </w:rPr>
              <w:t>$</w:t>
            </w:r>
          </w:p>
        </w:tc>
        <w:tc>
          <w:tcPr>
            <w:tcW w:w="660" w:type="dxa"/>
            <w:vAlign w:val="bottom"/>
            <w:tcBorders>
              <w:top w:val="single" w:sz="8" w:color="auto"/>
              <w:bottom w:val="single" w:sz="8" w:color="35BF85"/>
            </w:tcBorders>
          </w:tcPr>
          <w:p>
            <w:pPr>
              <w:jc w:val="right"/>
              <w:ind w:right="152"/>
              <w:spacing w:after="0" w:line="142" w:lineRule="exact"/>
              <w:rPr>
                <w:sz w:val="20"/>
                <w:szCs w:val="20"/>
                <w:color w:val="auto"/>
              </w:rPr>
            </w:pPr>
            <w:r>
              <w:rPr>
                <w:rFonts w:ascii="Arial" w:cs="Arial" w:eastAsia="Arial" w:hAnsi="Arial"/>
                <w:sz w:val="14"/>
                <w:szCs w:val="14"/>
                <w:color w:val="auto"/>
                <w:w w:val="97"/>
              </w:rPr>
              <w:t>62,907</w:t>
            </w:r>
          </w:p>
        </w:tc>
        <w:tc>
          <w:tcPr>
            <w:tcW w:w="200" w:type="dxa"/>
            <w:vAlign w:val="bottom"/>
            <w:tcBorders>
              <w:top w:val="single" w:sz="8" w:color="auto"/>
              <w:bottom w:val="single" w:sz="8" w:color="35BF85"/>
            </w:tcBorders>
          </w:tcPr>
          <w:p>
            <w:pPr>
              <w:jc w:val="right"/>
              <w:spacing w:after="0" w:line="142" w:lineRule="exact"/>
              <w:rPr>
                <w:sz w:val="20"/>
                <w:szCs w:val="20"/>
                <w:color w:val="auto"/>
              </w:rPr>
            </w:pPr>
            <w:r>
              <w:rPr>
                <w:rFonts w:ascii="Arial" w:cs="Arial" w:eastAsia="Arial" w:hAnsi="Arial"/>
                <w:sz w:val="14"/>
                <w:szCs w:val="14"/>
                <w:color w:val="auto"/>
              </w:rPr>
              <w:t>$</w:t>
            </w:r>
          </w:p>
        </w:tc>
        <w:tc>
          <w:tcPr>
            <w:tcW w:w="580" w:type="dxa"/>
            <w:vAlign w:val="bottom"/>
            <w:tcBorders>
              <w:top w:val="single" w:sz="8" w:color="auto"/>
              <w:bottom w:val="single" w:sz="8" w:color="35BF85"/>
            </w:tcBorders>
          </w:tcPr>
          <w:p>
            <w:pPr>
              <w:jc w:val="right"/>
              <w:ind w:right="112"/>
              <w:spacing w:after="0" w:line="142" w:lineRule="exact"/>
              <w:rPr>
                <w:sz w:val="20"/>
                <w:szCs w:val="20"/>
                <w:color w:val="auto"/>
              </w:rPr>
            </w:pPr>
            <w:r>
              <w:rPr>
                <w:rFonts w:ascii="Arial" w:cs="Arial" w:eastAsia="Arial" w:hAnsi="Arial"/>
                <w:sz w:val="14"/>
                <w:szCs w:val="14"/>
                <w:color w:val="auto"/>
                <w:w w:val="88"/>
              </w:rPr>
              <w:t>31,169</w:t>
            </w:r>
          </w:p>
        </w:tc>
        <w:tc>
          <w:tcPr>
            <w:tcW w:w="240" w:type="dxa"/>
            <w:vAlign w:val="bottom"/>
            <w:tcBorders>
              <w:top w:val="single" w:sz="8" w:color="auto"/>
              <w:bottom w:val="single" w:sz="8" w:color="35BF85"/>
            </w:tcBorders>
          </w:tcPr>
          <w:p>
            <w:pPr>
              <w:ind w:left="160"/>
              <w:spacing w:after="0" w:line="142" w:lineRule="exact"/>
              <w:rPr>
                <w:sz w:val="20"/>
                <w:szCs w:val="20"/>
                <w:color w:val="auto"/>
              </w:rPr>
            </w:pPr>
            <w:r>
              <w:rPr>
                <w:rFonts w:ascii="Arial" w:cs="Arial" w:eastAsia="Arial" w:hAnsi="Arial"/>
                <w:sz w:val="14"/>
                <w:szCs w:val="14"/>
                <w:color w:val="auto"/>
                <w:w w:val="76"/>
              </w:rPr>
              <w:t>$</w:t>
            </w:r>
          </w:p>
        </w:tc>
        <w:tc>
          <w:tcPr>
            <w:tcW w:w="600" w:type="dxa"/>
            <w:vAlign w:val="bottom"/>
            <w:tcBorders>
              <w:top w:val="single" w:sz="8" w:color="auto"/>
              <w:bottom w:val="single" w:sz="8" w:color="35BF85"/>
            </w:tcBorders>
          </w:tcPr>
          <w:p>
            <w:pPr>
              <w:jc w:val="right"/>
              <w:ind w:right="112"/>
              <w:spacing w:after="0" w:line="142" w:lineRule="exact"/>
              <w:rPr>
                <w:sz w:val="20"/>
                <w:szCs w:val="20"/>
                <w:color w:val="auto"/>
              </w:rPr>
            </w:pPr>
            <w:r>
              <w:rPr>
                <w:rFonts w:ascii="Arial" w:cs="Arial" w:eastAsia="Arial" w:hAnsi="Arial"/>
                <w:sz w:val="14"/>
                <w:szCs w:val="14"/>
                <w:color w:val="auto"/>
                <w:w w:val="93"/>
              </w:rPr>
              <w:t>37,778</w:t>
            </w:r>
          </w:p>
        </w:tc>
        <w:tc>
          <w:tcPr>
            <w:tcW w:w="260" w:type="dxa"/>
            <w:vAlign w:val="bottom"/>
            <w:tcBorders>
              <w:top w:val="single" w:sz="8" w:color="auto"/>
              <w:bottom w:val="single" w:sz="8" w:color="35BF85"/>
            </w:tcBorders>
          </w:tcPr>
          <w:p>
            <w:pPr>
              <w:ind w:left="160"/>
              <w:spacing w:after="0" w:line="142" w:lineRule="exact"/>
              <w:rPr>
                <w:sz w:val="20"/>
                <w:szCs w:val="20"/>
                <w:color w:val="auto"/>
              </w:rPr>
            </w:pPr>
            <w:r>
              <w:rPr>
                <w:rFonts w:ascii="Arial" w:cs="Arial" w:eastAsia="Arial" w:hAnsi="Arial"/>
                <w:sz w:val="14"/>
                <w:szCs w:val="14"/>
                <w:color w:val="auto"/>
              </w:rPr>
              <w:t>$</w:t>
            </w:r>
          </w:p>
        </w:tc>
        <w:tc>
          <w:tcPr>
            <w:tcW w:w="700" w:type="dxa"/>
            <w:vAlign w:val="bottom"/>
            <w:tcBorders>
              <w:top w:val="single" w:sz="8" w:color="auto"/>
              <w:bottom w:val="single" w:sz="8" w:color="35BF85"/>
            </w:tcBorders>
          </w:tcPr>
          <w:p>
            <w:pPr>
              <w:jc w:val="right"/>
              <w:ind w:right="112"/>
              <w:spacing w:after="0" w:line="142" w:lineRule="exact"/>
              <w:rPr>
                <w:sz w:val="20"/>
                <w:szCs w:val="20"/>
                <w:color w:val="auto"/>
              </w:rPr>
            </w:pPr>
            <w:r>
              <w:rPr>
                <w:rFonts w:ascii="Arial" w:cs="Arial" w:eastAsia="Arial" w:hAnsi="Arial"/>
                <w:sz w:val="14"/>
                <w:szCs w:val="14"/>
                <w:color w:val="auto"/>
              </w:rPr>
              <w:t>41,151</w:t>
            </w:r>
          </w:p>
        </w:tc>
        <w:tc>
          <w:tcPr>
            <w:tcW w:w="260" w:type="dxa"/>
            <w:vAlign w:val="bottom"/>
            <w:tcBorders>
              <w:top w:val="single" w:sz="8" w:color="auto"/>
              <w:bottom w:val="single" w:sz="8" w:color="35BF85"/>
            </w:tcBorders>
          </w:tcPr>
          <w:p>
            <w:pPr>
              <w:ind w:left="160"/>
              <w:spacing w:after="0" w:line="142" w:lineRule="exact"/>
              <w:rPr>
                <w:sz w:val="20"/>
                <w:szCs w:val="20"/>
                <w:color w:val="auto"/>
              </w:rPr>
            </w:pPr>
            <w:r>
              <w:rPr>
                <w:rFonts w:ascii="Arial" w:cs="Arial" w:eastAsia="Arial" w:hAnsi="Arial"/>
                <w:sz w:val="14"/>
                <w:szCs w:val="14"/>
                <w:color w:val="auto"/>
              </w:rPr>
              <w:t>$</w:t>
            </w:r>
          </w:p>
        </w:tc>
        <w:tc>
          <w:tcPr>
            <w:tcW w:w="620" w:type="dxa"/>
            <w:vAlign w:val="bottom"/>
            <w:tcBorders>
              <w:top w:val="single" w:sz="8" w:color="auto"/>
              <w:bottom w:val="single" w:sz="8" w:color="35BF85"/>
            </w:tcBorders>
          </w:tcPr>
          <w:p>
            <w:pPr>
              <w:jc w:val="right"/>
              <w:ind w:right="112"/>
              <w:spacing w:after="0" w:line="142" w:lineRule="exact"/>
              <w:rPr>
                <w:sz w:val="20"/>
                <w:szCs w:val="20"/>
                <w:color w:val="auto"/>
              </w:rPr>
            </w:pPr>
            <w:r>
              <w:rPr>
                <w:rFonts w:ascii="Arial" w:cs="Arial" w:eastAsia="Arial" w:hAnsi="Arial"/>
                <w:sz w:val="14"/>
                <w:szCs w:val="14"/>
                <w:color w:val="auto"/>
                <w:w w:val="97"/>
              </w:rPr>
              <w:t>24,015</w:t>
            </w:r>
          </w:p>
        </w:tc>
        <w:tc>
          <w:tcPr>
            <w:tcW w:w="260" w:type="dxa"/>
            <w:vAlign w:val="bottom"/>
            <w:tcBorders>
              <w:top w:val="single" w:sz="8" w:color="auto"/>
              <w:bottom w:val="single" w:sz="8" w:color="35BF85"/>
            </w:tcBorders>
          </w:tcPr>
          <w:p>
            <w:pPr>
              <w:ind w:left="160"/>
              <w:spacing w:after="0" w:line="142" w:lineRule="exact"/>
              <w:rPr>
                <w:sz w:val="20"/>
                <w:szCs w:val="20"/>
                <w:color w:val="auto"/>
              </w:rPr>
            </w:pPr>
            <w:r>
              <w:rPr>
                <w:rFonts w:ascii="Arial" w:cs="Arial" w:eastAsia="Arial" w:hAnsi="Arial"/>
                <w:sz w:val="14"/>
                <w:szCs w:val="14"/>
                <w:color w:val="auto"/>
              </w:rPr>
              <w:t>$</w:t>
            </w:r>
          </w:p>
        </w:tc>
        <w:tc>
          <w:tcPr>
            <w:tcW w:w="820" w:type="dxa"/>
            <w:vAlign w:val="bottom"/>
            <w:tcBorders>
              <w:top w:val="single" w:sz="8" w:color="auto"/>
              <w:bottom w:val="single" w:sz="8" w:color="35BF85"/>
            </w:tcBorders>
          </w:tcPr>
          <w:p>
            <w:pPr>
              <w:jc w:val="right"/>
              <w:ind w:right="112"/>
              <w:spacing w:after="0" w:line="142" w:lineRule="exact"/>
              <w:rPr>
                <w:sz w:val="20"/>
                <w:szCs w:val="20"/>
                <w:color w:val="auto"/>
              </w:rPr>
            </w:pPr>
            <w:r>
              <w:rPr>
                <w:rFonts w:ascii="Arial" w:cs="Arial" w:eastAsia="Arial" w:hAnsi="Arial"/>
                <w:sz w:val="14"/>
                <w:szCs w:val="14"/>
                <w:color w:val="auto"/>
              </w:rPr>
              <w:t>111,946</w:t>
            </w:r>
          </w:p>
        </w:tc>
        <w:tc>
          <w:tcPr>
            <w:tcW w:w="240" w:type="dxa"/>
            <w:vAlign w:val="bottom"/>
            <w:tcBorders>
              <w:top w:val="single" w:sz="8" w:color="auto"/>
              <w:bottom w:val="single" w:sz="8" w:color="35BF85"/>
            </w:tcBorders>
          </w:tcPr>
          <w:p>
            <w:pPr>
              <w:ind w:left="160"/>
              <w:spacing w:after="0" w:line="142" w:lineRule="exact"/>
              <w:rPr>
                <w:sz w:val="20"/>
                <w:szCs w:val="20"/>
                <w:color w:val="auto"/>
              </w:rPr>
            </w:pPr>
            <w:r>
              <w:rPr>
                <w:rFonts w:ascii="Arial" w:cs="Arial" w:eastAsia="Arial" w:hAnsi="Arial"/>
                <w:sz w:val="14"/>
                <w:szCs w:val="14"/>
                <w:color w:val="auto"/>
                <w:w w:val="76"/>
              </w:rPr>
              <w:t>$</w:t>
            </w:r>
          </w:p>
        </w:tc>
        <w:tc>
          <w:tcPr>
            <w:tcW w:w="900" w:type="dxa"/>
            <w:vAlign w:val="bottom"/>
            <w:tcBorders>
              <w:top w:val="single" w:sz="8" w:color="auto"/>
              <w:bottom w:val="single" w:sz="8" w:color="35BF85"/>
            </w:tcBorders>
          </w:tcPr>
          <w:p>
            <w:pPr>
              <w:jc w:val="right"/>
              <w:ind w:right="32"/>
              <w:spacing w:after="0" w:line="142" w:lineRule="exact"/>
              <w:rPr>
                <w:sz w:val="20"/>
                <w:szCs w:val="20"/>
                <w:color w:val="auto"/>
              </w:rPr>
            </w:pPr>
            <w:r>
              <w:rPr>
                <w:rFonts w:ascii="Arial" w:cs="Arial" w:eastAsia="Arial" w:hAnsi="Arial"/>
                <w:sz w:val="14"/>
                <w:szCs w:val="14"/>
                <w:color w:val="auto"/>
              </w:rPr>
              <w:t>(198,561)</w:t>
            </w:r>
          </w:p>
        </w:tc>
        <w:tc>
          <w:tcPr>
            <w:tcW w:w="200" w:type="dxa"/>
            <w:vAlign w:val="bottom"/>
            <w:tcBorders>
              <w:top w:val="single" w:sz="8" w:color="auto"/>
              <w:bottom w:val="single" w:sz="8" w:color="35BF85"/>
            </w:tcBorders>
          </w:tcPr>
          <w:p>
            <w:pPr>
              <w:ind w:left="120"/>
              <w:spacing w:after="0" w:line="142" w:lineRule="exact"/>
              <w:rPr>
                <w:sz w:val="20"/>
                <w:szCs w:val="20"/>
                <w:color w:val="auto"/>
              </w:rPr>
            </w:pPr>
            <w:r>
              <w:rPr>
                <w:rFonts w:ascii="Arial" w:cs="Arial" w:eastAsia="Arial" w:hAnsi="Arial"/>
                <w:sz w:val="14"/>
                <w:szCs w:val="14"/>
                <w:b w:val="1"/>
                <w:bCs w:val="1"/>
                <w:color w:val="auto"/>
                <w:w w:val="76"/>
              </w:rPr>
              <w:t>$</w:t>
            </w:r>
          </w:p>
        </w:tc>
        <w:tc>
          <w:tcPr>
            <w:tcW w:w="780" w:type="dxa"/>
            <w:vAlign w:val="bottom"/>
            <w:tcBorders>
              <w:top w:val="single" w:sz="8" w:color="auto"/>
              <w:bottom w:val="single" w:sz="8" w:color="35BF85"/>
            </w:tcBorders>
          </w:tcPr>
          <w:p>
            <w:pPr>
              <w:jc w:val="right"/>
              <w:spacing w:after="0" w:line="142" w:lineRule="exact"/>
              <w:rPr>
                <w:sz w:val="20"/>
                <w:szCs w:val="20"/>
                <w:color w:val="auto"/>
              </w:rPr>
            </w:pPr>
            <w:r>
              <w:rPr>
                <w:rFonts w:ascii="Arial" w:cs="Arial" w:eastAsia="Arial" w:hAnsi="Arial"/>
                <w:sz w:val="14"/>
                <w:szCs w:val="14"/>
                <w:b w:val="1"/>
                <w:bCs w:val="1"/>
                <w:color w:val="auto"/>
              </w:rPr>
              <w:t>110,405</w:t>
            </w:r>
          </w:p>
        </w:tc>
        <w:tc>
          <w:tcPr>
            <w:tcW w:w="0" w:type="dxa"/>
            <w:vAlign w:val="bottom"/>
          </w:tcPr>
          <w:p>
            <w:pPr>
              <w:spacing w:after="0"/>
              <w:rPr>
                <w:sz w:val="1"/>
                <w:szCs w:val="1"/>
                <w:color w:val="auto"/>
              </w:rPr>
            </w:pPr>
          </w:p>
        </w:tc>
      </w:tr>
      <w:tr>
        <w:trPr>
          <w:trHeight w:val="141"/>
        </w:trPr>
        <w:tc>
          <w:tcPr>
            <w:tcW w:w="20" w:type="dxa"/>
            <w:vAlign w:val="bottom"/>
          </w:tcPr>
          <w:p>
            <w:pPr>
              <w:spacing w:after="0"/>
              <w:rPr>
                <w:sz w:val="12"/>
                <w:szCs w:val="12"/>
                <w:color w:val="auto"/>
              </w:rPr>
            </w:pPr>
          </w:p>
        </w:tc>
        <w:tc>
          <w:tcPr>
            <w:tcW w:w="3800" w:type="dxa"/>
            <w:vAlign w:val="bottom"/>
          </w:tcPr>
          <w:p>
            <w:pPr>
              <w:spacing w:after="0" w:line="141" w:lineRule="exact"/>
              <w:rPr>
                <w:sz w:val="20"/>
                <w:szCs w:val="20"/>
                <w:color w:val="auto"/>
              </w:rPr>
            </w:pPr>
            <w:r>
              <w:rPr>
                <w:rFonts w:ascii="Arial" w:cs="Arial" w:eastAsia="Arial" w:hAnsi="Arial"/>
                <w:sz w:val="14"/>
                <w:szCs w:val="14"/>
                <w:b w:val="1"/>
                <w:bCs w:val="1"/>
                <w:color w:val="auto"/>
              </w:rPr>
              <w:t>Liabilities and Stockholders’ Equity</w:t>
            </w:r>
          </w:p>
        </w:tc>
        <w:tc>
          <w:tcPr>
            <w:tcW w:w="28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90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800" w:type="dxa"/>
            <w:vAlign w:val="bottom"/>
          </w:tcPr>
          <w:p>
            <w:pPr>
              <w:ind w:left="200"/>
              <w:spacing w:after="0" w:line="149" w:lineRule="exact"/>
              <w:rPr>
                <w:sz w:val="20"/>
                <w:szCs w:val="20"/>
                <w:color w:val="auto"/>
              </w:rPr>
            </w:pPr>
            <w:r>
              <w:rPr>
                <w:rFonts w:ascii="Arial" w:cs="Arial" w:eastAsia="Arial" w:hAnsi="Arial"/>
                <w:sz w:val="14"/>
                <w:szCs w:val="14"/>
                <w:color w:val="auto"/>
              </w:rPr>
              <w:t>Accounts payable and accrued expenses related to trade</w:t>
            </w:r>
          </w:p>
        </w:tc>
        <w:tc>
          <w:tcPr>
            <w:tcW w:w="28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900" w:type="dxa"/>
            <w:vAlign w:val="bottom"/>
          </w:tcPr>
          <w:p>
            <w:pPr>
              <w:spacing w:after="0"/>
              <w:rPr>
                <w:sz w:val="12"/>
                <w:szCs w:val="12"/>
                <w:color w:val="auto"/>
              </w:rPr>
            </w:pPr>
          </w:p>
        </w:tc>
        <w:tc>
          <w:tcPr>
            <w:tcW w:w="200" w:type="dxa"/>
            <w:vAlign w:val="bottom"/>
            <w:vMerge w:val="restart"/>
          </w:tcPr>
          <w:p>
            <w:pPr>
              <w:ind w:left="120"/>
              <w:spacing w:after="0"/>
              <w:rPr>
                <w:sz w:val="20"/>
                <w:szCs w:val="20"/>
                <w:color w:val="auto"/>
              </w:rPr>
            </w:pPr>
            <w:r>
              <w:rPr>
                <w:rFonts w:ascii="Arial" w:cs="Arial" w:eastAsia="Arial" w:hAnsi="Arial"/>
                <w:sz w:val="14"/>
                <w:szCs w:val="14"/>
                <w:b w:val="1"/>
                <w:bCs w:val="1"/>
                <w:color w:val="auto"/>
                <w:w w:val="76"/>
              </w:rPr>
              <w:t>$</w:t>
            </w:r>
          </w:p>
        </w:tc>
        <w:tc>
          <w:tcPr>
            <w:tcW w:w="780" w:type="dxa"/>
            <w:vAlign w:val="bottom"/>
            <w:vMerge w:val="restart"/>
          </w:tcPr>
          <w:p>
            <w:pPr>
              <w:jc w:val="right"/>
              <w:spacing w:after="0"/>
              <w:rPr>
                <w:sz w:val="20"/>
                <w:szCs w:val="20"/>
                <w:color w:val="auto"/>
              </w:rPr>
            </w:pPr>
            <w:r>
              <w:rPr>
                <w:rFonts w:ascii="Arial" w:cs="Arial" w:eastAsia="Arial" w:hAnsi="Arial"/>
                <w:sz w:val="14"/>
                <w:szCs w:val="14"/>
                <w:b w:val="1"/>
                <w:bCs w:val="1"/>
                <w:color w:val="auto"/>
              </w:rPr>
              <w:t>2,862</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3800" w:type="dxa"/>
            <w:vAlign w:val="bottom"/>
          </w:tcPr>
          <w:p>
            <w:pPr>
              <w:ind w:left="420"/>
              <w:spacing w:after="0" w:line="133" w:lineRule="exact"/>
              <w:rPr>
                <w:sz w:val="20"/>
                <w:szCs w:val="20"/>
                <w:color w:val="auto"/>
              </w:rPr>
            </w:pPr>
            <w:r>
              <w:rPr>
                <w:rFonts w:ascii="Arial" w:cs="Arial" w:eastAsia="Arial" w:hAnsi="Arial"/>
                <w:sz w:val="14"/>
                <w:szCs w:val="14"/>
                <w:color w:val="auto"/>
              </w:rPr>
              <w:t>creditors</w:t>
            </w:r>
          </w:p>
        </w:tc>
        <w:tc>
          <w:tcPr>
            <w:tcW w:w="280" w:type="dxa"/>
            <w:vAlign w:val="bottom"/>
          </w:tcPr>
          <w:p>
            <w:pPr>
              <w:ind w:left="180"/>
              <w:spacing w:after="0" w:line="133" w:lineRule="exact"/>
              <w:rPr>
                <w:sz w:val="20"/>
                <w:szCs w:val="20"/>
                <w:color w:val="auto"/>
              </w:rPr>
            </w:pPr>
            <w:r>
              <w:rPr>
                <w:rFonts w:ascii="Arial" w:cs="Arial" w:eastAsia="Arial" w:hAnsi="Arial"/>
                <w:sz w:val="14"/>
                <w:szCs w:val="14"/>
                <w:color w:val="auto"/>
              </w:rPr>
              <w:t>$</w:t>
            </w:r>
          </w:p>
        </w:tc>
        <w:tc>
          <w:tcPr>
            <w:tcW w:w="660" w:type="dxa"/>
            <w:vAlign w:val="bottom"/>
          </w:tcPr>
          <w:p>
            <w:pPr>
              <w:jc w:val="right"/>
              <w:ind w:right="152"/>
              <w:spacing w:after="0" w:line="133" w:lineRule="exact"/>
              <w:rPr>
                <w:sz w:val="20"/>
                <w:szCs w:val="20"/>
                <w:color w:val="auto"/>
              </w:rPr>
            </w:pPr>
            <w:r>
              <w:rPr>
                <w:rFonts w:ascii="Arial" w:cs="Arial" w:eastAsia="Arial" w:hAnsi="Arial"/>
                <w:sz w:val="14"/>
                <w:szCs w:val="14"/>
                <w:color w:val="auto"/>
              </w:rPr>
              <w:t>11</w:t>
            </w:r>
          </w:p>
        </w:tc>
        <w:tc>
          <w:tcPr>
            <w:tcW w:w="200" w:type="dxa"/>
            <w:vAlign w:val="bottom"/>
          </w:tcPr>
          <w:p>
            <w:pPr>
              <w:jc w:val="right"/>
              <w:spacing w:after="0" w:line="133" w:lineRule="exact"/>
              <w:rPr>
                <w:sz w:val="20"/>
                <w:szCs w:val="20"/>
                <w:color w:val="auto"/>
              </w:rPr>
            </w:pPr>
            <w:r>
              <w:rPr>
                <w:rFonts w:ascii="Arial" w:cs="Arial" w:eastAsia="Arial" w:hAnsi="Arial"/>
                <w:sz w:val="14"/>
                <w:szCs w:val="14"/>
                <w:color w:val="auto"/>
              </w:rPr>
              <w:t>$</w:t>
            </w:r>
          </w:p>
        </w:tc>
        <w:tc>
          <w:tcPr>
            <w:tcW w:w="580" w:type="dxa"/>
            <w:vAlign w:val="bottom"/>
          </w:tcPr>
          <w:p>
            <w:pPr>
              <w:jc w:val="right"/>
              <w:ind w:right="112"/>
              <w:spacing w:after="0" w:line="133" w:lineRule="exact"/>
              <w:rPr>
                <w:sz w:val="20"/>
                <w:szCs w:val="20"/>
                <w:color w:val="auto"/>
              </w:rPr>
            </w:pPr>
            <w:r>
              <w:rPr>
                <w:rFonts w:ascii="Arial" w:cs="Arial" w:eastAsia="Arial" w:hAnsi="Arial"/>
                <w:sz w:val="14"/>
                <w:szCs w:val="14"/>
                <w:color w:val="auto"/>
              </w:rPr>
              <w:t>—</w:t>
            </w:r>
          </w:p>
        </w:tc>
        <w:tc>
          <w:tcPr>
            <w:tcW w:w="240" w:type="dxa"/>
            <w:vAlign w:val="bottom"/>
          </w:tcPr>
          <w:p>
            <w:pPr>
              <w:ind w:left="160"/>
              <w:spacing w:after="0" w:line="133" w:lineRule="exact"/>
              <w:rPr>
                <w:sz w:val="20"/>
                <w:szCs w:val="20"/>
                <w:color w:val="auto"/>
              </w:rPr>
            </w:pPr>
            <w:r>
              <w:rPr>
                <w:rFonts w:ascii="Arial" w:cs="Arial" w:eastAsia="Arial" w:hAnsi="Arial"/>
                <w:sz w:val="14"/>
                <w:szCs w:val="14"/>
                <w:color w:val="auto"/>
                <w:w w:val="76"/>
              </w:rPr>
              <w:t>$</w:t>
            </w:r>
          </w:p>
        </w:tc>
        <w:tc>
          <w:tcPr>
            <w:tcW w:w="600" w:type="dxa"/>
            <w:vAlign w:val="bottom"/>
          </w:tcPr>
          <w:p>
            <w:pPr>
              <w:jc w:val="right"/>
              <w:ind w:right="112"/>
              <w:spacing w:after="0" w:line="133" w:lineRule="exact"/>
              <w:rPr>
                <w:sz w:val="20"/>
                <w:szCs w:val="20"/>
                <w:color w:val="auto"/>
              </w:rPr>
            </w:pPr>
            <w:r>
              <w:rPr>
                <w:rFonts w:ascii="Arial" w:cs="Arial" w:eastAsia="Arial" w:hAnsi="Arial"/>
                <w:sz w:val="14"/>
                <w:szCs w:val="14"/>
                <w:color w:val="auto"/>
              </w:rPr>
              <w:t>—</w:t>
            </w:r>
          </w:p>
        </w:tc>
        <w:tc>
          <w:tcPr>
            <w:tcW w:w="260" w:type="dxa"/>
            <w:vAlign w:val="bottom"/>
          </w:tcPr>
          <w:p>
            <w:pPr>
              <w:ind w:left="160"/>
              <w:spacing w:after="0" w:line="133" w:lineRule="exact"/>
              <w:rPr>
                <w:sz w:val="20"/>
                <w:szCs w:val="20"/>
                <w:color w:val="auto"/>
              </w:rPr>
            </w:pPr>
            <w:r>
              <w:rPr>
                <w:rFonts w:ascii="Arial" w:cs="Arial" w:eastAsia="Arial" w:hAnsi="Arial"/>
                <w:sz w:val="14"/>
                <w:szCs w:val="14"/>
                <w:color w:val="auto"/>
              </w:rPr>
              <w:t>$</w:t>
            </w:r>
          </w:p>
        </w:tc>
        <w:tc>
          <w:tcPr>
            <w:tcW w:w="700" w:type="dxa"/>
            <w:vAlign w:val="bottom"/>
          </w:tcPr>
          <w:p>
            <w:pPr>
              <w:jc w:val="right"/>
              <w:ind w:right="112"/>
              <w:spacing w:after="0" w:line="133" w:lineRule="exact"/>
              <w:rPr>
                <w:sz w:val="20"/>
                <w:szCs w:val="20"/>
                <w:color w:val="auto"/>
              </w:rPr>
            </w:pPr>
            <w:r>
              <w:rPr>
                <w:rFonts w:ascii="Arial" w:cs="Arial" w:eastAsia="Arial" w:hAnsi="Arial"/>
                <w:sz w:val="14"/>
                <w:szCs w:val="14"/>
                <w:color w:val="auto"/>
              </w:rPr>
              <w:t>—</w:t>
            </w:r>
          </w:p>
        </w:tc>
        <w:tc>
          <w:tcPr>
            <w:tcW w:w="260" w:type="dxa"/>
            <w:vAlign w:val="bottom"/>
          </w:tcPr>
          <w:p>
            <w:pPr>
              <w:ind w:left="160"/>
              <w:spacing w:after="0" w:line="133" w:lineRule="exact"/>
              <w:rPr>
                <w:sz w:val="20"/>
                <w:szCs w:val="20"/>
                <w:color w:val="auto"/>
              </w:rPr>
            </w:pPr>
            <w:r>
              <w:rPr>
                <w:rFonts w:ascii="Arial" w:cs="Arial" w:eastAsia="Arial" w:hAnsi="Arial"/>
                <w:sz w:val="14"/>
                <w:szCs w:val="14"/>
                <w:color w:val="auto"/>
              </w:rPr>
              <w:t>$</w:t>
            </w:r>
          </w:p>
        </w:tc>
        <w:tc>
          <w:tcPr>
            <w:tcW w:w="620" w:type="dxa"/>
            <w:vAlign w:val="bottom"/>
          </w:tcPr>
          <w:p>
            <w:pPr>
              <w:jc w:val="right"/>
              <w:ind w:right="112"/>
              <w:spacing w:after="0" w:line="133" w:lineRule="exact"/>
              <w:rPr>
                <w:sz w:val="20"/>
                <w:szCs w:val="20"/>
                <w:color w:val="auto"/>
              </w:rPr>
            </w:pPr>
            <w:r>
              <w:rPr>
                <w:rFonts w:ascii="Arial" w:cs="Arial" w:eastAsia="Arial" w:hAnsi="Arial"/>
                <w:sz w:val="14"/>
                <w:szCs w:val="14"/>
                <w:color w:val="auto"/>
              </w:rPr>
              <w:t>—</w:t>
            </w:r>
          </w:p>
        </w:tc>
        <w:tc>
          <w:tcPr>
            <w:tcW w:w="260" w:type="dxa"/>
            <w:vAlign w:val="bottom"/>
          </w:tcPr>
          <w:p>
            <w:pPr>
              <w:ind w:left="160"/>
              <w:spacing w:after="0" w:line="133" w:lineRule="exact"/>
              <w:rPr>
                <w:sz w:val="20"/>
                <w:szCs w:val="20"/>
                <w:color w:val="auto"/>
              </w:rPr>
            </w:pPr>
            <w:r>
              <w:rPr>
                <w:rFonts w:ascii="Arial" w:cs="Arial" w:eastAsia="Arial" w:hAnsi="Arial"/>
                <w:sz w:val="14"/>
                <w:szCs w:val="14"/>
                <w:color w:val="auto"/>
              </w:rPr>
              <w:t>$</w:t>
            </w:r>
          </w:p>
        </w:tc>
        <w:tc>
          <w:tcPr>
            <w:tcW w:w="820" w:type="dxa"/>
            <w:vAlign w:val="bottom"/>
          </w:tcPr>
          <w:p>
            <w:pPr>
              <w:jc w:val="right"/>
              <w:ind w:right="112"/>
              <w:spacing w:after="0" w:line="133" w:lineRule="exact"/>
              <w:rPr>
                <w:sz w:val="20"/>
                <w:szCs w:val="20"/>
                <w:color w:val="auto"/>
              </w:rPr>
            </w:pPr>
            <w:r>
              <w:rPr>
                <w:rFonts w:ascii="Arial" w:cs="Arial" w:eastAsia="Arial" w:hAnsi="Arial"/>
                <w:sz w:val="14"/>
                <w:szCs w:val="14"/>
                <w:color w:val="auto"/>
              </w:rPr>
              <w:t>2,851</w:t>
            </w:r>
          </w:p>
        </w:tc>
        <w:tc>
          <w:tcPr>
            <w:tcW w:w="240" w:type="dxa"/>
            <w:vAlign w:val="bottom"/>
          </w:tcPr>
          <w:p>
            <w:pPr>
              <w:ind w:left="160"/>
              <w:spacing w:after="0" w:line="133" w:lineRule="exact"/>
              <w:rPr>
                <w:sz w:val="20"/>
                <w:szCs w:val="20"/>
                <w:color w:val="auto"/>
              </w:rPr>
            </w:pPr>
            <w:r>
              <w:rPr>
                <w:rFonts w:ascii="Arial" w:cs="Arial" w:eastAsia="Arial" w:hAnsi="Arial"/>
                <w:sz w:val="14"/>
                <w:szCs w:val="14"/>
                <w:color w:val="auto"/>
                <w:w w:val="76"/>
              </w:rPr>
              <w:t>$</w:t>
            </w:r>
          </w:p>
        </w:tc>
        <w:tc>
          <w:tcPr>
            <w:tcW w:w="900" w:type="dxa"/>
            <w:vAlign w:val="bottom"/>
          </w:tcPr>
          <w:p>
            <w:pPr>
              <w:jc w:val="right"/>
              <w:ind w:right="92"/>
              <w:spacing w:after="0" w:line="133" w:lineRule="exact"/>
              <w:rPr>
                <w:sz w:val="20"/>
                <w:szCs w:val="20"/>
                <w:color w:val="auto"/>
              </w:rPr>
            </w:pPr>
            <w:r>
              <w:rPr>
                <w:rFonts w:ascii="Arial" w:cs="Arial" w:eastAsia="Arial" w:hAnsi="Arial"/>
                <w:sz w:val="14"/>
                <w:szCs w:val="14"/>
                <w:color w:val="auto"/>
              </w:rPr>
              <w:t>—</w:t>
            </w:r>
          </w:p>
        </w:tc>
        <w:tc>
          <w:tcPr>
            <w:tcW w:w="200" w:type="dxa"/>
            <w:vAlign w:val="bottom"/>
            <w:vMerge w:val="continue"/>
          </w:tcPr>
          <w:p>
            <w:pPr>
              <w:spacing w:after="0"/>
              <w:rPr>
                <w:sz w:val="11"/>
                <w:szCs w:val="11"/>
                <w:color w:val="auto"/>
              </w:rPr>
            </w:pPr>
          </w:p>
        </w:tc>
        <w:tc>
          <w:tcPr>
            <w:tcW w:w="780" w:type="dxa"/>
            <w:vAlign w:val="bottom"/>
            <w:vMerge w:val="continue"/>
          </w:tcPr>
          <w:p>
            <w:pPr>
              <w:spacing w:after="0"/>
              <w:rPr>
                <w:sz w:val="11"/>
                <w:szCs w:val="11"/>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800" w:type="dxa"/>
            <w:vAlign w:val="bottom"/>
          </w:tcPr>
          <w:p>
            <w:pPr>
              <w:ind w:left="200"/>
              <w:spacing w:after="0" w:line="149" w:lineRule="exact"/>
              <w:rPr>
                <w:sz w:val="20"/>
                <w:szCs w:val="20"/>
                <w:color w:val="auto"/>
              </w:rPr>
            </w:pPr>
            <w:r>
              <w:rPr>
                <w:rFonts w:ascii="Arial" w:cs="Arial" w:eastAsia="Arial" w:hAnsi="Arial"/>
                <w:sz w:val="14"/>
                <w:szCs w:val="14"/>
                <w:color w:val="auto"/>
              </w:rPr>
              <w:t>Accrued expenses and other current liabilities</w:t>
            </w:r>
          </w:p>
        </w:tc>
        <w:tc>
          <w:tcPr>
            <w:tcW w:w="280" w:type="dxa"/>
            <w:vAlign w:val="bottom"/>
          </w:tcPr>
          <w:p>
            <w:pPr>
              <w:spacing w:after="0"/>
              <w:rPr>
                <w:sz w:val="12"/>
                <w:szCs w:val="12"/>
                <w:color w:val="auto"/>
              </w:rPr>
            </w:pPr>
          </w:p>
        </w:tc>
        <w:tc>
          <w:tcPr>
            <w:tcW w:w="660" w:type="dxa"/>
            <w:vAlign w:val="bottom"/>
          </w:tcPr>
          <w:p>
            <w:pPr>
              <w:jc w:val="right"/>
              <w:ind w:right="152"/>
              <w:spacing w:after="0" w:line="149" w:lineRule="exact"/>
              <w:rPr>
                <w:sz w:val="20"/>
                <w:szCs w:val="20"/>
                <w:color w:val="auto"/>
              </w:rPr>
            </w:pPr>
            <w:r>
              <w:rPr>
                <w:rFonts w:ascii="Arial" w:cs="Arial" w:eastAsia="Arial" w:hAnsi="Arial"/>
                <w:sz w:val="14"/>
                <w:szCs w:val="14"/>
                <w:color w:val="auto"/>
              </w:rPr>
              <w:t>616</w:t>
            </w:r>
          </w:p>
        </w:tc>
        <w:tc>
          <w:tcPr>
            <w:tcW w:w="200" w:type="dxa"/>
            <w:vAlign w:val="bottom"/>
          </w:tcPr>
          <w:p>
            <w:pPr>
              <w:spacing w:after="0"/>
              <w:rPr>
                <w:sz w:val="12"/>
                <w:szCs w:val="12"/>
                <w:color w:val="auto"/>
              </w:rPr>
            </w:pPr>
          </w:p>
        </w:tc>
        <w:tc>
          <w:tcPr>
            <w:tcW w:w="580" w:type="dxa"/>
            <w:vAlign w:val="bottom"/>
          </w:tcPr>
          <w:p>
            <w:pPr>
              <w:jc w:val="right"/>
              <w:ind w:right="112"/>
              <w:spacing w:after="0" w:line="149" w:lineRule="exact"/>
              <w:rPr>
                <w:sz w:val="20"/>
                <w:szCs w:val="20"/>
                <w:color w:val="auto"/>
              </w:rPr>
            </w:pPr>
            <w:r>
              <w:rPr>
                <w:rFonts w:ascii="Arial" w:cs="Arial" w:eastAsia="Arial" w:hAnsi="Arial"/>
                <w:sz w:val="14"/>
                <w:szCs w:val="14"/>
                <w:color w:val="auto"/>
              </w:rPr>
              <w:t>247</w:t>
            </w:r>
          </w:p>
        </w:tc>
        <w:tc>
          <w:tcPr>
            <w:tcW w:w="240" w:type="dxa"/>
            <w:vAlign w:val="bottom"/>
          </w:tcPr>
          <w:p>
            <w:pPr>
              <w:spacing w:after="0"/>
              <w:rPr>
                <w:sz w:val="12"/>
                <w:szCs w:val="12"/>
                <w:color w:val="auto"/>
              </w:rPr>
            </w:pPr>
          </w:p>
        </w:tc>
        <w:tc>
          <w:tcPr>
            <w:tcW w:w="600" w:type="dxa"/>
            <w:vAlign w:val="bottom"/>
          </w:tcPr>
          <w:p>
            <w:pPr>
              <w:jc w:val="right"/>
              <w:ind w:right="112"/>
              <w:spacing w:after="0" w:line="149" w:lineRule="exact"/>
              <w:rPr>
                <w:sz w:val="20"/>
                <w:szCs w:val="20"/>
                <w:color w:val="auto"/>
              </w:rPr>
            </w:pPr>
            <w:r>
              <w:rPr>
                <w:rFonts w:ascii="Arial" w:cs="Arial" w:eastAsia="Arial" w:hAnsi="Arial"/>
                <w:sz w:val="14"/>
                <w:szCs w:val="14"/>
                <w:color w:val="auto"/>
              </w:rPr>
              <w:t>83</w:t>
            </w:r>
          </w:p>
        </w:tc>
        <w:tc>
          <w:tcPr>
            <w:tcW w:w="260" w:type="dxa"/>
            <w:vAlign w:val="bottom"/>
          </w:tcPr>
          <w:p>
            <w:pPr>
              <w:spacing w:after="0"/>
              <w:rPr>
                <w:sz w:val="12"/>
                <w:szCs w:val="12"/>
                <w:color w:val="auto"/>
              </w:rPr>
            </w:pPr>
          </w:p>
        </w:tc>
        <w:tc>
          <w:tcPr>
            <w:tcW w:w="700" w:type="dxa"/>
            <w:vAlign w:val="bottom"/>
          </w:tcPr>
          <w:p>
            <w:pPr>
              <w:jc w:val="right"/>
              <w:ind w:right="112"/>
              <w:spacing w:after="0" w:line="149" w:lineRule="exact"/>
              <w:rPr>
                <w:sz w:val="20"/>
                <w:szCs w:val="20"/>
                <w:color w:val="auto"/>
              </w:rPr>
            </w:pPr>
            <w:r>
              <w:rPr>
                <w:rFonts w:ascii="Arial" w:cs="Arial" w:eastAsia="Arial" w:hAnsi="Arial"/>
                <w:sz w:val="14"/>
                <w:szCs w:val="14"/>
                <w:color w:val="auto"/>
              </w:rPr>
              <w:t>106</w:t>
            </w:r>
          </w:p>
        </w:tc>
        <w:tc>
          <w:tcPr>
            <w:tcW w:w="260" w:type="dxa"/>
            <w:vAlign w:val="bottom"/>
          </w:tcPr>
          <w:p>
            <w:pPr>
              <w:spacing w:after="0"/>
              <w:rPr>
                <w:sz w:val="12"/>
                <w:szCs w:val="12"/>
                <w:color w:val="auto"/>
              </w:rPr>
            </w:pPr>
          </w:p>
        </w:tc>
        <w:tc>
          <w:tcPr>
            <w:tcW w:w="620" w:type="dxa"/>
            <w:vAlign w:val="bottom"/>
          </w:tcPr>
          <w:p>
            <w:pPr>
              <w:jc w:val="right"/>
              <w:ind w:right="112"/>
              <w:spacing w:after="0" w:line="149" w:lineRule="exact"/>
              <w:rPr>
                <w:sz w:val="20"/>
                <w:szCs w:val="20"/>
                <w:color w:val="auto"/>
              </w:rPr>
            </w:pPr>
            <w:r>
              <w:rPr>
                <w:rFonts w:ascii="Arial" w:cs="Arial" w:eastAsia="Arial" w:hAnsi="Arial"/>
                <w:sz w:val="14"/>
                <w:szCs w:val="14"/>
                <w:color w:val="auto"/>
              </w:rPr>
              <w:t>69</w:t>
            </w:r>
          </w:p>
        </w:tc>
        <w:tc>
          <w:tcPr>
            <w:tcW w:w="260" w:type="dxa"/>
            <w:vAlign w:val="bottom"/>
          </w:tcPr>
          <w:p>
            <w:pPr>
              <w:spacing w:after="0"/>
              <w:rPr>
                <w:sz w:val="12"/>
                <w:szCs w:val="12"/>
                <w:color w:val="auto"/>
              </w:rPr>
            </w:pPr>
          </w:p>
        </w:tc>
        <w:tc>
          <w:tcPr>
            <w:tcW w:w="820" w:type="dxa"/>
            <w:vAlign w:val="bottom"/>
          </w:tcPr>
          <w:p>
            <w:pPr>
              <w:jc w:val="right"/>
              <w:ind w:right="112"/>
              <w:spacing w:after="0" w:line="149" w:lineRule="exact"/>
              <w:rPr>
                <w:sz w:val="20"/>
                <w:szCs w:val="20"/>
                <w:color w:val="auto"/>
              </w:rPr>
            </w:pPr>
            <w:r>
              <w:rPr>
                <w:rFonts w:ascii="Arial" w:cs="Arial" w:eastAsia="Arial" w:hAnsi="Arial"/>
                <w:sz w:val="14"/>
                <w:szCs w:val="14"/>
                <w:color w:val="auto"/>
              </w:rPr>
              <w:t>1,911</w:t>
            </w:r>
          </w:p>
        </w:tc>
        <w:tc>
          <w:tcPr>
            <w:tcW w:w="240" w:type="dxa"/>
            <w:vAlign w:val="bottom"/>
          </w:tcPr>
          <w:p>
            <w:pPr>
              <w:spacing w:after="0"/>
              <w:rPr>
                <w:sz w:val="12"/>
                <w:szCs w:val="12"/>
                <w:color w:val="auto"/>
              </w:rPr>
            </w:pPr>
          </w:p>
        </w:tc>
        <w:tc>
          <w:tcPr>
            <w:tcW w:w="900" w:type="dxa"/>
            <w:vAlign w:val="bottom"/>
          </w:tcPr>
          <w:p>
            <w:pPr>
              <w:jc w:val="right"/>
              <w:ind w:right="92"/>
              <w:spacing w:after="0" w:line="149" w:lineRule="exact"/>
              <w:rPr>
                <w:sz w:val="20"/>
                <w:szCs w:val="20"/>
                <w:color w:val="auto"/>
              </w:rPr>
            </w:pPr>
            <w:r>
              <w:rPr>
                <w:rFonts w:ascii="Arial" w:cs="Arial" w:eastAsia="Arial" w:hAnsi="Arial"/>
                <w:sz w:val="14"/>
                <w:szCs w:val="14"/>
                <w:color w:val="auto"/>
              </w:rPr>
              <w:t>—</w:t>
            </w:r>
          </w:p>
        </w:tc>
        <w:tc>
          <w:tcPr>
            <w:tcW w:w="200" w:type="dxa"/>
            <w:vAlign w:val="bottom"/>
          </w:tcPr>
          <w:p>
            <w:pPr>
              <w:spacing w:after="0"/>
              <w:rPr>
                <w:sz w:val="12"/>
                <w:szCs w:val="12"/>
                <w:color w:val="auto"/>
              </w:rPr>
            </w:pPr>
          </w:p>
        </w:tc>
        <w:tc>
          <w:tcPr>
            <w:tcW w:w="780" w:type="dxa"/>
            <w:vAlign w:val="bottom"/>
          </w:tcPr>
          <w:p>
            <w:pPr>
              <w:jc w:val="right"/>
              <w:spacing w:after="0" w:line="149" w:lineRule="exact"/>
              <w:rPr>
                <w:sz w:val="20"/>
                <w:szCs w:val="20"/>
                <w:color w:val="auto"/>
              </w:rPr>
            </w:pPr>
            <w:r>
              <w:rPr>
                <w:rFonts w:ascii="Arial" w:cs="Arial" w:eastAsia="Arial" w:hAnsi="Arial"/>
                <w:sz w:val="14"/>
                <w:szCs w:val="14"/>
                <w:b w:val="1"/>
                <w:bCs w:val="1"/>
                <w:color w:val="auto"/>
              </w:rPr>
              <w:t>3,032</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800" w:type="dxa"/>
            <w:vAlign w:val="bottom"/>
          </w:tcPr>
          <w:p>
            <w:pPr>
              <w:ind w:left="200"/>
              <w:spacing w:after="0" w:line="149" w:lineRule="exact"/>
              <w:rPr>
                <w:sz w:val="20"/>
                <w:szCs w:val="20"/>
                <w:color w:val="auto"/>
              </w:rPr>
            </w:pPr>
            <w:r>
              <w:rPr>
                <w:rFonts w:ascii="Arial" w:cs="Arial" w:eastAsia="Arial" w:hAnsi="Arial"/>
                <w:sz w:val="14"/>
                <w:szCs w:val="14"/>
                <w:color w:val="auto"/>
              </w:rPr>
              <w:t>Deferred income taxes</w:t>
            </w:r>
          </w:p>
        </w:tc>
        <w:tc>
          <w:tcPr>
            <w:tcW w:w="280" w:type="dxa"/>
            <w:vAlign w:val="bottom"/>
          </w:tcPr>
          <w:p>
            <w:pPr>
              <w:spacing w:after="0"/>
              <w:rPr>
                <w:sz w:val="12"/>
                <w:szCs w:val="12"/>
                <w:color w:val="auto"/>
              </w:rPr>
            </w:pPr>
          </w:p>
        </w:tc>
        <w:tc>
          <w:tcPr>
            <w:tcW w:w="660" w:type="dxa"/>
            <w:vAlign w:val="bottom"/>
          </w:tcPr>
          <w:p>
            <w:pPr>
              <w:jc w:val="right"/>
              <w:ind w:right="152"/>
              <w:spacing w:after="0" w:line="149" w:lineRule="exact"/>
              <w:rPr>
                <w:sz w:val="20"/>
                <w:szCs w:val="20"/>
                <w:color w:val="auto"/>
              </w:rPr>
            </w:pPr>
            <w:r>
              <w:rPr>
                <w:rFonts w:ascii="Arial" w:cs="Arial" w:eastAsia="Arial" w:hAnsi="Arial"/>
                <w:sz w:val="14"/>
                <w:szCs w:val="14"/>
                <w:color w:val="auto"/>
              </w:rPr>
              <w:t>—</w:t>
            </w:r>
          </w:p>
        </w:tc>
        <w:tc>
          <w:tcPr>
            <w:tcW w:w="200" w:type="dxa"/>
            <w:vAlign w:val="bottom"/>
          </w:tcPr>
          <w:p>
            <w:pPr>
              <w:spacing w:after="0"/>
              <w:rPr>
                <w:sz w:val="12"/>
                <w:szCs w:val="12"/>
                <w:color w:val="auto"/>
              </w:rPr>
            </w:pPr>
          </w:p>
        </w:tc>
        <w:tc>
          <w:tcPr>
            <w:tcW w:w="580" w:type="dxa"/>
            <w:vAlign w:val="bottom"/>
          </w:tcPr>
          <w:p>
            <w:pPr>
              <w:jc w:val="right"/>
              <w:ind w:right="112"/>
              <w:spacing w:after="0" w:line="149" w:lineRule="exact"/>
              <w:rPr>
                <w:sz w:val="20"/>
                <w:szCs w:val="20"/>
                <w:color w:val="auto"/>
              </w:rPr>
            </w:pPr>
            <w:r>
              <w:rPr>
                <w:rFonts w:ascii="Arial" w:cs="Arial" w:eastAsia="Arial" w:hAnsi="Arial"/>
                <w:sz w:val="14"/>
                <w:szCs w:val="14"/>
                <w:color w:val="auto"/>
              </w:rPr>
              <w:t>—</w:t>
            </w:r>
          </w:p>
        </w:tc>
        <w:tc>
          <w:tcPr>
            <w:tcW w:w="240" w:type="dxa"/>
            <w:vAlign w:val="bottom"/>
          </w:tcPr>
          <w:p>
            <w:pPr>
              <w:spacing w:after="0"/>
              <w:rPr>
                <w:sz w:val="12"/>
                <w:szCs w:val="12"/>
                <w:color w:val="auto"/>
              </w:rPr>
            </w:pPr>
          </w:p>
        </w:tc>
        <w:tc>
          <w:tcPr>
            <w:tcW w:w="600" w:type="dxa"/>
            <w:vAlign w:val="bottom"/>
          </w:tcPr>
          <w:p>
            <w:pPr>
              <w:jc w:val="right"/>
              <w:ind w:right="112"/>
              <w:spacing w:after="0" w:line="149" w:lineRule="exact"/>
              <w:rPr>
                <w:sz w:val="20"/>
                <w:szCs w:val="20"/>
                <w:color w:val="auto"/>
              </w:rPr>
            </w:pPr>
            <w:r>
              <w:rPr>
                <w:rFonts w:ascii="Arial" w:cs="Arial" w:eastAsia="Arial" w:hAnsi="Arial"/>
                <w:sz w:val="14"/>
                <w:szCs w:val="14"/>
                <w:color w:val="auto"/>
              </w:rPr>
              <w:t>—</w:t>
            </w:r>
          </w:p>
        </w:tc>
        <w:tc>
          <w:tcPr>
            <w:tcW w:w="260" w:type="dxa"/>
            <w:vAlign w:val="bottom"/>
          </w:tcPr>
          <w:p>
            <w:pPr>
              <w:spacing w:after="0"/>
              <w:rPr>
                <w:sz w:val="12"/>
                <w:szCs w:val="12"/>
                <w:color w:val="auto"/>
              </w:rPr>
            </w:pPr>
          </w:p>
        </w:tc>
        <w:tc>
          <w:tcPr>
            <w:tcW w:w="700" w:type="dxa"/>
            <w:vAlign w:val="bottom"/>
          </w:tcPr>
          <w:p>
            <w:pPr>
              <w:jc w:val="right"/>
              <w:ind w:right="112"/>
              <w:spacing w:after="0" w:line="149" w:lineRule="exact"/>
              <w:rPr>
                <w:sz w:val="20"/>
                <w:szCs w:val="20"/>
                <w:color w:val="auto"/>
              </w:rPr>
            </w:pPr>
            <w:r>
              <w:rPr>
                <w:rFonts w:ascii="Arial" w:cs="Arial" w:eastAsia="Arial" w:hAnsi="Arial"/>
                <w:sz w:val="14"/>
                <w:szCs w:val="14"/>
                <w:color w:val="auto"/>
              </w:rPr>
              <w:t>—</w:t>
            </w:r>
          </w:p>
        </w:tc>
        <w:tc>
          <w:tcPr>
            <w:tcW w:w="260" w:type="dxa"/>
            <w:vAlign w:val="bottom"/>
          </w:tcPr>
          <w:p>
            <w:pPr>
              <w:spacing w:after="0"/>
              <w:rPr>
                <w:sz w:val="12"/>
                <w:szCs w:val="12"/>
                <w:color w:val="auto"/>
              </w:rPr>
            </w:pPr>
          </w:p>
        </w:tc>
        <w:tc>
          <w:tcPr>
            <w:tcW w:w="620" w:type="dxa"/>
            <w:vAlign w:val="bottom"/>
          </w:tcPr>
          <w:p>
            <w:pPr>
              <w:jc w:val="right"/>
              <w:ind w:right="112"/>
              <w:spacing w:after="0" w:line="149" w:lineRule="exact"/>
              <w:rPr>
                <w:sz w:val="20"/>
                <w:szCs w:val="20"/>
                <w:color w:val="auto"/>
              </w:rPr>
            </w:pPr>
            <w:r>
              <w:rPr>
                <w:rFonts w:ascii="Arial" w:cs="Arial" w:eastAsia="Arial" w:hAnsi="Arial"/>
                <w:sz w:val="14"/>
                <w:szCs w:val="14"/>
                <w:color w:val="auto"/>
              </w:rPr>
              <w:t>—</w:t>
            </w:r>
          </w:p>
        </w:tc>
        <w:tc>
          <w:tcPr>
            <w:tcW w:w="260" w:type="dxa"/>
            <w:vAlign w:val="bottom"/>
          </w:tcPr>
          <w:p>
            <w:pPr>
              <w:spacing w:after="0"/>
              <w:rPr>
                <w:sz w:val="12"/>
                <w:szCs w:val="12"/>
                <w:color w:val="auto"/>
              </w:rPr>
            </w:pPr>
          </w:p>
        </w:tc>
        <w:tc>
          <w:tcPr>
            <w:tcW w:w="820" w:type="dxa"/>
            <w:vAlign w:val="bottom"/>
          </w:tcPr>
          <w:p>
            <w:pPr>
              <w:jc w:val="right"/>
              <w:ind w:right="112"/>
              <w:spacing w:after="0" w:line="149" w:lineRule="exact"/>
              <w:rPr>
                <w:sz w:val="20"/>
                <w:szCs w:val="20"/>
                <w:color w:val="auto"/>
              </w:rPr>
            </w:pPr>
            <w:r>
              <w:rPr>
                <w:rFonts w:ascii="Arial" w:cs="Arial" w:eastAsia="Arial" w:hAnsi="Arial"/>
                <w:sz w:val="14"/>
                <w:szCs w:val="14"/>
                <w:color w:val="auto"/>
              </w:rPr>
              <w:t>563</w:t>
            </w:r>
          </w:p>
        </w:tc>
        <w:tc>
          <w:tcPr>
            <w:tcW w:w="240" w:type="dxa"/>
            <w:vAlign w:val="bottom"/>
          </w:tcPr>
          <w:p>
            <w:pPr>
              <w:spacing w:after="0"/>
              <w:rPr>
                <w:sz w:val="12"/>
                <w:szCs w:val="12"/>
                <w:color w:val="auto"/>
              </w:rPr>
            </w:pPr>
          </w:p>
        </w:tc>
        <w:tc>
          <w:tcPr>
            <w:tcW w:w="900" w:type="dxa"/>
            <w:vAlign w:val="bottom"/>
          </w:tcPr>
          <w:p>
            <w:pPr>
              <w:jc w:val="right"/>
              <w:ind w:right="92"/>
              <w:spacing w:after="0" w:line="149" w:lineRule="exact"/>
              <w:rPr>
                <w:sz w:val="20"/>
                <w:szCs w:val="20"/>
                <w:color w:val="auto"/>
              </w:rPr>
            </w:pPr>
            <w:r>
              <w:rPr>
                <w:rFonts w:ascii="Arial" w:cs="Arial" w:eastAsia="Arial" w:hAnsi="Arial"/>
                <w:sz w:val="14"/>
                <w:szCs w:val="14"/>
                <w:color w:val="auto"/>
              </w:rPr>
              <w:t>—</w:t>
            </w:r>
          </w:p>
        </w:tc>
        <w:tc>
          <w:tcPr>
            <w:tcW w:w="200" w:type="dxa"/>
            <w:vAlign w:val="bottom"/>
          </w:tcPr>
          <w:p>
            <w:pPr>
              <w:spacing w:after="0"/>
              <w:rPr>
                <w:sz w:val="12"/>
                <w:szCs w:val="12"/>
                <w:color w:val="auto"/>
              </w:rPr>
            </w:pPr>
          </w:p>
        </w:tc>
        <w:tc>
          <w:tcPr>
            <w:tcW w:w="780" w:type="dxa"/>
            <w:vAlign w:val="bottom"/>
          </w:tcPr>
          <w:p>
            <w:pPr>
              <w:jc w:val="right"/>
              <w:spacing w:after="0" w:line="149" w:lineRule="exact"/>
              <w:rPr>
                <w:sz w:val="20"/>
                <w:szCs w:val="20"/>
                <w:color w:val="auto"/>
              </w:rPr>
            </w:pPr>
            <w:r>
              <w:rPr>
                <w:rFonts w:ascii="Arial" w:cs="Arial" w:eastAsia="Arial" w:hAnsi="Arial"/>
                <w:sz w:val="14"/>
                <w:szCs w:val="14"/>
                <w:b w:val="1"/>
                <w:bCs w:val="1"/>
                <w:color w:val="auto"/>
              </w:rPr>
              <w:t>563</w:t>
            </w:r>
          </w:p>
        </w:tc>
        <w:tc>
          <w:tcPr>
            <w:tcW w:w="0" w:type="dxa"/>
            <w:vAlign w:val="bottom"/>
          </w:tcPr>
          <w:p>
            <w:pPr>
              <w:spacing w:after="0"/>
              <w:rPr>
                <w:sz w:val="1"/>
                <w:szCs w:val="1"/>
                <w:color w:val="auto"/>
              </w:rPr>
            </w:pPr>
          </w:p>
        </w:tc>
      </w:tr>
      <w:tr>
        <w:trPr>
          <w:trHeight w:val="165"/>
        </w:trPr>
        <w:tc>
          <w:tcPr>
            <w:tcW w:w="20" w:type="dxa"/>
            <w:vAlign w:val="bottom"/>
          </w:tcPr>
          <w:p>
            <w:pPr>
              <w:spacing w:after="0"/>
              <w:rPr>
                <w:sz w:val="14"/>
                <w:szCs w:val="14"/>
                <w:color w:val="auto"/>
              </w:rPr>
            </w:pPr>
          </w:p>
        </w:tc>
        <w:tc>
          <w:tcPr>
            <w:tcW w:w="3800" w:type="dxa"/>
            <w:vAlign w:val="bottom"/>
            <w:tcBorders>
              <w:bottom w:val="single" w:sz="8" w:color="auto"/>
            </w:tcBorders>
          </w:tcPr>
          <w:p>
            <w:pPr>
              <w:ind w:left="200"/>
              <w:spacing w:after="0"/>
              <w:rPr>
                <w:sz w:val="20"/>
                <w:szCs w:val="20"/>
                <w:color w:val="auto"/>
              </w:rPr>
            </w:pPr>
            <w:r>
              <w:rPr>
                <w:rFonts w:ascii="Arial" w:cs="Arial" w:eastAsia="Arial" w:hAnsi="Arial"/>
                <w:sz w:val="14"/>
                <w:szCs w:val="14"/>
                <w:color w:val="auto"/>
              </w:rPr>
              <w:t>Current portion of long-term debt</w:t>
            </w:r>
          </w:p>
        </w:tc>
        <w:tc>
          <w:tcPr>
            <w:tcW w:w="280" w:type="dxa"/>
            <w:vAlign w:val="bottom"/>
            <w:tcBorders>
              <w:bottom w:val="single" w:sz="8" w:color="auto"/>
            </w:tcBorders>
          </w:tcPr>
          <w:p>
            <w:pPr>
              <w:spacing w:after="0"/>
              <w:rPr>
                <w:sz w:val="14"/>
                <w:szCs w:val="14"/>
                <w:color w:val="auto"/>
              </w:rPr>
            </w:pPr>
          </w:p>
        </w:tc>
        <w:tc>
          <w:tcPr>
            <w:tcW w:w="660" w:type="dxa"/>
            <w:vAlign w:val="bottom"/>
            <w:tcBorders>
              <w:bottom w:val="single" w:sz="8" w:color="auto"/>
            </w:tcBorders>
          </w:tcPr>
          <w:p>
            <w:pPr>
              <w:jc w:val="right"/>
              <w:ind w:right="152"/>
              <w:spacing w:after="0"/>
              <w:rPr>
                <w:sz w:val="20"/>
                <w:szCs w:val="20"/>
                <w:color w:val="auto"/>
              </w:rPr>
            </w:pPr>
            <w:r>
              <w:rPr>
                <w:rFonts w:ascii="Arial" w:cs="Arial" w:eastAsia="Arial" w:hAnsi="Arial"/>
                <w:sz w:val="14"/>
                <w:szCs w:val="14"/>
                <w:color w:val="auto"/>
              </w:rPr>
              <w:t>—</w:t>
            </w:r>
          </w:p>
        </w:tc>
        <w:tc>
          <w:tcPr>
            <w:tcW w:w="200" w:type="dxa"/>
            <w:vAlign w:val="bottom"/>
            <w:tcBorders>
              <w:bottom w:val="single" w:sz="8" w:color="auto"/>
            </w:tcBorders>
          </w:tcPr>
          <w:p>
            <w:pPr>
              <w:spacing w:after="0"/>
              <w:rPr>
                <w:sz w:val="14"/>
                <w:szCs w:val="14"/>
                <w:color w:val="auto"/>
              </w:rPr>
            </w:pPr>
          </w:p>
        </w:tc>
        <w:tc>
          <w:tcPr>
            <w:tcW w:w="580" w:type="dxa"/>
            <w:vAlign w:val="bottom"/>
            <w:tcBorders>
              <w:bottom w:val="single" w:sz="8" w:color="auto"/>
            </w:tcBorders>
          </w:tcPr>
          <w:p>
            <w:pPr>
              <w:jc w:val="right"/>
              <w:ind w:right="112"/>
              <w:spacing w:after="0"/>
              <w:rPr>
                <w:sz w:val="20"/>
                <w:szCs w:val="20"/>
                <w:color w:val="auto"/>
              </w:rPr>
            </w:pPr>
            <w:r>
              <w:rPr>
                <w:rFonts w:ascii="Arial" w:cs="Arial" w:eastAsia="Arial" w:hAnsi="Arial"/>
                <w:sz w:val="14"/>
                <w:szCs w:val="14"/>
                <w:color w:val="auto"/>
              </w:rPr>
              <w:t>600</w:t>
            </w:r>
          </w:p>
        </w:tc>
        <w:tc>
          <w:tcPr>
            <w:tcW w:w="240" w:type="dxa"/>
            <w:vAlign w:val="bottom"/>
            <w:tcBorders>
              <w:bottom w:val="single" w:sz="8" w:color="auto"/>
            </w:tcBorders>
          </w:tcPr>
          <w:p>
            <w:pPr>
              <w:spacing w:after="0"/>
              <w:rPr>
                <w:sz w:val="14"/>
                <w:szCs w:val="14"/>
                <w:color w:val="auto"/>
              </w:rPr>
            </w:pPr>
          </w:p>
        </w:tc>
        <w:tc>
          <w:tcPr>
            <w:tcW w:w="600" w:type="dxa"/>
            <w:vAlign w:val="bottom"/>
            <w:tcBorders>
              <w:bottom w:val="single" w:sz="8" w:color="auto"/>
            </w:tcBorders>
          </w:tcPr>
          <w:p>
            <w:pPr>
              <w:jc w:val="right"/>
              <w:ind w:right="112"/>
              <w:spacing w:after="0"/>
              <w:rPr>
                <w:sz w:val="20"/>
                <w:szCs w:val="20"/>
                <w:color w:val="auto"/>
              </w:rPr>
            </w:pPr>
            <w:r>
              <w:rPr>
                <w:rFonts w:ascii="Arial" w:cs="Arial" w:eastAsia="Arial" w:hAnsi="Arial"/>
                <w:sz w:val="14"/>
                <w:szCs w:val="14"/>
                <w:color w:val="auto"/>
              </w:rPr>
              <w:t>—</w:t>
            </w:r>
          </w:p>
        </w:tc>
        <w:tc>
          <w:tcPr>
            <w:tcW w:w="260" w:type="dxa"/>
            <w:vAlign w:val="bottom"/>
            <w:tcBorders>
              <w:bottom w:val="single" w:sz="8" w:color="auto"/>
            </w:tcBorders>
          </w:tcPr>
          <w:p>
            <w:pPr>
              <w:spacing w:after="0"/>
              <w:rPr>
                <w:sz w:val="14"/>
                <w:szCs w:val="14"/>
                <w:color w:val="auto"/>
              </w:rPr>
            </w:pPr>
          </w:p>
        </w:tc>
        <w:tc>
          <w:tcPr>
            <w:tcW w:w="700" w:type="dxa"/>
            <w:vAlign w:val="bottom"/>
            <w:tcBorders>
              <w:bottom w:val="single" w:sz="8" w:color="auto"/>
            </w:tcBorders>
          </w:tcPr>
          <w:p>
            <w:pPr>
              <w:jc w:val="right"/>
              <w:ind w:right="112"/>
              <w:spacing w:after="0"/>
              <w:rPr>
                <w:sz w:val="20"/>
                <w:szCs w:val="20"/>
                <w:color w:val="auto"/>
              </w:rPr>
            </w:pPr>
            <w:r>
              <w:rPr>
                <w:rFonts w:ascii="Arial" w:cs="Arial" w:eastAsia="Arial" w:hAnsi="Arial"/>
                <w:sz w:val="14"/>
                <w:szCs w:val="14"/>
                <w:color w:val="auto"/>
              </w:rPr>
              <w:t>242</w:t>
            </w:r>
          </w:p>
        </w:tc>
        <w:tc>
          <w:tcPr>
            <w:tcW w:w="260" w:type="dxa"/>
            <w:vAlign w:val="bottom"/>
            <w:tcBorders>
              <w:bottom w:val="single" w:sz="8" w:color="auto"/>
            </w:tcBorders>
          </w:tcPr>
          <w:p>
            <w:pPr>
              <w:spacing w:after="0"/>
              <w:rPr>
                <w:sz w:val="14"/>
                <w:szCs w:val="14"/>
                <w:color w:val="auto"/>
              </w:rPr>
            </w:pPr>
          </w:p>
        </w:tc>
        <w:tc>
          <w:tcPr>
            <w:tcW w:w="620" w:type="dxa"/>
            <w:vAlign w:val="bottom"/>
            <w:tcBorders>
              <w:bottom w:val="single" w:sz="8" w:color="auto"/>
            </w:tcBorders>
          </w:tcPr>
          <w:p>
            <w:pPr>
              <w:jc w:val="right"/>
              <w:ind w:right="112"/>
              <w:spacing w:after="0"/>
              <w:rPr>
                <w:sz w:val="20"/>
                <w:szCs w:val="20"/>
                <w:color w:val="auto"/>
              </w:rPr>
            </w:pPr>
            <w:r>
              <w:rPr>
                <w:rFonts w:ascii="Arial" w:cs="Arial" w:eastAsia="Arial" w:hAnsi="Arial"/>
                <w:sz w:val="14"/>
                <w:szCs w:val="14"/>
                <w:color w:val="auto"/>
              </w:rPr>
              <w:t>—</w:t>
            </w:r>
          </w:p>
        </w:tc>
        <w:tc>
          <w:tcPr>
            <w:tcW w:w="260" w:type="dxa"/>
            <w:vAlign w:val="bottom"/>
            <w:tcBorders>
              <w:bottom w:val="single" w:sz="8" w:color="auto"/>
            </w:tcBorders>
          </w:tcPr>
          <w:p>
            <w:pPr>
              <w:spacing w:after="0"/>
              <w:rPr>
                <w:sz w:val="14"/>
                <w:szCs w:val="14"/>
                <w:color w:val="auto"/>
              </w:rPr>
            </w:pPr>
          </w:p>
        </w:tc>
        <w:tc>
          <w:tcPr>
            <w:tcW w:w="820" w:type="dxa"/>
            <w:vAlign w:val="bottom"/>
            <w:tcBorders>
              <w:bottom w:val="single" w:sz="8" w:color="auto"/>
            </w:tcBorders>
          </w:tcPr>
          <w:p>
            <w:pPr>
              <w:jc w:val="right"/>
              <w:ind w:right="112"/>
              <w:spacing w:after="0"/>
              <w:rPr>
                <w:sz w:val="20"/>
                <w:szCs w:val="20"/>
                <w:color w:val="auto"/>
              </w:rPr>
            </w:pPr>
            <w:r>
              <w:rPr>
                <w:rFonts w:ascii="Arial" w:cs="Arial" w:eastAsia="Arial" w:hAnsi="Arial"/>
                <w:sz w:val="14"/>
                <w:szCs w:val="14"/>
                <w:color w:val="auto"/>
              </w:rPr>
              <w:t>141</w:t>
            </w:r>
          </w:p>
        </w:tc>
        <w:tc>
          <w:tcPr>
            <w:tcW w:w="240" w:type="dxa"/>
            <w:vAlign w:val="bottom"/>
            <w:tcBorders>
              <w:bottom w:val="single" w:sz="8" w:color="auto"/>
            </w:tcBorders>
          </w:tcPr>
          <w:p>
            <w:pPr>
              <w:spacing w:after="0"/>
              <w:rPr>
                <w:sz w:val="14"/>
                <w:szCs w:val="14"/>
                <w:color w:val="auto"/>
              </w:rPr>
            </w:pPr>
          </w:p>
        </w:tc>
        <w:tc>
          <w:tcPr>
            <w:tcW w:w="900" w:type="dxa"/>
            <w:vAlign w:val="bottom"/>
            <w:tcBorders>
              <w:bottom w:val="single" w:sz="8" w:color="auto"/>
            </w:tcBorders>
          </w:tcPr>
          <w:p>
            <w:pPr>
              <w:jc w:val="right"/>
              <w:ind w:right="92"/>
              <w:spacing w:after="0"/>
              <w:rPr>
                <w:sz w:val="20"/>
                <w:szCs w:val="20"/>
                <w:color w:val="auto"/>
              </w:rPr>
            </w:pPr>
            <w:r>
              <w:rPr>
                <w:rFonts w:ascii="Arial" w:cs="Arial" w:eastAsia="Arial" w:hAnsi="Arial"/>
                <w:sz w:val="14"/>
                <w:szCs w:val="14"/>
                <w:color w:val="auto"/>
              </w:rPr>
              <w:t>—</w:t>
            </w:r>
          </w:p>
        </w:tc>
        <w:tc>
          <w:tcPr>
            <w:tcW w:w="200" w:type="dxa"/>
            <w:vAlign w:val="bottom"/>
            <w:tcBorders>
              <w:bottom w:val="single" w:sz="8" w:color="auto"/>
            </w:tcBorders>
          </w:tcPr>
          <w:p>
            <w:pPr>
              <w:spacing w:after="0"/>
              <w:rPr>
                <w:sz w:val="14"/>
                <w:szCs w:val="14"/>
                <w:color w:val="auto"/>
              </w:rPr>
            </w:pPr>
          </w:p>
        </w:tc>
        <w:tc>
          <w:tcPr>
            <w:tcW w:w="78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983</w:t>
            </w: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3800" w:type="dxa"/>
            <w:vAlign w:val="bottom"/>
            <w:tcBorders>
              <w:bottom w:val="single" w:sz="8" w:color="auto"/>
            </w:tcBorders>
          </w:tcPr>
          <w:p>
            <w:pPr>
              <w:ind w:left="420"/>
              <w:spacing w:after="0" w:line="142" w:lineRule="exact"/>
              <w:rPr>
                <w:sz w:val="20"/>
                <w:szCs w:val="20"/>
                <w:color w:val="auto"/>
              </w:rPr>
            </w:pPr>
            <w:r>
              <w:rPr>
                <w:rFonts w:ascii="Arial" w:cs="Arial" w:eastAsia="Arial" w:hAnsi="Arial"/>
                <w:sz w:val="14"/>
                <w:szCs w:val="14"/>
                <w:color w:val="auto"/>
              </w:rPr>
              <w:t>Total current liabilities</w:t>
            </w:r>
          </w:p>
        </w:tc>
        <w:tc>
          <w:tcPr>
            <w:tcW w:w="280" w:type="dxa"/>
            <w:vAlign w:val="bottom"/>
            <w:tcBorders>
              <w:bottom w:val="single" w:sz="8" w:color="auto"/>
            </w:tcBorders>
          </w:tcPr>
          <w:p>
            <w:pPr>
              <w:spacing w:after="0"/>
              <w:rPr>
                <w:sz w:val="12"/>
                <w:szCs w:val="12"/>
                <w:color w:val="auto"/>
              </w:rPr>
            </w:pPr>
          </w:p>
        </w:tc>
        <w:tc>
          <w:tcPr>
            <w:tcW w:w="660" w:type="dxa"/>
            <w:vAlign w:val="bottom"/>
            <w:tcBorders>
              <w:bottom w:val="single" w:sz="8" w:color="auto"/>
            </w:tcBorders>
          </w:tcPr>
          <w:p>
            <w:pPr>
              <w:jc w:val="right"/>
              <w:ind w:right="152"/>
              <w:spacing w:after="0" w:line="142" w:lineRule="exact"/>
              <w:rPr>
                <w:sz w:val="20"/>
                <w:szCs w:val="20"/>
                <w:color w:val="auto"/>
              </w:rPr>
            </w:pPr>
            <w:r>
              <w:rPr>
                <w:rFonts w:ascii="Arial" w:cs="Arial" w:eastAsia="Arial" w:hAnsi="Arial"/>
                <w:sz w:val="14"/>
                <w:szCs w:val="14"/>
                <w:color w:val="auto"/>
              </w:rPr>
              <w:t>627</w:t>
            </w:r>
          </w:p>
        </w:tc>
        <w:tc>
          <w:tcPr>
            <w:tcW w:w="200" w:type="dxa"/>
            <w:vAlign w:val="bottom"/>
            <w:tcBorders>
              <w:bottom w:val="single" w:sz="8" w:color="auto"/>
            </w:tcBorders>
          </w:tcPr>
          <w:p>
            <w:pPr>
              <w:spacing w:after="0"/>
              <w:rPr>
                <w:sz w:val="12"/>
                <w:szCs w:val="12"/>
                <w:color w:val="auto"/>
              </w:rPr>
            </w:pPr>
          </w:p>
        </w:tc>
        <w:tc>
          <w:tcPr>
            <w:tcW w:w="580" w:type="dxa"/>
            <w:vAlign w:val="bottom"/>
            <w:tcBorders>
              <w:bottom w:val="single" w:sz="8" w:color="auto"/>
            </w:tcBorders>
          </w:tcPr>
          <w:p>
            <w:pPr>
              <w:jc w:val="right"/>
              <w:ind w:right="112"/>
              <w:spacing w:after="0" w:line="142" w:lineRule="exact"/>
              <w:rPr>
                <w:sz w:val="20"/>
                <w:szCs w:val="20"/>
                <w:color w:val="auto"/>
              </w:rPr>
            </w:pPr>
            <w:r>
              <w:rPr>
                <w:rFonts w:ascii="Arial" w:cs="Arial" w:eastAsia="Arial" w:hAnsi="Arial"/>
                <w:sz w:val="14"/>
                <w:szCs w:val="14"/>
                <w:color w:val="auto"/>
              </w:rPr>
              <w:t>847</w:t>
            </w:r>
          </w:p>
        </w:tc>
        <w:tc>
          <w:tcPr>
            <w:tcW w:w="240" w:type="dxa"/>
            <w:vAlign w:val="bottom"/>
            <w:tcBorders>
              <w:bottom w:val="single" w:sz="8" w:color="auto"/>
            </w:tcBorders>
          </w:tcPr>
          <w:p>
            <w:pPr>
              <w:spacing w:after="0"/>
              <w:rPr>
                <w:sz w:val="12"/>
                <w:szCs w:val="12"/>
                <w:color w:val="auto"/>
              </w:rPr>
            </w:pPr>
          </w:p>
        </w:tc>
        <w:tc>
          <w:tcPr>
            <w:tcW w:w="600" w:type="dxa"/>
            <w:vAlign w:val="bottom"/>
            <w:tcBorders>
              <w:bottom w:val="single" w:sz="8" w:color="auto"/>
            </w:tcBorders>
          </w:tcPr>
          <w:p>
            <w:pPr>
              <w:jc w:val="right"/>
              <w:ind w:right="112"/>
              <w:spacing w:after="0" w:line="142" w:lineRule="exact"/>
              <w:rPr>
                <w:sz w:val="20"/>
                <w:szCs w:val="20"/>
                <w:color w:val="auto"/>
              </w:rPr>
            </w:pPr>
            <w:r>
              <w:rPr>
                <w:rFonts w:ascii="Arial" w:cs="Arial" w:eastAsia="Arial" w:hAnsi="Arial"/>
                <w:sz w:val="14"/>
                <w:szCs w:val="14"/>
                <w:color w:val="auto"/>
              </w:rPr>
              <w:t>83</w:t>
            </w:r>
          </w:p>
        </w:tc>
        <w:tc>
          <w:tcPr>
            <w:tcW w:w="260" w:type="dxa"/>
            <w:vAlign w:val="bottom"/>
            <w:tcBorders>
              <w:bottom w:val="single" w:sz="8" w:color="auto"/>
            </w:tcBorders>
          </w:tcPr>
          <w:p>
            <w:pPr>
              <w:spacing w:after="0"/>
              <w:rPr>
                <w:sz w:val="12"/>
                <w:szCs w:val="12"/>
                <w:color w:val="auto"/>
              </w:rPr>
            </w:pPr>
          </w:p>
        </w:tc>
        <w:tc>
          <w:tcPr>
            <w:tcW w:w="700" w:type="dxa"/>
            <w:vAlign w:val="bottom"/>
            <w:tcBorders>
              <w:bottom w:val="single" w:sz="8" w:color="auto"/>
            </w:tcBorders>
          </w:tcPr>
          <w:p>
            <w:pPr>
              <w:jc w:val="right"/>
              <w:ind w:right="112"/>
              <w:spacing w:after="0" w:line="142" w:lineRule="exact"/>
              <w:rPr>
                <w:sz w:val="20"/>
                <w:szCs w:val="20"/>
                <w:color w:val="auto"/>
              </w:rPr>
            </w:pPr>
            <w:r>
              <w:rPr>
                <w:rFonts w:ascii="Arial" w:cs="Arial" w:eastAsia="Arial" w:hAnsi="Arial"/>
                <w:sz w:val="14"/>
                <w:szCs w:val="14"/>
                <w:color w:val="auto"/>
              </w:rPr>
              <w:t>348</w:t>
            </w:r>
          </w:p>
        </w:tc>
        <w:tc>
          <w:tcPr>
            <w:tcW w:w="260" w:type="dxa"/>
            <w:vAlign w:val="bottom"/>
            <w:tcBorders>
              <w:bottom w:val="single" w:sz="8" w:color="auto"/>
            </w:tcBorders>
          </w:tcPr>
          <w:p>
            <w:pPr>
              <w:spacing w:after="0"/>
              <w:rPr>
                <w:sz w:val="12"/>
                <w:szCs w:val="12"/>
                <w:color w:val="auto"/>
              </w:rPr>
            </w:pPr>
          </w:p>
        </w:tc>
        <w:tc>
          <w:tcPr>
            <w:tcW w:w="620" w:type="dxa"/>
            <w:vAlign w:val="bottom"/>
            <w:tcBorders>
              <w:bottom w:val="single" w:sz="8" w:color="auto"/>
            </w:tcBorders>
          </w:tcPr>
          <w:p>
            <w:pPr>
              <w:jc w:val="right"/>
              <w:ind w:right="112"/>
              <w:spacing w:after="0" w:line="142" w:lineRule="exact"/>
              <w:rPr>
                <w:sz w:val="20"/>
                <w:szCs w:val="20"/>
                <w:color w:val="auto"/>
              </w:rPr>
            </w:pPr>
            <w:r>
              <w:rPr>
                <w:rFonts w:ascii="Arial" w:cs="Arial" w:eastAsia="Arial" w:hAnsi="Arial"/>
                <w:sz w:val="14"/>
                <w:szCs w:val="14"/>
                <w:color w:val="auto"/>
              </w:rPr>
              <w:t>69</w:t>
            </w:r>
          </w:p>
        </w:tc>
        <w:tc>
          <w:tcPr>
            <w:tcW w:w="260" w:type="dxa"/>
            <w:vAlign w:val="bottom"/>
            <w:tcBorders>
              <w:bottom w:val="single" w:sz="8" w:color="auto"/>
            </w:tcBorders>
          </w:tcPr>
          <w:p>
            <w:pPr>
              <w:spacing w:after="0"/>
              <w:rPr>
                <w:sz w:val="12"/>
                <w:szCs w:val="12"/>
                <w:color w:val="auto"/>
              </w:rPr>
            </w:pPr>
          </w:p>
        </w:tc>
        <w:tc>
          <w:tcPr>
            <w:tcW w:w="820" w:type="dxa"/>
            <w:vAlign w:val="bottom"/>
            <w:tcBorders>
              <w:bottom w:val="single" w:sz="8" w:color="auto"/>
            </w:tcBorders>
          </w:tcPr>
          <w:p>
            <w:pPr>
              <w:jc w:val="right"/>
              <w:ind w:right="112"/>
              <w:spacing w:after="0" w:line="142" w:lineRule="exact"/>
              <w:rPr>
                <w:sz w:val="20"/>
                <w:szCs w:val="20"/>
                <w:color w:val="auto"/>
              </w:rPr>
            </w:pPr>
            <w:r>
              <w:rPr>
                <w:rFonts w:ascii="Arial" w:cs="Arial" w:eastAsia="Arial" w:hAnsi="Arial"/>
                <w:sz w:val="14"/>
                <w:szCs w:val="14"/>
                <w:color w:val="auto"/>
              </w:rPr>
              <w:t>5,466</w:t>
            </w:r>
          </w:p>
        </w:tc>
        <w:tc>
          <w:tcPr>
            <w:tcW w:w="240" w:type="dxa"/>
            <w:vAlign w:val="bottom"/>
            <w:tcBorders>
              <w:bottom w:val="single" w:sz="8" w:color="auto"/>
            </w:tcBorders>
          </w:tcPr>
          <w:p>
            <w:pPr>
              <w:spacing w:after="0"/>
              <w:rPr>
                <w:sz w:val="12"/>
                <w:szCs w:val="12"/>
                <w:color w:val="auto"/>
              </w:rPr>
            </w:pPr>
          </w:p>
        </w:tc>
        <w:tc>
          <w:tcPr>
            <w:tcW w:w="900" w:type="dxa"/>
            <w:vAlign w:val="bottom"/>
            <w:tcBorders>
              <w:bottom w:val="single" w:sz="8" w:color="auto"/>
            </w:tcBorders>
          </w:tcPr>
          <w:p>
            <w:pPr>
              <w:jc w:val="right"/>
              <w:ind w:right="92"/>
              <w:spacing w:after="0" w:line="142" w:lineRule="exact"/>
              <w:rPr>
                <w:sz w:val="20"/>
                <w:szCs w:val="20"/>
                <w:color w:val="auto"/>
              </w:rPr>
            </w:pPr>
            <w:r>
              <w:rPr>
                <w:rFonts w:ascii="Arial" w:cs="Arial" w:eastAsia="Arial" w:hAnsi="Arial"/>
                <w:sz w:val="14"/>
                <w:szCs w:val="14"/>
                <w:color w:val="auto"/>
              </w:rPr>
              <w:t>—</w:t>
            </w:r>
          </w:p>
        </w:tc>
        <w:tc>
          <w:tcPr>
            <w:tcW w:w="200" w:type="dxa"/>
            <w:vAlign w:val="bottom"/>
            <w:tcBorders>
              <w:bottom w:val="single" w:sz="8" w:color="auto"/>
            </w:tcBorders>
          </w:tcPr>
          <w:p>
            <w:pPr>
              <w:spacing w:after="0"/>
              <w:rPr>
                <w:sz w:val="12"/>
                <w:szCs w:val="12"/>
                <w:color w:val="auto"/>
              </w:rPr>
            </w:pPr>
          </w:p>
        </w:tc>
        <w:tc>
          <w:tcPr>
            <w:tcW w:w="780" w:type="dxa"/>
            <w:vAlign w:val="bottom"/>
            <w:tcBorders>
              <w:bottom w:val="single" w:sz="8" w:color="auto"/>
            </w:tcBorders>
          </w:tcPr>
          <w:p>
            <w:pPr>
              <w:jc w:val="right"/>
              <w:spacing w:after="0" w:line="142" w:lineRule="exact"/>
              <w:rPr>
                <w:sz w:val="20"/>
                <w:szCs w:val="20"/>
                <w:color w:val="auto"/>
              </w:rPr>
            </w:pPr>
            <w:r>
              <w:rPr>
                <w:rFonts w:ascii="Arial" w:cs="Arial" w:eastAsia="Arial" w:hAnsi="Arial"/>
                <w:sz w:val="14"/>
                <w:szCs w:val="14"/>
                <w:b w:val="1"/>
                <w:bCs w:val="1"/>
                <w:color w:val="auto"/>
              </w:rPr>
              <w:t>7,440</w:t>
            </w:r>
          </w:p>
        </w:tc>
        <w:tc>
          <w:tcPr>
            <w:tcW w:w="0" w:type="dxa"/>
            <w:vAlign w:val="bottom"/>
          </w:tcPr>
          <w:p>
            <w:pPr>
              <w:spacing w:after="0"/>
              <w:rPr>
                <w:sz w:val="1"/>
                <w:szCs w:val="1"/>
                <w:color w:val="auto"/>
              </w:rPr>
            </w:pPr>
          </w:p>
        </w:tc>
      </w:tr>
      <w:tr>
        <w:trPr>
          <w:trHeight w:val="125"/>
        </w:trPr>
        <w:tc>
          <w:tcPr>
            <w:tcW w:w="20" w:type="dxa"/>
            <w:vAlign w:val="bottom"/>
          </w:tcPr>
          <w:p>
            <w:pPr>
              <w:spacing w:after="0"/>
              <w:rPr>
                <w:sz w:val="10"/>
                <w:szCs w:val="10"/>
                <w:color w:val="auto"/>
              </w:rPr>
            </w:pPr>
          </w:p>
        </w:tc>
        <w:tc>
          <w:tcPr>
            <w:tcW w:w="3800" w:type="dxa"/>
            <w:vAlign w:val="bottom"/>
          </w:tcPr>
          <w:p>
            <w:pPr>
              <w:ind w:left="200"/>
              <w:spacing w:after="0" w:line="125" w:lineRule="exact"/>
              <w:rPr>
                <w:sz w:val="20"/>
                <w:szCs w:val="20"/>
                <w:color w:val="auto"/>
              </w:rPr>
            </w:pPr>
            <w:r>
              <w:rPr>
                <w:rFonts w:ascii="Arial" w:cs="Arial" w:eastAsia="Arial" w:hAnsi="Arial"/>
                <w:sz w:val="14"/>
                <w:szCs w:val="14"/>
                <w:color w:val="auto"/>
              </w:rPr>
              <w:t>Long-term debt, less current portion</w:t>
            </w:r>
          </w:p>
        </w:tc>
        <w:tc>
          <w:tcPr>
            <w:tcW w:w="280" w:type="dxa"/>
            <w:vAlign w:val="bottom"/>
          </w:tcPr>
          <w:p>
            <w:pPr>
              <w:spacing w:after="0"/>
              <w:rPr>
                <w:sz w:val="10"/>
                <w:szCs w:val="10"/>
                <w:color w:val="auto"/>
              </w:rPr>
            </w:pPr>
          </w:p>
        </w:tc>
        <w:tc>
          <w:tcPr>
            <w:tcW w:w="660" w:type="dxa"/>
            <w:vAlign w:val="bottom"/>
          </w:tcPr>
          <w:p>
            <w:pPr>
              <w:jc w:val="right"/>
              <w:ind w:right="152"/>
              <w:spacing w:after="0" w:line="125" w:lineRule="exact"/>
              <w:rPr>
                <w:sz w:val="20"/>
                <w:szCs w:val="20"/>
                <w:color w:val="auto"/>
              </w:rPr>
            </w:pPr>
            <w:r>
              <w:rPr>
                <w:rFonts w:ascii="Arial" w:cs="Arial" w:eastAsia="Arial" w:hAnsi="Arial"/>
                <w:sz w:val="14"/>
                <w:szCs w:val="14"/>
                <w:color w:val="auto"/>
                <w:w w:val="97"/>
              </w:rPr>
              <w:t>15,358</w:t>
            </w:r>
          </w:p>
        </w:tc>
        <w:tc>
          <w:tcPr>
            <w:tcW w:w="200" w:type="dxa"/>
            <w:vAlign w:val="bottom"/>
          </w:tcPr>
          <w:p>
            <w:pPr>
              <w:spacing w:after="0"/>
              <w:rPr>
                <w:sz w:val="10"/>
                <w:szCs w:val="10"/>
                <w:color w:val="auto"/>
              </w:rPr>
            </w:pPr>
          </w:p>
        </w:tc>
        <w:tc>
          <w:tcPr>
            <w:tcW w:w="580" w:type="dxa"/>
            <w:vAlign w:val="bottom"/>
          </w:tcPr>
          <w:p>
            <w:pPr>
              <w:jc w:val="right"/>
              <w:ind w:right="112"/>
              <w:spacing w:after="0" w:line="125" w:lineRule="exact"/>
              <w:rPr>
                <w:sz w:val="20"/>
                <w:szCs w:val="20"/>
                <w:color w:val="auto"/>
              </w:rPr>
            </w:pPr>
            <w:r>
              <w:rPr>
                <w:rFonts w:ascii="Arial" w:cs="Arial" w:eastAsia="Arial" w:hAnsi="Arial"/>
                <w:sz w:val="14"/>
                <w:szCs w:val="14"/>
                <w:color w:val="auto"/>
              </w:rPr>
              <w:t>4,397</w:t>
            </w:r>
          </w:p>
        </w:tc>
        <w:tc>
          <w:tcPr>
            <w:tcW w:w="240" w:type="dxa"/>
            <w:vAlign w:val="bottom"/>
          </w:tcPr>
          <w:p>
            <w:pPr>
              <w:spacing w:after="0"/>
              <w:rPr>
                <w:sz w:val="10"/>
                <w:szCs w:val="10"/>
                <w:color w:val="auto"/>
              </w:rPr>
            </w:pPr>
          </w:p>
        </w:tc>
        <w:tc>
          <w:tcPr>
            <w:tcW w:w="600" w:type="dxa"/>
            <w:vAlign w:val="bottom"/>
          </w:tcPr>
          <w:p>
            <w:pPr>
              <w:jc w:val="right"/>
              <w:ind w:right="112"/>
              <w:spacing w:after="0" w:line="125" w:lineRule="exact"/>
              <w:rPr>
                <w:sz w:val="20"/>
                <w:szCs w:val="20"/>
                <w:color w:val="auto"/>
              </w:rPr>
            </w:pPr>
            <w:r>
              <w:rPr>
                <w:rFonts w:ascii="Arial" w:cs="Arial" w:eastAsia="Arial" w:hAnsi="Arial"/>
                <w:sz w:val="14"/>
                <w:szCs w:val="14"/>
                <w:color w:val="auto"/>
              </w:rPr>
              <w:t>3,498</w:t>
            </w:r>
          </w:p>
        </w:tc>
        <w:tc>
          <w:tcPr>
            <w:tcW w:w="260" w:type="dxa"/>
            <w:vAlign w:val="bottom"/>
          </w:tcPr>
          <w:p>
            <w:pPr>
              <w:spacing w:after="0"/>
              <w:rPr>
                <w:sz w:val="10"/>
                <w:szCs w:val="10"/>
                <w:color w:val="auto"/>
              </w:rPr>
            </w:pPr>
          </w:p>
        </w:tc>
        <w:tc>
          <w:tcPr>
            <w:tcW w:w="700" w:type="dxa"/>
            <w:vAlign w:val="bottom"/>
          </w:tcPr>
          <w:p>
            <w:pPr>
              <w:jc w:val="right"/>
              <w:ind w:right="112"/>
              <w:spacing w:after="0" w:line="125" w:lineRule="exact"/>
              <w:rPr>
                <w:sz w:val="20"/>
                <w:szCs w:val="20"/>
                <w:color w:val="auto"/>
              </w:rPr>
            </w:pPr>
            <w:r>
              <w:rPr>
                <w:rFonts w:ascii="Arial" w:cs="Arial" w:eastAsia="Arial" w:hAnsi="Arial"/>
                <w:sz w:val="14"/>
                <w:szCs w:val="14"/>
                <w:color w:val="auto"/>
              </w:rPr>
              <w:t>3,046</w:t>
            </w:r>
          </w:p>
        </w:tc>
        <w:tc>
          <w:tcPr>
            <w:tcW w:w="260" w:type="dxa"/>
            <w:vAlign w:val="bottom"/>
          </w:tcPr>
          <w:p>
            <w:pPr>
              <w:spacing w:after="0"/>
              <w:rPr>
                <w:sz w:val="10"/>
                <w:szCs w:val="10"/>
                <w:color w:val="auto"/>
              </w:rPr>
            </w:pPr>
          </w:p>
        </w:tc>
        <w:tc>
          <w:tcPr>
            <w:tcW w:w="620" w:type="dxa"/>
            <w:vAlign w:val="bottom"/>
          </w:tcPr>
          <w:p>
            <w:pPr>
              <w:jc w:val="right"/>
              <w:ind w:right="112"/>
              <w:spacing w:after="0" w:line="125" w:lineRule="exact"/>
              <w:rPr>
                <w:sz w:val="20"/>
                <w:szCs w:val="20"/>
                <w:color w:val="auto"/>
              </w:rPr>
            </w:pPr>
            <w:r>
              <w:rPr>
                <w:rFonts w:ascii="Arial" w:cs="Arial" w:eastAsia="Arial" w:hAnsi="Arial"/>
                <w:sz w:val="14"/>
                <w:szCs w:val="14"/>
                <w:color w:val="auto"/>
              </w:rPr>
              <w:t>683</w:t>
            </w:r>
          </w:p>
        </w:tc>
        <w:tc>
          <w:tcPr>
            <w:tcW w:w="260" w:type="dxa"/>
            <w:vAlign w:val="bottom"/>
          </w:tcPr>
          <w:p>
            <w:pPr>
              <w:spacing w:after="0"/>
              <w:rPr>
                <w:sz w:val="10"/>
                <w:szCs w:val="10"/>
                <w:color w:val="auto"/>
              </w:rPr>
            </w:pPr>
          </w:p>
        </w:tc>
        <w:tc>
          <w:tcPr>
            <w:tcW w:w="820" w:type="dxa"/>
            <w:vAlign w:val="bottom"/>
          </w:tcPr>
          <w:p>
            <w:pPr>
              <w:jc w:val="right"/>
              <w:ind w:right="112"/>
              <w:spacing w:after="0" w:line="125" w:lineRule="exact"/>
              <w:rPr>
                <w:sz w:val="20"/>
                <w:szCs w:val="20"/>
                <w:color w:val="auto"/>
              </w:rPr>
            </w:pPr>
            <w:r>
              <w:rPr>
                <w:rFonts w:ascii="Arial" w:cs="Arial" w:eastAsia="Arial" w:hAnsi="Arial"/>
                <w:sz w:val="14"/>
                <w:szCs w:val="14"/>
                <w:color w:val="auto"/>
              </w:rPr>
              <w:t>1,010</w:t>
            </w:r>
          </w:p>
        </w:tc>
        <w:tc>
          <w:tcPr>
            <w:tcW w:w="240" w:type="dxa"/>
            <w:vAlign w:val="bottom"/>
          </w:tcPr>
          <w:p>
            <w:pPr>
              <w:spacing w:after="0"/>
              <w:rPr>
                <w:sz w:val="10"/>
                <w:szCs w:val="10"/>
                <w:color w:val="auto"/>
              </w:rPr>
            </w:pPr>
          </w:p>
        </w:tc>
        <w:tc>
          <w:tcPr>
            <w:tcW w:w="900" w:type="dxa"/>
            <w:vAlign w:val="bottom"/>
          </w:tcPr>
          <w:p>
            <w:pPr>
              <w:jc w:val="right"/>
              <w:ind w:right="92"/>
              <w:spacing w:after="0" w:line="125" w:lineRule="exact"/>
              <w:rPr>
                <w:sz w:val="20"/>
                <w:szCs w:val="20"/>
                <w:color w:val="auto"/>
              </w:rPr>
            </w:pPr>
            <w:r>
              <w:rPr>
                <w:rFonts w:ascii="Arial" w:cs="Arial" w:eastAsia="Arial" w:hAnsi="Arial"/>
                <w:sz w:val="14"/>
                <w:szCs w:val="14"/>
                <w:color w:val="auto"/>
              </w:rPr>
              <w:t>—</w:t>
            </w:r>
          </w:p>
        </w:tc>
        <w:tc>
          <w:tcPr>
            <w:tcW w:w="200" w:type="dxa"/>
            <w:vAlign w:val="bottom"/>
          </w:tcPr>
          <w:p>
            <w:pPr>
              <w:spacing w:after="0"/>
              <w:rPr>
                <w:sz w:val="10"/>
                <w:szCs w:val="10"/>
                <w:color w:val="auto"/>
              </w:rPr>
            </w:pPr>
          </w:p>
        </w:tc>
        <w:tc>
          <w:tcPr>
            <w:tcW w:w="780" w:type="dxa"/>
            <w:vAlign w:val="bottom"/>
          </w:tcPr>
          <w:p>
            <w:pPr>
              <w:jc w:val="right"/>
              <w:spacing w:after="0" w:line="125" w:lineRule="exact"/>
              <w:rPr>
                <w:sz w:val="20"/>
                <w:szCs w:val="20"/>
                <w:color w:val="auto"/>
              </w:rPr>
            </w:pPr>
            <w:r>
              <w:rPr>
                <w:rFonts w:ascii="Arial" w:cs="Arial" w:eastAsia="Arial" w:hAnsi="Arial"/>
                <w:sz w:val="14"/>
                <w:szCs w:val="14"/>
                <w:b w:val="1"/>
                <w:bCs w:val="1"/>
                <w:color w:val="auto"/>
              </w:rPr>
              <w:t>27,992</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800" w:type="dxa"/>
            <w:vAlign w:val="bottom"/>
          </w:tcPr>
          <w:p>
            <w:pPr>
              <w:ind w:left="200"/>
              <w:spacing w:after="0" w:line="149" w:lineRule="exact"/>
              <w:rPr>
                <w:sz w:val="20"/>
                <w:szCs w:val="20"/>
                <w:color w:val="auto"/>
              </w:rPr>
            </w:pPr>
            <w:r>
              <w:rPr>
                <w:rFonts w:ascii="Arial" w:cs="Arial" w:eastAsia="Arial" w:hAnsi="Arial"/>
                <w:sz w:val="14"/>
                <w:szCs w:val="14"/>
                <w:color w:val="auto"/>
              </w:rPr>
              <w:t>Deferred income taxes</w:t>
            </w:r>
          </w:p>
        </w:tc>
        <w:tc>
          <w:tcPr>
            <w:tcW w:w="280" w:type="dxa"/>
            <w:vAlign w:val="bottom"/>
          </w:tcPr>
          <w:p>
            <w:pPr>
              <w:spacing w:after="0"/>
              <w:rPr>
                <w:sz w:val="12"/>
                <w:szCs w:val="12"/>
                <w:color w:val="auto"/>
              </w:rPr>
            </w:pPr>
          </w:p>
        </w:tc>
        <w:tc>
          <w:tcPr>
            <w:tcW w:w="660" w:type="dxa"/>
            <w:vAlign w:val="bottom"/>
          </w:tcPr>
          <w:p>
            <w:pPr>
              <w:jc w:val="right"/>
              <w:ind w:right="152"/>
              <w:spacing w:after="0" w:line="149" w:lineRule="exact"/>
              <w:rPr>
                <w:sz w:val="20"/>
                <w:szCs w:val="20"/>
                <w:color w:val="auto"/>
              </w:rPr>
            </w:pPr>
            <w:r>
              <w:rPr>
                <w:rFonts w:ascii="Arial" w:cs="Arial" w:eastAsia="Arial" w:hAnsi="Arial"/>
                <w:sz w:val="14"/>
                <w:szCs w:val="14"/>
                <w:color w:val="auto"/>
              </w:rPr>
              <w:t>4,638</w:t>
            </w:r>
          </w:p>
        </w:tc>
        <w:tc>
          <w:tcPr>
            <w:tcW w:w="200" w:type="dxa"/>
            <w:vAlign w:val="bottom"/>
          </w:tcPr>
          <w:p>
            <w:pPr>
              <w:spacing w:after="0"/>
              <w:rPr>
                <w:sz w:val="12"/>
                <w:szCs w:val="12"/>
                <w:color w:val="auto"/>
              </w:rPr>
            </w:pPr>
          </w:p>
        </w:tc>
        <w:tc>
          <w:tcPr>
            <w:tcW w:w="580" w:type="dxa"/>
            <w:vAlign w:val="bottom"/>
          </w:tcPr>
          <w:p>
            <w:pPr>
              <w:jc w:val="right"/>
              <w:ind w:right="112"/>
              <w:spacing w:after="0" w:line="149" w:lineRule="exact"/>
              <w:rPr>
                <w:sz w:val="20"/>
                <w:szCs w:val="20"/>
                <w:color w:val="auto"/>
              </w:rPr>
            </w:pPr>
            <w:r>
              <w:rPr>
                <w:rFonts w:ascii="Arial" w:cs="Arial" w:eastAsia="Arial" w:hAnsi="Arial"/>
                <w:sz w:val="14"/>
                <w:szCs w:val="14"/>
                <w:color w:val="auto"/>
              </w:rPr>
              <w:t>—</w:t>
            </w:r>
          </w:p>
        </w:tc>
        <w:tc>
          <w:tcPr>
            <w:tcW w:w="240" w:type="dxa"/>
            <w:vAlign w:val="bottom"/>
          </w:tcPr>
          <w:p>
            <w:pPr>
              <w:spacing w:after="0"/>
              <w:rPr>
                <w:sz w:val="12"/>
                <w:szCs w:val="12"/>
                <w:color w:val="auto"/>
              </w:rPr>
            </w:pPr>
          </w:p>
        </w:tc>
        <w:tc>
          <w:tcPr>
            <w:tcW w:w="600" w:type="dxa"/>
            <w:vAlign w:val="bottom"/>
          </w:tcPr>
          <w:p>
            <w:pPr>
              <w:jc w:val="right"/>
              <w:ind w:right="112"/>
              <w:spacing w:after="0" w:line="149" w:lineRule="exact"/>
              <w:rPr>
                <w:sz w:val="20"/>
                <w:szCs w:val="20"/>
                <w:color w:val="auto"/>
              </w:rPr>
            </w:pPr>
            <w:r>
              <w:rPr>
                <w:rFonts w:ascii="Arial" w:cs="Arial" w:eastAsia="Arial" w:hAnsi="Arial"/>
                <w:sz w:val="14"/>
                <w:szCs w:val="14"/>
                <w:color w:val="auto"/>
              </w:rPr>
              <w:t>—</w:t>
            </w:r>
          </w:p>
        </w:tc>
        <w:tc>
          <w:tcPr>
            <w:tcW w:w="260" w:type="dxa"/>
            <w:vAlign w:val="bottom"/>
          </w:tcPr>
          <w:p>
            <w:pPr>
              <w:spacing w:after="0"/>
              <w:rPr>
                <w:sz w:val="12"/>
                <w:szCs w:val="12"/>
                <w:color w:val="auto"/>
              </w:rPr>
            </w:pPr>
          </w:p>
        </w:tc>
        <w:tc>
          <w:tcPr>
            <w:tcW w:w="700" w:type="dxa"/>
            <w:vAlign w:val="bottom"/>
          </w:tcPr>
          <w:p>
            <w:pPr>
              <w:jc w:val="right"/>
              <w:ind w:right="112"/>
              <w:spacing w:after="0" w:line="149" w:lineRule="exact"/>
              <w:rPr>
                <w:sz w:val="20"/>
                <w:szCs w:val="20"/>
                <w:color w:val="auto"/>
              </w:rPr>
            </w:pPr>
            <w:r>
              <w:rPr>
                <w:rFonts w:ascii="Arial" w:cs="Arial" w:eastAsia="Arial" w:hAnsi="Arial"/>
                <w:sz w:val="14"/>
                <w:szCs w:val="14"/>
                <w:color w:val="auto"/>
              </w:rPr>
              <w:t>—</w:t>
            </w:r>
          </w:p>
        </w:tc>
        <w:tc>
          <w:tcPr>
            <w:tcW w:w="260" w:type="dxa"/>
            <w:vAlign w:val="bottom"/>
          </w:tcPr>
          <w:p>
            <w:pPr>
              <w:spacing w:after="0"/>
              <w:rPr>
                <w:sz w:val="12"/>
                <w:szCs w:val="12"/>
                <w:color w:val="auto"/>
              </w:rPr>
            </w:pPr>
          </w:p>
        </w:tc>
        <w:tc>
          <w:tcPr>
            <w:tcW w:w="620" w:type="dxa"/>
            <w:vAlign w:val="bottom"/>
          </w:tcPr>
          <w:p>
            <w:pPr>
              <w:jc w:val="right"/>
              <w:ind w:right="112"/>
              <w:spacing w:after="0" w:line="149" w:lineRule="exact"/>
              <w:rPr>
                <w:sz w:val="20"/>
                <w:szCs w:val="20"/>
                <w:color w:val="auto"/>
              </w:rPr>
            </w:pPr>
            <w:r>
              <w:rPr>
                <w:rFonts w:ascii="Arial" w:cs="Arial" w:eastAsia="Arial" w:hAnsi="Arial"/>
                <w:sz w:val="14"/>
                <w:szCs w:val="14"/>
                <w:color w:val="auto"/>
              </w:rPr>
              <w:t>887</w:t>
            </w:r>
          </w:p>
        </w:tc>
        <w:tc>
          <w:tcPr>
            <w:tcW w:w="260" w:type="dxa"/>
            <w:vAlign w:val="bottom"/>
          </w:tcPr>
          <w:p>
            <w:pPr>
              <w:spacing w:after="0"/>
              <w:rPr>
                <w:sz w:val="12"/>
                <w:szCs w:val="12"/>
                <w:color w:val="auto"/>
              </w:rPr>
            </w:pPr>
          </w:p>
        </w:tc>
        <w:tc>
          <w:tcPr>
            <w:tcW w:w="820" w:type="dxa"/>
            <w:vAlign w:val="bottom"/>
          </w:tcPr>
          <w:p>
            <w:pPr>
              <w:jc w:val="right"/>
              <w:ind w:right="112"/>
              <w:spacing w:after="0" w:line="149" w:lineRule="exact"/>
              <w:rPr>
                <w:sz w:val="20"/>
                <w:szCs w:val="20"/>
                <w:color w:val="auto"/>
              </w:rPr>
            </w:pPr>
            <w:r>
              <w:rPr>
                <w:rFonts w:ascii="Arial" w:cs="Arial" w:eastAsia="Arial" w:hAnsi="Arial"/>
                <w:sz w:val="14"/>
                <w:szCs w:val="14"/>
                <w:color w:val="auto"/>
              </w:rPr>
              <w:t>21,564</w:t>
            </w:r>
          </w:p>
        </w:tc>
        <w:tc>
          <w:tcPr>
            <w:tcW w:w="240" w:type="dxa"/>
            <w:vAlign w:val="bottom"/>
          </w:tcPr>
          <w:p>
            <w:pPr>
              <w:spacing w:after="0"/>
              <w:rPr>
                <w:sz w:val="12"/>
                <w:szCs w:val="12"/>
                <w:color w:val="auto"/>
              </w:rPr>
            </w:pPr>
          </w:p>
        </w:tc>
        <w:tc>
          <w:tcPr>
            <w:tcW w:w="900" w:type="dxa"/>
            <w:vAlign w:val="bottom"/>
          </w:tcPr>
          <w:p>
            <w:pPr>
              <w:jc w:val="right"/>
              <w:ind w:right="92"/>
              <w:spacing w:after="0" w:line="149" w:lineRule="exact"/>
              <w:rPr>
                <w:sz w:val="20"/>
                <w:szCs w:val="20"/>
                <w:color w:val="auto"/>
              </w:rPr>
            </w:pPr>
            <w:r>
              <w:rPr>
                <w:rFonts w:ascii="Arial" w:cs="Arial" w:eastAsia="Arial" w:hAnsi="Arial"/>
                <w:sz w:val="14"/>
                <w:szCs w:val="14"/>
                <w:color w:val="auto"/>
              </w:rPr>
              <w:t>—</w:t>
            </w:r>
          </w:p>
        </w:tc>
        <w:tc>
          <w:tcPr>
            <w:tcW w:w="200" w:type="dxa"/>
            <w:vAlign w:val="bottom"/>
          </w:tcPr>
          <w:p>
            <w:pPr>
              <w:spacing w:after="0"/>
              <w:rPr>
                <w:sz w:val="12"/>
                <w:szCs w:val="12"/>
                <w:color w:val="auto"/>
              </w:rPr>
            </w:pPr>
          </w:p>
        </w:tc>
        <w:tc>
          <w:tcPr>
            <w:tcW w:w="780" w:type="dxa"/>
            <w:vAlign w:val="bottom"/>
          </w:tcPr>
          <w:p>
            <w:pPr>
              <w:jc w:val="right"/>
              <w:spacing w:after="0" w:line="149" w:lineRule="exact"/>
              <w:rPr>
                <w:sz w:val="20"/>
                <w:szCs w:val="20"/>
                <w:color w:val="auto"/>
              </w:rPr>
            </w:pPr>
            <w:r>
              <w:rPr>
                <w:rFonts w:ascii="Arial" w:cs="Arial" w:eastAsia="Arial" w:hAnsi="Arial"/>
                <w:sz w:val="14"/>
                <w:szCs w:val="14"/>
                <w:b w:val="1"/>
                <w:bCs w:val="1"/>
                <w:color w:val="auto"/>
              </w:rPr>
              <w:t>27,089</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800" w:type="dxa"/>
            <w:vAlign w:val="bottom"/>
          </w:tcPr>
          <w:p>
            <w:pPr>
              <w:ind w:left="200"/>
              <w:spacing w:after="0" w:line="149" w:lineRule="exact"/>
              <w:rPr>
                <w:sz w:val="20"/>
                <w:szCs w:val="20"/>
                <w:color w:val="auto"/>
              </w:rPr>
            </w:pPr>
            <w:r>
              <w:rPr>
                <w:rFonts w:ascii="Arial" w:cs="Arial" w:eastAsia="Arial" w:hAnsi="Arial"/>
                <w:sz w:val="14"/>
                <w:szCs w:val="14"/>
                <w:color w:val="auto"/>
              </w:rPr>
              <w:t>Other noncurrent liabilities</w:t>
            </w:r>
          </w:p>
        </w:tc>
        <w:tc>
          <w:tcPr>
            <w:tcW w:w="280" w:type="dxa"/>
            <w:vAlign w:val="bottom"/>
          </w:tcPr>
          <w:p>
            <w:pPr>
              <w:spacing w:after="0"/>
              <w:rPr>
                <w:sz w:val="12"/>
                <w:szCs w:val="12"/>
                <w:color w:val="auto"/>
              </w:rPr>
            </w:pPr>
          </w:p>
        </w:tc>
        <w:tc>
          <w:tcPr>
            <w:tcW w:w="660" w:type="dxa"/>
            <w:vAlign w:val="bottom"/>
          </w:tcPr>
          <w:p>
            <w:pPr>
              <w:jc w:val="right"/>
              <w:ind w:right="152"/>
              <w:spacing w:after="0" w:line="149" w:lineRule="exact"/>
              <w:rPr>
                <w:sz w:val="20"/>
                <w:szCs w:val="20"/>
                <w:color w:val="auto"/>
              </w:rPr>
            </w:pPr>
            <w:r>
              <w:rPr>
                <w:rFonts w:ascii="Arial" w:cs="Arial" w:eastAsia="Arial" w:hAnsi="Arial"/>
                <w:sz w:val="14"/>
                <w:szCs w:val="14"/>
                <w:color w:val="auto"/>
              </w:rPr>
              <w:t>1,117</w:t>
            </w:r>
          </w:p>
        </w:tc>
        <w:tc>
          <w:tcPr>
            <w:tcW w:w="200" w:type="dxa"/>
            <w:vAlign w:val="bottom"/>
          </w:tcPr>
          <w:p>
            <w:pPr>
              <w:spacing w:after="0"/>
              <w:rPr>
                <w:sz w:val="12"/>
                <w:szCs w:val="12"/>
                <w:color w:val="auto"/>
              </w:rPr>
            </w:pPr>
          </w:p>
        </w:tc>
        <w:tc>
          <w:tcPr>
            <w:tcW w:w="580" w:type="dxa"/>
            <w:vAlign w:val="bottom"/>
          </w:tcPr>
          <w:p>
            <w:pPr>
              <w:jc w:val="right"/>
              <w:ind w:right="112"/>
              <w:spacing w:after="0" w:line="149" w:lineRule="exact"/>
              <w:rPr>
                <w:sz w:val="20"/>
                <w:szCs w:val="20"/>
                <w:color w:val="auto"/>
              </w:rPr>
            </w:pPr>
            <w:r>
              <w:rPr>
                <w:rFonts w:ascii="Arial" w:cs="Arial" w:eastAsia="Arial" w:hAnsi="Arial"/>
                <w:sz w:val="14"/>
                <w:szCs w:val="14"/>
                <w:color w:val="auto"/>
              </w:rPr>
              <w:t>46</w:t>
            </w:r>
          </w:p>
        </w:tc>
        <w:tc>
          <w:tcPr>
            <w:tcW w:w="240" w:type="dxa"/>
            <w:vAlign w:val="bottom"/>
          </w:tcPr>
          <w:p>
            <w:pPr>
              <w:spacing w:after="0"/>
              <w:rPr>
                <w:sz w:val="12"/>
                <w:szCs w:val="12"/>
                <w:color w:val="auto"/>
              </w:rPr>
            </w:pPr>
          </w:p>
        </w:tc>
        <w:tc>
          <w:tcPr>
            <w:tcW w:w="600" w:type="dxa"/>
            <w:vAlign w:val="bottom"/>
          </w:tcPr>
          <w:p>
            <w:pPr>
              <w:jc w:val="right"/>
              <w:ind w:right="112"/>
              <w:spacing w:after="0" w:line="149" w:lineRule="exact"/>
              <w:rPr>
                <w:sz w:val="20"/>
                <w:szCs w:val="20"/>
                <w:color w:val="auto"/>
              </w:rPr>
            </w:pPr>
            <w:r>
              <w:rPr>
                <w:rFonts w:ascii="Arial" w:cs="Arial" w:eastAsia="Arial" w:hAnsi="Arial"/>
                <w:sz w:val="14"/>
                <w:szCs w:val="14"/>
                <w:color w:val="auto"/>
              </w:rPr>
              <w:t>—</w:t>
            </w:r>
          </w:p>
        </w:tc>
        <w:tc>
          <w:tcPr>
            <w:tcW w:w="260" w:type="dxa"/>
            <w:vAlign w:val="bottom"/>
          </w:tcPr>
          <w:p>
            <w:pPr>
              <w:spacing w:after="0"/>
              <w:rPr>
                <w:sz w:val="12"/>
                <w:szCs w:val="12"/>
                <w:color w:val="auto"/>
              </w:rPr>
            </w:pPr>
          </w:p>
        </w:tc>
        <w:tc>
          <w:tcPr>
            <w:tcW w:w="700" w:type="dxa"/>
            <w:vAlign w:val="bottom"/>
          </w:tcPr>
          <w:p>
            <w:pPr>
              <w:jc w:val="right"/>
              <w:ind w:right="112"/>
              <w:spacing w:after="0" w:line="149" w:lineRule="exact"/>
              <w:rPr>
                <w:sz w:val="20"/>
                <w:szCs w:val="20"/>
                <w:color w:val="auto"/>
              </w:rPr>
            </w:pPr>
            <w:r>
              <w:rPr>
                <w:rFonts w:ascii="Arial" w:cs="Arial" w:eastAsia="Arial" w:hAnsi="Arial"/>
                <w:sz w:val="14"/>
                <w:szCs w:val="14"/>
                <w:color w:val="auto"/>
              </w:rPr>
              <w:t>—</w:t>
            </w:r>
          </w:p>
        </w:tc>
        <w:tc>
          <w:tcPr>
            <w:tcW w:w="260" w:type="dxa"/>
            <w:vAlign w:val="bottom"/>
          </w:tcPr>
          <w:p>
            <w:pPr>
              <w:spacing w:after="0"/>
              <w:rPr>
                <w:sz w:val="12"/>
                <w:szCs w:val="12"/>
                <w:color w:val="auto"/>
              </w:rPr>
            </w:pPr>
          </w:p>
        </w:tc>
        <w:tc>
          <w:tcPr>
            <w:tcW w:w="620" w:type="dxa"/>
            <w:vAlign w:val="bottom"/>
          </w:tcPr>
          <w:p>
            <w:pPr>
              <w:jc w:val="right"/>
              <w:ind w:right="112"/>
              <w:spacing w:after="0" w:line="149" w:lineRule="exact"/>
              <w:rPr>
                <w:sz w:val="20"/>
                <w:szCs w:val="20"/>
                <w:color w:val="auto"/>
              </w:rPr>
            </w:pPr>
            <w:r>
              <w:rPr>
                <w:rFonts w:ascii="Arial" w:cs="Arial" w:eastAsia="Arial" w:hAnsi="Arial"/>
                <w:sz w:val="14"/>
                <w:szCs w:val="14"/>
                <w:color w:val="auto"/>
              </w:rPr>
              <w:t>76</w:t>
            </w:r>
          </w:p>
        </w:tc>
        <w:tc>
          <w:tcPr>
            <w:tcW w:w="260" w:type="dxa"/>
            <w:vAlign w:val="bottom"/>
          </w:tcPr>
          <w:p>
            <w:pPr>
              <w:spacing w:after="0"/>
              <w:rPr>
                <w:sz w:val="12"/>
                <w:szCs w:val="12"/>
                <w:color w:val="auto"/>
              </w:rPr>
            </w:pPr>
          </w:p>
        </w:tc>
        <w:tc>
          <w:tcPr>
            <w:tcW w:w="820" w:type="dxa"/>
            <w:vAlign w:val="bottom"/>
          </w:tcPr>
          <w:p>
            <w:pPr>
              <w:jc w:val="right"/>
              <w:ind w:right="112"/>
              <w:spacing w:after="0" w:line="149" w:lineRule="exact"/>
              <w:rPr>
                <w:sz w:val="20"/>
                <w:szCs w:val="20"/>
                <w:color w:val="auto"/>
              </w:rPr>
            </w:pPr>
            <w:r>
              <w:rPr>
                <w:rFonts w:ascii="Arial" w:cs="Arial" w:eastAsia="Arial" w:hAnsi="Arial"/>
                <w:sz w:val="14"/>
                <w:szCs w:val="14"/>
                <w:color w:val="auto"/>
              </w:rPr>
              <w:t>5,237</w:t>
            </w:r>
          </w:p>
        </w:tc>
        <w:tc>
          <w:tcPr>
            <w:tcW w:w="240" w:type="dxa"/>
            <w:vAlign w:val="bottom"/>
          </w:tcPr>
          <w:p>
            <w:pPr>
              <w:spacing w:after="0"/>
              <w:rPr>
                <w:sz w:val="12"/>
                <w:szCs w:val="12"/>
                <w:color w:val="auto"/>
              </w:rPr>
            </w:pPr>
          </w:p>
        </w:tc>
        <w:tc>
          <w:tcPr>
            <w:tcW w:w="900" w:type="dxa"/>
            <w:vAlign w:val="bottom"/>
          </w:tcPr>
          <w:p>
            <w:pPr>
              <w:jc w:val="right"/>
              <w:ind w:right="92"/>
              <w:spacing w:after="0" w:line="149" w:lineRule="exact"/>
              <w:rPr>
                <w:sz w:val="20"/>
                <w:szCs w:val="20"/>
                <w:color w:val="auto"/>
              </w:rPr>
            </w:pPr>
            <w:r>
              <w:rPr>
                <w:rFonts w:ascii="Arial" w:cs="Arial" w:eastAsia="Arial" w:hAnsi="Arial"/>
                <w:sz w:val="14"/>
                <w:szCs w:val="14"/>
                <w:color w:val="auto"/>
              </w:rPr>
              <w:t>—</w:t>
            </w:r>
          </w:p>
        </w:tc>
        <w:tc>
          <w:tcPr>
            <w:tcW w:w="200" w:type="dxa"/>
            <w:vAlign w:val="bottom"/>
          </w:tcPr>
          <w:p>
            <w:pPr>
              <w:spacing w:after="0"/>
              <w:rPr>
                <w:sz w:val="12"/>
                <w:szCs w:val="12"/>
                <w:color w:val="auto"/>
              </w:rPr>
            </w:pPr>
          </w:p>
        </w:tc>
        <w:tc>
          <w:tcPr>
            <w:tcW w:w="780" w:type="dxa"/>
            <w:vAlign w:val="bottom"/>
          </w:tcPr>
          <w:p>
            <w:pPr>
              <w:jc w:val="right"/>
              <w:spacing w:after="0" w:line="149" w:lineRule="exact"/>
              <w:rPr>
                <w:sz w:val="20"/>
                <w:szCs w:val="20"/>
                <w:color w:val="auto"/>
              </w:rPr>
            </w:pPr>
            <w:r>
              <w:rPr>
                <w:rFonts w:ascii="Arial" w:cs="Arial" w:eastAsia="Arial" w:hAnsi="Arial"/>
                <w:sz w:val="14"/>
                <w:szCs w:val="14"/>
                <w:b w:val="1"/>
                <w:bCs w:val="1"/>
                <w:color w:val="auto"/>
              </w:rPr>
              <w:t>6,476</w:t>
            </w:r>
          </w:p>
        </w:tc>
        <w:tc>
          <w:tcPr>
            <w:tcW w:w="0" w:type="dxa"/>
            <w:vAlign w:val="bottom"/>
          </w:tcPr>
          <w:p>
            <w:pPr>
              <w:spacing w:after="0"/>
              <w:rPr>
                <w:sz w:val="1"/>
                <w:szCs w:val="1"/>
                <w:color w:val="auto"/>
              </w:rPr>
            </w:pPr>
          </w:p>
        </w:tc>
      </w:tr>
      <w:tr>
        <w:trPr>
          <w:trHeight w:val="165"/>
        </w:trPr>
        <w:tc>
          <w:tcPr>
            <w:tcW w:w="20" w:type="dxa"/>
            <w:vAlign w:val="bottom"/>
          </w:tcPr>
          <w:p>
            <w:pPr>
              <w:spacing w:after="0"/>
              <w:rPr>
                <w:sz w:val="14"/>
                <w:szCs w:val="14"/>
                <w:color w:val="auto"/>
              </w:rPr>
            </w:pPr>
          </w:p>
        </w:tc>
        <w:tc>
          <w:tcPr>
            <w:tcW w:w="3800" w:type="dxa"/>
            <w:vAlign w:val="bottom"/>
          </w:tcPr>
          <w:p>
            <w:pPr>
              <w:ind w:left="200"/>
              <w:spacing w:after="0"/>
              <w:rPr>
                <w:sz w:val="20"/>
                <w:szCs w:val="20"/>
                <w:color w:val="auto"/>
              </w:rPr>
            </w:pPr>
            <w:r>
              <w:rPr>
                <w:rFonts w:ascii="Arial" w:cs="Arial" w:eastAsia="Arial" w:hAnsi="Arial"/>
                <w:sz w:val="14"/>
                <w:szCs w:val="14"/>
                <w:color w:val="auto"/>
              </w:rPr>
              <w:t>Minority interest</w:t>
            </w:r>
          </w:p>
        </w:tc>
        <w:tc>
          <w:tcPr>
            <w:tcW w:w="280" w:type="dxa"/>
            <w:vAlign w:val="bottom"/>
          </w:tcPr>
          <w:p>
            <w:pPr>
              <w:spacing w:after="0"/>
              <w:rPr>
                <w:sz w:val="14"/>
                <w:szCs w:val="14"/>
                <w:color w:val="auto"/>
              </w:rPr>
            </w:pPr>
          </w:p>
        </w:tc>
        <w:tc>
          <w:tcPr>
            <w:tcW w:w="660" w:type="dxa"/>
            <w:vAlign w:val="bottom"/>
          </w:tcPr>
          <w:p>
            <w:pPr>
              <w:jc w:val="right"/>
              <w:ind w:right="152"/>
              <w:spacing w:after="0"/>
              <w:rPr>
                <w:sz w:val="20"/>
                <w:szCs w:val="20"/>
                <w:color w:val="auto"/>
              </w:rPr>
            </w:pPr>
            <w:r>
              <w:rPr>
                <w:rFonts w:ascii="Arial" w:cs="Arial" w:eastAsia="Arial" w:hAnsi="Arial"/>
                <w:sz w:val="14"/>
                <w:szCs w:val="14"/>
                <w:color w:val="auto"/>
              </w:rPr>
              <w:t>—</w:t>
            </w:r>
          </w:p>
        </w:tc>
        <w:tc>
          <w:tcPr>
            <w:tcW w:w="200" w:type="dxa"/>
            <w:vAlign w:val="bottom"/>
          </w:tcPr>
          <w:p>
            <w:pPr>
              <w:spacing w:after="0"/>
              <w:rPr>
                <w:sz w:val="14"/>
                <w:szCs w:val="14"/>
                <w:color w:val="auto"/>
              </w:rPr>
            </w:pPr>
          </w:p>
        </w:tc>
        <w:tc>
          <w:tcPr>
            <w:tcW w:w="580" w:type="dxa"/>
            <w:vAlign w:val="bottom"/>
          </w:tcPr>
          <w:p>
            <w:pPr>
              <w:jc w:val="right"/>
              <w:ind w:right="112"/>
              <w:spacing w:after="0"/>
              <w:rPr>
                <w:sz w:val="20"/>
                <w:szCs w:val="20"/>
                <w:color w:val="auto"/>
              </w:rPr>
            </w:pPr>
            <w:r>
              <w:rPr>
                <w:rFonts w:ascii="Arial" w:cs="Arial" w:eastAsia="Arial" w:hAnsi="Arial"/>
                <w:sz w:val="14"/>
                <w:szCs w:val="14"/>
                <w:color w:val="auto"/>
              </w:rPr>
              <w:t>—</w:t>
            </w:r>
          </w:p>
        </w:tc>
        <w:tc>
          <w:tcPr>
            <w:tcW w:w="240" w:type="dxa"/>
            <w:vAlign w:val="bottom"/>
          </w:tcPr>
          <w:p>
            <w:pPr>
              <w:spacing w:after="0"/>
              <w:rPr>
                <w:sz w:val="14"/>
                <w:szCs w:val="14"/>
                <w:color w:val="auto"/>
              </w:rPr>
            </w:pPr>
          </w:p>
        </w:tc>
        <w:tc>
          <w:tcPr>
            <w:tcW w:w="600" w:type="dxa"/>
            <w:vAlign w:val="bottom"/>
          </w:tcPr>
          <w:p>
            <w:pPr>
              <w:jc w:val="right"/>
              <w:ind w:right="112"/>
              <w:spacing w:after="0"/>
              <w:rPr>
                <w:sz w:val="20"/>
                <w:szCs w:val="20"/>
                <w:color w:val="auto"/>
              </w:rPr>
            </w:pPr>
            <w:r>
              <w:rPr>
                <w:rFonts w:ascii="Arial" w:cs="Arial" w:eastAsia="Arial" w:hAnsi="Arial"/>
                <w:sz w:val="14"/>
                <w:szCs w:val="14"/>
                <w:color w:val="auto"/>
              </w:rPr>
              <w:t>—</w:t>
            </w:r>
          </w:p>
        </w:tc>
        <w:tc>
          <w:tcPr>
            <w:tcW w:w="260" w:type="dxa"/>
            <w:vAlign w:val="bottom"/>
          </w:tcPr>
          <w:p>
            <w:pPr>
              <w:spacing w:after="0"/>
              <w:rPr>
                <w:sz w:val="14"/>
                <w:szCs w:val="14"/>
                <w:color w:val="auto"/>
              </w:rPr>
            </w:pPr>
          </w:p>
        </w:tc>
        <w:tc>
          <w:tcPr>
            <w:tcW w:w="700" w:type="dxa"/>
            <w:vAlign w:val="bottom"/>
          </w:tcPr>
          <w:p>
            <w:pPr>
              <w:jc w:val="right"/>
              <w:ind w:right="112"/>
              <w:spacing w:after="0"/>
              <w:rPr>
                <w:sz w:val="20"/>
                <w:szCs w:val="20"/>
                <w:color w:val="auto"/>
              </w:rPr>
            </w:pPr>
            <w:r>
              <w:rPr>
                <w:rFonts w:ascii="Arial" w:cs="Arial" w:eastAsia="Arial" w:hAnsi="Arial"/>
                <w:sz w:val="14"/>
                <w:szCs w:val="14"/>
                <w:color w:val="auto"/>
              </w:rPr>
              <w:t>—</w:t>
            </w:r>
          </w:p>
        </w:tc>
        <w:tc>
          <w:tcPr>
            <w:tcW w:w="260" w:type="dxa"/>
            <w:vAlign w:val="bottom"/>
          </w:tcPr>
          <w:p>
            <w:pPr>
              <w:spacing w:after="0"/>
              <w:rPr>
                <w:sz w:val="14"/>
                <w:szCs w:val="14"/>
                <w:color w:val="auto"/>
              </w:rPr>
            </w:pPr>
          </w:p>
        </w:tc>
        <w:tc>
          <w:tcPr>
            <w:tcW w:w="620" w:type="dxa"/>
            <w:vAlign w:val="bottom"/>
          </w:tcPr>
          <w:p>
            <w:pPr>
              <w:jc w:val="right"/>
              <w:ind w:right="112"/>
              <w:spacing w:after="0"/>
              <w:rPr>
                <w:sz w:val="20"/>
                <w:szCs w:val="20"/>
                <w:color w:val="auto"/>
              </w:rPr>
            </w:pPr>
            <w:r>
              <w:rPr>
                <w:rFonts w:ascii="Arial" w:cs="Arial" w:eastAsia="Arial" w:hAnsi="Arial"/>
                <w:sz w:val="14"/>
                <w:szCs w:val="14"/>
                <w:color w:val="auto"/>
              </w:rPr>
              <w:t>—</w:t>
            </w:r>
          </w:p>
        </w:tc>
        <w:tc>
          <w:tcPr>
            <w:tcW w:w="260" w:type="dxa"/>
            <w:vAlign w:val="bottom"/>
          </w:tcPr>
          <w:p>
            <w:pPr>
              <w:spacing w:after="0"/>
              <w:rPr>
                <w:sz w:val="14"/>
                <w:szCs w:val="14"/>
                <w:color w:val="auto"/>
              </w:rPr>
            </w:pPr>
          </w:p>
        </w:tc>
        <w:tc>
          <w:tcPr>
            <w:tcW w:w="820" w:type="dxa"/>
            <w:vAlign w:val="bottom"/>
          </w:tcPr>
          <w:p>
            <w:pPr>
              <w:jc w:val="right"/>
              <w:ind w:right="112"/>
              <w:spacing w:after="0"/>
              <w:rPr>
                <w:sz w:val="20"/>
                <w:szCs w:val="20"/>
                <w:color w:val="auto"/>
              </w:rPr>
            </w:pPr>
            <w:r>
              <w:rPr>
                <w:rFonts w:ascii="Arial" w:cs="Arial" w:eastAsia="Arial" w:hAnsi="Arial"/>
                <w:sz w:val="14"/>
                <w:szCs w:val="14"/>
                <w:color w:val="auto"/>
              </w:rPr>
              <w:t>241</w:t>
            </w:r>
          </w:p>
        </w:tc>
        <w:tc>
          <w:tcPr>
            <w:tcW w:w="240" w:type="dxa"/>
            <w:vAlign w:val="bottom"/>
          </w:tcPr>
          <w:p>
            <w:pPr>
              <w:spacing w:after="0"/>
              <w:rPr>
                <w:sz w:val="14"/>
                <w:szCs w:val="14"/>
                <w:color w:val="auto"/>
              </w:rPr>
            </w:pPr>
          </w:p>
        </w:tc>
        <w:tc>
          <w:tcPr>
            <w:tcW w:w="900" w:type="dxa"/>
            <w:vAlign w:val="bottom"/>
          </w:tcPr>
          <w:p>
            <w:pPr>
              <w:jc w:val="right"/>
              <w:ind w:right="92"/>
              <w:spacing w:after="0"/>
              <w:rPr>
                <w:sz w:val="20"/>
                <w:szCs w:val="20"/>
                <w:color w:val="auto"/>
              </w:rPr>
            </w:pPr>
            <w:r>
              <w:rPr>
                <w:rFonts w:ascii="Arial" w:cs="Arial" w:eastAsia="Arial" w:hAnsi="Arial"/>
                <w:sz w:val="14"/>
                <w:szCs w:val="14"/>
                <w:color w:val="auto"/>
              </w:rPr>
              <w:t>—</w:t>
            </w:r>
          </w:p>
        </w:tc>
        <w:tc>
          <w:tcPr>
            <w:tcW w:w="200" w:type="dxa"/>
            <w:vAlign w:val="bottom"/>
          </w:tcPr>
          <w:p>
            <w:pPr>
              <w:spacing w:after="0"/>
              <w:rPr>
                <w:sz w:val="14"/>
                <w:szCs w:val="14"/>
                <w:color w:val="auto"/>
              </w:rPr>
            </w:pPr>
          </w:p>
        </w:tc>
        <w:tc>
          <w:tcPr>
            <w:tcW w:w="780" w:type="dxa"/>
            <w:vAlign w:val="bottom"/>
          </w:tcPr>
          <w:p>
            <w:pPr>
              <w:jc w:val="right"/>
              <w:spacing w:after="0"/>
              <w:rPr>
                <w:sz w:val="20"/>
                <w:szCs w:val="20"/>
                <w:color w:val="auto"/>
              </w:rPr>
            </w:pPr>
            <w:r>
              <w:rPr>
                <w:rFonts w:ascii="Arial" w:cs="Arial" w:eastAsia="Arial" w:hAnsi="Arial"/>
                <w:sz w:val="14"/>
                <w:szCs w:val="14"/>
                <w:b w:val="1"/>
                <w:bCs w:val="1"/>
                <w:color w:val="auto"/>
              </w:rPr>
              <w:t>241</w:t>
            </w:r>
          </w:p>
        </w:tc>
        <w:tc>
          <w:tcPr>
            <w:tcW w:w="0" w:type="dxa"/>
            <w:vAlign w:val="bottom"/>
          </w:tcPr>
          <w:p>
            <w:pPr>
              <w:spacing w:after="0"/>
              <w:rPr>
                <w:sz w:val="1"/>
                <w:szCs w:val="1"/>
                <w:color w:val="auto"/>
              </w:rPr>
            </w:pPr>
          </w:p>
        </w:tc>
      </w:tr>
      <w:tr>
        <w:trPr>
          <w:trHeight w:val="149"/>
        </w:trPr>
        <w:tc>
          <w:tcPr>
            <w:tcW w:w="3820" w:type="dxa"/>
            <w:vAlign w:val="bottom"/>
            <w:gridSpan w:val="2"/>
          </w:tcPr>
          <w:p>
            <w:pPr>
              <w:spacing w:after="0" w:line="149" w:lineRule="exact"/>
              <w:rPr>
                <w:sz w:val="20"/>
                <w:szCs w:val="20"/>
                <w:color w:val="auto"/>
              </w:rPr>
            </w:pPr>
            <w:r>
              <w:rPr>
                <w:rFonts w:ascii="Arial" w:cs="Arial" w:eastAsia="Arial" w:hAnsi="Arial"/>
                <w:sz w:val="14"/>
                <w:szCs w:val="14"/>
                <w:color w:val="auto"/>
              </w:rPr>
              <w:t>Stockholders’ Equity</w:t>
            </w:r>
          </w:p>
        </w:tc>
        <w:tc>
          <w:tcPr>
            <w:tcW w:w="28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90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780" w:type="dxa"/>
            <w:vAlign w:val="bottom"/>
            <w:vMerge w:val="restart"/>
          </w:tcPr>
          <w:p>
            <w:pPr>
              <w:jc w:val="right"/>
              <w:spacing w:after="0"/>
              <w:rPr>
                <w:sz w:val="20"/>
                <w:szCs w:val="20"/>
                <w:color w:val="auto"/>
              </w:rPr>
            </w:pPr>
            <w:r>
              <w:rPr>
                <w:rFonts w:ascii="Arial" w:cs="Arial" w:eastAsia="Arial" w:hAnsi="Arial"/>
                <w:sz w:val="14"/>
                <w:szCs w:val="14"/>
                <w:b w:val="1"/>
                <w:bCs w:val="1"/>
                <w:color w:val="auto"/>
              </w:rPr>
              <w:t>35</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3800" w:type="dxa"/>
            <w:vAlign w:val="bottom"/>
          </w:tcPr>
          <w:p>
            <w:pPr>
              <w:ind w:left="200"/>
              <w:spacing w:after="0" w:line="133" w:lineRule="exact"/>
              <w:rPr>
                <w:sz w:val="20"/>
                <w:szCs w:val="20"/>
                <w:color w:val="auto"/>
              </w:rPr>
            </w:pPr>
            <w:r>
              <w:rPr>
                <w:rFonts w:ascii="Arial" w:cs="Arial" w:eastAsia="Arial" w:hAnsi="Arial"/>
                <w:sz w:val="14"/>
                <w:szCs w:val="14"/>
                <w:color w:val="auto"/>
              </w:rPr>
              <w:t>Common stock</w:t>
            </w:r>
          </w:p>
        </w:tc>
        <w:tc>
          <w:tcPr>
            <w:tcW w:w="280" w:type="dxa"/>
            <w:vAlign w:val="bottom"/>
          </w:tcPr>
          <w:p>
            <w:pPr>
              <w:spacing w:after="0"/>
              <w:rPr>
                <w:sz w:val="11"/>
                <w:szCs w:val="11"/>
                <w:color w:val="auto"/>
              </w:rPr>
            </w:pPr>
          </w:p>
        </w:tc>
        <w:tc>
          <w:tcPr>
            <w:tcW w:w="660" w:type="dxa"/>
            <w:vAlign w:val="bottom"/>
          </w:tcPr>
          <w:p>
            <w:pPr>
              <w:jc w:val="right"/>
              <w:ind w:right="152"/>
              <w:spacing w:after="0" w:line="133" w:lineRule="exact"/>
              <w:rPr>
                <w:sz w:val="20"/>
                <w:szCs w:val="20"/>
                <w:color w:val="auto"/>
              </w:rPr>
            </w:pPr>
            <w:r>
              <w:rPr>
                <w:rFonts w:ascii="Arial" w:cs="Arial" w:eastAsia="Arial" w:hAnsi="Arial"/>
                <w:sz w:val="14"/>
                <w:szCs w:val="14"/>
                <w:color w:val="auto"/>
              </w:rPr>
              <w:t>35</w:t>
            </w:r>
          </w:p>
        </w:tc>
        <w:tc>
          <w:tcPr>
            <w:tcW w:w="200" w:type="dxa"/>
            <w:vAlign w:val="bottom"/>
          </w:tcPr>
          <w:p>
            <w:pPr>
              <w:spacing w:after="0"/>
              <w:rPr>
                <w:sz w:val="11"/>
                <w:szCs w:val="11"/>
                <w:color w:val="auto"/>
              </w:rPr>
            </w:pPr>
          </w:p>
        </w:tc>
        <w:tc>
          <w:tcPr>
            <w:tcW w:w="580" w:type="dxa"/>
            <w:vAlign w:val="bottom"/>
          </w:tcPr>
          <w:p>
            <w:pPr>
              <w:jc w:val="right"/>
              <w:ind w:right="112"/>
              <w:spacing w:after="0" w:line="133" w:lineRule="exact"/>
              <w:rPr>
                <w:sz w:val="20"/>
                <w:szCs w:val="20"/>
                <w:color w:val="auto"/>
              </w:rPr>
            </w:pPr>
            <w:r>
              <w:rPr>
                <w:rFonts w:ascii="Arial" w:cs="Arial" w:eastAsia="Arial" w:hAnsi="Arial"/>
                <w:sz w:val="14"/>
                <w:szCs w:val="14"/>
                <w:color w:val="auto"/>
              </w:rPr>
              <w:t>—</w:t>
            </w:r>
          </w:p>
        </w:tc>
        <w:tc>
          <w:tcPr>
            <w:tcW w:w="240" w:type="dxa"/>
            <w:vAlign w:val="bottom"/>
          </w:tcPr>
          <w:p>
            <w:pPr>
              <w:spacing w:after="0"/>
              <w:rPr>
                <w:sz w:val="11"/>
                <w:szCs w:val="11"/>
                <w:color w:val="auto"/>
              </w:rPr>
            </w:pPr>
          </w:p>
        </w:tc>
        <w:tc>
          <w:tcPr>
            <w:tcW w:w="600" w:type="dxa"/>
            <w:vAlign w:val="bottom"/>
          </w:tcPr>
          <w:p>
            <w:pPr>
              <w:jc w:val="right"/>
              <w:ind w:right="112"/>
              <w:spacing w:after="0" w:line="133" w:lineRule="exact"/>
              <w:rPr>
                <w:sz w:val="20"/>
                <w:szCs w:val="20"/>
                <w:color w:val="auto"/>
              </w:rPr>
            </w:pPr>
            <w:r>
              <w:rPr>
                <w:rFonts w:ascii="Arial" w:cs="Arial" w:eastAsia="Arial" w:hAnsi="Arial"/>
                <w:sz w:val="14"/>
                <w:szCs w:val="14"/>
                <w:color w:val="auto"/>
              </w:rPr>
              <w:t>—</w:t>
            </w:r>
          </w:p>
        </w:tc>
        <w:tc>
          <w:tcPr>
            <w:tcW w:w="260" w:type="dxa"/>
            <w:vAlign w:val="bottom"/>
          </w:tcPr>
          <w:p>
            <w:pPr>
              <w:spacing w:after="0"/>
              <w:rPr>
                <w:sz w:val="11"/>
                <w:szCs w:val="11"/>
                <w:color w:val="auto"/>
              </w:rPr>
            </w:pPr>
          </w:p>
        </w:tc>
        <w:tc>
          <w:tcPr>
            <w:tcW w:w="700" w:type="dxa"/>
            <w:vAlign w:val="bottom"/>
          </w:tcPr>
          <w:p>
            <w:pPr>
              <w:jc w:val="right"/>
              <w:ind w:right="112"/>
              <w:spacing w:after="0" w:line="133" w:lineRule="exact"/>
              <w:rPr>
                <w:sz w:val="20"/>
                <w:szCs w:val="20"/>
                <w:color w:val="auto"/>
              </w:rPr>
            </w:pPr>
            <w:r>
              <w:rPr>
                <w:rFonts w:ascii="Arial" w:cs="Arial" w:eastAsia="Arial" w:hAnsi="Arial"/>
                <w:sz w:val="14"/>
                <w:szCs w:val="14"/>
                <w:color w:val="auto"/>
              </w:rPr>
              <w:t>—</w:t>
            </w:r>
          </w:p>
        </w:tc>
        <w:tc>
          <w:tcPr>
            <w:tcW w:w="260" w:type="dxa"/>
            <w:vAlign w:val="bottom"/>
          </w:tcPr>
          <w:p>
            <w:pPr>
              <w:spacing w:after="0"/>
              <w:rPr>
                <w:sz w:val="11"/>
                <w:szCs w:val="11"/>
                <w:color w:val="auto"/>
              </w:rPr>
            </w:pPr>
          </w:p>
        </w:tc>
        <w:tc>
          <w:tcPr>
            <w:tcW w:w="620" w:type="dxa"/>
            <w:vAlign w:val="bottom"/>
          </w:tcPr>
          <w:p>
            <w:pPr>
              <w:jc w:val="right"/>
              <w:ind w:right="112"/>
              <w:spacing w:after="0" w:line="133" w:lineRule="exact"/>
              <w:rPr>
                <w:sz w:val="20"/>
                <w:szCs w:val="20"/>
                <w:color w:val="auto"/>
              </w:rPr>
            </w:pPr>
            <w:r>
              <w:rPr>
                <w:rFonts w:ascii="Arial" w:cs="Arial" w:eastAsia="Arial" w:hAnsi="Arial"/>
                <w:sz w:val="14"/>
                <w:szCs w:val="14"/>
                <w:color w:val="auto"/>
              </w:rPr>
              <w:t>—</w:t>
            </w:r>
          </w:p>
        </w:tc>
        <w:tc>
          <w:tcPr>
            <w:tcW w:w="260" w:type="dxa"/>
            <w:vAlign w:val="bottom"/>
          </w:tcPr>
          <w:p>
            <w:pPr>
              <w:spacing w:after="0"/>
              <w:rPr>
                <w:sz w:val="11"/>
                <w:szCs w:val="11"/>
                <w:color w:val="auto"/>
              </w:rPr>
            </w:pPr>
          </w:p>
        </w:tc>
        <w:tc>
          <w:tcPr>
            <w:tcW w:w="820" w:type="dxa"/>
            <w:vAlign w:val="bottom"/>
          </w:tcPr>
          <w:p>
            <w:pPr>
              <w:jc w:val="right"/>
              <w:ind w:right="112"/>
              <w:spacing w:after="0" w:line="133" w:lineRule="exact"/>
              <w:rPr>
                <w:sz w:val="20"/>
                <w:szCs w:val="20"/>
                <w:color w:val="auto"/>
              </w:rPr>
            </w:pPr>
            <w:r>
              <w:rPr>
                <w:rFonts w:ascii="Arial" w:cs="Arial" w:eastAsia="Arial" w:hAnsi="Arial"/>
                <w:sz w:val="14"/>
                <w:szCs w:val="14"/>
                <w:color w:val="auto"/>
              </w:rPr>
              <w:t>—</w:t>
            </w:r>
          </w:p>
        </w:tc>
        <w:tc>
          <w:tcPr>
            <w:tcW w:w="240" w:type="dxa"/>
            <w:vAlign w:val="bottom"/>
          </w:tcPr>
          <w:p>
            <w:pPr>
              <w:spacing w:after="0"/>
              <w:rPr>
                <w:sz w:val="11"/>
                <w:szCs w:val="11"/>
                <w:color w:val="auto"/>
              </w:rPr>
            </w:pPr>
          </w:p>
        </w:tc>
        <w:tc>
          <w:tcPr>
            <w:tcW w:w="900" w:type="dxa"/>
            <w:vAlign w:val="bottom"/>
          </w:tcPr>
          <w:p>
            <w:pPr>
              <w:jc w:val="right"/>
              <w:ind w:right="92"/>
              <w:spacing w:after="0" w:line="133" w:lineRule="exact"/>
              <w:rPr>
                <w:sz w:val="20"/>
                <w:szCs w:val="20"/>
                <w:color w:val="auto"/>
              </w:rPr>
            </w:pPr>
            <w:r>
              <w:rPr>
                <w:rFonts w:ascii="Arial" w:cs="Arial" w:eastAsia="Arial" w:hAnsi="Arial"/>
                <w:sz w:val="14"/>
                <w:szCs w:val="14"/>
                <w:color w:val="auto"/>
              </w:rPr>
              <w:t>—</w:t>
            </w:r>
          </w:p>
        </w:tc>
        <w:tc>
          <w:tcPr>
            <w:tcW w:w="200" w:type="dxa"/>
            <w:vAlign w:val="bottom"/>
          </w:tcPr>
          <w:p>
            <w:pPr>
              <w:spacing w:after="0"/>
              <w:rPr>
                <w:sz w:val="11"/>
                <w:szCs w:val="11"/>
                <w:color w:val="auto"/>
              </w:rPr>
            </w:pPr>
          </w:p>
        </w:tc>
        <w:tc>
          <w:tcPr>
            <w:tcW w:w="780" w:type="dxa"/>
            <w:vAlign w:val="bottom"/>
            <w:vMerge w:val="continue"/>
          </w:tcPr>
          <w:p>
            <w:pPr>
              <w:spacing w:after="0"/>
              <w:rPr>
                <w:sz w:val="11"/>
                <w:szCs w:val="11"/>
                <w:color w:val="auto"/>
              </w:rPr>
            </w:pPr>
          </w:p>
        </w:tc>
        <w:tc>
          <w:tcPr>
            <w:tcW w:w="0" w:type="dxa"/>
            <w:vAlign w:val="bottom"/>
          </w:tcPr>
          <w:p>
            <w:pPr>
              <w:spacing w:after="0"/>
              <w:rPr>
                <w:sz w:val="1"/>
                <w:szCs w:val="1"/>
                <w:color w:val="auto"/>
              </w:rPr>
            </w:pPr>
          </w:p>
        </w:tc>
      </w:tr>
      <w:tr>
        <w:trPr>
          <w:trHeight w:val="165"/>
        </w:trPr>
        <w:tc>
          <w:tcPr>
            <w:tcW w:w="20" w:type="dxa"/>
            <w:vAlign w:val="bottom"/>
          </w:tcPr>
          <w:p>
            <w:pPr>
              <w:spacing w:after="0"/>
              <w:rPr>
                <w:sz w:val="14"/>
                <w:szCs w:val="14"/>
                <w:color w:val="auto"/>
              </w:rPr>
            </w:pPr>
          </w:p>
        </w:tc>
        <w:tc>
          <w:tcPr>
            <w:tcW w:w="3800" w:type="dxa"/>
            <w:vAlign w:val="bottom"/>
            <w:tcBorders>
              <w:bottom w:val="single" w:sz="8" w:color="auto"/>
            </w:tcBorders>
          </w:tcPr>
          <w:p>
            <w:pPr>
              <w:ind w:left="200"/>
              <w:spacing w:after="0"/>
              <w:rPr>
                <w:sz w:val="20"/>
                <w:szCs w:val="20"/>
                <w:color w:val="auto"/>
              </w:rPr>
            </w:pPr>
            <w:r>
              <w:rPr>
                <w:rFonts w:ascii="Arial" w:cs="Arial" w:eastAsia="Arial" w:hAnsi="Arial"/>
                <w:sz w:val="14"/>
                <w:szCs w:val="14"/>
                <w:color w:val="auto"/>
              </w:rPr>
              <w:t>Other stockholders’ equity</w:t>
            </w:r>
          </w:p>
        </w:tc>
        <w:tc>
          <w:tcPr>
            <w:tcW w:w="280" w:type="dxa"/>
            <w:vAlign w:val="bottom"/>
            <w:tcBorders>
              <w:bottom w:val="single" w:sz="8" w:color="auto"/>
            </w:tcBorders>
          </w:tcPr>
          <w:p>
            <w:pPr>
              <w:spacing w:after="0"/>
              <w:rPr>
                <w:sz w:val="14"/>
                <w:szCs w:val="14"/>
                <w:color w:val="auto"/>
              </w:rPr>
            </w:pPr>
          </w:p>
        </w:tc>
        <w:tc>
          <w:tcPr>
            <w:tcW w:w="660" w:type="dxa"/>
            <w:vAlign w:val="bottom"/>
            <w:tcBorders>
              <w:bottom w:val="single" w:sz="8" w:color="auto"/>
            </w:tcBorders>
          </w:tcPr>
          <w:p>
            <w:pPr>
              <w:jc w:val="right"/>
              <w:ind w:right="152"/>
              <w:spacing w:after="0"/>
              <w:rPr>
                <w:sz w:val="20"/>
                <w:szCs w:val="20"/>
                <w:color w:val="auto"/>
              </w:rPr>
            </w:pPr>
            <w:r>
              <w:rPr>
                <w:rFonts w:ascii="Arial" w:cs="Arial" w:eastAsia="Arial" w:hAnsi="Arial"/>
                <w:sz w:val="14"/>
                <w:szCs w:val="14"/>
                <w:color w:val="auto"/>
                <w:w w:val="97"/>
              </w:rPr>
              <w:t>41,132</w:t>
            </w:r>
          </w:p>
        </w:tc>
        <w:tc>
          <w:tcPr>
            <w:tcW w:w="200" w:type="dxa"/>
            <w:vAlign w:val="bottom"/>
            <w:tcBorders>
              <w:bottom w:val="single" w:sz="8" w:color="auto"/>
            </w:tcBorders>
          </w:tcPr>
          <w:p>
            <w:pPr>
              <w:spacing w:after="0"/>
              <w:rPr>
                <w:sz w:val="14"/>
                <w:szCs w:val="14"/>
                <w:color w:val="auto"/>
              </w:rPr>
            </w:pPr>
          </w:p>
        </w:tc>
        <w:tc>
          <w:tcPr>
            <w:tcW w:w="580" w:type="dxa"/>
            <w:vAlign w:val="bottom"/>
            <w:tcBorders>
              <w:bottom w:val="single" w:sz="8" w:color="auto"/>
            </w:tcBorders>
          </w:tcPr>
          <w:p>
            <w:pPr>
              <w:jc w:val="right"/>
              <w:ind w:right="112"/>
              <w:spacing w:after="0"/>
              <w:rPr>
                <w:sz w:val="20"/>
                <w:szCs w:val="20"/>
                <w:color w:val="auto"/>
              </w:rPr>
            </w:pPr>
            <w:r>
              <w:rPr>
                <w:rFonts w:ascii="Arial" w:cs="Arial" w:eastAsia="Arial" w:hAnsi="Arial"/>
                <w:sz w:val="14"/>
                <w:szCs w:val="14"/>
                <w:color w:val="auto"/>
                <w:w w:val="88"/>
              </w:rPr>
              <w:t>25,879</w:t>
            </w:r>
          </w:p>
        </w:tc>
        <w:tc>
          <w:tcPr>
            <w:tcW w:w="240" w:type="dxa"/>
            <w:vAlign w:val="bottom"/>
            <w:tcBorders>
              <w:bottom w:val="single" w:sz="8" w:color="auto"/>
            </w:tcBorders>
          </w:tcPr>
          <w:p>
            <w:pPr>
              <w:spacing w:after="0"/>
              <w:rPr>
                <w:sz w:val="14"/>
                <w:szCs w:val="14"/>
                <w:color w:val="auto"/>
              </w:rPr>
            </w:pPr>
          </w:p>
        </w:tc>
        <w:tc>
          <w:tcPr>
            <w:tcW w:w="600" w:type="dxa"/>
            <w:vAlign w:val="bottom"/>
            <w:tcBorders>
              <w:bottom w:val="single" w:sz="8" w:color="auto"/>
            </w:tcBorders>
          </w:tcPr>
          <w:p>
            <w:pPr>
              <w:jc w:val="right"/>
              <w:ind w:right="112"/>
              <w:spacing w:after="0"/>
              <w:rPr>
                <w:sz w:val="20"/>
                <w:szCs w:val="20"/>
                <w:color w:val="auto"/>
              </w:rPr>
            </w:pPr>
            <w:r>
              <w:rPr>
                <w:rFonts w:ascii="Arial" w:cs="Arial" w:eastAsia="Arial" w:hAnsi="Arial"/>
                <w:sz w:val="14"/>
                <w:szCs w:val="14"/>
                <w:color w:val="auto"/>
                <w:w w:val="93"/>
              </w:rPr>
              <w:t>34,197</w:t>
            </w:r>
          </w:p>
        </w:tc>
        <w:tc>
          <w:tcPr>
            <w:tcW w:w="260" w:type="dxa"/>
            <w:vAlign w:val="bottom"/>
            <w:tcBorders>
              <w:bottom w:val="single" w:sz="8" w:color="auto"/>
            </w:tcBorders>
          </w:tcPr>
          <w:p>
            <w:pPr>
              <w:spacing w:after="0"/>
              <w:rPr>
                <w:sz w:val="14"/>
                <w:szCs w:val="14"/>
                <w:color w:val="auto"/>
              </w:rPr>
            </w:pPr>
          </w:p>
        </w:tc>
        <w:tc>
          <w:tcPr>
            <w:tcW w:w="700" w:type="dxa"/>
            <w:vAlign w:val="bottom"/>
            <w:tcBorders>
              <w:bottom w:val="single" w:sz="8" w:color="auto"/>
            </w:tcBorders>
          </w:tcPr>
          <w:p>
            <w:pPr>
              <w:jc w:val="right"/>
              <w:ind w:right="112"/>
              <w:spacing w:after="0"/>
              <w:rPr>
                <w:sz w:val="20"/>
                <w:szCs w:val="20"/>
                <w:color w:val="auto"/>
              </w:rPr>
            </w:pPr>
            <w:r>
              <w:rPr>
                <w:rFonts w:ascii="Arial" w:cs="Arial" w:eastAsia="Arial" w:hAnsi="Arial"/>
                <w:sz w:val="14"/>
                <w:szCs w:val="14"/>
                <w:color w:val="auto"/>
              </w:rPr>
              <w:t>37,757</w:t>
            </w:r>
          </w:p>
        </w:tc>
        <w:tc>
          <w:tcPr>
            <w:tcW w:w="260" w:type="dxa"/>
            <w:vAlign w:val="bottom"/>
            <w:tcBorders>
              <w:bottom w:val="single" w:sz="8" w:color="auto"/>
            </w:tcBorders>
          </w:tcPr>
          <w:p>
            <w:pPr>
              <w:spacing w:after="0"/>
              <w:rPr>
                <w:sz w:val="14"/>
                <w:szCs w:val="14"/>
                <w:color w:val="auto"/>
              </w:rPr>
            </w:pPr>
          </w:p>
        </w:tc>
        <w:tc>
          <w:tcPr>
            <w:tcW w:w="620" w:type="dxa"/>
            <w:vAlign w:val="bottom"/>
            <w:tcBorders>
              <w:bottom w:val="single" w:sz="8" w:color="auto"/>
            </w:tcBorders>
          </w:tcPr>
          <w:p>
            <w:pPr>
              <w:jc w:val="right"/>
              <w:ind w:right="112"/>
              <w:spacing w:after="0"/>
              <w:rPr>
                <w:sz w:val="20"/>
                <w:szCs w:val="20"/>
                <w:color w:val="auto"/>
              </w:rPr>
            </w:pPr>
            <w:r>
              <w:rPr>
                <w:rFonts w:ascii="Arial" w:cs="Arial" w:eastAsia="Arial" w:hAnsi="Arial"/>
                <w:sz w:val="14"/>
                <w:szCs w:val="14"/>
                <w:color w:val="auto"/>
                <w:w w:val="97"/>
              </w:rPr>
              <w:t>22,300</w:t>
            </w:r>
          </w:p>
        </w:tc>
        <w:tc>
          <w:tcPr>
            <w:tcW w:w="260" w:type="dxa"/>
            <w:vAlign w:val="bottom"/>
            <w:tcBorders>
              <w:bottom w:val="single" w:sz="8" w:color="auto"/>
            </w:tcBorders>
          </w:tcPr>
          <w:p>
            <w:pPr>
              <w:spacing w:after="0"/>
              <w:rPr>
                <w:sz w:val="14"/>
                <w:szCs w:val="14"/>
                <w:color w:val="auto"/>
              </w:rPr>
            </w:pPr>
          </w:p>
        </w:tc>
        <w:tc>
          <w:tcPr>
            <w:tcW w:w="820" w:type="dxa"/>
            <w:vAlign w:val="bottom"/>
            <w:tcBorders>
              <w:bottom w:val="single" w:sz="8" w:color="auto"/>
            </w:tcBorders>
          </w:tcPr>
          <w:p>
            <w:pPr>
              <w:jc w:val="right"/>
              <w:ind w:right="112"/>
              <w:spacing w:after="0"/>
              <w:rPr>
                <w:sz w:val="20"/>
                <w:szCs w:val="20"/>
                <w:color w:val="auto"/>
              </w:rPr>
            </w:pPr>
            <w:r>
              <w:rPr>
                <w:rFonts w:ascii="Arial" w:cs="Arial" w:eastAsia="Arial" w:hAnsi="Arial"/>
                <w:sz w:val="14"/>
                <w:szCs w:val="14"/>
                <w:color w:val="auto"/>
              </w:rPr>
              <w:t>78,428</w:t>
            </w:r>
          </w:p>
        </w:tc>
        <w:tc>
          <w:tcPr>
            <w:tcW w:w="240" w:type="dxa"/>
            <w:vAlign w:val="bottom"/>
            <w:tcBorders>
              <w:bottom w:val="single" w:sz="8" w:color="auto"/>
            </w:tcBorders>
          </w:tcPr>
          <w:p>
            <w:pPr>
              <w:spacing w:after="0"/>
              <w:rPr>
                <w:sz w:val="14"/>
                <w:szCs w:val="14"/>
                <w:color w:val="auto"/>
              </w:rPr>
            </w:pPr>
          </w:p>
        </w:tc>
        <w:tc>
          <w:tcPr>
            <w:tcW w:w="900" w:type="dxa"/>
            <w:vAlign w:val="bottom"/>
            <w:tcBorders>
              <w:bottom w:val="single" w:sz="8" w:color="auto"/>
            </w:tcBorders>
          </w:tcPr>
          <w:p>
            <w:pPr>
              <w:jc w:val="right"/>
              <w:ind w:right="32"/>
              <w:spacing w:after="0"/>
              <w:rPr>
                <w:sz w:val="20"/>
                <w:szCs w:val="20"/>
                <w:color w:val="auto"/>
              </w:rPr>
            </w:pPr>
            <w:r>
              <w:rPr>
                <w:rFonts w:ascii="Arial" w:cs="Arial" w:eastAsia="Arial" w:hAnsi="Arial"/>
                <w:sz w:val="14"/>
                <w:szCs w:val="14"/>
                <w:color w:val="auto"/>
              </w:rPr>
              <w:t>(198,561)</w:t>
            </w:r>
          </w:p>
        </w:tc>
        <w:tc>
          <w:tcPr>
            <w:tcW w:w="200" w:type="dxa"/>
            <w:vAlign w:val="bottom"/>
            <w:tcBorders>
              <w:bottom w:val="single" w:sz="8" w:color="auto"/>
            </w:tcBorders>
          </w:tcPr>
          <w:p>
            <w:pPr>
              <w:spacing w:after="0"/>
              <w:rPr>
                <w:sz w:val="14"/>
                <w:szCs w:val="14"/>
                <w:color w:val="auto"/>
              </w:rPr>
            </w:pPr>
          </w:p>
        </w:tc>
        <w:tc>
          <w:tcPr>
            <w:tcW w:w="78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41,132</w:t>
            </w: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3800" w:type="dxa"/>
            <w:vAlign w:val="bottom"/>
            <w:tcBorders>
              <w:bottom w:val="single" w:sz="8" w:color="auto"/>
            </w:tcBorders>
          </w:tcPr>
          <w:p>
            <w:pPr>
              <w:ind w:left="420"/>
              <w:spacing w:after="0" w:line="142" w:lineRule="exact"/>
              <w:rPr>
                <w:sz w:val="20"/>
                <w:szCs w:val="20"/>
                <w:color w:val="auto"/>
              </w:rPr>
            </w:pPr>
            <w:r>
              <w:rPr>
                <w:rFonts w:ascii="Arial" w:cs="Arial" w:eastAsia="Arial" w:hAnsi="Arial"/>
                <w:sz w:val="14"/>
                <w:szCs w:val="14"/>
                <w:color w:val="auto"/>
              </w:rPr>
              <w:t>Total stockholders’ equity</w:t>
            </w:r>
          </w:p>
        </w:tc>
        <w:tc>
          <w:tcPr>
            <w:tcW w:w="280" w:type="dxa"/>
            <w:vAlign w:val="bottom"/>
            <w:tcBorders>
              <w:bottom w:val="single" w:sz="8" w:color="auto"/>
            </w:tcBorders>
          </w:tcPr>
          <w:p>
            <w:pPr>
              <w:spacing w:after="0"/>
              <w:rPr>
                <w:sz w:val="12"/>
                <w:szCs w:val="12"/>
                <w:color w:val="auto"/>
              </w:rPr>
            </w:pPr>
          </w:p>
        </w:tc>
        <w:tc>
          <w:tcPr>
            <w:tcW w:w="660" w:type="dxa"/>
            <w:vAlign w:val="bottom"/>
            <w:tcBorders>
              <w:bottom w:val="single" w:sz="8" w:color="auto"/>
            </w:tcBorders>
          </w:tcPr>
          <w:p>
            <w:pPr>
              <w:jc w:val="right"/>
              <w:ind w:right="152"/>
              <w:spacing w:after="0" w:line="142" w:lineRule="exact"/>
              <w:rPr>
                <w:sz w:val="20"/>
                <w:szCs w:val="20"/>
                <w:color w:val="auto"/>
              </w:rPr>
            </w:pPr>
            <w:r>
              <w:rPr>
                <w:rFonts w:ascii="Arial" w:cs="Arial" w:eastAsia="Arial" w:hAnsi="Arial"/>
                <w:sz w:val="14"/>
                <w:szCs w:val="14"/>
                <w:color w:val="auto"/>
                <w:w w:val="97"/>
              </w:rPr>
              <w:t>41,167</w:t>
            </w:r>
          </w:p>
        </w:tc>
        <w:tc>
          <w:tcPr>
            <w:tcW w:w="200" w:type="dxa"/>
            <w:vAlign w:val="bottom"/>
            <w:tcBorders>
              <w:bottom w:val="single" w:sz="8" w:color="auto"/>
            </w:tcBorders>
          </w:tcPr>
          <w:p>
            <w:pPr>
              <w:spacing w:after="0"/>
              <w:rPr>
                <w:sz w:val="12"/>
                <w:szCs w:val="12"/>
                <w:color w:val="auto"/>
              </w:rPr>
            </w:pPr>
          </w:p>
        </w:tc>
        <w:tc>
          <w:tcPr>
            <w:tcW w:w="580" w:type="dxa"/>
            <w:vAlign w:val="bottom"/>
            <w:tcBorders>
              <w:bottom w:val="single" w:sz="8" w:color="auto"/>
            </w:tcBorders>
          </w:tcPr>
          <w:p>
            <w:pPr>
              <w:jc w:val="right"/>
              <w:ind w:right="112"/>
              <w:spacing w:after="0" w:line="142" w:lineRule="exact"/>
              <w:rPr>
                <w:sz w:val="20"/>
                <w:szCs w:val="20"/>
                <w:color w:val="auto"/>
              </w:rPr>
            </w:pPr>
            <w:r>
              <w:rPr>
                <w:rFonts w:ascii="Arial" w:cs="Arial" w:eastAsia="Arial" w:hAnsi="Arial"/>
                <w:sz w:val="14"/>
                <w:szCs w:val="14"/>
                <w:color w:val="auto"/>
                <w:w w:val="88"/>
              </w:rPr>
              <w:t>25,879</w:t>
            </w:r>
          </w:p>
        </w:tc>
        <w:tc>
          <w:tcPr>
            <w:tcW w:w="240" w:type="dxa"/>
            <w:vAlign w:val="bottom"/>
            <w:tcBorders>
              <w:bottom w:val="single" w:sz="8" w:color="auto"/>
            </w:tcBorders>
          </w:tcPr>
          <w:p>
            <w:pPr>
              <w:spacing w:after="0"/>
              <w:rPr>
                <w:sz w:val="12"/>
                <w:szCs w:val="12"/>
                <w:color w:val="auto"/>
              </w:rPr>
            </w:pPr>
          </w:p>
        </w:tc>
        <w:tc>
          <w:tcPr>
            <w:tcW w:w="600" w:type="dxa"/>
            <w:vAlign w:val="bottom"/>
            <w:tcBorders>
              <w:bottom w:val="single" w:sz="8" w:color="auto"/>
            </w:tcBorders>
          </w:tcPr>
          <w:p>
            <w:pPr>
              <w:jc w:val="right"/>
              <w:ind w:right="112"/>
              <w:spacing w:after="0" w:line="142" w:lineRule="exact"/>
              <w:rPr>
                <w:sz w:val="20"/>
                <w:szCs w:val="20"/>
                <w:color w:val="auto"/>
              </w:rPr>
            </w:pPr>
            <w:r>
              <w:rPr>
                <w:rFonts w:ascii="Arial" w:cs="Arial" w:eastAsia="Arial" w:hAnsi="Arial"/>
                <w:sz w:val="14"/>
                <w:szCs w:val="14"/>
                <w:color w:val="auto"/>
                <w:w w:val="93"/>
              </w:rPr>
              <w:t>34,197</w:t>
            </w:r>
          </w:p>
        </w:tc>
        <w:tc>
          <w:tcPr>
            <w:tcW w:w="260" w:type="dxa"/>
            <w:vAlign w:val="bottom"/>
            <w:tcBorders>
              <w:bottom w:val="single" w:sz="8" w:color="auto"/>
            </w:tcBorders>
          </w:tcPr>
          <w:p>
            <w:pPr>
              <w:spacing w:after="0"/>
              <w:rPr>
                <w:sz w:val="12"/>
                <w:szCs w:val="12"/>
                <w:color w:val="auto"/>
              </w:rPr>
            </w:pPr>
          </w:p>
        </w:tc>
        <w:tc>
          <w:tcPr>
            <w:tcW w:w="700" w:type="dxa"/>
            <w:vAlign w:val="bottom"/>
            <w:tcBorders>
              <w:bottom w:val="single" w:sz="8" w:color="auto"/>
            </w:tcBorders>
          </w:tcPr>
          <w:p>
            <w:pPr>
              <w:jc w:val="right"/>
              <w:ind w:right="112"/>
              <w:spacing w:after="0" w:line="142" w:lineRule="exact"/>
              <w:rPr>
                <w:sz w:val="20"/>
                <w:szCs w:val="20"/>
                <w:color w:val="auto"/>
              </w:rPr>
            </w:pPr>
            <w:r>
              <w:rPr>
                <w:rFonts w:ascii="Arial" w:cs="Arial" w:eastAsia="Arial" w:hAnsi="Arial"/>
                <w:sz w:val="14"/>
                <w:szCs w:val="14"/>
                <w:color w:val="auto"/>
              </w:rPr>
              <w:t>37,757</w:t>
            </w:r>
          </w:p>
        </w:tc>
        <w:tc>
          <w:tcPr>
            <w:tcW w:w="260" w:type="dxa"/>
            <w:vAlign w:val="bottom"/>
            <w:tcBorders>
              <w:bottom w:val="single" w:sz="8" w:color="auto"/>
            </w:tcBorders>
          </w:tcPr>
          <w:p>
            <w:pPr>
              <w:spacing w:after="0"/>
              <w:rPr>
                <w:sz w:val="12"/>
                <w:szCs w:val="12"/>
                <w:color w:val="auto"/>
              </w:rPr>
            </w:pPr>
          </w:p>
        </w:tc>
        <w:tc>
          <w:tcPr>
            <w:tcW w:w="620" w:type="dxa"/>
            <w:vAlign w:val="bottom"/>
            <w:tcBorders>
              <w:bottom w:val="single" w:sz="8" w:color="auto"/>
            </w:tcBorders>
          </w:tcPr>
          <w:p>
            <w:pPr>
              <w:jc w:val="right"/>
              <w:ind w:right="112"/>
              <w:spacing w:after="0" w:line="142" w:lineRule="exact"/>
              <w:rPr>
                <w:sz w:val="20"/>
                <w:szCs w:val="20"/>
                <w:color w:val="auto"/>
              </w:rPr>
            </w:pPr>
            <w:r>
              <w:rPr>
                <w:rFonts w:ascii="Arial" w:cs="Arial" w:eastAsia="Arial" w:hAnsi="Arial"/>
                <w:sz w:val="14"/>
                <w:szCs w:val="14"/>
                <w:color w:val="auto"/>
                <w:w w:val="97"/>
              </w:rPr>
              <w:t>22,300</w:t>
            </w:r>
          </w:p>
        </w:tc>
        <w:tc>
          <w:tcPr>
            <w:tcW w:w="260" w:type="dxa"/>
            <w:vAlign w:val="bottom"/>
            <w:tcBorders>
              <w:bottom w:val="single" w:sz="8" w:color="auto"/>
            </w:tcBorders>
          </w:tcPr>
          <w:p>
            <w:pPr>
              <w:spacing w:after="0"/>
              <w:rPr>
                <w:sz w:val="12"/>
                <w:szCs w:val="12"/>
                <w:color w:val="auto"/>
              </w:rPr>
            </w:pPr>
          </w:p>
        </w:tc>
        <w:tc>
          <w:tcPr>
            <w:tcW w:w="820" w:type="dxa"/>
            <w:vAlign w:val="bottom"/>
            <w:tcBorders>
              <w:bottom w:val="single" w:sz="8" w:color="auto"/>
            </w:tcBorders>
          </w:tcPr>
          <w:p>
            <w:pPr>
              <w:jc w:val="right"/>
              <w:ind w:right="112"/>
              <w:spacing w:after="0" w:line="142" w:lineRule="exact"/>
              <w:rPr>
                <w:sz w:val="20"/>
                <w:szCs w:val="20"/>
                <w:color w:val="auto"/>
              </w:rPr>
            </w:pPr>
            <w:r>
              <w:rPr>
                <w:rFonts w:ascii="Arial" w:cs="Arial" w:eastAsia="Arial" w:hAnsi="Arial"/>
                <w:sz w:val="14"/>
                <w:szCs w:val="14"/>
                <w:color w:val="auto"/>
              </w:rPr>
              <w:t>78,428</w:t>
            </w:r>
          </w:p>
        </w:tc>
        <w:tc>
          <w:tcPr>
            <w:tcW w:w="240" w:type="dxa"/>
            <w:vAlign w:val="bottom"/>
            <w:tcBorders>
              <w:bottom w:val="single" w:sz="8" w:color="auto"/>
            </w:tcBorders>
          </w:tcPr>
          <w:p>
            <w:pPr>
              <w:spacing w:after="0"/>
              <w:rPr>
                <w:sz w:val="12"/>
                <w:szCs w:val="12"/>
                <w:color w:val="auto"/>
              </w:rPr>
            </w:pPr>
          </w:p>
        </w:tc>
        <w:tc>
          <w:tcPr>
            <w:tcW w:w="900" w:type="dxa"/>
            <w:vAlign w:val="bottom"/>
            <w:tcBorders>
              <w:bottom w:val="single" w:sz="8" w:color="auto"/>
            </w:tcBorders>
          </w:tcPr>
          <w:p>
            <w:pPr>
              <w:jc w:val="right"/>
              <w:ind w:right="32"/>
              <w:spacing w:after="0" w:line="142" w:lineRule="exact"/>
              <w:rPr>
                <w:sz w:val="20"/>
                <w:szCs w:val="20"/>
                <w:color w:val="auto"/>
              </w:rPr>
            </w:pPr>
            <w:r>
              <w:rPr>
                <w:rFonts w:ascii="Arial" w:cs="Arial" w:eastAsia="Arial" w:hAnsi="Arial"/>
                <w:sz w:val="14"/>
                <w:szCs w:val="14"/>
                <w:color w:val="auto"/>
              </w:rPr>
              <w:t>(198,561)</w:t>
            </w:r>
          </w:p>
        </w:tc>
        <w:tc>
          <w:tcPr>
            <w:tcW w:w="200" w:type="dxa"/>
            <w:vAlign w:val="bottom"/>
            <w:tcBorders>
              <w:bottom w:val="single" w:sz="8" w:color="auto"/>
            </w:tcBorders>
          </w:tcPr>
          <w:p>
            <w:pPr>
              <w:spacing w:after="0"/>
              <w:rPr>
                <w:sz w:val="12"/>
                <w:szCs w:val="12"/>
                <w:color w:val="auto"/>
              </w:rPr>
            </w:pPr>
          </w:p>
        </w:tc>
        <w:tc>
          <w:tcPr>
            <w:tcW w:w="780" w:type="dxa"/>
            <w:vAlign w:val="bottom"/>
            <w:tcBorders>
              <w:bottom w:val="single" w:sz="8" w:color="auto"/>
            </w:tcBorders>
          </w:tcPr>
          <w:p>
            <w:pPr>
              <w:jc w:val="right"/>
              <w:spacing w:after="0" w:line="142" w:lineRule="exact"/>
              <w:rPr>
                <w:sz w:val="20"/>
                <w:szCs w:val="20"/>
                <w:color w:val="auto"/>
              </w:rPr>
            </w:pPr>
            <w:r>
              <w:rPr>
                <w:rFonts w:ascii="Arial" w:cs="Arial" w:eastAsia="Arial" w:hAnsi="Arial"/>
                <w:sz w:val="14"/>
                <w:szCs w:val="14"/>
                <w:b w:val="1"/>
                <w:bCs w:val="1"/>
                <w:color w:val="auto"/>
              </w:rPr>
              <w:t>41,167</w:t>
            </w: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3800" w:type="dxa"/>
            <w:vAlign w:val="bottom"/>
            <w:tcBorders>
              <w:bottom w:val="single" w:sz="8" w:color="auto"/>
            </w:tcBorders>
          </w:tcPr>
          <w:p>
            <w:pPr>
              <w:ind w:left="420"/>
              <w:spacing w:after="0" w:line="142" w:lineRule="exact"/>
              <w:rPr>
                <w:sz w:val="20"/>
                <w:szCs w:val="20"/>
                <w:color w:val="auto"/>
              </w:rPr>
            </w:pPr>
            <w:r>
              <w:rPr>
                <w:rFonts w:ascii="Arial" w:cs="Arial" w:eastAsia="Arial" w:hAnsi="Arial"/>
                <w:sz w:val="14"/>
                <w:szCs w:val="14"/>
                <w:color w:val="auto"/>
              </w:rPr>
              <w:t>Total liabilities and stockholders’ equity</w:t>
            </w:r>
          </w:p>
        </w:tc>
        <w:tc>
          <w:tcPr>
            <w:tcW w:w="280" w:type="dxa"/>
            <w:vAlign w:val="bottom"/>
            <w:tcBorders>
              <w:bottom w:val="single" w:sz="8" w:color="auto"/>
            </w:tcBorders>
          </w:tcPr>
          <w:p>
            <w:pPr>
              <w:ind w:left="180"/>
              <w:spacing w:after="0" w:line="142" w:lineRule="exact"/>
              <w:rPr>
                <w:sz w:val="20"/>
                <w:szCs w:val="20"/>
                <w:color w:val="auto"/>
              </w:rPr>
            </w:pPr>
            <w:r>
              <w:rPr>
                <w:rFonts w:ascii="Arial" w:cs="Arial" w:eastAsia="Arial" w:hAnsi="Arial"/>
                <w:sz w:val="14"/>
                <w:szCs w:val="14"/>
                <w:color w:val="auto"/>
              </w:rPr>
              <w:t>$</w:t>
            </w:r>
          </w:p>
        </w:tc>
        <w:tc>
          <w:tcPr>
            <w:tcW w:w="660" w:type="dxa"/>
            <w:vAlign w:val="bottom"/>
            <w:tcBorders>
              <w:bottom w:val="single" w:sz="8" w:color="auto"/>
            </w:tcBorders>
          </w:tcPr>
          <w:p>
            <w:pPr>
              <w:jc w:val="right"/>
              <w:ind w:right="152"/>
              <w:spacing w:after="0" w:line="142" w:lineRule="exact"/>
              <w:rPr>
                <w:sz w:val="20"/>
                <w:szCs w:val="20"/>
                <w:color w:val="auto"/>
              </w:rPr>
            </w:pPr>
            <w:r>
              <w:rPr>
                <w:rFonts w:ascii="Arial" w:cs="Arial" w:eastAsia="Arial" w:hAnsi="Arial"/>
                <w:sz w:val="14"/>
                <w:szCs w:val="14"/>
                <w:color w:val="auto"/>
                <w:w w:val="97"/>
              </w:rPr>
              <w:t>62,907</w:t>
            </w:r>
          </w:p>
        </w:tc>
        <w:tc>
          <w:tcPr>
            <w:tcW w:w="200" w:type="dxa"/>
            <w:vAlign w:val="bottom"/>
            <w:tcBorders>
              <w:bottom w:val="single" w:sz="8" w:color="auto"/>
            </w:tcBorders>
          </w:tcPr>
          <w:p>
            <w:pPr>
              <w:jc w:val="right"/>
              <w:spacing w:after="0" w:line="142" w:lineRule="exact"/>
              <w:rPr>
                <w:sz w:val="20"/>
                <w:szCs w:val="20"/>
                <w:color w:val="auto"/>
              </w:rPr>
            </w:pPr>
            <w:r>
              <w:rPr>
                <w:rFonts w:ascii="Arial" w:cs="Arial" w:eastAsia="Arial" w:hAnsi="Arial"/>
                <w:sz w:val="14"/>
                <w:szCs w:val="14"/>
                <w:color w:val="auto"/>
              </w:rPr>
              <w:t>$</w:t>
            </w:r>
          </w:p>
        </w:tc>
        <w:tc>
          <w:tcPr>
            <w:tcW w:w="580" w:type="dxa"/>
            <w:vAlign w:val="bottom"/>
            <w:tcBorders>
              <w:bottom w:val="single" w:sz="8" w:color="auto"/>
            </w:tcBorders>
          </w:tcPr>
          <w:p>
            <w:pPr>
              <w:jc w:val="right"/>
              <w:ind w:right="112"/>
              <w:spacing w:after="0" w:line="142" w:lineRule="exact"/>
              <w:rPr>
                <w:sz w:val="20"/>
                <w:szCs w:val="20"/>
                <w:color w:val="auto"/>
              </w:rPr>
            </w:pPr>
            <w:r>
              <w:rPr>
                <w:rFonts w:ascii="Arial" w:cs="Arial" w:eastAsia="Arial" w:hAnsi="Arial"/>
                <w:sz w:val="14"/>
                <w:szCs w:val="14"/>
                <w:color w:val="auto"/>
                <w:w w:val="88"/>
              </w:rPr>
              <w:t>31,169</w:t>
            </w:r>
          </w:p>
        </w:tc>
        <w:tc>
          <w:tcPr>
            <w:tcW w:w="240" w:type="dxa"/>
            <w:vAlign w:val="bottom"/>
            <w:tcBorders>
              <w:bottom w:val="single" w:sz="8" w:color="auto"/>
            </w:tcBorders>
          </w:tcPr>
          <w:p>
            <w:pPr>
              <w:ind w:left="160"/>
              <w:spacing w:after="0" w:line="142" w:lineRule="exact"/>
              <w:rPr>
                <w:sz w:val="20"/>
                <w:szCs w:val="20"/>
                <w:color w:val="auto"/>
              </w:rPr>
            </w:pPr>
            <w:r>
              <w:rPr>
                <w:rFonts w:ascii="Arial" w:cs="Arial" w:eastAsia="Arial" w:hAnsi="Arial"/>
                <w:sz w:val="14"/>
                <w:szCs w:val="14"/>
                <w:color w:val="auto"/>
                <w:w w:val="76"/>
              </w:rPr>
              <w:t>$</w:t>
            </w:r>
          </w:p>
        </w:tc>
        <w:tc>
          <w:tcPr>
            <w:tcW w:w="600" w:type="dxa"/>
            <w:vAlign w:val="bottom"/>
            <w:tcBorders>
              <w:bottom w:val="single" w:sz="8" w:color="auto"/>
            </w:tcBorders>
          </w:tcPr>
          <w:p>
            <w:pPr>
              <w:jc w:val="right"/>
              <w:ind w:right="112"/>
              <w:spacing w:after="0" w:line="142" w:lineRule="exact"/>
              <w:rPr>
                <w:sz w:val="20"/>
                <w:szCs w:val="20"/>
                <w:color w:val="auto"/>
              </w:rPr>
            </w:pPr>
            <w:r>
              <w:rPr>
                <w:rFonts w:ascii="Arial" w:cs="Arial" w:eastAsia="Arial" w:hAnsi="Arial"/>
                <w:sz w:val="14"/>
                <w:szCs w:val="14"/>
                <w:color w:val="auto"/>
                <w:w w:val="93"/>
              </w:rPr>
              <w:t>37,778</w:t>
            </w:r>
          </w:p>
        </w:tc>
        <w:tc>
          <w:tcPr>
            <w:tcW w:w="260" w:type="dxa"/>
            <w:vAlign w:val="bottom"/>
            <w:tcBorders>
              <w:bottom w:val="single" w:sz="8" w:color="auto"/>
            </w:tcBorders>
          </w:tcPr>
          <w:p>
            <w:pPr>
              <w:ind w:left="160"/>
              <w:spacing w:after="0" w:line="142" w:lineRule="exact"/>
              <w:rPr>
                <w:sz w:val="20"/>
                <w:szCs w:val="20"/>
                <w:color w:val="auto"/>
              </w:rPr>
            </w:pPr>
            <w:r>
              <w:rPr>
                <w:rFonts w:ascii="Arial" w:cs="Arial" w:eastAsia="Arial" w:hAnsi="Arial"/>
                <w:sz w:val="14"/>
                <w:szCs w:val="14"/>
                <w:color w:val="auto"/>
              </w:rPr>
              <w:t>$</w:t>
            </w:r>
          </w:p>
        </w:tc>
        <w:tc>
          <w:tcPr>
            <w:tcW w:w="700" w:type="dxa"/>
            <w:vAlign w:val="bottom"/>
            <w:tcBorders>
              <w:bottom w:val="single" w:sz="8" w:color="auto"/>
            </w:tcBorders>
          </w:tcPr>
          <w:p>
            <w:pPr>
              <w:jc w:val="right"/>
              <w:ind w:right="112"/>
              <w:spacing w:after="0" w:line="142" w:lineRule="exact"/>
              <w:rPr>
                <w:sz w:val="20"/>
                <w:szCs w:val="20"/>
                <w:color w:val="auto"/>
              </w:rPr>
            </w:pPr>
            <w:r>
              <w:rPr>
                <w:rFonts w:ascii="Arial" w:cs="Arial" w:eastAsia="Arial" w:hAnsi="Arial"/>
                <w:sz w:val="14"/>
                <w:szCs w:val="14"/>
                <w:color w:val="auto"/>
              </w:rPr>
              <w:t>41,151</w:t>
            </w:r>
          </w:p>
        </w:tc>
        <w:tc>
          <w:tcPr>
            <w:tcW w:w="260" w:type="dxa"/>
            <w:vAlign w:val="bottom"/>
            <w:tcBorders>
              <w:bottom w:val="single" w:sz="8" w:color="auto"/>
            </w:tcBorders>
          </w:tcPr>
          <w:p>
            <w:pPr>
              <w:ind w:left="160"/>
              <w:spacing w:after="0" w:line="142" w:lineRule="exact"/>
              <w:rPr>
                <w:sz w:val="20"/>
                <w:szCs w:val="20"/>
                <w:color w:val="auto"/>
              </w:rPr>
            </w:pPr>
            <w:r>
              <w:rPr>
                <w:rFonts w:ascii="Arial" w:cs="Arial" w:eastAsia="Arial" w:hAnsi="Arial"/>
                <w:sz w:val="14"/>
                <w:szCs w:val="14"/>
                <w:color w:val="auto"/>
              </w:rPr>
              <w:t>$</w:t>
            </w:r>
          </w:p>
        </w:tc>
        <w:tc>
          <w:tcPr>
            <w:tcW w:w="620" w:type="dxa"/>
            <w:vAlign w:val="bottom"/>
            <w:tcBorders>
              <w:bottom w:val="single" w:sz="8" w:color="auto"/>
            </w:tcBorders>
          </w:tcPr>
          <w:p>
            <w:pPr>
              <w:jc w:val="right"/>
              <w:ind w:right="112"/>
              <w:spacing w:after="0" w:line="142" w:lineRule="exact"/>
              <w:rPr>
                <w:sz w:val="20"/>
                <w:szCs w:val="20"/>
                <w:color w:val="auto"/>
              </w:rPr>
            </w:pPr>
            <w:r>
              <w:rPr>
                <w:rFonts w:ascii="Arial" w:cs="Arial" w:eastAsia="Arial" w:hAnsi="Arial"/>
                <w:sz w:val="14"/>
                <w:szCs w:val="14"/>
                <w:color w:val="auto"/>
                <w:w w:val="97"/>
              </w:rPr>
              <w:t>24,015</w:t>
            </w:r>
          </w:p>
        </w:tc>
        <w:tc>
          <w:tcPr>
            <w:tcW w:w="260" w:type="dxa"/>
            <w:vAlign w:val="bottom"/>
            <w:tcBorders>
              <w:bottom w:val="single" w:sz="8" w:color="auto"/>
            </w:tcBorders>
          </w:tcPr>
          <w:p>
            <w:pPr>
              <w:ind w:left="160"/>
              <w:spacing w:after="0" w:line="142" w:lineRule="exact"/>
              <w:rPr>
                <w:sz w:val="20"/>
                <w:szCs w:val="20"/>
                <w:color w:val="auto"/>
              </w:rPr>
            </w:pPr>
            <w:r>
              <w:rPr>
                <w:rFonts w:ascii="Arial" w:cs="Arial" w:eastAsia="Arial" w:hAnsi="Arial"/>
                <w:sz w:val="14"/>
                <w:szCs w:val="14"/>
                <w:color w:val="auto"/>
              </w:rPr>
              <w:t>$</w:t>
            </w:r>
          </w:p>
        </w:tc>
        <w:tc>
          <w:tcPr>
            <w:tcW w:w="820" w:type="dxa"/>
            <w:vAlign w:val="bottom"/>
            <w:tcBorders>
              <w:bottom w:val="single" w:sz="8" w:color="auto"/>
            </w:tcBorders>
          </w:tcPr>
          <w:p>
            <w:pPr>
              <w:jc w:val="right"/>
              <w:ind w:right="112"/>
              <w:spacing w:after="0" w:line="142" w:lineRule="exact"/>
              <w:rPr>
                <w:sz w:val="20"/>
                <w:szCs w:val="20"/>
                <w:color w:val="auto"/>
              </w:rPr>
            </w:pPr>
            <w:r>
              <w:rPr>
                <w:rFonts w:ascii="Arial" w:cs="Arial" w:eastAsia="Arial" w:hAnsi="Arial"/>
                <w:sz w:val="14"/>
                <w:szCs w:val="14"/>
                <w:color w:val="auto"/>
              </w:rPr>
              <w:t>111,946</w:t>
            </w:r>
          </w:p>
        </w:tc>
        <w:tc>
          <w:tcPr>
            <w:tcW w:w="240" w:type="dxa"/>
            <w:vAlign w:val="bottom"/>
            <w:tcBorders>
              <w:bottom w:val="single" w:sz="8" w:color="auto"/>
            </w:tcBorders>
          </w:tcPr>
          <w:p>
            <w:pPr>
              <w:ind w:left="160"/>
              <w:spacing w:after="0" w:line="142" w:lineRule="exact"/>
              <w:rPr>
                <w:sz w:val="20"/>
                <w:szCs w:val="20"/>
                <w:color w:val="auto"/>
              </w:rPr>
            </w:pPr>
            <w:r>
              <w:rPr>
                <w:rFonts w:ascii="Arial" w:cs="Arial" w:eastAsia="Arial" w:hAnsi="Arial"/>
                <w:sz w:val="14"/>
                <w:szCs w:val="14"/>
                <w:color w:val="auto"/>
                <w:w w:val="76"/>
              </w:rPr>
              <w:t>$</w:t>
            </w:r>
          </w:p>
        </w:tc>
        <w:tc>
          <w:tcPr>
            <w:tcW w:w="900" w:type="dxa"/>
            <w:vAlign w:val="bottom"/>
            <w:tcBorders>
              <w:bottom w:val="single" w:sz="8" w:color="auto"/>
            </w:tcBorders>
          </w:tcPr>
          <w:p>
            <w:pPr>
              <w:jc w:val="right"/>
              <w:ind w:right="32"/>
              <w:spacing w:after="0" w:line="142" w:lineRule="exact"/>
              <w:rPr>
                <w:sz w:val="20"/>
                <w:szCs w:val="20"/>
                <w:color w:val="auto"/>
              </w:rPr>
            </w:pPr>
            <w:r>
              <w:rPr>
                <w:rFonts w:ascii="Arial" w:cs="Arial" w:eastAsia="Arial" w:hAnsi="Arial"/>
                <w:sz w:val="14"/>
                <w:szCs w:val="14"/>
                <w:color w:val="auto"/>
              </w:rPr>
              <w:t>(198,561)</w:t>
            </w:r>
          </w:p>
        </w:tc>
        <w:tc>
          <w:tcPr>
            <w:tcW w:w="200" w:type="dxa"/>
            <w:vAlign w:val="bottom"/>
            <w:tcBorders>
              <w:bottom w:val="single" w:sz="8" w:color="auto"/>
            </w:tcBorders>
          </w:tcPr>
          <w:p>
            <w:pPr>
              <w:ind w:left="120"/>
              <w:spacing w:after="0" w:line="142" w:lineRule="exact"/>
              <w:rPr>
                <w:sz w:val="20"/>
                <w:szCs w:val="20"/>
                <w:color w:val="auto"/>
              </w:rPr>
            </w:pPr>
            <w:r>
              <w:rPr>
                <w:rFonts w:ascii="Arial" w:cs="Arial" w:eastAsia="Arial" w:hAnsi="Arial"/>
                <w:sz w:val="14"/>
                <w:szCs w:val="14"/>
                <w:b w:val="1"/>
                <w:bCs w:val="1"/>
                <w:color w:val="auto"/>
                <w:w w:val="76"/>
              </w:rPr>
              <w:t>$</w:t>
            </w:r>
          </w:p>
        </w:tc>
        <w:tc>
          <w:tcPr>
            <w:tcW w:w="780" w:type="dxa"/>
            <w:vAlign w:val="bottom"/>
            <w:tcBorders>
              <w:bottom w:val="single" w:sz="8" w:color="auto"/>
            </w:tcBorders>
          </w:tcPr>
          <w:p>
            <w:pPr>
              <w:jc w:val="right"/>
              <w:spacing w:after="0" w:line="142" w:lineRule="exact"/>
              <w:rPr>
                <w:sz w:val="20"/>
                <w:szCs w:val="20"/>
                <w:color w:val="auto"/>
              </w:rPr>
            </w:pPr>
            <w:r>
              <w:rPr>
                <w:rFonts w:ascii="Arial" w:cs="Arial" w:eastAsia="Arial" w:hAnsi="Arial"/>
                <w:sz w:val="14"/>
                <w:szCs w:val="14"/>
                <w:b w:val="1"/>
                <w:bCs w:val="1"/>
                <w:color w:val="auto"/>
              </w:rPr>
              <w:t>110,405</w:t>
            </w:r>
          </w:p>
        </w:tc>
        <w:tc>
          <w:tcPr>
            <w:tcW w:w="0" w:type="dxa"/>
            <w:vAlign w:val="bottom"/>
          </w:tcPr>
          <w:p>
            <w:pPr>
              <w:spacing w:after="0"/>
              <w:rPr>
                <w:sz w:val="1"/>
                <w:szCs w:val="1"/>
                <w:color w:val="auto"/>
              </w:rPr>
            </w:pPr>
          </w:p>
        </w:tc>
      </w:tr>
      <w:tr>
        <w:trPr>
          <w:trHeight w:val="304"/>
        </w:trPr>
        <w:tc>
          <w:tcPr>
            <w:tcW w:w="4760" w:type="dxa"/>
            <w:vAlign w:val="bottom"/>
            <w:gridSpan w:val="4"/>
          </w:tcPr>
          <w:p>
            <w:pPr>
              <w:spacing w:after="0"/>
              <w:rPr>
                <w:sz w:val="20"/>
                <w:szCs w:val="20"/>
                <w:color w:val="auto"/>
              </w:rPr>
            </w:pPr>
            <w:r>
              <w:rPr>
                <w:rFonts w:ascii="Arial" w:cs="Arial" w:eastAsia="Arial" w:hAnsi="Arial"/>
                <w:sz w:val="14"/>
                <w:szCs w:val="14"/>
                <w:b w:val="1"/>
                <w:bCs w:val="1"/>
                <w:color w:val="auto"/>
                <w:w w:val="98"/>
              </w:rPr>
              <w:t xml:space="preserve">Notes to Consolidated Financial Statements </w:t>
            </w:r>
            <w:r>
              <w:rPr>
                <w:rFonts w:ascii="Arial" w:cs="Arial" w:eastAsia="Arial" w:hAnsi="Arial"/>
                <w:sz w:val="14"/>
                <w:szCs w:val="14"/>
                <w:color w:val="auto"/>
                <w:w w:val="98"/>
              </w:rPr>
              <w:t>Comcast 2006 Annual Report</w:t>
            </w:r>
          </w:p>
        </w:tc>
        <w:tc>
          <w:tcPr>
            <w:tcW w:w="20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840" w:type="dxa"/>
            <w:vAlign w:val="bottom"/>
            <w:gridSpan w:val="2"/>
          </w:tcPr>
          <w:p>
            <w:pPr>
              <w:ind w:left="160"/>
              <w:spacing w:after="0"/>
              <w:rPr>
                <w:sz w:val="20"/>
                <w:szCs w:val="20"/>
                <w:color w:val="auto"/>
              </w:rPr>
            </w:pPr>
            <w:r>
              <w:rPr>
                <w:rFonts w:ascii="Arial" w:cs="Arial" w:eastAsia="Arial" w:hAnsi="Arial"/>
                <w:sz w:val="14"/>
                <w:szCs w:val="14"/>
                <w:b w:val="1"/>
                <w:bCs w:val="1"/>
                <w:color w:val="auto"/>
              </w:rPr>
              <w:t>68</w:t>
            </w:r>
          </w:p>
        </w:tc>
        <w:tc>
          <w:tcPr>
            <w:tcW w:w="26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420"/>
          </w:cols>
          <w:pgMar w:left="240" w:top="459" w:right="239" w:bottom="1440" w:gutter="0" w:footer="0" w:header="0"/>
          <w:type w:val="continuous"/>
        </w:sectPr>
      </w:pPr>
    </w:p>
    <w:bookmarkStart w:id="145" w:name="page146"/>
    <w:bookmarkEnd w:id="14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219" name="Picture 2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9"/>
                    <pic:cNvPicPr>
                      <a:picLocks noChangeAspect="1" noChangeArrowheads="1"/>
                    </pic:cNvPicPr>
                  </pic:nvPicPr>
                  <pic:blipFill>
                    <a:blip r:embed="rId226">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200" w:lineRule="exact"/>
        <w:rPr>
          <w:sz w:val="20"/>
          <w:szCs w:val="20"/>
          <w:color w:val="auto"/>
        </w:rPr>
      </w:pPr>
    </w:p>
    <w:p>
      <w:pPr>
        <w:spacing w:after="0" w:line="25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Condensed Consolidating Balance Sheet</w:t>
      </w:r>
    </w:p>
    <w:p>
      <w:pPr>
        <w:spacing w:after="0" w:line="18" w:lineRule="exact"/>
        <w:rPr>
          <w:sz w:val="20"/>
          <w:szCs w:val="20"/>
          <w:color w:val="auto"/>
        </w:rPr>
      </w:pPr>
    </w:p>
    <w:p>
      <w:pPr>
        <w:spacing w:after="0"/>
        <w:rPr>
          <w:sz w:val="20"/>
          <w:szCs w:val="20"/>
          <w:color w:val="auto"/>
        </w:rPr>
      </w:pPr>
      <w:r>
        <w:rPr>
          <w:rFonts w:ascii="Arial" w:cs="Arial" w:eastAsia="Arial" w:hAnsi="Arial"/>
          <w:sz w:val="18"/>
          <w:szCs w:val="18"/>
          <w:color w:val="auto"/>
        </w:rPr>
        <w:t>As of December 31, 2005</w:t>
      </w:r>
    </w:p>
    <w:p>
      <w:pPr>
        <w:spacing w:after="0" w:line="182"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380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900" w:type="dxa"/>
            <w:vAlign w:val="bottom"/>
          </w:tcPr>
          <w:p>
            <w:pPr>
              <w:jc w:val="right"/>
              <w:ind w:right="92"/>
              <w:spacing w:after="0"/>
              <w:rPr>
                <w:sz w:val="20"/>
                <w:szCs w:val="20"/>
                <w:color w:val="auto"/>
              </w:rPr>
            </w:pPr>
            <w:r>
              <w:rPr>
                <w:rFonts w:ascii="Arial" w:cs="Arial" w:eastAsia="Arial" w:hAnsi="Arial"/>
                <w:sz w:val="14"/>
                <w:szCs w:val="14"/>
                <w:color w:val="auto"/>
              </w:rPr>
              <w:t>Elimination</w:t>
            </w:r>
          </w:p>
        </w:tc>
        <w:tc>
          <w:tcPr>
            <w:tcW w:w="980" w:type="dxa"/>
            <w:vAlign w:val="bottom"/>
            <w:gridSpan w:val="2"/>
            <w:vMerge w:val="restart"/>
          </w:tcPr>
          <w:p>
            <w:pPr>
              <w:ind w:left="120"/>
              <w:spacing w:after="0"/>
              <w:rPr>
                <w:sz w:val="20"/>
                <w:szCs w:val="20"/>
                <w:color w:val="auto"/>
              </w:rPr>
            </w:pPr>
            <w:r>
              <w:rPr>
                <w:rFonts w:ascii="Arial" w:cs="Arial" w:eastAsia="Arial" w:hAnsi="Arial"/>
                <w:sz w:val="14"/>
                <w:szCs w:val="14"/>
                <w:b w:val="1"/>
                <w:bCs w:val="1"/>
                <w:color w:val="auto"/>
                <w:w w:val="94"/>
              </w:rPr>
              <w:t>Consolidated</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380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960" w:type="dxa"/>
            <w:vAlign w:val="bottom"/>
            <w:gridSpan w:val="2"/>
          </w:tcPr>
          <w:p>
            <w:pPr>
              <w:ind w:left="180"/>
              <w:spacing w:after="0" w:line="133" w:lineRule="exact"/>
              <w:rPr>
                <w:sz w:val="20"/>
                <w:szCs w:val="20"/>
                <w:color w:val="auto"/>
              </w:rPr>
            </w:pPr>
            <w:r>
              <w:rPr>
                <w:rFonts w:ascii="Arial" w:cs="Arial" w:eastAsia="Arial" w:hAnsi="Arial"/>
                <w:sz w:val="14"/>
                <w:szCs w:val="14"/>
                <w:color w:val="auto"/>
              </w:rPr>
              <w:t>Combined</w:t>
            </w:r>
          </w:p>
        </w:tc>
        <w:tc>
          <w:tcPr>
            <w:tcW w:w="26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820" w:type="dxa"/>
            <w:vAlign w:val="bottom"/>
          </w:tcPr>
          <w:p>
            <w:pPr>
              <w:jc w:val="right"/>
              <w:ind w:right="112"/>
              <w:spacing w:after="0" w:line="133" w:lineRule="exact"/>
              <w:rPr>
                <w:sz w:val="20"/>
                <w:szCs w:val="20"/>
                <w:color w:val="auto"/>
              </w:rPr>
            </w:pPr>
            <w:r>
              <w:rPr>
                <w:rFonts w:ascii="Arial" w:cs="Arial" w:eastAsia="Arial" w:hAnsi="Arial"/>
                <w:sz w:val="14"/>
                <w:szCs w:val="14"/>
                <w:color w:val="auto"/>
              </w:rPr>
              <w:t>Non-</w:t>
            </w:r>
          </w:p>
        </w:tc>
        <w:tc>
          <w:tcPr>
            <w:tcW w:w="240" w:type="dxa"/>
            <w:vAlign w:val="bottom"/>
          </w:tcPr>
          <w:p>
            <w:pPr>
              <w:spacing w:after="0"/>
              <w:rPr>
                <w:sz w:val="11"/>
                <w:szCs w:val="11"/>
                <w:color w:val="auto"/>
              </w:rPr>
            </w:pPr>
          </w:p>
        </w:tc>
        <w:tc>
          <w:tcPr>
            <w:tcW w:w="900" w:type="dxa"/>
            <w:vAlign w:val="bottom"/>
          </w:tcPr>
          <w:p>
            <w:pPr>
              <w:jc w:val="right"/>
              <w:ind w:right="92"/>
              <w:spacing w:after="0" w:line="133" w:lineRule="exact"/>
              <w:rPr>
                <w:sz w:val="20"/>
                <w:szCs w:val="20"/>
                <w:color w:val="auto"/>
              </w:rPr>
            </w:pPr>
            <w:r>
              <w:rPr>
                <w:rFonts w:ascii="Arial" w:cs="Arial" w:eastAsia="Arial" w:hAnsi="Arial"/>
                <w:sz w:val="14"/>
                <w:szCs w:val="14"/>
                <w:color w:val="auto"/>
              </w:rPr>
              <w:t>and</w:t>
            </w:r>
          </w:p>
        </w:tc>
        <w:tc>
          <w:tcPr>
            <w:tcW w:w="980" w:type="dxa"/>
            <w:vAlign w:val="bottom"/>
            <w:gridSpan w:val="2"/>
            <w:vMerge w:val="continue"/>
          </w:tcPr>
          <w:p>
            <w:pPr>
              <w:spacing w:after="0"/>
              <w:rPr>
                <w:sz w:val="11"/>
                <w:szCs w:val="11"/>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800" w:type="dxa"/>
            <w:vAlign w:val="bottom"/>
          </w:tcPr>
          <w:p>
            <w:pPr>
              <w:spacing w:after="0"/>
              <w:rPr>
                <w:sz w:val="12"/>
                <w:szCs w:val="12"/>
                <w:color w:val="auto"/>
              </w:rPr>
            </w:pPr>
          </w:p>
        </w:tc>
        <w:tc>
          <w:tcPr>
            <w:tcW w:w="880" w:type="dxa"/>
            <w:vAlign w:val="bottom"/>
            <w:gridSpan w:val="2"/>
          </w:tcPr>
          <w:p>
            <w:pPr>
              <w:ind w:left="180"/>
              <w:spacing w:after="0" w:line="149" w:lineRule="exact"/>
              <w:rPr>
                <w:sz w:val="20"/>
                <w:szCs w:val="20"/>
                <w:color w:val="auto"/>
              </w:rPr>
            </w:pPr>
            <w:r>
              <w:rPr>
                <w:rFonts w:ascii="Arial" w:cs="Arial" w:eastAsia="Arial" w:hAnsi="Arial"/>
                <w:sz w:val="14"/>
                <w:szCs w:val="14"/>
                <w:color w:val="auto"/>
              </w:rPr>
              <w:t>Comcast</w:t>
            </w:r>
          </w:p>
        </w:tc>
        <w:tc>
          <w:tcPr>
            <w:tcW w:w="260" w:type="dxa"/>
            <w:vAlign w:val="bottom"/>
          </w:tcPr>
          <w:p>
            <w:pPr>
              <w:spacing w:after="0"/>
              <w:rPr>
                <w:sz w:val="12"/>
                <w:szCs w:val="12"/>
                <w:color w:val="auto"/>
              </w:rPr>
            </w:pPr>
          </w:p>
        </w:tc>
        <w:tc>
          <w:tcPr>
            <w:tcW w:w="560" w:type="dxa"/>
            <w:vAlign w:val="bottom"/>
          </w:tcPr>
          <w:p>
            <w:pPr>
              <w:jc w:val="right"/>
              <w:ind w:right="92"/>
              <w:spacing w:after="0" w:line="149" w:lineRule="exact"/>
              <w:rPr>
                <w:sz w:val="20"/>
                <w:szCs w:val="20"/>
                <w:color w:val="auto"/>
              </w:rPr>
            </w:pPr>
            <w:r>
              <w:rPr>
                <w:rFonts w:ascii="Arial" w:cs="Arial" w:eastAsia="Arial" w:hAnsi="Arial"/>
                <w:sz w:val="14"/>
                <w:szCs w:val="14"/>
                <w:color w:val="auto"/>
                <w:w w:val="99"/>
              </w:rPr>
              <w:t>CCCL</w:t>
            </w:r>
          </w:p>
        </w:tc>
        <w:tc>
          <w:tcPr>
            <w:tcW w:w="260" w:type="dxa"/>
            <w:vAlign w:val="bottom"/>
          </w:tcPr>
          <w:p>
            <w:pPr>
              <w:spacing w:after="0"/>
              <w:rPr>
                <w:sz w:val="12"/>
                <w:szCs w:val="12"/>
                <w:color w:val="auto"/>
              </w:rPr>
            </w:pPr>
          </w:p>
        </w:tc>
        <w:tc>
          <w:tcPr>
            <w:tcW w:w="600" w:type="dxa"/>
            <w:vAlign w:val="bottom"/>
          </w:tcPr>
          <w:p>
            <w:pPr>
              <w:jc w:val="right"/>
              <w:ind w:right="112"/>
              <w:spacing w:after="0" w:line="149" w:lineRule="exact"/>
              <w:rPr>
                <w:sz w:val="20"/>
                <w:szCs w:val="20"/>
                <w:color w:val="auto"/>
              </w:rPr>
            </w:pPr>
            <w:r>
              <w:rPr>
                <w:rFonts w:ascii="Arial" w:cs="Arial" w:eastAsia="Arial" w:hAnsi="Arial"/>
                <w:sz w:val="14"/>
                <w:szCs w:val="14"/>
                <w:color w:val="auto"/>
                <w:w w:val="98"/>
              </w:rPr>
              <w:t>CCCH</w:t>
            </w:r>
          </w:p>
        </w:tc>
        <w:tc>
          <w:tcPr>
            <w:tcW w:w="260" w:type="dxa"/>
            <w:vAlign w:val="bottom"/>
          </w:tcPr>
          <w:p>
            <w:pPr>
              <w:spacing w:after="0"/>
              <w:rPr>
                <w:sz w:val="12"/>
                <w:szCs w:val="12"/>
                <w:color w:val="auto"/>
              </w:rPr>
            </w:pPr>
          </w:p>
        </w:tc>
        <w:tc>
          <w:tcPr>
            <w:tcW w:w="700" w:type="dxa"/>
            <w:vAlign w:val="bottom"/>
          </w:tcPr>
          <w:p>
            <w:pPr>
              <w:jc w:val="right"/>
              <w:ind w:right="112"/>
              <w:spacing w:after="0" w:line="149" w:lineRule="exact"/>
              <w:rPr>
                <w:sz w:val="20"/>
                <w:szCs w:val="20"/>
                <w:color w:val="auto"/>
              </w:rPr>
            </w:pPr>
            <w:r>
              <w:rPr>
                <w:rFonts w:ascii="Arial" w:cs="Arial" w:eastAsia="Arial" w:hAnsi="Arial"/>
                <w:sz w:val="14"/>
                <w:szCs w:val="14"/>
                <w:color w:val="auto"/>
                <w:w w:val="94"/>
              </w:rPr>
              <w:t>CCHMO</w:t>
            </w:r>
          </w:p>
        </w:tc>
        <w:tc>
          <w:tcPr>
            <w:tcW w:w="880" w:type="dxa"/>
            <w:vAlign w:val="bottom"/>
            <w:gridSpan w:val="2"/>
          </w:tcPr>
          <w:p>
            <w:pPr>
              <w:ind w:left="180"/>
              <w:spacing w:after="0" w:line="149" w:lineRule="exact"/>
              <w:rPr>
                <w:sz w:val="20"/>
                <w:szCs w:val="20"/>
                <w:color w:val="auto"/>
              </w:rPr>
            </w:pPr>
            <w:r>
              <w:rPr>
                <w:rFonts w:ascii="Arial" w:cs="Arial" w:eastAsia="Arial" w:hAnsi="Arial"/>
                <w:sz w:val="14"/>
                <w:szCs w:val="14"/>
                <w:color w:val="auto"/>
              </w:rPr>
              <w:t>Comcast</w:t>
            </w:r>
          </w:p>
        </w:tc>
        <w:tc>
          <w:tcPr>
            <w:tcW w:w="260" w:type="dxa"/>
            <w:vAlign w:val="bottom"/>
          </w:tcPr>
          <w:p>
            <w:pPr>
              <w:spacing w:after="0"/>
              <w:rPr>
                <w:sz w:val="12"/>
                <w:szCs w:val="12"/>
                <w:color w:val="auto"/>
              </w:rPr>
            </w:pPr>
          </w:p>
        </w:tc>
        <w:tc>
          <w:tcPr>
            <w:tcW w:w="820" w:type="dxa"/>
            <w:vAlign w:val="bottom"/>
          </w:tcPr>
          <w:p>
            <w:pPr>
              <w:jc w:val="right"/>
              <w:ind w:right="112"/>
              <w:spacing w:after="0" w:line="149" w:lineRule="exact"/>
              <w:rPr>
                <w:sz w:val="20"/>
                <w:szCs w:val="20"/>
                <w:color w:val="auto"/>
              </w:rPr>
            </w:pPr>
            <w:r>
              <w:rPr>
                <w:rFonts w:ascii="Arial" w:cs="Arial" w:eastAsia="Arial" w:hAnsi="Arial"/>
                <w:sz w:val="14"/>
                <w:szCs w:val="14"/>
                <w:color w:val="auto"/>
                <w:w w:val="98"/>
              </w:rPr>
              <w:t>Guarantor</w:t>
            </w:r>
          </w:p>
        </w:tc>
        <w:tc>
          <w:tcPr>
            <w:tcW w:w="1140" w:type="dxa"/>
            <w:vAlign w:val="bottom"/>
            <w:gridSpan w:val="2"/>
          </w:tcPr>
          <w:p>
            <w:pPr>
              <w:ind w:left="160"/>
              <w:spacing w:after="0" w:line="149" w:lineRule="exact"/>
              <w:rPr>
                <w:sz w:val="20"/>
                <w:szCs w:val="20"/>
                <w:color w:val="auto"/>
              </w:rPr>
            </w:pPr>
            <w:r>
              <w:rPr>
                <w:rFonts w:ascii="Arial" w:cs="Arial" w:eastAsia="Arial" w:hAnsi="Arial"/>
                <w:sz w:val="14"/>
                <w:szCs w:val="14"/>
                <w:color w:val="auto"/>
              </w:rPr>
              <w:t>Consolidation</w:t>
            </w:r>
          </w:p>
        </w:tc>
        <w:tc>
          <w:tcPr>
            <w:tcW w:w="200" w:type="dxa"/>
            <w:vAlign w:val="bottom"/>
          </w:tcPr>
          <w:p>
            <w:pPr>
              <w:spacing w:after="0"/>
              <w:rPr>
                <w:sz w:val="12"/>
                <w:szCs w:val="12"/>
                <w:color w:val="auto"/>
              </w:rPr>
            </w:pPr>
          </w:p>
        </w:tc>
        <w:tc>
          <w:tcPr>
            <w:tcW w:w="780" w:type="dxa"/>
            <w:vAlign w:val="bottom"/>
          </w:tcPr>
          <w:p>
            <w:pPr>
              <w:jc w:val="right"/>
              <w:spacing w:after="0" w:line="149" w:lineRule="exact"/>
              <w:rPr>
                <w:sz w:val="20"/>
                <w:szCs w:val="20"/>
                <w:color w:val="auto"/>
              </w:rPr>
            </w:pPr>
            <w:r>
              <w:rPr>
                <w:rFonts w:ascii="Arial" w:cs="Arial" w:eastAsia="Arial" w:hAnsi="Arial"/>
                <w:sz w:val="14"/>
                <w:szCs w:val="14"/>
                <w:b w:val="1"/>
                <w:bCs w:val="1"/>
                <w:color w:val="auto"/>
              </w:rPr>
              <w:t>Comcast</w:t>
            </w:r>
          </w:p>
        </w:tc>
        <w:tc>
          <w:tcPr>
            <w:tcW w:w="0" w:type="dxa"/>
            <w:vAlign w:val="bottom"/>
          </w:tcPr>
          <w:p>
            <w:pPr>
              <w:spacing w:after="0"/>
              <w:rPr>
                <w:sz w:val="1"/>
                <w:szCs w:val="1"/>
                <w:color w:val="auto"/>
              </w:rPr>
            </w:pPr>
          </w:p>
        </w:tc>
      </w:tr>
      <w:tr>
        <w:trPr>
          <w:trHeight w:val="165"/>
        </w:trPr>
        <w:tc>
          <w:tcPr>
            <w:tcW w:w="3820" w:type="dxa"/>
            <w:vAlign w:val="bottom"/>
            <w:tcBorders>
              <w:bottom w:val="single" w:sz="8" w:color="auto"/>
            </w:tcBorders>
            <w:gridSpan w:val="2"/>
          </w:tcPr>
          <w:p>
            <w:pPr>
              <w:spacing w:after="0"/>
              <w:rPr>
                <w:sz w:val="20"/>
                <w:szCs w:val="20"/>
                <w:color w:val="auto"/>
              </w:rPr>
            </w:pPr>
            <w:r>
              <w:rPr>
                <w:rFonts w:ascii="Arial" w:cs="Arial" w:eastAsia="Arial" w:hAnsi="Arial"/>
                <w:sz w:val="14"/>
                <w:szCs w:val="14"/>
                <w:color w:val="auto"/>
              </w:rPr>
              <w:t>(in millions)</w:t>
            </w:r>
          </w:p>
        </w:tc>
        <w:tc>
          <w:tcPr>
            <w:tcW w:w="280" w:type="dxa"/>
            <w:vAlign w:val="bottom"/>
            <w:tcBorders>
              <w:bottom w:val="single" w:sz="8" w:color="auto"/>
            </w:tcBorders>
          </w:tcPr>
          <w:p>
            <w:pPr>
              <w:spacing w:after="0"/>
              <w:rPr>
                <w:sz w:val="14"/>
                <w:szCs w:val="14"/>
                <w:color w:val="auto"/>
              </w:rPr>
            </w:pPr>
          </w:p>
        </w:tc>
        <w:tc>
          <w:tcPr>
            <w:tcW w:w="600" w:type="dxa"/>
            <w:vAlign w:val="bottom"/>
            <w:tcBorders>
              <w:bottom w:val="single" w:sz="8" w:color="auto"/>
            </w:tcBorders>
          </w:tcPr>
          <w:p>
            <w:pPr>
              <w:jc w:val="right"/>
              <w:ind w:right="92"/>
              <w:spacing w:after="0"/>
              <w:rPr>
                <w:sz w:val="20"/>
                <w:szCs w:val="20"/>
                <w:color w:val="auto"/>
              </w:rPr>
            </w:pPr>
            <w:r>
              <w:rPr>
                <w:rFonts w:ascii="Arial" w:cs="Arial" w:eastAsia="Arial" w:hAnsi="Arial"/>
                <w:sz w:val="14"/>
                <w:szCs w:val="14"/>
                <w:color w:val="auto"/>
              </w:rPr>
              <w:t>Parent</w:t>
            </w:r>
          </w:p>
        </w:tc>
        <w:tc>
          <w:tcPr>
            <w:tcW w:w="260" w:type="dxa"/>
            <w:vAlign w:val="bottom"/>
            <w:tcBorders>
              <w:bottom w:val="single" w:sz="8" w:color="auto"/>
            </w:tcBorders>
          </w:tcPr>
          <w:p>
            <w:pPr>
              <w:spacing w:after="0"/>
              <w:rPr>
                <w:sz w:val="14"/>
                <w:szCs w:val="14"/>
                <w:color w:val="auto"/>
              </w:rPr>
            </w:pPr>
          </w:p>
        </w:tc>
        <w:tc>
          <w:tcPr>
            <w:tcW w:w="560" w:type="dxa"/>
            <w:vAlign w:val="bottom"/>
            <w:tcBorders>
              <w:bottom w:val="single" w:sz="8" w:color="auto"/>
            </w:tcBorders>
          </w:tcPr>
          <w:p>
            <w:pPr>
              <w:jc w:val="right"/>
              <w:ind w:right="92"/>
              <w:spacing w:after="0"/>
              <w:rPr>
                <w:sz w:val="20"/>
                <w:szCs w:val="20"/>
                <w:color w:val="auto"/>
              </w:rPr>
            </w:pPr>
            <w:r>
              <w:rPr>
                <w:rFonts w:ascii="Arial" w:cs="Arial" w:eastAsia="Arial" w:hAnsi="Arial"/>
                <w:sz w:val="14"/>
                <w:szCs w:val="14"/>
                <w:color w:val="auto"/>
                <w:w w:val="92"/>
              </w:rPr>
              <w:t>Parent</w:t>
            </w:r>
          </w:p>
        </w:tc>
        <w:tc>
          <w:tcPr>
            <w:tcW w:w="260" w:type="dxa"/>
            <w:vAlign w:val="bottom"/>
            <w:tcBorders>
              <w:bottom w:val="single" w:sz="8" w:color="auto"/>
            </w:tcBorders>
          </w:tcPr>
          <w:p>
            <w:pPr>
              <w:spacing w:after="0"/>
              <w:rPr>
                <w:sz w:val="14"/>
                <w:szCs w:val="14"/>
                <w:color w:val="auto"/>
              </w:rPr>
            </w:pPr>
          </w:p>
        </w:tc>
        <w:tc>
          <w:tcPr>
            <w:tcW w:w="600" w:type="dxa"/>
            <w:vAlign w:val="bottom"/>
            <w:tcBorders>
              <w:bottom w:val="single" w:sz="8" w:color="auto"/>
            </w:tcBorders>
          </w:tcPr>
          <w:p>
            <w:pPr>
              <w:jc w:val="right"/>
              <w:ind w:right="112"/>
              <w:spacing w:after="0"/>
              <w:rPr>
                <w:sz w:val="20"/>
                <w:szCs w:val="20"/>
                <w:color w:val="auto"/>
              </w:rPr>
            </w:pPr>
            <w:r>
              <w:rPr>
                <w:rFonts w:ascii="Arial" w:cs="Arial" w:eastAsia="Arial" w:hAnsi="Arial"/>
                <w:sz w:val="14"/>
                <w:szCs w:val="14"/>
                <w:color w:val="auto"/>
                <w:w w:val="96"/>
              </w:rPr>
              <w:t>Parent</w:t>
            </w:r>
          </w:p>
        </w:tc>
        <w:tc>
          <w:tcPr>
            <w:tcW w:w="260" w:type="dxa"/>
            <w:vAlign w:val="bottom"/>
            <w:tcBorders>
              <w:bottom w:val="single" w:sz="8" w:color="auto"/>
            </w:tcBorders>
          </w:tcPr>
          <w:p>
            <w:pPr>
              <w:spacing w:after="0"/>
              <w:rPr>
                <w:sz w:val="14"/>
                <w:szCs w:val="14"/>
                <w:color w:val="auto"/>
              </w:rPr>
            </w:pPr>
          </w:p>
        </w:tc>
        <w:tc>
          <w:tcPr>
            <w:tcW w:w="700" w:type="dxa"/>
            <w:vAlign w:val="bottom"/>
            <w:tcBorders>
              <w:bottom w:val="single" w:sz="8" w:color="auto"/>
            </w:tcBorders>
          </w:tcPr>
          <w:p>
            <w:pPr>
              <w:jc w:val="right"/>
              <w:ind w:right="112"/>
              <w:spacing w:after="0"/>
              <w:rPr>
                <w:sz w:val="20"/>
                <w:szCs w:val="20"/>
                <w:color w:val="auto"/>
              </w:rPr>
            </w:pPr>
            <w:r>
              <w:rPr>
                <w:rFonts w:ascii="Arial" w:cs="Arial" w:eastAsia="Arial" w:hAnsi="Arial"/>
                <w:sz w:val="14"/>
                <w:szCs w:val="14"/>
                <w:color w:val="auto"/>
              </w:rPr>
              <w:t>Parents</w:t>
            </w:r>
          </w:p>
        </w:tc>
        <w:tc>
          <w:tcPr>
            <w:tcW w:w="880" w:type="dxa"/>
            <w:vAlign w:val="bottom"/>
            <w:tcBorders>
              <w:bottom w:val="single" w:sz="8" w:color="auto"/>
            </w:tcBorders>
            <w:gridSpan w:val="2"/>
          </w:tcPr>
          <w:p>
            <w:pPr>
              <w:ind w:left="180"/>
              <w:spacing w:after="0"/>
              <w:rPr>
                <w:sz w:val="20"/>
                <w:szCs w:val="20"/>
                <w:color w:val="auto"/>
              </w:rPr>
            </w:pPr>
            <w:r>
              <w:rPr>
                <w:rFonts w:ascii="Arial" w:cs="Arial" w:eastAsia="Arial" w:hAnsi="Arial"/>
                <w:sz w:val="14"/>
                <w:szCs w:val="14"/>
                <w:color w:val="auto"/>
              </w:rPr>
              <w:t>Holdings</w:t>
            </w:r>
          </w:p>
        </w:tc>
        <w:tc>
          <w:tcPr>
            <w:tcW w:w="1080" w:type="dxa"/>
            <w:vAlign w:val="bottom"/>
            <w:tcBorders>
              <w:bottom w:val="single" w:sz="8" w:color="auto"/>
            </w:tcBorders>
            <w:gridSpan w:val="2"/>
          </w:tcPr>
          <w:p>
            <w:pPr>
              <w:ind w:left="160"/>
              <w:spacing w:after="0"/>
              <w:rPr>
                <w:sz w:val="20"/>
                <w:szCs w:val="20"/>
                <w:color w:val="auto"/>
              </w:rPr>
            </w:pPr>
            <w:r>
              <w:rPr>
                <w:rFonts w:ascii="Arial" w:cs="Arial" w:eastAsia="Arial" w:hAnsi="Arial"/>
                <w:sz w:val="14"/>
                <w:szCs w:val="14"/>
                <w:color w:val="auto"/>
              </w:rPr>
              <w:t>Subsidiaries</w:t>
            </w:r>
          </w:p>
        </w:tc>
        <w:tc>
          <w:tcPr>
            <w:tcW w:w="240" w:type="dxa"/>
            <w:vAlign w:val="bottom"/>
            <w:tcBorders>
              <w:bottom w:val="single" w:sz="8" w:color="auto"/>
            </w:tcBorders>
          </w:tcPr>
          <w:p>
            <w:pPr>
              <w:spacing w:after="0"/>
              <w:rPr>
                <w:sz w:val="14"/>
                <w:szCs w:val="14"/>
                <w:color w:val="auto"/>
              </w:rPr>
            </w:pPr>
          </w:p>
        </w:tc>
        <w:tc>
          <w:tcPr>
            <w:tcW w:w="900" w:type="dxa"/>
            <w:vAlign w:val="bottom"/>
            <w:tcBorders>
              <w:bottom w:val="single" w:sz="8" w:color="auto"/>
            </w:tcBorders>
          </w:tcPr>
          <w:p>
            <w:pPr>
              <w:jc w:val="right"/>
              <w:ind w:right="92"/>
              <w:spacing w:after="0"/>
              <w:rPr>
                <w:sz w:val="20"/>
                <w:szCs w:val="20"/>
                <w:color w:val="auto"/>
              </w:rPr>
            </w:pPr>
            <w:r>
              <w:rPr>
                <w:rFonts w:ascii="Arial" w:cs="Arial" w:eastAsia="Arial" w:hAnsi="Arial"/>
                <w:sz w:val="14"/>
                <w:szCs w:val="14"/>
                <w:color w:val="auto"/>
                <w:w w:val="93"/>
              </w:rPr>
              <w:t>Adjustments</w:t>
            </w:r>
          </w:p>
        </w:tc>
        <w:tc>
          <w:tcPr>
            <w:tcW w:w="200" w:type="dxa"/>
            <w:vAlign w:val="bottom"/>
            <w:tcBorders>
              <w:bottom w:val="single" w:sz="8" w:color="auto"/>
            </w:tcBorders>
          </w:tcPr>
          <w:p>
            <w:pPr>
              <w:spacing w:after="0"/>
              <w:rPr>
                <w:sz w:val="14"/>
                <w:szCs w:val="14"/>
                <w:color w:val="auto"/>
              </w:rPr>
            </w:pPr>
          </w:p>
        </w:tc>
        <w:tc>
          <w:tcPr>
            <w:tcW w:w="78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w w:val="94"/>
              </w:rPr>
              <w:t>Corporation</w:t>
            </w:r>
          </w:p>
        </w:tc>
        <w:tc>
          <w:tcPr>
            <w:tcW w:w="0" w:type="dxa"/>
            <w:vAlign w:val="bottom"/>
          </w:tcPr>
          <w:p>
            <w:pPr>
              <w:spacing w:after="0"/>
              <w:rPr>
                <w:sz w:val="1"/>
                <w:szCs w:val="1"/>
                <w:color w:val="auto"/>
              </w:rPr>
            </w:pPr>
          </w:p>
        </w:tc>
      </w:tr>
      <w:tr>
        <w:trPr>
          <w:trHeight w:val="141"/>
        </w:trPr>
        <w:tc>
          <w:tcPr>
            <w:tcW w:w="3820" w:type="dxa"/>
            <w:vAlign w:val="bottom"/>
            <w:gridSpan w:val="2"/>
          </w:tcPr>
          <w:p>
            <w:pPr>
              <w:spacing w:after="0" w:line="141" w:lineRule="exact"/>
              <w:rPr>
                <w:sz w:val="20"/>
                <w:szCs w:val="20"/>
                <w:color w:val="auto"/>
              </w:rPr>
            </w:pPr>
            <w:r>
              <w:rPr>
                <w:rFonts w:ascii="Arial" w:cs="Arial" w:eastAsia="Arial" w:hAnsi="Arial"/>
                <w:sz w:val="14"/>
                <w:szCs w:val="14"/>
                <w:b w:val="1"/>
                <w:bCs w:val="1"/>
                <w:color w:val="auto"/>
              </w:rPr>
              <w:t>Assets</w:t>
            </w:r>
          </w:p>
        </w:tc>
        <w:tc>
          <w:tcPr>
            <w:tcW w:w="28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900" w:type="dxa"/>
            <w:vAlign w:val="bottom"/>
          </w:tcPr>
          <w:p>
            <w:pPr>
              <w:spacing w:after="0"/>
              <w:rPr>
                <w:sz w:val="12"/>
                <w:szCs w:val="12"/>
                <w:color w:val="auto"/>
              </w:rPr>
            </w:pPr>
          </w:p>
        </w:tc>
        <w:tc>
          <w:tcPr>
            <w:tcW w:w="200" w:type="dxa"/>
            <w:vAlign w:val="bottom"/>
            <w:vMerge w:val="restart"/>
          </w:tcPr>
          <w:p>
            <w:pPr>
              <w:ind w:left="120"/>
              <w:spacing w:after="0"/>
              <w:rPr>
                <w:sz w:val="20"/>
                <w:szCs w:val="20"/>
                <w:color w:val="auto"/>
              </w:rPr>
            </w:pPr>
            <w:r>
              <w:rPr>
                <w:rFonts w:ascii="Arial" w:cs="Arial" w:eastAsia="Arial" w:hAnsi="Arial"/>
                <w:sz w:val="14"/>
                <w:szCs w:val="14"/>
                <w:b w:val="1"/>
                <w:bCs w:val="1"/>
                <w:color w:val="auto"/>
                <w:w w:val="76"/>
              </w:rPr>
              <w:t>$</w:t>
            </w:r>
          </w:p>
        </w:tc>
        <w:tc>
          <w:tcPr>
            <w:tcW w:w="780" w:type="dxa"/>
            <w:vAlign w:val="bottom"/>
            <w:vMerge w:val="restart"/>
          </w:tcPr>
          <w:p>
            <w:pPr>
              <w:jc w:val="right"/>
              <w:spacing w:after="0"/>
              <w:rPr>
                <w:sz w:val="20"/>
                <w:szCs w:val="20"/>
                <w:color w:val="auto"/>
              </w:rPr>
            </w:pPr>
            <w:r>
              <w:rPr>
                <w:rFonts w:ascii="Arial" w:cs="Arial" w:eastAsia="Arial" w:hAnsi="Arial"/>
                <w:sz w:val="14"/>
                <w:szCs w:val="14"/>
                <w:b w:val="1"/>
                <w:bCs w:val="1"/>
                <w:color w:val="auto"/>
              </w:rPr>
              <w:t>947</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3800" w:type="dxa"/>
            <w:vAlign w:val="bottom"/>
          </w:tcPr>
          <w:p>
            <w:pPr>
              <w:ind w:left="200"/>
              <w:spacing w:after="0" w:line="133" w:lineRule="exact"/>
              <w:rPr>
                <w:sz w:val="20"/>
                <w:szCs w:val="20"/>
                <w:color w:val="auto"/>
              </w:rPr>
            </w:pPr>
            <w:r>
              <w:rPr>
                <w:rFonts w:ascii="Arial" w:cs="Arial" w:eastAsia="Arial" w:hAnsi="Arial"/>
                <w:sz w:val="14"/>
                <w:szCs w:val="14"/>
                <w:color w:val="auto"/>
              </w:rPr>
              <w:t>Cash and cash equivalents</w:t>
            </w:r>
          </w:p>
        </w:tc>
        <w:tc>
          <w:tcPr>
            <w:tcW w:w="280" w:type="dxa"/>
            <w:vAlign w:val="bottom"/>
          </w:tcPr>
          <w:p>
            <w:pPr>
              <w:ind w:left="180"/>
              <w:spacing w:after="0" w:line="133" w:lineRule="exact"/>
              <w:rPr>
                <w:sz w:val="20"/>
                <w:szCs w:val="20"/>
                <w:color w:val="auto"/>
              </w:rPr>
            </w:pPr>
            <w:r>
              <w:rPr>
                <w:rFonts w:ascii="Arial" w:cs="Arial" w:eastAsia="Arial" w:hAnsi="Arial"/>
                <w:sz w:val="14"/>
                <w:szCs w:val="14"/>
                <w:color w:val="auto"/>
              </w:rPr>
              <w:t>$</w:t>
            </w:r>
          </w:p>
        </w:tc>
        <w:tc>
          <w:tcPr>
            <w:tcW w:w="600" w:type="dxa"/>
            <w:vAlign w:val="bottom"/>
          </w:tcPr>
          <w:p>
            <w:pPr>
              <w:jc w:val="right"/>
              <w:ind w:right="92"/>
              <w:spacing w:after="0" w:line="133" w:lineRule="exact"/>
              <w:rPr>
                <w:sz w:val="20"/>
                <w:szCs w:val="20"/>
                <w:color w:val="auto"/>
              </w:rPr>
            </w:pPr>
            <w:r>
              <w:rPr>
                <w:rFonts w:ascii="Arial" w:cs="Arial" w:eastAsia="Arial" w:hAnsi="Arial"/>
                <w:sz w:val="14"/>
                <w:szCs w:val="14"/>
                <w:color w:val="auto"/>
              </w:rPr>
              <w:t>—</w:t>
            </w:r>
          </w:p>
        </w:tc>
        <w:tc>
          <w:tcPr>
            <w:tcW w:w="260" w:type="dxa"/>
            <w:vAlign w:val="bottom"/>
          </w:tcPr>
          <w:p>
            <w:pPr>
              <w:jc w:val="right"/>
              <w:spacing w:after="0" w:line="133" w:lineRule="exact"/>
              <w:rPr>
                <w:sz w:val="20"/>
                <w:szCs w:val="20"/>
                <w:color w:val="auto"/>
              </w:rPr>
            </w:pPr>
            <w:r>
              <w:rPr>
                <w:rFonts w:ascii="Arial" w:cs="Arial" w:eastAsia="Arial" w:hAnsi="Arial"/>
                <w:sz w:val="14"/>
                <w:szCs w:val="14"/>
                <w:color w:val="auto"/>
              </w:rPr>
              <w:t>$</w:t>
            </w:r>
          </w:p>
        </w:tc>
        <w:tc>
          <w:tcPr>
            <w:tcW w:w="560" w:type="dxa"/>
            <w:vAlign w:val="bottom"/>
          </w:tcPr>
          <w:p>
            <w:pPr>
              <w:jc w:val="right"/>
              <w:ind w:right="92"/>
              <w:spacing w:after="0" w:line="133" w:lineRule="exact"/>
              <w:rPr>
                <w:sz w:val="20"/>
                <w:szCs w:val="20"/>
                <w:color w:val="auto"/>
              </w:rPr>
            </w:pPr>
            <w:r>
              <w:rPr>
                <w:rFonts w:ascii="Arial" w:cs="Arial" w:eastAsia="Arial" w:hAnsi="Arial"/>
                <w:sz w:val="14"/>
                <w:szCs w:val="14"/>
                <w:color w:val="auto"/>
              </w:rPr>
              <w:t>—</w:t>
            </w:r>
          </w:p>
        </w:tc>
        <w:tc>
          <w:tcPr>
            <w:tcW w:w="260" w:type="dxa"/>
            <w:vAlign w:val="bottom"/>
          </w:tcPr>
          <w:p>
            <w:pPr>
              <w:jc w:val="center"/>
              <w:ind w:left="112"/>
              <w:spacing w:after="0" w:line="133" w:lineRule="exact"/>
              <w:rPr>
                <w:sz w:val="20"/>
                <w:szCs w:val="20"/>
                <w:color w:val="auto"/>
              </w:rPr>
            </w:pPr>
            <w:r>
              <w:rPr>
                <w:rFonts w:ascii="Arial" w:cs="Arial" w:eastAsia="Arial" w:hAnsi="Arial"/>
                <w:sz w:val="14"/>
                <w:szCs w:val="14"/>
                <w:color w:val="auto"/>
              </w:rPr>
              <w:t>$</w:t>
            </w:r>
          </w:p>
        </w:tc>
        <w:tc>
          <w:tcPr>
            <w:tcW w:w="600" w:type="dxa"/>
            <w:vAlign w:val="bottom"/>
          </w:tcPr>
          <w:p>
            <w:pPr>
              <w:jc w:val="right"/>
              <w:ind w:right="112"/>
              <w:spacing w:after="0" w:line="133" w:lineRule="exact"/>
              <w:rPr>
                <w:sz w:val="20"/>
                <w:szCs w:val="20"/>
                <w:color w:val="auto"/>
              </w:rPr>
            </w:pPr>
            <w:r>
              <w:rPr>
                <w:rFonts w:ascii="Arial" w:cs="Arial" w:eastAsia="Arial" w:hAnsi="Arial"/>
                <w:sz w:val="14"/>
                <w:szCs w:val="14"/>
                <w:color w:val="auto"/>
              </w:rPr>
              <w:t>—</w:t>
            </w:r>
          </w:p>
        </w:tc>
        <w:tc>
          <w:tcPr>
            <w:tcW w:w="260" w:type="dxa"/>
            <w:vAlign w:val="bottom"/>
          </w:tcPr>
          <w:p>
            <w:pPr>
              <w:ind w:left="160"/>
              <w:spacing w:after="0" w:line="133" w:lineRule="exact"/>
              <w:rPr>
                <w:sz w:val="20"/>
                <w:szCs w:val="20"/>
                <w:color w:val="auto"/>
              </w:rPr>
            </w:pPr>
            <w:r>
              <w:rPr>
                <w:rFonts w:ascii="Arial" w:cs="Arial" w:eastAsia="Arial" w:hAnsi="Arial"/>
                <w:sz w:val="14"/>
                <w:szCs w:val="14"/>
                <w:color w:val="auto"/>
              </w:rPr>
              <w:t>$</w:t>
            </w:r>
          </w:p>
        </w:tc>
        <w:tc>
          <w:tcPr>
            <w:tcW w:w="700" w:type="dxa"/>
            <w:vAlign w:val="bottom"/>
          </w:tcPr>
          <w:p>
            <w:pPr>
              <w:jc w:val="right"/>
              <w:ind w:right="112"/>
              <w:spacing w:after="0" w:line="133" w:lineRule="exact"/>
              <w:rPr>
                <w:sz w:val="20"/>
                <w:szCs w:val="20"/>
                <w:color w:val="auto"/>
              </w:rPr>
            </w:pPr>
            <w:r>
              <w:rPr>
                <w:rFonts w:ascii="Arial" w:cs="Arial" w:eastAsia="Arial" w:hAnsi="Arial"/>
                <w:sz w:val="14"/>
                <w:szCs w:val="14"/>
                <w:color w:val="auto"/>
              </w:rPr>
              <w:t>—</w:t>
            </w:r>
          </w:p>
        </w:tc>
        <w:tc>
          <w:tcPr>
            <w:tcW w:w="260" w:type="dxa"/>
            <w:vAlign w:val="bottom"/>
          </w:tcPr>
          <w:p>
            <w:pPr>
              <w:ind w:left="160"/>
              <w:spacing w:after="0" w:line="133" w:lineRule="exact"/>
              <w:rPr>
                <w:sz w:val="20"/>
                <w:szCs w:val="20"/>
                <w:color w:val="auto"/>
              </w:rPr>
            </w:pPr>
            <w:r>
              <w:rPr>
                <w:rFonts w:ascii="Arial" w:cs="Arial" w:eastAsia="Arial" w:hAnsi="Arial"/>
                <w:sz w:val="14"/>
                <w:szCs w:val="14"/>
                <w:color w:val="auto"/>
              </w:rPr>
              <w:t>$</w:t>
            </w:r>
          </w:p>
        </w:tc>
        <w:tc>
          <w:tcPr>
            <w:tcW w:w="620" w:type="dxa"/>
            <w:vAlign w:val="bottom"/>
          </w:tcPr>
          <w:p>
            <w:pPr>
              <w:jc w:val="right"/>
              <w:ind w:right="112"/>
              <w:spacing w:after="0" w:line="133" w:lineRule="exact"/>
              <w:rPr>
                <w:sz w:val="20"/>
                <w:szCs w:val="20"/>
                <w:color w:val="auto"/>
              </w:rPr>
            </w:pPr>
            <w:r>
              <w:rPr>
                <w:rFonts w:ascii="Arial" w:cs="Arial" w:eastAsia="Arial" w:hAnsi="Arial"/>
                <w:sz w:val="14"/>
                <w:szCs w:val="14"/>
                <w:color w:val="auto"/>
              </w:rPr>
              <w:t>—</w:t>
            </w:r>
          </w:p>
        </w:tc>
        <w:tc>
          <w:tcPr>
            <w:tcW w:w="260" w:type="dxa"/>
            <w:vAlign w:val="bottom"/>
          </w:tcPr>
          <w:p>
            <w:pPr>
              <w:ind w:left="160"/>
              <w:spacing w:after="0" w:line="133" w:lineRule="exact"/>
              <w:rPr>
                <w:sz w:val="20"/>
                <w:szCs w:val="20"/>
                <w:color w:val="auto"/>
              </w:rPr>
            </w:pPr>
            <w:r>
              <w:rPr>
                <w:rFonts w:ascii="Arial" w:cs="Arial" w:eastAsia="Arial" w:hAnsi="Arial"/>
                <w:sz w:val="14"/>
                <w:szCs w:val="14"/>
                <w:color w:val="auto"/>
              </w:rPr>
              <w:t>$</w:t>
            </w:r>
          </w:p>
        </w:tc>
        <w:tc>
          <w:tcPr>
            <w:tcW w:w="820" w:type="dxa"/>
            <w:vAlign w:val="bottom"/>
          </w:tcPr>
          <w:p>
            <w:pPr>
              <w:jc w:val="right"/>
              <w:ind w:right="112"/>
              <w:spacing w:after="0" w:line="133" w:lineRule="exact"/>
              <w:rPr>
                <w:sz w:val="20"/>
                <w:szCs w:val="20"/>
                <w:color w:val="auto"/>
              </w:rPr>
            </w:pPr>
            <w:r>
              <w:rPr>
                <w:rFonts w:ascii="Arial" w:cs="Arial" w:eastAsia="Arial" w:hAnsi="Arial"/>
                <w:sz w:val="14"/>
                <w:szCs w:val="14"/>
                <w:color w:val="auto"/>
              </w:rPr>
              <w:t>947</w:t>
            </w:r>
          </w:p>
        </w:tc>
        <w:tc>
          <w:tcPr>
            <w:tcW w:w="240" w:type="dxa"/>
            <w:vAlign w:val="bottom"/>
          </w:tcPr>
          <w:p>
            <w:pPr>
              <w:ind w:left="160"/>
              <w:spacing w:after="0" w:line="133" w:lineRule="exact"/>
              <w:rPr>
                <w:sz w:val="20"/>
                <w:szCs w:val="20"/>
                <w:color w:val="auto"/>
              </w:rPr>
            </w:pPr>
            <w:r>
              <w:rPr>
                <w:rFonts w:ascii="Arial" w:cs="Arial" w:eastAsia="Arial" w:hAnsi="Arial"/>
                <w:sz w:val="14"/>
                <w:szCs w:val="14"/>
                <w:color w:val="auto"/>
                <w:w w:val="76"/>
              </w:rPr>
              <w:t>$</w:t>
            </w:r>
          </w:p>
        </w:tc>
        <w:tc>
          <w:tcPr>
            <w:tcW w:w="900" w:type="dxa"/>
            <w:vAlign w:val="bottom"/>
          </w:tcPr>
          <w:p>
            <w:pPr>
              <w:jc w:val="right"/>
              <w:ind w:right="92"/>
              <w:spacing w:after="0" w:line="133" w:lineRule="exact"/>
              <w:rPr>
                <w:sz w:val="20"/>
                <w:szCs w:val="20"/>
                <w:color w:val="auto"/>
              </w:rPr>
            </w:pPr>
            <w:r>
              <w:rPr>
                <w:rFonts w:ascii="Arial" w:cs="Arial" w:eastAsia="Arial" w:hAnsi="Arial"/>
                <w:sz w:val="14"/>
                <w:szCs w:val="14"/>
                <w:color w:val="auto"/>
              </w:rPr>
              <w:t>—</w:t>
            </w:r>
          </w:p>
        </w:tc>
        <w:tc>
          <w:tcPr>
            <w:tcW w:w="200" w:type="dxa"/>
            <w:vAlign w:val="bottom"/>
            <w:vMerge w:val="continue"/>
          </w:tcPr>
          <w:p>
            <w:pPr>
              <w:spacing w:after="0"/>
              <w:rPr>
                <w:sz w:val="11"/>
                <w:szCs w:val="11"/>
                <w:color w:val="auto"/>
              </w:rPr>
            </w:pPr>
          </w:p>
        </w:tc>
        <w:tc>
          <w:tcPr>
            <w:tcW w:w="780" w:type="dxa"/>
            <w:vAlign w:val="bottom"/>
            <w:vMerge w:val="continue"/>
          </w:tcPr>
          <w:p>
            <w:pPr>
              <w:spacing w:after="0"/>
              <w:rPr>
                <w:sz w:val="11"/>
                <w:szCs w:val="11"/>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800" w:type="dxa"/>
            <w:vAlign w:val="bottom"/>
          </w:tcPr>
          <w:p>
            <w:pPr>
              <w:ind w:left="200"/>
              <w:spacing w:after="0" w:line="149" w:lineRule="exact"/>
              <w:rPr>
                <w:sz w:val="20"/>
                <w:szCs w:val="20"/>
                <w:color w:val="auto"/>
              </w:rPr>
            </w:pPr>
            <w:r>
              <w:rPr>
                <w:rFonts w:ascii="Arial" w:cs="Arial" w:eastAsia="Arial" w:hAnsi="Arial"/>
                <w:sz w:val="14"/>
                <w:szCs w:val="14"/>
                <w:color w:val="auto"/>
              </w:rPr>
              <w:t>Investments</w:t>
            </w:r>
          </w:p>
        </w:tc>
        <w:tc>
          <w:tcPr>
            <w:tcW w:w="280" w:type="dxa"/>
            <w:vAlign w:val="bottom"/>
          </w:tcPr>
          <w:p>
            <w:pPr>
              <w:spacing w:after="0"/>
              <w:rPr>
                <w:sz w:val="12"/>
                <w:szCs w:val="12"/>
                <w:color w:val="auto"/>
              </w:rPr>
            </w:pPr>
          </w:p>
        </w:tc>
        <w:tc>
          <w:tcPr>
            <w:tcW w:w="600" w:type="dxa"/>
            <w:vAlign w:val="bottom"/>
          </w:tcPr>
          <w:p>
            <w:pPr>
              <w:jc w:val="right"/>
              <w:ind w:right="92"/>
              <w:spacing w:after="0" w:line="149" w:lineRule="exact"/>
              <w:rPr>
                <w:sz w:val="20"/>
                <w:szCs w:val="20"/>
                <w:color w:val="auto"/>
              </w:rPr>
            </w:pPr>
            <w:r>
              <w:rPr>
                <w:rFonts w:ascii="Arial" w:cs="Arial" w:eastAsia="Arial" w:hAnsi="Arial"/>
                <w:sz w:val="14"/>
                <w:szCs w:val="14"/>
                <w:color w:val="auto"/>
              </w:rPr>
              <w:t>—</w:t>
            </w:r>
          </w:p>
        </w:tc>
        <w:tc>
          <w:tcPr>
            <w:tcW w:w="260" w:type="dxa"/>
            <w:vAlign w:val="bottom"/>
          </w:tcPr>
          <w:p>
            <w:pPr>
              <w:spacing w:after="0"/>
              <w:rPr>
                <w:sz w:val="12"/>
                <w:szCs w:val="12"/>
                <w:color w:val="auto"/>
              </w:rPr>
            </w:pPr>
          </w:p>
        </w:tc>
        <w:tc>
          <w:tcPr>
            <w:tcW w:w="560" w:type="dxa"/>
            <w:vAlign w:val="bottom"/>
          </w:tcPr>
          <w:p>
            <w:pPr>
              <w:jc w:val="right"/>
              <w:ind w:right="92"/>
              <w:spacing w:after="0" w:line="149" w:lineRule="exact"/>
              <w:rPr>
                <w:sz w:val="20"/>
                <w:szCs w:val="20"/>
                <w:color w:val="auto"/>
              </w:rPr>
            </w:pPr>
            <w:r>
              <w:rPr>
                <w:rFonts w:ascii="Arial" w:cs="Arial" w:eastAsia="Arial" w:hAnsi="Arial"/>
                <w:sz w:val="14"/>
                <w:szCs w:val="14"/>
                <w:color w:val="auto"/>
              </w:rPr>
              <w:t>—</w:t>
            </w:r>
          </w:p>
        </w:tc>
        <w:tc>
          <w:tcPr>
            <w:tcW w:w="260" w:type="dxa"/>
            <w:vAlign w:val="bottom"/>
          </w:tcPr>
          <w:p>
            <w:pPr>
              <w:spacing w:after="0"/>
              <w:rPr>
                <w:sz w:val="12"/>
                <w:szCs w:val="12"/>
                <w:color w:val="auto"/>
              </w:rPr>
            </w:pPr>
          </w:p>
        </w:tc>
        <w:tc>
          <w:tcPr>
            <w:tcW w:w="600" w:type="dxa"/>
            <w:vAlign w:val="bottom"/>
          </w:tcPr>
          <w:p>
            <w:pPr>
              <w:jc w:val="right"/>
              <w:ind w:right="112"/>
              <w:spacing w:after="0" w:line="149" w:lineRule="exact"/>
              <w:rPr>
                <w:sz w:val="20"/>
                <w:szCs w:val="20"/>
                <w:color w:val="auto"/>
              </w:rPr>
            </w:pPr>
            <w:r>
              <w:rPr>
                <w:rFonts w:ascii="Arial" w:cs="Arial" w:eastAsia="Arial" w:hAnsi="Arial"/>
                <w:sz w:val="14"/>
                <w:szCs w:val="14"/>
                <w:color w:val="auto"/>
              </w:rPr>
              <w:t>—</w:t>
            </w:r>
          </w:p>
        </w:tc>
        <w:tc>
          <w:tcPr>
            <w:tcW w:w="260" w:type="dxa"/>
            <w:vAlign w:val="bottom"/>
          </w:tcPr>
          <w:p>
            <w:pPr>
              <w:spacing w:after="0"/>
              <w:rPr>
                <w:sz w:val="12"/>
                <w:szCs w:val="12"/>
                <w:color w:val="auto"/>
              </w:rPr>
            </w:pPr>
          </w:p>
        </w:tc>
        <w:tc>
          <w:tcPr>
            <w:tcW w:w="700" w:type="dxa"/>
            <w:vAlign w:val="bottom"/>
          </w:tcPr>
          <w:p>
            <w:pPr>
              <w:jc w:val="right"/>
              <w:ind w:right="112"/>
              <w:spacing w:after="0" w:line="149" w:lineRule="exact"/>
              <w:rPr>
                <w:sz w:val="20"/>
                <w:szCs w:val="20"/>
                <w:color w:val="auto"/>
              </w:rPr>
            </w:pPr>
            <w:r>
              <w:rPr>
                <w:rFonts w:ascii="Arial" w:cs="Arial" w:eastAsia="Arial" w:hAnsi="Arial"/>
                <w:sz w:val="14"/>
                <w:szCs w:val="14"/>
                <w:color w:val="auto"/>
              </w:rPr>
              <w:t>—</w:t>
            </w:r>
          </w:p>
        </w:tc>
        <w:tc>
          <w:tcPr>
            <w:tcW w:w="260" w:type="dxa"/>
            <w:vAlign w:val="bottom"/>
          </w:tcPr>
          <w:p>
            <w:pPr>
              <w:spacing w:after="0"/>
              <w:rPr>
                <w:sz w:val="12"/>
                <w:szCs w:val="12"/>
                <w:color w:val="auto"/>
              </w:rPr>
            </w:pPr>
          </w:p>
        </w:tc>
        <w:tc>
          <w:tcPr>
            <w:tcW w:w="620" w:type="dxa"/>
            <w:vAlign w:val="bottom"/>
          </w:tcPr>
          <w:p>
            <w:pPr>
              <w:jc w:val="right"/>
              <w:ind w:right="112"/>
              <w:spacing w:after="0" w:line="149" w:lineRule="exact"/>
              <w:rPr>
                <w:sz w:val="20"/>
                <w:szCs w:val="20"/>
                <w:color w:val="auto"/>
              </w:rPr>
            </w:pPr>
            <w:r>
              <w:rPr>
                <w:rFonts w:ascii="Arial" w:cs="Arial" w:eastAsia="Arial" w:hAnsi="Arial"/>
                <w:sz w:val="14"/>
                <w:szCs w:val="14"/>
                <w:color w:val="auto"/>
              </w:rPr>
              <w:t>—</w:t>
            </w:r>
          </w:p>
        </w:tc>
        <w:tc>
          <w:tcPr>
            <w:tcW w:w="260" w:type="dxa"/>
            <w:vAlign w:val="bottom"/>
          </w:tcPr>
          <w:p>
            <w:pPr>
              <w:spacing w:after="0"/>
              <w:rPr>
                <w:sz w:val="12"/>
                <w:szCs w:val="12"/>
                <w:color w:val="auto"/>
              </w:rPr>
            </w:pPr>
          </w:p>
        </w:tc>
        <w:tc>
          <w:tcPr>
            <w:tcW w:w="820" w:type="dxa"/>
            <w:vAlign w:val="bottom"/>
          </w:tcPr>
          <w:p>
            <w:pPr>
              <w:jc w:val="right"/>
              <w:ind w:right="112"/>
              <w:spacing w:after="0" w:line="149" w:lineRule="exact"/>
              <w:rPr>
                <w:sz w:val="20"/>
                <w:szCs w:val="20"/>
                <w:color w:val="auto"/>
              </w:rPr>
            </w:pPr>
            <w:r>
              <w:rPr>
                <w:rFonts w:ascii="Arial" w:cs="Arial" w:eastAsia="Arial" w:hAnsi="Arial"/>
                <w:sz w:val="14"/>
                <w:szCs w:val="14"/>
                <w:color w:val="auto"/>
              </w:rPr>
              <w:t>148</w:t>
            </w:r>
          </w:p>
        </w:tc>
        <w:tc>
          <w:tcPr>
            <w:tcW w:w="240" w:type="dxa"/>
            <w:vAlign w:val="bottom"/>
          </w:tcPr>
          <w:p>
            <w:pPr>
              <w:spacing w:after="0"/>
              <w:rPr>
                <w:sz w:val="12"/>
                <w:szCs w:val="12"/>
                <w:color w:val="auto"/>
              </w:rPr>
            </w:pPr>
          </w:p>
        </w:tc>
        <w:tc>
          <w:tcPr>
            <w:tcW w:w="900" w:type="dxa"/>
            <w:vAlign w:val="bottom"/>
          </w:tcPr>
          <w:p>
            <w:pPr>
              <w:jc w:val="right"/>
              <w:ind w:right="92"/>
              <w:spacing w:after="0" w:line="149" w:lineRule="exact"/>
              <w:rPr>
                <w:sz w:val="20"/>
                <w:szCs w:val="20"/>
                <w:color w:val="auto"/>
              </w:rPr>
            </w:pPr>
            <w:r>
              <w:rPr>
                <w:rFonts w:ascii="Arial" w:cs="Arial" w:eastAsia="Arial" w:hAnsi="Arial"/>
                <w:sz w:val="14"/>
                <w:szCs w:val="14"/>
                <w:color w:val="auto"/>
              </w:rPr>
              <w:t>—</w:t>
            </w:r>
          </w:p>
        </w:tc>
        <w:tc>
          <w:tcPr>
            <w:tcW w:w="200" w:type="dxa"/>
            <w:vAlign w:val="bottom"/>
          </w:tcPr>
          <w:p>
            <w:pPr>
              <w:spacing w:after="0"/>
              <w:rPr>
                <w:sz w:val="12"/>
                <w:szCs w:val="12"/>
                <w:color w:val="auto"/>
              </w:rPr>
            </w:pPr>
          </w:p>
        </w:tc>
        <w:tc>
          <w:tcPr>
            <w:tcW w:w="780" w:type="dxa"/>
            <w:vAlign w:val="bottom"/>
          </w:tcPr>
          <w:p>
            <w:pPr>
              <w:jc w:val="right"/>
              <w:spacing w:after="0" w:line="149" w:lineRule="exact"/>
              <w:rPr>
                <w:sz w:val="20"/>
                <w:szCs w:val="20"/>
                <w:color w:val="auto"/>
              </w:rPr>
            </w:pPr>
            <w:r>
              <w:rPr>
                <w:rFonts w:ascii="Arial" w:cs="Arial" w:eastAsia="Arial" w:hAnsi="Arial"/>
                <w:sz w:val="14"/>
                <w:szCs w:val="14"/>
                <w:b w:val="1"/>
                <w:bCs w:val="1"/>
                <w:color w:val="auto"/>
              </w:rPr>
              <w:t>148</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800" w:type="dxa"/>
            <w:vAlign w:val="bottom"/>
          </w:tcPr>
          <w:p>
            <w:pPr>
              <w:ind w:left="200"/>
              <w:spacing w:after="0" w:line="149" w:lineRule="exact"/>
              <w:rPr>
                <w:sz w:val="20"/>
                <w:szCs w:val="20"/>
                <w:color w:val="auto"/>
              </w:rPr>
            </w:pPr>
            <w:r>
              <w:rPr>
                <w:rFonts w:ascii="Arial" w:cs="Arial" w:eastAsia="Arial" w:hAnsi="Arial"/>
                <w:sz w:val="14"/>
                <w:szCs w:val="14"/>
                <w:color w:val="auto"/>
              </w:rPr>
              <w:t>Accounts receivable, net</w:t>
            </w:r>
          </w:p>
        </w:tc>
        <w:tc>
          <w:tcPr>
            <w:tcW w:w="280" w:type="dxa"/>
            <w:vAlign w:val="bottom"/>
          </w:tcPr>
          <w:p>
            <w:pPr>
              <w:spacing w:after="0"/>
              <w:rPr>
                <w:sz w:val="12"/>
                <w:szCs w:val="12"/>
                <w:color w:val="auto"/>
              </w:rPr>
            </w:pPr>
          </w:p>
        </w:tc>
        <w:tc>
          <w:tcPr>
            <w:tcW w:w="600" w:type="dxa"/>
            <w:vAlign w:val="bottom"/>
          </w:tcPr>
          <w:p>
            <w:pPr>
              <w:jc w:val="right"/>
              <w:ind w:right="92"/>
              <w:spacing w:after="0" w:line="149" w:lineRule="exact"/>
              <w:rPr>
                <w:sz w:val="20"/>
                <w:szCs w:val="20"/>
                <w:color w:val="auto"/>
              </w:rPr>
            </w:pPr>
            <w:r>
              <w:rPr>
                <w:rFonts w:ascii="Arial" w:cs="Arial" w:eastAsia="Arial" w:hAnsi="Arial"/>
                <w:sz w:val="14"/>
                <w:szCs w:val="14"/>
                <w:color w:val="auto"/>
              </w:rPr>
              <w:t>—</w:t>
            </w:r>
          </w:p>
        </w:tc>
        <w:tc>
          <w:tcPr>
            <w:tcW w:w="260" w:type="dxa"/>
            <w:vAlign w:val="bottom"/>
          </w:tcPr>
          <w:p>
            <w:pPr>
              <w:spacing w:after="0"/>
              <w:rPr>
                <w:sz w:val="12"/>
                <w:szCs w:val="12"/>
                <w:color w:val="auto"/>
              </w:rPr>
            </w:pPr>
          </w:p>
        </w:tc>
        <w:tc>
          <w:tcPr>
            <w:tcW w:w="560" w:type="dxa"/>
            <w:vAlign w:val="bottom"/>
          </w:tcPr>
          <w:p>
            <w:pPr>
              <w:jc w:val="right"/>
              <w:ind w:right="92"/>
              <w:spacing w:after="0" w:line="149" w:lineRule="exact"/>
              <w:rPr>
                <w:sz w:val="20"/>
                <w:szCs w:val="20"/>
                <w:color w:val="auto"/>
              </w:rPr>
            </w:pPr>
            <w:r>
              <w:rPr>
                <w:rFonts w:ascii="Arial" w:cs="Arial" w:eastAsia="Arial" w:hAnsi="Arial"/>
                <w:sz w:val="14"/>
                <w:szCs w:val="14"/>
                <w:color w:val="auto"/>
              </w:rPr>
              <w:t>—</w:t>
            </w:r>
          </w:p>
        </w:tc>
        <w:tc>
          <w:tcPr>
            <w:tcW w:w="260" w:type="dxa"/>
            <w:vAlign w:val="bottom"/>
          </w:tcPr>
          <w:p>
            <w:pPr>
              <w:spacing w:after="0"/>
              <w:rPr>
                <w:sz w:val="12"/>
                <w:szCs w:val="12"/>
                <w:color w:val="auto"/>
              </w:rPr>
            </w:pPr>
          </w:p>
        </w:tc>
        <w:tc>
          <w:tcPr>
            <w:tcW w:w="600" w:type="dxa"/>
            <w:vAlign w:val="bottom"/>
          </w:tcPr>
          <w:p>
            <w:pPr>
              <w:jc w:val="right"/>
              <w:ind w:right="112"/>
              <w:spacing w:after="0" w:line="149" w:lineRule="exact"/>
              <w:rPr>
                <w:sz w:val="20"/>
                <w:szCs w:val="20"/>
                <w:color w:val="auto"/>
              </w:rPr>
            </w:pPr>
            <w:r>
              <w:rPr>
                <w:rFonts w:ascii="Arial" w:cs="Arial" w:eastAsia="Arial" w:hAnsi="Arial"/>
                <w:sz w:val="14"/>
                <w:szCs w:val="14"/>
                <w:color w:val="auto"/>
              </w:rPr>
              <w:t>—</w:t>
            </w:r>
          </w:p>
        </w:tc>
        <w:tc>
          <w:tcPr>
            <w:tcW w:w="260" w:type="dxa"/>
            <w:vAlign w:val="bottom"/>
          </w:tcPr>
          <w:p>
            <w:pPr>
              <w:spacing w:after="0"/>
              <w:rPr>
                <w:sz w:val="12"/>
                <w:szCs w:val="12"/>
                <w:color w:val="auto"/>
              </w:rPr>
            </w:pPr>
          </w:p>
        </w:tc>
        <w:tc>
          <w:tcPr>
            <w:tcW w:w="700" w:type="dxa"/>
            <w:vAlign w:val="bottom"/>
          </w:tcPr>
          <w:p>
            <w:pPr>
              <w:jc w:val="right"/>
              <w:ind w:right="112"/>
              <w:spacing w:after="0" w:line="149" w:lineRule="exact"/>
              <w:rPr>
                <w:sz w:val="20"/>
                <w:szCs w:val="20"/>
                <w:color w:val="auto"/>
              </w:rPr>
            </w:pPr>
            <w:r>
              <w:rPr>
                <w:rFonts w:ascii="Arial" w:cs="Arial" w:eastAsia="Arial" w:hAnsi="Arial"/>
                <w:sz w:val="14"/>
                <w:szCs w:val="14"/>
                <w:color w:val="auto"/>
              </w:rPr>
              <w:t>—</w:t>
            </w:r>
          </w:p>
        </w:tc>
        <w:tc>
          <w:tcPr>
            <w:tcW w:w="260" w:type="dxa"/>
            <w:vAlign w:val="bottom"/>
          </w:tcPr>
          <w:p>
            <w:pPr>
              <w:spacing w:after="0"/>
              <w:rPr>
                <w:sz w:val="12"/>
                <w:szCs w:val="12"/>
                <w:color w:val="auto"/>
              </w:rPr>
            </w:pPr>
          </w:p>
        </w:tc>
        <w:tc>
          <w:tcPr>
            <w:tcW w:w="620" w:type="dxa"/>
            <w:vAlign w:val="bottom"/>
          </w:tcPr>
          <w:p>
            <w:pPr>
              <w:jc w:val="right"/>
              <w:ind w:right="112"/>
              <w:spacing w:after="0" w:line="149" w:lineRule="exact"/>
              <w:rPr>
                <w:sz w:val="20"/>
                <w:szCs w:val="20"/>
                <w:color w:val="auto"/>
              </w:rPr>
            </w:pPr>
            <w:r>
              <w:rPr>
                <w:rFonts w:ascii="Arial" w:cs="Arial" w:eastAsia="Arial" w:hAnsi="Arial"/>
                <w:sz w:val="14"/>
                <w:szCs w:val="14"/>
                <w:color w:val="auto"/>
              </w:rPr>
              <w:t>—</w:t>
            </w:r>
          </w:p>
        </w:tc>
        <w:tc>
          <w:tcPr>
            <w:tcW w:w="260" w:type="dxa"/>
            <w:vAlign w:val="bottom"/>
          </w:tcPr>
          <w:p>
            <w:pPr>
              <w:spacing w:after="0"/>
              <w:rPr>
                <w:sz w:val="12"/>
                <w:szCs w:val="12"/>
                <w:color w:val="auto"/>
              </w:rPr>
            </w:pPr>
          </w:p>
        </w:tc>
        <w:tc>
          <w:tcPr>
            <w:tcW w:w="820" w:type="dxa"/>
            <w:vAlign w:val="bottom"/>
          </w:tcPr>
          <w:p>
            <w:pPr>
              <w:jc w:val="right"/>
              <w:ind w:right="112"/>
              <w:spacing w:after="0" w:line="149" w:lineRule="exact"/>
              <w:rPr>
                <w:sz w:val="20"/>
                <w:szCs w:val="20"/>
                <w:color w:val="auto"/>
              </w:rPr>
            </w:pPr>
            <w:r>
              <w:rPr>
                <w:rFonts w:ascii="Arial" w:cs="Arial" w:eastAsia="Arial" w:hAnsi="Arial"/>
                <w:sz w:val="14"/>
                <w:szCs w:val="14"/>
                <w:color w:val="auto"/>
              </w:rPr>
              <w:t>1,008</w:t>
            </w:r>
          </w:p>
        </w:tc>
        <w:tc>
          <w:tcPr>
            <w:tcW w:w="240" w:type="dxa"/>
            <w:vAlign w:val="bottom"/>
          </w:tcPr>
          <w:p>
            <w:pPr>
              <w:spacing w:after="0"/>
              <w:rPr>
                <w:sz w:val="12"/>
                <w:szCs w:val="12"/>
                <w:color w:val="auto"/>
              </w:rPr>
            </w:pPr>
          </w:p>
        </w:tc>
        <w:tc>
          <w:tcPr>
            <w:tcW w:w="900" w:type="dxa"/>
            <w:vAlign w:val="bottom"/>
          </w:tcPr>
          <w:p>
            <w:pPr>
              <w:jc w:val="right"/>
              <w:ind w:right="92"/>
              <w:spacing w:after="0" w:line="149" w:lineRule="exact"/>
              <w:rPr>
                <w:sz w:val="20"/>
                <w:szCs w:val="20"/>
                <w:color w:val="auto"/>
              </w:rPr>
            </w:pPr>
            <w:r>
              <w:rPr>
                <w:rFonts w:ascii="Arial" w:cs="Arial" w:eastAsia="Arial" w:hAnsi="Arial"/>
                <w:sz w:val="14"/>
                <w:szCs w:val="14"/>
                <w:color w:val="auto"/>
              </w:rPr>
              <w:t>—</w:t>
            </w:r>
          </w:p>
        </w:tc>
        <w:tc>
          <w:tcPr>
            <w:tcW w:w="200" w:type="dxa"/>
            <w:vAlign w:val="bottom"/>
          </w:tcPr>
          <w:p>
            <w:pPr>
              <w:spacing w:after="0"/>
              <w:rPr>
                <w:sz w:val="12"/>
                <w:szCs w:val="12"/>
                <w:color w:val="auto"/>
              </w:rPr>
            </w:pPr>
          </w:p>
        </w:tc>
        <w:tc>
          <w:tcPr>
            <w:tcW w:w="780" w:type="dxa"/>
            <w:vAlign w:val="bottom"/>
          </w:tcPr>
          <w:p>
            <w:pPr>
              <w:jc w:val="right"/>
              <w:spacing w:after="0" w:line="149" w:lineRule="exact"/>
              <w:rPr>
                <w:sz w:val="20"/>
                <w:szCs w:val="20"/>
                <w:color w:val="auto"/>
              </w:rPr>
            </w:pPr>
            <w:r>
              <w:rPr>
                <w:rFonts w:ascii="Arial" w:cs="Arial" w:eastAsia="Arial" w:hAnsi="Arial"/>
                <w:sz w:val="14"/>
                <w:szCs w:val="14"/>
                <w:b w:val="1"/>
                <w:bCs w:val="1"/>
                <w:color w:val="auto"/>
              </w:rPr>
              <w:t>1,008</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800" w:type="dxa"/>
            <w:vAlign w:val="bottom"/>
          </w:tcPr>
          <w:p>
            <w:pPr>
              <w:ind w:left="200"/>
              <w:spacing w:after="0" w:line="149" w:lineRule="exact"/>
              <w:rPr>
                <w:sz w:val="20"/>
                <w:szCs w:val="20"/>
                <w:color w:val="auto"/>
              </w:rPr>
            </w:pPr>
            <w:r>
              <w:rPr>
                <w:rFonts w:ascii="Arial" w:cs="Arial" w:eastAsia="Arial" w:hAnsi="Arial"/>
                <w:sz w:val="14"/>
                <w:szCs w:val="14"/>
                <w:color w:val="auto"/>
              </w:rPr>
              <w:t>Other current assets</w:t>
            </w:r>
          </w:p>
        </w:tc>
        <w:tc>
          <w:tcPr>
            <w:tcW w:w="280" w:type="dxa"/>
            <w:vAlign w:val="bottom"/>
          </w:tcPr>
          <w:p>
            <w:pPr>
              <w:spacing w:after="0"/>
              <w:rPr>
                <w:sz w:val="12"/>
                <w:szCs w:val="12"/>
                <w:color w:val="auto"/>
              </w:rPr>
            </w:pPr>
          </w:p>
        </w:tc>
        <w:tc>
          <w:tcPr>
            <w:tcW w:w="600" w:type="dxa"/>
            <w:vAlign w:val="bottom"/>
          </w:tcPr>
          <w:p>
            <w:pPr>
              <w:jc w:val="right"/>
              <w:ind w:right="92"/>
              <w:spacing w:after="0" w:line="149" w:lineRule="exact"/>
              <w:rPr>
                <w:sz w:val="20"/>
                <w:szCs w:val="20"/>
                <w:color w:val="auto"/>
              </w:rPr>
            </w:pPr>
            <w:r>
              <w:rPr>
                <w:rFonts w:ascii="Arial" w:cs="Arial" w:eastAsia="Arial" w:hAnsi="Arial"/>
                <w:sz w:val="14"/>
                <w:szCs w:val="14"/>
                <w:color w:val="auto"/>
              </w:rPr>
              <w:t>16</w:t>
            </w:r>
          </w:p>
        </w:tc>
        <w:tc>
          <w:tcPr>
            <w:tcW w:w="260" w:type="dxa"/>
            <w:vAlign w:val="bottom"/>
          </w:tcPr>
          <w:p>
            <w:pPr>
              <w:spacing w:after="0"/>
              <w:rPr>
                <w:sz w:val="12"/>
                <w:szCs w:val="12"/>
                <w:color w:val="auto"/>
              </w:rPr>
            </w:pPr>
          </w:p>
        </w:tc>
        <w:tc>
          <w:tcPr>
            <w:tcW w:w="560" w:type="dxa"/>
            <w:vAlign w:val="bottom"/>
          </w:tcPr>
          <w:p>
            <w:pPr>
              <w:jc w:val="right"/>
              <w:ind w:right="92"/>
              <w:spacing w:after="0" w:line="149" w:lineRule="exact"/>
              <w:rPr>
                <w:sz w:val="20"/>
                <w:szCs w:val="20"/>
                <w:color w:val="auto"/>
              </w:rPr>
            </w:pPr>
            <w:r>
              <w:rPr>
                <w:rFonts w:ascii="Arial" w:cs="Arial" w:eastAsia="Arial" w:hAnsi="Arial"/>
                <w:sz w:val="14"/>
                <w:szCs w:val="14"/>
                <w:color w:val="auto"/>
              </w:rPr>
              <w:t>—</w:t>
            </w:r>
          </w:p>
        </w:tc>
        <w:tc>
          <w:tcPr>
            <w:tcW w:w="260" w:type="dxa"/>
            <w:vAlign w:val="bottom"/>
          </w:tcPr>
          <w:p>
            <w:pPr>
              <w:spacing w:after="0"/>
              <w:rPr>
                <w:sz w:val="12"/>
                <w:szCs w:val="12"/>
                <w:color w:val="auto"/>
              </w:rPr>
            </w:pPr>
          </w:p>
        </w:tc>
        <w:tc>
          <w:tcPr>
            <w:tcW w:w="600" w:type="dxa"/>
            <w:vAlign w:val="bottom"/>
          </w:tcPr>
          <w:p>
            <w:pPr>
              <w:jc w:val="right"/>
              <w:ind w:right="112"/>
              <w:spacing w:after="0" w:line="149" w:lineRule="exact"/>
              <w:rPr>
                <w:sz w:val="20"/>
                <w:szCs w:val="20"/>
                <w:color w:val="auto"/>
              </w:rPr>
            </w:pPr>
            <w:r>
              <w:rPr>
                <w:rFonts w:ascii="Arial" w:cs="Arial" w:eastAsia="Arial" w:hAnsi="Arial"/>
                <w:sz w:val="14"/>
                <w:szCs w:val="14"/>
                <w:color w:val="auto"/>
              </w:rPr>
              <w:t>—</w:t>
            </w:r>
          </w:p>
        </w:tc>
        <w:tc>
          <w:tcPr>
            <w:tcW w:w="260" w:type="dxa"/>
            <w:vAlign w:val="bottom"/>
          </w:tcPr>
          <w:p>
            <w:pPr>
              <w:spacing w:after="0"/>
              <w:rPr>
                <w:sz w:val="12"/>
                <w:szCs w:val="12"/>
                <w:color w:val="auto"/>
              </w:rPr>
            </w:pPr>
          </w:p>
        </w:tc>
        <w:tc>
          <w:tcPr>
            <w:tcW w:w="700" w:type="dxa"/>
            <w:vAlign w:val="bottom"/>
          </w:tcPr>
          <w:p>
            <w:pPr>
              <w:jc w:val="right"/>
              <w:ind w:right="112"/>
              <w:spacing w:after="0" w:line="149" w:lineRule="exact"/>
              <w:rPr>
                <w:sz w:val="20"/>
                <w:szCs w:val="20"/>
                <w:color w:val="auto"/>
              </w:rPr>
            </w:pPr>
            <w:r>
              <w:rPr>
                <w:rFonts w:ascii="Arial" w:cs="Arial" w:eastAsia="Arial" w:hAnsi="Arial"/>
                <w:sz w:val="14"/>
                <w:szCs w:val="14"/>
                <w:color w:val="auto"/>
              </w:rPr>
              <w:t>—</w:t>
            </w:r>
          </w:p>
        </w:tc>
        <w:tc>
          <w:tcPr>
            <w:tcW w:w="260" w:type="dxa"/>
            <w:vAlign w:val="bottom"/>
          </w:tcPr>
          <w:p>
            <w:pPr>
              <w:spacing w:after="0"/>
              <w:rPr>
                <w:sz w:val="12"/>
                <w:szCs w:val="12"/>
                <w:color w:val="auto"/>
              </w:rPr>
            </w:pPr>
          </w:p>
        </w:tc>
        <w:tc>
          <w:tcPr>
            <w:tcW w:w="620" w:type="dxa"/>
            <w:vAlign w:val="bottom"/>
          </w:tcPr>
          <w:p>
            <w:pPr>
              <w:jc w:val="right"/>
              <w:ind w:right="112"/>
              <w:spacing w:after="0" w:line="149" w:lineRule="exact"/>
              <w:rPr>
                <w:sz w:val="20"/>
                <w:szCs w:val="20"/>
                <w:color w:val="auto"/>
              </w:rPr>
            </w:pPr>
            <w:r>
              <w:rPr>
                <w:rFonts w:ascii="Arial" w:cs="Arial" w:eastAsia="Arial" w:hAnsi="Arial"/>
                <w:sz w:val="14"/>
                <w:szCs w:val="14"/>
                <w:color w:val="auto"/>
              </w:rPr>
              <w:t>—</w:t>
            </w:r>
          </w:p>
        </w:tc>
        <w:tc>
          <w:tcPr>
            <w:tcW w:w="260" w:type="dxa"/>
            <w:vAlign w:val="bottom"/>
          </w:tcPr>
          <w:p>
            <w:pPr>
              <w:spacing w:after="0"/>
              <w:rPr>
                <w:sz w:val="12"/>
                <w:szCs w:val="12"/>
                <w:color w:val="auto"/>
              </w:rPr>
            </w:pPr>
          </w:p>
        </w:tc>
        <w:tc>
          <w:tcPr>
            <w:tcW w:w="820" w:type="dxa"/>
            <w:vAlign w:val="bottom"/>
          </w:tcPr>
          <w:p>
            <w:pPr>
              <w:jc w:val="right"/>
              <w:ind w:right="112"/>
              <w:spacing w:after="0" w:line="149" w:lineRule="exact"/>
              <w:rPr>
                <w:sz w:val="20"/>
                <w:szCs w:val="20"/>
                <w:color w:val="auto"/>
              </w:rPr>
            </w:pPr>
            <w:r>
              <w:rPr>
                <w:rFonts w:ascii="Arial" w:cs="Arial" w:eastAsia="Arial" w:hAnsi="Arial"/>
                <w:sz w:val="14"/>
                <w:szCs w:val="14"/>
                <w:color w:val="auto"/>
              </w:rPr>
              <w:t>669</w:t>
            </w:r>
          </w:p>
        </w:tc>
        <w:tc>
          <w:tcPr>
            <w:tcW w:w="240" w:type="dxa"/>
            <w:vAlign w:val="bottom"/>
          </w:tcPr>
          <w:p>
            <w:pPr>
              <w:spacing w:after="0"/>
              <w:rPr>
                <w:sz w:val="12"/>
                <w:szCs w:val="12"/>
                <w:color w:val="auto"/>
              </w:rPr>
            </w:pPr>
          </w:p>
        </w:tc>
        <w:tc>
          <w:tcPr>
            <w:tcW w:w="900" w:type="dxa"/>
            <w:vAlign w:val="bottom"/>
          </w:tcPr>
          <w:p>
            <w:pPr>
              <w:jc w:val="right"/>
              <w:ind w:right="92"/>
              <w:spacing w:after="0" w:line="149" w:lineRule="exact"/>
              <w:rPr>
                <w:sz w:val="20"/>
                <w:szCs w:val="20"/>
                <w:color w:val="auto"/>
              </w:rPr>
            </w:pPr>
            <w:r>
              <w:rPr>
                <w:rFonts w:ascii="Arial" w:cs="Arial" w:eastAsia="Arial" w:hAnsi="Arial"/>
                <w:sz w:val="14"/>
                <w:szCs w:val="14"/>
                <w:color w:val="auto"/>
              </w:rPr>
              <w:t>—</w:t>
            </w:r>
          </w:p>
        </w:tc>
        <w:tc>
          <w:tcPr>
            <w:tcW w:w="200" w:type="dxa"/>
            <w:vAlign w:val="bottom"/>
          </w:tcPr>
          <w:p>
            <w:pPr>
              <w:spacing w:after="0"/>
              <w:rPr>
                <w:sz w:val="12"/>
                <w:szCs w:val="12"/>
                <w:color w:val="auto"/>
              </w:rPr>
            </w:pPr>
          </w:p>
        </w:tc>
        <w:tc>
          <w:tcPr>
            <w:tcW w:w="780" w:type="dxa"/>
            <w:vAlign w:val="bottom"/>
          </w:tcPr>
          <w:p>
            <w:pPr>
              <w:jc w:val="right"/>
              <w:spacing w:after="0" w:line="149" w:lineRule="exact"/>
              <w:rPr>
                <w:sz w:val="20"/>
                <w:szCs w:val="20"/>
                <w:color w:val="auto"/>
              </w:rPr>
            </w:pPr>
            <w:r>
              <w:rPr>
                <w:rFonts w:ascii="Arial" w:cs="Arial" w:eastAsia="Arial" w:hAnsi="Arial"/>
                <w:sz w:val="14"/>
                <w:szCs w:val="14"/>
                <w:b w:val="1"/>
                <w:bCs w:val="1"/>
                <w:color w:val="auto"/>
              </w:rPr>
              <w:t>685</w:t>
            </w:r>
          </w:p>
        </w:tc>
        <w:tc>
          <w:tcPr>
            <w:tcW w:w="0" w:type="dxa"/>
            <w:vAlign w:val="bottom"/>
          </w:tcPr>
          <w:p>
            <w:pPr>
              <w:spacing w:after="0"/>
              <w:rPr>
                <w:sz w:val="1"/>
                <w:szCs w:val="1"/>
                <w:color w:val="auto"/>
              </w:rPr>
            </w:pPr>
          </w:p>
        </w:tc>
      </w:tr>
      <w:tr>
        <w:trPr>
          <w:trHeight w:val="165"/>
        </w:trPr>
        <w:tc>
          <w:tcPr>
            <w:tcW w:w="20" w:type="dxa"/>
            <w:vAlign w:val="bottom"/>
          </w:tcPr>
          <w:p>
            <w:pPr>
              <w:spacing w:after="0"/>
              <w:rPr>
                <w:sz w:val="14"/>
                <w:szCs w:val="14"/>
                <w:color w:val="auto"/>
              </w:rPr>
            </w:pPr>
          </w:p>
        </w:tc>
        <w:tc>
          <w:tcPr>
            <w:tcW w:w="3800" w:type="dxa"/>
            <w:vAlign w:val="bottom"/>
            <w:tcBorders>
              <w:bottom w:val="single" w:sz="8" w:color="auto"/>
            </w:tcBorders>
          </w:tcPr>
          <w:p>
            <w:pPr>
              <w:ind w:left="200"/>
              <w:spacing w:after="0"/>
              <w:rPr>
                <w:sz w:val="20"/>
                <w:szCs w:val="20"/>
                <w:color w:val="auto"/>
              </w:rPr>
            </w:pPr>
            <w:r>
              <w:rPr>
                <w:rFonts w:ascii="Arial" w:cs="Arial" w:eastAsia="Arial" w:hAnsi="Arial"/>
                <w:sz w:val="14"/>
                <w:szCs w:val="14"/>
                <w:color w:val="auto"/>
              </w:rPr>
              <w:t>Current assets of discontinued operations</w:t>
            </w:r>
          </w:p>
        </w:tc>
        <w:tc>
          <w:tcPr>
            <w:tcW w:w="280" w:type="dxa"/>
            <w:vAlign w:val="bottom"/>
            <w:tcBorders>
              <w:bottom w:val="single" w:sz="8" w:color="auto"/>
            </w:tcBorders>
          </w:tcPr>
          <w:p>
            <w:pPr>
              <w:spacing w:after="0"/>
              <w:rPr>
                <w:sz w:val="14"/>
                <w:szCs w:val="14"/>
                <w:color w:val="auto"/>
              </w:rPr>
            </w:pPr>
          </w:p>
        </w:tc>
        <w:tc>
          <w:tcPr>
            <w:tcW w:w="600" w:type="dxa"/>
            <w:vAlign w:val="bottom"/>
            <w:tcBorders>
              <w:bottom w:val="single" w:sz="8" w:color="auto"/>
            </w:tcBorders>
          </w:tcPr>
          <w:p>
            <w:pPr>
              <w:jc w:val="right"/>
              <w:ind w:right="92"/>
              <w:spacing w:after="0"/>
              <w:rPr>
                <w:sz w:val="20"/>
                <w:szCs w:val="20"/>
                <w:color w:val="auto"/>
              </w:rPr>
            </w:pPr>
            <w:r>
              <w:rPr>
                <w:rFonts w:ascii="Arial" w:cs="Arial" w:eastAsia="Arial" w:hAnsi="Arial"/>
                <w:sz w:val="14"/>
                <w:szCs w:val="14"/>
                <w:color w:val="auto"/>
              </w:rPr>
              <w:t>—</w:t>
            </w:r>
          </w:p>
        </w:tc>
        <w:tc>
          <w:tcPr>
            <w:tcW w:w="260" w:type="dxa"/>
            <w:vAlign w:val="bottom"/>
            <w:tcBorders>
              <w:bottom w:val="single" w:sz="8" w:color="auto"/>
            </w:tcBorders>
          </w:tcPr>
          <w:p>
            <w:pPr>
              <w:spacing w:after="0"/>
              <w:rPr>
                <w:sz w:val="14"/>
                <w:szCs w:val="14"/>
                <w:color w:val="auto"/>
              </w:rPr>
            </w:pPr>
          </w:p>
        </w:tc>
        <w:tc>
          <w:tcPr>
            <w:tcW w:w="560" w:type="dxa"/>
            <w:vAlign w:val="bottom"/>
            <w:tcBorders>
              <w:bottom w:val="single" w:sz="8" w:color="auto"/>
            </w:tcBorders>
          </w:tcPr>
          <w:p>
            <w:pPr>
              <w:jc w:val="right"/>
              <w:ind w:right="92"/>
              <w:spacing w:after="0"/>
              <w:rPr>
                <w:sz w:val="20"/>
                <w:szCs w:val="20"/>
                <w:color w:val="auto"/>
              </w:rPr>
            </w:pPr>
            <w:r>
              <w:rPr>
                <w:rFonts w:ascii="Arial" w:cs="Arial" w:eastAsia="Arial" w:hAnsi="Arial"/>
                <w:sz w:val="14"/>
                <w:szCs w:val="14"/>
                <w:color w:val="auto"/>
              </w:rPr>
              <w:t>—</w:t>
            </w:r>
          </w:p>
        </w:tc>
        <w:tc>
          <w:tcPr>
            <w:tcW w:w="260" w:type="dxa"/>
            <w:vAlign w:val="bottom"/>
            <w:tcBorders>
              <w:bottom w:val="single" w:sz="8" w:color="auto"/>
            </w:tcBorders>
          </w:tcPr>
          <w:p>
            <w:pPr>
              <w:spacing w:after="0"/>
              <w:rPr>
                <w:sz w:val="14"/>
                <w:szCs w:val="14"/>
                <w:color w:val="auto"/>
              </w:rPr>
            </w:pPr>
          </w:p>
        </w:tc>
        <w:tc>
          <w:tcPr>
            <w:tcW w:w="600" w:type="dxa"/>
            <w:vAlign w:val="bottom"/>
            <w:tcBorders>
              <w:bottom w:val="single" w:sz="8" w:color="auto"/>
            </w:tcBorders>
          </w:tcPr>
          <w:p>
            <w:pPr>
              <w:jc w:val="right"/>
              <w:ind w:right="112"/>
              <w:spacing w:after="0"/>
              <w:rPr>
                <w:sz w:val="20"/>
                <w:szCs w:val="20"/>
                <w:color w:val="auto"/>
              </w:rPr>
            </w:pPr>
            <w:r>
              <w:rPr>
                <w:rFonts w:ascii="Arial" w:cs="Arial" w:eastAsia="Arial" w:hAnsi="Arial"/>
                <w:sz w:val="14"/>
                <w:szCs w:val="14"/>
                <w:color w:val="auto"/>
              </w:rPr>
              <w:t>—</w:t>
            </w:r>
          </w:p>
        </w:tc>
        <w:tc>
          <w:tcPr>
            <w:tcW w:w="260" w:type="dxa"/>
            <w:vAlign w:val="bottom"/>
            <w:tcBorders>
              <w:bottom w:val="single" w:sz="8" w:color="auto"/>
            </w:tcBorders>
          </w:tcPr>
          <w:p>
            <w:pPr>
              <w:spacing w:after="0"/>
              <w:rPr>
                <w:sz w:val="14"/>
                <w:szCs w:val="14"/>
                <w:color w:val="auto"/>
              </w:rPr>
            </w:pPr>
          </w:p>
        </w:tc>
        <w:tc>
          <w:tcPr>
            <w:tcW w:w="700" w:type="dxa"/>
            <w:vAlign w:val="bottom"/>
            <w:tcBorders>
              <w:bottom w:val="single" w:sz="8" w:color="auto"/>
            </w:tcBorders>
          </w:tcPr>
          <w:p>
            <w:pPr>
              <w:jc w:val="right"/>
              <w:ind w:right="112"/>
              <w:spacing w:after="0"/>
              <w:rPr>
                <w:sz w:val="20"/>
                <w:szCs w:val="20"/>
                <w:color w:val="auto"/>
              </w:rPr>
            </w:pPr>
            <w:r>
              <w:rPr>
                <w:rFonts w:ascii="Arial" w:cs="Arial" w:eastAsia="Arial" w:hAnsi="Arial"/>
                <w:sz w:val="14"/>
                <w:szCs w:val="14"/>
                <w:color w:val="auto"/>
              </w:rPr>
              <w:t>—</w:t>
            </w:r>
          </w:p>
        </w:tc>
        <w:tc>
          <w:tcPr>
            <w:tcW w:w="260" w:type="dxa"/>
            <w:vAlign w:val="bottom"/>
            <w:tcBorders>
              <w:bottom w:val="single" w:sz="8" w:color="auto"/>
            </w:tcBorders>
          </w:tcPr>
          <w:p>
            <w:pPr>
              <w:spacing w:after="0"/>
              <w:rPr>
                <w:sz w:val="14"/>
                <w:szCs w:val="14"/>
                <w:color w:val="auto"/>
              </w:rPr>
            </w:pPr>
          </w:p>
        </w:tc>
        <w:tc>
          <w:tcPr>
            <w:tcW w:w="620" w:type="dxa"/>
            <w:vAlign w:val="bottom"/>
            <w:tcBorders>
              <w:bottom w:val="single" w:sz="8" w:color="auto"/>
            </w:tcBorders>
          </w:tcPr>
          <w:p>
            <w:pPr>
              <w:jc w:val="right"/>
              <w:ind w:right="112"/>
              <w:spacing w:after="0"/>
              <w:rPr>
                <w:sz w:val="20"/>
                <w:szCs w:val="20"/>
                <w:color w:val="auto"/>
              </w:rPr>
            </w:pPr>
            <w:r>
              <w:rPr>
                <w:rFonts w:ascii="Arial" w:cs="Arial" w:eastAsia="Arial" w:hAnsi="Arial"/>
                <w:sz w:val="14"/>
                <w:szCs w:val="14"/>
                <w:color w:val="auto"/>
              </w:rPr>
              <w:t>—</w:t>
            </w:r>
          </w:p>
        </w:tc>
        <w:tc>
          <w:tcPr>
            <w:tcW w:w="260" w:type="dxa"/>
            <w:vAlign w:val="bottom"/>
            <w:tcBorders>
              <w:bottom w:val="single" w:sz="8" w:color="auto"/>
            </w:tcBorders>
          </w:tcPr>
          <w:p>
            <w:pPr>
              <w:spacing w:after="0"/>
              <w:rPr>
                <w:sz w:val="14"/>
                <w:szCs w:val="14"/>
                <w:color w:val="auto"/>
              </w:rPr>
            </w:pPr>
          </w:p>
        </w:tc>
        <w:tc>
          <w:tcPr>
            <w:tcW w:w="820" w:type="dxa"/>
            <w:vAlign w:val="bottom"/>
            <w:tcBorders>
              <w:bottom w:val="single" w:sz="8" w:color="auto"/>
            </w:tcBorders>
          </w:tcPr>
          <w:p>
            <w:pPr>
              <w:jc w:val="right"/>
              <w:ind w:right="112"/>
              <w:spacing w:after="0"/>
              <w:rPr>
                <w:sz w:val="20"/>
                <w:szCs w:val="20"/>
                <w:color w:val="auto"/>
              </w:rPr>
            </w:pPr>
            <w:r>
              <w:rPr>
                <w:rFonts w:ascii="Arial" w:cs="Arial" w:eastAsia="Arial" w:hAnsi="Arial"/>
                <w:sz w:val="14"/>
                <w:szCs w:val="14"/>
                <w:color w:val="auto"/>
              </w:rPr>
              <w:t>60</w:t>
            </w:r>
          </w:p>
        </w:tc>
        <w:tc>
          <w:tcPr>
            <w:tcW w:w="240" w:type="dxa"/>
            <w:vAlign w:val="bottom"/>
            <w:tcBorders>
              <w:bottom w:val="single" w:sz="8" w:color="auto"/>
            </w:tcBorders>
          </w:tcPr>
          <w:p>
            <w:pPr>
              <w:spacing w:after="0"/>
              <w:rPr>
                <w:sz w:val="14"/>
                <w:szCs w:val="14"/>
                <w:color w:val="auto"/>
              </w:rPr>
            </w:pPr>
          </w:p>
        </w:tc>
        <w:tc>
          <w:tcPr>
            <w:tcW w:w="900" w:type="dxa"/>
            <w:vAlign w:val="bottom"/>
            <w:tcBorders>
              <w:bottom w:val="single" w:sz="8" w:color="auto"/>
            </w:tcBorders>
          </w:tcPr>
          <w:p>
            <w:pPr>
              <w:jc w:val="right"/>
              <w:ind w:right="92"/>
              <w:spacing w:after="0"/>
              <w:rPr>
                <w:sz w:val="20"/>
                <w:szCs w:val="20"/>
                <w:color w:val="auto"/>
              </w:rPr>
            </w:pPr>
            <w:r>
              <w:rPr>
                <w:rFonts w:ascii="Arial" w:cs="Arial" w:eastAsia="Arial" w:hAnsi="Arial"/>
                <w:sz w:val="14"/>
                <w:szCs w:val="14"/>
                <w:color w:val="auto"/>
              </w:rPr>
              <w:t>—</w:t>
            </w:r>
          </w:p>
        </w:tc>
        <w:tc>
          <w:tcPr>
            <w:tcW w:w="200" w:type="dxa"/>
            <w:vAlign w:val="bottom"/>
            <w:tcBorders>
              <w:bottom w:val="single" w:sz="8" w:color="auto"/>
            </w:tcBorders>
          </w:tcPr>
          <w:p>
            <w:pPr>
              <w:spacing w:after="0"/>
              <w:rPr>
                <w:sz w:val="14"/>
                <w:szCs w:val="14"/>
                <w:color w:val="auto"/>
              </w:rPr>
            </w:pPr>
          </w:p>
        </w:tc>
        <w:tc>
          <w:tcPr>
            <w:tcW w:w="78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60</w:t>
            </w: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3800" w:type="dxa"/>
            <w:vAlign w:val="bottom"/>
            <w:tcBorders>
              <w:bottom w:val="single" w:sz="8" w:color="auto"/>
            </w:tcBorders>
          </w:tcPr>
          <w:p>
            <w:pPr>
              <w:ind w:left="420"/>
              <w:spacing w:after="0" w:line="142" w:lineRule="exact"/>
              <w:rPr>
                <w:sz w:val="20"/>
                <w:szCs w:val="20"/>
                <w:color w:val="auto"/>
              </w:rPr>
            </w:pPr>
            <w:r>
              <w:rPr>
                <w:rFonts w:ascii="Arial" w:cs="Arial" w:eastAsia="Arial" w:hAnsi="Arial"/>
                <w:sz w:val="14"/>
                <w:szCs w:val="14"/>
                <w:color w:val="auto"/>
              </w:rPr>
              <w:t>Total current assets</w:t>
            </w:r>
          </w:p>
        </w:tc>
        <w:tc>
          <w:tcPr>
            <w:tcW w:w="280" w:type="dxa"/>
            <w:vAlign w:val="bottom"/>
            <w:tcBorders>
              <w:bottom w:val="single" w:sz="8" w:color="auto"/>
            </w:tcBorders>
          </w:tcPr>
          <w:p>
            <w:pPr>
              <w:spacing w:after="0"/>
              <w:rPr>
                <w:sz w:val="12"/>
                <w:szCs w:val="12"/>
                <w:color w:val="auto"/>
              </w:rPr>
            </w:pPr>
          </w:p>
        </w:tc>
        <w:tc>
          <w:tcPr>
            <w:tcW w:w="600" w:type="dxa"/>
            <w:vAlign w:val="bottom"/>
            <w:tcBorders>
              <w:bottom w:val="single" w:sz="8" w:color="auto"/>
            </w:tcBorders>
          </w:tcPr>
          <w:p>
            <w:pPr>
              <w:jc w:val="right"/>
              <w:ind w:right="92"/>
              <w:spacing w:after="0" w:line="142" w:lineRule="exact"/>
              <w:rPr>
                <w:sz w:val="20"/>
                <w:szCs w:val="20"/>
                <w:color w:val="auto"/>
              </w:rPr>
            </w:pPr>
            <w:r>
              <w:rPr>
                <w:rFonts w:ascii="Arial" w:cs="Arial" w:eastAsia="Arial" w:hAnsi="Arial"/>
                <w:sz w:val="14"/>
                <w:szCs w:val="14"/>
                <w:color w:val="auto"/>
              </w:rPr>
              <w:t>16</w:t>
            </w:r>
          </w:p>
        </w:tc>
        <w:tc>
          <w:tcPr>
            <w:tcW w:w="260" w:type="dxa"/>
            <w:vAlign w:val="bottom"/>
            <w:tcBorders>
              <w:bottom w:val="single" w:sz="8" w:color="auto"/>
            </w:tcBorders>
          </w:tcPr>
          <w:p>
            <w:pPr>
              <w:spacing w:after="0"/>
              <w:rPr>
                <w:sz w:val="12"/>
                <w:szCs w:val="12"/>
                <w:color w:val="auto"/>
              </w:rPr>
            </w:pPr>
          </w:p>
        </w:tc>
        <w:tc>
          <w:tcPr>
            <w:tcW w:w="560" w:type="dxa"/>
            <w:vAlign w:val="bottom"/>
            <w:tcBorders>
              <w:bottom w:val="single" w:sz="8" w:color="auto"/>
            </w:tcBorders>
          </w:tcPr>
          <w:p>
            <w:pPr>
              <w:jc w:val="right"/>
              <w:ind w:right="92"/>
              <w:spacing w:after="0" w:line="142" w:lineRule="exact"/>
              <w:rPr>
                <w:sz w:val="20"/>
                <w:szCs w:val="20"/>
                <w:color w:val="auto"/>
              </w:rPr>
            </w:pPr>
            <w:r>
              <w:rPr>
                <w:rFonts w:ascii="Arial" w:cs="Arial" w:eastAsia="Arial" w:hAnsi="Arial"/>
                <w:sz w:val="14"/>
                <w:szCs w:val="14"/>
                <w:color w:val="auto"/>
              </w:rPr>
              <w:t>—</w:t>
            </w:r>
          </w:p>
        </w:tc>
        <w:tc>
          <w:tcPr>
            <w:tcW w:w="260" w:type="dxa"/>
            <w:vAlign w:val="bottom"/>
            <w:tcBorders>
              <w:bottom w:val="single" w:sz="8" w:color="auto"/>
            </w:tcBorders>
          </w:tcPr>
          <w:p>
            <w:pPr>
              <w:spacing w:after="0"/>
              <w:rPr>
                <w:sz w:val="12"/>
                <w:szCs w:val="12"/>
                <w:color w:val="auto"/>
              </w:rPr>
            </w:pPr>
          </w:p>
        </w:tc>
        <w:tc>
          <w:tcPr>
            <w:tcW w:w="600" w:type="dxa"/>
            <w:vAlign w:val="bottom"/>
            <w:tcBorders>
              <w:bottom w:val="single" w:sz="8" w:color="auto"/>
            </w:tcBorders>
          </w:tcPr>
          <w:p>
            <w:pPr>
              <w:jc w:val="right"/>
              <w:ind w:right="112"/>
              <w:spacing w:after="0" w:line="142" w:lineRule="exact"/>
              <w:rPr>
                <w:sz w:val="20"/>
                <w:szCs w:val="20"/>
                <w:color w:val="auto"/>
              </w:rPr>
            </w:pPr>
            <w:r>
              <w:rPr>
                <w:rFonts w:ascii="Arial" w:cs="Arial" w:eastAsia="Arial" w:hAnsi="Arial"/>
                <w:sz w:val="14"/>
                <w:szCs w:val="14"/>
                <w:color w:val="auto"/>
              </w:rPr>
              <w:t>—</w:t>
            </w:r>
          </w:p>
        </w:tc>
        <w:tc>
          <w:tcPr>
            <w:tcW w:w="260" w:type="dxa"/>
            <w:vAlign w:val="bottom"/>
            <w:tcBorders>
              <w:bottom w:val="single" w:sz="8" w:color="auto"/>
            </w:tcBorders>
          </w:tcPr>
          <w:p>
            <w:pPr>
              <w:spacing w:after="0"/>
              <w:rPr>
                <w:sz w:val="12"/>
                <w:szCs w:val="12"/>
                <w:color w:val="auto"/>
              </w:rPr>
            </w:pPr>
          </w:p>
        </w:tc>
        <w:tc>
          <w:tcPr>
            <w:tcW w:w="700" w:type="dxa"/>
            <w:vAlign w:val="bottom"/>
            <w:tcBorders>
              <w:bottom w:val="single" w:sz="8" w:color="auto"/>
            </w:tcBorders>
          </w:tcPr>
          <w:p>
            <w:pPr>
              <w:jc w:val="right"/>
              <w:ind w:right="112"/>
              <w:spacing w:after="0" w:line="142" w:lineRule="exact"/>
              <w:rPr>
                <w:sz w:val="20"/>
                <w:szCs w:val="20"/>
                <w:color w:val="auto"/>
              </w:rPr>
            </w:pPr>
            <w:r>
              <w:rPr>
                <w:rFonts w:ascii="Arial" w:cs="Arial" w:eastAsia="Arial" w:hAnsi="Arial"/>
                <w:sz w:val="14"/>
                <w:szCs w:val="14"/>
                <w:color w:val="auto"/>
              </w:rPr>
              <w:t>—</w:t>
            </w:r>
          </w:p>
        </w:tc>
        <w:tc>
          <w:tcPr>
            <w:tcW w:w="260" w:type="dxa"/>
            <w:vAlign w:val="bottom"/>
            <w:tcBorders>
              <w:bottom w:val="single" w:sz="8" w:color="auto"/>
            </w:tcBorders>
          </w:tcPr>
          <w:p>
            <w:pPr>
              <w:spacing w:after="0"/>
              <w:rPr>
                <w:sz w:val="12"/>
                <w:szCs w:val="12"/>
                <w:color w:val="auto"/>
              </w:rPr>
            </w:pPr>
          </w:p>
        </w:tc>
        <w:tc>
          <w:tcPr>
            <w:tcW w:w="620" w:type="dxa"/>
            <w:vAlign w:val="bottom"/>
            <w:tcBorders>
              <w:bottom w:val="single" w:sz="8" w:color="auto"/>
            </w:tcBorders>
          </w:tcPr>
          <w:p>
            <w:pPr>
              <w:jc w:val="right"/>
              <w:ind w:right="112"/>
              <w:spacing w:after="0" w:line="142" w:lineRule="exact"/>
              <w:rPr>
                <w:sz w:val="20"/>
                <w:szCs w:val="20"/>
                <w:color w:val="auto"/>
              </w:rPr>
            </w:pPr>
            <w:r>
              <w:rPr>
                <w:rFonts w:ascii="Arial" w:cs="Arial" w:eastAsia="Arial" w:hAnsi="Arial"/>
                <w:sz w:val="14"/>
                <w:szCs w:val="14"/>
                <w:color w:val="auto"/>
              </w:rPr>
              <w:t>—</w:t>
            </w:r>
          </w:p>
        </w:tc>
        <w:tc>
          <w:tcPr>
            <w:tcW w:w="260" w:type="dxa"/>
            <w:vAlign w:val="bottom"/>
            <w:tcBorders>
              <w:bottom w:val="single" w:sz="8" w:color="auto"/>
            </w:tcBorders>
          </w:tcPr>
          <w:p>
            <w:pPr>
              <w:spacing w:after="0"/>
              <w:rPr>
                <w:sz w:val="12"/>
                <w:szCs w:val="12"/>
                <w:color w:val="auto"/>
              </w:rPr>
            </w:pPr>
          </w:p>
        </w:tc>
        <w:tc>
          <w:tcPr>
            <w:tcW w:w="820" w:type="dxa"/>
            <w:vAlign w:val="bottom"/>
            <w:tcBorders>
              <w:bottom w:val="single" w:sz="8" w:color="auto"/>
            </w:tcBorders>
          </w:tcPr>
          <w:p>
            <w:pPr>
              <w:jc w:val="right"/>
              <w:ind w:right="112"/>
              <w:spacing w:after="0" w:line="142" w:lineRule="exact"/>
              <w:rPr>
                <w:sz w:val="20"/>
                <w:szCs w:val="20"/>
                <w:color w:val="auto"/>
              </w:rPr>
            </w:pPr>
            <w:r>
              <w:rPr>
                <w:rFonts w:ascii="Arial" w:cs="Arial" w:eastAsia="Arial" w:hAnsi="Arial"/>
                <w:sz w:val="14"/>
                <w:szCs w:val="14"/>
                <w:color w:val="auto"/>
              </w:rPr>
              <w:t>2,832</w:t>
            </w:r>
          </w:p>
        </w:tc>
        <w:tc>
          <w:tcPr>
            <w:tcW w:w="240" w:type="dxa"/>
            <w:vAlign w:val="bottom"/>
            <w:tcBorders>
              <w:bottom w:val="single" w:sz="8" w:color="auto"/>
            </w:tcBorders>
          </w:tcPr>
          <w:p>
            <w:pPr>
              <w:spacing w:after="0"/>
              <w:rPr>
                <w:sz w:val="12"/>
                <w:szCs w:val="12"/>
                <w:color w:val="auto"/>
              </w:rPr>
            </w:pPr>
          </w:p>
        </w:tc>
        <w:tc>
          <w:tcPr>
            <w:tcW w:w="900" w:type="dxa"/>
            <w:vAlign w:val="bottom"/>
            <w:tcBorders>
              <w:bottom w:val="single" w:sz="8" w:color="auto"/>
            </w:tcBorders>
          </w:tcPr>
          <w:p>
            <w:pPr>
              <w:jc w:val="right"/>
              <w:ind w:right="92"/>
              <w:spacing w:after="0" w:line="142" w:lineRule="exact"/>
              <w:rPr>
                <w:sz w:val="20"/>
                <w:szCs w:val="20"/>
                <w:color w:val="auto"/>
              </w:rPr>
            </w:pPr>
            <w:r>
              <w:rPr>
                <w:rFonts w:ascii="Arial" w:cs="Arial" w:eastAsia="Arial" w:hAnsi="Arial"/>
                <w:sz w:val="14"/>
                <w:szCs w:val="14"/>
                <w:color w:val="auto"/>
              </w:rPr>
              <w:t>—</w:t>
            </w:r>
          </w:p>
        </w:tc>
        <w:tc>
          <w:tcPr>
            <w:tcW w:w="200" w:type="dxa"/>
            <w:vAlign w:val="bottom"/>
            <w:tcBorders>
              <w:bottom w:val="single" w:sz="8" w:color="auto"/>
            </w:tcBorders>
          </w:tcPr>
          <w:p>
            <w:pPr>
              <w:spacing w:after="0"/>
              <w:rPr>
                <w:sz w:val="12"/>
                <w:szCs w:val="12"/>
                <w:color w:val="auto"/>
              </w:rPr>
            </w:pPr>
          </w:p>
        </w:tc>
        <w:tc>
          <w:tcPr>
            <w:tcW w:w="780" w:type="dxa"/>
            <w:vAlign w:val="bottom"/>
            <w:tcBorders>
              <w:bottom w:val="single" w:sz="8" w:color="auto"/>
            </w:tcBorders>
          </w:tcPr>
          <w:p>
            <w:pPr>
              <w:jc w:val="right"/>
              <w:spacing w:after="0" w:line="142" w:lineRule="exact"/>
              <w:rPr>
                <w:sz w:val="20"/>
                <w:szCs w:val="20"/>
                <w:color w:val="auto"/>
              </w:rPr>
            </w:pPr>
            <w:r>
              <w:rPr>
                <w:rFonts w:ascii="Arial" w:cs="Arial" w:eastAsia="Arial" w:hAnsi="Arial"/>
                <w:sz w:val="14"/>
                <w:szCs w:val="14"/>
                <w:b w:val="1"/>
                <w:bCs w:val="1"/>
                <w:color w:val="auto"/>
              </w:rPr>
              <w:t>2,848</w:t>
            </w:r>
          </w:p>
        </w:tc>
        <w:tc>
          <w:tcPr>
            <w:tcW w:w="0" w:type="dxa"/>
            <w:vAlign w:val="bottom"/>
          </w:tcPr>
          <w:p>
            <w:pPr>
              <w:spacing w:after="0"/>
              <w:rPr>
                <w:sz w:val="1"/>
                <w:szCs w:val="1"/>
                <w:color w:val="auto"/>
              </w:rPr>
            </w:pPr>
          </w:p>
        </w:tc>
      </w:tr>
      <w:tr>
        <w:trPr>
          <w:trHeight w:val="141"/>
        </w:trPr>
        <w:tc>
          <w:tcPr>
            <w:tcW w:w="20" w:type="dxa"/>
            <w:vAlign w:val="bottom"/>
          </w:tcPr>
          <w:p>
            <w:pPr>
              <w:spacing w:after="0"/>
              <w:rPr>
                <w:sz w:val="12"/>
                <w:szCs w:val="12"/>
                <w:color w:val="auto"/>
              </w:rPr>
            </w:pPr>
          </w:p>
        </w:tc>
        <w:tc>
          <w:tcPr>
            <w:tcW w:w="3800" w:type="dxa"/>
            <w:vAlign w:val="bottom"/>
          </w:tcPr>
          <w:p>
            <w:pPr>
              <w:spacing w:after="0" w:line="141" w:lineRule="exact"/>
              <w:rPr>
                <w:sz w:val="20"/>
                <w:szCs w:val="20"/>
                <w:color w:val="auto"/>
              </w:rPr>
            </w:pPr>
            <w:r>
              <w:rPr>
                <w:rFonts w:ascii="Arial" w:cs="Arial" w:eastAsia="Arial" w:hAnsi="Arial"/>
                <w:sz w:val="14"/>
                <w:szCs w:val="14"/>
                <w:color w:val="auto"/>
              </w:rPr>
              <w:t>Investments</w:t>
            </w:r>
          </w:p>
        </w:tc>
        <w:tc>
          <w:tcPr>
            <w:tcW w:w="280" w:type="dxa"/>
            <w:vAlign w:val="bottom"/>
          </w:tcPr>
          <w:p>
            <w:pPr>
              <w:spacing w:after="0"/>
              <w:rPr>
                <w:sz w:val="12"/>
                <w:szCs w:val="12"/>
                <w:color w:val="auto"/>
              </w:rPr>
            </w:pPr>
          </w:p>
        </w:tc>
        <w:tc>
          <w:tcPr>
            <w:tcW w:w="600" w:type="dxa"/>
            <w:vAlign w:val="bottom"/>
          </w:tcPr>
          <w:p>
            <w:pPr>
              <w:jc w:val="right"/>
              <w:ind w:right="92"/>
              <w:spacing w:after="0" w:line="141" w:lineRule="exact"/>
              <w:rPr>
                <w:sz w:val="20"/>
                <w:szCs w:val="20"/>
                <w:color w:val="auto"/>
              </w:rPr>
            </w:pPr>
            <w:r>
              <w:rPr>
                <w:rFonts w:ascii="Arial" w:cs="Arial" w:eastAsia="Arial" w:hAnsi="Arial"/>
                <w:sz w:val="14"/>
                <w:szCs w:val="14"/>
                <w:color w:val="auto"/>
              </w:rPr>
              <w:t>—</w:t>
            </w:r>
          </w:p>
        </w:tc>
        <w:tc>
          <w:tcPr>
            <w:tcW w:w="260" w:type="dxa"/>
            <w:vAlign w:val="bottom"/>
          </w:tcPr>
          <w:p>
            <w:pPr>
              <w:spacing w:after="0"/>
              <w:rPr>
                <w:sz w:val="12"/>
                <w:szCs w:val="12"/>
                <w:color w:val="auto"/>
              </w:rPr>
            </w:pPr>
          </w:p>
        </w:tc>
        <w:tc>
          <w:tcPr>
            <w:tcW w:w="560" w:type="dxa"/>
            <w:vAlign w:val="bottom"/>
          </w:tcPr>
          <w:p>
            <w:pPr>
              <w:jc w:val="right"/>
              <w:ind w:right="92"/>
              <w:spacing w:after="0" w:line="141" w:lineRule="exact"/>
              <w:rPr>
                <w:sz w:val="20"/>
                <w:szCs w:val="20"/>
                <w:color w:val="auto"/>
              </w:rPr>
            </w:pPr>
            <w:r>
              <w:rPr>
                <w:rFonts w:ascii="Arial" w:cs="Arial" w:eastAsia="Arial" w:hAnsi="Arial"/>
                <w:sz w:val="14"/>
                <w:szCs w:val="14"/>
                <w:color w:val="auto"/>
              </w:rPr>
              <w:t>—</w:t>
            </w:r>
          </w:p>
        </w:tc>
        <w:tc>
          <w:tcPr>
            <w:tcW w:w="260" w:type="dxa"/>
            <w:vAlign w:val="bottom"/>
          </w:tcPr>
          <w:p>
            <w:pPr>
              <w:spacing w:after="0"/>
              <w:rPr>
                <w:sz w:val="12"/>
                <w:szCs w:val="12"/>
                <w:color w:val="auto"/>
              </w:rPr>
            </w:pPr>
          </w:p>
        </w:tc>
        <w:tc>
          <w:tcPr>
            <w:tcW w:w="600" w:type="dxa"/>
            <w:vAlign w:val="bottom"/>
          </w:tcPr>
          <w:p>
            <w:pPr>
              <w:jc w:val="right"/>
              <w:ind w:right="112"/>
              <w:spacing w:after="0" w:line="141" w:lineRule="exact"/>
              <w:rPr>
                <w:sz w:val="20"/>
                <w:szCs w:val="20"/>
                <w:color w:val="auto"/>
              </w:rPr>
            </w:pPr>
            <w:r>
              <w:rPr>
                <w:rFonts w:ascii="Arial" w:cs="Arial" w:eastAsia="Arial" w:hAnsi="Arial"/>
                <w:sz w:val="14"/>
                <w:szCs w:val="14"/>
                <w:color w:val="auto"/>
              </w:rPr>
              <w:t>—</w:t>
            </w:r>
          </w:p>
        </w:tc>
        <w:tc>
          <w:tcPr>
            <w:tcW w:w="260" w:type="dxa"/>
            <w:vAlign w:val="bottom"/>
          </w:tcPr>
          <w:p>
            <w:pPr>
              <w:spacing w:after="0"/>
              <w:rPr>
                <w:sz w:val="12"/>
                <w:szCs w:val="12"/>
                <w:color w:val="auto"/>
              </w:rPr>
            </w:pPr>
          </w:p>
        </w:tc>
        <w:tc>
          <w:tcPr>
            <w:tcW w:w="700" w:type="dxa"/>
            <w:vAlign w:val="bottom"/>
          </w:tcPr>
          <w:p>
            <w:pPr>
              <w:jc w:val="right"/>
              <w:ind w:right="112"/>
              <w:spacing w:after="0" w:line="141" w:lineRule="exact"/>
              <w:rPr>
                <w:sz w:val="20"/>
                <w:szCs w:val="20"/>
                <w:color w:val="auto"/>
              </w:rPr>
            </w:pPr>
            <w:r>
              <w:rPr>
                <w:rFonts w:ascii="Arial" w:cs="Arial" w:eastAsia="Arial" w:hAnsi="Arial"/>
                <w:sz w:val="14"/>
                <w:szCs w:val="14"/>
                <w:color w:val="auto"/>
              </w:rPr>
              <w:t>—</w:t>
            </w:r>
          </w:p>
        </w:tc>
        <w:tc>
          <w:tcPr>
            <w:tcW w:w="260" w:type="dxa"/>
            <w:vAlign w:val="bottom"/>
          </w:tcPr>
          <w:p>
            <w:pPr>
              <w:spacing w:after="0"/>
              <w:rPr>
                <w:sz w:val="12"/>
                <w:szCs w:val="12"/>
                <w:color w:val="auto"/>
              </w:rPr>
            </w:pPr>
          </w:p>
        </w:tc>
        <w:tc>
          <w:tcPr>
            <w:tcW w:w="620" w:type="dxa"/>
            <w:vAlign w:val="bottom"/>
          </w:tcPr>
          <w:p>
            <w:pPr>
              <w:jc w:val="right"/>
              <w:ind w:right="112"/>
              <w:spacing w:after="0" w:line="141" w:lineRule="exact"/>
              <w:rPr>
                <w:sz w:val="20"/>
                <w:szCs w:val="20"/>
                <w:color w:val="auto"/>
              </w:rPr>
            </w:pPr>
            <w:r>
              <w:rPr>
                <w:rFonts w:ascii="Arial" w:cs="Arial" w:eastAsia="Arial" w:hAnsi="Arial"/>
                <w:sz w:val="14"/>
                <w:szCs w:val="14"/>
                <w:color w:val="auto"/>
              </w:rPr>
              <w:t>—</w:t>
            </w:r>
          </w:p>
        </w:tc>
        <w:tc>
          <w:tcPr>
            <w:tcW w:w="260" w:type="dxa"/>
            <w:vAlign w:val="bottom"/>
          </w:tcPr>
          <w:p>
            <w:pPr>
              <w:spacing w:after="0"/>
              <w:rPr>
                <w:sz w:val="12"/>
                <w:szCs w:val="12"/>
                <w:color w:val="auto"/>
              </w:rPr>
            </w:pPr>
          </w:p>
        </w:tc>
        <w:tc>
          <w:tcPr>
            <w:tcW w:w="820" w:type="dxa"/>
            <w:vAlign w:val="bottom"/>
          </w:tcPr>
          <w:p>
            <w:pPr>
              <w:jc w:val="right"/>
              <w:ind w:right="112"/>
              <w:spacing w:after="0" w:line="141" w:lineRule="exact"/>
              <w:rPr>
                <w:sz w:val="20"/>
                <w:szCs w:val="20"/>
                <w:color w:val="auto"/>
              </w:rPr>
            </w:pPr>
            <w:r>
              <w:rPr>
                <w:rFonts w:ascii="Arial" w:cs="Arial" w:eastAsia="Arial" w:hAnsi="Arial"/>
                <w:sz w:val="14"/>
                <w:szCs w:val="14"/>
                <w:color w:val="auto"/>
              </w:rPr>
              <w:t>12,675</w:t>
            </w:r>
          </w:p>
        </w:tc>
        <w:tc>
          <w:tcPr>
            <w:tcW w:w="240" w:type="dxa"/>
            <w:vAlign w:val="bottom"/>
          </w:tcPr>
          <w:p>
            <w:pPr>
              <w:spacing w:after="0"/>
              <w:rPr>
                <w:sz w:val="12"/>
                <w:szCs w:val="12"/>
                <w:color w:val="auto"/>
              </w:rPr>
            </w:pPr>
          </w:p>
        </w:tc>
        <w:tc>
          <w:tcPr>
            <w:tcW w:w="900" w:type="dxa"/>
            <w:vAlign w:val="bottom"/>
          </w:tcPr>
          <w:p>
            <w:pPr>
              <w:jc w:val="right"/>
              <w:ind w:right="92"/>
              <w:spacing w:after="0" w:line="141" w:lineRule="exact"/>
              <w:rPr>
                <w:sz w:val="20"/>
                <w:szCs w:val="20"/>
                <w:color w:val="auto"/>
              </w:rPr>
            </w:pPr>
            <w:r>
              <w:rPr>
                <w:rFonts w:ascii="Arial" w:cs="Arial" w:eastAsia="Arial" w:hAnsi="Arial"/>
                <w:sz w:val="14"/>
                <w:szCs w:val="14"/>
                <w:color w:val="auto"/>
              </w:rPr>
              <w:t>—</w:t>
            </w:r>
          </w:p>
        </w:tc>
        <w:tc>
          <w:tcPr>
            <w:tcW w:w="200" w:type="dxa"/>
            <w:vAlign w:val="bottom"/>
          </w:tcPr>
          <w:p>
            <w:pPr>
              <w:spacing w:after="0"/>
              <w:rPr>
                <w:sz w:val="12"/>
                <w:szCs w:val="12"/>
                <w:color w:val="auto"/>
              </w:rPr>
            </w:pPr>
          </w:p>
        </w:tc>
        <w:tc>
          <w:tcPr>
            <w:tcW w:w="780" w:type="dxa"/>
            <w:vAlign w:val="bottom"/>
          </w:tcPr>
          <w:p>
            <w:pPr>
              <w:jc w:val="right"/>
              <w:spacing w:after="0" w:line="141" w:lineRule="exact"/>
              <w:rPr>
                <w:sz w:val="20"/>
                <w:szCs w:val="20"/>
                <w:color w:val="auto"/>
              </w:rPr>
            </w:pPr>
            <w:r>
              <w:rPr>
                <w:rFonts w:ascii="Arial" w:cs="Arial" w:eastAsia="Arial" w:hAnsi="Arial"/>
                <w:sz w:val="14"/>
                <w:szCs w:val="14"/>
                <w:b w:val="1"/>
                <w:bCs w:val="1"/>
                <w:color w:val="auto"/>
              </w:rPr>
              <w:t>12,675</w:t>
            </w:r>
          </w:p>
        </w:tc>
        <w:tc>
          <w:tcPr>
            <w:tcW w:w="0" w:type="dxa"/>
            <w:vAlign w:val="bottom"/>
          </w:tcPr>
          <w:p>
            <w:pPr>
              <w:spacing w:after="0"/>
              <w:rPr>
                <w:sz w:val="1"/>
                <w:szCs w:val="1"/>
                <w:color w:val="auto"/>
              </w:rPr>
            </w:pPr>
          </w:p>
        </w:tc>
      </w:tr>
      <w:tr>
        <w:trPr>
          <w:trHeight w:val="149"/>
        </w:trPr>
        <w:tc>
          <w:tcPr>
            <w:tcW w:w="3820" w:type="dxa"/>
            <w:vAlign w:val="bottom"/>
            <w:gridSpan w:val="2"/>
          </w:tcPr>
          <w:p>
            <w:pPr>
              <w:spacing w:after="0" w:line="149" w:lineRule="exact"/>
              <w:rPr>
                <w:sz w:val="20"/>
                <w:szCs w:val="20"/>
                <w:color w:val="auto"/>
              </w:rPr>
            </w:pPr>
            <w:r>
              <w:rPr>
                <w:rFonts w:ascii="Arial" w:cs="Arial" w:eastAsia="Arial" w:hAnsi="Arial"/>
                <w:sz w:val="14"/>
                <w:szCs w:val="14"/>
                <w:color w:val="auto"/>
              </w:rPr>
              <w:t>Investments in and amounts due from subsidiaries</w:t>
            </w:r>
          </w:p>
        </w:tc>
        <w:tc>
          <w:tcPr>
            <w:tcW w:w="28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90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780" w:type="dxa"/>
            <w:vAlign w:val="bottom"/>
            <w:vMerge w:val="restart"/>
          </w:tcPr>
          <w:p>
            <w:pPr>
              <w:jc w:val="right"/>
              <w:spacing w:after="0"/>
              <w:rPr>
                <w:sz w:val="20"/>
                <w:szCs w:val="20"/>
                <w:color w:val="auto"/>
              </w:rPr>
            </w:pPr>
            <w:r>
              <w:rPr>
                <w:rFonts w:ascii="Arial" w:cs="Arial" w:eastAsia="Arial" w:hAnsi="Arial"/>
                <w:sz w:val="14"/>
                <w:szCs w:val="14"/>
                <w:b w:val="1"/>
                <w:bCs w:val="1"/>
                <w:color w:val="auto"/>
              </w:rPr>
              <w:t>—</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3800" w:type="dxa"/>
            <w:vAlign w:val="bottom"/>
          </w:tcPr>
          <w:p>
            <w:pPr>
              <w:ind w:left="200"/>
              <w:spacing w:after="0" w:line="133" w:lineRule="exact"/>
              <w:rPr>
                <w:sz w:val="20"/>
                <w:szCs w:val="20"/>
                <w:color w:val="auto"/>
              </w:rPr>
            </w:pPr>
            <w:r>
              <w:rPr>
                <w:rFonts w:ascii="Arial" w:cs="Arial" w:eastAsia="Arial" w:hAnsi="Arial"/>
                <w:sz w:val="14"/>
                <w:szCs w:val="14"/>
                <w:color w:val="auto"/>
              </w:rPr>
              <w:t>eliminated upon consolidation</w:t>
            </w:r>
          </w:p>
        </w:tc>
        <w:tc>
          <w:tcPr>
            <w:tcW w:w="280" w:type="dxa"/>
            <w:vAlign w:val="bottom"/>
          </w:tcPr>
          <w:p>
            <w:pPr>
              <w:spacing w:after="0"/>
              <w:rPr>
                <w:sz w:val="11"/>
                <w:szCs w:val="11"/>
                <w:color w:val="auto"/>
              </w:rPr>
            </w:pPr>
          </w:p>
        </w:tc>
        <w:tc>
          <w:tcPr>
            <w:tcW w:w="600" w:type="dxa"/>
            <w:vAlign w:val="bottom"/>
          </w:tcPr>
          <w:p>
            <w:pPr>
              <w:jc w:val="right"/>
              <w:ind w:right="92"/>
              <w:spacing w:after="0" w:line="133" w:lineRule="exact"/>
              <w:rPr>
                <w:sz w:val="20"/>
                <w:szCs w:val="20"/>
                <w:color w:val="auto"/>
              </w:rPr>
            </w:pPr>
            <w:r>
              <w:rPr>
                <w:rFonts w:ascii="Arial" w:cs="Arial" w:eastAsia="Arial" w:hAnsi="Arial"/>
                <w:sz w:val="14"/>
                <w:szCs w:val="14"/>
                <w:color w:val="auto"/>
                <w:w w:val="97"/>
              </w:rPr>
              <w:t>53,103</w:t>
            </w:r>
          </w:p>
        </w:tc>
        <w:tc>
          <w:tcPr>
            <w:tcW w:w="260" w:type="dxa"/>
            <w:vAlign w:val="bottom"/>
          </w:tcPr>
          <w:p>
            <w:pPr>
              <w:spacing w:after="0"/>
              <w:rPr>
                <w:sz w:val="11"/>
                <w:szCs w:val="11"/>
                <w:color w:val="auto"/>
              </w:rPr>
            </w:pPr>
          </w:p>
        </w:tc>
        <w:tc>
          <w:tcPr>
            <w:tcW w:w="560" w:type="dxa"/>
            <w:vAlign w:val="bottom"/>
          </w:tcPr>
          <w:p>
            <w:pPr>
              <w:jc w:val="right"/>
              <w:ind w:right="92"/>
              <w:spacing w:after="0" w:line="133" w:lineRule="exact"/>
              <w:rPr>
                <w:sz w:val="20"/>
                <w:szCs w:val="20"/>
                <w:color w:val="auto"/>
              </w:rPr>
            </w:pPr>
            <w:r>
              <w:rPr>
                <w:rFonts w:ascii="Arial" w:cs="Arial" w:eastAsia="Arial" w:hAnsi="Arial"/>
                <w:sz w:val="14"/>
                <w:szCs w:val="14"/>
                <w:color w:val="auto"/>
                <w:w w:val="88"/>
              </w:rPr>
              <w:t>29,562</w:t>
            </w:r>
          </w:p>
        </w:tc>
        <w:tc>
          <w:tcPr>
            <w:tcW w:w="260" w:type="dxa"/>
            <w:vAlign w:val="bottom"/>
          </w:tcPr>
          <w:p>
            <w:pPr>
              <w:spacing w:after="0"/>
              <w:rPr>
                <w:sz w:val="11"/>
                <w:szCs w:val="11"/>
                <w:color w:val="auto"/>
              </w:rPr>
            </w:pPr>
          </w:p>
        </w:tc>
        <w:tc>
          <w:tcPr>
            <w:tcW w:w="600" w:type="dxa"/>
            <w:vAlign w:val="bottom"/>
          </w:tcPr>
          <w:p>
            <w:pPr>
              <w:jc w:val="right"/>
              <w:ind w:right="112"/>
              <w:spacing w:after="0" w:line="133" w:lineRule="exact"/>
              <w:rPr>
                <w:sz w:val="20"/>
                <w:szCs w:val="20"/>
                <w:color w:val="auto"/>
              </w:rPr>
            </w:pPr>
            <w:r>
              <w:rPr>
                <w:rFonts w:ascii="Arial" w:cs="Arial" w:eastAsia="Arial" w:hAnsi="Arial"/>
                <w:sz w:val="14"/>
                <w:szCs w:val="14"/>
                <w:color w:val="auto"/>
                <w:w w:val="93"/>
              </w:rPr>
              <w:t>36,042</w:t>
            </w:r>
          </w:p>
        </w:tc>
        <w:tc>
          <w:tcPr>
            <w:tcW w:w="260" w:type="dxa"/>
            <w:vAlign w:val="bottom"/>
          </w:tcPr>
          <w:p>
            <w:pPr>
              <w:spacing w:after="0"/>
              <w:rPr>
                <w:sz w:val="11"/>
                <w:szCs w:val="11"/>
                <w:color w:val="auto"/>
              </w:rPr>
            </w:pPr>
          </w:p>
        </w:tc>
        <w:tc>
          <w:tcPr>
            <w:tcW w:w="700" w:type="dxa"/>
            <w:vAlign w:val="bottom"/>
          </w:tcPr>
          <w:p>
            <w:pPr>
              <w:jc w:val="right"/>
              <w:ind w:right="112"/>
              <w:spacing w:after="0" w:line="133" w:lineRule="exact"/>
              <w:rPr>
                <w:sz w:val="20"/>
                <w:szCs w:val="20"/>
                <w:color w:val="auto"/>
              </w:rPr>
            </w:pPr>
            <w:r>
              <w:rPr>
                <w:rFonts w:ascii="Arial" w:cs="Arial" w:eastAsia="Arial" w:hAnsi="Arial"/>
                <w:sz w:val="14"/>
                <w:szCs w:val="14"/>
                <w:color w:val="auto"/>
              </w:rPr>
              <w:t>40,482</w:t>
            </w:r>
          </w:p>
        </w:tc>
        <w:tc>
          <w:tcPr>
            <w:tcW w:w="260" w:type="dxa"/>
            <w:vAlign w:val="bottom"/>
          </w:tcPr>
          <w:p>
            <w:pPr>
              <w:spacing w:after="0"/>
              <w:rPr>
                <w:sz w:val="11"/>
                <w:szCs w:val="11"/>
                <w:color w:val="auto"/>
              </w:rPr>
            </w:pPr>
          </w:p>
        </w:tc>
        <w:tc>
          <w:tcPr>
            <w:tcW w:w="620" w:type="dxa"/>
            <w:vAlign w:val="bottom"/>
          </w:tcPr>
          <w:p>
            <w:pPr>
              <w:jc w:val="right"/>
              <w:ind w:right="112"/>
              <w:spacing w:after="0" w:line="133" w:lineRule="exact"/>
              <w:rPr>
                <w:sz w:val="20"/>
                <w:szCs w:val="20"/>
                <w:color w:val="auto"/>
              </w:rPr>
            </w:pPr>
            <w:r>
              <w:rPr>
                <w:rFonts w:ascii="Arial" w:cs="Arial" w:eastAsia="Arial" w:hAnsi="Arial"/>
                <w:sz w:val="14"/>
                <w:szCs w:val="14"/>
                <w:color w:val="auto"/>
                <w:w w:val="97"/>
              </w:rPr>
              <w:t>22,742</w:t>
            </w:r>
          </w:p>
        </w:tc>
        <w:tc>
          <w:tcPr>
            <w:tcW w:w="260" w:type="dxa"/>
            <w:vAlign w:val="bottom"/>
          </w:tcPr>
          <w:p>
            <w:pPr>
              <w:spacing w:after="0"/>
              <w:rPr>
                <w:sz w:val="11"/>
                <w:szCs w:val="11"/>
                <w:color w:val="auto"/>
              </w:rPr>
            </w:pPr>
          </w:p>
        </w:tc>
        <w:tc>
          <w:tcPr>
            <w:tcW w:w="820" w:type="dxa"/>
            <w:vAlign w:val="bottom"/>
          </w:tcPr>
          <w:p>
            <w:pPr>
              <w:jc w:val="right"/>
              <w:ind w:right="112"/>
              <w:spacing w:after="0" w:line="133" w:lineRule="exact"/>
              <w:rPr>
                <w:sz w:val="20"/>
                <w:szCs w:val="20"/>
                <w:color w:val="auto"/>
              </w:rPr>
            </w:pPr>
            <w:r>
              <w:rPr>
                <w:rFonts w:ascii="Arial" w:cs="Arial" w:eastAsia="Arial" w:hAnsi="Arial"/>
                <w:sz w:val="14"/>
                <w:szCs w:val="14"/>
                <w:color w:val="auto"/>
              </w:rPr>
              <w:t>955</w:t>
            </w:r>
          </w:p>
        </w:tc>
        <w:tc>
          <w:tcPr>
            <w:tcW w:w="240" w:type="dxa"/>
            <w:vAlign w:val="bottom"/>
          </w:tcPr>
          <w:p>
            <w:pPr>
              <w:spacing w:after="0"/>
              <w:rPr>
                <w:sz w:val="11"/>
                <w:szCs w:val="11"/>
                <w:color w:val="auto"/>
              </w:rPr>
            </w:pPr>
          </w:p>
        </w:tc>
        <w:tc>
          <w:tcPr>
            <w:tcW w:w="900" w:type="dxa"/>
            <w:vAlign w:val="bottom"/>
          </w:tcPr>
          <w:p>
            <w:pPr>
              <w:jc w:val="right"/>
              <w:ind w:right="32"/>
              <w:spacing w:after="0" w:line="133" w:lineRule="exact"/>
              <w:rPr>
                <w:sz w:val="20"/>
                <w:szCs w:val="20"/>
                <w:color w:val="auto"/>
              </w:rPr>
            </w:pPr>
            <w:r>
              <w:rPr>
                <w:rFonts w:ascii="Arial" w:cs="Arial" w:eastAsia="Arial" w:hAnsi="Arial"/>
                <w:sz w:val="14"/>
                <w:szCs w:val="14"/>
                <w:color w:val="auto"/>
              </w:rPr>
              <w:t>(182,886)</w:t>
            </w:r>
          </w:p>
        </w:tc>
        <w:tc>
          <w:tcPr>
            <w:tcW w:w="200" w:type="dxa"/>
            <w:vAlign w:val="bottom"/>
          </w:tcPr>
          <w:p>
            <w:pPr>
              <w:spacing w:after="0"/>
              <w:rPr>
                <w:sz w:val="11"/>
                <w:szCs w:val="11"/>
                <w:color w:val="auto"/>
              </w:rPr>
            </w:pPr>
          </w:p>
        </w:tc>
        <w:tc>
          <w:tcPr>
            <w:tcW w:w="780" w:type="dxa"/>
            <w:vAlign w:val="bottom"/>
            <w:vMerge w:val="continue"/>
          </w:tcPr>
          <w:p>
            <w:pPr>
              <w:spacing w:after="0"/>
              <w:rPr>
                <w:sz w:val="11"/>
                <w:szCs w:val="11"/>
                <w:color w:val="auto"/>
              </w:rPr>
            </w:pPr>
          </w:p>
        </w:tc>
        <w:tc>
          <w:tcPr>
            <w:tcW w:w="0" w:type="dxa"/>
            <w:vAlign w:val="bottom"/>
          </w:tcPr>
          <w:p>
            <w:pPr>
              <w:spacing w:after="0"/>
              <w:rPr>
                <w:sz w:val="1"/>
                <w:szCs w:val="1"/>
                <w:color w:val="auto"/>
              </w:rPr>
            </w:pPr>
          </w:p>
        </w:tc>
      </w:tr>
      <w:tr>
        <w:trPr>
          <w:trHeight w:val="149"/>
        </w:trPr>
        <w:tc>
          <w:tcPr>
            <w:tcW w:w="3820" w:type="dxa"/>
            <w:vAlign w:val="bottom"/>
            <w:gridSpan w:val="2"/>
          </w:tcPr>
          <w:p>
            <w:pPr>
              <w:spacing w:after="0" w:line="149" w:lineRule="exact"/>
              <w:rPr>
                <w:sz w:val="20"/>
                <w:szCs w:val="20"/>
                <w:color w:val="auto"/>
              </w:rPr>
            </w:pPr>
            <w:r>
              <w:rPr>
                <w:rFonts w:ascii="Arial" w:cs="Arial" w:eastAsia="Arial" w:hAnsi="Arial"/>
                <w:sz w:val="14"/>
                <w:szCs w:val="14"/>
                <w:color w:val="auto"/>
              </w:rPr>
              <w:t>Property and equipment, net</w:t>
            </w:r>
          </w:p>
        </w:tc>
        <w:tc>
          <w:tcPr>
            <w:tcW w:w="280" w:type="dxa"/>
            <w:vAlign w:val="bottom"/>
          </w:tcPr>
          <w:p>
            <w:pPr>
              <w:spacing w:after="0"/>
              <w:rPr>
                <w:sz w:val="12"/>
                <w:szCs w:val="12"/>
                <w:color w:val="auto"/>
              </w:rPr>
            </w:pPr>
          </w:p>
        </w:tc>
        <w:tc>
          <w:tcPr>
            <w:tcW w:w="600" w:type="dxa"/>
            <w:vAlign w:val="bottom"/>
          </w:tcPr>
          <w:p>
            <w:pPr>
              <w:jc w:val="right"/>
              <w:ind w:right="92"/>
              <w:spacing w:after="0" w:line="149" w:lineRule="exact"/>
              <w:rPr>
                <w:sz w:val="20"/>
                <w:szCs w:val="20"/>
                <w:color w:val="auto"/>
              </w:rPr>
            </w:pPr>
            <w:r>
              <w:rPr>
                <w:rFonts w:ascii="Arial" w:cs="Arial" w:eastAsia="Arial" w:hAnsi="Arial"/>
                <w:sz w:val="14"/>
                <w:szCs w:val="14"/>
                <w:color w:val="auto"/>
              </w:rPr>
              <w:t>11</w:t>
            </w:r>
          </w:p>
        </w:tc>
        <w:tc>
          <w:tcPr>
            <w:tcW w:w="260" w:type="dxa"/>
            <w:vAlign w:val="bottom"/>
          </w:tcPr>
          <w:p>
            <w:pPr>
              <w:spacing w:after="0"/>
              <w:rPr>
                <w:sz w:val="12"/>
                <w:szCs w:val="12"/>
                <w:color w:val="auto"/>
              </w:rPr>
            </w:pPr>
          </w:p>
        </w:tc>
        <w:tc>
          <w:tcPr>
            <w:tcW w:w="560" w:type="dxa"/>
            <w:vAlign w:val="bottom"/>
          </w:tcPr>
          <w:p>
            <w:pPr>
              <w:jc w:val="right"/>
              <w:ind w:right="92"/>
              <w:spacing w:after="0" w:line="149" w:lineRule="exact"/>
              <w:rPr>
                <w:sz w:val="20"/>
                <w:szCs w:val="20"/>
                <w:color w:val="auto"/>
              </w:rPr>
            </w:pPr>
            <w:r>
              <w:rPr>
                <w:rFonts w:ascii="Arial" w:cs="Arial" w:eastAsia="Arial" w:hAnsi="Arial"/>
                <w:sz w:val="14"/>
                <w:szCs w:val="14"/>
                <w:color w:val="auto"/>
              </w:rPr>
              <w:t>—</w:t>
            </w:r>
          </w:p>
        </w:tc>
        <w:tc>
          <w:tcPr>
            <w:tcW w:w="260" w:type="dxa"/>
            <w:vAlign w:val="bottom"/>
          </w:tcPr>
          <w:p>
            <w:pPr>
              <w:spacing w:after="0"/>
              <w:rPr>
                <w:sz w:val="12"/>
                <w:szCs w:val="12"/>
                <w:color w:val="auto"/>
              </w:rPr>
            </w:pPr>
          </w:p>
        </w:tc>
        <w:tc>
          <w:tcPr>
            <w:tcW w:w="600" w:type="dxa"/>
            <w:vAlign w:val="bottom"/>
          </w:tcPr>
          <w:p>
            <w:pPr>
              <w:jc w:val="right"/>
              <w:ind w:right="112"/>
              <w:spacing w:after="0" w:line="149" w:lineRule="exact"/>
              <w:rPr>
                <w:sz w:val="20"/>
                <w:szCs w:val="20"/>
                <w:color w:val="auto"/>
              </w:rPr>
            </w:pPr>
            <w:r>
              <w:rPr>
                <w:rFonts w:ascii="Arial" w:cs="Arial" w:eastAsia="Arial" w:hAnsi="Arial"/>
                <w:sz w:val="14"/>
                <w:szCs w:val="14"/>
                <w:color w:val="auto"/>
              </w:rPr>
              <w:t>2</w:t>
            </w:r>
          </w:p>
        </w:tc>
        <w:tc>
          <w:tcPr>
            <w:tcW w:w="260" w:type="dxa"/>
            <w:vAlign w:val="bottom"/>
          </w:tcPr>
          <w:p>
            <w:pPr>
              <w:spacing w:after="0"/>
              <w:rPr>
                <w:sz w:val="12"/>
                <w:szCs w:val="12"/>
                <w:color w:val="auto"/>
              </w:rPr>
            </w:pPr>
          </w:p>
        </w:tc>
        <w:tc>
          <w:tcPr>
            <w:tcW w:w="700" w:type="dxa"/>
            <w:vAlign w:val="bottom"/>
          </w:tcPr>
          <w:p>
            <w:pPr>
              <w:jc w:val="right"/>
              <w:ind w:right="112"/>
              <w:spacing w:after="0" w:line="149" w:lineRule="exact"/>
              <w:rPr>
                <w:sz w:val="20"/>
                <w:szCs w:val="20"/>
                <w:color w:val="auto"/>
              </w:rPr>
            </w:pPr>
            <w:r>
              <w:rPr>
                <w:rFonts w:ascii="Arial" w:cs="Arial" w:eastAsia="Arial" w:hAnsi="Arial"/>
                <w:sz w:val="14"/>
                <w:szCs w:val="14"/>
                <w:color w:val="auto"/>
              </w:rPr>
              <w:t>—</w:t>
            </w:r>
          </w:p>
        </w:tc>
        <w:tc>
          <w:tcPr>
            <w:tcW w:w="260" w:type="dxa"/>
            <w:vAlign w:val="bottom"/>
          </w:tcPr>
          <w:p>
            <w:pPr>
              <w:spacing w:after="0"/>
              <w:rPr>
                <w:sz w:val="12"/>
                <w:szCs w:val="12"/>
                <w:color w:val="auto"/>
              </w:rPr>
            </w:pPr>
          </w:p>
        </w:tc>
        <w:tc>
          <w:tcPr>
            <w:tcW w:w="620" w:type="dxa"/>
            <w:vAlign w:val="bottom"/>
          </w:tcPr>
          <w:p>
            <w:pPr>
              <w:jc w:val="right"/>
              <w:ind w:right="112"/>
              <w:spacing w:after="0" w:line="149" w:lineRule="exact"/>
              <w:rPr>
                <w:sz w:val="20"/>
                <w:szCs w:val="20"/>
                <w:color w:val="auto"/>
              </w:rPr>
            </w:pPr>
            <w:r>
              <w:rPr>
                <w:rFonts w:ascii="Arial" w:cs="Arial" w:eastAsia="Arial" w:hAnsi="Arial"/>
                <w:sz w:val="14"/>
                <w:szCs w:val="14"/>
                <w:color w:val="auto"/>
              </w:rPr>
              <w:t>3</w:t>
            </w:r>
          </w:p>
        </w:tc>
        <w:tc>
          <w:tcPr>
            <w:tcW w:w="260" w:type="dxa"/>
            <w:vAlign w:val="bottom"/>
          </w:tcPr>
          <w:p>
            <w:pPr>
              <w:spacing w:after="0"/>
              <w:rPr>
                <w:sz w:val="12"/>
                <w:szCs w:val="12"/>
                <w:color w:val="auto"/>
              </w:rPr>
            </w:pPr>
          </w:p>
        </w:tc>
        <w:tc>
          <w:tcPr>
            <w:tcW w:w="820" w:type="dxa"/>
            <w:vAlign w:val="bottom"/>
          </w:tcPr>
          <w:p>
            <w:pPr>
              <w:jc w:val="right"/>
              <w:ind w:right="112"/>
              <w:spacing w:after="0" w:line="149" w:lineRule="exact"/>
              <w:rPr>
                <w:sz w:val="20"/>
                <w:szCs w:val="20"/>
                <w:color w:val="auto"/>
              </w:rPr>
            </w:pPr>
            <w:r>
              <w:rPr>
                <w:rFonts w:ascii="Arial" w:cs="Arial" w:eastAsia="Arial" w:hAnsi="Arial"/>
                <w:sz w:val="14"/>
                <w:szCs w:val="14"/>
                <w:color w:val="auto"/>
              </w:rPr>
              <w:t>17,688</w:t>
            </w:r>
          </w:p>
        </w:tc>
        <w:tc>
          <w:tcPr>
            <w:tcW w:w="240" w:type="dxa"/>
            <w:vAlign w:val="bottom"/>
          </w:tcPr>
          <w:p>
            <w:pPr>
              <w:spacing w:after="0"/>
              <w:rPr>
                <w:sz w:val="12"/>
                <w:szCs w:val="12"/>
                <w:color w:val="auto"/>
              </w:rPr>
            </w:pPr>
          </w:p>
        </w:tc>
        <w:tc>
          <w:tcPr>
            <w:tcW w:w="900" w:type="dxa"/>
            <w:vAlign w:val="bottom"/>
          </w:tcPr>
          <w:p>
            <w:pPr>
              <w:jc w:val="right"/>
              <w:ind w:right="92"/>
              <w:spacing w:after="0" w:line="149" w:lineRule="exact"/>
              <w:rPr>
                <w:sz w:val="20"/>
                <w:szCs w:val="20"/>
                <w:color w:val="auto"/>
              </w:rPr>
            </w:pPr>
            <w:r>
              <w:rPr>
                <w:rFonts w:ascii="Arial" w:cs="Arial" w:eastAsia="Arial" w:hAnsi="Arial"/>
                <w:sz w:val="14"/>
                <w:szCs w:val="14"/>
                <w:color w:val="auto"/>
              </w:rPr>
              <w:t>—</w:t>
            </w:r>
          </w:p>
        </w:tc>
        <w:tc>
          <w:tcPr>
            <w:tcW w:w="200" w:type="dxa"/>
            <w:vAlign w:val="bottom"/>
          </w:tcPr>
          <w:p>
            <w:pPr>
              <w:spacing w:after="0"/>
              <w:rPr>
                <w:sz w:val="12"/>
                <w:szCs w:val="12"/>
                <w:color w:val="auto"/>
              </w:rPr>
            </w:pPr>
          </w:p>
        </w:tc>
        <w:tc>
          <w:tcPr>
            <w:tcW w:w="780" w:type="dxa"/>
            <w:vAlign w:val="bottom"/>
          </w:tcPr>
          <w:p>
            <w:pPr>
              <w:jc w:val="right"/>
              <w:spacing w:after="0" w:line="149" w:lineRule="exact"/>
              <w:rPr>
                <w:sz w:val="20"/>
                <w:szCs w:val="20"/>
                <w:color w:val="auto"/>
              </w:rPr>
            </w:pPr>
            <w:r>
              <w:rPr>
                <w:rFonts w:ascii="Arial" w:cs="Arial" w:eastAsia="Arial" w:hAnsi="Arial"/>
                <w:sz w:val="14"/>
                <w:szCs w:val="14"/>
                <w:b w:val="1"/>
                <w:bCs w:val="1"/>
                <w:color w:val="auto"/>
              </w:rPr>
              <w:t>17,704</w:t>
            </w:r>
          </w:p>
        </w:tc>
        <w:tc>
          <w:tcPr>
            <w:tcW w:w="0" w:type="dxa"/>
            <w:vAlign w:val="bottom"/>
          </w:tcPr>
          <w:p>
            <w:pPr>
              <w:spacing w:after="0"/>
              <w:rPr>
                <w:sz w:val="1"/>
                <w:szCs w:val="1"/>
                <w:color w:val="auto"/>
              </w:rPr>
            </w:pPr>
          </w:p>
        </w:tc>
      </w:tr>
      <w:tr>
        <w:trPr>
          <w:trHeight w:val="149"/>
        </w:trPr>
        <w:tc>
          <w:tcPr>
            <w:tcW w:w="3820" w:type="dxa"/>
            <w:vAlign w:val="bottom"/>
            <w:gridSpan w:val="2"/>
          </w:tcPr>
          <w:p>
            <w:pPr>
              <w:spacing w:after="0" w:line="149" w:lineRule="exact"/>
              <w:rPr>
                <w:sz w:val="20"/>
                <w:szCs w:val="20"/>
                <w:color w:val="auto"/>
              </w:rPr>
            </w:pPr>
            <w:r>
              <w:rPr>
                <w:rFonts w:ascii="Arial" w:cs="Arial" w:eastAsia="Arial" w:hAnsi="Arial"/>
                <w:sz w:val="14"/>
                <w:szCs w:val="14"/>
                <w:color w:val="auto"/>
              </w:rPr>
              <w:t>Franchise rights</w:t>
            </w:r>
          </w:p>
        </w:tc>
        <w:tc>
          <w:tcPr>
            <w:tcW w:w="280" w:type="dxa"/>
            <w:vAlign w:val="bottom"/>
          </w:tcPr>
          <w:p>
            <w:pPr>
              <w:spacing w:after="0"/>
              <w:rPr>
                <w:sz w:val="12"/>
                <w:szCs w:val="12"/>
                <w:color w:val="auto"/>
              </w:rPr>
            </w:pPr>
          </w:p>
        </w:tc>
        <w:tc>
          <w:tcPr>
            <w:tcW w:w="600" w:type="dxa"/>
            <w:vAlign w:val="bottom"/>
          </w:tcPr>
          <w:p>
            <w:pPr>
              <w:jc w:val="right"/>
              <w:ind w:right="92"/>
              <w:spacing w:after="0" w:line="149" w:lineRule="exact"/>
              <w:rPr>
                <w:sz w:val="20"/>
                <w:szCs w:val="20"/>
                <w:color w:val="auto"/>
              </w:rPr>
            </w:pPr>
            <w:r>
              <w:rPr>
                <w:rFonts w:ascii="Arial" w:cs="Arial" w:eastAsia="Arial" w:hAnsi="Arial"/>
                <w:sz w:val="14"/>
                <w:szCs w:val="14"/>
                <w:color w:val="auto"/>
              </w:rPr>
              <w:t>—</w:t>
            </w:r>
          </w:p>
        </w:tc>
        <w:tc>
          <w:tcPr>
            <w:tcW w:w="260" w:type="dxa"/>
            <w:vAlign w:val="bottom"/>
          </w:tcPr>
          <w:p>
            <w:pPr>
              <w:spacing w:after="0"/>
              <w:rPr>
                <w:sz w:val="12"/>
                <w:szCs w:val="12"/>
                <w:color w:val="auto"/>
              </w:rPr>
            </w:pPr>
          </w:p>
        </w:tc>
        <w:tc>
          <w:tcPr>
            <w:tcW w:w="560" w:type="dxa"/>
            <w:vAlign w:val="bottom"/>
          </w:tcPr>
          <w:p>
            <w:pPr>
              <w:jc w:val="right"/>
              <w:ind w:right="92"/>
              <w:spacing w:after="0" w:line="149" w:lineRule="exact"/>
              <w:rPr>
                <w:sz w:val="20"/>
                <w:szCs w:val="20"/>
                <w:color w:val="auto"/>
              </w:rPr>
            </w:pPr>
            <w:r>
              <w:rPr>
                <w:rFonts w:ascii="Arial" w:cs="Arial" w:eastAsia="Arial" w:hAnsi="Arial"/>
                <w:sz w:val="14"/>
                <w:szCs w:val="14"/>
                <w:color w:val="auto"/>
              </w:rPr>
              <w:t>—</w:t>
            </w:r>
          </w:p>
        </w:tc>
        <w:tc>
          <w:tcPr>
            <w:tcW w:w="260" w:type="dxa"/>
            <w:vAlign w:val="bottom"/>
          </w:tcPr>
          <w:p>
            <w:pPr>
              <w:spacing w:after="0"/>
              <w:rPr>
                <w:sz w:val="12"/>
                <w:szCs w:val="12"/>
                <w:color w:val="auto"/>
              </w:rPr>
            </w:pPr>
          </w:p>
        </w:tc>
        <w:tc>
          <w:tcPr>
            <w:tcW w:w="600" w:type="dxa"/>
            <w:vAlign w:val="bottom"/>
          </w:tcPr>
          <w:p>
            <w:pPr>
              <w:jc w:val="right"/>
              <w:ind w:right="112"/>
              <w:spacing w:after="0" w:line="149" w:lineRule="exact"/>
              <w:rPr>
                <w:sz w:val="20"/>
                <w:szCs w:val="20"/>
                <w:color w:val="auto"/>
              </w:rPr>
            </w:pPr>
            <w:r>
              <w:rPr>
                <w:rFonts w:ascii="Arial" w:cs="Arial" w:eastAsia="Arial" w:hAnsi="Arial"/>
                <w:sz w:val="14"/>
                <w:szCs w:val="14"/>
                <w:color w:val="auto"/>
              </w:rPr>
              <w:t>—</w:t>
            </w:r>
          </w:p>
        </w:tc>
        <w:tc>
          <w:tcPr>
            <w:tcW w:w="260" w:type="dxa"/>
            <w:vAlign w:val="bottom"/>
          </w:tcPr>
          <w:p>
            <w:pPr>
              <w:spacing w:after="0"/>
              <w:rPr>
                <w:sz w:val="12"/>
                <w:szCs w:val="12"/>
                <w:color w:val="auto"/>
              </w:rPr>
            </w:pPr>
          </w:p>
        </w:tc>
        <w:tc>
          <w:tcPr>
            <w:tcW w:w="700" w:type="dxa"/>
            <w:vAlign w:val="bottom"/>
          </w:tcPr>
          <w:p>
            <w:pPr>
              <w:jc w:val="right"/>
              <w:ind w:right="112"/>
              <w:spacing w:after="0" w:line="149" w:lineRule="exact"/>
              <w:rPr>
                <w:sz w:val="20"/>
                <w:szCs w:val="20"/>
                <w:color w:val="auto"/>
              </w:rPr>
            </w:pPr>
            <w:r>
              <w:rPr>
                <w:rFonts w:ascii="Arial" w:cs="Arial" w:eastAsia="Arial" w:hAnsi="Arial"/>
                <w:sz w:val="14"/>
                <w:szCs w:val="14"/>
                <w:color w:val="auto"/>
              </w:rPr>
              <w:t>—</w:t>
            </w:r>
          </w:p>
        </w:tc>
        <w:tc>
          <w:tcPr>
            <w:tcW w:w="260" w:type="dxa"/>
            <w:vAlign w:val="bottom"/>
          </w:tcPr>
          <w:p>
            <w:pPr>
              <w:spacing w:after="0"/>
              <w:rPr>
                <w:sz w:val="12"/>
                <w:szCs w:val="12"/>
                <w:color w:val="auto"/>
              </w:rPr>
            </w:pPr>
          </w:p>
        </w:tc>
        <w:tc>
          <w:tcPr>
            <w:tcW w:w="620" w:type="dxa"/>
            <w:vAlign w:val="bottom"/>
          </w:tcPr>
          <w:p>
            <w:pPr>
              <w:jc w:val="right"/>
              <w:ind w:right="112"/>
              <w:spacing w:after="0" w:line="149" w:lineRule="exact"/>
              <w:rPr>
                <w:sz w:val="20"/>
                <w:szCs w:val="20"/>
                <w:color w:val="auto"/>
              </w:rPr>
            </w:pPr>
            <w:r>
              <w:rPr>
                <w:rFonts w:ascii="Arial" w:cs="Arial" w:eastAsia="Arial" w:hAnsi="Arial"/>
                <w:sz w:val="14"/>
                <w:szCs w:val="14"/>
                <w:color w:val="auto"/>
              </w:rPr>
              <w:t>—</w:t>
            </w:r>
          </w:p>
        </w:tc>
        <w:tc>
          <w:tcPr>
            <w:tcW w:w="260" w:type="dxa"/>
            <w:vAlign w:val="bottom"/>
          </w:tcPr>
          <w:p>
            <w:pPr>
              <w:spacing w:after="0"/>
              <w:rPr>
                <w:sz w:val="12"/>
                <w:szCs w:val="12"/>
                <w:color w:val="auto"/>
              </w:rPr>
            </w:pPr>
          </w:p>
        </w:tc>
        <w:tc>
          <w:tcPr>
            <w:tcW w:w="820" w:type="dxa"/>
            <w:vAlign w:val="bottom"/>
          </w:tcPr>
          <w:p>
            <w:pPr>
              <w:jc w:val="right"/>
              <w:ind w:right="112"/>
              <w:spacing w:after="0" w:line="149" w:lineRule="exact"/>
              <w:rPr>
                <w:sz w:val="20"/>
                <w:szCs w:val="20"/>
                <w:color w:val="auto"/>
              </w:rPr>
            </w:pPr>
            <w:r>
              <w:rPr>
                <w:rFonts w:ascii="Arial" w:cs="Arial" w:eastAsia="Arial" w:hAnsi="Arial"/>
                <w:sz w:val="14"/>
                <w:szCs w:val="14"/>
                <w:color w:val="auto"/>
              </w:rPr>
              <w:t>48,804</w:t>
            </w:r>
          </w:p>
        </w:tc>
        <w:tc>
          <w:tcPr>
            <w:tcW w:w="240" w:type="dxa"/>
            <w:vAlign w:val="bottom"/>
          </w:tcPr>
          <w:p>
            <w:pPr>
              <w:spacing w:after="0"/>
              <w:rPr>
                <w:sz w:val="12"/>
                <w:szCs w:val="12"/>
                <w:color w:val="auto"/>
              </w:rPr>
            </w:pPr>
          </w:p>
        </w:tc>
        <w:tc>
          <w:tcPr>
            <w:tcW w:w="900" w:type="dxa"/>
            <w:vAlign w:val="bottom"/>
          </w:tcPr>
          <w:p>
            <w:pPr>
              <w:jc w:val="right"/>
              <w:ind w:right="92"/>
              <w:spacing w:after="0" w:line="149" w:lineRule="exact"/>
              <w:rPr>
                <w:sz w:val="20"/>
                <w:szCs w:val="20"/>
                <w:color w:val="auto"/>
              </w:rPr>
            </w:pPr>
            <w:r>
              <w:rPr>
                <w:rFonts w:ascii="Arial" w:cs="Arial" w:eastAsia="Arial" w:hAnsi="Arial"/>
                <w:sz w:val="14"/>
                <w:szCs w:val="14"/>
                <w:color w:val="auto"/>
              </w:rPr>
              <w:t>—</w:t>
            </w:r>
          </w:p>
        </w:tc>
        <w:tc>
          <w:tcPr>
            <w:tcW w:w="200" w:type="dxa"/>
            <w:vAlign w:val="bottom"/>
          </w:tcPr>
          <w:p>
            <w:pPr>
              <w:spacing w:after="0"/>
              <w:rPr>
                <w:sz w:val="12"/>
                <w:szCs w:val="12"/>
                <w:color w:val="auto"/>
              </w:rPr>
            </w:pPr>
          </w:p>
        </w:tc>
        <w:tc>
          <w:tcPr>
            <w:tcW w:w="780" w:type="dxa"/>
            <w:vAlign w:val="bottom"/>
          </w:tcPr>
          <w:p>
            <w:pPr>
              <w:jc w:val="right"/>
              <w:spacing w:after="0" w:line="149" w:lineRule="exact"/>
              <w:rPr>
                <w:sz w:val="20"/>
                <w:szCs w:val="20"/>
                <w:color w:val="auto"/>
              </w:rPr>
            </w:pPr>
            <w:r>
              <w:rPr>
                <w:rFonts w:ascii="Arial" w:cs="Arial" w:eastAsia="Arial" w:hAnsi="Arial"/>
                <w:sz w:val="14"/>
                <w:szCs w:val="14"/>
                <w:b w:val="1"/>
                <w:bCs w:val="1"/>
                <w:color w:val="auto"/>
              </w:rPr>
              <w:t>48,804</w:t>
            </w:r>
          </w:p>
        </w:tc>
        <w:tc>
          <w:tcPr>
            <w:tcW w:w="0" w:type="dxa"/>
            <w:vAlign w:val="bottom"/>
          </w:tcPr>
          <w:p>
            <w:pPr>
              <w:spacing w:after="0"/>
              <w:rPr>
                <w:sz w:val="1"/>
                <w:szCs w:val="1"/>
                <w:color w:val="auto"/>
              </w:rPr>
            </w:pPr>
          </w:p>
        </w:tc>
      </w:tr>
      <w:tr>
        <w:trPr>
          <w:trHeight w:val="149"/>
        </w:trPr>
        <w:tc>
          <w:tcPr>
            <w:tcW w:w="3820" w:type="dxa"/>
            <w:vAlign w:val="bottom"/>
            <w:gridSpan w:val="2"/>
          </w:tcPr>
          <w:p>
            <w:pPr>
              <w:spacing w:after="0" w:line="149" w:lineRule="exact"/>
              <w:rPr>
                <w:sz w:val="20"/>
                <w:szCs w:val="20"/>
                <w:color w:val="auto"/>
              </w:rPr>
            </w:pPr>
            <w:r>
              <w:rPr>
                <w:rFonts w:ascii="Arial" w:cs="Arial" w:eastAsia="Arial" w:hAnsi="Arial"/>
                <w:sz w:val="14"/>
                <w:szCs w:val="14"/>
                <w:color w:val="auto"/>
              </w:rPr>
              <w:t>Goodwill</w:t>
            </w:r>
          </w:p>
        </w:tc>
        <w:tc>
          <w:tcPr>
            <w:tcW w:w="280" w:type="dxa"/>
            <w:vAlign w:val="bottom"/>
          </w:tcPr>
          <w:p>
            <w:pPr>
              <w:spacing w:after="0"/>
              <w:rPr>
                <w:sz w:val="12"/>
                <w:szCs w:val="12"/>
                <w:color w:val="auto"/>
              </w:rPr>
            </w:pPr>
          </w:p>
        </w:tc>
        <w:tc>
          <w:tcPr>
            <w:tcW w:w="600" w:type="dxa"/>
            <w:vAlign w:val="bottom"/>
          </w:tcPr>
          <w:p>
            <w:pPr>
              <w:jc w:val="right"/>
              <w:ind w:right="92"/>
              <w:spacing w:after="0" w:line="149" w:lineRule="exact"/>
              <w:rPr>
                <w:sz w:val="20"/>
                <w:szCs w:val="20"/>
                <w:color w:val="auto"/>
              </w:rPr>
            </w:pPr>
            <w:r>
              <w:rPr>
                <w:rFonts w:ascii="Arial" w:cs="Arial" w:eastAsia="Arial" w:hAnsi="Arial"/>
                <w:sz w:val="14"/>
                <w:szCs w:val="14"/>
                <w:color w:val="auto"/>
              </w:rPr>
              <w:t>—</w:t>
            </w:r>
          </w:p>
        </w:tc>
        <w:tc>
          <w:tcPr>
            <w:tcW w:w="260" w:type="dxa"/>
            <w:vAlign w:val="bottom"/>
          </w:tcPr>
          <w:p>
            <w:pPr>
              <w:spacing w:after="0"/>
              <w:rPr>
                <w:sz w:val="12"/>
                <w:szCs w:val="12"/>
                <w:color w:val="auto"/>
              </w:rPr>
            </w:pPr>
          </w:p>
        </w:tc>
        <w:tc>
          <w:tcPr>
            <w:tcW w:w="560" w:type="dxa"/>
            <w:vAlign w:val="bottom"/>
          </w:tcPr>
          <w:p>
            <w:pPr>
              <w:jc w:val="right"/>
              <w:ind w:right="92"/>
              <w:spacing w:after="0" w:line="149" w:lineRule="exact"/>
              <w:rPr>
                <w:sz w:val="20"/>
                <w:szCs w:val="20"/>
                <w:color w:val="auto"/>
              </w:rPr>
            </w:pPr>
            <w:r>
              <w:rPr>
                <w:rFonts w:ascii="Arial" w:cs="Arial" w:eastAsia="Arial" w:hAnsi="Arial"/>
                <w:sz w:val="14"/>
                <w:szCs w:val="14"/>
                <w:color w:val="auto"/>
              </w:rPr>
              <w:t>—</w:t>
            </w:r>
          </w:p>
        </w:tc>
        <w:tc>
          <w:tcPr>
            <w:tcW w:w="260" w:type="dxa"/>
            <w:vAlign w:val="bottom"/>
          </w:tcPr>
          <w:p>
            <w:pPr>
              <w:spacing w:after="0"/>
              <w:rPr>
                <w:sz w:val="12"/>
                <w:szCs w:val="12"/>
                <w:color w:val="auto"/>
              </w:rPr>
            </w:pPr>
          </w:p>
        </w:tc>
        <w:tc>
          <w:tcPr>
            <w:tcW w:w="600" w:type="dxa"/>
            <w:vAlign w:val="bottom"/>
          </w:tcPr>
          <w:p>
            <w:pPr>
              <w:jc w:val="right"/>
              <w:ind w:right="112"/>
              <w:spacing w:after="0" w:line="149" w:lineRule="exact"/>
              <w:rPr>
                <w:sz w:val="20"/>
                <w:szCs w:val="20"/>
                <w:color w:val="auto"/>
              </w:rPr>
            </w:pPr>
            <w:r>
              <w:rPr>
                <w:rFonts w:ascii="Arial" w:cs="Arial" w:eastAsia="Arial" w:hAnsi="Arial"/>
                <w:sz w:val="14"/>
                <w:szCs w:val="14"/>
                <w:color w:val="auto"/>
              </w:rPr>
              <w:t>—</w:t>
            </w:r>
          </w:p>
        </w:tc>
        <w:tc>
          <w:tcPr>
            <w:tcW w:w="260" w:type="dxa"/>
            <w:vAlign w:val="bottom"/>
          </w:tcPr>
          <w:p>
            <w:pPr>
              <w:spacing w:after="0"/>
              <w:rPr>
                <w:sz w:val="12"/>
                <w:szCs w:val="12"/>
                <w:color w:val="auto"/>
              </w:rPr>
            </w:pPr>
          </w:p>
        </w:tc>
        <w:tc>
          <w:tcPr>
            <w:tcW w:w="700" w:type="dxa"/>
            <w:vAlign w:val="bottom"/>
          </w:tcPr>
          <w:p>
            <w:pPr>
              <w:jc w:val="right"/>
              <w:ind w:right="112"/>
              <w:spacing w:after="0" w:line="149" w:lineRule="exact"/>
              <w:rPr>
                <w:sz w:val="20"/>
                <w:szCs w:val="20"/>
                <w:color w:val="auto"/>
              </w:rPr>
            </w:pPr>
            <w:r>
              <w:rPr>
                <w:rFonts w:ascii="Arial" w:cs="Arial" w:eastAsia="Arial" w:hAnsi="Arial"/>
                <w:sz w:val="14"/>
                <w:szCs w:val="14"/>
                <w:color w:val="auto"/>
              </w:rPr>
              <w:t>—</w:t>
            </w:r>
          </w:p>
        </w:tc>
        <w:tc>
          <w:tcPr>
            <w:tcW w:w="260" w:type="dxa"/>
            <w:vAlign w:val="bottom"/>
          </w:tcPr>
          <w:p>
            <w:pPr>
              <w:spacing w:after="0"/>
              <w:rPr>
                <w:sz w:val="12"/>
                <w:szCs w:val="12"/>
                <w:color w:val="auto"/>
              </w:rPr>
            </w:pPr>
          </w:p>
        </w:tc>
        <w:tc>
          <w:tcPr>
            <w:tcW w:w="620" w:type="dxa"/>
            <w:vAlign w:val="bottom"/>
          </w:tcPr>
          <w:p>
            <w:pPr>
              <w:jc w:val="right"/>
              <w:ind w:right="112"/>
              <w:spacing w:after="0" w:line="149" w:lineRule="exact"/>
              <w:rPr>
                <w:sz w:val="20"/>
                <w:szCs w:val="20"/>
                <w:color w:val="auto"/>
              </w:rPr>
            </w:pPr>
            <w:r>
              <w:rPr>
                <w:rFonts w:ascii="Arial" w:cs="Arial" w:eastAsia="Arial" w:hAnsi="Arial"/>
                <w:sz w:val="14"/>
                <w:szCs w:val="14"/>
                <w:color w:val="auto"/>
              </w:rPr>
              <w:t>—</w:t>
            </w:r>
          </w:p>
        </w:tc>
        <w:tc>
          <w:tcPr>
            <w:tcW w:w="260" w:type="dxa"/>
            <w:vAlign w:val="bottom"/>
          </w:tcPr>
          <w:p>
            <w:pPr>
              <w:spacing w:after="0"/>
              <w:rPr>
                <w:sz w:val="12"/>
                <w:szCs w:val="12"/>
                <w:color w:val="auto"/>
              </w:rPr>
            </w:pPr>
          </w:p>
        </w:tc>
        <w:tc>
          <w:tcPr>
            <w:tcW w:w="820" w:type="dxa"/>
            <w:vAlign w:val="bottom"/>
          </w:tcPr>
          <w:p>
            <w:pPr>
              <w:jc w:val="right"/>
              <w:ind w:right="112"/>
              <w:spacing w:after="0" w:line="149" w:lineRule="exact"/>
              <w:rPr>
                <w:sz w:val="20"/>
                <w:szCs w:val="20"/>
                <w:color w:val="auto"/>
              </w:rPr>
            </w:pPr>
            <w:r>
              <w:rPr>
                <w:rFonts w:ascii="Arial" w:cs="Arial" w:eastAsia="Arial" w:hAnsi="Arial"/>
                <w:sz w:val="14"/>
                <w:szCs w:val="14"/>
                <w:color w:val="auto"/>
              </w:rPr>
              <w:t>13,498</w:t>
            </w:r>
          </w:p>
        </w:tc>
        <w:tc>
          <w:tcPr>
            <w:tcW w:w="240" w:type="dxa"/>
            <w:vAlign w:val="bottom"/>
          </w:tcPr>
          <w:p>
            <w:pPr>
              <w:spacing w:after="0"/>
              <w:rPr>
                <w:sz w:val="12"/>
                <w:szCs w:val="12"/>
                <w:color w:val="auto"/>
              </w:rPr>
            </w:pPr>
          </w:p>
        </w:tc>
        <w:tc>
          <w:tcPr>
            <w:tcW w:w="900" w:type="dxa"/>
            <w:vAlign w:val="bottom"/>
          </w:tcPr>
          <w:p>
            <w:pPr>
              <w:jc w:val="right"/>
              <w:ind w:right="92"/>
              <w:spacing w:after="0" w:line="149" w:lineRule="exact"/>
              <w:rPr>
                <w:sz w:val="20"/>
                <w:szCs w:val="20"/>
                <w:color w:val="auto"/>
              </w:rPr>
            </w:pPr>
            <w:r>
              <w:rPr>
                <w:rFonts w:ascii="Arial" w:cs="Arial" w:eastAsia="Arial" w:hAnsi="Arial"/>
                <w:sz w:val="14"/>
                <w:szCs w:val="14"/>
                <w:color w:val="auto"/>
              </w:rPr>
              <w:t>—</w:t>
            </w:r>
          </w:p>
        </w:tc>
        <w:tc>
          <w:tcPr>
            <w:tcW w:w="200" w:type="dxa"/>
            <w:vAlign w:val="bottom"/>
          </w:tcPr>
          <w:p>
            <w:pPr>
              <w:spacing w:after="0"/>
              <w:rPr>
                <w:sz w:val="12"/>
                <w:szCs w:val="12"/>
                <w:color w:val="auto"/>
              </w:rPr>
            </w:pPr>
          </w:p>
        </w:tc>
        <w:tc>
          <w:tcPr>
            <w:tcW w:w="780" w:type="dxa"/>
            <w:vAlign w:val="bottom"/>
          </w:tcPr>
          <w:p>
            <w:pPr>
              <w:jc w:val="right"/>
              <w:spacing w:after="0" w:line="149" w:lineRule="exact"/>
              <w:rPr>
                <w:sz w:val="20"/>
                <w:szCs w:val="20"/>
                <w:color w:val="auto"/>
              </w:rPr>
            </w:pPr>
            <w:r>
              <w:rPr>
                <w:rFonts w:ascii="Arial" w:cs="Arial" w:eastAsia="Arial" w:hAnsi="Arial"/>
                <w:sz w:val="14"/>
                <w:szCs w:val="14"/>
                <w:b w:val="1"/>
                <w:bCs w:val="1"/>
                <w:color w:val="auto"/>
              </w:rPr>
              <w:t>13,498</w:t>
            </w:r>
          </w:p>
        </w:tc>
        <w:tc>
          <w:tcPr>
            <w:tcW w:w="0" w:type="dxa"/>
            <w:vAlign w:val="bottom"/>
          </w:tcPr>
          <w:p>
            <w:pPr>
              <w:spacing w:after="0"/>
              <w:rPr>
                <w:sz w:val="1"/>
                <w:szCs w:val="1"/>
                <w:color w:val="auto"/>
              </w:rPr>
            </w:pPr>
          </w:p>
        </w:tc>
      </w:tr>
      <w:tr>
        <w:trPr>
          <w:trHeight w:val="149"/>
        </w:trPr>
        <w:tc>
          <w:tcPr>
            <w:tcW w:w="3820" w:type="dxa"/>
            <w:vAlign w:val="bottom"/>
            <w:gridSpan w:val="2"/>
          </w:tcPr>
          <w:p>
            <w:pPr>
              <w:spacing w:after="0" w:line="149" w:lineRule="exact"/>
              <w:rPr>
                <w:sz w:val="20"/>
                <w:szCs w:val="20"/>
                <w:color w:val="auto"/>
              </w:rPr>
            </w:pPr>
            <w:r>
              <w:rPr>
                <w:rFonts w:ascii="Arial" w:cs="Arial" w:eastAsia="Arial" w:hAnsi="Arial"/>
                <w:sz w:val="14"/>
                <w:szCs w:val="14"/>
                <w:color w:val="auto"/>
              </w:rPr>
              <w:t>Other intangible assets, net</w:t>
            </w:r>
          </w:p>
        </w:tc>
        <w:tc>
          <w:tcPr>
            <w:tcW w:w="280" w:type="dxa"/>
            <w:vAlign w:val="bottom"/>
          </w:tcPr>
          <w:p>
            <w:pPr>
              <w:spacing w:after="0"/>
              <w:rPr>
                <w:sz w:val="12"/>
                <w:szCs w:val="12"/>
                <w:color w:val="auto"/>
              </w:rPr>
            </w:pPr>
          </w:p>
        </w:tc>
        <w:tc>
          <w:tcPr>
            <w:tcW w:w="600" w:type="dxa"/>
            <w:vAlign w:val="bottom"/>
          </w:tcPr>
          <w:p>
            <w:pPr>
              <w:jc w:val="right"/>
              <w:ind w:right="92"/>
              <w:spacing w:after="0" w:line="149" w:lineRule="exact"/>
              <w:rPr>
                <w:sz w:val="20"/>
                <w:szCs w:val="20"/>
                <w:color w:val="auto"/>
              </w:rPr>
            </w:pPr>
            <w:r>
              <w:rPr>
                <w:rFonts w:ascii="Arial" w:cs="Arial" w:eastAsia="Arial" w:hAnsi="Arial"/>
                <w:sz w:val="14"/>
                <w:szCs w:val="14"/>
                <w:color w:val="auto"/>
              </w:rPr>
              <w:t>—</w:t>
            </w:r>
          </w:p>
        </w:tc>
        <w:tc>
          <w:tcPr>
            <w:tcW w:w="260" w:type="dxa"/>
            <w:vAlign w:val="bottom"/>
          </w:tcPr>
          <w:p>
            <w:pPr>
              <w:spacing w:after="0"/>
              <w:rPr>
                <w:sz w:val="12"/>
                <w:szCs w:val="12"/>
                <w:color w:val="auto"/>
              </w:rPr>
            </w:pPr>
          </w:p>
        </w:tc>
        <w:tc>
          <w:tcPr>
            <w:tcW w:w="560" w:type="dxa"/>
            <w:vAlign w:val="bottom"/>
          </w:tcPr>
          <w:p>
            <w:pPr>
              <w:jc w:val="right"/>
              <w:ind w:right="92"/>
              <w:spacing w:after="0" w:line="149" w:lineRule="exact"/>
              <w:rPr>
                <w:sz w:val="20"/>
                <w:szCs w:val="20"/>
                <w:color w:val="auto"/>
              </w:rPr>
            </w:pPr>
            <w:r>
              <w:rPr>
                <w:rFonts w:ascii="Arial" w:cs="Arial" w:eastAsia="Arial" w:hAnsi="Arial"/>
                <w:sz w:val="14"/>
                <w:szCs w:val="14"/>
                <w:color w:val="auto"/>
              </w:rPr>
              <w:t>—</w:t>
            </w:r>
          </w:p>
        </w:tc>
        <w:tc>
          <w:tcPr>
            <w:tcW w:w="260" w:type="dxa"/>
            <w:vAlign w:val="bottom"/>
          </w:tcPr>
          <w:p>
            <w:pPr>
              <w:spacing w:after="0"/>
              <w:rPr>
                <w:sz w:val="12"/>
                <w:szCs w:val="12"/>
                <w:color w:val="auto"/>
              </w:rPr>
            </w:pPr>
          </w:p>
        </w:tc>
        <w:tc>
          <w:tcPr>
            <w:tcW w:w="600" w:type="dxa"/>
            <w:vAlign w:val="bottom"/>
          </w:tcPr>
          <w:p>
            <w:pPr>
              <w:jc w:val="right"/>
              <w:ind w:right="112"/>
              <w:spacing w:after="0" w:line="149" w:lineRule="exact"/>
              <w:rPr>
                <w:sz w:val="20"/>
                <w:szCs w:val="20"/>
                <w:color w:val="auto"/>
              </w:rPr>
            </w:pPr>
            <w:r>
              <w:rPr>
                <w:rFonts w:ascii="Arial" w:cs="Arial" w:eastAsia="Arial" w:hAnsi="Arial"/>
                <w:sz w:val="14"/>
                <w:szCs w:val="14"/>
                <w:color w:val="auto"/>
              </w:rPr>
              <w:t>—</w:t>
            </w:r>
          </w:p>
        </w:tc>
        <w:tc>
          <w:tcPr>
            <w:tcW w:w="260" w:type="dxa"/>
            <w:vAlign w:val="bottom"/>
          </w:tcPr>
          <w:p>
            <w:pPr>
              <w:spacing w:after="0"/>
              <w:rPr>
                <w:sz w:val="12"/>
                <w:szCs w:val="12"/>
                <w:color w:val="auto"/>
              </w:rPr>
            </w:pPr>
          </w:p>
        </w:tc>
        <w:tc>
          <w:tcPr>
            <w:tcW w:w="700" w:type="dxa"/>
            <w:vAlign w:val="bottom"/>
          </w:tcPr>
          <w:p>
            <w:pPr>
              <w:jc w:val="right"/>
              <w:ind w:right="112"/>
              <w:spacing w:after="0" w:line="149" w:lineRule="exact"/>
              <w:rPr>
                <w:sz w:val="20"/>
                <w:szCs w:val="20"/>
                <w:color w:val="auto"/>
              </w:rPr>
            </w:pPr>
            <w:r>
              <w:rPr>
                <w:rFonts w:ascii="Arial" w:cs="Arial" w:eastAsia="Arial" w:hAnsi="Arial"/>
                <w:sz w:val="14"/>
                <w:szCs w:val="14"/>
                <w:color w:val="auto"/>
              </w:rPr>
              <w:t>—</w:t>
            </w:r>
          </w:p>
        </w:tc>
        <w:tc>
          <w:tcPr>
            <w:tcW w:w="260" w:type="dxa"/>
            <w:vAlign w:val="bottom"/>
          </w:tcPr>
          <w:p>
            <w:pPr>
              <w:spacing w:after="0"/>
              <w:rPr>
                <w:sz w:val="12"/>
                <w:szCs w:val="12"/>
                <w:color w:val="auto"/>
              </w:rPr>
            </w:pPr>
          </w:p>
        </w:tc>
        <w:tc>
          <w:tcPr>
            <w:tcW w:w="620" w:type="dxa"/>
            <w:vAlign w:val="bottom"/>
          </w:tcPr>
          <w:p>
            <w:pPr>
              <w:jc w:val="right"/>
              <w:ind w:right="112"/>
              <w:spacing w:after="0" w:line="149" w:lineRule="exact"/>
              <w:rPr>
                <w:sz w:val="20"/>
                <w:szCs w:val="20"/>
                <w:color w:val="auto"/>
              </w:rPr>
            </w:pPr>
            <w:r>
              <w:rPr>
                <w:rFonts w:ascii="Arial" w:cs="Arial" w:eastAsia="Arial" w:hAnsi="Arial"/>
                <w:sz w:val="14"/>
                <w:szCs w:val="14"/>
                <w:color w:val="auto"/>
              </w:rPr>
              <w:t>4</w:t>
            </w:r>
          </w:p>
        </w:tc>
        <w:tc>
          <w:tcPr>
            <w:tcW w:w="260" w:type="dxa"/>
            <w:vAlign w:val="bottom"/>
          </w:tcPr>
          <w:p>
            <w:pPr>
              <w:spacing w:after="0"/>
              <w:rPr>
                <w:sz w:val="12"/>
                <w:szCs w:val="12"/>
                <w:color w:val="auto"/>
              </w:rPr>
            </w:pPr>
          </w:p>
        </w:tc>
        <w:tc>
          <w:tcPr>
            <w:tcW w:w="820" w:type="dxa"/>
            <w:vAlign w:val="bottom"/>
          </w:tcPr>
          <w:p>
            <w:pPr>
              <w:jc w:val="right"/>
              <w:ind w:right="112"/>
              <w:spacing w:after="0" w:line="149" w:lineRule="exact"/>
              <w:rPr>
                <w:sz w:val="20"/>
                <w:szCs w:val="20"/>
                <w:color w:val="auto"/>
              </w:rPr>
            </w:pPr>
            <w:r>
              <w:rPr>
                <w:rFonts w:ascii="Arial" w:cs="Arial" w:eastAsia="Arial" w:hAnsi="Arial"/>
                <w:sz w:val="14"/>
                <w:szCs w:val="14"/>
                <w:color w:val="auto"/>
              </w:rPr>
              <w:t>3,114</w:t>
            </w:r>
          </w:p>
        </w:tc>
        <w:tc>
          <w:tcPr>
            <w:tcW w:w="240" w:type="dxa"/>
            <w:vAlign w:val="bottom"/>
          </w:tcPr>
          <w:p>
            <w:pPr>
              <w:spacing w:after="0"/>
              <w:rPr>
                <w:sz w:val="12"/>
                <w:szCs w:val="12"/>
                <w:color w:val="auto"/>
              </w:rPr>
            </w:pPr>
          </w:p>
        </w:tc>
        <w:tc>
          <w:tcPr>
            <w:tcW w:w="900" w:type="dxa"/>
            <w:vAlign w:val="bottom"/>
          </w:tcPr>
          <w:p>
            <w:pPr>
              <w:jc w:val="right"/>
              <w:ind w:right="92"/>
              <w:spacing w:after="0" w:line="149" w:lineRule="exact"/>
              <w:rPr>
                <w:sz w:val="20"/>
                <w:szCs w:val="20"/>
                <w:color w:val="auto"/>
              </w:rPr>
            </w:pPr>
            <w:r>
              <w:rPr>
                <w:rFonts w:ascii="Arial" w:cs="Arial" w:eastAsia="Arial" w:hAnsi="Arial"/>
                <w:sz w:val="14"/>
                <w:szCs w:val="14"/>
                <w:color w:val="auto"/>
              </w:rPr>
              <w:t>—</w:t>
            </w:r>
          </w:p>
        </w:tc>
        <w:tc>
          <w:tcPr>
            <w:tcW w:w="200" w:type="dxa"/>
            <w:vAlign w:val="bottom"/>
          </w:tcPr>
          <w:p>
            <w:pPr>
              <w:spacing w:after="0"/>
              <w:rPr>
                <w:sz w:val="12"/>
                <w:szCs w:val="12"/>
                <w:color w:val="auto"/>
              </w:rPr>
            </w:pPr>
          </w:p>
        </w:tc>
        <w:tc>
          <w:tcPr>
            <w:tcW w:w="780" w:type="dxa"/>
            <w:vAlign w:val="bottom"/>
          </w:tcPr>
          <w:p>
            <w:pPr>
              <w:jc w:val="right"/>
              <w:spacing w:after="0" w:line="149" w:lineRule="exact"/>
              <w:rPr>
                <w:sz w:val="20"/>
                <w:szCs w:val="20"/>
                <w:color w:val="auto"/>
              </w:rPr>
            </w:pPr>
            <w:r>
              <w:rPr>
                <w:rFonts w:ascii="Arial" w:cs="Arial" w:eastAsia="Arial" w:hAnsi="Arial"/>
                <w:sz w:val="14"/>
                <w:szCs w:val="14"/>
                <w:b w:val="1"/>
                <w:bCs w:val="1"/>
                <w:color w:val="auto"/>
              </w:rPr>
              <w:t>3,118</w:t>
            </w:r>
          </w:p>
        </w:tc>
        <w:tc>
          <w:tcPr>
            <w:tcW w:w="0" w:type="dxa"/>
            <w:vAlign w:val="bottom"/>
          </w:tcPr>
          <w:p>
            <w:pPr>
              <w:spacing w:after="0"/>
              <w:rPr>
                <w:sz w:val="1"/>
                <w:szCs w:val="1"/>
                <w:color w:val="auto"/>
              </w:rPr>
            </w:pPr>
          </w:p>
        </w:tc>
      </w:tr>
      <w:tr>
        <w:trPr>
          <w:trHeight w:val="149"/>
        </w:trPr>
        <w:tc>
          <w:tcPr>
            <w:tcW w:w="3820" w:type="dxa"/>
            <w:vAlign w:val="bottom"/>
            <w:gridSpan w:val="2"/>
          </w:tcPr>
          <w:p>
            <w:pPr>
              <w:spacing w:after="0" w:line="149" w:lineRule="exact"/>
              <w:rPr>
                <w:sz w:val="20"/>
                <w:szCs w:val="20"/>
                <w:color w:val="auto"/>
              </w:rPr>
            </w:pPr>
            <w:r>
              <w:rPr>
                <w:rFonts w:ascii="Arial" w:cs="Arial" w:eastAsia="Arial" w:hAnsi="Arial"/>
                <w:sz w:val="14"/>
                <w:szCs w:val="14"/>
                <w:color w:val="auto"/>
              </w:rPr>
              <w:t>Other noncurrent assets, net</w:t>
            </w:r>
          </w:p>
        </w:tc>
        <w:tc>
          <w:tcPr>
            <w:tcW w:w="280" w:type="dxa"/>
            <w:vAlign w:val="bottom"/>
          </w:tcPr>
          <w:p>
            <w:pPr>
              <w:spacing w:after="0"/>
              <w:rPr>
                <w:sz w:val="12"/>
                <w:szCs w:val="12"/>
                <w:color w:val="auto"/>
              </w:rPr>
            </w:pPr>
          </w:p>
        </w:tc>
        <w:tc>
          <w:tcPr>
            <w:tcW w:w="600" w:type="dxa"/>
            <w:vAlign w:val="bottom"/>
          </w:tcPr>
          <w:p>
            <w:pPr>
              <w:jc w:val="right"/>
              <w:ind w:right="92"/>
              <w:spacing w:after="0" w:line="149" w:lineRule="exact"/>
              <w:rPr>
                <w:sz w:val="20"/>
                <w:szCs w:val="20"/>
                <w:color w:val="auto"/>
              </w:rPr>
            </w:pPr>
            <w:r>
              <w:rPr>
                <w:rFonts w:ascii="Arial" w:cs="Arial" w:eastAsia="Arial" w:hAnsi="Arial"/>
                <w:sz w:val="14"/>
                <w:szCs w:val="14"/>
                <w:color w:val="auto"/>
              </w:rPr>
              <w:t>122</w:t>
            </w:r>
          </w:p>
        </w:tc>
        <w:tc>
          <w:tcPr>
            <w:tcW w:w="260" w:type="dxa"/>
            <w:vAlign w:val="bottom"/>
          </w:tcPr>
          <w:p>
            <w:pPr>
              <w:spacing w:after="0"/>
              <w:rPr>
                <w:sz w:val="12"/>
                <w:szCs w:val="12"/>
                <w:color w:val="auto"/>
              </w:rPr>
            </w:pPr>
          </w:p>
        </w:tc>
        <w:tc>
          <w:tcPr>
            <w:tcW w:w="560" w:type="dxa"/>
            <w:vAlign w:val="bottom"/>
          </w:tcPr>
          <w:p>
            <w:pPr>
              <w:jc w:val="right"/>
              <w:ind w:right="92"/>
              <w:spacing w:after="0" w:line="149" w:lineRule="exact"/>
              <w:rPr>
                <w:sz w:val="20"/>
                <w:szCs w:val="20"/>
                <w:color w:val="auto"/>
              </w:rPr>
            </w:pPr>
            <w:r>
              <w:rPr>
                <w:rFonts w:ascii="Arial" w:cs="Arial" w:eastAsia="Arial" w:hAnsi="Arial"/>
                <w:sz w:val="14"/>
                <w:szCs w:val="14"/>
                <w:color w:val="auto"/>
              </w:rPr>
              <w:t>21</w:t>
            </w:r>
          </w:p>
        </w:tc>
        <w:tc>
          <w:tcPr>
            <w:tcW w:w="260" w:type="dxa"/>
            <w:vAlign w:val="bottom"/>
          </w:tcPr>
          <w:p>
            <w:pPr>
              <w:spacing w:after="0"/>
              <w:rPr>
                <w:sz w:val="12"/>
                <w:szCs w:val="12"/>
                <w:color w:val="auto"/>
              </w:rPr>
            </w:pPr>
          </w:p>
        </w:tc>
        <w:tc>
          <w:tcPr>
            <w:tcW w:w="600" w:type="dxa"/>
            <w:vAlign w:val="bottom"/>
          </w:tcPr>
          <w:p>
            <w:pPr>
              <w:jc w:val="right"/>
              <w:ind w:right="112"/>
              <w:spacing w:after="0" w:line="149" w:lineRule="exact"/>
              <w:rPr>
                <w:sz w:val="20"/>
                <w:szCs w:val="20"/>
                <w:color w:val="auto"/>
              </w:rPr>
            </w:pPr>
            <w:r>
              <w:rPr>
                <w:rFonts w:ascii="Arial" w:cs="Arial" w:eastAsia="Arial" w:hAnsi="Arial"/>
                <w:sz w:val="14"/>
                <w:szCs w:val="14"/>
                <w:color w:val="auto"/>
              </w:rPr>
              <w:t>23</w:t>
            </w:r>
          </w:p>
        </w:tc>
        <w:tc>
          <w:tcPr>
            <w:tcW w:w="260" w:type="dxa"/>
            <w:vAlign w:val="bottom"/>
          </w:tcPr>
          <w:p>
            <w:pPr>
              <w:spacing w:after="0"/>
              <w:rPr>
                <w:sz w:val="12"/>
                <w:szCs w:val="12"/>
                <w:color w:val="auto"/>
              </w:rPr>
            </w:pPr>
          </w:p>
        </w:tc>
        <w:tc>
          <w:tcPr>
            <w:tcW w:w="700" w:type="dxa"/>
            <w:vAlign w:val="bottom"/>
          </w:tcPr>
          <w:p>
            <w:pPr>
              <w:jc w:val="right"/>
              <w:ind w:right="112"/>
              <w:spacing w:after="0" w:line="149" w:lineRule="exact"/>
              <w:rPr>
                <w:sz w:val="20"/>
                <w:szCs w:val="20"/>
                <w:color w:val="auto"/>
              </w:rPr>
            </w:pPr>
            <w:r>
              <w:rPr>
                <w:rFonts w:ascii="Arial" w:cs="Arial" w:eastAsia="Arial" w:hAnsi="Arial"/>
                <w:sz w:val="14"/>
                <w:szCs w:val="14"/>
                <w:color w:val="auto"/>
              </w:rPr>
              <w:t>—</w:t>
            </w:r>
          </w:p>
        </w:tc>
        <w:tc>
          <w:tcPr>
            <w:tcW w:w="260" w:type="dxa"/>
            <w:vAlign w:val="bottom"/>
          </w:tcPr>
          <w:p>
            <w:pPr>
              <w:spacing w:after="0"/>
              <w:rPr>
                <w:sz w:val="12"/>
                <w:szCs w:val="12"/>
                <w:color w:val="auto"/>
              </w:rPr>
            </w:pPr>
          </w:p>
        </w:tc>
        <w:tc>
          <w:tcPr>
            <w:tcW w:w="620" w:type="dxa"/>
            <w:vAlign w:val="bottom"/>
          </w:tcPr>
          <w:p>
            <w:pPr>
              <w:jc w:val="right"/>
              <w:ind w:right="112"/>
              <w:spacing w:after="0" w:line="149" w:lineRule="exact"/>
              <w:rPr>
                <w:sz w:val="20"/>
                <w:szCs w:val="20"/>
                <w:color w:val="auto"/>
              </w:rPr>
            </w:pPr>
            <w:r>
              <w:rPr>
                <w:rFonts w:ascii="Arial" w:cs="Arial" w:eastAsia="Arial" w:hAnsi="Arial"/>
                <w:sz w:val="14"/>
                <w:szCs w:val="14"/>
                <w:color w:val="auto"/>
              </w:rPr>
              <w:t>43</w:t>
            </w:r>
          </w:p>
        </w:tc>
        <w:tc>
          <w:tcPr>
            <w:tcW w:w="260" w:type="dxa"/>
            <w:vAlign w:val="bottom"/>
          </w:tcPr>
          <w:p>
            <w:pPr>
              <w:spacing w:after="0"/>
              <w:rPr>
                <w:sz w:val="12"/>
                <w:szCs w:val="12"/>
                <w:color w:val="auto"/>
              </w:rPr>
            </w:pPr>
          </w:p>
        </w:tc>
        <w:tc>
          <w:tcPr>
            <w:tcW w:w="820" w:type="dxa"/>
            <w:vAlign w:val="bottom"/>
          </w:tcPr>
          <w:p>
            <w:pPr>
              <w:jc w:val="right"/>
              <w:ind w:right="112"/>
              <w:spacing w:after="0" w:line="149" w:lineRule="exact"/>
              <w:rPr>
                <w:sz w:val="20"/>
                <w:szCs w:val="20"/>
                <w:color w:val="auto"/>
              </w:rPr>
            </w:pPr>
            <w:r>
              <w:rPr>
                <w:rFonts w:ascii="Arial" w:cs="Arial" w:eastAsia="Arial" w:hAnsi="Arial"/>
                <w:sz w:val="14"/>
                <w:szCs w:val="14"/>
                <w:color w:val="auto"/>
              </w:rPr>
              <w:t>426</w:t>
            </w:r>
          </w:p>
        </w:tc>
        <w:tc>
          <w:tcPr>
            <w:tcW w:w="240" w:type="dxa"/>
            <w:vAlign w:val="bottom"/>
          </w:tcPr>
          <w:p>
            <w:pPr>
              <w:spacing w:after="0"/>
              <w:rPr>
                <w:sz w:val="12"/>
                <w:szCs w:val="12"/>
                <w:color w:val="auto"/>
              </w:rPr>
            </w:pPr>
          </w:p>
        </w:tc>
        <w:tc>
          <w:tcPr>
            <w:tcW w:w="900" w:type="dxa"/>
            <w:vAlign w:val="bottom"/>
          </w:tcPr>
          <w:p>
            <w:pPr>
              <w:jc w:val="right"/>
              <w:ind w:right="92"/>
              <w:spacing w:after="0" w:line="149" w:lineRule="exact"/>
              <w:rPr>
                <w:sz w:val="20"/>
                <w:szCs w:val="20"/>
                <w:color w:val="auto"/>
              </w:rPr>
            </w:pPr>
            <w:r>
              <w:rPr>
                <w:rFonts w:ascii="Arial" w:cs="Arial" w:eastAsia="Arial" w:hAnsi="Arial"/>
                <w:sz w:val="14"/>
                <w:szCs w:val="14"/>
                <w:color w:val="auto"/>
              </w:rPr>
              <w:t>—</w:t>
            </w:r>
          </w:p>
        </w:tc>
        <w:tc>
          <w:tcPr>
            <w:tcW w:w="200" w:type="dxa"/>
            <w:vAlign w:val="bottom"/>
          </w:tcPr>
          <w:p>
            <w:pPr>
              <w:spacing w:after="0"/>
              <w:rPr>
                <w:sz w:val="12"/>
                <w:szCs w:val="12"/>
                <w:color w:val="auto"/>
              </w:rPr>
            </w:pPr>
          </w:p>
        </w:tc>
        <w:tc>
          <w:tcPr>
            <w:tcW w:w="780" w:type="dxa"/>
            <w:vAlign w:val="bottom"/>
          </w:tcPr>
          <w:p>
            <w:pPr>
              <w:jc w:val="right"/>
              <w:spacing w:after="0" w:line="149" w:lineRule="exact"/>
              <w:rPr>
                <w:sz w:val="20"/>
                <w:szCs w:val="20"/>
                <w:color w:val="auto"/>
              </w:rPr>
            </w:pPr>
            <w:r>
              <w:rPr>
                <w:rFonts w:ascii="Arial" w:cs="Arial" w:eastAsia="Arial" w:hAnsi="Arial"/>
                <w:sz w:val="14"/>
                <w:szCs w:val="14"/>
                <w:b w:val="1"/>
                <w:bCs w:val="1"/>
                <w:color w:val="auto"/>
              </w:rPr>
              <w:t>635</w:t>
            </w:r>
          </w:p>
        </w:tc>
        <w:tc>
          <w:tcPr>
            <w:tcW w:w="0" w:type="dxa"/>
            <w:vAlign w:val="bottom"/>
          </w:tcPr>
          <w:p>
            <w:pPr>
              <w:spacing w:after="0"/>
              <w:rPr>
                <w:sz w:val="1"/>
                <w:szCs w:val="1"/>
                <w:color w:val="auto"/>
              </w:rPr>
            </w:pPr>
          </w:p>
        </w:tc>
      </w:tr>
      <w:tr>
        <w:trPr>
          <w:trHeight w:val="165"/>
        </w:trPr>
        <w:tc>
          <w:tcPr>
            <w:tcW w:w="3820" w:type="dxa"/>
            <w:vAlign w:val="bottom"/>
            <w:gridSpan w:val="2"/>
          </w:tcPr>
          <w:p>
            <w:pPr>
              <w:spacing w:after="0"/>
              <w:rPr>
                <w:sz w:val="20"/>
                <w:szCs w:val="20"/>
                <w:color w:val="auto"/>
              </w:rPr>
            </w:pPr>
            <w:r>
              <w:rPr>
                <w:rFonts w:ascii="Arial" w:cs="Arial" w:eastAsia="Arial" w:hAnsi="Arial"/>
                <w:sz w:val="14"/>
                <w:szCs w:val="14"/>
                <w:color w:val="auto"/>
              </w:rPr>
              <w:t>Other noncurrent assets of discontinued operations, net</w:t>
            </w:r>
          </w:p>
        </w:tc>
        <w:tc>
          <w:tcPr>
            <w:tcW w:w="280" w:type="dxa"/>
            <w:vAlign w:val="bottom"/>
          </w:tcPr>
          <w:p>
            <w:pPr>
              <w:spacing w:after="0"/>
              <w:rPr>
                <w:sz w:val="14"/>
                <w:szCs w:val="14"/>
                <w:color w:val="auto"/>
              </w:rPr>
            </w:pPr>
          </w:p>
        </w:tc>
        <w:tc>
          <w:tcPr>
            <w:tcW w:w="600" w:type="dxa"/>
            <w:vAlign w:val="bottom"/>
          </w:tcPr>
          <w:p>
            <w:pPr>
              <w:jc w:val="right"/>
              <w:ind w:right="92"/>
              <w:spacing w:after="0"/>
              <w:rPr>
                <w:sz w:val="20"/>
                <w:szCs w:val="20"/>
                <w:color w:val="auto"/>
              </w:rPr>
            </w:pPr>
            <w:r>
              <w:rPr>
                <w:rFonts w:ascii="Arial" w:cs="Arial" w:eastAsia="Arial" w:hAnsi="Arial"/>
                <w:sz w:val="14"/>
                <w:szCs w:val="14"/>
                <w:color w:val="auto"/>
              </w:rPr>
              <w:t>—</w:t>
            </w:r>
          </w:p>
        </w:tc>
        <w:tc>
          <w:tcPr>
            <w:tcW w:w="260" w:type="dxa"/>
            <w:vAlign w:val="bottom"/>
          </w:tcPr>
          <w:p>
            <w:pPr>
              <w:spacing w:after="0"/>
              <w:rPr>
                <w:sz w:val="14"/>
                <w:szCs w:val="14"/>
                <w:color w:val="auto"/>
              </w:rPr>
            </w:pPr>
          </w:p>
        </w:tc>
        <w:tc>
          <w:tcPr>
            <w:tcW w:w="560" w:type="dxa"/>
            <w:vAlign w:val="bottom"/>
          </w:tcPr>
          <w:p>
            <w:pPr>
              <w:jc w:val="right"/>
              <w:ind w:right="92"/>
              <w:spacing w:after="0"/>
              <w:rPr>
                <w:sz w:val="20"/>
                <w:szCs w:val="20"/>
                <w:color w:val="auto"/>
              </w:rPr>
            </w:pPr>
            <w:r>
              <w:rPr>
                <w:rFonts w:ascii="Arial" w:cs="Arial" w:eastAsia="Arial" w:hAnsi="Arial"/>
                <w:sz w:val="14"/>
                <w:szCs w:val="14"/>
                <w:color w:val="auto"/>
              </w:rPr>
              <w:t>—</w:t>
            </w:r>
          </w:p>
        </w:tc>
        <w:tc>
          <w:tcPr>
            <w:tcW w:w="260" w:type="dxa"/>
            <w:vAlign w:val="bottom"/>
          </w:tcPr>
          <w:p>
            <w:pPr>
              <w:spacing w:after="0"/>
              <w:rPr>
                <w:sz w:val="14"/>
                <w:szCs w:val="14"/>
                <w:color w:val="auto"/>
              </w:rPr>
            </w:pPr>
          </w:p>
        </w:tc>
        <w:tc>
          <w:tcPr>
            <w:tcW w:w="600" w:type="dxa"/>
            <w:vAlign w:val="bottom"/>
          </w:tcPr>
          <w:p>
            <w:pPr>
              <w:jc w:val="right"/>
              <w:ind w:right="112"/>
              <w:spacing w:after="0"/>
              <w:rPr>
                <w:sz w:val="20"/>
                <w:szCs w:val="20"/>
                <w:color w:val="auto"/>
              </w:rPr>
            </w:pPr>
            <w:r>
              <w:rPr>
                <w:rFonts w:ascii="Arial" w:cs="Arial" w:eastAsia="Arial" w:hAnsi="Arial"/>
                <w:sz w:val="14"/>
                <w:szCs w:val="14"/>
                <w:color w:val="auto"/>
              </w:rPr>
              <w:t>—</w:t>
            </w:r>
          </w:p>
        </w:tc>
        <w:tc>
          <w:tcPr>
            <w:tcW w:w="260" w:type="dxa"/>
            <w:vAlign w:val="bottom"/>
          </w:tcPr>
          <w:p>
            <w:pPr>
              <w:spacing w:after="0"/>
              <w:rPr>
                <w:sz w:val="14"/>
                <w:szCs w:val="14"/>
                <w:color w:val="auto"/>
              </w:rPr>
            </w:pPr>
          </w:p>
        </w:tc>
        <w:tc>
          <w:tcPr>
            <w:tcW w:w="700" w:type="dxa"/>
            <w:vAlign w:val="bottom"/>
          </w:tcPr>
          <w:p>
            <w:pPr>
              <w:jc w:val="right"/>
              <w:ind w:right="112"/>
              <w:spacing w:after="0"/>
              <w:rPr>
                <w:sz w:val="20"/>
                <w:szCs w:val="20"/>
                <w:color w:val="auto"/>
              </w:rPr>
            </w:pPr>
            <w:r>
              <w:rPr>
                <w:rFonts w:ascii="Arial" w:cs="Arial" w:eastAsia="Arial" w:hAnsi="Arial"/>
                <w:sz w:val="14"/>
                <w:szCs w:val="14"/>
                <w:color w:val="auto"/>
              </w:rPr>
              <w:t>—</w:t>
            </w:r>
          </w:p>
        </w:tc>
        <w:tc>
          <w:tcPr>
            <w:tcW w:w="260" w:type="dxa"/>
            <w:vAlign w:val="bottom"/>
          </w:tcPr>
          <w:p>
            <w:pPr>
              <w:spacing w:after="0"/>
              <w:rPr>
                <w:sz w:val="14"/>
                <w:szCs w:val="14"/>
                <w:color w:val="auto"/>
              </w:rPr>
            </w:pPr>
          </w:p>
        </w:tc>
        <w:tc>
          <w:tcPr>
            <w:tcW w:w="620" w:type="dxa"/>
            <w:vAlign w:val="bottom"/>
          </w:tcPr>
          <w:p>
            <w:pPr>
              <w:jc w:val="right"/>
              <w:ind w:right="112"/>
              <w:spacing w:after="0"/>
              <w:rPr>
                <w:sz w:val="20"/>
                <w:szCs w:val="20"/>
                <w:color w:val="auto"/>
              </w:rPr>
            </w:pPr>
            <w:r>
              <w:rPr>
                <w:rFonts w:ascii="Arial" w:cs="Arial" w:eastAsia="Arial" w:hAnsi="Arial"/>
                <w:sz w:val="14"/>
                <w:szCs w:val="14"/>
                <w:color w:val="auto"/>
              </w:rPr>
              <w:t>—</w:t>
            </w:r>
          </w:p>
        </w:tc>
        <w:tc>
          <w:tcPr>
            <w:tcW w:w="260" w:type="dxa"/>
            <w:vAlign w:val="bottom"/>
          </w:tcPr>
          <w:p>
            <w:pPr>
              <w:spacing w:after="0"/>
              <w:rPr>
                <w:sz w:val="14"/>
                <w:szCs w:val="14"/>
                <w:color w:val="auto"/>
              </w:rPr>
            </w:pPr>
          </w:p>
        </w:tc>
        <w:tc>
          <w:tcPr>
            <w:tcW w:w="820" w:type="dxa"/>
            <w:vAlign w:val="bottom"/>
          </w:tcPr>
          <w:p>
            <w:pPr>
              <w:jc w:val="right"/>
              <w:ind w:right="112"/>
              <w:spacing w:after="0"/>
              <w:rPr>
                <w:sz w:val="20"/>
                <w:szCs w:val="20"/>
                <w:color w:val="auto"/>
              </w:rPr>
            </w:pPr>
            <w:r>
              <w:rPr>
                <w:rFonts w:ascii="Arial" w:cs="Arial" w:eastAsia="Arial" w:hAnsi="Arial"/>
                <w:sz w:val="14"/>
                <w:szCs w:val="14"/>
                <w:color w:val="auto"/>
              </w:rPr>
              <w:t>4,118</w:t>
            </w:r>
          </w:p>
        </w:tc>
        <w:tc>
          <w:tcPr>
            <w:tcW w:w="240" w:type="dxa"/>
            <w:vAlign w:val="bottom"/>
          </w:tcPr>
          <w:p>
            <w:pPr>
              <w:spacing w:after="0"/>
              <w:rPr>
                <w:sz w:val="14"/>
                <w:szCs w:val="14"/>
                <w:color w:val="auto"/>
              </w:rPr>
            </w:pPr>
          </w:p>
        </w:tc>
        <w:tc>
          <w:tcPr>
            <w:tcW w:w="900" w:type="dxa"/>
            <w:vAlign w:val="bottom"/>
          </w:tcPr>
          <w:p>
            <w:pPr>
              <w:jc w:val="right"/>
              <w:ind w:right="92"/>
              <w:spacing w:after="0"/>
              <w:rPr>
                <w:sz w:val="20"/>
                <w:szCs w:val="20"/>
                <w:color w:val="auto"/>
              </w:rPr>
            </w:pPr>
            <w:r>
              <w:rPr>
                <w:rFonts w:ascii="Arial" w:cs="Arial" w:eastAsia="Arial" w:hAnsi="Arial"/>
                <w:sz w:val="14"/>
                <w:szCs w:val="14"/>
                <w:color w:val="auto"/>
              </w:rPr>
              <w:t>—</w:t>
            </w:r>
          </w:p>
        </w:tc>
        <w:tc>
          <w:tcPr>
            <w:tcW w:w="200" w:type="dxa"/>
            <w:vAlign w:val="bottom"/>
          </w:tcPr>
          <w:p>
            <w:pPr>
              <w:spacing w:after="0"/>
              <w:rPr>
                <w:sz w:val="14"/>
                <w:szCs w:val="14"/>
                <w:color w:val="auto"/>
              </w:rPr>
            </w:pPr>
          </w:p>
        </w:tc>
        <w:tc>
          <w:tcPr>
            <w:tcW w:w="780" w:type="dxa"/>
            <w:vAlign w:val="bottom"/>
          </w:tcPr>
          <w:p>
            <w:pPr>
              <w:jc w:val="right"/>
              <w:spacing w:after="0"/>
              <w:rPr>
                <w:sz w:val="20"/>
                <w:szCs w:val="20"/>
                <w:color w:val="auto"/>
              </w:rPr>
            </w:pPr>
            <w:r>
              <w:rPr>
                <w:rFonts w:ascii="Arial" w:cs="Arial" w:eastAsia="Arial" w:hAnsi="Arial"/>
                <w:sz w:val="14"/>
                <w:szCs w:val="14"/>
                <w:b w:val="1"/>
                <w:bCs w:val="1"/>
                <w:color w:val="auto"/>
              </w:rPr>
              <w:t>4,118</w:t>
            </w: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3800" w:type="dxa"/>
            <w:vAlign w:val="bottom"/>
            <w:tcBorders>
              <w:top w:val="single" w:sz="8" w:color="auto"/>
              <w:bottom w:val="single" w:sz="8" w:color="35BF85"/>
            </w:tcBorders>
          </w:tcPr>
          <w:p>
            <w:pPr>
              <w:ind w:left="420"/>
              <w:spacing w:after="0" w:line="142" w:lineRule="exact"/>
              <w:rPr>
                <w:sz w:val="20"/>
                <w:szCs w:val="20"/>
                <w:color w:val="auto"/>
              </w:rPr>
            </w:pPr>
            <w:r>
              <w:rPr>
                <w:rFonts w:ascii="Arial" w:cs="Arial" w:eastAsia="Arial" w:hAnsi="Arial"/>
                <w:sz w:val="14"/>
                <w:szCs w:val="14"/>
                <w:color w:val="auto"/>
              </w:rPr>
              <w:t>Total assets</w:t>
            </w:r>
          </w:p>
        </w:tc>
        <w:tc>
          <w:tcPr>
            <w:tcW w:w="280" w:type="dxa"/>
            <w:vAlign w:val="bottom"/>
            <w:tcBorders>
              <w:top w:val="single" w:sz="8" w:color="auto"/>
              <w:bottom w:val="single" w:sz="8" w:color="35BF85"/>
            </w:tcBorders>
          </w:tcPr>
          <w:p>
            <w:pPr>
              <w:ind w:left="180"/>
              <w:spacing w:after="0" w:line="142" w:lineRule="exact"/>
              <w:rPr>
                <w:sz w:val="20"/>
                <w:szCs w:val="20"/>
                <w:color w:val="auto"/>
              </w:rPr>
            </w:pPr>
            <w:r>
              <w:rPr>
                <w:rFonts w:ascii="Arial" w:cs="Arial" w:eastAsia="Arial" w:hAnsi="Arial"/>
                <w:sz w:val="14"/>
                <w:szCs w:val="14"/>
                <w:color w:val="auto"/>
              </w:rPr>
              <w:t>$</w:t>
            </w:r>
          </w:p>
        </w:tc>
        <w:tc>
          <w:tcPr>
            <w:tcW w:w="600" w:type="dxa"/>
            <w:vAlign w:val="bottom"/>
            <w:tcBorders>
              <w:top w:val="single" w:sz="8" w:color="auto"/>
              <w:bottom w:val="single" w:sz="8" w:color="35BF85"/>
            </w:tcBorders>
          </w:tcPr>
          <w:p>
            <w:pPr>
              <w:jc w:val="right"/>
              <w:ind w:right="92"/>
              <w:spacing w:after="0" w:line="142" w:lineRule="exact"/>
              <w:rPr>
                <w:sz w:val="20"/>
                <w:szCs w:val="20"/>
                <w:color w:val="auto"/>
              </w:rPr>
            </w:pPr>
            <w:r>
              <w:rPr>
                <w:rFonts w:ascii="Arial" w:cs="Arial" w:eastAsia="Arial" w:hAnsi="Arial"/>
                <w:sz w:val="14"/>
                <w:szCs w:val="14"/>
                <w:color w:val="auto"/>
                <w:w w:val="97"/>
              </w:rPr>
              <w:t>53,252</w:t>
            </w:r>
          </w:p>
        </w:tc>
        <w:tc>
          <w:tcPr>
            <w:tcW w:w="260" w:type="dxa"/>
            <w:vAlign w:val="bottom"/>
            <w:tcBorders>
              <w:top w:val="single" w:sz="8" w:color="auto"/>
              <w:bottom w:val="single" w:sz="8" w:color="35BF85"/>
            </w:tcBorders>
          </w:tcPr>
          <w:p>
            <w:pPr>
              <w:jc w:val="right"/>
              <w:spacing w:after="0" w:line="142" w:lineRule="exact"/>
              <w:rPr>
                <w:sz w:val="20"/>
                <w:szCs w:val="20"/>
                <w:color w:val="auto"/>
              </w:rPr>
            </w:pPr>
            <w:r>
              <w:rPr>
                <w:rFonts w:ascii="Arial" w:cs="Arial" w:eastAsia="Arial" w:hAnsi="Arial"/>
                <w:sz w:val="14"/>
                <w:szCs w:val="14"/>
                <w:color w:val="auto"/>
              </w:rPr>
              <w:t>$</w:t>
            </w:r>
          </w:p>
        </w:tc>
        <w:tc>
          <w:tcPr>
            <w:tcW w:w="560" w:type="dxa"/>
            <w:vAlign w:val="bottom"/>
            <w:tcBorders>
              <w:top w:val="single" w:sz="8" w:color="auto"/>
              <w:bottom w:val="single" w:sz="8" w:color="35BF85"/>
            </w:tcBorders>
          </w:tcPr>
          <w:p>
            <w:pPr>
              <w:jc w:val="right"/>
              <w:ind w:right="92"/>
              <w:spacing w:after="0" w:line="142" w:lineRule="exact"/>
              <w:rPr>
                <w:sz w:val="20"/>
                <w:szCs w:val="20"/>
                <w:color w:val="auto"/>
              </w:rPr>
            </w:pPr>
            <w:r>
              <w:rPr>
                <w:rFonts w:ascii="Arial" w:cs="Arial" w:eastAsia="Arial" w:hAnsi="Arial"/>
                <w:sz w:val="14"/>
                <w:szCs w:val="14"/>
                <w:color w:val="auto"/>
                <w:w w:val="88"/>
              </w:rPr>
              <w:t>29,583</w:t>
            </w:r>
          </w:p>
        </w:tc>
        <w:tc>
          <w:tcPr>
            <w:tcW w:w="260" w:type="dxa"/>
            <w:vAlign w:val="bottom"/>
            <w:tcBorders>
              <w:top w:val="single" w:sz="8" w:color="auto"/>
              <w:bottom w:val="single" w:sz="8" w:color="35BF85"/>
            </w:tcBorders>
          </w:tcPr>
          <w:p>
            <w:pPr>
              <w:jc w:val="center"/>
              <w:ind w:left="112"/>
              <w:spacing w:after="0" w:line="142" w:lineRule="exact"/>
              <w:rPr>
                <w:sz w:val="20"/>
                <w:szCs w:val="20"/>
                <w:color w:val="auto"/>
              </w:rPr>
            </w:pPr>
            <w:r>
              <w:rPr>
                <w:rFonts w:ascii="Arial" w:cs="Arial" w:eastAsia="Arial" w:hAnsi="Arial"/>
                <w:sz w:val="14"/>
                <w:szCs w:val="14"/>
                <w:color w:val="auto"/>
              </w:rPr>
              <w:t>$</w:t>
            </w:r>
          </w:p>
        </w:tc>
        <w:tc>
          <w:tcPr>
            <w:tcW w:w="600" w:type="dxa"/>
            <w:vAlign w:val="bottom"/>
            <w:tcBorders>
              <w:top w:val="single" w:sz="8" w:color="auto"/>
              <w:bottom w:val="single" w:sz="8" w:color="35BF85"/>
            </w:tcBorders>
          </w:tcPr>
          <w:p>
            <w:pPr>
              <w:jc w:val="right"/>
              <w:ind w:right="112"/>
              <w:spacing w:after="0" w:line="142" w:lineRule="exact"/>
              <w:rPr>
                <w:sz w:val="20"/>
                <w:szCs w:val="20"/>
                <w:color w:val="auto"/>
              </w:rPr>
            </w:pPr>
            <w:r>
              <w:rPr>
                <w:rFonts w:ascii="Arial" w:cs="Arial" w:eastAsia="Arial" w:hAnsi="Arial"/>
                <w:sz w:val="14"/>
                <w:szCs w:val="14"/>
                <w:color w:val="auto"/>
                <w:w w:val="93"/>
              </w:rPr>
              <w:t>36,067</w:t>
            </w:r>
          </w:p>
        </w:tc>
        <w:tc>
          <w:tcPr>
            <w:tcW w:w="260" w:type="dxa"/>
            <w:vAlign w:val="bottom"/>
            <w:tcBorders>
              <w:top w:val="single" w:sz="8" w:color="auto"/>
              <w:bottom w:val="single" w:sz="8" w:color="35BF85"/>
            </w:tcBorders>
          </w:tcPr>
          <w:p>
            <w:pPr>
              <w:ind w:left="160"/>
              <w:spacing w:after="0" w:line="142" w:lineRule="exact"/>
              <w:rPr>
                <w:sz w:val="20"/>
                <w:szCs w:val="20"/>
                <w:color w:val="auto"/>
              </w:rPr>
            </w:pPr>
            <w:r>
              <w:rPr>
                <w:rFonts w:ascii="Arial" w:cs="Arial" w:eastAsia="Arial" w:hAnsi="Arial"/>
                <w:sz w:val="14"/>
                <w:szCs w:val="14"/>
                <w:color w:val="auto"/>
              </w:rPr>
              <w:t>$</w:t>
            </w:r>
          </w:p>
        </w:tc>
        <w:tc>
          <w:tcPr>
            <w:tcW w:w="700" w:type="dxa"/>
            <w:vAlign w:val="bottom"/>
            <w:tcBorders>
              <w:top w:val="single" w:sz="8" w:color="auto"/>
              <w:bottom w:val="single" w:sz="8" w:color="35BF85"/>
            </w:tcBorders>
          </w:tcPr>
          <w:p>
            <w:pPr>
              <w:jc w:val="right"/>
              <w:ind w:right="112"/>
              <w:spacing w:after="0" w:line="142" w:lineRule="exact"/>
              <w:rPr>
                <w:sz w:val="20"/>
                <w:szCs w:val="20"/>
                <w:color w:val="auto"/>
              </w:rPr>
            </w:pPr>
            <w:r>
              <w:rPr>
                <w:rFonts w:ascii="Arial" w:cs="Arial" w:eastAsia="Arial" w:hAnsi="Arial"/>
                <w:sz w:val="14"/>
                <w:szCs w:val="14"/>
                <w:color w:val="auto"/>
              </w:rPr>
              <w:t>40,482</w:t>
            </w:r>
          </w:p>
        </w:tc>
        <w:tc>
          <w:tcPr>
            <w:tcW w:w="260" w:type="dxa"/>
            <w:vAlign w:val="bottom"/>
            <w:tcBorders>
              <w:top w:val="single" w:sz="8" w:color="auto"/>
              <w:bottom w:val="single" w:sz="8" w:color="35BF85"/>
            </w:tcBorders>
          </w:tcPr>
          <w:p>
            <w:pPr>
              <w:ind w:left="160"/>
              <w:spacing w:after="0" w:line="142" w:lineRule="exact"/>
              <w:rPr>
                <w:sz w:val="20"/>
                <w:szCs w:val="20"/>
                <w:color w:val="auto"/>
              </w:rPr>
            </w:pPr>
            <w:r>
              <w:rPr>
                <w:rFonts w:ascii="Arial" w:cs="Arial" w:eastAsia="Arial" w:hAnsi="Arial"/>
                <w:sz w:val="14"/>
                <w:szCs w:val="14"/>
                <w:color w:val="auto"/>
              </w:rPr>
              <w:t>$</w:t>
            </w:r>
          </w:p>
        </w:tc>
        <w:tc>
          <w:tcPr>
            <w:tcW w:w="620" w:type="dxa"/>
            <w:vAlign w:val="bottom"/>
            <w:tcBorders>
              <w:top w:val="single" w:sz="8" w:color="auto"/>
              <w:bottom w:val="single" w:sz="8" w:color="35BF85"/>
            </w:tcBorders>
          </w:tcPr>
          <w:p>
            <w:pPr>
              <w:jc w:val="right"/>
              <w:ind w:right="112"/>
              <w:spacing w:after="0" w:line="142" w:lineRule="exact"/>
              <w:rPr>
                <w:sz w:val="20"/>
                <w:szCs w:val="20"/>
                <w:color w:val="auto"/>
              </w:rPr>
            </w:pPr>
            <w:r>
              <w:rPr>
                <w:rFonts w:ascii="Arial" w:cs="Arial" w:eastAsia="Arial" w:hAnsi="Arial"/>
                <w:sz w:val="14"/>
                <w:szCs w:val="14"/>
                <w:color w:val="auto"/>
                <w:w w:val="97"/>
              </w:rPr>
              <w:t>22,792</w:t>
            </w:r>
          </w:p>
        </w:tc>
        <w:tc>
          <w:tcPr>
            <w:tcW w:w="260" w:type="dxa"/>
            <w:vAlign w:val="bottom"/>
            <w:tcBorders>
              <w:top w:val="single" w:sz="8" w:color="auto"/>
              <w:bottom w:val="single" w:sz="8" w:color="35BF85"/>
            </w:tcBorders>
          </w:tcPr>
          <w:p>
            <w:pPr>
              <w:ind w:left="160"/>
              <w:spacing w:after="0" w:line="142" w:lineRule="exact"/>
              <w:rPr>
                <w:sz w:val="20"/>
                <w:szCs w:val="20"/>
                <w:color w:val="auto"/>
              </w:rPr>
            </w:pPr>
            <w:r>
              <w:rPr>
                <w:rFonts w:ascii="Arial" w:cs="Arial" w:eastAsia="Arial" w:hAnsi="Arial"/>
                <w:sz w:val="14"/>
                <w:szCs w:val="14"/>
                <w:color w:val="auto"/>
              </w:rPr>
              <w:t>$</w:t>
            </w:r>
          </w:p>
        </w:tc>
        <w:tc>
          <w:tcPr>
            <w:tcW w:w="820" w:type="dxa"/>
            <w:vAlign w:val="bottom"/>
            <w:tcBorders>
              <w:top w:val="single" w:sz="8" w:color="auto"/>
              <w:bottom w:val="single" w:sz="8" w:color="35BF85"/>
            </w:tcBorders>
          </w:tcPr>
          <w:p>
            <w:pPr>
              <w:jc w:val="right"/>
              <w:ind w:right="112"/>
              <w:spacing w:after="0" w:line="142" w:lineRule="exact"/>
              <w:rPr>
                <w:sz w:val="20"/>
                <w:szCs w:val="20"/>
                <w:color w:val="auto"/>
              </w:rPr>
            </w:pPr>
            <w:r>
              <w:rPr>
                <w:rFonts w:ascii="Arial" w:cs="Arial" w:eastAsia="Arial" w:hAnsi="Arial"/>
                <w:sz w:val="14"/>
                <w:szCs w:val="14"/>
                <w:color w:val="auto"/>
              </w:rPr>
              <w:t>104,110</w:t>
            </w:r>
          </w:p>
        </w:tc>
        <w:tc>
          <w:tcPr>
            <w:tcW w:w="240" w:type="dxa"/>
            <w:vAlign w:val="bottom"/>
            <w:tcBorders>
              <w:top w:val="single" w:sz="8" w:color="auto"/>
              <w:bottom w:val="single" w:sz="8" w:color="35BF85"/>
            </w:tcBorders>
          </w:tcPr>
          <w:p>
            <w:pPr>
              <w:ind w:left="160"/>
              <w:spacing w:after="0" w:line="142" w:lineRule="exact"/>
              <w:rPr>
                <w:sz w:val="20"/>
                <w:szCs w:val="20"/>
                <w:color w:val="auto"/>
              </w:rPr>
            </w:pPr>
            <w:r>
              <w:rPr>
                <w:rFonts w:ascii="Arial" w:cs="Arial" w:eastAsia="Arial" w:hAnsi="Arial"/>
                <w:sz w:val="14"/>
                <w:szCs w:val="14"/>
                <w:color w:val="auto"/>
                <w:w w:val="76"/>
              </w:rPr>
              <w:t>$</w:t>
            </w:r>
          </w:p>
        </w:tc>
        <w:tc>
          <w:tcPr>
            <w:tcW w:w="900" w:type="dxa"/>
            <w:vAlign w:val="bottom"/>
            <w:tcBorders>
              <w:top w:val="single" w:sz="8" w:color="auto"/>
              <w:bottom w:val="single" w:sz="8" w:color="35BF85"/>
            </w:tcBorders>
          </w:tcPr>
          <w:p>
            <w:pPr>
              <w:jc w:val="right"/>
              <w:ind w:right="32"/>
              <w:spacing w:after="0" w:line="142" w:lineRule="exact"/>
              <w:rPr>
                <w:sz w:val="20"/>
                <w:szCs w:val="20"/>
                <w:color w:val="auto"/>
              </w:rPr>
            </w:pPr>
            <w:r>
              <w:rPr>
                <w:rFonts w:ascii="Arial" w:cs="Arial" w:eastAsia="Arial" w:hAnsi="Arial"/>
                <w:sz w:val="14"/>
                <w:szCs w:val="14"/>
                <w:color w:val="auto"/>
              </w:rPr>
              <w:t>(182,886)</w:t>
            </w:r>
          </w:p>
        </w:tc>
        <w:tc>
          <w:tcPr>
            <w:tcW w:w="200" w:type="dxa"/>
            <w:vAlign w:val="bottom"/>
            <w:tcBorders>
              <w:top w:val="single" w:sz="8" w:color="auto"/>
              <w:bottom w:val="single" w:sz="8" w:color="35BF85"/>
            </w:tcBorders>
          </w:tcPr>
          <w:p>
            <w:pPr>
              <w:ind w:left="120"/>
              <w:spacing w:after="0" w:line="142" w:lineRule="exact"/>
              <w:rPr>
                <w:sz w:val="20"/>
                <w:szCs w:val="20"/>
                <w:color w:val="auto"/>
              </w:rPr>
            </w:pPr>
            <w:r>
              <w:rPr>
                <w:rFonts w:ascii="Arial" w:cs="Arial" w:eastAsia="Arial" w:hAnsi="Arial"/>
                <w:sz w:val="14"/>
                <w:szCs w:val="14"/>
                <w:b w:val="1"/>
                <w:bCs w:val="1"/>
                <w:color w:val="auto"/>
                <w:w w:val="76"/>
              </w:rPr>
              <w:t>$</w:t>
            </w:r>
          </w:p>
        </w:tc>
        <w:tc>
          <w:tcPr>
            <w:tcW w:w="780" w:type="dxa"/>
            <w:vAlign w:val="bottom"/>
            <w:tcBorders>
              <w:top w:val="single" w:sz="8" w:color="auto"/>
              <w:bottom w:val="single" w:sz="8" w:color="35BF85"/>
            </w:tcBorders>
          </w:tcPr>
          <w:p>
            <w:pPr>
              <w:jc w:val="right"/>
              <w:spacing w:after="0" w:line="142" w:lineRule="exact"/>
              <w:rPr>
                <w:sz w:val="20"/>
                <w:szCs w:val="20"/>
                <w:color w:val="auto"/>
              </w:rPr>
            </w:pPr>
            <w:r>
              <w:rPr>
                <w:rFonts w:ascii="Arial" w:cs="Arial" w:eastAsia="Arial" w:hAnsi="Arial"/>
                <w:sz w:val="14"/>
                <w:szCs w:val="14"/>
                <w:b w:val="1"/>
                <w:bCs w:val="1"/>
                <w:color w:val="auto"/>
              </w:rPr>
              <w:t>103,400</w:t>
            </w:r>
          </w:p>
        </w:tc>
        <w:tc>
          <w:tcPr>
            <w:tcW w:w="0" w:type="dxa"/>
            <w:vAlign w:val="bottom"/>
          </w:tcPr>
          <w:p>
            <w:pPr>
              <w:spacing w:after="0"/>
              <w:rPr>
                <w:sz w:val="1"/>
                <w:szCs w:val="1"/>
                <w:color w:val="auto"/>
              </w:rPr>
            </w:pPr>
          </w:p>
        </w:tc>
      </w:tr>
      <w:tr>
        <w:trPr>
          <w:trHeight w:val="141"/>
        </w:trPr>
        <w:tc>
          <w:tcPr>
            <w:tcW w:w="20" w:type="dxa"/>
            <w:vAlign w:val="bottom"/>
          </w:tcPr>
          <w:p>
            <w:pPr>
              <w:spacing w:after="0"/>
              <w:rPr>
                <w:sz w:val="12"/>
                <w:szCs w:val="12"/>
                <w:color w:val="auto"/>
              </w:rPr>
            </w:pPr>
          </w:p>
        </w:tc>
        <w:tc>
          <w:tcPr>
            <w:tcW w:w="3800" w:type="dxa"/>
            <w:vAlign w:val="bottom"/>
          </w:tcPr>
          <w:p>
            <w:pPr>
              <w:spacing w:after="0" w:line="141" w:lineRule="exact"/>
              <w:rPr>
                <w:sz w:val="20"/>
                <w:szCs w:val="20"/>
                <w:color w:val="auto"/>
              </w:rPr>
            </w:pPr>
            <w:r>
              <w:rPr>
                <w:rFonts w:ascii="Arial" w:cs="Arial" w:eastAsia="Arial" w:hAnsi="Arial"/>
                <w:sz w:val="14"/>
                <w:szCs w:val="14"/>
                <w:b w:val="1"/>
                <w:bCs w:val="1"/>
                <w:color w:val="auto"/>
              </w:rPr>
              <w:t>Liabilities and Stockholders’ Equity</w:t>
            </w:r>
          </w:p>
        </w:tc>
        <w:tc>
          <w:tcPr>
            <w:tcW w:w="28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90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800" w:type="dxa"/>
            <w:vAlign w:val="bottom"/>
          </w:tcPr>
          <w:p>
            <w:pPr>
              <w:ind w:left="200"/>
              <w:spacing w:after="0" w:line="149" w:lineRule="exact"/>
              <w:rPr>
                <w:sz w:val="20"/>
                <w:szCs w:val="20"/>
                <w:color w:val="auto"/>
              </w:rPr>
            </w:pPr>
            <w:r>
              <w:rPr>
                <w:rFonts w:ascii="Arial" w:cs="Arial" w:eastAsia="Arial" w:hAnsi="Arial"/>
                <w:sz w:val="14"/>
                <w:szCs w:val="14"/>
                <w:color w:val="auto"/>
              </w:rPr>
              <w:t>Accounts payable and accrued expenses related to trade</w:t>
            </w:r>
          </w:p>
        </w:tc>
        <w:tc>
          <w:tcPr>
            <w:tcW w:w="28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900" w:type="dxa"/>
            <w:vAlign w:val="bottom"/>
          </w:tcPr>
          <w:p>
            <w:pPr>
              <w:spacing w:after="0"/>
              <w:rPr>
                <w:sz w:val="12"/>
                <w:szCs w:val="12"/>
                <w:color w:val="auto"/>
              </w:rPr>
            </w:pPr>
          </w:p>
        </w:tc>
        <w:tc>
          <w:tcPr>
            <w:tcW w:w="200" w:type="dxa"/>
            <w:vAlign w:val="bottom"/>
            <w:vMerge w:val="restart"/>
          </w:tcPr>
          <w:p>
            <w:pPr>
              <w:ind w:left="120"/>
              <w:spacing w:after="0"/>
              <w:rPr>
                <w:sz w:val="20"/>
                <w:szCs w:val="20"/>
                <w:color w:val="auto"/>
              </w:rPr>
            </w:pPr>
            <w:r>
              <w:rPr>
                <w:rFonts w:ascii="Arial" w:cs="Arial" w:eastAsia="Arial" w:hAnsi="Arial"/>
                <w:sz w:val="14"/>
                <w:szCs w:val="14"/>
                <w:b w:val="1"/>
                <w:bCs w:val="1"/>
                <w:color w:val="auto"/>
                <w:w w:val="76"/>
              </w:rPr>
              <w:t>$</w:t>
            </w:r>
          </w:p>
        </w:tc>
        <w:tc>
          <w:tcPr>
            <w:tcW w:w="780" w:type="dxa"/>
            <w:vAlign w:val="bottom"/>
            <w:vMerge w:val="restart"/>
          </w:tcPr>
          <w:p>
            <w:pPr>
              <w:jc w:val="right"/>
              <w:spacing w:after="0"/>
              <w:rPr>
                <w:sz w:val="20"/>
                <w:szCs w:val="20"/>
                <w:color w:val="auto"/>
              </w:rPr>
            </w:pPr>
            <w:r>
              <w:rPr>
                <w:rFonts w:ascii="Arial" w:cs="Arial" w:eastAsia="Arial" w:hAnsi="Arial"/>
                <w:sz w:val="14"/>
                <w:szCs w:val="14"/>
                <w:b w:val="1"/>
                <w:bCs w:val="1"/>
                <w:color w:val="auto"/>
              </w:rPr>
              <w:t>2,239</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3800" w:type="dxa"/>
            <w:vAlign w:val="bottom"/>
          </w:tcPr>
          <w:p>
            <w:pPr>
              <w:ind w:left="420"/>
              <w:spacing w:after="0" w:line="133" w:lineRule="exact"/>
              <w:rPr>
                <w:sz w:val="20"/>
                <w:szCs w:val="20"/>
                <w:color w:val="auto"/>
              </w:rPr>
            </w:pPr>
            <w:r>
              <w:rPr>
                <w:rFonts w:ascii="Arial" w:cs="Arial" w:eastAsia="Arial" w:hAnsi="Arial"/>
                <w:sz w:val="14"/>
                <w:szCs w:val="14"/>
                <w:color w:val="auto"/>
              </w:rPr>
              <w:t>creditors</w:t>
            </w:r>
          </w:p>
        </w:tc>
        <w:tc>
          <w:tcPr>
            <w:tcW w:w="280" w:type="dxa"/>
            <w:vAlign w:val="bottom"/>
          </w:tcPr>
          <w:p>
            <w:pPr>
              <w:ind w:left="180"/>
              <w:spacing w:after="0" w:line="133" w:lineRule="exact"/>
              <w:rPr>
                <w:sz w:val="20"/>
                <w:szCs w:val="20"/>
                <w:color w:val="auto"/>
              </w:rPr>
            </w:pPr>
            <w:r>
              <w:rPr>
                <w:rFonts w:ascii="Arial" w:cs="Arial" w:eastAsia="Arial" w:hAnsi="Arial"/>
                <w:sz w:val="14"/>
                <w:szCs w:val="14"/>
                <w:color w:val="auto"/>
              </w:rPr>
              <w:t>$</w:t>
            </w:r>
          </w:p>
        </w:tc>
        <w:tc>
          <w:tcPr>
            <w:tcW w:w="600" w:type="dxa"/>
            <w:vAlign w:val="bottom"/>
          </w:tcPr>
          <w:p>
            <w:pPr>
              <w:jc w:val="right"/>
              <w:ind w:right="92"/>
              <w:spacing w:after="0" w:line="133" w:lineRule="exact"/>
              <w:rPr>
                <w:sz w:val="20"/>
                <w:szCs w:val="20"/>
                <w:color w:val="auto"/>
              </w:rPr>
            </w:pPr>
            <w:r>
              <w:rPr>
                <w:rFonts w:ascii="Arial" w:cs="Arial" w:eastAsia="Arial" w:hAnsi="Arial"/>
                <w:sz w:val="14"/>
                <w:szCs w:val="14"/>
                <w:color w:val="auto"/>
              </w:rPr>
              <w:t>—</w:t>
            </w:r>
          </w:p>
        </w:tc>
        <w:tc>
          <w:tcPr>
            <w:tcW w:w="260" w:type="dxa"/>
            <w:vAlign w:val="bottom"/>
          </w:tcPr>
          <w:p>
            <w:pPr>
              <w:jc w:val="right"/>
              <w:spacing w:after="0" w:line="133" w:lineRule="exact"/>
              <w:rPr>
                <w:sz w:val="20"/>
                <w:szCs w:val="20"/>
                <w:color w:val="auto"/>
              </w:rPr>
            </w:pPr>
            <w:r>
              <w:rPr>
                <w:rFonts w:ascii="Arial" w:cs="Arial" w:eastAsia="Arial" w:hAnsi="Arial"/>
                <w:sz w:val="14"/>
                <w:szCs w:val="14"/>
                <w:color w:val="auto"/>
              </w:rPr>
              <w:t>$</w:t>
            </w:r>
          </w:p>
        </w:tc>
        <w:tc>
          <w:tcPr>
            <w:tcW w:w="560" w:type="dxa"/>
            <w:vAlign w:val="bottom"/>
          </w:tcPr>
          <w:p>
            <w:pPr>
              <w:jc w:val="right"/>
              <w:ind w:right="92"/>
              <w:spacing w:after="0" w:line="133" w:lineRule="exact"/>
              <w:rPr>
                <w:sz w:val="20"/>
                <w:szCs w:val="20"/>
                <w:color w:val="auto"/>
              </w:rPr>
            </w:pPr>
            <w:r>
              <w:rPr>
                <w:rFonts w:ascii="Arial" w:cs="Arial" w:eastAsia="Arial" w:hAnsi="Arial"/>
                <w:sz w:val="14"/>
                <w:szCs w:val="14"/>
                <w:color w:val="auto"/>
              </w:rPr>
              <w:t>—</w:t>
            </w:r>
          </w:p>
        </w:tc>
        <w:tc>
          <w:tcPr>
            <w:tcW w:w="260" w:type="dxa"/>
            <w:vAlign w:val="bottom"/>
          </w:tcPr>
          <w:p>
            <w:pPr>
              <w:jc w:val="center"/>
              <w:ind w:left="112"/>
              <w:spacing w:after="0" w:line="133" w:lineRule="exact"/>
              <w:rPr>
                <w:sz w:val="20"/>
                <w:szCs w:val="20"/>
                <w:color w:val="auto"/>
              </w:rPr>
            </w:pPr>
            <w:r>
              <w:rPr>
                <w:rFonts w:ascii="Arial" w:cs="Arial" w:eastAsia="Arial" w:hAnsi="Arial"/>
                <w:sz w:val="14"/>
                <w:szCs w:val="14"/>
                <w:color w:val="auto"/>
              </w:rPr>
              <w:t>$</w:t>
            </w:r>
          </w:p>
        </w:tc>
        <w:tc>
          <w:tcPr>
            <w:tcW w:w="600" w:type="dxa"/>
            <w:vAlign w:val="bottom"/>
          </w:tcPr>
          <w:p>
            <w:pPr>
              <w:jc w:val="right"/>
              <w:ind w:right="112"/>
              <w:spacing w:after="0" w:line="133" w:lineRule="exact"/>
              <w:rPr>
                <w:sz w:val="20"/>
                <w:szCs w:val="20"/>
                <w:color w:val="auto"/>
              </w:rPr>
            </w:pPr>
            <w:r>
              <w:rPr>
                <w:rFonts w:ascii="Arial" w:cs="Arial" w:eastAsia="Arial" w:hAnsi="Arial"/>
                <w:sz w:val="14"/>
                <w:szCs w:val="14"/>
                <w:color w:val="auto"/>
              </w:rPr>
              <w:t>—</w:t>
            </w:r>
          </w:p>
        </w:tc>
        <w:tc>
          <w:tcPr>
            <w:tcW w:w="260" w:type="dxa"/>
            <w:vAlign w:val="bottom"/>
          </w:tcPr>
          <w:p>
            <w:pPr>
              <w:ind w:left="160"/>
              <w:spacing w:after="0" w:line="133" w:lineRule="exact"/>
              <w:rPr>
                <w:sz w:val="20"/>
                <w:szCs w:val="20"/>
                <w:color w:val="auto"/>
              </w:rPr>
            </w:pPr>
            <w:r>
              <w:rPr>
                <w:rFonts w:ascii="Arial" w:cs="Arial" w:eastAsia="Arial" w:hAnsi="Arial"/>
                <w:sz w:val="14"/>
                <w:szCs w:val="14"/>
                <w:color w:val="auto"/>
              </w:rPr>
              <w:t>$</w:t>
            </w:r>
          </w:p>
        </w:tc>
        <w:tc>
          <w:tcPr>
            <w:tcW w:w="700" w:type="dxa"/>
            <w:vAlign w:val="bottom"/>
          </w:tcPr>
          <w:p>
            <w:pPr>
              <w:jc w:val="right"/>
              <w:ind w:right="112"/>
              <w:spacing w:after="0" w:line="133" w:lineRule="exact"/>
              <w:rPr>
                <w:sz w:val="20"/>
                <w:szCs w:val="20"/>
                <w:color w:val="auto"/>
              </w:rPr>
            </w:pPr>
            <w:r>
              <w:rPr>
                <w:rFonts w:ascii="Arial" w:cs="Arial" w:eastAsia="Arial" w:hAnsi="Arial"/>
                <w:sz w:val="14"/>
                <w:szCs w:val="14"/>
                <w:color w:val="auto"/>
              </w:rPr>
              <w:t>—</w:t>
            </w:r>
          </w:p>
        </w:tc>
        <w:tc>
          <w:tcPr>
            <w:tcW w:w="260" w:type="dxa"/>
            <w:vAlign w:val="bottom"/>
          </w:tcPr>
          <w:p>
            <w:pPr>
              <w:ind w:left="160"/>
              <w:spacing w:after="0" w:line="133" w:lineRule="exact"/>
              <w:rPr>
                <w:sz w:val="20"/>
                <w:szCs w:val="20"/>
                <w:color w:val="auto"/>
              </w:rPr>
            </w:pPr>
            <w:r>
              <w:rPr>
                <w:rFonts w:ascii="Arial" w:cs="Arial" w:eastAsia="Arial" w:hAnsi="Arial"/>
                <w:sz w:val="14"/>
                <w:szCs w:val="14"/>
                <w:color w:val="auto"/>
              </w:rPr>
              <w:t>$</w:t>
            </w:r>
          </w:p>
        </w:tc>
        <w:tc>
          <w:tcPr>
            <w:tcW w:w="620" w:type="dxa"/>
            <w:vAlign w:val="bottom"/>
          </w:tcPr>
          <w:p>
            <w:pPr>
              <w:jc w:val="right"/>
              <w:ind w:right="112"/>
              <w:spacing w:after="0" w:line="133" w:lineRule="exact"/>
              <w:rPr>
                <w:sz w:val="20"/>
                <w:szCs w:val="20"/>
                <w:color w:val="auto"/>
              </w:rPr>
            </w:pPr>
            <w:r>
              <w:rPr>
                <w:rFonts w:ascii="Arial" w:cs="Arial" w:eastAsia="Arial" w:hAnsi="Arial"/>
                <w:sz w:val="14"/>
                <w:szCs w:val="14"/>
                <w:color w:val="auto"/>
              </w:rPr>
              <w:t>—</w:t>
            </w:r>
          </w:p>
        </w:tc>
        <w:tc>
          <w:tcPr>
            <w:tcW w:w="260" w:type="dxa"/>
            <w:vAlign w:val="bottom"/>
          </w:tcPr>
          <w:p>
            <w:pPr>
              <w:ind w:left="160"/>
              <w:spacing w:after="0" w:line="133" w:lineRule="exact"/>
              <w:rPr>
                <w:sz w:val="20"/>
                <w:szCs w:val="20"/>
                <w:color w:val="auto"/>
              </w:rPr>
            </w:pPr>
            <w:r>
              <w:rPr>
                <w:rFonts w:ascii="Arial" w:cs="Arial" w:eastAsia="Arial" w:hAnsi="Arial"/>
                <w:sz w:val="14"/>
                <w:szCs w:val="14"/>
                <w:color w:val="auto"/>
              </w:rPr>
              <w:t>$</w:t>
            </w:r>
          </w:p>
        </w:tc>
        <w:tc>
          <w:tcPr>
            <w:tcW w:w="820" w:type="dxa"/>
            <w:vAlign w:val="bottom"/>
          </w:tcPr>
          <w:p>
            <w:pPr>
              <w:jc w:val="right"/>
              <w:ind w:right="112"/>
              <w:spacing w:after="0" w:line="133" w:lineRule="exact"/>
              <w:rPr>
                <w:sz w:val="20"/>
                <w:szCs w:val="20"/>
                <w:color w:val="auto"/>
              </w:rPr>
            </w:pPr>
            <w:r>
              <w:rPr>
                <w:rFonts w:ascii="Arial" w:cs="Arial" w:eastAsia="Arial" w:hAnsi="Arial"/>
                <w:sz w:val="14"/>
                <w:szCs w:val="14"/>
                <w:color w:val="auto"/>
              </w:rPr>
              <w:t>2,239</w:t>
            </w:r>
          </w:p>
        </w:tc>
        <w:tc>
          <w:tcPr>
            <w:tcW w:w="240" w:type="dxa"/>
            <w:vAlign w:val="bottom"/>
          </w:tcPr>
          <w:p>
            <w:pPr>
              <w:ind w:left="160"/>
              <w:spacing w:after="0" w:line="133" w:lineRule="exact"/>
              <w:rPr>
                <w:sz w:val="20"/>
                <w:szCs w:val="20"/>
                <w:color w:val="auto"/>
              </w:rPr>
            </w:pPr>
            <w:r>
              <w:rPr>
                <w:rFonts w:ascii="Arial" w:cs="Arial" w:eastAsia="Arial" w:hAnsi="Arial"/>
                <w:sz w:val="14"/>
                <w:szCs w:val="14"/>
                <w:color w:val="auto"/>
                <w:w w:val="76"/>
              </w:rPr>
              <w:t>$</w:t>
            </w:r>
          </w:p>
        </w:tc>
        <w:tc>
          <w:tcPr>
            <w:tcW w:w="900" w:type="dxa"/>
            <w:vAlign w:val="bottom"/>
          </w:tcPr>
          <w:p>
            <w:pPr>
              <w:jc w:val="right"/>
              <w:ind w:right="92"/>
              <w:spacing w:after="0" w:line="133" w:lineRule="exact"/>
              <w:rPr>
                <w:sz w:val="20"/>
                <w:szCs w:val="20"/>
                <w:color w:val="auto"/>
              </w:rPr>
            </w:pPr>
            <w:r>
              <w:rPr>
                <w:rFonts w:ascii="Arial" w:cs="Arial" w:eastAsia="Arial" w:hAnsi="Arial"/>
                <w:sz w:val="14"/>
                <w:szCs w:val="14"/>
                <w:color w:val="auto"/>
              </w:rPr>
              <w:t>—</w:t>
            </w:r>
          </w:p>
        </w:tc>
        <w:tc>
          <w:tcPr>
            <w:tcW w:w="200" w:type="dxa"/>
            <w:vAlign w:val="bottom"/>
            <w:vMerge w:val="continue"/>
          </w:tcPr>
          <w:p>
            <w:pPr>
              <w:spacing w:after="0"/>
              <w:rPr>
                <w:sz w:val="11"/>
                <w:szCs w:val="11"/>
                <w:color w:val="auto"/>
              </w:rPr>
            </w:pPr>
          </w:p>
        </w:tc>
        <w:tc>
          <w:tcPr>
            <w:tcW w:w="780" w:type="dxa"/>
            <w:vAlign w:val="bottom"/>
            <w:vMerge w:val="continue"/>
          </w:tcPr>
          <w:p>
            <w:pPr>
              <w:spacing w:after="0"/>
              <w:rPr>
                <w:sz w:val="11"/>
                <w:szCs w:val="11"/>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800" w:type="dxa"/>
            <w:vAlign w:val="bottom"/>
          </w:tcPr>
          <w:p>
            <w:pPr>
              <w:ind w:left="200"/>
              <w:spacing w:after="0" w:line="149" w:lineRule="exact"/>
              <w:rPr>
                <w:sz w:val="20"/>
                <w:szCs w:val="20"/>
                <w:color w:val="auto"/>
              </w:rPr>
            </w:pPr>
            <w:r>
              <w:rPr>
                <w:rFonts w:ascii="Arial" w:cs="Arial" w:eastAsia="Arial" w:hAnsi="Arial"/>
                <w:sz w:val="14"/>
                <w:szCs w:val="14"/>
                <w:color w:val="auto"/>
              </w:rPr>
              <w:t>Accrued expenses and other current liabilities</w:t>
            </w:r>
          </w:p>
        </w:tc>
        <w:tc>
          <w:tcPr>
            <w:tcW w:w="280" w:type="dxa"/>
            <w:vAlign w:val="bottom"/>
          </w:tcPr>
          <w:p>
            <w:pPr>
              <w:spacing w:after="0"/>
              <w:rPr>
                <w:sz w:val="12"/>
                <w:szCs w:val="12"/>
                <w:color w:val="auto"/>
              </w:rPr>
            </w:pPr>
          </w:p>
        </w:tc>
        <w:tc>
          <w:tcPr>
            <w:tcW w:w="600" w:type="dxa"/>
            <w:vAlign w:val="bottom"/>
          </w:tcPr>
          <w:p>
            <w:pPr>
              <w:jc w:val="right"/>
              <w:ind w:right="92"/>
              <w:spacing w:after="0" w:line="149" w:lineRule="exact"/>
              <w:rPr>
                <w:sz w:val="20"/>
                <w:szCs w:val="20"/>
                <w:color w:val="auto"/>
              </w:rPr>
            </w:pPr>
            <w:r>
              <w:rPr>
                <w:rFonts w:ascii="Arial" w:cs="Arial" w:eastAsia="Arial" w:hAnsi="Arial"/>
                <w:sz w:val="14"/>
                <w:szCs w:val="14"/>
                <w:color w:val="auto"/>
              </w:rPr>
              <w:t>447</w:t>
            </w:r>
          </w:p>
        </w:tc>
        <w:tc>
          <w:tcPr>
            <w:tcW w:w="260" w:type="dxa"/>
            <w:vAlign w:val="bottom"/>
          </w:tcPr>
          <w:p>
            <w:pPr>
              <w:spacing w:after="0"/>
              <w:rPr>
                <w:sz w:val="12"/>
                <w:szCs w:val="12"/>
                <w:color w:val="auto"/>
              </w:rPr>
            </w:pPr>
          </w:p>
        </w:tc>
        <w:tc>
          <w:tcPr>
            <w:tcW w:w="560" w:type="dxa"/>
            <w:vAlign w:val="bottom"/>
          </w:tcPr>
          <w:p>
            <w:pPr>
              <w:jc w:val="right"/>
              <w:ind w:right="92"/>
              <w:spacing w:after="0" w:line="149" w:lineRule="exact"/>
              <w:rPr>
                <w:sz w:val="20"/>
                <w:szCs w:val="20"/>
                <w:color w:val="auto"/>
              </w:rPr>
            </w:pPr>
            <w:r>
              <w:rPr>
                <w:rFonts w:ascii="Arial" w:cs="Arial" w:eastAsia="Arial" w:hAnsi="Arial"/>
                <w:sz w:val="14"/>
                <w:szCs w:val="14"/>
                <w:color w:val="auto"/>
              </w:rPr>
              <w:t>224</w:t>
            </w:r>
          </w:p>
        </w:tc>
        <w:tc>
          <w:tcPr>
            <w:tcW w:w="260" w:type="dxa"/>
            <w:vAlign w:val="bottom"/>
          </w:tcPr>
          <w:p>
            <w:pPr>
              <w:spacing w:after="0"/>
              <w:rPr>
                <w:sz w:val="12"/>
                <w:szCs w:val="12"/>
                <w:color w:val="auto"/>
              </w:rPr>
            </w:pPr>
          </w:p>
        </w:tc>
        <w:tc>
          <w:tcPr>
            <w:tcW w:w="600" w:type="dxa"/>
            <w:vAlign w:val="bottom"/>
          </w:tcPr>
          <w:p>
            <w:pPr>
              <w:jc w:val="right"/>
              <w:ind w:right="112"/>
              <w:spacing w:after="0" w:line="149" w:lineRule="exact"/>
              <w:rPr>
                <w:sz w:val="20"/>
                <w:szCs w:val="20"/>
                <w:color w:val="auto"/>
              </w:rPr>
            </w:pPr>
            <w:r>
              <w:rPr>
                <w:rFonts w:ascii="Arial" w:cs="Arial" w:eastAsia="Arial" w:hAnsi="Arial"/>
                <w:sz w:val="14"/>
                <w:szCs w:val="14"/>
                <w:color w:val="auto"/>
              </w:rPr>
              <w:t>113</w:t>
            </w:r>
          </w:p>
        </w:tc>
        <w:tc>
          <w:tcPr>
            <w:tcW w:w="260" w:type="dxa"/>
            <w:vAlign w:val="bottom"/>
          </w:tcPr>
          <w:p>
            <w:pPr>
              <w:spacing w:after="0"/>
              <w:rPr>
                <w:sz w:val="12"/>
                <w:szCs w:val="12"/>
                <w:color w:val="auto"/>
              </w:rPr>
            </w:pPr>
          </w:p>
        </w:tc>
        <w:tc>
          <w:tcPr>
            <w:tcW w:w="700" w:type="dxa"/>
            <w:vAlign w:val="bottom"/>
          </w:tcPr>
          <w:p>
            <w:pPr>
              <w:jc w:val="right"/>
              <w:ind w:right="112"/>
              <w:spacing w:after="0" w:line="149" w:lineRule="exact"/>
              <w:rPr>
                <w:sz w:val="20"/>
                <w:szCs w:val="20"/>
                <w:color w:val="auto"/>
              </w:rPr>
            </w:pPr>
            <w:r>
              <w:rPr>
                <w:rFonts w:ascii="Arial" w:cs="Arial" w:eastAsia="Arial" w:hAnsi="Arial"/>
                <w:sz w:val="14"/>
                <w:szCs w:val="14"/>
                <w:color w:val="auto"/>
              </w:rPr>
              <w:t>127</w:t>
            </w:r>
          </w:p>
        </w:tc>
        <w:tc>
          <w:tcPr>
            <w:tcW w:w="260" w:type="dxa"/>
            <w:vAlign w:val="bottom"/>
          </w:tcPr>
          <w:p>
            <w:pPr>
              <w:spacing w:after="0"/>
              <w:rPr>
                <w:sz w:val="12"/>
                <w:szCs w:val="12"/>
                <w:color w:val="auto"/>
              </w:rPr>
            </w:pPr>
          </w:p>
        </w:tc>
        <w:tc>
          <w:tcPr>
            <w:tcW w:w="620" w:type="dxa"/>
            <w:vAlign w:val="bottom"/>
          </w:tcPr>
          <w:p>
            <w:pPr>
              <w:jc w:val="right"/>
              <w:ind w:right="112"/>
              <w:spacing w:after="0" w:line="149" w:lineRule="exact"/>
              <w:rPr>
                <w:sz w:val="20"/>
                <w:szCs w:val="20"/>
                <w:color w:val="auto"/>
              </w:rPr>
            </w:pPr>
            <w:r>
              <w:rPr>
                <w:rFonts w:ascii="Arial" w:cs="Arial" w:eastAsia="Arial" w:hAnsi="Arial"/>
                <w:sz w:val="14"/>
                <w:szCs w:val="14"/>
                <w:color w:val="auto"/>
              </w:rPr>
              <w:t>89</w:t>
            </w:r>
          </w:p>
        </w:tc>
        <w:tc>
          <w:tcPr>
            <w:tcW w:w="260" w:type="dxa"/>
            <w:vAlign w:val="bottom"/>
          </w:tcPr>
          <w:p>
            <w:pPr>
              <w:spacing w:after="0"/>
              <w:rPr>
                <w:sz w:val="12"/>
                <w:szCs w:val="12"/>
                <w:color w:val="auto"/>
              </w:rPr>
            </w:pPr>
          </w:p>
        </w:tc>
        <w:tc>
          <w:tcPr>
            <w:tcW w:w="820" w:type="dxa"/>
            <w:vAlign w:val="bottom"/>
          </w:tcPr>
          <w:p>
            <w:pPr>
              <w:jc w:val="right"/>
              <w:ind w:right="112"/>
              <w:spacing w:after="0" w:line="149" w:lineRule="exact"/>
              <w:rPr>
                <w:sz w:val="20"/>
                <w:szCs w:val="20"/>
                <w:color w:val="auto"/>
              </w:rPr>
            </w:pPr>
            <w:r>
              <w:rPr>
                <w:rFonts w:ascii="Arial" w:cs="Arial" w:eastAsia="Arial" w:hAnsi="Arial"/>
                <w:sz w:val="14"/>
                <w:szCs w:val="14"/>
                <w:color w:val="auto"/>
              </w:rPr>
              <w:t>1,482</w:t>
            </w:r>
          </w:p>
        </w:tc>
        <w:tc>
          <w:tcPr>
            <w:tcW w:w="240" w:type="dxa"/>
            <w:vAlign w:val="bottom"/>
          </w:tcPr>
          <w:p>
            <w:pPr>
              <w:spacing w:after="0"/>
              <w:rPr>
                <w:sz w:val="12"/>
                <w:szCs w:val="12"/>
                <w:color w:val="auto"/>
              </w:rPr>
            </w:pPr>
          </w:p>
        </w:tc>
        <w:tc>
          <w:tcPr>
            <w:tcW w:w="900" w:type="dxa"/>
            <w:vAlign w:val="bottom"/>
          </w:tcPr>
          <w:p>
            <w:pPr>
              <w:jc w:val="right"/>
              <w:ind w:right="92"/>
              <w:spacing w:after="0" w:line="149" w:lineRule="exact"/>
              <w:rPr>
                <w:sz w:val="20"/>
                <w:szCs w:val="20"/>
                <w:color w:val="auto"/>
              </w:rPr>
            </w:pPr>
            <w:r>
              <w:rPr>
                <w:rFonts w:ascii="Arial" w:cs="Arial" w:eastAsia="Arial" w:hAnsi="Arial"/>
                <w:sz w:val="14"/>
                <w:szCs w:val="14"/>
                <w:color w:val="auto"/>
              </w:rPr>
              <w:t>—</w:t>
            </w:r>
          </w:p>
        </w:tc>
        <w:tc>
          <w:tcPr>
            <w:tcW w:w="200" w:type="dxa"/>
            <w:vAlign w:val="bottom"/>
          </w:tcPr>
          <w:p>
            <w:pPr>
              <w:spacing w:after="0"/>
              <w:rPr>
                <w:sz w:val="12"/>
                <w:szCs w:val="12"/>
                <w:color w:val="auto"/>
              </w:rPr>
            </w:pPr>
          </w:p>
        </w:tc>
        <w:tc>
          <w:tcPr>
            <w:tcW w:w="780" w:type="dxa"/>
            <w:vAlign w:val="bottom"/>
          </w:tcPr>
          <w:p>
            <w:pPr>
              <w:jc w:val="right"/>
              <w:spacing w:after="0" w:line="149" w:lineRule="exact"/>
              <w:rPr>
                <w:sz w:val="20"/>
                <w:szCs w:val="20"/>
                <w:color w:val="auto"/>
              </w:rPr>
            </w:pPr>
            <w:r>
              <w:rPr>
                <w:rFonts w:ascii="Arial" w:cs="Arial" w:eastAsia="Arial" w:hAnsi="Arial"/>
                <w:sz w:val="14"/>
                <w:szCs w:val="14"/>
                <w:b w:val="1"/>
                <w:bCs w:val="1"/>
                <w:color w:val="auto"/>
              </w:rPr>
              <w:t>2,482</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800" w:type="dxa"/>
            <w:vAlign w:val="bottom"/>
          </w:tcPr>
          <w:p>
            <w:pPr>
              <w:ind w:left="200"/>
              <w:spacing w:after="0" w:line="149" w:lineRule="exact"/>
              <w:rPr>
                <w:sz w:val="20"/>
                <w:szCs w:val="20"/>
                <w:color w:val="auto"/>
              </w:rPr>
            </w:pPr>
            <w:r>
              <w:rPr>
                <w:rFonts w:ascii="Arial" w:cs="Arial" w:eastAsia="Arial" w:hAnsi="Arial"/>
                <w:sz w:val="14"/>
                <w:szCs w:val="14"/>
                <w:color w:val="auto"/>
              </w:rPr>
              <w:t>Deferred income taxes</w:t>
            </w:r>
          </w:p>
        </w:tc>
        <w:tc>
          <w:tcPr>
            <w:tcW w:w="280" w:type="dxa"/>
            <w:vAlign w:val="bottom"/>
          </w:tcPr>
          <w:p>
            <w:pPr>
              <w:spacing w:after="0"/>
              <w:rPr>
                <w:sz w:val="12"/>
                <w:szCs w:val="12"/>
                <w:color w:val="auto"/>
              </w:rPr>
            </w:pPr>
          </w:p>
        </w:tc>
        <w:tc>
          <w:tcPr>
            <w:tcW w:w="600" w:type="dxa"/>
            <w:vAlign w:val="bottom"/>
          </w:tcPr>
          <w:p>
            <w:pPr>
              <w:jc w:val="right"/>
              <w:ind w:right="92"/>
              <w:spacing w:after="0" w:line="149" w:lineRule="exact"/>
              <w:rPr>
                <w:sz w:val="20"/>
                <w:szCs w:val="20"/>
                <w:color w:val="auto"/>
              </w:rPr>
            </w:pPr>
            <w:r>
              <w:rPr>
                <w:rFonts w:ascii="Arial" w:cs="Arial" w:eastAsia="Arial" w:hAnsi="Arial"/>
                <w:sz w:val="14"/>
                <w:szCs w:val="14"/>
                <w:color w:val="auto"/>
              </w:rPr>
              <w:t>—</w:t>
            </w:r>
          </w:p>
        </w:tc>
        <w:tc>
          <w:tcPr>
            <w:tcW w:w="260" w:type="dxa"/>
            <w:vAlign w:val="bottom"/>
          </w:tcPr>
          <w:p>
            <w:pPr>
              <w:spacing w:after="0"/>
              <w:rPr>
                <w:sz w:val="12"/>
                <w:szCs w:val="12"/>
                <w:color w:val="auto"/>
              </w:rPr>
            </w:pPr>
          </w:p>
        </w:tc>
        <w:tc>
          <w:tcPr>
            <w:tcW w:w="560" w:type="dxa"/>
            <w:vAlign w:val="bottom"/>
          </w:tcPr>
          <w:p>
            <w:pPr>
              <w:jc w:val="right"/>
              <w:ind w:right="92"/>
              <w:spacing w:after="0" w:line="149" w:lineRule="exact"/>
              <w:rPr>
                <w:sz w:val="20"/>
                <w:szCs w:val="20"/>
                <w:color w:val="auto"/>
              </w:rPr>
            </w:pPr>
            <w:r>
              <w:rPr>
                <w:rFonts w:ascii="Arial" w:cs="Arial" w:eastAsia="Arial" w:hAnsi="Arial"/>
                <w:sz w:val="14"/>
                <w:szCs w:val="14"/>
                <w:color w:val="auto"/>
              </w:rPr>
              <w:t>—</w:t>
            </w:r>
          </w:p>
        </w:tc>
        <w:tc>
          <w:tcPr>
            <w:tcW w:w="260" w:type="dxa"/>
            <w:vAlign w:val="bottom"/>
          </w:tcPr>
          <w:p>
            <w:pPr>
              <w:spacing w:after="0"/>
              <w:rPr>
                <w:sz w:val="12"/>
                <w:szCs w:val="12"/>
                <w:color w:val="auto"/>
              </w:rPr>
            </w:pPr>
          </w:p>
        </w:tc>
        <w:tc>
          <w:tcPr>
            <w:tcW w:w="600" w:type="dxa"/>
            <w:vAlign w:val="bottom"/>
          </w:tcPr>
          <w:p>
            <w:pPr>
              <w:jc w:val="right"/>
              <w:ind w:right="112"/>
              <w:spacing w:after="0" w:line="149" w:lineRule="exact"/>
              <w:rPr>
                <w:sz w:val="20"/>
                <w:szCs w:val="20"/>
                <w:color w:val="auto"/>
              </w:rPr>
            </w:pPr>
            <w:r>
              <w:rPr>
                <w:rFonts w:ascii="Arial" w:cs="Arial" w:eastAsia="Arial" w:hAnsi="Arial"/>
                <w:sz w:val="14"/>
                <w:szCs w:val="14"/>
                <w:color w:val="auto"/>
              </w:rPr>
              <w:t>—</w:t>
            </w:r>
          </w:p>
        </w:tc>
        <w:tc>
          <w:tcPr>
            <w:tcW w:w="260" w:type="dxa"/>
            <w:vAlign w:val="bottom"/>
          </w:tcPr>
          <w:p>
            <w:pPr>
              <w:spacing w:after="0"/>
              <w:rPr>
                <w:sz w:val="12"/>
                <w:szCs w:val="12"/>
                <w:color w:val="auto"/>
              </w:rPr>
            </w:pPr>
          </w:p>
        </w:tc>
        <w:tc>
          <w:tcPr>
            <w:tcW w:w="700" w:type="dxa"/>
            <w:vAlign w:val="bottom"/>
          </w:tcPr>
          <w:p>
            <w:pPr>
              <w:jc w:val="right"/>
              <w:ind w:right="112"/>
              <w:spacing w:after="0" w:line="149" w:lineRule="exact"/>
              <w:rPr>
                <w:sz w:val="20"/>
                <w:szCs w:val="20"/>
                <w:color w:val="auto"/>
              </w:rPr>
            </w:pPr>
            <w:r>
              <w:rPr>
                <w:rFonts w:ascii="Arial" w:cs="Arial" w:eastAsia="Arial" w:hAnsi="Arial"/>
                <w:sz w:val="14"/>
                <w:szCs w:val="14"/>
                <w:color w:val="auto"/>
              </w:rPr>
              <w:t>—</w:t>
            </w:r>
          </w:p>
        </w:tc>
        <w:tc>
          <w:tcPr>
            <w:tcW w:w="260" w:type="dxa"/>
            <w:vAlign w:val="bottom"/>
          </w:tcPr>
          <w:p>
            <w:pPr>
              <w:spacing w:after="0"/>
              <w:rPr>
                <w:sz w:val="12"/>
                <w:szCs w:val="12"/>
                <w:color w:val="auto"/>
              </w:rPr>
            </w:pPr>
          </w:p>
        </w:tc>
        <w:tc>
          <w:tcPr>
            <w:tcW w:w="620" w:type="dxa"/>
            <w:vAlign w:val="bottom"/>
          </w:tcPr>
          <w:p>
            <w:pPr>
              <w:jc w:val="right"/>
              <w:ind w:right="112"/>
              <w:spacing w:after="0" w:line="149" w:lineRule="exact"/>
              <w:rPr>
                <w:sz w:val="20"/>
                <w:szCs w:val="20"/>
                <w:color w:val="auto"/>
              </w:rPr>
            </w:pPr>
            <w:r>
              <w:rPr>
                <w:rFonts w:ascii="Arial" w:cs="Arial" w:eastAsia="Arial" w:hAnsi="Arial"/>
                <w:sz w:val="14"/>
                <w:szCs w:val="14"/>
                <w:color w:val="auto"/>
              </w:rPr>
              <w:t>—</w:t>
            </w:r>
          </w:p>
        </w:tc>
        <w:tc>
          <w:tcPr>
            <w:tcW w:w="260" w:type="dxa"/>
            <w:vAlign w:val="bottom"/>
          </w:tcPr>
          <w:p>
            <w:pPr>
              <w:spacing w:after="0"/>
              <w:rPr>
                <w:sz w:val="12"/>
                <w:szCs w:val="12"/>
                <w:color w:val="auto"/>
              </w:rPr>
            </w:pPr>
          </w:p>
        </w:tc>
        <w:tc>
          <w:tcPr>
            <w:tcW w:w="820" w:type="dxa"/>
            <w:vAlign w:val="bottom"/>
          </w:tcPr>
          <w:p>
            <w:pPr>
              <w:jc w:val="right"/>
              <w:ind w:right="112"/>
              <w:spacing w:after="0" w:line="149" w:lineRule="exact"/>
              <w:rPr>
                <w:sz w:val="20"/>
                <w:szCs w:val="20"/>
                <w:color w:val="auto"/>
              </w:rPr>
            </w:pPr>
            <w:r>
              <w:rPr>
                <w:rFonts w:ascii="Arial" w:cs="Arial" w:eastAsia="Arial" w:hAnsi="Arial"/>
                <w:sz w:val="14"/>
                <w:szCs w:val="14"/>
                <w:color w:val="auto"/>
              </w:rPr>
              <w:t>2</w:t>
            </w:r>
          </w:p>
        </w:tc>
        <w:tc>
          <w:tcPr>
            <w:tcW w:w="240" w:type="dxa"/>
            <w:vAlign w:val="bottom"/>
          </w:tcPr>
          <w:p>
            <w:pPr>
              <w:spacing w:after="0"/>
              <w:rPr>
                <w:sz w:val="12"/>
                <w:szCs w:val="12"/>
                <w:color w:val="auto"/>
              </w:rPr>
            </w:pPr>
          </w:p>
        </w:tc>
        <w:tc>
          <w:tcPr>
            <w:tcW w:w="900" w:type="dxa"/>
            <w:vAlign w:val="bottom"/>
          </w:tcPr>
          <w:p>
            <w:pPr>
              <w:jc w:val="right"/>
              <w:ind w:right="92"/>
              <w:spacing w:after="0" w:line="149" w:lineRule="exact"/>
              <w:rPr>
                <w:sz w:val="20"/>
                <w:szCs w:val="20"/>
                <w:color w:val="auto"/>
              </w:rPr>
            </w:pPr>
            <w:r>
              <w:rPr>
                <w:rFonts w:ascii="Arial" w:cs="Arial" w:eastAsia="Arial" w:hAnsi="Arial"/>
                <w:sz w:val="14"/>
                <w:szCs w:val="14"/>
                <w:color w:val="auto"/>
              </w:rPr>
              <w:t>—</w:t>
            </w:r>
          </w:p>
        </w:tc>
        <w:tc>
          <w:tcPr>
            <w:tcW w:w="200" w:type="dxa"/>
            <w:vAlign w:val="bottom"/>
          </w:tcPr>
          <w:p>
            <w:pPr>
              <w:spacing w:after="0"/>
              <w:rPr>
                <w:sz w:val="12"/>
                <w:szCs w:val="12"/>
                <w:color w:val="auto"/>
              </w:rPr>
            </w:pPr>
          </w:p>
        </w:tc>
        <w:tc>
          <w:tcPr>
            <w:tcW w:w="780" w:type="dxa"/>
            <w:vAlign w:val="bottom"/>
          </w:tcPr>
          <w:p>
            <w:pPr>
              <w:jc w:val="right"/>
              <w:spacing w:after="0" w:line="149" w:lineRule="exact"/>
              <w:rPr>
                <w:sz w:val="20"/>
                <w:szCs w:val="20"/>
                <w:color w:val="auto"/>
              </w:rPr>
            </w:pPr>
            <w:r>
              <w:rPr>
                <w:rFonts w:ascii="Arial" w:cs="Arial" w:eastAsia="Arial" w:hAnsi="Arial"/>
                <w:sz w:val="14"/>
                <w:szCs w:val="14"/>
                <w:b w:val="1"/>
                <w:bCs w:val="1"/>
                <w:color w:val="auto"/>
              </w:rPr>
              <w:t>2</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800" w:type="dxa"/>
            <w:vAlign w:val="bottom"/>
          </w:tcPr>
          <w:p>
            <w:pPr>
              <w:ind w:left="200"/>
              <w:spacing w:after="0" w:line="149" w:lineRule="exact"/>
              <w:rPr>
                <w:sz w:val="20"/>
                <w:szCs w:val="20"/>
                <w:color w:val="auto"/>
              </w:rPr>
            </w:pPr>
            <w:r>
              <w:rPr>
                <w:rFonts w:ascii="Arial" w:cs="Arial" w:eastAsia="Arial" w:hAnsi="Arial"/>
                <w:sz w:val="14"/>
                <w:szCs w:val="14"/>
                <w:color w:val="auto"/>
              </w:rPr>
              <w:t>Current portion of long-term debt</w:t>
            </w:r>
          </w:p>
        </w:tc>
        <w:tc>
          <w:tcPr>
            <w:tcW w:w="280" w:type="dxa"/>
            <w:vAlign w:val="bottom"/>
          </w:tcPr>
          <w:p>
            <w:pPr>
              <w:spacing w:after="0"/>
              <w:rPr>
                <w:sz w:val="12"/>
                <w:szCs w:val="12"/>
                <w:color w:val="auto"/>
              </w:rPr>
            </w:pPr>
          </w:p>
        </w:tc>
        <w:tc>
          <w:tcPr>
            <w:tcW w:w="600" w:type="dxa"/>
            <w:vAlign w:val="bottom"/>
          </w:tcPr>
          <w:p>
            <w:pPr>
              <w:jc w:val="right"/>
              <w:ind w:right="92"/>
              <w:spacing w:after="0" w:line="149" w:lineRule="exact"/>
              <w:rPr>
                <w:sz w:val="20"/>
                <w:szCs w:val="20"/>
                <w:color w:val="auto"/>
              </w:rPr>
            </w:pPr>
            <w:r>
              <w:rPr>
                <w:rFonts w:ascii="Arial" w:cs="Arial" w:eastAsia="Arial" w:hAnsi="Arial"/>
                <w:sz w:val="14"/>
                <w:szCs w:val="14"/>
                <w:color w:val="auto"/>
              </w:rPr>
              <w:t>—</w:t>
            </w:r>
          </w:p>
        </w:tc>
        <w:tc>
          <w:tcPr>
            <w:tcW w:w="260" w:type="dxa"/>
            <w:vAlign w:val="bottom"/>
          </w:tcPr>
          <w:p>
            <w:pPr>
              <w:spacing w:after="0"/>
              <w:rPr>
                <w:sz w:val="12"/>
                <w:szCs w:val="12"/>
                <w:color w:val="auto"/>
              </w:rPr>
            </w:pPr>
          </w:p>
        </w:tc>
        <w:tc>
          <w:tcPr>
            <w:tcW w:w="560" w:type="dxa"/>
            <w:vAlign w:val="bottom"/>
          </w:tcPr>
          <w:p>
            <w:pPr>
              <w:jc w:val="right"/>
              <w:ind w:right="92"/>
              <w:spacing w:after="0" w:line="149" w:lineRule="exact"/>
              <w:rPr>
                <w:sz w:val="20"/>
                <w:szCs w:val="20"/>
                <w:color w:val="auto"/>
              </w:rPr>
            </w:pPr>
            <w:r>
              <w:rPr>
                <w:rFonts w:ascii="Arial" w:cs="Arial" w:eastAsia="Arial" w:hAnsi="Arial"/>
                <w:sz w:val="14"/>
                <w:szCs w:val="14"/>
                <w:color w:val="auto"/>
              </w:rPr>
              <w:t>620</w:t>
            </w:r>
          </w:p>
        </w:tc>
        <w:tc>
          <w:tcPr>
            <w:tcW w:w="260" w:type="dxa"/>
            <w:vAlign w:val="bottom"/>
          </w:tcPr>
          <w:p>
            <w:pPr>
              <w:spacing w:after="0"/>
              <w:rPr>
                <w:sz w:val="12"/>
                <w:szCs w:val="12"/>
                <w:color w:val="auto"/>
              </w:rPr>
            </w:pPr>
          </w:p>
        </w:tc>
        <w:tc>
          <w:tcPr>
            <w:tcW w:w="600" w:type="dxa"/>
            <w:vAlign w:val="bottom"/>
          </w:tcPr>
          <w:p>
            <w:pPr>
              <w:jc w:val="right"/>
              <w:ind w:right="112"/>
              <w:spacing w:after="0" w:line="149" w:lineRule="exact"/>
              <w:rPr>
                <w:sz w:val="20"/>
                <w:szCs w:val="20"/>
                <w:color w:val="auto"/>
              </w:rPr>
            </w:pPr>
            <w:r>
              <w:rPr>
                <w:rFonts w:ascii="Arial" w:cs="Arial" w:eastAsia="Arial" w:hAnsi="Arial"/>
                <w:sz w:val="14"/>
                <w:szCs w:val="14"/>
                <w:color w:val="auto"/>
              </w:rPr>
              <w:t>—</w:t>
            </w:r>
          </w:p>
        </w:tc>
        <w:tc>
          <w:tcPr>
            <w:tcW w:w="260" w:type="dxa"/>
            <w:vAlign w:val="bottom"/>
          </w:tcPr>
          <w:p>
            <w:pPr>
              <w:spacing w:after="0"/>
              <w:rPr>
                <w:sz w:val="12"/>
                <w:szCs w:val="12"/>
                <w:color w:val="auto"/>
              </w:rPr>
            </w:pPr>
          </w:p>
        </w:tc>
        <w:tc>
          <w:tcPr>
            <w:tcW w:w="700" w:type="dxa"/>
            <w:vAlign w:val="bottom"/>
          </w:tcPr>
          <w:p>
            <w:pPr>
              <w:jc w:val="right"/>
              <w:ind w:right="112"/>
              <w:spacing w:after="0" w:line="149" w:lineRule="exact"/>
              <w:rPr>
                <w:sz w:val="20"/>
                <w:szCs w:val="20"/>
                <w:color w:val="auto"/>
              </w:rPr>
            </w:pPr>
            <w:r>
              <w:rPr>
                <w:rFonts w:ascii="Arial" w:cs="Arial" w:eastAsia="Arial" w:hAnsi="Arial"/>
                <w:sz w:val="14"/>
                <w:szCs w:val="14"/>
                <w:color w:val="auto"/>
              </w:rPr>
              <w:t>995</w:t>
            </w:r>
          </w:p>
        </w:tc>
        <w:tc>
          <w:tcPr>
            <w:tcW w:w="260" w:type="dxa"/>
            <w:vAlign w:val="bottom"/>
          </w:tcPr>
          <w:p>
            <w:pPr>
              <w:spacing w:after="0"/>
              <w:rPr>
                <w:sz w:val="12"/>
                <w:szCs w:val="12"/>
                <w:color w:val="auto"/>
              </w:rPr>
            </w:pPr>
          </w:p>
        </w:tc>
        <w:tc>
          <w:tcPr>
            <w:tcW w:w="620" w:type="dxa"/>
            <w:vAlign w:val="bottom"/>
          </w:tcPr>
          <w:p>
            <w:pPr>
              <w:jc w:val="right"/>
              <w:ind w:right="112"/>
              <w:spacing w:after="0" w:line="149" w:lineRule="exact"/>
              <w:rPr>
                <w:sz w:val="20"/>
                <w:szCs w:val="20"/>
                <w:color w:val="auto"/>
              </w:rPr>
            </w:pPr>
            <w:r>
              <w:rPr>
                <w:rFonts w:ascii="Arial" w:cs="Arial" w:eastAsia="Arial" w:hAnsi="Arial"/>
                <w:sz w:val="14"/>
                <w:szCs w:val="14"/>
                <w:color w:val="auto"/>
              </w:rPr>
              <w:t>—</w:t>
            </w:r>
          </w:p>
        </w:tc>
        <w:tc>
          <w:tcPr>
            <w:tcW w:w="260" w:type="dxa"/>
            <w:vAlign w:val="bottom"/>
          </w:tcPr>
          <w:p>
            <w:pPr>
              <w:spacing w:after="0"/>
              <w:rPr>
                <w:sz w:val="12"/>
                <w:szCs w:val="12"/>
                <w:color w:val="auto"/>
              </w:rPr>
            </w:pPr>
          </w:p>
        </w:tc>
        <w:tc>
          <w:tcPr>
            <w:tcW w:w="820" w:type="dxa"/>
            <w:vAlign w:val="bottom"/>
          </w:tcPr>
          <w:p>
            <w:pPr>
              <w:jc w:val="right"/>
              <w:ind w:right="112"/>
              <w:spacing w:after="0" w:line="149" w:lineRule="exact"/>
              <w:rPr>
                <w:sz w:val="20"/>
                <w:szCs w:val="20"/>
                <w:color w:val="auto"/>
              </w:rPr>
            </w:pPr>
            <w:r>
              <w:rPr>
                <w:rFonts w:ascii="Arial" w:cs="Arial" w:eastAsia="Arial" w:hAnsi="Arial"/>
                <w:sz w:val="14"/>
                <w:szCs w:val="14"/>
                <w:color w:val="auto"/>
              </w:rPr>
              <w:t>74</w:t>
            </w:r>
          </w:p>
        </w:tc>
        <w:tc>
          <w:tcPr>
            <w:tcW w:w="240" w:type="dxa"/>
            <w:vAlign w:val="bottom"/>
          </w:tcPr>
          <w:p>
            <w:pPr>
              <w:spacing w:after="0"/>
              <w:rPr>
                <w:sz w:val="12"/>
                <w:szCs w:val="12"/>
                <w:color w:val="auto"/>
              </w:rPr>
            </w:pPr>
          </w:p>
        </w:tc>
        <w:tc>
          <w:tcPr>
            <w:tcW w:w="900" w:type="dxa"/>
            <w:vAlign w:val="bottom"/>
          </w:tcPr>
          <w:p>
            <w:pPr>
              <w:jc w:val="right"/>
              <w:ind w:right="92"/>
              <w:spacing w:after="0" w:line="149" w:lineRule="exact"/>
              <w:rPr>
                <w:sz w:val="20"/>
                <w:szCs w:val="20"/>
                <w:color w:val="auto"/>
              </w:rPr>
            </w:pPr>
            <w:r>
              <w:rPr>
                <w:rFonts w:ascii="Arial" w:cs="Arial" w:eastAsia="Arial" w:hAnsi="Arial"/>
                <w:sz w:val="14"/>
                <w:szCs w:val="14"/>
                <w:color w:val="auto"/>
              </w:rPr>
              <w:t>—</w:t>
            </w:r>
          </w:p>
        </w:tc>
        <w:tc>
          <w:tcPr>
            <w:tcW w:w="200" w:type="dxa"/>
            <w:vAlign w:val="bottom"/>
          </w:tcPr>
          <w:p>
            <w:pPr>
              <w:spacing w:after="0"/>
              <w:rPr>
                <w:sz w:val="12"/>
                <w:szCs w:val="12"/>
                <w:color w:val="auto"/>
              </w:rPr>
            </w:pPr>
          </w:p>
        </w:tc>
        <w:tc>
          <w:tcPr>
            <w:tcW w:w="780" w:type="dxa"/>
            <w:vAlign w:val="bottom"/>
          </w:tcPr>
          <w:p>
            <w:pPr>
              <w:jc w:val="right"/>
              <w:spacing w:after="0" w:line="149" w:lineRule="exact"/>
              <w:rPr>
                <w:sz w:val="20"/>
                <w:szCs w:val="20"/>
                <w:color w:val="auto"/>
              </w:rPr>
            </w:pPr>
            <w:r>
              <w:rPr>
                <w:rFonts w:ascii="Arial" w:cs="Arial" w:eastAsia="Arial" w:hAnsi="Arial"/>
                <w:sz w:val="14"/>
                <w:szCs w:val="14"/>
                <w:b w:val="1"/>
                <w:bCs w:val="1"/>
                <w:color w:val="auto"/>
              </w:rPr>
              <w:t>1,689</w:t>
            </w:r>
          </w:p>
        </w:tc>
        <w:tc>
          <w:tcPr>
            <w:tcW w:w="0" w:type="dxa"/>
            <w:vAlign w:val="bottom"/>
          </w:tcPr>
          <w:p>
            <w:pPr>
              <w:spacing w:after="0"/>
              <w:rPr>
                <w:sz w:val="1"/>
                <w:szCs w:val="1"/>
                <w:color w:val="auto"/>
              </w:rPr>
            </w:pPr>
          </w:p>
        </w:tc>
      </w:tr>
      <w:tr>
        <w:trPr>
          <w:trHeight w:val="165"/>
        </w:trPr>
        <w:tc>
          <w:tcPr>
            <w:tcW w:w="20" w:type="dxa"/>
            <w:vAlign w:val="bottom"/>
          </w:tcPr>
          <w:p>
            <w:pPr>
              <w:spacing w:after="0"/>
              <w:rPr>
                <w:sz w:val="14"/>
                <w:szCs w:val="14"/>
                <w:color w:val="auto"/>
              </w:rPr>
            </w:pPr>
          </w:p>
        </w:tc>
        <w:tc>
          <w:tcPr>
            <w:tcW w:w="3800" w:type="dxa"/>
            <w:vAlign w:val="bottom"/>
            <w:tcBorders>
              <w:bottom w:val="single" w:sz="8" w:color="auto"/>
            </w:tcBorders>
          </w:tcPr>
          <w:p>
            <w:pPr>
              <w:ind w:left="200"/>
              <w:spacing w:after="0"/>
              <w:rPr>
                <w:sz w:val="20"/>
                <w:szCs w:val="20"/>
                <w:color w:val="auto"/>
              </w:rPr>
            </w:pPr>
            <w:r>
              <w:rPr>
                <w:rFonts w:ascii="Arial" w:cs="Arial" w:eastAsia="Arial" w:hAnsi="Arial"/>
                <w:sz w:val="14"/>
                <w:szCs w:val="14"/>
                <w:color w:val="auto"/>
              </w:rPr>
              <w:t>Current liability of discontinued operations</w:t>
            </w:r>
          </w:p>
        </w:tc>
        <w:tc>
          <w:tcPr>
            <w:tcW w:w="280" w:type="dxa"/>
            <w:vAlign w:val="bottom"/>
            <w:tcBorders>
              <w:bottom w:val="single" w:sz="8" w:color="auto"/>
            </w:tcBorders>
          </w:tcPr>
          <w:p>
            <w:pPr>
              <w:spacing w:after="0"/>
              <w:rPr>
                <w:sz w:val="14"/>
                <w:szCs w:val="14"/>
                <w:color w:val="auto"/>
              </w:rPr>
            </w:pPr>
          </w:p>
        </w:tc>
        <w:tc>
          <w:tcPr>
            <w:tcW w:w="600" w:type="dxa"/>
            <w:vAlign w:val="bottom"/>
            <w:tcBorders>
              <w:bottom w:val="single" w:sz="8" w:color="auto"/>
            </w:tcBorders>
          </w:tcPr>
          <w:p>
            <w:pPr>
              <w:jc w:val="right"/>
              <w:ind w:right="92"/>
              <w:spacing w:after="0"/>
              <w:rPr>
                <w:sz w:val="20"/>
                <w:szCs w:val="20"/>
                <w:color w:val="auto"/>
              </w:rPr>
            </w:pPr>
            <w:r>
              <w:rPr>
                <w:rFonts w:ascii="Arial" w:cs="Arial" w:eastAsia="Arial" w:hAnsi="Arial"/>
                <w:sz w:val="14"/>
                <w:szCs w:val="14"/>
                <w:color w:val="auto"/>
              </w:rPr>
              <w:t>—</w:t>
            </w:r>
          </w:p>
        </w:tc>
        <w:tc>
          <w:tcPr>
            <w:tcW w:w="260" w:type="dxa"/>
            <w:vAlign w:val="bottom"/>
            <w:tcBorders>
              <w:bottom w:val="single" w:sz="8" w:color="auto"/>
            </w:tcBorders>
          </w:tcPr>
          <w:p>
            <w:pPr>
              <w:spacing w:after="0"/>
              <w:rPr>
                <w:sz w:val="14"/>
                <w:szCs w:val="14"/>
                <w:color w:val="auto"/>
              </w:rPr>
            </w:pPr>
          </w:p>
        </w:tc>
        <w:tc>
          <w:tcPr>
            <w:tcW w:w="560" w:type="dxa"/>
            <w:vAlign w:val="bottom"/>
            <w:tcBorders>
              <w:bottom w:val="single" w:sz="8" w:color="auto"/>
            </w:tcBorders>
          </w:tcPr>
          <w:p>
            <w:pPr>
              <w:jc w:val="right"/>
              <w:ind w:right="92"/>
              <w:spacing w:after="0"/>
              <w:rPr>
                <w:sz w:val="20"/>
                <w:szCs w:val="20"/>
                <w:color w:val="auto"/>
              </w:rPr>
            </w:pPr>
            <w:r>
              <w:rPr>
                <w:rFonts w:ascii="Arial" w:cs="Arial" w:eastAsia="Arial" w:hAnsi="Arial"/>
                <w:sz w:val="14"/>
                <w:szCs w:val="14"/>
                <w:color w:val="auto"/>
              </w:rPr>
              <w:t>—</w:t>
            </w:r>
          </w:p>
        </w:tc>
        <w:tc>
          <w:tcPr>
            <w:tcW w:w="260" w:type="dxa"/>
            <w:vAlign w:val="bottom"/>
            <w:tcBorders>
              <w:bottom w:val="single" w:sz="8" w:color="auto"/>
            </w:tcBorders>
          </w:tcPr>
          <w:p>
            <w:pPr>
              <w:spacing w:after="0"/>
              <w:rPr>
                <w:sz w:val="14"/>
                <w:szCs w:val="14"/>
                <w:color w:val="auto"/>
              </w:rPr>
            </w:pPr>
          </w:p>
        </w:tc>
        <w:tc>
          <w:tcPr>
            <w:tcW w:w="600" w:type="dxa"/>
            <w:vAlign w:val="bottom"/>
            <w:tcBorders>
              <w:bottom w:val="single" w:sz="8" w:color="auto"/>
            </w:tcBorders>
          </w:tcPr>
          <w:p>
            <w:pPr>
              <w:jc w:val="right"/>
              <w:ind w:right="112"/>
              <w:spacing w:after="0"/>
              <w:rPr>
                <w:sz w:val="20"/>
                <w:szCs w:val="20"/>
                <w:color w:val="auto"/>
              </w:rPr>
            </w:pPr>
            <w:r>
              <w:rPr>
                <w:rFonts w:ascii="Arial" w:cs="Arial" w:eastAsia="Arial" w:hAnsi="Arial"/>
                <w:sz w:val="14"/>
                <w:szCs w:val="14"/>
                <w:color w:val="auto"/>
              </w:rPr>
              <w:t>—</w:t>
            </w:r>
          </w:p>
        </w:tc>
        <w:tc>
          <w:tcPr>
            <w:tcW w:w="260" w:type="dxa"/>
            <w:vAlign w:val="bottom"/>
            <w:tcBorders>
              <w:bottom w:val="single" w:sz="8" w:color="auto"/>
            </w:tcBorders>
          </w:tcPr>
          <w:p>
            <w:pPr>
              <w:spacing w:after="0"/>
              <w:rPr>
                <w:sz w:val="14"/>
                <w:szCs w:val="14"/>
                <w:color w:val="auto"/>
              </w:rPr>
            </w:pPr>
          </w:p>
        </w:tc>
        <w:tc>
          <w:tcPr>
            <w:tcW w:w="700" w:type="dxa"/>
            <w:vAlign w:val="bottom"/>
            <w:tcBorders>
              <w:bottom w:val="single" w:sz="8" w:color="auto"/>
            </w:tcBorders>
          </w:tcPr>
          <w:p>
            <w:pPr>
              <w:jc w:val="right"/>
              <w:ind w:right="112"/>
              <w:spacing w:after="0"/>
              <w:rPr>
                <w:sz w:val="20"/>
                <w:szCs w:val="20"/>
                <w:color w:val="auto"/>
              </w:rPr>
            </w:pPr>
            <w:r>
              <w:rPr>
                <w:rFonts w:ascii="Arial" w:cs="Arial" w:eastAsia="Arial" w:hAnsi="Arial"/>
                <w:sz w:val="14"/>
                <w:szCs w:val="14"/>
                <w:color w:val="auto"/>
              </w:rPr>
              <w:t>—</w:t>
            </w:r>
          </w:p>
        </w:tc>
        <w:tc>
          <w:tcPr>
            <w:tcW w:w="260" w:type="dxa"/>
            <w:vAlign w:val="bottom"/>
            <w:tcBorders>
              <w:bottom w:val="single" w:sz="8" w:color="auto"/>
            </w:tcBorders>
          </w:tcPr>
          <w:p>
            <w:pPr>
              <w:spacing w:after="0"/>
              <w:rPr>
                <w:sz w:val="14"/>
                <w:szCs w:val="14"/>
                <w:color w:val="auto"/>
              </w:rPr>
            </w:pPr>
          </w:p>
        </w:tc>
        <w:tc>
          <w:tcPr>
            <w:tcW w:w="620" w:type="dxa"/>
            <w:vAlign w:val="bottom"/>
            <w:tcBorders>
              <w:bottom w:val="single" w:sz="8" w:color="auto"/>
            </w:tcBorders>
          </w:tcPr>
          <w:p>
            <w:pPr>
              <w:jc w:val="right"/>
              <w:ind w:right="112"/>
              <w:spacing w:after="0"/>
              <w:rPr>
                <w:sz w:val="20"/>
                <w:szCs w:val="20"/>
                <w:color w:val="auto"/>
              </w:rPr>
            </w:pPr>
            <w:r>
              <w:rPr>
                <w:rFonts w:ascii="Arial" w:cs="Arial" w:eastAsia="Arial" w:hAnsi="Arial"/>
                <w:sz w:val="14"/>
                <w:szCs w:val="14"/>
                <w:color w:val="auto"/>
              </w:rPr>
              <w:t>—</w:t>
            </w:r>
          </w:p>
        </w:tc>
        <w:tc>
          <w:tcPr>
            <w:tcW w:w="260" w:type="dxa"/>
            <w:vAlign w:val="bottom"/>
            <w:tcBorders>
              <w:bottom w:val="single" w:sz="8" w:color="auto"/>
            </w:tcBorders>
          </w:tcPr>
          <w:p>
            <w:pPr>
              <w:spacing w:after="0"/>
              <w:rPr>
                <w:sz w:val="14"/>
                <w:szCs w:val="14"/>
                <w:color w:val="auto"/>
              </w:rPr>
            </w:pPr>
          </w:p>
        </w:tc>
        <w:tc>
          <w:tcPr>
            <w:tcW w:w="820" w:type="dxa"/>
            <w:vAlign w:val="bottom"/>
            <w:tcBorders>
              <w:bottom w:val="single" w:sz="8" w:color="auto"/>
            </w:tcBorders>
          </w:tcPr>
          <w:p>
            <w:pPr>
              <w:jc w:val="right"/>
              <w:ind w:right="112"/>
              <w:spacing w:after="0"/>
              <w:rPr>
                <w:sz w:val="20"/>
                <w:szCs w:val="20"/>
                <w:color w:val="auto"/>
              </w:rPr>
            </w:pPr>
            <w:r>
              <w:rPr>
                <w:rFonts w:ascii="Arial" w:cs="Arial" w:eastAsia="Arial" w:hAnsi="Arial"/>
                <w:sz w:val="14"/>
                <w:szCs w:val="14"/>
                <w:color w:val="auto"/>
              </w:rPr>
              <w:t>112</w:t>
            </w:r>
          </w:p>
        </w:tc>
        <w:tc>
          <w:tcPr>
            <w:tcW w:w="240" w:type="dxa"/>
            <w:vAlign w:val="bottom"/>
            <w:tcBorders>
              <w:bottom w:val="single" w:sz="8" w:color="auto"/>
            </w:tcBorders>
          </w:tcPr>
          <w:p>
            <w:pPr>
              <w:spacing w:after="0"/>
              <w:rPr>
                <w:sz w:val="14"/>
                <w:szCs w:val="14"/>
                <w:color w:val="auto"/>
              </w:rPr>
            </w:pPr>
          </w:p>
        </w:tc>
        <w:tc>
          <w:tcPr>
            <w:tcW w:w="900" w:type="dxa"/>
            <w:vAlign w:val="bottom"/>
            <w:tcBorders>
              <w:bottom w:val="single" w:sz="8" w:color="auto"/>
            </w:tcBorders>
          </w:tcPr>
          <w:p>
            <w:pPr>
              <w:jc w:val="right"/>
              <w:ind w:right="92"/>
              <w:spacing w:after="0"/>
              <w:rPr>
                <w:sz w:val="20"/>
                <w:szCs w:val="20"/>
                <w:color w:val="auto"/>
              </w:rPr>
            </w:pPr>
            <w:r>
              <w:rPr>
                <w:rFonts w:ascii="Arial" w:cs="Arial" w:eastAsia="Arial" w:hAnsi="Arial"/>
                <w:sz w:val="14"/>
                <w:szCs w:val="14"/>
                <w:color w:val="auto"/>
              </w:rPr>
              <w:t>—</w:t>
            </w:r>
          </w:p>
        </w:tc>
        <w:tc>
          <w:tcPr>
            <w:tcW w:w="200" w:type="dxa"/>
            <w:vAlign w:val="bottom"/>
            <w:tcBorders>
              <w:bottom w:val="single" w:sz="8" w:color="auto"/>
            </w:tcBorders>
          </w:tcPr>
          <w:p>
            <w:pPr>
              <w:spacing w:after="0"/>
              <w:rPr>
                <w:sz w:val="14"/>
                <w:szCs w:val="14"/>
                <w:color w:val="auto"/>
              </w:rPr>
            </w:pPr>
          </w:p>
        </w:tc>
        <w:tc>
          <w:tcPr>
            <w:tcW w:w="78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112</w:t>
            </w: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3800" w:type="dxa"/>
            <w:vAlign w:val="bottom"/>
            <w:tcBorders>
              <w:bottom w:val="single" w:sz="8" w:color="auto"/>
            </w:tcBorders>
          </w:tcPr>
          <w:p>
            <w:pPr>
              <w:ind w:left="420"/>
              <w:spacing w:after="0" w:line="142" w:lineRule="exact"/>
              <w:rPr>
                <w:sz w:val="20"/>
                <w:szCs w:val="20"/>
                <w:color w:val="auto"/>
              </w:rPr>
            </w:pPr>
            <w:r>
              <w:rPr>
                <w:rFonts w:ascii="Arial" w:cs="Arial" w:eastAsia="Arial" w:hAnsi="Arial"/>
                <w:sz w:val="14"/>
                <w:szCs w:val="14"/>
                <w:color w:val="auto"/>
              </w:rPr>
              <w:t>Total current liabilities</w:t>
            </w:r>
          </w:p>
        </w:tc>
        <w:tc>
          <w:tcPr>
            <w:tcW w:w="280" w:type="dxa"/>
            <w:vAlign w:val="bottom"/>
            <w:tcBorders>
              <w:bottom w:val="single" w:sz="8" w:color="auto"/>
            </w:tcBorders>
          </w:tcPr>
          <w:p>
            <w:pPr>
              <w:spacing w:after="0"/>
              <w:rPr>
                <w:sz w:val="12"/>
                <w:szCs w:val="12"/>
                <w:color w:val="auto"/>
              </w:rPr>
            </w:pPr>
          </w:p>
        </w:tc>
        <w:tc>
          <w:tcPr>
            <w:tcW w:w="600" w:type="dxa"/>
            <w:vAlign w:val="bottom"/>
            <w:tcBorders>
              <w:bottom w:val="single" w:sz="8" w:color="auto"/>
            </w:tcBorders>
          </w:tcPr>
          <w:p>
            <w:pPr>
              <w:jc w:val="right"/>
              <w:ind w:right="92"/>
              <w:spacing w:after="0" w:line="142" w:lineRule="exact"/>
              <w:rPr>
                <w:sz w:val="20"/>
                <w:szCs w:val="20"/>
                <w:color w:val="auto"/>
              </w:rPr>
            </w:pPr>
            <w:r>
              <w:rPr>
                <w:rFonts w:ascii="Arial" w:cs="Arial" w:eastAsia="Arial" w:hAnsi="Arial"/>
                <w:sz w:val="14"/>
                <w:szCs w:val="14"/>
                <w:color w:val="auto"/>
              </w:rPr>
              <w:t>447</w:t>
            </w:r>
          </w:p>
        </w:tc>
        <w:tc>
          <w:tcPr>
            <w:tcW w:w="260" w:type="dxa"/>
            <w:vAlign w:val="bottom"/>
            <w:tcBorders>
              <w:bottom w:val="single" w:sz="8" w:color="auto"/>
            </w:tcBorders>
          </w:tcPr>
          <w:p>
            <w:pPr>
              <w:spacing w:after="0"/>
              <w:rPr>
                <w:sz w:val="12"/>
                <w:szCs w:val="12"/>
                <w:color w:val="auto"/>
              </w:rPr>
            </w:pPr>
          </w:p>
        </w:tc>
        <w:tc>
          <w:tcPr>
            <w:tcW w:w="560" w:type="dxa"/>
            <w:vAlign w:val="bottom"/>
            <w:tcBorders>
              <w:bottom w:val="single" w:sz="8" w:color="auto"/>
            </w:tcBorders>
          </w:tcPr>
          <w:p>
            <w:pPr>
              <w:jc w:val="right"/>
              <w:ind w:right="92"/>
              <w:spacing w:after="0" w:line="142" w:lineRule="exact"/>
              <w:rPr>
                <w:sz w:val="20"/>
                <w:szCs w:val="20"/>
                <w:color w:val="auto"/>
              </w:rPr>
            </w:pPr>
            <w:r>
              <w:rPr>
                <w:rFonts w:ascii="Arial" w:cs="Arial" w:eastAsia="Arial" w:hAnsi="Arial"/>
                <w:sz w:val="14"/>
                <w:szCs w:val="14"/>
                <w:color w:val="auto"/>
              </w:rPr>
              <w:t>844</w:t>
            </w:r>
          </w:p>
        </w:tc>
        <w:tc>
          <w:tcPr>
            <w:tcW w:w="260" w:type="dxa"/>
            <w:vAlign w:val="bottom"/>
            <w:tcBorders>
              <w:bottom w:val="single" w:sz="8" w:color="auto"/>
            </w:tcBorders>
          </w:tcPr>
          <w:p>
            <w:pPr>
              <w:spacing w:after="0"/>
              <w:rPr>
                <w:sz w:val="12"/>
                <w:szCs w:val="12"/>
                <w:color w:val="auto"/>
              </w:rPr>
            </w:pPr>
          </w:p>
        </w:tc>
        <w:tc>
          <w:tcPr>
            <w:tcW w:w="600" w:type="dxa"/>
            <w:vAlign w:val="bottom"/>
            <w:tcBorders>
              <w:bottom w:val="single" w:sz="8" w:color="auto"/>
            </w:tcBorders>
          </w:tcPr>
          <w:p>
            <w:pPr>
              <w:jc w:val="right"/>
              <w:ind w:right="112"/>
              <w:spacing w:after="0" w:line="142" w:lineRule="exact"/>
              <w:rPr>
                <w:sz w:val="20"/>
                <w:szCs w:val="20"/>
                <w:color w:val="auto"/>
              </w:rPr>
            </w:pPr>
            <w:r>
              <w:rPr>
                <w:rFonts w:ascii="Arial" w:cs="Arial" w:eastAsia="Arial" w:hAnsi="Arial"/>
                <w:sz w:val="14"/>
                <w:szCs w:val="14"/>
                <w:color w:val="auto"/>
              </w:rPr>
              <w:t>113</w:t>
            </w:r>
          </w:p>
        </w:tc>
        <w:tc>
          <w:tcPr>
            <w:tcW w:w="260" w:type="dxa"/>
            <w:vAlign w:val="bottom"/>
            <w:tcBorders>
              <w:bottom w:val="single" w:sz="8" w:color="auto"/>
            </w:tcBorders>
          </w:tcPr>
          <w:p>
            <w:pPr>
              <w:spacing w:after="0"/>
              <w:rPr>
                <w:sz w:val="12"/>
                <w:szCs w:val="12"/>
                <w:color w:val="auto"/>
              </w:rPr>
            </w:pPr>
          </w:p>
        </w:tc>
        <w:tc>
          <w:tcPr>
            <w:tcW w:w="700" w:type="dxa"/>
            <w:vAlign w:val="bottom"/>
            <w:tcBorders>
              <w:bottom w:val="single" w:sz="8" w:color="auto"/>
            </w:tcBorders>
          </w:tcPr>
          <w:p>
            <w:pPr>
              <w:jc w:val="right"/>
              <w:ind w:right="112"/>
              <w:spacing w:after="0" w:line="142" w:lineRule="exact"/>
              <w:rPr>
                <w:sz w:val="20"/>
                <w:szCs w:val="20"/>
                <w:color w:val="auto"/>
              </w:rPr>
            </w:pPr>
            <w:r>
              <w:rPr>
                <w:rFonts w:ascii="Arial" w:cs="Arial" w:eastAsia="Arial" w:hAnsi="Arial"/>
                <w:sz w:val="14"/>
                <w:szCs w:val="14"/>
                <w:color w:val="auto"/>
              </w:rPr>
              <w:t>1,122</w:t>
            </w:r>
          </w:p>
        </w:tc>
        <w:tc>
          <w:tcPr>
            <w:tcW w:w="260" w:type="dxa"/>
            <w:vAlign w:val="bottom"/>
            <w:tcBorders>
              <w:bottom w:val="single" w:sz="8" w:color="auto"/>
            </w:tcBorders>
          </w:tcPr>
          <w:p>
            <w:pPr>
              <w:spacing w:after="0"/>
              <w:rPr>
                <w:sz w:val="12"/>
                <w:szCs w:val="12"/>
                <w:color w:val="auto"/>
              </w:rPr>
            </w:pPr>
          </w:p>
        </w:tc>
        <w:tc>
          <w:tcPr>
            <w:tcW w:w="620" w:type="dxa"/>
            <w:vAlign w:val="bottom"/>
            <w:tcBorders>
              <w:bottom w:val="single" w:sz="8" w:color="auto"/>
            </w:tcBorders>
          </w:tcPr>
          <w:p>
            <w:pPr>
              <w:jc w:val="right"/>
              <w:ind w:right="112"/>
              <w:spacing w:after="0" w:line="142" w:lineRule="exact"/>
              <w:rPr>
                <w:sz w:val="20"/>
                <w:szCs w:val="20"/>
                <w:color w:val="auto"/>
              </w:rPr>
            </w:pPr>
            <w:r>
              <w:rPr>
                <w:rFonts w:ascii="Arial" w:cs="Arial" w:eastAsia="Arial" w:hAnsi="Arial"/>
                <w:sz w:val="14"/>
                <w:szCs w:val="14"/>
                <w:color w:val="auto"/>
              </w:rPr>
              <w:t>89</w:t>
            </w:r>
          </w:p>
        </w:tc>
        <w:tc>
          <w:tcPr>
            <w:tcW w:w="260" w:type="dxa"/>
            <w:vAlign w:val="bottom"/>
            <w:tcBorders>
              <w:bottom w:val="single" w:sz="8" w:color="auto"/>
            </w:tcBorders>
          </w:tcPr>
          <w:p>
            <w:pPr>
              <w:spacing w:after="0"/>
              <w:rPr>
                <w:sz w:val="12"/>
                <w:szCs w:val="12"/>
                <w:color w:val="auto"/>
              </w:rPr>
            </w:pPr>
          </w:p>
        </w:tc>
        <w:tc>
          <w:tcPr>
            <w:tcW w:w="820" w:type="dxa"/>
            <w:vAlign w:val="bottom"/>
            <w:tcBorders>
              <w:bottom w:val="single" w:sz="8" w:color="auto"/>
            </w:tcBorders>
          </w:tcPr>
          <w:p>
            <w:pPr>
              <w:jc w:val="right"/>
              <w:ind w:right="112"/>
              <w:spacing w:after="0" w:line="142" w:lineRule="exact"/>
              <w:rPr>
                <w:sz w:val="20"/>
                <w:szCs w:val="20"/>
                <w:color w:val="auto"/>
              </w:rPr>
            </w:pPr>
            <w:r>
              <w:rPr>
                <w:rFonts w:ascii="Arial" w:cs="Arial" w:eastAsia="Arial" w:hAnsi="Arial"/>
                <w:sz w:val="14"/>
                <w:szCs w:val="14"/>
                <w:color w:val="auto"/>
              </w:rPr>
              <w:t>3,909</w:t>
            </w:r>
          </w:p>
        </w:tc>
        <w:tc>
          <w:tcPr>
            <w:tcW w:w="240" w:type="dxa"/>
            <w:vAlign w:val="bottom"/>
            <w:tcBorders>
              <w:bottom w:val="single" w:sz="8" w:color="auto"/>
            </w:tcBorders>
          </w:tcPr>
          <w:p>
            <w:pPr>
              <w:spacing w:after="0"/>
              <w:rPr>
                <w:sz w:val="12"/>
                <w:szCs w:val="12"/>
                <w:color w:val="auto"/>
              </w:rPr>
            </w:pPr>
          </w:p>
        </w:tc>
        <w:tc>
          <w:tcPr>
            <w:tcW w:w="900" w:type="dxa"/>
            <w:vAlign w:val="bottom"/>
            <w:tcBorders>
              <w:bottom w:val="single" w:sz="8" w:color="auto"/>
            </w:tcBorders>
          </w:tcPr>
          <w:p>
            <w:pPr>
              <w:jc w:val="right"/>
              <w:ind w:right="92"/>
              <w:spacing w:after="0" w:line="142" w:lineRule="exact"/>
              <w:rPr>
                <w:sz w:val="20"/>
                <w:szCs w:val="20"/>
                <w:color w:val="auto"/>
              </w:rPr>
            </w:pPr>
            <w:r>
              <w:rPr>
                <w:rFonts w:ascii="Arial" w:cs="Arial" w:eastAsia="Arial" w:hAnsi="Arial"/>
                <w:sz w:val="14"/>
                <w:szCs w:val="14"/>
                <w:color w:val="auto"/>
              </w:rPr>
              <w:t>—</w:t>
            </w:r>
          </w:p>
        </w:tc>
        <w:tc>
          <w:tcPr>
            <w:tcW w:w="200" w:type="dxa"/>
            <w:vAlign w:val="bottom"/>
            <w:tcBorders>
              <w:bottom w:val="single" w:sz="8" w:color="auto"/>
            </w:tcBorders>
          </w:tcPr>
          <w:p>
            <w:pPr>
              <w:spacing w:after="0"/>
              <w:rPr>
                <w:sz w:val="12"/>
                <w:szCs w:val="12"/>
                <w:color w:val="auto"/>
              </w:rPr>
            </w:pPr>
          </w:p>
        </w:tc>
        <w:tc>
          <w:tcPr>
            <w:tcW w:w="780" w:type="dxa"/>
            <w:vAlign w:val="bottom"/>
            <w:tcBorders>
              <w:bottom w:val="single" w:sz="8" w:color="auto"/>
            </w:tcBorders>
          </w:tcPr>
          <w:p>
            <w:pPr>
              <w:jc w:val="right"/>
              <w:spacing w:after="0" w:line="142" w:lineRule="exact"/>
              <w:rPr>
                <w:sz w:val="20"/>
                <w:szCs w:val="20"/>
                <w:color w:val="auto"/>
              </w:rPr>
            </w:pPr>
            <w:r>
              <w:rPr>
                <w:rFonts w:ascii="Arial" w:cs="Arial" w:eastAsia="Arial" w:hAnsi="Arial"/>
                <w:sz w:val="14"/>
                <w:szCs w:val="14"/>
                <w:b w:val="1"/>
                <w:bCs w:val="1"/>
                <w:color w:val="auto"/>
              </w:rPr>
              <w:t>6,524</w:t>
            </w:r>
          </w:p>
        </w:tc>
        <w:tc>
          <w:tcPr>
            <w:tcW w:w="0" w:type="dxa"/>
            <w:vAlign w:val="bottom"/>
          </w:tcPr>
          <w:p>
            <w:pPr>
              <w:spacing w:after="0"/>
              <w:rPr>
                <w:sz w:val="1"/>
                <w:szCs w:val="1"/>
                <w:color w:val="auto"/>
              </w:rPr>
            </w:pPr>
          </w:p>
        </w:tc>
      </w:tr>
      <w:tr>
        <w:trPr>
          <w:trHeight w:val="125"/>
        </w:trPr>
        <w:tc>
          <w:tcPr>
            <w:tcW w:w="20" w:type="dxa"/>
            <w:vAlign w:val="bottom"/>
          </w:tcPr>
          <w:p>
            <w:pPr>
              <w:spacing w:after="0"/>
              <w:rPr>
                <w:sz w:val="10"/>
                <w:szCs w:val="10"/>
                <w:color w:val="auto"/>
              </w:rPr>
            </w:pPr>
          </w:p>
        </w:tc>
        <w:tc>
          <w:tcPr>
            <w:tcW w:w="3800" w:type="dxa"/>
            <w:vAlign w:val="bottom"/>
          </w:tcPr>
          <w:p>
            <w:pPr>
              <w:ind w:left="200"/>
              <w:spacing w:after="0" w:line="125" w:lineRule="exact"/>
              <w:rPr>
                <w:sz w:val="20"/>
                <w:szCs w:val="20"/>
                <w:color w:val="auto"/>
              </w:rPr>
            </w:pPr>
            <w:r>
              <w:rPr>
                <w:rFonts w:ascii="Arial" w:cs="Arial" w:eastAsia="Arial" w:hAnsi="Arial"/>
                <w:sz w:val="14"/>
                <w:szCs w:val="14"/>
                <w:color w:val="auto"/>
              </w:rPr>
              <w:t>Long term-debt, less current portion</w:t>
            </w:r>
          </w:p>
        </w:tc>
        <w:tc>
          <w:tcPr>
            <w:tcW w:w="280" w:type="dxa"/>
            <w:vAlign w:val="bottom"/>
          </w:tcPr>
          <w:p>
            <w:pPr>
              <w:spacing w:after="0"/>
              <w:rPr>
                <w:sz w:val="10"/>
                <w:szCs w:val="10"/>
                <w:color w:val="auto"/>
              </w:rPr>
            </w:pPr>
          </w:p>
        </w:tc>
        <w:tc>
          <w:tcPr>
            <w:tcW w:w="600" w:type="dxa"/>
            <w:vAlign w:val="bottom"/>
          </w:tcPr>
          <w:p>
            <w:pPr>
              <w:jc w:val="right"/>
              <w:ind w:right="92"/>
              <w:spacing w:after="0" w:line="125" w:lineRule="exact"/>
              <w:rPr>
                <w:sz w:val="20"/>
                <w:szCs w:val="20"/>
                <w:color w:val="auto"/>
              </w:rPr>
            </w:pPr>
            <w:r>
              <w:rPr>
                <w:rFonts w:ascii="Arial" w:cs="Arial" w:eastAsia="Arial" w:hAnsi="Arial"/>
                <w:sz w:val="14"/>
                <w:szCs w:val="14"/>
                <w:color w:val="auto"/>
              </w:rPr>
              <w:t>8,243</w:t>
            </w:r>
          </w:p>
        </w:tc>
        <w:tc>
          <w:tcPr>
            <w:tcW w:w="260" w:type="dxa"/>
            <w:vAlign w:val="bottom"/>
          </w:tcPr>
          <w:p>
            <w:pPr>
              <w:spacing w:after="0"/>
              <w:rPr>
                <w:sz w:val="10"/>
                <w:szCs w:val="10"/>
                <w:color w:val="auto"/>
              </w:rPr>
            </w:pPr>
          </w:p>
        </w:tc>
        <w:tc>
          <w:tcPr>
            <w:tcW w:w="560" w:type="dxa"/>
            <w:vAlign w:val="bottom"/>
          </w:tcPr>
          <w:p>
            <w:pPr>
              <w:jc w:val="right"/>
              <w:ind w:right="92"/>
              <w:spacing w:after="0" w:line="125" w:lineRule="exact"/>
              <w:rPr>
                <w:sz w:val="20"/>
                <w:szCs w:val="20"/>
                <w:color w:val="auto"/>
              </w:rPr>
            </w:pPr>
            <w:r>
              <w:rPr>
                <w:rFonts w:ascii="Arial" w:cs="Arial" w:eastAsia="Arial" w:hAnsi="Arial"/>
                <w:sz w:val="14"/>
                <w:szCs w:val="14"/>
                <w:color w:val="auto"/>
              </w:rPr>
              <w:t>4,988</w:t>
            </w:r>
          </w:p>
        </w:tc>
        <w:tc>
          <w:tcPr>
            <w:tcW w:w="260" w:type="dxa"/>
            <w:vAlign w:val="bottom"/>
          </w:tcPr>
          <w:p>
            <w:pPr>
              <w:spacing w:after="0"/>
              <w:rPr>
                <w:sz w:val="10"/>
                <w:szCs w:val="10"/>
                <w:color w:val="auto"/>
              </w:rPr>
            </w:pPr>
          </w:p>
        </w:tc>
        <w:tc>
          <w:tcPr>
            <w:tcW w:w="600" w:type="dxa"/>
            <w:vAlign w:val="bottom"/>
          </w:tcPr>
          <w:p>
            <w:pPr>
              <w:jc w:val="right"/>
              <w:ind w:right="112"/>
              <w:spacing w:after="0" w:line="125" w:lineRule="exact"/>
              <w:rPr>
                <w:sz w:val="20"/>
                <w:szCs w:val="20"/>
                <w:color w:val="auto"/>
              </w:rPr>
            </w:pPr>
            <w:r>
              <w:rPr>
                <w:rFonts w:ascii="Arial" w:cs="Arial" w:eastAsia="Arial" w:hAnsi="Arial"/>
                <w:sz w:val="14"/>
                <w:szCs w:val="14"/>
                <w:color w:val="auto"/>
              </w:rPr>
              <w:t>3,498</w:t>
            </w:r>
          </w:p>
        </w:tc>
        <w:tc>
          <w:tcPr>
            <w:tcW w:w="260" w:type="dxa"/>
            <w:vAlign w:val="bottom"/>
          </w:tcPr>
          <w:p>
            <w:pPr>
              <w:spacing w:after="0"/>
              <w:rPr>
                <w:sz w:val="10"/>
                <w:szCs w:val="10"/>
                <w:color w:val="auto"/>
              </w:rPr>
            </w:pPr>
          </w:p>
        </w:tc>
        <w:tc>
          <w:tcPr>
            <w:tcW w:w="700" w:type="dxa"/>
            <w:vAlign w:val="bottom"/>
          </w:tcPr>
          <w:p>
            <w:pPr>
              <w:jc w:val="right"/>
              <w:ind w:right="112"/>
              <w:spacing w:after="0" w:line="125" w:lineRule="exact"/>
              <w:rPr>
                <w:sz w:val="20"/>
                <w:szCs w:val="20"/>
                <w:color w:val="auto"/>
              </w:rPr>
            </w:pPr>
            <w:r>
              <w:rPr>
                <w:rFonts w:ascii="Arial" w:cs="Arial" w:eastAsia="Arial" w:hAnsi="Arial"/>
                <w:sz w:val="14"/>
                <w:szCs w:val="14"/>
                <w:color w:val="auto"/>
              </w:rPr>
              <w:t>3,318</w:t>
            </w:r>
          </w:p>
        </w:tc>
        <w:tc>
          <w:tcPr>
            <w:tcW w:w="260" w:type="dxa"/>
            <w:vAlign w:val="bottom"/>
          </w:tcPr>
          <w:p>
            <w:pPr>
              <w:spacing w:after="0"/>
              <w:rPr>
                <w:sz w:val="10"/>
                <w:szCs w:val="10"/>
                <w:color w:val="auto"/>
              </w:rPr>
            </w:pPr>
          </w:p>
        </w:tc>
        <w:tc>
          <w:tcPr>
            <w:tcW w:w="620" w:type="dxa"/>
            <w:vAlign w:val="bottom"/>
          </w:tcPr>
          <w:p>
            <w:pPr>
              <w:jc w:val="right"/>
              <w:ind w:right="112"/>
              <w:spacing w:after="0" w:line="125" w:lineRule="exact"/>
              <w:rPr>
                <w:sz w:val="20"/>
                <w:szCs w:val="20"/>
                <w:color w:val="auto"/>
              </w:rPr>
            </w:pPr>
            <w:r>
              <w:rPr>
                <w:rFonts w:ascii="Arial" w:cs="Arial" w:eastAsia="Arial" w:hAnsi="Arial"/>
                <w:sz w:val="14"/>
                <w:szCs w:val="14"/>
                <w:color w:val="auto"/>
              </w:rPr>
              <w:t>981</w:t>
            </w:r>
          </w:p>
        </w:tc>
        <w:tc>
          <w:tcPr>
            <w:tcW w:w="260" w:type="dxa"/>
            <w:vAlign w:val="bottom"/>
          </w:tcPr>
          <w:p>
            <w:pPr>
              <w:spacing w:after="0"/>
              <w:rPr>
                <w:sz w:val="10"/>
                <w:szCs w:val="10"/>
                <w:color w:val="auto"/>
              </w:rPr>
            </w:pPr>
          </w:p>
        </w:tc>
        <w:tc>
          <w:tcPr>
            <w:tcW w:w="820" w:type="dxa"/>
            <w:vAlign w:val="bottom"/>
          </w:tcPr>
          <w:p>
            <w:pPr>
              <w:jc w:val="right"/>
              <w:ind w:right="112"/>
              <w:spacing w:after="0" w:line="125" w:lineRule="exact"/>
              <w:rPr>
                <w:sz w:val="20"/>
                <w:szCs w:val="20"/>
                <w:color w:val="auto"/>
              </w:rPr>
            </w:pPr>
            <w:r>
              <w:rPr>
                <w:rFonts w:ascii="Arial" w:cs="Arial" w:eastAsia="Arial" w:hAnsi="Arial"/>
                <w:sz w:val="14"/>
                <w:szCs w:val="14"/>
                <w:color w:val="auto"/>
              </w:rPr>
              <w:t>654</w:t>
            </w:r>
          </w:p>
        </w:tc>
        <w:tc>
          <w:tcPr>
            <w:tcW w:w="240" w:type="dxa"/>
            <w:vAlign w:val="bottom"/>
          </w:tcPr>
          <w:p>
            <w:pPr>
              <w:spacing w:after="0"/>
              <w:rPr>
                <w:sz w:val="10"/>
                <w:szCs w:val="10"/>
                <w:color w:val="auto"/>
              </w:rPr>
            </w:pPr>
          </w:p>
        </w:tc>
        <w:tc>
          <w:tcPr>
            <w:tcW w:w="900" w:type="dxa"/>
            <w:vAlign w:val="bottom"/>
          </w:tcPr>
          <w:p>
            <w:pPr>
              <w:jc w:val="right"/>
              <w:ind w:right="92"/>
              <w:spacing w:after="0" w:line="125" w:lineRule="exact"/>
              <w:rPr>
                <w:sz w:val="20"/>
                <w:szCs w:val="20"/>
                <w:color w:val="auto"/>
              </w:rPr>
            </w:pPr>
            <w:r>
              <w:rPr>
                <w:rFonts w:ascii="Arial" w:cs="Arial" w:eastAsia="Arial" w:hAnsi="Arial"/>
                <w:sz w:val="14"/>
                <w:szCs w:val="14"/>
                <w:color w:val="auto"/>
              </w:rPr>
              <w:t>—</w:t>
            </w:r>
          </w:p>
        </w:tc>
        <w:tc>
          <w:tcPr>
            <w:tcW w:w="200" w:type="dxa"/>
            <w:vAlign w:val="bottom"/>
          </w:tcPr>
          <w:p>
            <w:pPr>
              <w:spacing w:after="0"/>
              <w:rPr>
                <w:sz w:val="10"/>
                <w:szCs w:val="10"/>
                <w:color w:val="auto"/>
              </w:rPr>
            </w:pPr>
          </w:p>
        </w:tc>
        <w:tc>
          <w:tcPr>
            <w:tcW w:w="780" w:type="dxa"/>
            <w:vAlign w:val="bottom"/>
          </w:tcPr>
          <w:p>
            <w:pPr>
              <w:jc w:val="right"/>
              <w:spacing w:after="0" w:line="125" w:lineRule="exact"/>
              <w:rPr>
                <w:sz w:val="20"/>
                <w:szCs w:val="20"/>
                <w:color w:val="auto"/>
              </w:rPr>
            </w:pPr>
            <w:r>
              <w:rPr>
                <w:rFonts w:ascii="Arial" w:cs="Arial" w:eastAsia="Arial" w:hAnsi="Arial"/>
                <w:sz w:val="14"/>
                <w:szCs w:val="14"/>
                <w:b w:val="1"/>
                <w:bCs w:val="1"/>
                <w:color w:val="auto"/>
              </w:rPr>
              <w:t>21,682</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800" w:type="dxa"/>
            <w:vAlign w:val="bottom"/>
          </w:tcPr>
          <w:p>
            <w:pPr>
              <w:ind w:left="200"/>
              <w:spacing w:after="0" w:line="149" w:lineRule="exact"/>
              <w:rPr>
                <w:sz w:val="20"/>
                <w:szCs w:val="20"/>
                <w:color w:val="auto"/>
              </w:rPr>
            </w:pPr>
            <w:r>
              <w:rPr>
                <w:rFonts w:ascii="Arial" w:cs="Arial" w:eastAsia="Arial" w:hAnsi="Arial"/>
                <w:sz w:val="14"/>
                <w:szCs w:val="14"/>
                <w:color w:val="auto"/>
              </w:rPr>
              <w:t>Deferred income taxes</w:t>
            </w:r>
          </w:p>
        </w:tc>
        <w:tc>
          <w:tcPr>
            <w:tcW w:w="280" w:type="dxa"/>
            <w:vAlign w:val="bottom"/>
          </w:tcPr>
          <w:p>
            <w:pPr>
              <w:spacing w:after="0"/>
              <w:rPr>
                <w:sz w:val="12"/>
                <w:szCs w:val="12"/>
                <w:color w:val="auto"/>
              </w:rPr>
            </w:pPr>
          </w:p>
        </w:tc>
        <w:tc>
          <w:tcPr>
            <w:tcW w:w="600" w:type="dxa"/>
            <w:vAlign w:val="bottom"/>
          </w:tcPr>
          <w:p>
            <w:pPr>
              <w:jc w:val="right"/>
              <w:ind w:right="92"/>
              <w:spacing w:after="0" w:line="149" w:lineRule="exact"/>
              <w:rPr>
                <w:sz w:val="20"/>
                <w:szCs w:val="20"/>
                <w:color w:val="auto"/>
              </w:rPr>
            </w:pPr>
            <w:r>
              <w:rPr>
                <w:rFonts w:ascii="Arial" w:cs="Arial" w:eastAsia="Arial" w:hAnsi="Arial"/>
                <w:sz w:val="14"/>
                <w:szCs w:val="14"/>
                <w:color w:val="auto"/>
              </w:rPr>
              <w:t>3,470</w:t>
            </w:r>
          </w:p>
        </w:tc>
        <w:tc>
          <w:tcPr>
            <w:tcW w:w="260" w:type="dxa"/>
            <w:vAlign w:val="bottom"/>
          </w:tcPr>
          <w:p>
            <w:pPr>
              <w:spacing w:after="0"/>
              <w:rPr>
                <w:sz w:val="12"/>
                <w:szCs w:val="12"/>
                <w:color w:val="auto"/>
              </w:rPr>
            </w:pPr>
          </w:p>
        </w:tc>
        <w:tc>
          <w:tcPr>
            <w:tcW w:w="560" w:type="dxa"/>
            <w:vAlign w:val="bottom"/>
          </w:tcPr>
          <w:p>
            <w:pPr>
              <w:jc w:val="right"/>
              <w:ind w:right="92"/>
              <w:spacing w:after="0" w:line="149" w:lineRule="exact"/>
              <w:rPr>
                <w:sz w:val="20"/>
                <w:szCs w:val="20"/>
                <w:color w:val="auto"/>
              </w:rPr>
            </w:pPr>
            <w:r>
              <w:rPr>
                <w:rFonts w:ascii="Arial" w:cs="Arial" w:eastAsia="Arial" w:hAnsi="Arial"/>
                <w:sz w:val="14"/>
                <w:szCs w:val="14"/>
                <w:color w:val="auto"/>
              </w:rPr>
              <w:t>—</w:t>
            </w:r>
          </w:p>
        </w:tc>
        <w:tc>
          <w:tcPr>
            <w:tcW w:w="260" w:type="dxa"/>
            <w:vAlign w:val="bottom"/>
          </w:tcPr>
          <w:p>
            <w:pPr>
              <w:spacing w:after="0"/>
              <w:rPr>
                <w:sz w:val="12"/>
                <w:szCs w:val="12"/>
                <w:color w:val="auto"/>
              </w:rPr>
            </w:pPr>
          </w:p>
        </w:tc>
        <w:tc>
          <w:tcPr>
            <w:tcW w:w="600" w:type="dxa"/>
            <w:vAlign w:val="bottom"/>
          </w:tcPr>
          <w:p>
            <w:pPr>
              <w:jc w:val="right"/>
              <w:ind w:right="112"/>
              <w:spacing w:after="0" w:line="149" w:lineRule="exact"/>
              <w:rPr>
                <w:sz w:val="20"/>
                <w:szCs w:val="20"/>
                <w:color w:val="auto"/>
              </w:rPr>
            </w:pPr>
            <w:r>
              <w:rPr>
                <w:rFonts w:ascii="Arial" w:cs="Arial" w:eastAsia="Arial" w:hAnsi="Arial"/>
                <w:sz w:val="14"/>
                <w:szCs w:val="14"/>
                <w:color w:val="auto"/>
              </w:rPr>
              <w:t>—</w:t>
            </w:r>
          </w:p>
        </w:tc>
        <w:tc>
          <w:tcPr>
            <w:tcW w:w="260" w:type="dxa"/>
            <w:vAlign w:val="bottom"/>
          </w:tcPr>
          <w:p>
            <w:pPr>
              <w:spacing w:after="0"/>
              <w:rPr>
                <w:sz w:val="12"/>
                <w:szCs w:val="12"/>
                <w:color w:val="auto"/>
              </w:rPr>
            </w:pPr>
          </w:p>
        </w:tc>
        <w:tc>
          <w:tcPr>
            <w:tcW w:w="700" w:type="dxa"/>
            <w:vAlign w:val="bottom"/>
          </w:tcPr>
          <w:p>
            <w:pPr>
              <w:jc w:val="right"/>
              <w:ind w:right="112"/>
              <w:spacing w:after="0" w:line="149" w:lineRule="exact"/>
              <w:rPr>
                <w:sz w:val="20"/>
                <w:szCs w:val="20"/>
                <w:color w:val="auto"/>
              </w:rPr>
            </w:pPr>
            <w:r>
              <w:rPr>
                <w:rFonts w:ascii="Arial" w:cs="Arial" w:eastAsia="Arial" w:hAnsi="Arial"/>
                <w:sz w:val="14"/>
                <w:szCs w:val="14"/>
                <w:color w:val="auto"/>
              </w:rPr>
              <w:t>—</w:t>
            </w:r>
          </w:p>
        </w:tc>
        <w:tc>
          <w:tcPr>
            <w:tcW w:w="260" w:type="dxa"/>
            <w:vAlign w:val="bottom"/>
          </w:tcPr>
          <w:p>
            <w:pPr>
              <w:spacing w:after="0"/>
              <w:rPr>
                <w:sz w:val="12"/>
                <w:szCs w:val="12"/>
                <w:color w:val="auto"/>
              </w:rPr>
            </w:pPr>
          </w:p>
        </w:tc>
        <w:tc>
          <w:tcPr>
            <w:tcW w:w="620" w:type="dxa"/>
            <w:vAlign w:val="bottom"/>
          </w:tcPr>
          <w:p>
            <w:pPr>
              <w:jc w:val="right"/>
              <w:ind w:right="112"/>
              <w:spacing w:after="0" w:line="149" w:lineRule="exact"/>
              <w:rPr>
                <w:sz w:val="20"/>
                <w:szCs w:val="20"/>
                <w:color w:val="auto"/>
              </w:rPr>
            </w:pPr>
            <w:r>
              <w:rPr>
                <w:rFonts w:ascii="Arial" w:cs="Arial" w:eastAsia="Arial" w:hAnsi="Arial"/>
                <w:sz w:val="14"/>
                <w:szCs w:val="14"/>
                <w:color w:val="auto"/>
              </w:rPr>
              <w:t>811</w:t>
            </w:r>
          </w:p>
        </w:tc>
        <w:tc>
          <w:tcPr>
            <w:tcW w:w="260" w:type="dxa"/>
            <w:vAlign w:val="bottom"/>
          </w:tcPr>
          <w:p>
            <w:pPr>
              <w:spacing w:after="0"/>
              <w:rPr>
                <w:sz w:val="12"/>
                <w:szCs w:val="12"/>
                <w:color w:val="auto"/>
              </w:rPr>
            </w:pPr>
          </w:p>
        </w:tc>
        <w:tc>
          <w:tcPr>
            <w:tcW w:w="820" w:type="dxa"/>
            <w:vAlign w:val="bottom"/>
          </w:tcPr>
          <w:p>
            <w:pPr>
              <w:jc w:val="right"/>
              <w:ind w:right="112"/>
              <w:spacing w:after="0" w:line="149" w:lineRule="exact"/>
              <w:rPr>
                <w:sz w:val="20"/>
                <w:szCs w:val="20"/>
                <w:color w:val="auto"/>
              </w:rPr>
            </w:pPr>
            <w:r>
              <w:rPr>
                <w:rFonts w:ascii="Arial" w:cs="Arial" w:eastAsia="Arial" w:hAnsi="Arial"/>
                <w:sz w:val="14"/>
                <w:szCs w:val="14"/>
                <w:color w:val="auto"/>
              </w:rPr>
              <w:t>23,089</w:t>
            </w:r>
          </w:p>
        </w:tc>
        <w:tc>
          <w:tcPr>
            <w:tcW w:w="240" w:type="dxa"/>
            <w:vAlign w:val="bottom"/>
          </w:tcPr>
          <w:p>
            <w:pPr>
              <w:spacing w:after="0"/>
              <w:rPr>
                <w:sz w:val="12"/>
                <w:szCs w:val="12"/>
                <w:color w:val="auto"/>
              </w:rPr>
            </w:pPr>
          </w:p>
        </w:tc>
        <w:tc>
          <w:tcPr>
            <w:tcW w:w="900" w:type="dxa"/>
            <w:vAlign w:val="bottom"/>
          </w:tcPr>
          <w:p>
            <w:pPr>
              <w:jc w:val="right"/>
              <w:ind w:right="92"/>
              <w:spacing w:after="0" w:line="149" w:lineRule="exact"/>
              <w:rPr>
                <w:sz w:val="20"/>
                <w:szCs w:val="20"/>
                <w:color w:val="auto"/>
              </w:rPr>
            </w:pPr>
            <w:r>
              <w:rPr>
                <w:rFonts w:ascii="Arial" w:cs="Arial" w:eastAsia="Arial" w:hAnsi="Arial"/>
                <w:sz w:val="14"/>
                <w:szCs w:val="14"/>
                <w:color w:val="auto"/>
              </w:rPr>
              <w:t>—</w:t>
            </w:r>
          </w:p>
        </w:tc>
        <w:tc>
          <w:tcPr>
            <w:tcW w:w="200" w:type="dxa"/>
            <w:vAlign w:val="bottom"/>
          </w:tcPr>
          <w:p>
            <w:pPr>
              <w:spacing w:after="0"/>
              <w:rPr>
                <w:sz w:val="12"/>
                <w:szCs w:val="12"/>
                <w:color w:val="auto"/>
              </w:rPr>
            </w:pPr>
          </w:p>
        </w:tc>
        <w:tc>
          <w:tcPr>
            <w:tcW w:w="780" w:type="dxa"/>
            <w:vAlign w:val="bottom"/>
          </w:tcPr>
          <w:p>
            <w:pPr>
              <w:jc w:val="right"/>
              <w:spacing w:after="0" w:line="149" w:lineRule="exact"/>
              <w:rPr>
                <w:sz w:val="20"/>
                <w:szCs w:val="20"/>
                <w:color w:val="auto"/>
              </w:rPr>
            </w:pPr>
            <w:r>
              <w:rPr>
                <w:rFonts w:ascii="Arial" w:cs="Arial" w:eastAsia="Arial" w:hAnsi="Arial"/>
                <w:sz w:val="14"/>
                <w:szCs w:val="14"/>
                <w:b w:val="1"/>
                <w:bCs w:val="1"/>
                <w:color w:val="auto"/>
              </w:rPr>
              <w:t>27,370</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800" w:type="dxa"/>
            <w:vAlign w:val="bottom"/>
          </w:tcPr>
          <w:p>
            <w:pPr>
              <w:ind w:left="200"/>
              <w:spacing w:after="0" w:line="149" w:lineRule="exact"/>
              <w:rPr>
                <w:sz w:val="20"/>
                <w:szCs w:val="20"/>
                <w:color w:val="auto"/>
              </w:rPr>
            </w:pPr>
            <w:r>
              <w:rPr>
                <w:rFonts w:ascii="Arial" w:cs="Arial" w:eastAsia="Arial" w:hAnsi="Arial"/>
                <w:sz w:val="14"/>
                <w:szCs w:val="14"/>
                <w:color w:val="auto"/>
              </w:rPr>
              <w:t>Other noncurrent liabilities</w:t>
            </w:r>
          </w:p>
        </w:tc>
        <w:tc>
          <w:tcPr>
            <w:tcW w:w="280" w:type="dxa"/>
            <w:vAlign w:val="bottom"/>
          </w:tcPr>
          <w:p>
            <w:pPr>
              <w:spacing w:after="0"/>
              <w:rPr>
                <w:sz w:val="12"/>
                <w:szCs w:val="12"/>
                <w:color w:val="auto"/>
              </w:rPr>
            </w:pPr>
          </w:p>
        </w:tc>
        <w:tc>
          <w:tcPr>
            <w:tcW w:w="600" w:type="dxa"/>
            <w:vAlign w:val="bottom"/>
          </w:tcPr>
          <w:p>
            <w:pPr>
              <w:jc w:val="right"/>
              <w:ind w:right="92"/>
              <w:spacing w:after="0" w:line="149" w:lineRule="exact"/>
              <w:rPr>
                <w:sz w:val="20"/>
                <w:szCs w:val="20"/>
                <w:color w:val="auto"/>
              </w:rPr>
            </w:pPr>
            <w:r>
              <w:rPr>
                <w:rFonts w:ascii="Arial" w:cs="Arial" w:eastAsia="Arial" w:hAnsi="Arial"/>
                <w:sz w:val="14"/>
                <w:szCs w:val="14"/>
                <w:color w:val="auto"/>
              </w:rPr>
              <w:t>873</w:t>
            </w:r>
          </w:p>
        </w:tc>
        <w:tc>
          <w:tcPr>
            <w:tcW w:w="260" w:type="dxa"/>
            <w:vAlign w:val="bottom"/>
          </w:tcPr>
          <w:p>
            <w:pPr>
              <w:spacing w:after="0"/>
              <w:rPr>
                <w:sz w:val="12"/>
                <w:szCs w:val="12"/>
                <w:color w:val="auto"/>
              </w:rPr>
            </w:pPr>
          </w:p>
        </w:tc>
        <w:tc>
          <w:tcPr>
            <w:tcW w:w="560" w:type="dxa"/>
            <w:vAlign w:val="bottom"/>
          </w:tcPr>
          <w:p>
            <w:pPr>
              <w:jc w:val="right"/>
              <w:ind w:right="92"/>
              <w:spacing w:after="0" w:line="149" w:lineRule="exact"/>
              <w:rPr>
                <w:sz w:val="20"/>
                <w:szCs w:val="20"/>
                <w:color w:val="auto"/>
              </w:rPr>
            </w:pPr>
            <w:r>
              <w:rPr>
                <w:rFonts w:ascii="Arial" w:cs="Arial" w:eastAsia="Arial" w:hAnsi="Arial"/>
                <w:sz w:val="14"/>
                <w:szCs w:val="14"/>
                <w:color w:val="auto"/>
              </w:rPr>
              <w:t>54</w:t>
            </w:r>
          </w:p>
        </w:tc>
        <w:tc>
          <w:tcPr>
            <w:tcW w:w="260" w:type="dxa"/>
            <w:vAlign w:val="bottom"/>
          </w:tcPr>
          <w:p>
            <w:pPr>
              <w:spacing w:after="0"/>
              <w:rPr>
                <w:sz w:val="12"/>
                <w:szCs w:val="12"/>
                <w:color w:val="auto"/>
              </w:rPr>
            </w:pPr>
          </w:p>
        </w:tc>
        <w:tc>
          <w:tcPr>
            <w:tcW w:w="600" w:type="dxa"/>
            <w:vAlign w:val="bottom"/>
          </w:tcPr>
          <w:p>
            <w:pPr>
              <w:jc w:val="right"/>
              <w:ind w:right="112"/>
              <w:spacing w:after="0" w:line="149" w:lineRule="exact"/>
              <w:rPr>
                <w:sz w:val="20"/>
                <w:szCs w:val="20"/>
                <w:color w:val="auto"/>
              </w:rPr>
            </w:pPr>
            <w:r>
              <w:rPr>
                <w:rFonts w:ascii="Arial" w:cs="Arial" w:eastAsia="Arial" w:hAnsi="Arial"/>
                <w:sz w:val="14"/>
                <w:szCs w:val="14"/>
                <w:color w:val="auto"/>
              </w:rPr>
              <w:t>—</w:t>
            </w:r>
          </w:p>
        </w:tc>
        <w:tc>
          <w:tcPr>
            <w:tcW w:w="260" w:type="dxa"/>
            <w:vAlign w:val="bottom"/>
          </w:tcPr>
          <w:p>
            <w:pPr>
              <w:spacing w:after="0"/>
              <w:rPr>
                <w:sz w:val="12"/>
                <w:szCs w:val="12"/>
                <w:color w:val="auto"/>
              </w:rPr>
            </w:pPr>
          </w:p>
        </w:tc>
        <w:tc>
          <w:tcPr>
            <w:tcW w:w="700" w:type="dxa"/>
            <w:vAlign w:val="bottom"/>
          </w:tcPr>
          <w:p>
            <w:pPr>
              <w:jc w:val="right"/>
              <w:ind w:right="112"/>
              <w:spacing w:after="0" w:line="149" w:lineRule="exact"/>
              <w:rPr>
                <w:sz w:val="20"/>
                <w:szCs w:val="20"/>
                <w:color w:val="auto"/>
              </w:rPr>
            </w:pPr>
            <w:r>
              <w:rPr>
                <w:rFonts w:ascii="Arial" w:cs="Arial" w:eastAsia="Arial" w:hAnsi="Arial"/>
                <w:sz w:val="14"/>
                <w:szCs w:val="14"/>
                <w:color w:val="auto"/>
              </w:rPr>
              <w:t>—</w:t>
            </w:r>
          </w:p>
        </w:tc>
        <w:tc>
          <w:tcPr>
            <w:tcW w:w="260" w:type="dxa"/>
            <w:vAlign w:val="bottom"/>
          </w:tcPr>
          <w:p>
            <w:pPr>
              <w:spacing w:after="0"/>
              <w:rPr>
                <w:sz w:val="12"/>
                <w:szCs w:val="12"/>
                <w:color w:val="auto"/>
              </w:rPr>
            </w:pPr>
          </w:p>
        </w:tc>
        <w:tc>
          <w:tcPr>
            <w:tcW w:w="620" w:type="dxa"/>
            <w:vAlign w:val="bottom"/>
          </w:tcPr>
          <w:p>
            <w:pPr>
              <w:jc w:val="right"/>
              <w:ind w:right="112"/>
              <w:spacing w:after="0" w:line="149" w:lineRule="exact"/>
              <w:rPr>
                <w:sz w:val="20"/>
                <w:szCs w:val="20"/>
                <w:color w:val="auto"/>
              </w:rPr>
            </w:pPr>
            <w:r>
              <w:rPr>
                <w:rFonts w:ascii="Arial" w:cs="Arial" w:eastAsia="Arial" w:hAnsi="Arial"/>
                <w:sz w:val="14"/>
                <w:szCs w:val="14"/>
                <w:color w:val="auto"/>
              </w:rPr>
              <w:t>50</w:t>
            </w:r>
          </w:p>
        </w:tc>
        <w:tc>
          <w:tcPr>
            <w:tcW w:w="260" w:type="dxa"/>
            <w:vAlign w:val="bottom"/>
          </w:tcPr>
          <w:p>
            <w:pPr>
              <w:spacing w:after="0"/>
              <w:rPr>
                <w:sz w:val="12"/>
                <w:szCs w:val="12"/>
                <w:color w:val="auto"/>
              </w:rPr>
            </w:pPr>
          </w:p>
        </w:tc>
        <w:tc>
          <w:tcPr>
            <w:tcW w:w="820" w:type="dxa"/>
            <w:vAlign w:val="bottom"/>
          </w:tcPr>
          <w:p>
            <w:pPr>
              <w:jc w:val="right"/>
              <w:ind w:right="112"/>
              <w:spacing w:after="0" w:line="149" w:lineRule="exact"/>
              <w:rPr>
                <w:sz w:val="20"/>
                <w:szCs w:val="20"/>
                <w:color w:val="auto"/>
              </w:rPr>
            </w:pPr>
            <w:r>
              <w:rPr>
                <w:rFonts w:ascii="Arial" w:cs="Arial" w:eastAsia="Arial" w:hAnsi="Arial"/>
                <w:sz w:val="14"/>
                <w:szCs w:val="14"/>
                <w:color w:val="auto"/>
              </w:rPr>
              <w:t>5,943</w:t>
            </w:r>
          </w:p>
        </w:tc>
        <w:tc>
          <w:tcPr>
            <w:tcW w:w="240" w:type="dxa"/>
            <w:vAlign w:val="bottom"/>
          </w:tcPr>
          <w:p>
            <w:pPr>
              <w:spacing w:after="0"/>
              <w:rPr>
                <w:sz w:val="12"/>
                <w:szCs w:val="12"/>
                <w:color w:val="auto"/>
              </w:rPr>
            </w:pPr>
          </w:p>
        </w:tc>
        <w:tc>
          <w:tcPr>
            <w:tcW w:w="900" w:type="dxa"/>
            <w:vAlign w:val="bottom"/>
          </w:tcPr>
          <w:p>
            <w:pPr>
              <w:jc w:val="right"/>
              <w:ind w:right="92"/>
              <w:spacing w:after="0" w:line="149" w:lineRule="exact"/>
              <w:rPr>
                <w:sz w:val="20"/>
                <w:szCs w:val="20"/>
                <w:color w:val="auto"/>
              </w:rPr>
            </w:pPr>
            <w:r>
              <w:rPr>
                <w:rFonts w:ascii="Arial" w:cs="Arial" w:eastAsia="Arial" w:hAnsi="Arial"/>
                <w:sz w:val="14"/>
                <w:szCs w:val="14"/>
                <w:color w:val="auto"/>
              </w:rPr>
              <w:t>—</w:t>
            </w:r>
          </w:p>
        </w:tc>
        <w:tc>
          <w:tcPr>
            <w:tcW w:w="200" w:type="dxa"/>
            <w:vAlign w:val="bottom"/>
          </w:tcPr>
          <w:p>
            <w:pPr>
              <w:spacing w:after="0"/>
              <w:rPr>
                <w:sz w:val="12"/>
                <w:szCs w:val="12"/>
                <w:color w:val="auto"/>
              </w:rPr>
            </w:pPr>
          </w:p>
        </w:tc>
        <w:tc>
          <w:tcPr>
            <w:tcW w:w="780" w:type="dxa"/>
            <w:vAlign w:val="bottom"/>
          </w:tcPr>
          <w:p>
            <w:pPr>
              <w:jc w:val="right"/>
              <w:spacing w:after="0" w:line="149" w:lineRule="exact"/>
              <w:rPr>
                <w:sz w:val="20"/>
                <w:szCs w:val="20"/>
                <w:color w:val="auto"/>
              </w:rPr>
            </w:pPr>
            <w:r>
              <w:rPr>
                <w:rFonts w:ascii="Arial" w:cs="Arial" w:eastAsia="Arial" w:hAnsi="Arial"/>
                <w:sz w:val="14"/>
                <w:szCs w:val="14"/>
                <w:b w:val="1"/>
                <w:bCs w:val="1"/>
                <w:color w:val="auto"/>
              </w:rPr>
              <w:t>6,920</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800" w:type="dxa"/>
            <w:vAlign w:val="bottom"/>
          </w:tcPr>
          <w:p>
            <w:pPr>
              <w:ind w:left="200"/>
              <w:spacing w:after="0" w:line="149" w:lineRule="exact"/>
              <w:rPr>
                <w:sz w:val="20"/>
                <w:szCs w:val="20"/>
                <w:color w:val="auto"/>
              </w:rPr>
            </w:pPr>
            <w:r>
              <w:rPr>
                <w:rFonts w:ascii="Arial" w:cs="Arial" w:eastAsia="Arial" w:hAnsi="Arial"/>
                <w:sz w:val="14"/>
                <w:szCs w:val="14"/>
                <w:color w:val="auto"/>
              </w:rPr>
              <w:t>Minority interest</w:t>
            </w:r>
          </w:p>
        </w:tc>
        <w:tc>
          <w:tcPr>
            <w:tcW w:w="280" w:type="dxa"/>
            <w:vAlign w:val="bottom"/>
          </w:tcPr>
          <w:p>
            <w:pPr>
              <w:spacing w:after="0"/>
              <w:rPr>
                <w:sz w:val="12"/>
                <w:szCs w:val="12"/>
                <w:color w:val="auto"/>
              </w:rPr>
            </w:pPr>
          </w:p>
        </w:tc>
        <w:tc>
          <w:tcPr>
            <w:tcW w:w="600" w:type="dxa"/>
            <w:vAlign w:val="bottom"/>
          </w:tcPr>
          <w:p>
            <w:pPr>
              <w:jc w:val="right"/>
              <w:ind w:right="92"/>
              <w:spacing w:after="0" w:line="149" w:lineRule="exact"/>
              <w:rPr>
                <w:sz w:val="20"/>
                <w:szCs w:val="20"/>
                <w:color w:val="auto"/>
              </w:rPr>
            </w:pPr>
            <w:r>
              <w:rPr>
                <w:rFonts w:ascii="Arial" w:cs="Arial" w:eastAsia="Arial" w:hAnsi="Arial"/>
                <w:sz w:val="14"/>
                <w:szCs w:val="14"/>
                <w:color w:val="auto"/>
              </w:rPr>
              <w:t>—</w:t>
            </w:r>
          </w:p>
        </w:tc>
        <w:tc>
          <w:tcPr>
            <w:tcW w:w="260" w:type="dxa"/>
            <w:vAlign w:val="bottom"/>
          </w:tcPr>
          <w:p>
            <w:pPr>
              <w:spacing w:after="0"/>
              <w:rPr>
                <w:sz w:val="12"/>
                <w:szCs w:val="12"/>
                <w:color w:val="auto"/>
              </w:rPr>
            </w:pPr>
          </w:p>
        </w:tc>
        <w:tc>
          <w:tcPr>
            <w:tcW w:w="560" w:type="dxa"/>
            <w:vAlign w:val="bottom"/>
          </w:tcPr>
          <w:p>
            <w:pPr>
              <w:jc w:val="right"/>
              <w:ind w:right="92"/>
              <w:spacing w:after="0" w:line="149" w:lineRule="exact"/>
              <w:rPr>
                <w:sz w:val="20"/>
                <w:szCs w:val="20"/>
                <w:color w:val="auto"/>
              </w:rPr>
            </w:pPr>
            <w:r>
              <w:rPr>
                <w:rFonts w:ascii="Arial" w:cs="Arial" w:eastAsia="Arial" w:hAnsi="Arial"/>
                <w:sz w:val="14"/>
                <w:szCs w:val="14"/>
                <w:color w:val="auto"/>
              </w:rPr>
              <w:t>—</w:t>
            </w:r>
          </w:p>
        </w:tc>
        <w:tc>
          <w:tcPr>
            <w:tcW w:w="260" w:type="dxa"/>
            <w:vAlign w:val="bottom"/>
          </w:tcPr>
          <w:p>
            <w:pPr>
              <w:spacing w:after="0"/>
              <w:rPr>
                <w:sz w:val="12"/>
                <w:szCs w:val="12"/>
                <w:color w:val="auto"/>
              </w:rPr>
            </w:pPr>
          </w:p>
        </w:tc>
        <w:tc>
          <w:tcPr>
            <w:tcW w:w="600" w:type="dxa"/>
            <w:vAlign w:val="bottom"/>
          </w:tcPr>
          <w:p>
            <w:pPr>
              <w:jc w:val="right"/>
              <w:ind w:right="112"/>
              <w:spacing w:after="0" w:line="149" w:lineRule="exact"/>
              <w:rPr>
                <w:sz w:val="20"/>
                <w:szCs w:val="20"/>
                <w:color w:val="auto"/>
              </w:rPr>
            </w:pPr>
            <w:r>
              <w:rPr>
                <w:rFonts w:ascii="Arial" w:cs="Arial" w:eastAsia="Arial" w:hAnsi="Arial"/>
                <w:sz w:val="14"/>
                <w:szCs w:val="14"/>
                <w:color w:val="auto"/>
              </w:rPr>
              <w:t>—</w:t>
            </w:r>
          </w:p>
        </w:tc>
        <w:tc>
          <w:tcPr>
            <w:tcW w:w="260" w:type="dxa"/>
            <w:vAlign w:val="bottom"/>
          </w:tcPr>
          <w:p>
            <w:pPr>
              <w:spacing w:after="0"/>
              <w:rPr>
                <w:sz w:val="12"/>
                <w:szCs w:val="12"/>
                <w:color w:val="auto"/>
              </w:rPr>
            </w:pPr>
          </w:p>
        </w:tc>
        <w:tc>
          <w:tcPr>
            <w:tcW w:w="700" w:type="dxa"/>
            <w:vAlign w:val="bottom"/>
          </w:tcPr>
          <w:p>
            <w:pPr>
              <w:jc w:val="right"/>
              <w:ind w:right="112"/>
              <w:spacing w:after="0" w:line="149" w:lineRule="exact"/>
              <w:rPr>
                <w:sz w:val="20"/>
                <w:szCs w:val="20"/>
                <w:color w:val="auto"/>
              </w:rPr>
            </w:pPr>
            <w:r>
              <w:rPr>
                <w:rFonts w:ascii="Arial" w:cs="Arial" w:eastAsia="Arial" w:hAnsi="Arial"/>
                <w:sz w:val="14"/>
                <w:szCs w:val="14"/>
                <w:color w:val="auto"/>
              </w:rPr>
              <w:t>—</w:t>
            </w:r>
          </w:p>
        </w:tc>
        <w:tc>
          <w:tcPr>
            <w:tcW w:w="260" w:type="dxa"/>
            <w:vAlign w:val="bottom"/>
          </w:tcPr>
          <w:p>
            <w:pPr>
              <w:spacing w:after="0"/>
              <w:rPr>
                <w:sz w:val="12"/>
                <w:szCs w:val="12"/>
                <w:color w:val="auto"/>
              </w:rPr>
            </w:pPr>
          </w:p>
        </w:tc>
        <w:tc>
          <w:tcPr>
            <w:tcW w:w="620" w:type="dxa"/>
            <w:vAlign w:val="bottom"/>
          </w:tcPr>
          <w:p>
            <w:pPr>
              <w:jc w:val="right"/>
              <w:ind w:right="112"/>
              <w:spacing w:after="0" w:line="149" w:lineRule="exact"/>
              <w:rPr>
                <w:sz w:val="20"/>
                <w:szCs w:val="20"/>
                <w:color w:val="auto"/>
              </w:rPr>
            </w:pPr>
            <w:r>
              <w:rPr>
                <w:rFonts w:ascii="Arial" w:cs="Arial" w:eastAsia="Arial" w:hAnsi="Arial"/>
                <w:sz w:val="14"/>
                <w:szCs w:val="14"/>
                <w:color w:val="auto"/>
              </w:rPr>
              <w:t>—</w:t>
            </w:r>
          </w:p>
        </w:tc>
        <w:tc>
          <w:tcPr>
            <w:tcW w:w="260" w:type="dxa"/>
            <w:vAlign w:val="bottom"/>
          </w:tcPr>
          <w:p>
            <w:pPr>
              <w:spacing w:after="0"/>
              <w:rPr>
                <w:sz w:val="12"/>
                <w:szCs w:val="12"/>
                <w:color w:val="auto"/>
              </w:rPr>
            </w:pPr>
          </w:p>
        </w:tc>
        <w:tc>
          <w:tcPr>
            <w:tcW w:w="820" w:type="dxa"/>
            <w:vAlign w:val="bottom"/>
          </w:tcPr>
          <w:p>
            <w:pPr>
              <w:jc w:val="right"/>
              <w:ind w:right="112"/>
              <w:spacing w:after="0" w:line="149" w:lineRule="exact"/>
              <w:rPr>
                <w:sz w:val="20"/>
                <w:szCs w:val="20"/>
                <w:color w:val="auto"/>
              </w:rPr>
            </w:pPr>
            <w:r>
              <w:rPr>
                <w:rFonts w:ascii="Arial" w:cs="Arial" w:eastAsia="Arial" w:hAnsi="Arial"/>
                <w:sz w:val="14"/>
                <w:szCs w:val="14"/>
                <w:color w:val="auto"/>
              </w:rPr>
              <w:t>657</w:t>
            </w:r>
          </w:p>
        </w:tc>
        <w:tc>
          <w:tcPr>
            <w:tcW w:w="240" w:type="dxa"/>
            <w:vAlign w:val="bottom"/>
          </w:tcPr>
          <w:p>
            <w:pPr>
              <w:spacing w:after="0"/>
              <w:rPr>
                <w:sz w:val="12"/>
                <w:szCs w:val="12"/>
                <w:color w:val="auto"/>
              </w:rPr>
            </w:pPr>
          </w:p>
        </w:tc>
        <w:tc>
          <w:tcPr>
            <w:tcW w:w="900" w:type="dxa"/>
            <w:vAlign w:val="bottom"/>
          </w:tcPr>
          <w:p>
            <w:pPr>
              <w:jc w:val="right"/>
              <w:ind w:right="92"/>
              <w:spacing w:after="0" w:line="149" w:lineRule="exact"/>
              <w:rPr>
                <w:sz w:val="20"/>
                <w:szCs w:val="20"/>
                <w:color w:val="auto"/>
              </w:rPr>
            </w:pPr>
            <w:r>
              <w:rPr>
                <w:rFonts w:ascii="Arial" w:cs="Arial" w:eastAsia="Arial" w:hAnsi="Arial"/>
                <w:sz w:val="14"/>
                <w:szCs w:val="14"/>
                <w:color w:val="auto"/>
              </w:rPr>
              <w:t>—</w:t>
            </w:r>
          </w:p>
        </w:tc>
        <w:tc>
          <w:tcPr>
            <w:tcW w:w="200" w:type="dxa"/>
            <w:vAlign w:val="bottom"/>
          </w:tcPr>
          <w:p>
            <w:pPr>
              <w:spacing w:after="0"/>
              <w:rPr>
                <w:sz w:val="12"/>
                <w:szCs w:val="12"/>
                <w:color w:val="auto"/>
              </w:rPr>
            </w:pPr>
          </w:p>
        </w:tc>
        <w:tc>
          <w:tcPr>
            <w:tcW w:w="780" w:type="dxa"/>
            <w:vAlign w:val="bottom"/>
          </w:tcPr>
          <w:p>
            <w:pPr>
              <w:jc w:val="right"/>
              <w:spacing w:after="0" w:line="149" w:lineRule="exact"/>
              <w:rPr>
                <w:sz w:val="20"/>
                <w:szCs w:val="20"/>
                <w:color w:val="auto"/>
              </w:rPr>
            </w:pPr>
            <w:r>
              <w:rPr>
                <w:rFonts w:ascii="Arial" w:cs="Arial" w:eastAsia="Arial" w:hAnsi="Arial"/>
                <w:sz w:val="14"/>
                <w:szCs w:val="14"/>
                <w:b w:val="1"/>
                <w:bCs w:val="1"/>
                <w:color w:val="auto"/>
              </w:rPr>
              <w:t>657</w:t>
            </w:r>
          </w:p>
        </w:tc>
        <w:tc>
          <w:tcPr>
            <w:tcW w:w="0" w:type="dxa"/>
            <w:vAlign w:val="bottom"/>
          </w:tcPr>
          <w:p>
            <w:pPr>
              <w:spacing w:after="0"/>
              <w:rPr>
                <w:sz w:val="1"/>
                <w:szCs w:val="1"/>
                <w:color w:val="auto"/>
              </w:rPr>
            </w:pPr>
          </w:p>
        </w:tc>
      </w:tr>
      <w:tr>
        <w:trPr>
          <w:trHeight w:val="165"/>
        </w:trPr>
        <w:tc>
          <w:tcPr>
            <w:tcW w:w="20" w:type="dxa"/>
            <w:vAlign w:val="bottom"/>
          </w:tcPr>
          <w:p>
            <w:pPr>
              <w:spacing w:after="0"/>
              <w:rPr>
                <w:sz w:val="14"/>
                <w:szCs w:val="14"/>
                <w:color w:val="auto"/>
              </w:rPr>
            </w:pPr>
          </w:p>
        </w:tc>
        <w:tc>
          <w:tcPr>
            <w:tcW w:w="3800" w:type="dxa"/>
            <w:vAlign w:val="bottom"/>
          </w:tcPr>
          <w:p>
            <w:pPr>
              <w:ind w:left="200"/>
              <w:spacing w:after="0"/>
              <w:rPr>
                <w:sz w:val="20"/>
                <w:szCs w:val="20"/>
                <w:color w:val="auto"/>
              </w:rPr>
            </w:pPr>
            <w:r>
              <w:rPr>
                <w:rFonts w:ascii="Arial" w:cs="Arial" w:eastAsia="Arial" w:hAnsi="Arial"/>
                <w:sz w:val="14"/>
                <w:szCs w:val="14"/>
                <w:color w:val="auto"/>
              </w:rPr>
              <w:t>Noncurrent liabilities of discontinued operations</w:t>
            </w:r>
          </w:p>
        </w:tc>
        <w:tc>
          <w:tcPr>
            <w:tcW w:w="280" w:type="dxa"/>
            <w:vAlign w:val="bottom"/>
          </w:tcPr>
          <w:p>
            <w:pPr>
              <w:spacing w:after="0"/>
              <w:rPr>
                <w:sz w:val="14"/>
                <w:szCs w:val="14"/>
                <w:color w:val="auto"/>
              </w:rPr>
            </w:pPr>
          </w:p>
        </w:tc>
        <w:tc>
          <w:tcPr>
            <w:tcW w:w="600" w:type="dxa"/>
            <w:vAlign w:val="bottom"/>
          </w:tcPr>
          <w:p>
            <w:pPr>
              <w:jc w:val="right"/>
              <w:ind w:right="92"/>
              <w:spacing w:after="0"/>
              <w:rPr>
                <w:sz w:val="20"/>
                <w:szCs w:val="20"/>
                <w:color w:val="auto"/>
              </w:rPr>
            </w:pPr>
            <w:r>
              <w:rPr>
                <w:rFonts w:ascii="Arial" w:cs="Arial" w:eastAsia="Arial" w:hAnsi="Arial"/>
                <w:sz w:val="14"/>
                <w:szCs w:val="14"/>
                <w:color w:val="auto"/>
              </w:rPr>
              <w:t>—</w:t>
            </w:r>
          </w:p>
        </w:tc>
        <w:tc>
          <w:tcPr>
            <w:tcW w:w="260" w:type="dxa"/>
            <w:vAlign w:val="bottom"/>
          </w:tcPr>
          <w:p>
            <w:pPr>
              <w:spacing w:after="0"/>
              <w:rPr>
                <w:sz w:val="14"/>
                <w:szCs w:val="14"/>
                <w:color w:val="auto"/>
              </w:rPr>
            </w:pPr>
          </w:p>
        </w:tc>
        <w:tc>
          <w:tcPr>
            <w:tcW w:w="560" w:type="dxa"/>
            <w:vAlign w:val="bottom"/>
          </w:tcPr>
          <w:p>
            <w:pPr>
              <w:jc w:val="right"/>
              <w:ind w:right="92"/>
              <w:spacing w:after="0"/>
              <w:rPr>
                <w:sz w:val="20"/>
                <w:szCs w:val="20"/>
                <w:color w:val="auto"/>
              </w:rPr>
            </w:pPr>
            <w:r>
              <w:rPr>
                <w:rFonts w:ascii="Arial" w:cs="Arial" w:eastAsia="Arial" w:hAnsi="Arial"/>
                <w:sz w:val="14"/>
                <w:szCs w:val="14"/>
                <w:color w:val="auto"/>
              </w:rPr>
              <w:t>—</w:t>
            </w:r>
          </w:p>
        </w:tc>
        <w:tc>
          <w:tcPr>
            <w:tcW w:w="260" w:type="dxa"/>
            <w:vAlign w:val="bottom"/>
          </w:tcPr>
          <w:p>
            <w:pPr>
              <w:spacing w:after="0"/>
              <w:rPr>
                <w:sz w:val="14"/>
                <w:szCs w:val="14"/>
                <w:color w:val="auto"/>
              </w:rPr>
            </w:pPr>
          </w:p>
        </w:tc>
        <w:tc>
          <w:tcPr>
            <w:tcW w:w="600" w:type="dxa"/>
            <w:vAlign w:val="bottom"/>
          </w:tcPr>
          <w:p>
            <w:pPr>
              <w:jc w:val="right"/>
              <w:ind w:right="112"/>
              <w:spacing w:after="0"/>
              <w:rPr>
                <w:sz w:val="20"/>
                <w:szCs w:val="20"/>
                <w:color w:val="auto"/>
              </w:rPr>
            </w:pPr>
            <w:r>
              <w:rPr>
                <w:rFonts w:ascii="Arial" w:cs="Arial" w:eastAsia="Arial" w:hAnsi="Arial"/>
                <w:sz w:val="14"/>
                <w:szCs w:val="14"/>
                <w:color w:val="auto"/>
              </w:rPr>
              <w:t>—</w:t>
            </w:r>
          </w:p>
        </w:tc>
        <w:tc>
          <w:tcPr>
            <w:tcW w:w="260" w:type="dxa"/>
            <w:vAlign w:val="bottom"/>
          </w:tcPr>
          <w:p>
            <w:pPr>
              <w:spacing w:after="0"/>
              <w:rPr>
                <w:sz w:val="14"/>
                <w:szCs w:val="14"/>
                <w:color w:val="auto"/>
              </w:rPr>
            </w:pPr>
          </w:p>
        </w:tc>
        <w:tc>
          <w:tcPr>
            <w:tcW w:w="700" w:type="dxa"/>
            <w:vAlign w:val="bottom"/>
          </w:tcPr>
          <w:p>
            <w:pPr>
              <w:jc w:val="right"/>
              <w:ind w:right="112"/>
              <w:spacing w:after="0"/>
              <w:rPr>
                <w:sz w:val="20"/>
                <w:szCs w:val="20"/>
                <w:color w:val="auto"/>
              </w:rPr>
            </w:pPr>
            <w:r>
              <w:rPr>
                <w:rFonts w:ascii="Arial" w:cs="Arial" w:eastAsia="Arial" w:hAnsi="Arial"/>
                <w:sz w:val="14"/>
                <w:szCs w:val="14"/>
                <w:color w:val="auto"/>
              </w:rPr>
              <w:t>—</w:t>
            </w:r>
          </w:p>
        </w:tc>
        <w:tc>
          <w:tcPr>
            <w:tcW w:w="260" w:type="dxa"/>
            <w:vAlign w:val="bottom"/>
          </w:tcPr>
          <w:p>
            <w:pPr>
              <w:spacing w:after="0"/>
              <w:rPr>
                <w:sz w:val="14"/>
                <w:szCs w:val="14"/>
                <w:color w:val="auto"/>
              </w:rPr>
            </w:pPr>
          </w:p>
        </w:tc>
        <w:tc>
          <w:tcPr>
            <w:tcW w:w="620" w:type="dxa"/>
            <w:vAlign w:val="bottom"/>
          </w:tcPr>
          <w:p>
            <w:pPr>
              <w:jc w:val="right"/>
              <w:ind w:right="112"/>
              <w:spacing w:after="0"/>
              <w:rPr>
                <w:sz w:val="20"/>
                <w:szCs w:val="20"/>
                <w:color w:val="auto"/>
              </w:rPr>
            </w:pPr>
            <w:r>
              <w:rPr>
                <w:rFonts w:ascii="Arial" w:cs="Arial" w:eastAsia="Arial" w:hAnsi="Arial"/>
                <w:sz w:val="14"/>
                <w:szCs w:val="14"/>
                <w:color w:val="auto"/>
              </w:rPr>
              <w:t>—</w:t>
            </w:r>
          </w:p>
        </w:tc>
        <w:tc>
          <w:tcPr>
            <w:tcW w:w="260" w:type="dxa"/>
            <w:vAlign w:val="bottom"/>
          </w:tcPr>
          <w:p>
            <w:pPr>
              <w:spacing w:after="0"/>
              <w:rPr>
                <w:sz w:val="14"/>
                <w:szCs w:val="14"/>
                <w:color w:val="auto"/>
              </w:rPr>
            </w:pPr>
          </w:p>
        </w:tc>
        <w:tc>
          <w:tcPr>
            <w:tcW w:w="820" w:type="dxa"/>
            <w:vAlign w:val="bottom"/>
          </w:tcPr>
          <w:p>
            <w:pPr>
              <w:jc w:val="right"/>
              <w:ind w:right="112"/>
              <w:spacing w:after="0"/>
              <w:rPr>
                <w:sz w:val="20"/>
                <w:szCs w:val="20"/>
                <w:color w:val="auto"/>
              </w:rPr>
            </w:pPr>
            <w:r>
              <w:rPr>
                <w:rFonts w:ascii="Arial" w:cs="Arial" w:eastAsia="Arial" w:hAnsi="Arial"/>
                <w:sz w:val="14"/>
                <w:szCs w:val="14"/>
                <w:color w:val="auto"/>
              </w:rPr>
              <w:t>28</w:t>
            </w:r>
          </w:p>
        </w:tc>
        <w:tc>
          <w:tcPr>
            <w:tcW w:w="240" w:type="dxa"/>
            <w:vAlign w:val="bottom"/>
          </w:tcPr>
          <w:p>
            <w:pPr>
              <w:spacing w:after="0"/>
              <w:rPr>
                <w:sz w:val="14"/>
                <w:szCs w:val="14"/>
                <w:color w:val="auto"/>
              </w:rPr>
            </w:pPr>
          </w:p>
        </w:tc>
        <w:tc>
          <w:tcPr>
            <w:tcW w:w="900" w:type="dxa"/>
            <w:vAlign w:val="bottom"/>
          </w:tcPr>
          <w:p>
            <w:pPr>
              <w:jc w:val="right"/>
              <w:ind w:right="92"/>
              <w:spacing w:after="0"/>
              <w:rPr>
                <w:sz w:val="20"/>
                <w:szCs w:val="20"/>
                <w:color w:val="auto"/>
              </w:rPr>
            </w:pPr>
            <w:r>
              <w:rPr>
                <w:rFonts w:ascii="Arial" w:cs="Arial" w:eastAsia="Arial" w:hAnsi="Arial"/>
                <w:sz w:val="14"/>
                <w:szCs w:val="14"/>
                <w:color w:val="auto"/>
              </w:rPr>
              <w:t>—</w:t>
            </w:r>
          </w:p>
        </w:tc>
        <w:tc>
          <w:tcPr>
            <w:tcW w:w="200" w:type="dxa"/>
            <w:vAlign w:val="bottom"/>
          </w:tcPr>
          <w:p>
            <w:pPr>
              <w:spacing w:after="0"/>
              <w:rPr>
                <w:sz w:val="14"/>
                <w:szCs w:val="14"/>
                <w:color w:val="auto"/>
              </w:rPr>
            </w:pPr>
          </w:p>
        </w:tc>
        <w:tc>
          <w:tcPr>
            <w:tcW w:w="780" w:type="dxa"/>
            <w:vAlign w:val="bottom"/>
          </w:tcPr>
          <w:p>
            <w:pPr>
              <w:jc w:val="right"/>
              <w:spacing w:after="0"/>
              <w:rPr>
                <w:sz w:val="20"/>
                <w:szCs w:val="20"/>
                <w:color w:val="auto"/>
              </w:rPr>
            </w:pPr>
            <w:r>
              <w:rPr>
                <w:rFonts w:ascii="Arial" w:cs="Arial" w:eastAsia="Arial" w:hAnsi="Arial"/>
                <w:sz w:val="14"/>
                <w:szCs w:val="14"/>
                <w:b w:val="1"/>
                <w:bCs w:val="1"/>
                <w:color w:val="auto"/>
              </w:rPr>
              <w:t>28</w:t>
            </w:r>
          </w:p>
        </w:tc>
        <w:tc>
          <w:tcPr>
            <w:tcW w:w="0" w:type="dxa"/>
            <w:vAlign w:val="bottom"/>
          </w:tcPr>
          <w:p>
            <w:pPr>
              <w:spacing w:after="0"/>
              <w:rPr>
                <w:sz w:val="1"/>
                <w:szCs w:val="1"/>
                <w:color w:val="auto"/>
              </w:rPr>
            </w:pPr>
          </w:p>
        </w:tc>
      </w:tr>
      <w:tr>
        <w:trPr>
          <w:trHeight w:val="149"/>
        </w:trPr>
        <w:tc>
          <w:tcPr>
            <w:tcW w:w="3820" w:type="dxa"/>
            <w:vAlign w:val="bottom"/>
            <w:gridSpan w:val="2"/>
          </w:tcPr>
          <w:p>
            <w:pPr>
              <w:spacing w:after="0" w:line="149" w:lineRule="exact"/>
              <w:rPr>
                <w:sz w:val="20"/>
                <w:szCs w:val="20"/>
                <w:color w:val="auto"/>
              </w:rPr>
            </w:pPr>
            <w:r>
              <w:rPr>
                <w:rFonts w:ascii="Arial" w:cs="Arial" w:eastAsia="Arial" w:hAnsi="Arial"/>
                <w:sz w:val="14"/>
                <w:szCs w:val="14"/>
                <w:color w:val="auto"/>
              </w:rPr>
              <w:t>Stockholders’ Equity</w:t>
            </w:r>
          </w:p>
        </w:tc>
        <w:tc>
          <w:tcPr>
            <w:tcW w:w="28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90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780" w:type="dxa"/>
            <w:vAlign w:val="bottom"/>
            <w:vMerge w:val="restart"/>
          </w:tcPr>
          <w:p>
            <w:pPr>
              <w:jc w:val="right"/>
              <w:spacing w:after="0"/>
              <w:rPr>
                <w:sz w:val="20"/>
                <w:szCs w:val="20"/>
                <w:color w:val="auto"/>
              </w:rPr>
            </w:pPr>
            <w:r>
              <w:rPr>
                <w:rFonts w:ascii="Arial" w:cs="Arial" w:eastAsia="Arial" w:hAnsi="Arial"/>
                <w:sz w:val="14"/>
                <w:szCs w:val="14"/>
                <w:b w:val="1"/>
                <w:bCs w:val="1"/>
                <w:color w:val="auto"/>
              </w:rPr>
              <w:t>36</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3800" w:type="dxa"/>
            <w:vAlign w:val="bottom"/>
          </w:tcPr>
          <w:p>
            <w:pPr>
              <w:ind w:left="200"/>
              <w:spacing w:after="0" w:line="133" w:lineRule="exact"/>
              <w:rPr>
                <w:sz w:val="20"/>
                <w:szCs w:val="20"/>
                <w:color w:val="auto"/>
              </w:rPr>
            </w:pPr>
            <w:r>
              <w:rPr>
                <w:rFonts w:ascii="Arial" w:cs="Arial" w:eastAsia="Arial" w:hAnsi="Arial"/>
                <w:sz w:val="14"/>
                <w:szCs w:val="14"/>
                <w:color w:val="auto"/>
              </w:rPr>
              <w:t>Common stock</w:t>
            </w:r>
          </w:p>
        </w:tc>
        <w:tc>
          <w:tcPr>
            <w:tcW w:w="280" w:type="dxa"/>
            <w:vAlign w:val="bottom"/>
          </w:tcPr>
          <w:p>
            <w:pPr>
              <w:spacing w:after="0"/>
              <w:rPr>
                <w:sz w:val="11"/>
                <w:szCs w:val="11"/>
                <w:color w:val="auto"/>
              </w:rPr>
            </w:pPr>
          </w:p>
        </w:tc>
        <w:tc>
          <w:tcPr>
            <w:tcW w:w="600" w:type="dxa"/>
            <w:vAlign w:val="bottom"/>
          </w:tcPr>
          <w:p>
            <w:pPr>
              <w:jc w:val="right"/>
              <w:ind w:right="92"/>
              <w:spacing w:after="0" w:line="133" w:lineRule="exact"/>
              <w:rPr>
                <w:sz w:val="20"/>
                <w:szCs w:val="20"/>
                <w:color w:val="auto"/>
              </w:rPr>
            </w:pPr>
            <w:r>
              <w:rPr>
                <w:rFonts w:ascii="Arial" w:cs="Arial" w:eastAsia="Arial" w:hAnsi="Arial"/>
                <w:sz w:val="14"/>
                <w:szCs w:val="14"/>
                <w:color w:val="auto"/>
              </w:rPr>
              <w:t>36</w:t>
            </w:r>
          </w:p>
        </w:tc>
        <w:tc>
          <w:tcPr>
            <w:tcW w:w="260" w:type="dxa"/>
            <w:vAlign w:val="bottom"/>
          </w:tcPr>
          <w:p>
            <w:pPr>
              <w:spacing w:after="0"/>
              <w:rPr>
                <w:sz w:val="11"/>
                <w:szCs w:val="11"/>
                <w:color w:val="auto"/>
              </w:rPr>
            </w:pPr>
          </w:p>
        </w:tc>
        <w:tc>
          <w:tcPr>
            <w:tcW w:w="560" w:type="dxa"/>
            <w:vAlign w:val="bottom"/>
          </w:tcPr>
          <w:p>
            <w:pPr>
              <w:jc w:val="right"/>
              <w:ind w:right="92"/>
              <w:spacing w:after="0" w:line="133" w:lineRule="exact"/>
              <w:rPr>
                <w:sz w:val="20"/>
                <w:szCs w:val="20"/>
                <w:color w:val="auto"/>
              </w:rPr>
            </w:pPr>
            <w:r>
              <w:rPr>
                <w:rFonts w:ascii="Arial" w:cs="Arial" w:eastAsia="Arial" w:hAnsi="Arial"/>
                <w:sz w:val="14"/>
                <w:szCs w:val="14"/>
                <w:color w:val="auto"/>
              </w:rPr>
              <w:t>—</w:t>
            </w:r>
          </w:p>
        </w:tc>
        <w:tc>
          <w:tcPr>
            <w:tcW w:w="260" w:type="dxa"/>
            <w:vAlign w:val="bottom"/>
          </w:tcPr>
          <w:p>
            <w:pPr>
              <w:spacing w:after="0"/>
              <w:rPr>
                <w:sz w:val="11"/>
                <w:szCs w:val="11"/>
                <w:color w:val="auto"/>
              </w:rPr>
            </w:pPr>
          </w:p>
        </w:tc>
        <w:tc>
          <w:tcPr>
            <w:tcW w:w="600" w:type="dxa"/>
            <w:vAlign w:val="bottom"/>
          </w:tcPr>
          <w:p>
            <w:pPr>
              <w:jc w:val="right"/>
              <w:ind w:right="112"/>
              <w:spacing w:after="0" w:line="133" w:lineRule="exact"/>
              <w:rPr>
                <w:sz w:val="20"/>
                <w:szCs w:val="20"/>
                <w:color w:val="auto"/>
              </w:rPr>
            </w:pPr>
            <w:r>
              <w:rPr>
                <w:rFonts w:ascii="Arial" w:cs="Arial" w:eastAsia="Arial" w:hAnsi="Arial"/>
                <w:sz w:val="14"/>
                <w:szCs w:val="14"/>
                <w:color w:val="auto"/>
              </w:rPr>
              <w:t>—</w:t>
            </w:r>
          </w:p>
        </w:tc>
        <w:tc>
          <w:tcPr>
            <w:tcW w:w="260" w:type="dxa"/>
            <w:vAlign w:val="bottom"/>
          </w:tcPr>
          <w:p>
            <w:pPr>
              <w:spacing w:after="0"/>
              <w:rPr>
                <w:sz w:val="11"/>
                <w:szCs w:val="11"/>
                <w:color w:val="auto"/>
              </w:rPr>
            </w:pPr>
          </w:p>
        </w:tc>
        <w:tc>
          <w:tcPr>
            <w:tcW w:w="700" w:type="dxa"/>
            <w:vAlign w:val="bottom"/>
          </w:tcPr>
          <w:p>
            <w:pPr>
              <w:jc w:val="right"/>
              <w:ind w:right="112"/>
              <w:spacing w:after="0" w:line="133" w:lineRule="exact"/>
              <w:rPr>
                <w:sz w:val="20"/>
                <w:szCs w:val="20"/>
                <w:color w:val="auto"/>
              </w:rPr>
            </w:pPr>
            <w:r>
              <w:rPr>
                <w:rFonts w:ascii="Arial" w:cs="Arial" w:eastAsia="Arial" w:hAnsi="Arial"/>
                <w:sz w:val="14"/>
                <w:szCs w:val="14"/>
                <w:color w:val="auto"/>
              </w:rPr>
              <w:t>—</w:t>
            </w:r>
          </w:p>
        </w:tc>
        <w:tc>
          <w:tcPr>
            <w:tcW w:w="260" w:type="dxa"/>
            <w:vAlign w:val="bottom"/>
          </w:tcPr>
          <w:p>
            <w:pPr>
              <w:spacing w:after="0"/>
              <w:rPr>
                <w:sz w:val="11"/>
                <w:szCs w:val="11"/>
                <w:color w:val="auto"/>
              </w:rPr>
            </w:pPr>
          </w:p>
        </w:tc>
        <w:tc>
          <w:tcPr>
            <w:tcW w:w="620" w:type="dxa"/>
            <w:vAlign w:val="bottom"/>
          </w:tcPr>
          <w:p>
            <w:pPr>
              <w:jc w:val="right"/>
              <w:ind w:right="112"/>
              <w:spacing w:after="0" w:line="133" w:lineRule="exact"/>
              <w:rPr>
                <w:sz w:val="20"/>
                <w:szCs w:val="20"/>
                <w:color w:val="auto"/>
              </w:rPr>
            </w:pPr>
            <w:r>
              <w:rPr>
                <w:rFonts w:ascii="Arial" w:cs="Arial" w:eastAsia="Arial" w:hAnsi="Arial"/>
                <w:sz w:val="14"/>
                <w:szCs w:val="14"/>
                <w:color w:val="auto"/>
              </w:rPr>
              <w:t>—</w:t>
            </w:r>
          </w:p>
        </w:tc>
        <w:tc>
          <w:tcPr>
            <w:tcW w:w="260" w:type="dxa"/>
            <w:vAlign w:val="bottom"/>
          </w:tcPr>
          <w:p>
            <w:pPr>
              <w:spacing w:after="0"/>
              <w:rPr>
                <w:sz w:val="11"/>
                <w:szCs w:val="11"/>
                <w:color w:val="auto"/>
              </w:rPr>
            </w:pPr>
          </w:p>
        </w:tc>
        <w:tc>
          <w:tcPr>
            <w:tcW w:w="820" w:type="dxa"/>
            <w:vAlign w:val="bottom"/>
          </w:tcPr>
          <w:p>
            <w:pPr>
              <w:jc w:val="right"/>
              <w:ind w:right="112"/>
              <w:spacing w:after="0" w:line="133" w:lineRule="exact"/>
              <w:rPr>
                <w:sz w:val="20"/>
                <w:szCs w:val="20"/>
                <w:color w:val="auto"/>
              </w:rPr>
            </w:pPr>
            <w:r>
              <w:rPr>
                <w:rFonts w:ascii="Arial" w:cs="Arial" w:eastAsia="Arial" w:hAnsi="Arial"/>
                <w:sz w:val="14"/>
                <w:szCs w:val="14"/>
                <w:color w:val="auto"/>
              </w:rPr>
              <w:t>—</w:t>
            </w:r>
          </w:p>
        </w:tc>
        <w:tc>
          <w:tcPr>
            <w:tcW w:w="240" w:type="dxa"/>
            <w:vAlign w:val="bottom"/>
          </w:tcPr>
          <w:p>
            <w:pPr>
              <w:spacing w:after="0"/>
              <w:rPr>
                <w:sz w:val="11"/>
                <w:szCs w:val="11"/>
                <w:color w:val="auto"/>
              </w:rPr>
            </w:pPr>
          </w:p>
        </w:tc>
        <w:tc>
          <w:tcPr>
            <w:tcW w:w="900" w:type="dxa"/>
            <w:vAlign w:val="bottom"/>
          </w:tcPr>
          <w:p>
            <w:pPr>
              <w:jc w:val="right"/>
              <w:ind w:right="92"/>
              <w:spacing w:after="0" w:line="133" w:lineRule="exact"/>
              <w:rPr>
                <w:sz w:val="20"/>
                <w:szCs w:val="20"/>
                <w:color w:val="auto"/>
              </w:rPr>
            </w:pPr>
            <w:r>
              <w:rPr>
                <w:rFonts w:ascii="Arial" w:cs="Arial" w:eastAsia="Arial" w:hAnsi="Arial"/>
                <w:sz w:val="14"/>
                <w:szCs w:val="14"/>
                <w:color w:val="auto"/>
              </w:rPr>
              <w:t>—</w:t>
            </w:r>
          </w:p>
        </w:tc>
        <w:tc>
          <w:tcPr>
            <w:tcW w:w="200" w:type="dxa"/>
            <w:vAlign w:val="bottom"/>
          </w:tcPr>
          <w:p>
            <w:pPr>
              <w:spacing w:after="0"/>
              <w:rPr>
                <w:sz w:val="11"/>
                <w:szCs w:val="11"/>
                <w:color w:val="auto"/>
              </w:rPr>
            </w:pPr>
          </w:p>
        </w:tc>
        <w:tc>
          <w:tcPr>
            <w:tcW w:w="780" w:type="dxa"/>
            <w:vAlign w:val="bottom"/>
            <w:vMerge w:val="continue"/>
          </w:tcPr>
          <w:p>
            <w:pPr>
              <w:spacing w:after="0"/>
              <w:rPr>
                <w:sz w:val="11"/>
                <w:szCs w:val="11"/>
                <w:color w:val="auto"/>
              </w:rPr>
            </w:pPr>
          </w:p>
        </w:tc>
        <w:tc>
          <w:tcPr>
            <w:tcW w:w="0" w:type="dxa"/>
            <w:vAlign w:val="bottom"/>
          </w:tcPr>
          <w:p>
            <w:pPr>
              <w:spacing w:after="0"/>
              <w:rPr>
                <w:sz w:val="1"/>
                <w:szCs w:val="1"/>
                <w:color w:val="auto"/>
              </w:rPr>
            </w:pPr>
          </w:p>
        </w:tc>
      </w:tr>
      <w:tr>
        <w:trPr>
          <w:trHeight w:val="165"/>
        </w:trPr>
        <w:tc>
          <w:tcPr>
            <w:tcW w:w="20" w:type="dxa"/>
            <w:vAlign w:val="bottom"/>
          </w:tcPr>
          <w:p>
            <w:pPr>
              <w:spacing w:after="0"/>
              <w:rPr>
                <w:sz w:val="14"/>
                <w:szCs w:val="14"/>
                <w:color w:val="auto"/>
              </w:rPr>
            </w:pPr>
          </w:p>
        </w:tc>
        <w:tc>
          <w:tcPr>
            <w:tcW w:w="3800" w:type="dxa"/>
            <w:vAlign w:val="bottom"/>
            <w:tcBorders>
              <w:bottom w:val="single" w:sz="8" w:color="auto"/>
            </w:tcBorders>
          </w:tcPr>
          <w:p>
            <w:pPr>
              <w:ind w:left="200"/>
              <w:spacing w:after="0"/>
              <w:rPr>
                <w:sz w:val="20"/>
                <w:szCs w:val="20"/>
                <w:color w:val="auto"/>
              </w:rPr>
            </w:pPr>
            <w:r>
              <w:rPr>
                <w:rFonts w:ascii="Arial" w:cs="Arial" w:eastAsia="Arial" w:hAnsi="Arial"/>
                <w:sz w:val="14"/>
                <w:szCs w:val="14"/>
                <w:color w:val="auto"/>
              </w:rPr>
              <w:t>Other stockholders’ equity</w:t>
            </w:r>
          </w:p>
        </w:tc>
        <w:tc>
          <w:tcPr>
            <w:tcW w:w="280" w:type="dxa"/>
            <w:vAlign w:val="bottom"/>
            <w:tcBorders>
              <w:bottom w:val="single" w:sz="8" w:color="auto"/>
            </w:tcBorders>
          </w:tcPr>
          <w:p>
            <w:pPr>
              <w:spacing w:after="0"/>
              <w:rPr>
                <w:sz w:val="14"/>
                <w:szCs w:val="14"/>
                <w:color w:val="auto"/>
              </w:rPr>
            </w:pPr>
          </w:p>
        </w:tc>
        <w:tc>
          <w:tcPr>
            <w:tcW w:w="600" w:type="dxa"/>
            <w:vAlign w:val="bottom"/>
            <w:tcBorders>
              <w:bottom w:val="single" w:sz="8" w:color="auto"/>
            </w:tcBorders>
          </w:tcPr>
          <w:p>
            <w:pPr>
              <w:jc w:val="right"/>
              <w:ind w:right="92"/>
              <w:spacing w:after="0"/>
              <w:rPr>
                <w:sz w:val="20"/>
                <w:szCs w:val="20"/>
                <w:color w:val="auto"/>
              </w:rPr>
            </w:pPr>
            <w:r>
              <w:rPr>
                <w:rFonts w:ascii="Arial" w:cs="Arial" w:eastAsia="Arial" w:hAnsi="Arial"/>
                <w:sz w:val="14"/>
                <w:szCs w:val="14"/>
                <w:color w:val="auto"/>
                <w:w w:val="97"/>
              </w:rPr>
              <w:t>40,183</w:t>
            </w:r>
          </w:p>
        </w:tc>
        <w:tc>
          <w:tcPr>
            <w:tcW w:w="260" w:type="dxa"/>
            <w:vAlign w:val="bottom"/>
            <w:tcBorders>
              <w:bottom w:val="single" w:sz="8" w:color="auto"/>
            </w:tcBorders>
          </w:tcPr>
          <w:p>
            <w:pPr>
              <w:spacing w:after="0"/>
              <w:rPr>
                <w:sz w:val="14"/>
                <w:szCs w:val="14"/>
                <w:color w:val="auto"/>
              </w:rPr>
            </w:pPr>
          </w:p>
        </w:tc>
        <w:tc>
          <w:tcPr>
            <w:tcW w:w="560" w:type="dxa"/>
            <w:vAlign w:val="bottom"/>
            <w:tcBorders>
              <w:bottom w:val="single" w:sz="8" w:color="auto"/>
            </w:tcBorders>
          </w:tcPr>
          <w:p>
            <w:pPr>
              <w:jc w:val="right"/>
              <w:ind w:right="92"/>
              <w:spacing w:after="0"/>
              <w:rPr>
                <w:sz w:val="20"/>
                <w:szCs w:val="20"/>
                <w:color w:val="auto"/>
              </w:rPr>
            </w:pPr>
            <w:r>
              <w:rPr>
                <w:rFonts w:ascii="Arial" w:cs="Arial" w:eastAsia="Arial" w:hAnsi="Arial"/>
                <w:sz w:val="14"/>
                <w:szCs w:val="14"/>
                <w:color w:val="auto"/>
                <w:w w:val="88"/>
              </w:rPr>
              <w:t>23,697</w:t>
            </w:r>
          </w:p>
        </w:tc>
        <w:tc>
          <w:tcPr>
            <w:tcW w:w="260" w:type="dxa"/>
            <w:vAlign w:val="bottom"/>
            <w:tcBorders>
              <w:bottom w:val="single" w:sz="8" w:color="auto"/>
            </w:tcBorders>
          </w:tcPr>
          <w:p>
            <w:pPr>
              <w:spacing w:after="0"/>
              <w:rPr>
                <w:sz w:val="14"/>
                <w:szCs w:val="14"/>
                <w:color w:val="auto"/>
              </w:rPr>
            </w:pPr>
          </w:p>
        </w:tc>
        <w:tc>
          <w:tcPr>
            <w:tcW w:w="600" w:type="dxa"/>
            <w:vAlign w:val="bottom"/>
            <w:tcBorders>
              <w:bottom w:val="single" w:sz="8" w:color="auto"/>
            </w:tcBorders>
          </w:tcPr>
          <w:p>
            <w:pPr>
              <w:jc w:val="right"/>
              <w:ind w:right="112"/>
              <w:spacing w:after="0"/>
              <w:rPr>
                <w:sz w:val="20"/>
                <w:szCs w:val="20"/>
                <w:color w:val="auto"/>
              </w:rPr>
            </w:pPr>
            <w:r>
              <w:rPr>
                <w:rFonts w:ascii="Arial" w:cs="Arial" w:eastAsia="Arial" w:hAnsi="Arial"/>
                <w:sz w:val="14"/>
                <w:szCs w:val="14"/>
                <w:color w:val="auto"/>
                <w:w w:val="93"/>
              </w:rPr>
              <w:t>32,456</w:t>
            </w:r>
          </w:p>
        </w:tc>
        <w:tc>
          <w:tcPr>
            <w:tcW w:w="260" w:type="dxa"/>
            <w:vAlign w:val="bottom"/>
            <w:tcBorders>
              <w:bottom w:val="single" w:sz="8" w:color="auto"/>
            </w:tcBorders>
          </w:tcPr>
          <w:p>
            <w:pPr>
              <w:spacing w:after="0"/>
              <w:rPr>
                <w:sz w:val="14"/>
                <w:szCs w:val="14"/>
                <w:color w:val="auto"/>
              </w:rPr>
            </w:pPr>
          </w:p>
        </w:tc>
        <w:tc>
          <w:tcPr>
            <w:tcW w:w="700" w:type="dxa"/>
            <w:vAlign w:val="bottom"/>
            <w:tcBorders>
              <w:bottom w:val="single" w:sz="8" w:color="auto"/>
            </w:tcBorders>
          </w:tcPr>
          <w:p>
            <w:pPr>
              <w:jc w:val="right"/>
              <w:ind w:right="112"/>
              <w:spacing w:after="0"/>
              <w:rPr>
                <w:sz w:val="20"/>
                <w:szCs w:val="20"/>
                <w:color w:val="auto"/>
              </w:rPr>
            </w:pPr>
            <w:r>
              <w:rPr>
                <w:rFonts w:ascii="Arial" w:cs="Arial" w:eastAsia="Arial" w:hAnsi="Arial"/>
                <w:sz w:val="14"/>
                <w:szCs w:val="14"/>
                <w:color w:val="auto"/>
              </w:rPr>
              <w:t>36,042</w:t>
            </w:r>
          </w:p>
        </w:tc>
        <w:tc>
          <w:tcPr>
            <w:tcW w:w="260" w:type="dxa"/>
            <w:vAlign w:val="bottom"/>
            <w:tcBorders>
              <w:bottom w:val="single" w:sz="8" w:color="auto"/>
            </w:tcBorders>
          </w:tcPr>
          <w:p>
            <w:pPr>
              <w:spacing w:after="0"/>
              <w:rPr>
                <w:sz w:val="14"/>
                <w:szCs w:val="14"/>
                <w:color w:val="auto"/>
              </w:rPr>
            </w:pPr>
          </w:p>
        </w:tc>
        <w:tc>
          <w:tcPr>
            <w:tcW w:w="620" w:type="dxa"/>
            <w:vAlign w:val="bottom"/>
            <w:tcBorders>
              <w:bottom w:val="single" w:sz="8" w:color="auto"/>
            </w:tcBorders>
          </w:tcPr>
          <w:p>
            <w:pPr>
              <w:jc w:val="right"/>
              <w:ind w:right="112"/>
              <w:spacing w:after="0"/>
              <w:rPr>
                <w:sz w:val="20"/>
                <w:szCs w:val="20"/>
                <w:color w:val="auto"/>
              </w:rPr>
            </w:pPr>
            <w:r>
              <w:rPr>
                <w:rFonts w:ascii="Arial" w:cs="Arial" w:eastAsia="Arial" w:hAnsi="Arial"/>
                <w:sz w:val="14"/>
                <w:szCs w:val="14"/>
                <w:color w:val="auto"/>
                <w:w w:val="97"/>
              </w:rPr>
              <w:t>20,861</w:t>
            </w:r>
          </w:p>
        </w:tc>
        <w:tc>
          <w:tcPr>
            <w:tcW w:w="260" w:type="dxa"/>
            <w:vAlign w:val="bottom"/>
            <w:tcBorders>
              <w:bottom w:val="single" w:sz="8" w:color="auto"/>
            </w:tcBorders>
          </w:tcPr>
          <w:p>
            <w:pPr>
              <w:spacing w:after="0"/>
              <w:rPr>
                <w:sz w:val="14"/>
                <w:szCs w:val="14"/>
                <w:color w:val="auto"/>
              </w:rPr>
            </w:pPr>
          </w:p>
        </w:tc>
        <w:tc>
          <w:tcPr>
            <w:tcW w:w="820" w:type="dxa"/>
            <w:vAlign w:val="bottom"/>
            <w:tcBorders>
              <w:bottom w:val="single" w:sz="8" w:color="auto"/>
            </w:tcBorders>
          </w:tcPr>
          <w:p>
            <w:pPr>
              <w:jc w:val="right"/>
              <w:ind w:right="112"/>
              <w:spacing w:after="0"/>
              <w:rPr>
                <w:sz w:val="20"/>
                <w:szCs w:val="20"/>
                <w:color w:val="auto"/>
              </w:rPr>
            </w:pPr>
            <w:r>
              <w:rPr>
                <w:rFonts w:ascii="Arial" w:cs="Arial" w:eastAsia="Arial" w:hAnsi="Arial"/>
                <w:sz w:val="14"/>
                <w:szCs w:val="14"/>
                <w:color w:val="auto"/>
              </w:rPr>
              <w:t>69,830</w:t>
            </w:r>
          </w:p>
        </w:tc>
        <w:tc>
          <w:tcPr>
            <w:tcW w:w="240" w:type="dxa"/>
            <w:vAlign w:val="bottom"/>
            <w:tcBorders>
              <w:bottom w:val="single" w:sz="8" w:color="auto"/>
            </w:tcBorders>
          </w:tcPr>
          <w:p>
            <w:pPr>
              <w:spacing w:after="0"/>
              <w:rPr>
                <w:sz w:val="14"/>
                <w:szCs w:val="14"/>
                <w:color w:val="auto"/>
              </w:rPr>
            </w:pPr>
          </w:p>
        </w:tc>
        <w:tc>
          <w:tcPr>
            <w:tcW w:w="900" w:type="dxa"/>
            <w:vAlign w:val="bottom"/>
            <w:tcBorders>
              <w:bottom w:val="single" w:sz="8" w:color="auto"/>
            </w:tcBorders>
          </w:tcPr>
          <w:p>
            <w:pPr>
              <w:jc w:val="right"/>
              <w:ind w:right="32"/>
              <w:spacing w:after="0"/>
              <w:rPr>
                <w:sz w:val="20"/>
                <w:szCs w:val="20"/>
                <w:color w:val="auto"/>
              </w:rPr>
            </w:pPr>
            <w:r>
              <w:rPr>
                <w:rFonts w:ascii="Arial" w:cs="Arial" w:eastAsia="Arial" w:hAnsi="Arial"/>
                <w:sz w:val="14"/>
                <w:szCs w:val="14"/>
                <w:color w:val="auto"/>
              </w:rPr>
              <w:t>(182,886)</w:t>
            </w:r>
          </w:p>
        </w:tc>
        <w:tc>
          <w:tcPr>
            <w:tcW w:w="200" w:type="dxa"/>
            <w:vAlign w:val="bottom"/>
            <w:tcBorders>
              <w:bottom w:val="single" w:sz="8" w:color="auto"/>
            </w:tcBorders>
          </w:tcPr>
          <w:p>
            <w:pPr>
              <w:spacing w:after="0"/>
              <w:rPr>
                <w:sz w:val="14"/>
                <w:szCs w:val="14"/>
                <w:color w:val="auto"/>
              </w:rPr>
            </w:pPr>
          </w:p>
        </w:tc>
        <w:tc>
          <w:tcPr>
            <w:tcW w:w="78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40,183</w:t>
            </w: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3800" w:type="dxa"/>
            <w:vAlign w:val="bottom"/>
            <w:tcBorders>
              <w:bottom w:val="single" w:sz="8" w:color="auto"/>
            </w:tcBorders>
          </w:tcPr>
          <w:p>
            <w:pPr>
              <w:ind w:left="420"/>
              <w:spacing w:after="0" w:line="142" w:lineRule="exact"/>
              <w:rPr>
                <w:sz w:val="20"/>
                <w:szCs w:val="20"/>
                <w:color w:val="auto"/>
              </w:rPr>
            </w:pPr>
            <w:r>
              <w:rPr>
                <w:rFonts w:ascii="Arial" w:cs="Arial" w:eastAsia="Arial" w:hAnsi="Arial"/>
                <w:sz w:val="14"/>
                <w:szCs w:val="14"/>
                <w:color w:val="auto"/>
              </w:rPr>
              <w:t>Total stockholders’ equity</w:t>
            </w:r>
          </w:p>
        </w:tc>
        <w:tc>
          <w:tcPr>
            <w:tcW w:w="280" w:type="dxa"/>
            <w:vAlign w:val="bottom"/>
            <w:tcBorders>
              <w:bottom w:val="single" w:sz="8" w:color="auto"/>
            </w:tcBorders>
          </w:tcPr>
          <w:p>
            <w:pPr>
              <w:spacing w:after="0"/>
              <w:rPr>
                <w:sz w:val="12"/>
                <w:szCs w:val="12"/>
                <w:color w:val="auto"/>
              </w:rPr>
            </w:pPr>
          </w:p>
        </w:tc>
        <w:tc>
          <w:tcPr>
            <w:tcW w:w="600" w:type="dxa"/>
            <w:vAlign w:val="bottom"/>
            <w:tcBorders>
              <w:bottom w:val="single" w:sz="8" w:color="auto"/>
            </w:tcBorders>
          </w:tcPr>
          <w:p>
            <w:pPr>
              <w:jc w:val="right"/>
              <w:ind w:right="92"/>
              <w:spacing w:after="0" w:line="142" w:lineRule="exact"/>
              <w:rPr>
                <w:sz w:val="20"/>
                <w:szCs w:val="20"/>
                <w:color w:val="auto"/>
              </w:rPr>
            </w:pPr>
            <w:r>
              <w:rPr>
                <w:rFonts w:ascii="Arial" w:cs="Arial" w:eastAsia="Arial" w:hAnsi="Arial"/>
                <w:sz w:val="14"/>
                <w:szCs w:val="14"/>
                <w:color w:val="auto"/>
                <w:w w:val="97"/>
              </w:rPr>
              <w:t>40,219</w:t>
            </w:r>
          </w:p>
        </w:tc>
        <w:tc>
          <w:tcPr>
            <w:tcW w:w="260" w:type="dxa"/>
            <w:vAlign w:val="bottom"/>
            <w:tcBorders>
              <w:bottom w:val="single" w:sz="8" w:color="auto"/>
            </w:tcBorders>
          </w:tcPr>
          <w:p>
            <w:pPr>
              <w:spacing w:after="0"/>
              <w:rPr>
                <w:sz w:val="12"/>
                <w:szCs w:val="12"/>
                <w:color w:val="auto"/>
              </w:rPr>
            </w:pPr>
          </w:p>
        </w:tc>
        <w:tc>
          <w:tcPr>
            <w:tcW w:w="560" w:type="dxa"/>
            <w:vAlign w:val="bottom"/>
            <w:tcBorders>
              <w:bottom w:val="single" w:sz="8" w:color="auto"/>
            </w:tcBorders>
          </w:tcPr>
          <w:p>
            <w:pPr>
              <w:jc w:val="right"/>
              <w:ind w:right="92"/>
              <w:spacing w:after="0" w:line="142" w:lineRule="exact"/>
              <w:rPr>
                <w:sz w:val="20"/>
                <w:szCs w:val="20"/>
                <w:color w:val="auto"/>
              </w:rPr>
            </w:pPr>
            <w:r>
              <w:rPr>
                <w:rFonts w:ascii="Arial" w:cs="Arial" w:eastAsia="Arial" w:hAnsi="Arial"/>
                <w:sz w:val="14"/>
                <w:szCs w:val="14"/>
                <w:color w:val="auto"/>
                <w:w w:val="88"/>
              </w:rPr>
              <w:t>23,697</w:t>
            </w:r>
          </w:p>
        </w:tc>
        <w:tc>
          <w:tcPr>
            <w:tcW w:w="260" w:type="dxa"/>
            <w:vAlign w:val="bottom"/>
            <w:tcBorders>
              <w:bottom w:val="single" w:sz="8" w:color="auto"/>
            </w:tcBorders>
          </w:tcPr>
          <w:p>
            <w:pPr>
              <w:spacing w:after="0"/>
              <w:rPr>
                <w:sz w:val="12"/>
                <w:szCs w:val="12"/>
                <w:color w:val="auto"/>
              </w:rPr>
            </w:pPr>
          </w:p>
        </w:tc>
        <w:tc>
          <w:tcPr>
            <w:tcW w:w="600" w:type="dxa"/>
            <w:vAlign w:val="bottom"/>
            <w:tcBorders>
              <w:bottom w:val="single" w:sz="8" w:color="auto"/>
            </w:tcBorders>
          </w:tcPr>
          <w:p>
            <w:pPr>
              <w:jc w:val="right"/>
              <w:ind w:right="112"/>
              <w:spacing w:after="0" w:line="142" w:lineRule="exact"/>
              <w:rPr>
                <w:sz w:val="20"/>
                <w:szCs w:val="20"/>
                <w:color w:val="auto"/>
              </w:rPr>
            </w:pPr>
            <w:r>
              <w:rPr>
                <w:rFonts w:ascii="Arial" w:cs="Arial" w:eastAsia="Arial" w:hAnsi="Arial"/>
                <w:sz w:val="14"/>
                <w:szCs w:val="14"/>
                <w:color w:val="auto"/>
                <w:w w:val="93"/>
              </w:rPr>
              <w:t>32,456</w:t>
            </w:r>
          </w:p>
        </w:tc>
        <w:tc>
          <w:tcPr>
            <w:tcW w:w="260" w:type="dxa"/>
            <w:vAlign w:val="bottom"/>
            <w:tcBorders>
              <w:bottom w:val="single" w:sz="8" w:color="auto"/>
            </w:tcBorders>
          </w:tcPr>
          <w:p>
            <w:pPr>
              <w:spacing w:after="0"/>
              <w:rPr>
                <w:sz w:val="12"/>
                <w:szCs w:val="12"/>
                <w:color w:val="auto"/>
              </w:rPr>
            </w:pPr>
          </w:p>
        </w:tc>
        <w:tc>
          <w:tcPr>
            <w:tcW w:w="700" w:type="dxa"/>
            <w:vAlign w:val="bottom"/>
            <w:tcBorders>
              <w:bottom w:val="single" w:sz="8" w:color="auto"/>
            </w:tcBorders>
          </w:tcPr>
          <w:p>
            <w:pPr>
              <w:jc w:val="right"/>
              <w:ind w:right="112"/>
              <w:spacing w:after="0" w:line="142" w:lineRule="exact"/>
              <w:rPr>
                <w:sz w:val="20"/>
                <w:szCs w:val="20"/>
                <w:color w:val="auto"/>
              </w:rPr>
            </w:pPr>
            <w:r>
              <w:rPr>
                <w:rFonts w:ascii="Arial" w:cs="Arial" w:eastAsia="Arial" w:hAnsi="Arial"/>
                <w:sz w:val="14"/>
                <w:szCs w:val="14"/>
                <w:color w:val="auto"/>
              </w:rPr>
              <w:t>36,042</w:t>
            </w:r>
          </w:p>
        </w:tc>
        <w:tc>
          <w:tcPr>
            <w:tcW w:w="260" w:type="dxa"/>
            <w:vAlign w:val="bottom"/>
            <w:tcBorders>
              <w:bottom w:val="single" w:sz="8" w:color="auto"/>
            </w:tcBorders>
          </w:tcPr>
          <w:p>
            <w:pPr>
              <w:spacing w:after="0"/>
              <w:rPr>
                <w:sz w:val="12"/>
                <w:szCs w:val="12"/>
                <w:color w:val="auto"/>
              </w:rPr>
            </w:pPr>
          </w:p>
        </w:tc>
        <w:tc>
          <w:tcPr>
            <w:tcW w:w="620" w:type="dxa"/>
            <w:vAlign w:val="bottom"/>
            <w:tcBorders>
              <w:bottom w:val="single" w:sz="8" w:color="auto"/>
            </w:tcBorders>
          </w:tcPr>
          <w:p>
            <w:pPr>
              <w:jc w:val="right"/>
              <w:ind w:right="112"/>
              <w:spacing w:after="0" w:line="142" w:lineRule="exact"/>
              <w:rPr>
                <w:sz w:val="20"/>
                <w:szCs w:val="20"/>
                <w:color w:val="auto"/>
              </w:rPr>
            </w:pPr>
            <w:r>
              <w:rPr>
                <w:rFonts w:ascii="Arial" w:cs="Arial" w:eastAsia="Arial" w:hAnsi="Arial"/>
                <w:sz w:val="14"/>
                <w:szCs w:val="14"/>
                <w:color w:val="auto"/>
                <w:w w:val="97"/>
              </w:rPr>
              <w:t>20,861</w:t>
            </w:r>
          </w:p>
        </w:tc>
        <w:tc>
          <w:tcPr>
            <w:tcW w:w="260" w:type="dxa"/>
            <w:vAlign w:val="bottom"/>
            <w:tcBorders>
              <w:bottom w:val="single" w:sz="8" w:color="auto"/>
            </w:tcBorders>
          </w:tcPr>
          <w:p>
            <w:pPr>
              <w:spacing w:after="0"/>
              <w:rPr>
                <w:sz w:val="12"/>
                <w:szCs w:val="12"/>
                <w:color w:val="auto"/>
              </w:rPr>
            </w:pPr>
          </w:p>
        </w:tc>
        <w:tc>
          <w:tcPr>
            <w:tcW w:w="820" w:type="dxa"/>
            <w:vAlign w:val="bottom"/>
            <w:tcBorders>
              <w:bottom w:val="single" w:sz="8" w:color="auto"/>
            </w:tcBorders>
          </w:tcPr>
          <w:p>
            <w:pPr>
              <w:jc w:val="right"/>
              <w:ind w:right="112"/>
              <w:spacing w:after="0" w:line="142" w:lineRule="exact"/>
              <w:rPr>
                <w:sz w:val="20"/>
                <w:szCs w:val="20"/>
                <w:color w:val="auto"/>
              </w:rPr>
            </w:pPr>
            <w:r>
              <w:rPr>
                <w:rFonts w:ascii="Arial" w:cs="Arial" w:eastAsia="Arial" w:hAnsi="Arial"/>
                <w:sz w:val="14"/>
                <w:szCs w:val="14"/>
                <w:color w:val="auto"/>
              </w:rPr>
              <w:t>69,830</w:t>
            </w:r>
          </w:p>
        </w:tc>
        <w:tc>
          <w:tcPr>
            <w:tcW w:w="240" w:type="dxa"/>
            <w:vAlign w:val="bottom"/>
            <w:tcBorders>
              <w:bottom w:val="single" w:sz="8" w:color="auto"/>
            </w:tcBorders>
          </w:tcPr>
          <w:p>
            <w:pPr>
              <w:spacing w:after="0"/>
              <w:rPr>
                <w:sz w:val="12"/>
                <w:szCs w:val="12"/>
                <w:color w:val="auto"/>
              </w:rPr>
            </w:pPr>
          </w:p>
        </w:tc>
        <w:tc>
          <w:tcPr>
            <w:tcW w:w="900" w:type="dxa"/>
            <w:vAlign w:val="bottom"/>
            <w:tcBorders>
              <w:bottom w:val="single" w:sz="8" w:color="auto"/>
            </w:tcBorders>
          </w:tcPr>
          <w:p>
            <w:pPr>
              <w:jc w:val="right"/>
              <w:ind w:right="32"/>
              <w:spacing w:after="0" w:line="142" w:lineRule="exact"/>
              <w:rPr>
                <w:sz w:val="20"/>
                <w:szCs w:val="20"/>
                <w:color w:val="auto"/>
              </w:rPr>
            </w:pPr>
            <w:r>
              <w:rPr>
                <w:rFonts w:ascii="Arial" w:cs="Arial" w:eastAsia="Arial" w:hAnsi="Arial"/>
                <w:sz w:val="14"/>
                <w:szCs w:val="14"/>
                <w:color w:val="auto"/>
              </w:rPr>
              <w:t>(182,886)</w:t>
            </w:r>
          </w:p>
        </w:tc>
        <w:tc>
          <w:tcPr>
            <w:tcW w:w="200" w:type="dxa"/>
            <w:vAlign w:val="bottom"/>
            <w:tcBorders>
              <w:bottom w:val="single" w:sz="8" w:color="auto"/>
            </w:tcBorders>
          </w:tcPr>
          <w:p>
            <w:pPr>
              <w:spacing w:after="0"/>
              <w:rPr>
                <w:sz w:val="12"/>
                <w:szCs w:val="12"/>
                <w:color w:val="auto"/>
              </w:rPr>
            </w:pPr>
          </w:p>
        </w:tc>
        <w:tc>
          <w:tcPr>
            <w:tcW w:w="780" w:type="dxa"/>
            <w:vAlign w:val="bottom"/>
            <w:tcBorders>
              <w:bottom w:val="single" w:sz="8" w:color="auto"/>
            </w:tcBorders>
          </w:tcPr>
          <w:p>
            <w:pPr>
              <w:jc w:val="right"/>
              <w:spacing w:after="0" w:line="142" w:lineRule="exact"/>
              <w:rPr>
                <w:sz w:val="20"/>
                <w:szCs w:val="20"/>
                <w:color w:val="auto"/>
              </w:rPr>
            </w:pPr>
            <w:r>
              <w:rPr>
                <w:rFonts w:ascii="Arial" w:cs="Arial" w:eastAsia="Arial" w:hAnsi="Arial"/>
                <w:sz w:val="14"/>
                <w:szCs w:val="14"/>
                <w:b w:val="1"/>
                <w:bCs w:val="1"/>
                <w:color w:val="auto"/>
              </w:rPr>
              <w:t>40,219</w:t>
            </w: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3800" w:type="dxa"/>
            <w:vAlign w:val="bottom"/>
            <w:tcBorders>
              <w:bottom w:val="single" w:sz="8" w:color="35BF85"/>
            </w:tcBorders>
          </w:tcPr>
          <w:p>
            <w:pPr>
              <w:ind w:left="420"/>
              <w:spacing w:after="0" w:line="142" w:lineRule="exact"/>
              <w:rPr>
                <w:sz w:val="20"/>
                <w:szCs w:val="20"/>
                <w:color w:val="auto"/>
              </w:rPr>
            </w:pPr>
            <w:r>
              <w:rPr>
                <w:rFonts w:ascii="Arial" w:cs="Arial" w:eastAsia="Arial" w:hAnsi="Arial"/>
                <w:sz w:val="14"/>
                <w:szCs w:val="14"/>
                <w:color w:val="auto"/>
              </w:rPr>
              <w:t>Total liabilities and stockholders’ equity</w:t>
            </w:r>
          </w:p>
        </w:tc>
        <w:tc>
          <w:tcPr>
            <w:tcW w:w="280" w:type="dxa"/>
            <w:vAlign w:val="bottom"/>
            <w:tcBorders>
              <w:bottom w:val="single" w:sz="8" w:color="35BF85"/>
            </w:tcBorders>
          </w:tcPr>
          <w:p>
            <w:pPr>
              <w:ind w:left="180"/>
              <w:spacing w:after="0" w:line="142" w:lineRule="exact"/>
              <w:rPr>
                <w:sz w:val="20"/>
                <w:szCs w:val="20"/>
                <w:color w:val="auto"/>
              </w:rPr>
            </w:pPr>
            <w:r>
              <w:rPr>
                <w:rFonts w:ascii="Arial" w:cs="Arial" w:eastAsia="Arial" w:hAnsi="Arial"/>
                <w:sz w:val="14"/>
                <w:szCs w:val="14"/>
                <w:color w:val="auto"/>
              </w:rPr>
              <w:t>$</w:t>
            </w:r>
          </w:p>
        </w:tc>
        <w:tc>
          <w:tcPr>
            <w:tcW w:w="600" w:type="dxa"/>
            <w:vAlign w:val="bottom"/>
            <w:tcBorders>
              <w:bottom w:val="single" w:sz="8" w:color="35BF85"/>
            </w:tcBorders>
          </w:tcPr>
          <w:p>
            <w:pPr>
              <w:jc w:val="right"/>
              <w:ind w:right="92"/>
              <w:spacing w:after="0" w:line="142" w:lineRule="exact"/>
              <w:rPr>
                <w:sz w:val="20"/>
                <w:szCs w:val="20"/>
                <w:color w:val="auto"/>
              </w:rPr>
            </w:pPr>
            <w:r>
              <w:rPr>
                <w:rFonts w:ascii="Arial" w:cs="Arial" w:eastAsia="Arial" w:hAnsi="Arial"/>
                <w:sz w:val="14"/>
                <w:szCs w:val="14"/>
                <w:color w:val="auto"/>
                <w:w w:val="97"/>
              </w:rPr>
              <w:t>53,252</w:t>
            </w:r>
          </w:p>
        </w:tc>
        <w:tc>
          <w:tcPr>
            <w:tcW w:w="260" w:type="dxa"/>
            <w:vAlign w:val="bottom"/>
            <w:tcBorders>
              <w:bottom w:val="single" w:sz="8" w:color="35BF85"/>
            </w:tcBorders>
          </w:tcPr>
          <w:p>
            <w:pPr>
              <w:jc w:val="right"/>
              <w:spacing w:after="0" w:line="142" w:lineRule="exact"/>
              <w:rPr>
                <w:sz w:val="20"/>
                <w:szCs w:val="20"/>
                <w:color w:val="auto"/>
              </w:rPr>
            </w:pPr>
            <w:r>
              <w:rPr>
                <w:rFonts w:ascii="Arial" w:cs="Arial" w:eastAsia="Arial" w:hAnsi="Arial"/>
                <w:sz w:val="14"/>
                <w:szCs w:val="14"/>
                <w:color w:val="auto"/>
              </w:rPr>
              <w:t>$</w:t>
            </w:r>
          </w:p>
        </w:tc>
        <w:tc>
          <w:tcPr>
            <w:tcW w:w="560" w:type="dxa"/>
            <w:vAlign w:val="bottom"/>
            <w:tcBorders>
              <w:bottom w:val="single" w:sz="8" w:color="35BF85"/>
            </w:tcBorders>
          </w:tcPr>
          <w:p>
            <w:pPr>
              <w:jc w:val="right"/>
              <w:ind w:right="92"/>
              <w:spacing w:after="0" w:line="142" w:lineRule="exact"/>
              <w:rPr>
                <w:sz w:val="20"/>
                <w:szCs w:val="20"/>
                <w:color w:val="auto"/>
              </w:rPr>
            </w:pPr>
            <w:r>
              <w:rPr>
                <w:rFonts w:ascii="Arial" w:cs="Arial" w:eastAsia="Arial" w:hAnsi="Arial"/>
                <w:sz w:val="14"/>
                <w:szCs w:val="14"/>
                <w:color w:val="auto"/>
                <w:w w:val="88"/>
              </w:rPr>
              <w:t>29,583</w:t>
            </w:r>
          </w:p>
        </w:tc>
        <w:tc>
          <w:tcPr>
            <w:tcW w:w="260" w:type="dxa"/>
            <w:vAlign w:val="bottom"/>
            <w:tcBorders>
              <w:bottom w:val="single" w:sz="8" w:color="35BF85"/>
            </w:tcBorders>
          </w:tcPr>
          <w:p>
            <w:pPr>
              <w:jc w:val="center"/>
              <w:ind w:left="112"/>
              <w:spacing w:after="0" w:line="142" w:lineRule="exact"/>
              <w:rPr>
                <w:sz w:val="20"/>
                <w:szCs w:val="20"/>
                <w:color w:val="auto"/>
              </w:rPr>
            </w:pPr>
            <w:r>
              <w:rPr>
                <w:rFonts w:ascii="Arial" w:cs="Arial" w:eastAsia="Arial" w:hAnsi="Arial"/>
                <w:sz w:val="14"/>
                <w:szCs w:val="14"/>
                <w:color w:val="auto"/>
              </w:rPr>
              <w:t>$</w:t>
            </w:r>
          </w:p>
        </w:tc>
        <w:tc>
          <w:tcPr>
            <w:tcW w:w="600" w:type="dxa"/>
            <w:vAlign w:val="bottom"/>
            <w:tcBorders>
              <w:bottom w:val="single" w:sz="8" w:color="35BF85"/>
            </w:tcBorders>
          </w:tcPr>
          <w:p>
            <w:pPr>
              <w:jc w:val="right"/>
              <w:ind w:right="112"/>
              <w:spacing w:after="0" w:line="142" w:lineRule="exact"/>
              <w:rPr>
                <w:sz w:val="20"/>
                <w:szCs w:val="20"/>
                <w:color w:val="auto"/>
              </w:rPr>
            </w:pPr>
            <w:r>
              <w:rPr>
                <w:rFonts w:ascii="Arial" w:cs="Arial" w:eastAsia="Arial" w:hAnsi="Arial"/>
                <w:sz w:val="14"/>
                <w:szCs w:val="14"/>
                <w:color w:val="auto"/>
                <w:w w:val="93"/>
              </w:rPr>
              <w:t>36,067</w:t>
            </w:r>
          </w:p>
        </w:tc>
        <w:tc>
          <w:tcPr>
            <w:tcW w:w="260" w:type="dxa"/>
            <w:vAlign w:val="bottom"/>
            <w:tcBorders>
              <w:bottom w:val="single" w:sz="8" w:color="35BF85"/>
            </w:tcBorders>
          </w:tcPr>
          <w:p>
            <w:pPr>
              <w:ind w:left="160"/>
              <w:spacing w:after="0" w:line="142" w:lineRule="exact"/>
              <w:rPr>
                <w:sz w:val="20"/>
                <w:szCs w:val="20"/>
                <w:color w:val="auto"/>
              </w:rPr>
            </w:pPr>
            <w:r>
              <w:rPr>
                <w:rFonts w:ascii="Arial" w:cs="Arial" w:eastAsia="Arial" w:hAnsi="Arial"/>
                <w:sz w:val="14"/>
                <w:szCs w:val="14"/>
                <w:color w:val="auto"/>
              </w:rPr>
              <w:t>$</w:t>
            </w:r>
          </w:p>
        </w:tc>
        <w:tc>
          <w:tcPr>
            <w:tcW w:w="700" w:type="dxa"/>
            <w:vAlign w:val="bottom"/>
            <w:tcBorders>
              <w:bottom w:val="single" w:sz="8" w:color="35BF85"/>
            </w:tcBorders>
          </w:tcPr>
          <w:p>
            <w:pPr>
              <w:jc w:val="right"/>
              <w:ind w:right="112"/>
              <w:spacing w:after="0" w:line="142" w:lineRule="exact"/>
              <w:rPr>
                <w:sz w:val="20"/>
                <w:szCs w:val="20"/>
                <w:color w:val="auto"/>
              </w:rPr>
            </w:pPr>
            <w:r>
              <w:rPr>
                <w:rFonts w:ascii="Arial" w:cs="Arial" w:eastAsia="Arial" w:hAnsi="Arial"/>
                <w:sz w:val="14"/>
                <w:szCs w:val="14"/>
                <w:color w:val="auto"/>
              </w:rPr>
              <w:t>40,482</w:t>
            </w:r>
          </w:p>
        </w:tc>
        <w:tc>
          <w:tcPr>
            <w:tcW w:w="260" w:type="dxa"/>
            <w:vAlign w:val="bottom"/>
            <w:tcBorders>
              <w:bottom w:val="single" w:sz="8" w:color="35BF85"/>
            </w:tcBorders>
          </w:tcPr>
          <w:p>
            <w:pPr>
              <w:ind w:left="160"/>
              <w:spacing w:after="0" w:line="142" w:lineRule="exact"/>
              <w:rPr>
                <w:sz w:val="20"/>
                <w:szCs w:val="20"/>
                <w:color w:val="auto"/>
              </w:rPr>
            </w:pPr>
            <w:r>
              <w:rPr>
                <w:rFonts w:ascii="Arial" w:cs="Arial" w:eastAsia="Arial" w:hAnsi="Arial"/>
                <w:sz w:val="14"/>
                <w:szCs w:val="14"/>
                <w:color w:val="auto"/>
              </w:rPr>
              <w:t>$</w:t>
            </w:r>
          </w:p>
        </w:tc>
        <w:tc>
          <w:tcPr>
            <w:tcW w:w="620" w:type="dxa"/>
            <w:vAlign w:val="bottom"/>
            <w:tcBorders>
              <w:bottom w:val="single" w:sz="8" w:color="35BF85"/>
            </w:tcBorders>
          </w:tcPr>
          <w:p>
            <w:pPr>
              <w:jc w:val="right"/>
              <w:ind w:right="112"/>
              <w:spacing w:after="0" w:line="142" w:lineRule="exact"/>
              <w:rPr>
                <w:sz w:val="20"/>
                <w:szCs w:val="20"/>
                <w:color w:val="auto"/>
              </w:rPr>
            </w:pPr>
            <w:r>
              <w:rPr>
                <w:rFonts w:ascii="Arial" w:cs="Arial" w:eastAsia="Arial" w:hAnsi="Arial"/>
                <w:sz w:val="14"/>
                <w:szCs w:val="14"/>
                <w:color w:val="auto"/>
                <w:w w:val="97"/>
              </w:rPr>
              <w:t>22,792</w:t>
            </w:r>
          </w:p>
        </w:tc>
        <w:tc>
          <w:tcPr>
            <w:tcW w:w="260" w:type="dxa"/>
            <w:vAlign w:val="bottom"/>
            <w:tcBorders>
              <w:bottom w:val="single" w:sz="8" w:color="35BF85"/>
            </w:tcBorders>
          </w:tcPr>
          <w:p>
            <w:pPr>
              <w:ind w:left="160"/>
              <w:spacing w:after="0" w:line="142" w:lineRule="exact"/>
              <w:rPr>
                <w:sz w:val="20"/>
                <w:szCs w:val="20"/>
                <w:color w:val="auto"/>
              </w:rPr>
            </w:pPr>
            <w:r>
              <w:rPr>
                <w:rFonts w:ascii="Arial" w:cs="Arial" w:eastAsia="Arial" w:hAnsi="Arial"/>
                <w:sz w:val="14"/>
                <w:szCs w:val="14"/>
                <w:color w:val="auto"/>
              </w:rPr>
              <w:t>$</w:t>
            </w:r>
          </w:p>
        </w:tc>
        <w:tc>
          <w:tcPr>
            <w:tcW w:w="820" w:type="dxa"/>
            <w:vAlign w:val="bottom"/>
            <w:tcBorders>
              <w:bottom w:val="single" w:sz="8" w:color="35BF85"/>
            </w:tcBorders>
          </w:tcPr>
          <w:p>
            <w:pPr>
              <w:jc w:val="right"/>
              <w:ind w:right="112"/>
              <w:spacing w:after="0" w:line="142" w:lineRule="exact"/>
              <w:rPr>
                <w:sz w:val="20"/>
                <w:szCs w:val="20"/>
                <w:color w:val="auto"/>
              </w:rPr>
            </w:pPr>
            <w:r>
              <w:rPr>
                <w:rFonts w:ascii="Arial" w:cs="Arial" w:eastAsia="Arial" w:hAnsi="Arial"/>
                <w:sz w:val="14"/>
                <w:szCs w:val="14"/>
                <w:color w:val="auto"/>
              </w:rPr>
              <w:t>104,110</w:t>
            </w:r>
          </w:p>
        </w:tc>
        <w:tc>
          <w:tcPr>
            <w:tcW w:w="240" w:type="dxa"/>
            <w:vAlign w:val="bottom"/>
            <w:tcBorders>
              <w:bottom w:val="single" w:sz="8" w:color="35BF85"/>
            </w:tcBorders>
          </w:tcPr>
          <w:p>
            <w:pPr>
              <w:ind w:left="160"/>
              <w:spacing w:after="0" w:line="142" w:lineRule="exact"/>
              <w:rPr>
                <w:sz w:val="20"/>
                <w:szCs w:val="20"/>
                <w:color w:val="auto"/>
              </w:rPr>
            </w:pPr>
            <w:r>
              <w:rPr>
                <w:rFonts w:ascii="Arial" w:cs="Arial" w:eastAsia="Arial" w:hAnsi="Arial"/>
                <w:sz w:val="14"/>
                <w:szCs w:val="14"/>
                <w:color w:val="auto"/>
                <w:w w:val="76"/>
              </w:rPr>
              <w:t>$</w:t>
            </w:r>
          </w:p>
        </w:tc>
        <w:tc>
          <w:tcPr>
            <w:tcW w:w="900" w:type="dxa"/>
            <w:vAlign w:val="bottom"/>
            <w:tcBorders>
              <w:bottom w:val="single" w:sz="8" w:color="35BF85"/>
            </w:tcBorders>
          </w:tcPr>
          <w:p>
            <w:pPr>
              <w:jc w:val="right"/>
              <w:ind w:right="32"/>
              <w:spacing w:after="0" w:line="142" w:lineRule="exact"/>
              <w:rPr>
                <w:sz w:val="20"/>
                <w:szCs w:val="20"/>
                <w:color w:val="auto"/>
              </w:rPr>
            </w:pPr>
            <w:r>
              <w:rPr>
                <w:rFonts w:ascii="Arial" w:cs="Arial" w:eastAsia="Arial" w:hAnsi="Arial"/>
                <w:sz w:val="14"/>
                <w:szCs w:val="14"/>
                <w:color w:val="auto"/>
              </w:rPr>
              <w:t>(182,886)</w:t>
            </w:r>
          </w:p>
        </w:tc>
        <w:tc>
          <w:tcPr>
            <w:tcW w:w="200" w:type="dxa"/>
            <w:vAlign w:val="bottom"/>
            <w:tcBorders>
              <w:bottom w:val="single" w:sz="8" w:color="35BF85"/>
            </w:tcBorders>
          </w:tcPr>
          <w:p>
            <w:pPr>
              <w:ind w:left="120"/>
              <w:spacing w:after="0" w:line="142" w:lineRule="exact"/>
              <w:rPr>
                <w:sz w:val="20"/>
                <w:szCs w:val="20"/>
                <w:color w:val="auto"/>
              </w:rPr>
            </w:pPr>
            <w:r>
              <w:rPr>
                <w:rFonts w:ascii="Arial" w:cs="Arial" w:eastAsia="Arial" w:hAnsi="Arial"/>
                <w:sz w:val="14"/>
                <w:szCs w:val="14"/>
                <w:b w:val="1"/>
                <w:bCs w:val="1"/>
                <w:color w:val="auto"/>
                <w:w w:val="76"/>
              </w:rPr>
              <w:t>$</w:t>
            </w:r>
          </w:p>
        </w:tc>
        <w:tc>
          <w:tcPr>
            <w:tcW w:w="780" w:type="dxa"/>
            <w:vAlign w:val="bottom"/>
            <w:tcBorders>
              <w:bottom w:val="single" w:sz="8" w:color="35BF85"/>
            </w:tcBorders>
          </w:tcPr>
          <w:p>
            <w:pPr>
              <w:jc w:val="right"/>
              <w:spacing w:after="0" w:line="142" w:lineRule="exact"/>
              <w:rPr>
                <w:sz w:val="20"/>
                <w:szCs w:val="20"/>
                <w:color w:val="auto"/>
              </w:rPr>
            </w:pPr>
            <w:r>
              <w:rPr>
                <w:rFonts w:ascii="Arial" w:cs="Arial" w:eastAsia="Arial" w:hAnsi="Arial"/>
                <w:sz w:val="14"/>
                <w:szCs w:val="14"/>
                <w:b w:val="1"/>
                <w:bCs w:val="1"/>
                <w:color w:val="auto"/>
              </w:rPr>
              <w:t>103,400</w:t>
            </w:r>
          </w:p>
        </w:tc>
        <w:tc>
          <w:tcPr>
            <w:tcW w:w="0" w:type="dxa"/>
            <w:vAlign w:val="bottom"/>
          </w:tcPr>
          <w:p>
            <w:pPr>
              <w:spacing w:after="0"/>
              <w:rPr>
                <w:sz w:val="1"/>
                <w:szCs w:val="1"/>
                <w:color w:val="auto"/>
              </w:rPr>
            </w:pPr>
          </w:p>
        </w:tc>
      </w:tr>
      <w:tr>
        <w:trPr>
          <w:trHeight w:val="304"/>
        </w:trPr>
        <w:tc>
          <w:tcPr>
            <w:tcW w:w="20" w:type="dxa"/>
            <w:vAlign w:val="bottom"/>
          </w:tcPr>
          <w:p>
            <w:pPr>
              <w:spacing w:after="0"/>
              <w:rPr>
                <w:sz w:val="24"/>
                <w:szCs w:val="24"/>
                <w:color w:val="auto"/>
              </w:rPr>
            </w:pPr>
          </w:p>
        </w:tc>
        <w:tc>
          <w:tcPr>
            <w:tcW w:w="380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860" w:type="dxa"/>
            <w:vAlign w:val="bottom"/>
            <w:gridSpan w:val="2"/>
          </w:tcPr>
          <w:p>
            <w:pPr>
              <w:jc w:val="center"/>
              <w:ind w:right="312"/>
              <w:spacing w:after="0"/>
              <w:rPr>
                <w:sz w:val="20"/>
                <w:szCs w:val="20"/>
                <w:color w:val="auto"/>
              </w:rPr>
            </w:pPr>
            <w:r>
              <w:rPr>
                <w:rFonts w:ascii="Arial" w:cs="Arial" w:eastAsia="Arial" w:hAnsi="Arial"/>
                <w:sz w:val="14"/>
                <w:szCs w:val="14"/>
                <w:b w:val="1"/>
                <w:bCs w:val="1"/>
                <w:color w:val="auto"/>
              </w:rPr>
              <w:t>69</w:t>
            </w:r>
          </w:p>
        </w:tc>
        <w:tc>
          <w:tcPr>
            <w:tcW w:w="260" w:type="dxa"/>
            <w:vAlign w:val="bottom"/>
          </w:tcPr>
          <w:p>
            <w:pPr>
              <w:spacing w:after="0"/>
              <w:rPr>
                <w:sz w:val="24"/>
                <w:szCs w:val="24"/>
                <w:color w:val="auto"/>
              </w:rPr>
            </w:pPr>
          </w:p>
        </w:tc>
        <w:tc>
          <w:tcPr>
            <w:tcW w:w="4780" w:type="dxa"/>
            <w:vAlign w:val="bottom"/>
            <w:gridSpan w:val="9"/>
          </w:tcPr>
          <w:p>
            <w:pPr>
              <w:jc w:val="right"/>
              <w:spacing w:after="0"/>
              <w:rPr>
                <w:sz w:val="20"/>
                <w:szCs w:val="20"/>
                <w:color w:val="auto"/>
              </w:rPr>
            </w:pPr>
            <w:r>
              <w:rPr>
                <w:rFonts w:ascii="Arial" w:cs="Arial" w:eastAsia="Arial" w:hAnsi="Arial"/>
                <w:sz w:val="14"/>
                <w:szCs w:val="14"/>
                <w:color w:val="auto"/>
                <w:w w:val="99"/>
              </w:rPr>
              <w:t xml:space="preserve">Comcast 2006 Annual Report </w:t>
            </w:r>
            <w:r>
              <w:rPr>
                <w:rFonts w:ascii="Arial" w:cs="Arial" w:eastAsia="Arial" w:hAnsi="Arial"/>
                <w:sz w:val="14"/>
                <w:szCs w:val="14"/>
                <w:b w:val="1"/>
                <w:bCs w:val="1"/>
                <w:color w:val="auto"/>
                <w:w w:val="99"/>
              </w:rPr>
              <w:t>Notes to Consolidated Financial Statements</w:t>
            </w:r>
          </w:p>
        </w:tc>
        <w:tc>
          <w:tcPr>
            <w:tcW w:w="0" w:type="dxa"/>
            <w:vAlign w:val="bottom"/>
          </w:tcPr>
          <w:p>
            <w:pPr>
              <w:spacing w:after="0"/>
              <w:rPr>
                <w:sz w:val="1"/>
                <w:szCs w:val="1"/>
                <w:color w:val="auto"/>
              </w:rPr>
            </w:pPr>
          </w:p>
        </w:tc>
      </w:tr>
    </w:tbl>
    <w:p>
      <w:pPr>
        <w:sectPr>
          <w:pgSz w:w="11900" w:h="16838" w:orient="portrait"/>
          <w:cols w:equalWidth="0" w:num="1">
            <w:col w:w="11420"/>
          </w:cols>
          <w:pgMar w:left="240" w:top="459" w:right="239" w:bottom="1440" w:gutter="0" w:footer="0" w:header="0"/>
        </w:sectPr>
      </w:pPr>
    </w:p>
    <w:bookmarkStart w:id="146" w:name="page147"/>
    <w:bookmarkEnd w:id="14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220" name="Picture 2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0"/>
                    <pic:cNvPicPr>
                      <a:picLocks noChangeAspect="1" noChangeArrowheads="1"/>
                    </pic:cNvPicPr>
                  </pic:nvPicPr>
                  <pic:blipFill>
                    <a:blip r:embed="rId227">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200" w:lineRule="exact"/>
        <w:rPr>
          <w:sz w:val="20"/>
          <w:szCs w:val="20"/>
          <w:color w:val="auto"/>
        </w:rPr>
      </w:pPr>
    </w:p>
    <w:p>
      <w:pPr>
        <w:spacing w:after="0" w:line="25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Condensed Consolidating Statement of Operations</w:t>
      </w:r>
    </w:p>
    <w:p>
      <w:pPr>
        <w:spacing w:after="0" w:line="18" w:lineRule="exact"/>
        <w:rPr>
          <w:sz w:val="20"/>
          <w:szCs w:val="20"/>
          <w:color w:val="auto"/>
        </w:rPr>
      </w:pPr>
    </w:p>
    <w:p>
      <w:pPr>
        <w:spacing w:after="0"/>
        <w:rPr>
          <w:sz w:val="20"/>
          <w:szCs w:val="20"/>
          <w:color w:val="auto"/>
        </w:rPr>
      </w:pPr>
      <w:r>
        <w:rPr>
          <w:rFonts w:ascii="Arial" w:cs="Arial" w:eastAsia="Arial" w:hAnsi="Arial"/>
          <w:sz w:val="18"/>
          <w:szCs w:val="18"/>
          <w:color w:val="auto"/>
        </w:rPr>
        <w:t>For the Year Ended December 31, 2006</w:t>
      </w:r>
    </w:p>
    <w:p>
      <w:pPr>
        <w:spacing w:after="0" w:line="182"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424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900" w:type="dxa"/>
            <w:vAlign w:val="bottom"/>
          </w:tcPr>
          <w:p>
            <w:pPr>
              <w:jc w:val="right"/>
              <w:ind w:right="92"/>
              <w:spacing w:after="0"/>
              <w:rPr>
                <w:sz w:val="20"/>
                <w:szCs w:val="20"/>
                <w:color w:val="auto"/>
              </w:rPr>
            </w:pPr>
            <w:r>
              <w:rPr>
                <w:rFonts w:ascii="Arial" w:cs="Arial" w:eastAsia="Arial" w:hAnsi="Arial"/>
                <w:sz w:val="14"/>
                <w:szCs w:val="14"/>
                <w:color w:val="auto"/>
              </w:rPr>
              <w:t>Elimination</w:t>
            </w:r>
          </w:p>
        </w:tc>
        <w:tc>
          <w:tcPr>
            <w:tcW w:w="1020" w:type="dxa"/>
            <w:vAlign w:val="bottom"/>
            <w:gridSpan w:val="2"/>
            <w:vMerge w:val="restart"/>
          </w:tcPr>
          <w:p>
            <w:pPr>
              <w:jc w:val="right"/>
              <w:spacing w:after="0"/>
              <w:rPr>
                <w:sz w:val="20"/>
                <w:szCs w:val="20"/>
                <w:color w:val="auto"/>
              </w:rPr>
            </w:pPr>
            <w:r>
              <w:rPr>
                <w:rFonts w:ascii="Arial" w:cs="Arial" w:eastAsia="Arial" w:hAnsi="Arial"/>
                <w:sz w:val="14"/>
                <w:szCs w:val="14"/>
                <w:b w:val="1"/>
                <w:bCs w:val="1"/>
                <w:color w:val="auto"/>
              </w:rPr>
              <w:t>Consolidated</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424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880" w:type="dxa"/>
            <w:vAlign w:val="bottom"/>
            <w:gridSpan w:val="2"/>
          </w:tcPr>
          <w:p>
            <w:pPr>
              <w:jc w:val="right"/>
              <w:ind w:right="92"/>
              <w:spacing w:after="0" w:line="133" w:lineRule="exact"/>
              <w:rPr>
                <w:sz w:val="20"/>
                <w:szCs w:val="20"/>
                <w:color w:val="auto"/>
              </w:rPr>
            </w:pPr>
            <w:r>
              <w:rPr>
                <w:rFonts w:ascii="Arial" w:cs="Arial" w:eastAsia="Arial" w:hAnsi="Arial"/>
                <w:sz w:val="14"/>
                <w:szCs w:val="14"/>
                <w:color w:val="auto"/>
              </w:rPr>
              <w:t>Combined</w:t>
            </w:r>
          </w:p>
        </w:tc>
        <w:tc>
          <w:tcPr>
            <w:tcW w:w="24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800" w:type="dxa"/>
            <w:vAlign w:val="bottom"/>
          </w:tcPr>
          <w:p>
            <w:pPr>
              <w:jc w:val="right"/>
              <w:ind w:right="92"/>
              <w:spacing w:after="0" w:line="133" w:lineRule="exact"/>
              <w:rPr>
                <w:sz w:val="20"/>
                <w:szCs w:val="20"/>
                <w:color w:val="auto"/>
              </w:rPr>
            </w:pPr>
            <w:r>
              <w:rPr>
                <w:rFonts w:ascii="Arial" w:cs="Arial" w:eastAsia="Arial" w:hAnsi="Arial"/>
                <w:sz w:val="14"/>
                <w:szCs w:val="14"/>
                <w:color w:val="auto"/>
              </w:rPr>
              <w:t>Non-</w:t>
            </w:r>
          </w:p>
        </w:tc>
        <w:tc>
          <w:tcPr>
            <w:tcW w:w="180" w:type="dxa"/>
            <w:vAlign w:val="bottom"/>
          </w:tcPr>
          <w:p>
            <w:pPr>
              <w:spacing w:after="0"/>
              <w:rPr>
                <w:sz w:val="11"/>
                <w:szCs w:val="11"/>
                <w:color w:val="auto"/>
              </w:rPr>
            </w:pPr>
          </w:p>
        </w:tc>
        <w:tc>
          <w:tcPr>
            <w:tcW w:w="900" w:type="dxa"/>
            <w:vAlign w:val="bottom"/>
          </w:tcPr>
          <w:p>
            <w:pPr>
              <w:jc w:val="right"/>
              <w:ind w:right="92"/>
              <w:spacing w:after="0" w:line="133" w:lineRule="exact"/>
              <w:rPr>
                <w:sz w:val="20"/>
                <w:szCs w:val="20"/>
                <w:color w:val="auto"/>
              </w:rPr>
            </w:pPr>
            <w:r>
              <w:rPr>
                <w:rFonts w:ascii="Arial" w:cs="Arial" w:eastAsia="Arial" w:hAnsi="Arial"/>
                <w:sz w:val="14"/>
                <w:szCs w:val="14"/>
                <w:color w:val="auto"/>
              </w:rPr>
              <w:t>and</w:t>
            </w:r>
          </w:p>
        </w:tc>
        <w:tc>
          <w:tcPr>
            <w:tcW w:w="1020" w:type="dxa"/>
            <w:vAlign w:val="bottom"/>
            <w:gridSpan w:val="2"/>
            <w:vMerge w:val="continue"/>
          </w:tcPr>
          <w:p>
            <w:pPr>
              <w:spacing w:after="0"/>
              <w:rPr>
                <w:sz w:val="11"/>
                <w:szCs w:val="11"/>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4240" w:type="dxa"/>
            <w:vAlign w:val="bottom"/>
          </w:tcPr>
          <w:p>
            <w:pPr>
              <w:spacing w:after="0"/>
              <w:rPr>
                <w:sz w:val="12"/>
                <w:szCs w:val="12"/>
                <w:color w:val="auto"/>
              </w:rPr>
            </w:pPr>
          </w:p>
        </w:tc>
        <w:tc>
          <w:tcPr>
            <w:tcW w:w="1000" w:type="dxa"/>
            <w:vAlign w:val="bottom"/>
            <w:gridSpan w:val="2"/>
          </w:tcPr>
          <w:p>
            <w:pPr>
              <w:ind w:left="320"/>
              <w:spacing w:after="0" w:line="149" w:lineRule="exact"/>
              <w:rPr>
                <w:sz w:val="20"/>
                <w:szCs w:val="20"/>
                <w:color w:val="auto"/>
              </w:rPr>
            </w:pPr>
            <w:r>
              <w:rPr>
                <w:rFonts w:ascii="Arial" w:cs="Arial" w:eastAsia="Arial" w:hAnsi="Arial"/>
                <w:sz w:val="14"/>
                <w:szCs w:val="14"/>
                <w:color w:val="auto"/>
              </w:rPr>
              <w:t>Comcast</w:t>
            </w:r>
          </w:p>
        </w:tc>
        <w:tc>
          <w:tcPr>
            <w:tcW w:w="700" w:type="dxa"/>
            <w:vAlign w:val="bottom"/>
            <w:gridSpan w:val="2"/>
          </w:tcPr>
          <w:p>
            <w:pPr>
              <w:jc w:val="right"/>
              <w:ind w:right="92"/>
              <w:spacing w:after="0" w:line="149" w:lineRule="exact"/>
              <w:rPr>
                <w:sz w:val="20"/>
                <w:szCs w:val="20"/>
                <w:color w:val="auto"/>
              </w:rPr>
            </w:pPr>
            <w:r>
              <w:rPr>
                <w:rFonts w:ascii="Arial" w:cs="Arial" w:eastAsia="Arial" w:hAnsi="Arial"/>
                <w:sz w:val="14"/>
                <w:szCs w:val="14"/>
                <w:color w:val="auto"/>
              </w:rPr>
              <w:t>CCCL</w:t>
            </w:r>
          </w:p>
        </w:tc>
        <w:tc>
          <w:tcPr>
            <w:tcW w:w="680" w:type="dxa"/>
            <w:vAlign w:val="bottom"/>
            <w:gridSpan w:val="2"/>
          </w:tcPr>
          <w:p>
            <w:pPr>
              <w:jc w:val="right"/>
              <w:ind w:right="72"/>
              <w:spacing w:after="0" w:line="149" w:lineRule="exact"/>
              <w:rPr>
                <w:sz w:val="20"/>
                <w:szCs w:val="20"/>
                <w:color w:val="auto"/>
              </w:rPr>
            </w:pPr>
            <w:r>
              <w:rPr>
                <w:rFonts w:ascii="Arial" w:cs="Arial" w:eastAsia="Arial" w:hAnsi="Arial"/>
                <w:sz w:val="14"/>
                <w:szCs w:val="14"/>
                <w:color w:val="auto"/>
              </w:rPr>
              <w:t>CCCH</w:t>
            </w:r>
          </w:p>
        </w:tc>
        <w:tc>
          <w:tcPr>
            <w:tcW w:w="200" w:type="dxa"/>
            <w:vAlign w:val="bottom"/>
          </w:tcPr>
          <w:p>
            <w:pPr>
              <w:spacing w:after="0"/>
              <w:rPr>
                <w:sz w:val="12"/>
                <w:szCs w:val="12"/>
                <w:color w:val="auto"/>
              </w:rPr>
            </w:pPr>
          </w:p>
        </w:tc>
        <w:tc>
          <w:tcPr>
            <w:tcW w:w="680" w:type="dxa"/>
            <w:vAlign w:val="bottom"/>
          </w:tcPr>
          <w:p>
            <w:pPr>
              <w:jc w:val="right"/>
              <w:ind w:right="92"/>
              <w:spacing w:after="0" w:line="149" w:lineRule="exact"/>
              <w:rPr>
                <w:sz w:val="20"/>
                <w:szCs w:val="20"/>
                <w:color w:val="auto"/>
              </w:rPr>
            </w:pPr>
            <w:r>
              <w:rPr>
                <w:rFonts w:ascii="Arial" w:cs="Arial" w:eastAsia="Arial" w:hAnsi="Arial"/>
                <w:sz w:val="14"/>
                <w:szCs w:val="14"/>
                <w:color w:val="auto"/>
                <w:w w:val="94"/>
              </w:rPr>
              <w:t>CCHMO</w:t>
            </w:r>
          </w:p>
        </w:tc>
        <w:tc>
          <w:tcPr>
            <w:tcW w:w="800" w:type="dxa"/>
            <w:vAlign w:val="bottom"/>
            <w:gridSpan w:val="2"/>
          </w:tcPr>
          <w:p>
            <w:pPr>
              <w:ind w:left="120"/>
              <w:spacing w:after="0" w:line="149" w:lineRule="exact"/>
              <w:rPr>
                <w:sz w:val="20"/>
                <w:szCs w:val="20"/>
                <w:color w:val="auto"/>
              </w:rPr>
            </w:pPr>
            <w:r>
              <w:rPr>
                <w:rFonts w:ascii="Arial" w:cs="Arial" w:eastAsia="Arial" w:hAnsi="Arial"/>
                <w:sz w:val="14"/>
                <w:szCs w:val="14"/>
                <w:color w:val="auto"/>
              </w:rPr>
              <w:t>Comcast</w:t>
            </w:r>
          </w:p>
        </w:tc>
        <w:tc>
          <w:tcPr>
            <w:tcW w:w="200" w:type="dxa"/>
            <w:vAlign w:val="bottom"/>
          </w:tcPr>
          <w:p>
            <w:pPr>
              <w:spacing w:after="0"/>
              <w:rPr>
                <w:sz w:val="12"/>
                <w:szCs w:val="12"/>
                <w:color w:val="auto"/>
              </w:rPr>
            </w:pPr>
          </w:p>
        </w:tc>
        <w:tc>
          <w:tcPr>
            <w:tcW w:w="800" w:type="dxa"/>
            <w:vAlign w:val="bottom"/>
          </w:tcPr>
          <w:p>
            <w:pPr>
              <w:jc w:val="right"/>
              <w:ind w:right="92"/>
              <w:spacing w:after="0" w:line="149" w:lineRule="exact"/>
              <w:rPr>
                <w:sz w:val="20"/>
                <w:szCs w:val="20"/>
                <w:color w:val="auto"/>
              </w:rPr>
            </w:pPr>
            <w:r>
              <w:rPr>
                <w:rFonts w:ascii="Arial" w:cs="Arial" w:eastAsia="Arial" w:hAnsi="Arial"/>
                <w:sz w:val="14"/>
                <w:szCs w:val="14"/>
                <w:color w:val="auto"/>
                <w:w w:val="98"/>
              </w:rPr>
              <w:t>Guarantor</w:t>
            </w:r>
          </w:p>
        </w:tc>
        <w:tc>
          <w:tcPr>
            <w:tcW w:w="1080" w:type="dxa"/>
            <w:vAlign w:val="bottom"/>
            <w:gridSpan w:val="2"/>
          </w:tcPr>
          <w:p>
            <w:pPr>
              <w:jc w:val="right"/>
              <w:ind w:right="92"/>
              <w:spacing w:after="0" w:line="149" w:lineRule="exact"/>
              <w:rPr>
                <w:sz w:val="20"/>
                <w:szCs w:val="20"/>
                <w:color w:val="auto"/>
              </w:rPr>
            </w:pPr>
            <w:r>
              <w:rPr>
                <w:rFonts w:ascii="Arial" w:cs="Arial" w:eastAsia="Arial" w:hAnsi="Arial"/>
                <w:sz w:val="14"/>
                <w:szCs w:val="14"/>
                <w:color w:val="auto"/>
              </w:rPr>
              <w:t>Consolidation</w:t>
            </w:r>
          </w:p>
        </w:tc>
        <w:tc>
          <w:tcPr>
            <w:tcW w:w="180" w:type="dxa"/>
            <w:vAlign w:val="bottom"/>
          </w:tcPr>
          <w:p>
            <w:pPr>
              <w:spacing w:after="0"/>
              <w:rPr>
                <w:sz w:val="12"/>
                <w:szCs w:val="12"/>
                <w:color w:val="auto"/>
              </w:rPr>
            </w:pPr>
          </w:p>
        </w:tc>
        <w:tc>
          <w:tcPr>
            <w:tcW w:w="840" w:type="dxa"/>
            <w:vAlign w:val="bottom"/>
          </w:tcPr>
          <w:p>
            <w:pPr>
              <w:jc w:val="right"/>
              <w:spacing w:after="0" w:line="149" w:lineRule="exact"/>
              <w:rPr>
                <w:sz w:val="20"/>
                <w:szCs w:val="20"/>
                <w:color w:val="auto"/>
              </w:rPr>
            </w:pPr>
            <w:r>
              <w:rPr>
                <w:rFonts w:ascii="Arial" w:cs="Arial" w:eastAsia="Arial" w:hAnsi="Arial"/>
                <w:sz w:val="14"/>
                <w:szCs w:val="14"/>
                <w:b w:val="1"/>
                <w:bCs w:val="1"/>
                <w:color w:val="auto"/>
              </w:rPr>
              <w:t>Comcast</w:t>
            </w:r>
          </w:p>
        </w:tc>
        <w:tc>
          <w:tcPr>
            <w:tcW w:w="0" w:type="dxa"/>
            <w:vAlign w:val="bottom"/>
          </w:tcPr>
          <w:p>
            <w:pPr>
              <w:spacing w:after="0"/>
              <w:rPr>
                <w:sz w:val="1"/>
                <w:szCs w:val="1"/>
                <w:color w:val="auto"/>
              </w:rPr>
            </w:pPr>
          </w:p>
        </w:tc>
      </w:tr>
      <w:tr>
        <w:trPr>
          <w:trHeight w:val="165"/>
        </w:trPr>
        <w:tc>
          <w:tcPr>
            <w:tcW w:w="4260" w:type="dxa"/>
            <w:vAlign w:val="bottom"/>
            <w:tcBorders>
              <w:bottom w:val="single" w:sz="8" w:color="auto"/>
            </w:tcBorders>
            <w:gridSpan w:val="2"/>
          </w:tcPr>
          <w:p>
            <w:pPr>
              <w:spacing w:after="0"/>
              <w:rPr>
                <w:sz w:val="20"/>
                <w:szCs w:val="20"/>
                <w:color w:val="auto"/>
              </w:rPr>
            </w:pPr>
            <w:r>
              <w:rPr>
                <w:rFonts w:ascii="Arial" w:cs="Arial" w:eastAsia="Arial" w:hAnsi="Arial"/>
                <w:sz w:val="14"/>
                <w:szCs w:val="14"/>
                <w:color w:val="auto"/>
              </w:rPr>
              <w:t>(in millions)</w:t>
            </w:r>
          </w:p>
        </w:tc>
        <w:tc>
          <w:tcPr>
            <w:tcW w:w="420" w:type="dxa"/>
            <w:vAlign w:val="bottom"/>
            <w:tcBorders>
              <w:bottom w:val="single" w:sz="8" w:color="auto"/>
            </w:tcBorders>
          </w:tcPr>
          <w:p>
            <w:pPr>
              <w:spacing w:after="0"/>
              <w:rPr>
                <w:sz w:val="14"/>
                <w:szCs w:val="14"/>
                <w:color w:val="auto"/>
              </w:rPr>
            </w:pPr>
          </w:p>
        </w:tc>
        <w:tc>
          <w:tcPr>
            <w:tcW w:w="580" w:type="dxa"/>
            <w:vAlign w:val="bottom"/>
            <w:tcBorders>
              <w:bottom w:val="single" w:sz="8" w:color="auto"/>
            </w:tcBorders>
          </w:tcPr>
          <w:p>
            <w:pPr>
              <w:jc w:val="right"/>
              <w:ind w:right="72"/>
              <w:spacing w:after="0"/>
              <w:rPr>
                <w:sz w:val="20"/>
                <w:szCs w:val="20"/>
                <w:color w:val="auto"/>
              </w:rPr>
            </w:pPr>
            <w:r>
              <w:rPr>
                <w:rFonts w:ascii="Arial" w:cs="Arial" w:eastAsia="Arial" w:hAnsi="Arial"/>
                <w:sz w:val="14"/>
                <w:szCs w:val="14"/>
                <w:color w:val="auto"/>
              </w:rPr>
              <w:t>Parent</w:t>
            </w:r>
          </w:p>
        </w:tc>
        <w:tc>
          <w:tcPr>
            <w:tcW w:w="700" w:type="dxa"/>
            <w:vAlign w:val="bottom"/>
            <w:tcBorders>
              <w:bottom w:val="single" w:sz="8" w:color="auto"/>
            </w:tcBorders>
            <w:gridSpan w:val="2"/>
          </w:tcPr>
          <w:p>
            <w:pPr>
              <w:jc w:val="right"/>
              <w:ind w:right="92"/>
              <w:spacing w:after="0"/>
              <w:rPr>
                <w:sz w:val="20"/>
                <w:szCs w:val="20"/>
                <w:color w:val="auto"/>
              </w:rPr>
            </w:pPr>
            <w:r>
              <w:rPr>
                <w:rFonts w:ascii="Arial" w:cs="Arial" w:eastAsia="Arial" w:hAnsi="Arial"/>
                <w:sz w:val="14"/>
                <w:szCs w:val="14"/>
                <w:color w:val="auto"/>
              </w:rPr>
              <w:t>Parent</w:t>
            </w:r>
          </w:p>
        </w:tc>
        <w:tc>
          <w:tcPr>
            <w:tcW w:w="680" w:type="dxa"/>
            <w:vAlign w:val="bottom"/>
            <w:tcBorders>
              <w:bottom w:val="single" w:sz="8" w:color="auto"/>
            </w:tcBorders>
            <w:gridSpan w:val="2"/>
          </w:tcPr>
          <w:p>
            <w:pPr>
              <w:jc w:val="right"/>
              <w:ind w:right="72"/>
              <w:spacing w:after="0"/>
              <w:rPr>
                <w:sz w:val="20"/>
                <w:szCs w:val="20"/>
                <w:color w:val="auto"/>
              </w:rPr>
            </w:pPr>
            <w:r>
              <w:rPr>
                <w:rFonts w:ascii="Arial" w:cs="Arial" w:eastAsia="Arial" w:hAnsi="Arial"/>
                <w:sz w:val="14"/>
                <w:szCs w:val="14"/>
                <w:color w:val="auto"/>
              </w:rPr>
              <w:t>Parent</w:t>
            </w:r>
          </w:p>
        </w:tc>
        <w:tc>
          <w:tcPr>
            <w:tcW w:w="200" w:type="dxa"/>
            <w:vAlign w:val="bottom"/>
            <w:tcBorders>
              <w:bottom w:val="single" w:sz="8" w:color="auto"/>
            </w:tcBorders>
          </w:tcPr>
          <w:p>
            <w:pPr>
              <w:spacing w:after="0"/>
              <w:rPr>
                <w:sz w:val="14"/>
                <w:szCs w:val="14"/>
                <w:color w:val="auto"/>
              </w:rPr>
            </w:pPr>
          </w:p>
        </w:tc>
        <w:tc>
          <w:tcPr>
            <w:tcW w:w="680" w:type="dxa"/>
            <w:vAlign w:val="bottom"/>
            <w:tcBorders>
              <w:bottom w:val="single" w:sz="8" w:color="auto"/>
            </w:tcBorders>
          </w:tcPr>
          <w:p>
            <w:pPr>
              <w:jc w:val="right"/>
              <w:ind w:right="92"/>
              <w:spacing w:after="0"/>
              <w:rPr>
                <w:sz w:val="20"/>
                <w:szCs w:val="20"/>
                <w:color w:val="auto"/>
              </w:rPr>
            </w:pPr>
            <w:r>
              <w:rPr>
                <w:rFonts w:ascii="Arial" w:cs="Arial" w:eastAsia="Arial" w:hAnsi="Arial"/>
                <w:sz w:val="14"/>
                <w:szCs w:val="14"/>
                <w:color w:val="auto"/>
              </w:rPr>
              <w:t>Parents</w:t>
            </w:r>
          </w:p>
        </w:tc>
        <w:tc>
          <w:tcPr>
            <w:tcW w:w="800" w:type="dxa"/>
            <w:vAlign w:val="bottom"/>
            <w:tcBorders>
              <w:bottom w:val="single" w:sz="8" w:color="auto"/>
            </w:tcBorders>
            <w:gridSpan w:val="2"/>
          </w:tcPr>
          <w:p>
            <w:pPr>
              <w:ind w:left="120"/>
              <w:spacing w:after="0"/>
              <w:rPr>
                <w:sz w:val="20"/>
                <w:szCs w:val="20"/>
                <w:color w:val="auto"/>
              </w:rPr>
            </w:pPr>
            <w:r>
              <w:rPr>
                <w:rFonts w:ascii="Arial" w:cs="Arial" w:eastAsia="Arial" w:hAnsi="Arial"/>
                <w:sz w:val="14"/>
                <w:szCs w:val="14"/>
                <w:color w:val="auto"/>
              </w:rPr>
              <w:t>Holdings</w:t>
            </w:r>
          </w:p>
        </w:tc>
        <w:tc>
          <w:tcPr>
            <w:tcW w:w="1000" w:type="dxa"/>
            <w:vAlign w:val="bottom"/>
            <w:tcBorders>
              <w:bottom w:val="single" w:sz="8" w:color="auto"/>
            </w:tcBorders>
            <w:gridSpan w:val="2"/>
          </w:tcPr>
          <w:p>
            <w:pPr>
              <w:jc w:val="right"/>
              <w:ind w:right="92"/>
              <w:spacing w:after="0"/>
              <w:rPr>
                <w:sz w:val="20"/>
                <w:szCs w:val="20"/>
                <w:color w:val="auto"/>
              </w:rPr>
            </w:pPr>
            <w:r>
              <w:rPr>
                <w:rFonts w:ascii="Arial" w:cs="Arial" w:eastAsia="Arial" w:hAnsi="Arial"/>
                <w:sz w:val="14"/>
                <w:szCs w:val="14"/>
                <w:color w:val="auto"/>
              </w:rPr>
              <w:t>Subsidiaries</w:t>
            </w:r>
          </w:p>
        </w:tc>
        <w:tc>
          <w:tcPr>
            <w:tcW w:w="180" w:type="dxa"/>
            <w:vAlign w:val="bottom"/>
            <w:tcBorders>
              <w:bottom w:val="single" w:sz="8" w:color="auto"/>
            </w:tcBorders>
          </w:tcPr>
          <w:p>
            <w:pPr>
              <w:spacing w:after="0"/>
              <w:rPr>
                <w:sz w:val="14"/>
                <w:szCs w:val="14"/>
                <w:color w:val="auto"/>
              </w:rPr>
            </w:pPr>
          </w:p>
        </w:tc>
        <w:tc>
          <w:tcPr>
            <w:tcW w:w="900" w:type="dxa"/>
            <w:vAlign w:val="bottom"/>
            <w:tcBorders>
              <w:bottom w:val="single" w:sz="8" w:color="auto"/>
            </w:tcBorders>
          </w:tcPr>
          <w:p>
            <w:pPr>
              <w:jc w:val="right"/>
              <w:ind w:right="92"/>
              <w:spacing w:after="0"/>
              <w:rPr>
                <w:sz w:val="20"/>
                <w:szCs w:val="20"/>
                <w:color w:val="auto"/>
              </w:rPr>
            </w:pPr>
            <w:r>
              <w:rPr>
                <w:rFonts w:ascii="Arial" w:cs="Arial" w:eastAsia="Arial" w:hAnsi="Arial"/>
                <w:sz w:val="14"/>
                <w:szCs w:val="14"/>
                <w:color w:val="auto"/>
                <w:w w:val="93"/>
              </w:rPr>
              <w:t>Adjustments</w:t>
            </w:r>
          </w:p>
        </w:tc>
        <w:tc>
          <w:tcPr>
            <w:tcW w:w="180" w:type="dxa"/>
            <w:vAlign w:val="bottom"/>
            <w:tcBorders>
              <w:bottom w:val="single" w:sz="8" w:color="auto"/>
            </w:tcBorders>
          </w:tcPr>
          <w:p>
            <w:pPr>
              <w:spacing w:after="0"/>
              <w:rPr>
                <w:sz w:val="14"/>
                <w:szCs w:val="14"/>
                <w:color w:val="auto"/>
              </w:rPr>
            </w:pPr>
          </w:p>
        </w:tc>
        <w:tc>
          <w:tcPr>
            <w:tcW w:w="84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w w:val="94"/>
              </w:rPr>
              <w:t>Corporation</w:t>
            </w:r>
          </w:p>
        </w:tc>
        <w:tc>
          <w:tcPr>
            <w:tcW w:w="0" w:type="dxa"/>
            <w:vAlign w:val="bottom"/>
          </w:tcPr>
          <w:p>
            <w:pPr>
              <w:spacing w:after="0"/>
              <w:rPr>
                <w:sz w:val="1"/>
                <w:szCs w:val="1"/>
                <w:color w:val="auto"/>
              </w:rPr>
            </w:pPr>
          </w:p>
        </w:tc>
      </w:tr>
      <w:tr>
        <w:trPr>
          <w:trHeight w:val="141"/>
        </w:trPr>
        <w:tc>
          <w:tcPr>
            <w:tcW w:w="4260" w:type="dxa"/>
            <w:vAlign w:val="bottom"/>
            <w:gridSpan w:val="2"/>
          </w:tcPr>
          <w:p>
            <w:pPr>
              <w:spacing w:after="0" w:line="141" w:lineRule="exact"/>
              <w:rPr>
                <w:sz w:val="20"/>
                <w:szCs w:val="20"/>
                <w:color w:val="auto"/>
              </w:rPr>
            </w:pPr>
            <w:r>
              <w:rPr>
                <w:rFonts w:ascii="Arial" w:cs="Arial" w:eastAsia="Arial" w:hAnsi="Arial"/>
                <w:sz w:val="14"/>
                <w:szCs w:val="14"/>
                <w:b w:val="1"/>
                <w:bCs w:val="1"/>
                <w:color w:val="auto"/>
              </w:rPr>
              <w:t>Revenues</w:t>
            </w:r>
          </w:p>
        </w:tc>
        <w:tc>
          <w:tcPr>
            <w:tcW w:w="42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900" w:type="dxa"/>
            <w:vAlign w:val="bottom"/>
          </w:tcPr>
          <w:p>
            <w:pPr>
              <w:spacing w:after="0"/>
              <w:rPr>
                <w:sz w:val="12"/>
                <w:szCs w:val="12"/>
                <w:color w:val="auto"/>
              </w:rPr>
            </w:pPr>
          </w:p>
        </w:tc>
        <w:tc>
          <w:tcPr>
            <w:tcW w:w="180" w:type="dxa"/>
            <w:vAlign w:val="bottom"/>
            <w:vMerge w:val="restart"/>
          </w:tcPr>
          <w:p>
            <w:pPr>
              <w:jc w:val="right"/>
              <w:spacing w:after="0"/>
              <w:rPr>
                <w:sz w:val="20"/>
                <w:szCs w:val="20"/>
                <w:color w:val="auto"/>
              </w:rPr>
            </w:pPr>
            <w:r>
              <w:rPr>
                <w:rFonts w:ascii="Arial" w:cs="Arial" w:eastAsia="Arial" w:hAnsi="Arial"/>
                <w:sz w:val="14"/>
                <w:szCs w:val="14"/>
                <w:b w:val="1"/>
                <w:bCs w:val="1"/>
                <w:color w:val="auto"/>
              </w:rPr>
              <w:t>$</w:t>
            </w:r>
          </w:p>
        </w:tc>
        <w:tc>
          <w:tcPr>
            <w:tcW w:w="840" w:type="dxa"/>
            <w:vAlign w:val="bottom"/>
            <w:vMerge w:val="restart"/>
          </w:tcPr>
          <w:p>
            <w:pPr>
              <w:jc w:val="right"/>
              <w:spacing w:after="0"/>
              <w:rPr>
                <w:sz w:val="20"/>
                <w:szCs w:val="20"/>
                <w:color w:val="auto"/>
              </w:rPr>
            </w:pPr>
            <w:r>
              <w:rPr>
                <w:rFonts w:ascii="Arial" w:cs="Arial" w:eastAsia="Arial" w:hAnsi="Arial"/>
                <w:sz w:val="14"/>
                <w:szCs w:val="14"/>
                <w:b w:val="1"/>
                <w:bCs w:val="1"/>
                <w:color w:val="auto"/>
              </w:rPr>
              <w:t>24,966</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4240" w:type="dxa"/>
            <w:vAlign w:val="bottom"/>
          </w:tcPr>
          <w:p>
            <w:pPr>
              <w:ind w:left="200"/>
              <w:spacing w:after="0" w:line="133" w:lineRule="exact"/>
              <w:rPr>
                <w:sz w:val="20"/>
                <w:szCs w:val="20"/>
                <w:color w:val="auto"/>
              </w:rPr>
            </w:pPr>
            <w:r>
              <w:rPr>
                <w:rFonts w:ascii="Arial" w:cs="Arial" w:eastAsia="Arial" w:hAnsi="Arial"/>
                <w:sz w:val="14"/>
                <w:szCs w:val="14"/>
                <w:color w:val="auto"/>
              </w:rPr>
              <w:t>Service revenues</w:t>
            </w:r>
          </w:p>
        </w:tc>
        <w:tc>
          <w:tcPr>
            <w:tcW w:w="420" w:type="dxa"/>
            <w:vAlign w:val="bottom"/>
          </w:tcPr>
          <w:p>
            <w:pPr>
              <w:ind w:left="320"/>
              <w:spacing w:after="0" w:line="133" w:lineRule="exact"/>
              <w:rPr>
                <w:sz w:val="20"/>
                <w:szCs w:val="20"/>
                <w:color w:val="auto"/>
              </w:rPr>
            </w:pPr>
            <w:r>
              <w:rPr>
                <w:rFonts w:ascii="Arial" w:cs="Arial" w:eastAsia="Arial" w:hAnsi="Arial"/>
                <w:sz w:val="14"/>
                <w:szCs w:val="14"/>
                <w:color w:val="auto"/>
              </w:rPr>
              <w:t>$</w:t>
            </w:r>
          </w:p>
        </w:tc>
        <w:tc>
          <w:tcPr>
            <w:tcW w:w="580" w:type="dxa"/>
            <w:vAlign w:val="bottom"/>
          </w:tcPr>
          <w:p>
            <w:pPr>
              <w:jc w:val="right"/>
              <w:ind w:right="72"/>
              <w:spacing w:after="0" w:line="133" w:lineRule="exact"/>
              <w:rPr>
                <w:sz w:val="20"/>
                <w:szCs w:val="20"/>
                <w:color w:val="auto"/>
              </w:rPr>
            </w:pPr>
            <w:r>
              <w:rPr>
                <w:rFonts w:ascii="Arial" w:cs="Arial" w:eastAsia="Arial" w:hAnsi="Arial"/>
                <w:sz w:val="14"/>
                <w:szCs w:val="14"/>
                <w:color w:val="auto"/>
              </w:rPr>
              <w:t>—</w:t>
            </w:r>
          </w:p>
        </w:tc>
        <w:tc>
          <w:tcPr>
            <w:tcW w:w="200" w:type="dxa"/>
            <w:vAlign w:val="bottom"/>
          </w:tcPr>
          <w:p>
            <w:pPr>
              <w:jc w:val="right"/>
              <w:spacing w:after="0" w:line="133" w:lineRule="exact"/>
              <w:rPr>
                <w:sz w:val="20"/>
                <w:szCs w:val="20"/>
                <w:color w:val="auto"/>
              </w:rPr>
            </w:pPr>
            <w:r>
              <w:rPr>
                <w:rFonts w:ascii="Arial" w:cs="Arial" w:eastAsia="Arial" w:hAnsi="Arial"/>
                <w:sz w:val="14"/>
                <w:szCs w:val="14"/>
                <w:color w:val="auto"/>
              </w:rPr>
              <w:t>$</w:t>
            </w:r>
          </w:p>
        </w:tc>
        <w:tc>
          <w:tcPr>
            <w:tcW w:w="500" w:type="dxa"/>
            <w:vAlign w:val="bottom"/>
          </w:tcPr>
          <w:p>
            <w:pPr>
              <w:jc w:val="right"/>
              <w:ind w:right="92"/>
              <w:spacing w:after="0" w:line="133" w:lineRule="exact"/>
              <w:rPr>
                <w:sz w:val="20"/>
                <w:szCs w:val="20"/>
                <w:color w:val="auto"/>
              </w:rPr>
            </w:pPr>
            <w:r>
              <w:rPr>
                <w:rFonts w:ascii="Arial" w:cs="Arial" w:eastAsia="Arial" w:hAnsi="Arial"/>
                <w:sz w:val="14"/>
                <w:szCs w:val="14"/>
                <w:color w:val="auto"/>
              </w:rPr>
              <w:t>—</w:t>
            </w:r>
          </w:p>
        </w:tc>
        <w:tc>
          <w:tcPr>
            <w:tcW w:w="180" w:type="dxa"/>
            <w:vAlign w:val="bottom"/>
          </w:tcPr>
          <w:p>
            <w:pPr>
              <w:jc w:val="right"/>
              <w:spacing w:after="0" w:line="133" w:lineRule="exact"/>
              <w:rPr>
                <w:sz w:val="20"/>
                <w:szCs w:val="20"/>
                <w:color w:val="auto"/>
              </w:rPr>
            </w:pPr>
            <w:r>
              <w:rPr>
                <w:rFonts w:ascii="Arial" w:cs="Arial" w:eastAsia="Arial" w:hAnsi="Arial"/>
                <w:sz w:val="14"/>
                <w:szCs w:val="14"/>
                <w:color w:val="auto"/>
              </w:rPr>
              <w:t>$</w:t>
            </w:r>
          </w:p>
        </w:tc>
        <w:tc>
          <w:tcPr>
            <w:tcW w:w="500" w:type="dxa"/>
            <w:vAlign w:val="bottom"/>
          </w:tcPr>
          <w:p>
            <w:pPr>
              <w:jc w:val="right"/>
              <w:ind w:right="72"/>
              <w:spacing w:after="0" w:line="133" w:lineRule="exact"/>
              <w:rPr>
                <w:sz w:val="20"/>
                <w:szCs w:val="20"/>
                <w:color w:val="auto"/>
              </w:rPr>
            </w:pPr>
            <w:r>
              <w:rPr>
                <w:rFonts w:ascii="Arial" w:cs="Arial" w:eastAsia="Arial" w:hAnsi="Arial"/>
                <w:sz w:val="14"/>
                <w:szCs w:val="14"/>
                <w:color w:val="auto"/>
              </w:rPr>
              <w:t>—</w:t>
            </w:r>
          </w:p>
        </w:tc>
        <w:tc>
          <w:tcPr>
            <w:tcW w:w="200" w:type="dxa"/>
            <w:vAlign w:val="bottom"/>
          </w:tcPr>
          <w:p>
            <w:pPr>
              <w:jc w:val="right"/>
              <w:spacing w:after="0" w:line="133" w:lineRule="exact"/>
              <w:rPr>
                <w:sz w:val="20"/>
                <w:szCs w:val="20"/>
                <w:color w:val="auto"/>
              </w:rPr>
            </w:pPr>
            <w:r>
              <w:rPr>
                <w:rFonts w:ascii="Arial" w:cs="Arial" w:eastAsia="Arial" w:hAnsi="Arial"/>
                <w:sz w:val="14"/>
                <w:szCs w:val="14"/>
                <w:color w:val="auto"/>
              </w:rPr>
              <w:t>$</w:t>
            </w:r>
          </w:p>
        </w:tc>
        <w:tc>
          <w:tcPr>
            <w:tcW w:w="680" w:type="dxa"/>
            <w:vAlign w:val="bottom"/>
          </w:tcPr>
          <w:p>
            <w:pPr>
              <w:jc w:val="right"/>
              <w:ind w:right="92"/>
              <w:spacing w:after="0" w:line="133" w:lineRule="exact"/>
              <w:rPr>
                <w:sz w:val="20"/>
                <w:szCs w:val="20"/>
                <w:color w:val="auto"/>
              </w:rPr>
            </w:pPr>
            <w:r>
              <w:rPr>
                <w:rFonts w:ascii="Arial" w:cs="Arial" w:eastAsia="Arial" w:hAnsi="Arial"/>
                <w:sz w:val="14"/>
                <w:szCs w:val="14"/>
                <w:color w:val="auto"/>
              </w:rPr>
              <w:t>—</w:t>
            </w:r>
          </w:p>
        </w:tc>
        <w:tc>
          <w:tcPr>
            <w:tcW w:w="240" w:type="dxa"/>
            <w:vAlign w:val="bottom"/>
          </w:tcPr>
          <w:p>
            <w:pPr>
              <w:ind w:left="100"/>
              <w:spacing w:after="0" w:line="133" w:lineRule="exact"/>
              <w:rPr>
                <w:sz w:val="20"/>
                <w:szCs w:val="20"/>
                <w:color w:val="auto"/>
              </w:rPr>
            </w:pPr>
            <w:r>
              <w:rPr>
                <w:rFonts w:ascii="Arial" w:cs="Arial" w:eastAsia="Arial" w:hAnsi="Arial"/>
                <w:sz w:val="14"/>
                <w:szCs w:val="14"/>
                <w:color w:val="auto"/>
              </w:rPr>
              <w:t>$</w:t>
            </w:r>
          </w:p>
        </w:tc>
        <w:tc>
          <w:tcPr>
            <w:tcW w:w="560" w:type="dxa"/>
            <w:vAlign w:val="bottom"/>
          </w:tcPr>
          <w:p>
            <w:pPr>
              <w:jc w:val="right"/>
              <w:ind w:right="92"/>
              <w:spacing w:after="0" w:line="133" w:lineRule="exact"/>
              <w:rPr>
                <w:sz w:val="20"/>
                <w:szCs w:val="20"/>
                <w:color w:val="auto"/>
              </w:rPr>
            </w:pPr>
            <w:r>
              <w:rPr>
                <w:rFonts w:ascii="Arial" w:cs="Arial" w:eastAsia="Arial" w:hAnsi="Arial"/>
                <w:sz w:val="14"/>
                <w:szCs w:val="14"/>
                <w:color w:val="auto"/>
              </w:rPr>
              <w:t>—</w:t>
            </w:r>
          </w:p>
        </w:tc>
        <w:tc>
          <w:tcPr>
            <w:tcW w:w="200" w:type="dxa"/>
            <w:vAlign w:val="bottom"/>
          </w:tcPr>
          <w:p>
            <w:pPr>
              <w:jc w:val="right"/>
              <w:spacing w:after="0" w:line="133" w:lineRule="exact"/>
              <w:rPr>
                <w:sz w:val="20"/>
                <w:szCs w:val="20"/>
                <w:color w:val="auto"/>
              </w:rPr>
            </w:pPr>
            <w:r>
              <w:rPr>
                <w:rFonts w:ascii="Arial" w:cs="Arial" w:eastAsia="Arial" w:hAnsi="Arial"/>
                <w:sz w:val="14"/>
                <w:szCs w:val="14"/>
                <w:color w:val="auto"/>
              </w:rPr>
              <w:t>$</w:t>
            </w:r>
          </w:p>
        </w:tc>
        <w:tc>
          <w:tcPr>
            <w:tcW w:w="800" w:type="dxa"/>
            <w:vAlign w:val="bottom"/>
          </w:tcPr>
          <w:p>
            <w:pPr>
              <w:jc w:val="right"/>
              <w:ind w:right="92"/>
              <w:spacing w:after="0" w:line="133" w:lineRule="exact"/>
              <w:rPr>
                <w:sz w:val="20"/>
                <w:szCs w:val="20"/>
                <w:color w:val="auto"/>
              </w:rPr>
            </w:pPr>
            <w:r>
              <w:rPr>
                <w:rFonts w:ascii="Arial" w:cs="Arial" w:eastAsia="Arial" w:hAnsi="Arial"/>
                <w:sz w:val="14"/>
                <w:szCs w:val="14"/>
                <w:color w:val="auto"/>
              </w:rPr>
              <w:t>24,966</w:t>
            </w:r>
          </w:p>
        </w:tc>
        <w:tc>
          <w:tcPr>
            <w:tcW w:w="180" w:type="dxa"/>
            <w:vAlign w:val="bottom"/>
          </w:tcPr>
          <w:p>
            <w:pPr>
              <w:jc w:val="right"/>
              <w:spacing w:after="0" w:line="133" w:lineRule="exact"/>
              <w:rPr>
                <w:sz w:val="20"/>
                <w:szCs w:val="20"/>
                <w:color w:val="auto"/>
              </w:rPr>
            </w:pPr>
            <w:r>
              <w:rPr>
                <w:rFonts w:ascii="Arial" w:cs="Arial" w:eastAsia="Arial" w:hAnsi="Arial"/>
                <w:sz w:val="14"/>
                <w:szCs w:val="14"/>
                <w:color w:val="auto"/>
              </w:rPr>
              <w:t>$</w:t>
            </w:r>
          </w:p>
        </w:tc>
        <w:tc>
          <w:tcPr>
            <w:tcW w:w="900" w:type="dxa"/>
            <w:vAlign w:val="bottom"/>
          </w:tcPr>
          <w:p>
            <w:pPr>
              <w:jc w:val="right"/>
              <w:ind w:right="92"/>
              <w:spacing w:after="0" w:line="133" w:lineRule="exact"/>
              <w:rPr>
                <w:sz w:val="20"/>
                <w:szCs w:val="20"/>
                <w:color w:val="auto"/>
              </w:rPr>
            </w:pPr>
            <w:r>
              <w:rPr>
                <w:rFonts w:ascii="Arial" w:cs="Arial" w:eastAsia="Arial" w:hAnsi="Arial"/>
                <w:sz w:val="14"/>
                <w:szCs w:val="14"/>
                <w:color w:val="auto"/>
              </w:rPr>
              <w:t>—</w:t>
            </w:r>
          </w:p>
        </w:tc>
        <w:tc>
          <w:tcPr>
            <w:tcW w:w="180" w:type="dxa"/>
            <w:vAlign w:val="bottom"/>
            <w:vMerge w:val="continue"/>
          </w:tcPr>
          <w:p>
            <w:pPr>
              <w:spacing w:after="0"/>
              <w:rPr>
                <w:sz w:val="11"/>
                <w:szCs w:val="11"/>
                <w:color w:val="auto"/>
              </w:rPr>
            </w:pPr>
          </w:p>
        </w:tc>
        <w:tc>
          <w:tcPr>
            <w:tcW w:w="840" w:type="dxa"/>
            <w:vAlign w:val="bottom"/>
            <w:vMerge w:val="continue"/>
          </w:tcPr>
          <w:p>
            <w:pPr>
              <w:spacing w:after="0"/>
              <w:rPr>
                <w:sz w:val="11"/>
                <w:szCs w:val="11"/>
                <w:color w:val="auto"/>
              </w:rPr>
            </w:pPr>
          </w:p>
        </w:tc>
        <w:tc>
          <w:tcPr>
            <w:tcW w:w="0" w:type="dxa"/>
            <w:vAlign w:val="bottom"/>
          </w:tcPr>
          <w:p>
            <w:pPr>
              <w:spacing w:after="0"/>
              <w:rPr>
                <w:sz w:val="1"/>
                <w:szCs w:val="1"/>
                <w:color w:val="auto"/>
              </w:rPr>
            </w:pPr>
          </w:p>
        </w:tc>
      </w:tr>
      <w:tr>
        <w:trPr>
          <w:trHeight w:val="165"/>
        </w:trPr>
        <w:tc>
          <w:tcPr>
            <w:tcW w:w="20" w:type="dxa"/>
            <w:vAlign w:val="bottom"/>
          </w:tcPr>
          <w:p>
            <w:pPr>
              <w:spacing w:after="0"/>
              <w:rPr>
                <w:sz w:val="14"/>
                <w:szCs w:val="14"/>
                <w:color w:val="auto"/>
              </w:rPr>
            </w:pPr>
          </w:p>
        </w:tc>
        <w:tc>
          <w:tcPr>
            <w:tcW w:w="4240" w:type="dxa"/>
            <w:vAlign w:val="bottom"/>
            <w:tcBorders>
              <w:bottom w:val="single" w:sz="8" w:color="auto"/>
            </w:tcBorders>
          </w:tcPr>
          <w:p>
            <w:pPr>
              <w:ind w:left="200"/>
              <w:spacing w:after="0"/>
              <w:rPr>
                <w:sz w:val="20"/>
                <w:szCs w:val="20"/>
                <w:color w:val="auto"/>
              </w:rPr>
            </w:pPr>
            <w:r>
              <w:rPr>
                <w:rFonts w:ascii="Arial" w:cs="Arial" w:eastAsia="Arial" w:hAnsi="Arial"/>
                <w:sz w:val="14"/>
                <w:szCs w:val="14"/>
                <w:color w:val="auto"/>
              </w:rPr>
              <w:t>Management fee revenue</w:t>
            </w:r>
          </w:p>
        </w:tc>
        <w:tc>
          <w:tcPr>
            <w:tcW w:w="420" w:type="dxa"/>
            <w:vAlign w:val="bottom"/>
            <w:tcBorders>
              <w:bottom w:val="single" w:sz="8" w:color="auto"/>
            </w:tcBorders>
          </w:tcPr>
          <w:p>
            <w:pPr>
              <w:spacing w:after="0"/>
              <w:rPr>
                <w:sz w:val="14"/>
                <w:szCs w:val="14"/>
                <w:color w:val="auto"/>
              </w:rPr>
            </w:pPr>
          </w:p>
        </w:tc>
        <w:tc>
          <w:tcPr>
            <w:tcW w:w="580" w:type="dxa"/>
            <w:vAlign w:val="bottom"/>
            <w:tcBorders>
              <w:bottom w:val="single" w:sz="8" w:color="auto"/>
            </w:tcBorders>
          </w:tcPr>
          <w:p>
            <w:pPr>
              <w:jc w:val="right"/>
              <w:ind w:right="72"/>
              <w:spacing w:after="0"/>
              <w:rPr>
                <w:sz w:val="20"/>
                <w:szCs w:val="20"/>
                <w:color w:val="auto"/>
              </w:rPr>
            </w:pPr>
            <w:r>
              <w:rPr>
                <w:rFonts w:ascii="Arial" w:cs="Arial" w:eastAsia="Arial" w:hAnsi="Arial"/>
                <w:sz w:val="14"/>
                <w:szCs w:val="14"/>
                <w:color w:val="auto"/>
              </w:rPr>
              <w:t>526</w:t>
            </w:r>
          </w:p>
        </w:tc>
        <w:tc>
          <w:tcPr>
            <w:tcW w:w="200" w:type="dxa"/>
            <w:vAlign w:val="bottom"/>
            <w:tcBorders>
              <w:bottom w:val="single" w:sz="8" w:color="auto"/>
            </w:tcBorders>
          </w:tcPr>
          <w:p>
            <w:pPr>
              <w:spacing w:after="0"/>
              <w:rPr>
                <w:sz w:val="14"/>
                <w:szCs w:val="14"/>
                <w:color w:val="auto"/>
              </w:rPr>
            </w:pPr>
          </w:p>
        </w:tc>
        <w:tc>
          <w:tcPr>
            <w:tcW w:w="500" w:type="dxa"/>
            <w:vAlign w:val="bottom"/>
            <w:tcBorders>
              <w:bottom w:val="single" w:sz="8" w:color="auto"/>
            </w:tcBorders>
          </w:tcPr>
          <w:p>
            <w:pPr>
              <w:jc w:val="right"/>
              <w:ind w:right="92"/>
              <w:spacing w:after="0"/>
              <w:rPr>
                <w:sz w:val="20"/>
                <w:szCs w:val="20"/>
                <w:color w:val="auto"/>
              </w:rPr>
            </w:pPr>
            <w:r>
              <w:rPr>
                <w:rFonts w:ascii="Arial" w:cs="Arial" w:eastAsia="Arial" w:hAnsi="Arial"/>
                <w:sz w:val="14"/>
                <w:szCs w:val="14"/>
                <w:color w:val="auto"/>
              </w:rPr>
              <w:t>193</w:t>
            </w:r>
          </w:p>
        </w:tc>
        <w:tc>
          <w:tcPr>
            <w:tcW w:w="180" w:type="dxa"/>
            <w:vAlign w:val="bottom"/>
            <w:tcBorders>
              <w:bottom w:val="single" w:sz="8" w:color="auto"/>
            </w:tcBorders>
          </w:tcPr>
          <w:p>
            <w:pPr>
              <w:spacing w:after="0"/>
              <w:rPr>
                <w:sz w:val="14"/>
                <w:szCs w:val="14"/>
                <w:color w:val="auto"/>
              </w:rPr>
            </w:pPr>
          </w:p>
        </w:tc>
        <w:tc>
          <w:tcPr>
            <w:tcW w:w="500" w:type="dxa"/>
            <w:vAlign w:val="bottom"/>
            <w:tcBorders>
              <w:bottom w:val="single" w:sz="8" w:color="auto"/>
            </w:tcBorders>
          </w:tcPr>
          <w:p>
            <w:pPr>
              <w:jc w:val="right"/>
              <w:ind w:right="72"/>
              <w:spacing w:after="0"/>
              <w:rPr>
                <w:sz w:val="20"/>
                <w:szCs w:val="20"/>
                <w:color w:val="auto"/>
              </w:rPr>
            </w:pPr>
            <w:r>
              <w:rPr>
                <w:rFonts w:ascii="Arial" w:cs="Arial" w:eastAsia="Arial" w:hAnsi="Arial"/>
                <w:sz w:val="14"/>
                <w:szCs w:val="14"/>
                <w:color w:val="auto"/>
              </w:rPr>
              <w:t>298</w:t>
            </w:r>
          </w:p>
        </w:tc>
        <w:tc>
          <w:tcPr>
            <w:tcW w:w="200" w:type="dxa"/>
            <w:vAlign w:val="bottom"/>
            <w:tcBorders>
              <w:bottom w:val="single" w:sz="8" w:color="auto"/>
            </w:tcBorders>
          </w:tcPr>
          <w:p>
            <w:pPr>
              <w:spacing w:after="0"/>
              <w:rPr>
                <w:sz w:val="14"/>
                <w:szCs w:val="14"/>
                <w:color w:val="auto"/>
              </w:rPr>
            </w:pPr>
          </w:p>
        </w:tc>
        <w:tc>
          <w:tcPr>
            <w:tcW w:w="680" w:type="dxa"/>
            <w:vAlign w:val="bottom"/>
            <w:tcBorders>
              <w:bottom w:val="single" w:sz="8" w:color="auto"/>
            </w:tcBorders>
          </w:tcPr>
          <w:p>
            <w:pPr>
              <w:jc w:val="right"/>
              <w:ind w:right="92"/>
              <w:spacing w:after="0"/>
              <w:rPr>
                <w:sz w:val="20"/>
                <w:szCs w:val="20"/>
                <w:color w:val="auto"/>
              </w:rPr>
            </w:pPr>
            <w:r>
              <w:rPr>
                <w:rFonts w:ascii="Arial" w:cs="Arial" w:eastAsia="Arial" w:hAnsi="Arial"/>
                <w:sz w:val="14"/>
                <w:szCs w:val="14"/>
                <w:color w:val="auto"/>
              </w:rPr>
              <w:t>298</w:t>
            </w:r>
          </w:p>
        </w:tc>
        <w:tc>
          <w:tcPr>
            <w:tcW w:w="240" w:type="dxa"/>
            <w:vAlign w:val="bottom"/>
            <w:tcBorders>
              <w:bottom w:val="single" w:sz="8" w:color="auto"/>
            </w:tcBorders>
          </w:tcPr>
          <w:p>
            <w:pPr>
              <w:spacing w:after="0"/>
              <w:rPr>
                <w:sz w:val="14"/>
                <w:szCs w:val="14"/>
                <w:color w:val="auto"/>
              </w:rPr>
            </w:pPr>
          </w:p>
        </w:tc>
        <w:tc>
          <w:tcPr>
            <w:tcW w:w="560" w:type="dxa"/>
            <w:vAlign w:val="bottom"/>
            <w:tcBorders>
              <w:bottom w:val="single" w:sz="8" w:color="auto"/>
            </w:tcBorders>
          </w:tcPr>
          <w:p>
            <w:pPr>
              <w:jc w:val="right"/>
              <w:ind w:right="92"/>
              <w:spacing w:after="0"/>
              <w:rPr>
                <w:sz w:val="20"/>
                <w:szCs w:val="20"/>
                <w:color w:val="auto"/>
              </w:rPr>
            </w:pPr>
            <w:r>
              <w:rPr>
                <w:rFonts w:ascii="Arial" w:cs="Arial" w:eastAsia="Arial" w:hAnsi="Arial"/>
                <w:sz w:val="14"/>
                <w:szCs w:val="14"/>
                <w:color w:val="auto"/>
              </w:rPr>
              <w:t>8</w:t>
            </w:r>
          </w:p>
        </w:tc>
        <w:tc>
          <w:tcPr>
            <w:tcW w:w="200" w:type="dxa"/>
            <w:vAlign w:val="bottom"/>
            <w:tcBorders>
              <w:bottom w:val="single" w:sz="8" w:color="auto"/>
            </w:tcBorders>
          </w:tcPr>
          <w:p>
            <w:pPr>
              <w:spacing w:after="0"/>
              <w:rPr>
                <w:sz w:val="14"/>
                <w:szCs w:val="14"/>
                <w:color w:val="auto"/>
              </w:rPr>
            </w:pPr>
          </w:p>
        </w:tc>
        <w:tc>
          <w:tcPr>
            <w:tcW w:w="800" w:type="dxa"/>
            <w:vAlign w:val="bottom"/>
            <w:tcBorders>
              <w:bottom w:val="single" w:sz="8" w:color="auto"/>
            </w:tcBorders>
          </w:tcPr>
          <w:p>
            <w:pPr>
              <w:jc w:val="right"/>
              <w:ind w:right="92"/>
              <w:spacing w:after="0"/>
              <w:rPr>
                <w:sz w:val="20"/>
                <w:szCs w:val="20"/>
                <w:color w:val="auto"/>
              </w:rPr>
            </w:pPr>
            <w:r>
              <w:rPr>
                <w:rFonts w:ascii="Arial" w:cs="Arial" w:eastAsia="Arial" w:hAnsi="Arial"/>
                <w:sz w:val="14"/>
                <w:szCs w:val="14"/>
                <w:color w:val="auto"/>
              </w:rPr>
              <w:t>—</w:t>
            </w:r>
          </w:p>
        </w:tc>
        <w:tc>
          <w:tcPr>
            <w:tcW w:w="180" w:type="dxa"/>
            <w:vAlign w:val="bottom"/>
            <w:tcBorders>
              <w:bottom w:val="single" w:sz="8" w:color="auto"/>
            </w:tcBorders>
          </w:tcPr>
          <w:p>
            <w:pPr>
              <w:spacing w:after="0"/>
              <w:rPr>
                <w:sz w:val="14"/>
                <w:szCs w:val="14"/>
                <w:color w:val="auto"/>
              </w:rPr>
            </w:pPr>
          </w:p>
        </w:tc>
        <w:tc>
          <w:tcPr>
            <w:tcW w:w="900" w:type="dxa"/>
            <w:vAlign w:val="bottom"/>
            <w:tcBorders>
              <w:bottom w:val="single" w:sz="8" w:color="auto"/>
            </w:tcBorders>
          </w:tcPr>
          <w:p>
            <w:pPr>
              <w:jc w:val="right"/>
              <w:ind w:right="32"/>
              <w:spacing w:after="0"/>
              <w:rPr>
                <w:sz w:val="20"/>
                <w:szCs w:val="20"/>
                <w:color w:val="auto"/>
              </w:rPr>
            </w:pPr>
            <w:r>
              <w:rPr>
                <w:rFonts w:ascii="Arial" w:cs="Arial" w:eastAsia="Arial" w:hAnsi="Arial"/>
                <w:sz w:val="14"/>
                <w:szCs w:val="14"/>
                <w:color w:val="auto"/>
              </w:rPr>
              <w:t>(1,323)</w:t>
            </w:r>
          </w:p>
        </w:tc>
        <w:tc>
          <w:tcPr>
            <w:tcW w:w="180" w:type="dxa"/>
            <w:vAlign w:val="bottom"/>
            <w:tcBorders>
              <w:bottom w:val="single" w:sz="8" w:color="auto"/>
            </w:tcBorders>
          </w:tcPr>
          <w:p>
            <w:pPr>
              <w:spacing w:after="0"/>
              <w:rPr>
                <w:sz w:val="14"/>
                <w:szCs w:val="14"/>
                <w:color w:val="auto"/>
              </w:rPr>
            </w:pPr>
          </w:p>
        </w:tc>
        <w:tc>
          <w:tcPr>
            <w:tcW w:w="84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w:t>
            </w: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4240" w:type="dxa"/>
            <w:vAlign w:val="bottom"/>
            <w:tcBorders>
              <w:bottom w:val="single" w:sz="8" w:color="auto"/>
            </w:tcBorders>
          </w:tcPr>
          <w:p>
            <w:pPr>
              <w:spacing w:after="0"/>
              <w:rPr>
                <w:sz w:val="12"/>
                <w:szCs w:val="12"/>
                <w:color w:val="auto"/>
              </w:rPr>
            </w:pPr>
          </w:p>
        </w:tc>
        <w:tc>
          <w:tcPr>
            <w:tcW w:w="420" w:type="dxa"/>
            <w:vAlign w:val="bottom"/>
            <w:tcBorders>
              <w:bottom w:val="single" w:sz="8" w:color="auto"/>
            </w:tcBorders>
          </w:tcPr>
          <w:p>
            <w:pPr>
              <w:spacing w:after="0"/>
              <w:rPr>
                <w:sz w:val="12"/>
                <w:szCs w:val="12"/>
                <w:color w:val="auto"/>
              </w:rPr>
            </w:pPr>
          </w:p>
        </w:tc>
        <w:tc>
          <w:tcPr>
            <w:tcW w:w="580" w:type="dxa"/>
            <w:vAlign w:val="bottom"/>
            <w:tcBorders>
              <w:bottom w:val="single" w:sz="8" w:color="auto"/>
            </w:tcBorders>
          </w:tcPr>
          <w:p>
            <w:pPr>
              <w:jc w:val="right"/>
              <w:ind w:right="72"/>
              <w:spacing w:after="0" w:line="142" w:lineRule="exact"/>
              <w:rPr>
                <w:sz w:val="20"/>
                <w:szCs w:val="20"/>
                <w:color w:val="auto"/>
              </w:rPr>
            </w:pPr>
            <w:r>
              <w:rPr>
                <w:rFonts w:ascii="Arial" w:cs="Arial" w:eastAsia="Arial" w:hAnsi="Arial"/>
                <w:sz w:val="14"/>
                <w:szCs w:val="14"/>
                <w:color w:val="auto"/>
              </w:rPr>
              <w:t>526</w:t>
            </w:r>
          </w:p>
        </w:tc>
        <w:tc>
          <w:tcPr>
            <w:tcW w:w="200" w:type="dxa"/>
            <w:vAlign w:val="bottom"/>
            <w:tcBorders>
              <w:bottom w:val="single" w:sz="8" w:color="auto"/>
            </w:tcBorders>
          </w:tcPr>
          <w:p>
            <w:pPr>
              <w:spacing w:after="0"/>
              <w:rPr>
                <w:sz w:val="12"/>
                <w:szCs w:val="12"/>
                <w:color w:val="auto"/>
              </w:rPr>
            </w:pPr>
          </w:p>
        </w:tc>
        <w:tc>
          <w:tcPr>
            <w:tcW w:w="500" w:type="dxa"/>
            <w:vAlign w:val="bottom"/>
            <w:tcBorders>
              <w:bottom w:val="single" w:sz="8" w:color="auto"/>
            </w:tcBorders>
          </w:tcPr>
          <w:p>
            <w:pPr>
              <w:jc w:val="right"/>
              <w:ind w:right="92"/>
              <w:spacing w:after="0" w:line="142" w:lineRule="exact"/>
              <w:rPr>
                <w:sz w:val="20"/>
                <w:szCs w:val="20"/>
                <w:color w:val="auto"/>
              </w:rPr>
            </w:pPr>
            <w:r>
              <w:rPr>
                <w:rFonts w:ascii="Arial" w:cs="Arial" w:eastAsia="Arial" w:hAnsi="Arial"/>
                <w:sz w:val="14"/>
                <w:szCs w:val="14"/>
                <w:color w:val="auto"/>
              </w:rPr>
              <w:t>193</w:t>
            </w:r>
          </w:p>
        </w:tc>
        <w:tc>
          <w:tcPr>
            <w:tcW w:w="180" w:type="dxa"/>
            <w:vAlign w:val="bottom"/>
            <w:tcBorders>
              <w:bottom w:val="single" w:sz="8" w:color="auto"/>
            </w:tcBorders>
          </w:tcPr>
          <w:p>
            <w:pPr>
              <w:spacing w:after="0"/>
              <w:rPr>
                <w:sz w:val="12"/>
                <w:szCs w:val="12"/>
                <w:color w:val="auto"/>
              </w:rPr>
            </w:pPr>
          </w:p>
        </w:tc>
        <w:tc>
          <w:tcPr>
            <w:tcW w:w="500" w:type="dxa"/>
            <w:vAlign w:val="bottom"/>
            <w:tcBorders>
              <w:bottom w:val="single" w:sz="8" w:color="auto"/>
            </w:tcBorders>
          </w:tcPr>
          <w:p>
            <w:pPr>
              <w:jc w:val="right"/>
              <w:ind w:right="72"/>
              <w:spacing w:after="0" w:line="142" w:lineRule="exact"/>
              <w:rPr>
                <w:sz w:val="20"/>
                <w:szCs w:val="20"/>
                <w:color w:val="auto"/>
              </w:rPr>
            </w:pPr>
            <w:r>
              <w:rPr>
                <w:rFonts w:ascii="Arial" w:cs="Arial" w:eastAsia="Arial" w:hAnsi="Arial"/>
                <w:sz w:val="14"/>
                <w:szCs w:val="14"/>
                <w:color w:val="auto"/>
              </w:rPr>
              <w:t>298</w:t>
            </w:r>
          </w:p>
        </w:tc>
        <w:tc>
          <w:tcPr>
            <w:tcW w:w="200" w:type="dxa"/>
            <w:vAlign w:val="bottom"/>
            <w:tcBorders>
              <w:bottom w:val="single" w:sz="8" w:color="auto"/>
            </w:tcBorders>
          </w:tcPr>
          <w:p>
            <w:pPr>
              <w:spacing w:after="0"/>
              <w:rPr>
                <w:sz w:val="12"/>
                <w:szCs w:val="12"/>
                <w:color w:val="auto"/>
              </w:rPr>
            </w:pPr>
          </w:p>
        </w:tc>
        <w:tc>
          <w:tcPr>
            <w:tcW w:w="680" w:type="dxa"/>
            <w:vAlign w:val="bottom"/>
            <w:tcBorders>
              <w:bottom w:val="single" w:sz="8" w:color="auto"/>
            </w:tcBorders>
          </w:tcPr>
          <w:p>
            <w:pPr>
              <w:jc w:val="right"/>
              <w:ind w:right="92"/>
              <w:spacing w:after="0" w:line="142" w:lineRule="exact"/>
              <w:rPr>
                <w:sz w:val="20"/>
                <w:szCs w:val="20"/>
                <w:color w:val="auto"/>
              </w:rPr>
            </w:pPr>
            <w:r>
              <w:rPr>
                <w:rFonts w:ascii="Arial" w:cs="Arial" w:eastAsia="Arial" w:hAnsi="Arial"/>
                <w:sz w:val="14"/>
                <w:szCs w:val="14"/>
                <w:color w:val="auto"/>
              </w:rPr>
              <w:t>298</w:t>
            </w:r>
          </w:p>
        </w:tc>
        <w:tc>
          <w:tcPr>
            <w:tcW w:w="240" w:type="dxa"/>
            <w:vAlign w:val="bottom"/>
            <w:tcBorders>
              <w:bottom w:val="single" w:sz="8" w:color="auto"/>
            </w:tcBorders>
          </w:tcPr>
          <w:p>
            <w:pPr>
              <w:spacing w:after="0"/>
              <w:rPr>
                <w:sz w:val="12"/>
                <w:szCs w:val="12"/>
                <w:color w:val="auto"/>
              </w:rPr>
            </w:pPr>
          </w:p>
        </w:tc>
        <w:tc>
          <w:tcPr>
            <w:tcW w:w="560" w:type="dxa"/>
            <w:vAlign w:val="bottom"/>
            <w:tcBorders>
              <w:bottom w:val="single" w:sz="8" w:color="auto"/>
            </w:tcBorders>
          </w:tcPr>
          <w:p>
            <w:pPr>
              <w:jc w:val="right"/>
              <w:ind w:right="92"/>
              <w:spacing w:after="0" w:line="142" w:lineRule="exact"/>
              <w:rPr>
                <w:sz w:val="20"/>
                <w:szCs w:val="20"/>
                <w:color w:val="auto"/>
              </w:rPr>
            </w:pPr>
            <w:r>
              <w:rPr>
                <w:rFonts w:ascii="Arial" w:cs="Arial" w:eastAsia="Arial" w:hAnsi="Arial"/>
                <w:sz w:val="14"/>
                <w:szCs w:val="14"/>
                <w:color w:val="auto"/>
              </w:rPr>
              <w:t>8</w:t>
            </w:r>
          </w:p>
        </w:tc>
        <w:tc>
          <w:tcPr>
            <w:tcW w:w="200" w:type="dxa"/>
            <w:vAlign w:val="bottom"/>
            <w:tcBorders>
              <w:bottom w:val="single" w:sz="8" w:color="auto"/>
            </w:tcBorders>
          </w:tcPr>
          <w:p>
            <w:pPr>
              <w:spacing w:after="0"/>
              <w:rPr>
                <w:sz w:val="12"/>
                <w:szCs w:val="12"/>
                <w:color w:val="auto"/>
              </w:rPr>
            </w:pPr>
          </w:p>
        </w:tc>
        <w:tc>
          <w:tcPr>
            <w:tcW w:w="800" w:type="dxa"/>
            <w:vAlign w:val="bottom"/>
            <w:tcBorders>
              <w:bottom w:val="single" w:sz="8" w:color="auto"/>
            </w:tcBorders>
          </w:tcPr>
          <w:p>
            <w:pPr>
              <w:jc w:val="right"/>
              <w:ind w:right="92"/>
              <w:spacing w:after="0" w:line="142" w:lineRule="exact"/>
              <w:rPr>
                <w:sz w:val="20"/>
                <w:szCs w:val="20"/>
                <w:color w:val="auto"/>
              </w:rPr>
            </w:pPr>
            <w:r>
              <w:rPr>
                <w:rFonts w:ascii="Arial" w:cs="Arial" w:eastAsia="Arial" w:hAnsi="Arial"/>
                <w:sz w:val="14"/>
                <w:szCs w:val="14"/>
                <w:color w:val="auto"/>
              </w:rPr>
              <w:t>24,966</w:t>
            </w:r>
          </w:p>
        </w:tc>
        <w:tc>
          <w:tcPr>
            <w:tcW w:w="180" w:type="dxa"/>
            <w:vAlign w:val="bottom"/>
            <w:tcBorders>
              <w:bottom w:val="single" w:sz="8" w:color="auto"/>
            </w:tcBorders>
          </w:tcPr>
          <w:p>
            <w:pPr>
              <w:spacing w:after="0"/>
              <w:rPr>
                <w:sz w:val="12"/>
                <w:szCs w:val="12"/>
                <w:color w:val="auto"/>
              </w:rPr>
            </w:pPr>
          </w:p>
        </w:tc>
        <w:tc>
          <w:tcPr>
            <w:tcW w:w="900" w:type="dxa"/>
            <w:vAlign w:val="bottom"/>
            <w:tcBorders>
              <w:bottom w:val="single" w:sz="8" w:color="auto"/>
            </w:tcBorders>
          </w:tcPr>
          <w:p>
            <w:pPr>
              <w:jc w:val="right"/>
              <w:ind w:right="32"/>
              <w:spacing w:after="0" w:line="142" w:lineRule="exact"/>
              <w:rPr>
                <w:sz w:val="20"/>
                <w:szCs w:val="20"/>
                <w:color w:val="auto"/>
              </w:rPr>
            </w:pPr>
            <w:r>
              <w:rPr>
                <w:rFonts w:ascii="Arial" w:cs="Arial" w:eastAsia="Arial" w:hAnsi="Arial"/>
                <w:sz w:val="14"/>
                <w:szCs w:val="14"/>
                <w:color w:val="auto"/>
              </w:rPr>
              <w:t>(1,323)</w:t>
            </w:r>
          </w:p>
        </w:tc>
        <w:tc>
          <w:tcPr>
            <w:tcW w:w="180" w:type="dxa"/>
            <w:vAlign w:val="bottom"/>
            <w:tcBorders>
              <w:bottom w:val="single" w:sz="8" w:color="auto"/>
            </w:tcBorders>
          </w:tcPr>
          <w:p>
            <w:pPr>
              <w:spacing w:after="0"/>
              <w:rPr>
                <w:sz w:val="12"/>
                <w:szCs w:val="12"/>
                <w:color w:val="auto"/>
              </w:rPr>
            </w:pPr>
          </w:p>
        </w:tc>
        <w:tc>
          <w:tcPr>
            <w:tcW w:w="840" w:type="dxa"/>
            <w:vAlign w:val="bottom"/>
            <w:tcBorders>
              <w:bottom w:val="single" w:sz="8" w:color="auto"/>
            </w:tcBorders>
          </w:tcPr>
          <w:p>
            <w:pPr>
              <w:jc w:val="right"/>
              <w:spacing w:after="0" w:line="142" w:lineRule="exact"/>
              <w:rPr>
                <w:sz w:val="20"/>
                <w:szCs w:val="20"/>
                <w:color w:val="auto"/>
              </w:rPr>
            </w:pPr>
            <w:r>
              <w:rPr>
                <w:rFonts w:ascii="Arial" w:cs="Arial" w:eastAsia="Arial" w:hAnsi="Arial"/>
                <w:sz w:val="14"/>
                <w:szCs w:val="14"/>
                <w:b w:val="1"/>
                <w:bCs w:val="1"/>
                <w:color w:val="auto"/>
              </w:rPr>
              <w:t>24,966</w:t>
            </w:r>
          </w:p>
        </w:tc>
        <w:tc>
          <w:tcPr>
            <w:tcW w:w="0" w:type="dxa"/>
            <w:vAlign w:val="bottom"/>
          </w:tcPr>
          <w:p>
            <w:pPr>
              <w:spacing w:after="0"/>
              <w:rPr>
                <w:sz w:val="1"/>
                <w:szCs w:val="1"/>
                <w:color w:val="auto"/>
              </w:rPr>
            </w:pPr>
          </w:p>
        </w:tc>
      </w:tr>
      <w:tr>
        <w:trPr>
          <w:trHeight w:val="141"/>
        </w:trPr>
        <w:tc>
          <w:tcPr>
            <w:tcW w:w="20" w:type="dxa"/>
            <w:vAlign w:val="bottom"/>
          </w:tcPr>
          <w:p>
            <w:pPr>
              <w:spacing w:after="0"/>
              <w:rPr>
                <w:sz w:val="12"/>
                <w:szCs w:val="12"/>
                <w:color w:val="auto"/>
              </w:rPr>
            </w:pPr>
          </w:p>
        </w:tc>
        <w:tc>
          <w:tcPr>
            <w:tcW w:w="4240" w:type="dxa"/>
            <w:vAlign w:val="bottom"/>
          </w:tcPr>
          <w:p>
            <w:pPr>
              <w:spacing w:after="0" w:line="141" w:lineRule="exact"/>
              <w:rPr>
                <w:sz w:val="20"/>
                <w:szCs w:val="20"/>
                <w:color w:val="auto"/>
              </w:rPr>
            </w:pPr>
            <w:r>
              <w:rPr>
                <w:rFonts w:ascii="Arial" w:cs="Arial" w:eastAsia="Arial" w:hAnsi="Arial"/>
                <w:sz w:val="14"/>
                <w:szCs w:val="14"/>
                <w:color w:val="auto"/>
              </w:rPr>
              <w:t>Costs and Expenses</w:t>
            </w:r>
          </w:p>
        </w:tc>
        <w:tc>
          <w:tcPr>
            <w:tcW w:w="42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90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840" w:type="dxa"/>
            <w:vAlign w:val="bottom"/>
            <w:vMerge w:val="restart"/>
          </w:tcPr>
          <w:p>
            <w:pPr>
              <w:jc w:val="right"/>
              <w:spacing w:after="0"/>
              <w:rPr>
                <w:sz w:val="20"/>
                <w:szCs w:val="20"/>
                <w:color w:val="auto"/>
              </w:rPr>
            </w:pPr>
            <w:r>
              <w:rPr>
                <w:rFonts w:ascii="Arial" w:cs="Arial" w:eastAsia="Arial" w:hAnsi="Arial"/>
                <w:sz w:val="14"/>
                <w:szCs w:val="14"/>
                <w:b w:val="1"/>
                <w:bCs w:val="1"/>
                <w:color w:val="auto"/>
              </w:rPr>
              <w:t>9,010</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4240" w:type="dxa"/>
            <w:vAlign w:val="bottom"/>
          </w:tcPr>
          <w:p>
            <w:pPr>
              <w:ind w:left="200"/>
              <w:spacing w:after="0" w:line="133" w:lineRule="exact"/>
              <w:rPr>
                <w:sz w:val="20"/>
                <w:szCs w:val="20"/>
                <w:color w:val="auto"/>
              </w:rPr>
            </w:pPr>
            <w:r>
              <w:rPr>
                <w:rFonts w:ascii="Arial" w:cs="Arial" w:eastAsia="Arial" w:hAnsi="Arial"/>
                <w:sz w:val="14"/>
                <w:szCs w:val="14"/>
                <w:color w:val="auto"/>
              </w:rPr>
              <w:t>Operating (excluding depreciation)</w:t>
            </w:r>
          </w:p>
        </w:tc>
        <w:tc>
          <w:tcPr>
            <w:tcW w:w="420" w:type="dxa"/>
            <w:vAlign w:val="bottom"/>
          </w:tcPr>
          <w:p>
            <w:pPr>
              <w:spacing w:after="0"/>
              <w:rPr>
                <w:sz w:val="11"/>
                <w:szCs w:val="11"/>
                <w:color w:val="auto"/>
              </w:rPr>
            </w:pPr>
          </w:p>
        </w:tc>
        <w:tc>
          <w:tcPr>
            <w:tcW w:w="580" w:type="dxa"/>
            <w:vAlign w:val="bottom"/>
          </w:tcPr>
          <w:p>
            <w:pPr>
              <w:jc w:val="right"/>
              <w:ind w:right="72"/>
              <w:spacing w:after="0" w:line="133" w:lineRule="exact"/>
              <w:rPr>
                <w:sz w:val="20"/>
                <w:szCs w:val="20"/>
                <w:color w:val="auto"/>
              </w:rPr>
            </w:pPr>
            <w:r>
              <w:rPr>
                <w:rFonts w:ascii="Arial" w:cs="Arial" w:eastAsia="Arial" w:hAnsi="Arial"/>
                <w:sz w:val="14"/>
                <w:szCs w:val="14"/>
                <w:color w:val="auto"/>
              </w:rPr>
              <w:t>—</w:t>
            </w:r>
          </w:p>
        </w:tc>
        <w:tc>
          <w:tcPr>
            <w:tcW w:w="200" w:type="dxa"/>
            <w:vAlign w:val="bottom"/>
          </w:tcPr>
          <w:p>
            <w:pPr>
              <w:spacing w:after="0"/>
              <w:rPr>
                <w:sz w:val="11"/>
                <w:szCs w:val="11"/>
                <w:color w:val="auto"/>
              </w:rPr>
            </w:pPr>
          </w:p>
        </w:tc>
        <w:tc>
          <w:tcPr>
            <w:tcW w:w="500" w:type="dxa"/>
            <w:vAlign w:val="bottom"/>
          </w:tcPr>
          <w:p>
            <w:pPr>
              <w:jc w:val="right"/>
              <w:ind w:right="92"/>
              <w:spacing w:after="0" w:line="133" w:lineRule="exact"/>
              <w:rPr>
                <w:sz w:val="20"/>
                <w:szCs w:val="20"/>
                <w:color w:val="auto"/>
              </w:rPr>
            </w:pPr>
            <w:r>
              <w:rPr>
                <w:rFonts w:ascii="Arial" w:cs="Arial" w:eastAsia="Arial" w:hAnsi="Arial"/>
                <w:sz w:val="14"/>
                <w:szCs w:val="14"/>
                <w:color w:val="auto"/>
              </w:rPr>
              <w:t>—</w:t>
            </w:r>
          </w:p>
        </w:tc>
        <w:tc>
          <w:tcPr>
            <w:tcW w:w="180" w:type="dxa"/>
            <w:vAlign w:val="bottom"/>
          </w:tcPr>
          <w:p>
            <w:pPr>
              <w:spacing w:after="0"/>
              <w:rPr>
                <w:sz w:val="11"/>
                <w:szCs w:val="11"/>
                <w:color w:val="auto"/>
              </w:rPr>
            </w:pPr>
          </w:p>
        </w:tc>
        <w:tc>
          <w:tcPr>
            <w:tcW w:w="500" w:type="dxa"/>
            <w:vAlign w:val="bottom"/>
          </w:tcPr>
          <w:p>
            <w:pPr>
              <w:jc w:val="right"/>
              <w:ind w:right="72"/>
              <w:spacing w:after="0" w:line="133" w:lineRule="exact"/>
              <w:rPr>
                <w:sz w:val="20"/>
                <w:szCs w:val="20"/>
                <w:color w:val="auto"/>
              </w:rPr>
            </w:pPr>
            <w:r>
              <w:rPr>
                <w:rFonts w:ascii="Arial" w:cs="Arial" w:eastAsia="Arial" w:hAnsi="Arial"/>
                <w:sz w:val="14"/>
                <w:szCs w:val="14"/>
                <w:color w:val="auto"/>
              </w:rPr>
              <w:t>—</w:t>
            </w:r>
          </w:p>
        </w:tc>
        <w:tc>
          <w:tcPr>
            <w:tcW w:w="200" w:type="dxa"/>
            <w:vAlign w:val="bottom"/>
          </w:tcPr>
          <w:p>
            <w:pPr>
              <w:spacing w:after="0"/>
              <w:rPr>
                <w:sz w:val="11"/>
                <w:szCs w:val="11"/>
                <w:color w:val="auto"/>
              </w:rPr>
            </w:pPr>
          </w:p>
        </w:tc>
        <w:tc>
          <w:tcPr>
            <w:tcW w:w="680" w:type="dxa"/>
            <w:vAlign w:val="bottom"/>
          </w:tcPr>
          <w:p>
            <w:pPr>
              <w:jc w:val="right"/>
              <w:ind w:right="92"/>
              <w:spacing w:after="0" w:line="133" w:lineRule="exact"/>
              <w:rPr>
                <w:sz w:val="20"/>
                <w:szCs w:val="20"/>
                <w:color w:val="auto"/>
              </w:rPr>
            </w:pPr>
            <w:r>
              <w:rPr>
                <w:rFonts w:ascii="Arial" w:cs="Arial" w:eastAsia="Arial" w:hAnsi="Arial"/>
                <w:sz w:val="14"/>
                <w:szCs w:val="14"/>
                <w:color w:val="auto"/>
              </w:rPr>
              <w:t>—</w:t>
            </w:r>
          </w:p>
        </w:tc>
        <w:tc>
          <w:tcPr>
            <w:tcW w:w="240" w:type="dxa"/>
            <w:vAlign w:val="bottom"/>
          </w:tcPr>
          <w:p>
            <w:pPr>
              <w:spacing w:after="0"/>
              <w:rPr>
                <w:sz w:val="11"/>
                <w:szCs w:val="11"/>
                <w:color w:val="auto"/>
              </w:rPr>
            </w:pPr>
          </w:p>
        </w:tc>
        <w:tc>
          <w:tcPr>
            <w:tcW w:w="560" w:type="dxa"/>
            <w:vAlign w:val="bottom"/>
          </w:tcPr>
          <w:p>
            <w:pPr>
              <w:jc w:val="right"/>
              <w:ind w:right="92"/>
              <w:spacing w:after="0" w:line="133" w:lineRule="exact"/>
              <w:rPr>
                <w:sz w:val="20"/>
                <w:szCs w:val="20"/>
                <w:color w:val="auto"/>
              </w:rPr>
            </w:pPr>
            <w:r>
              <w:rPr>
                <w:rFonts w:ascii="Arial" w:cs="Arial" w:eastAsia="Arial" w:hAnsi="Arial"/>
                <w:sz w:val="14"/>
                <w:szCs w:val="14"/>
                <w:color w:val="auto"/>
              </w:rPr>
              <w:t>—</w:t>
            </w:r>
          </w:p>
        </w:tc>
        <w:tc>
          <w:tcPr>
            <w:tcW w:w="200" w:type="dxa"/>
            <w:vAlign w:val="bottom"/>
          </w:tcPr>
          <w:p>
            <w:pPr>
              <w:spacing w:after="0"/>
              <w:rPr>
                <w:sz w:val="11"/>
                <w:szCs w:val="11"/>
                <w:color w:val="auto"/>
              </w:rPr>
            </w:pPr>
          </w:p>
        </w:tc>
        <w:tc>
          <w:tcPr>
            <w:tcW w:w="800" w:type="dxa"/>
            <w:vAlign w:val="bottom"/>
          </w:tcPr>
          <w:p>
            <w:pPr>
              <w:jc w:val="right"/>
              <w:ind w:right="92"/>
              <w:spacing w:after="0" w:line="133" w:lineRule="exact"/>
              <w:rPr>
                <w:sz w:val="20"/>
                <w:szCs w:val="20"/>
                <w:color w:val="auto"/>
              </w:rPr>
            </w:pPr>
            <w:r>
              <w:rPr>
                <w:rFonts w:ascii="Arial" w:cs="Arial" w:eastAsia="Arial" w:hAnsi="Arial"/>
                <w:sz w:val="14"/>
                <w:szCs w:val="14"/>
                <w:color w:val="auto"/>
              </w:rPr>
              <w:t>9,010</w:t>
            </w:r>
          </w:p>
        </w:tc>
        <w:tc>
          <w:tcPr>
            <w:tcW w:w="180" w:type="dxa"/>
            <w:vAlign w:val="bottom"/>
          </w:tcPr>
          <w:p>
            <w:pPr>
              <w:spacing w:after="0"/>
              <w:rPr>
                <w:sz w:val="11"/>
                <w:szCs w:val="11"/>
                <w:color w:val="auto"/>
              </w:rPr>
            </w:pPr>
          </w:p>
        </w:tc>
        <w:tc>
          <w:tcPr>
            <w:tcW w:w="900" w:type="dxa"/>
            <w:vAlign w:val="bottom"/>
          </w:tcPr>
          <w:p>
            <w:pPr>
              <w:jc w:val="right"/>
              <w:ind w:right="92"/>
              <w:spacing w:after="0" w:line="133" w:lineRule="exact"/>
              <w:rPr>
                <w:sz w:val="20"/>
                <w:szCs w:val="20"/>
                <w:color w:val="auto"/>
              </w:rPr>
            </w:pPr>
            <w:r>
              <w:rPr>
                <w:rFonts w:ascii="Arial" w:cs="Arial" w:eastAsia="Arial" w:hAnsi="Arial"/>
                <w:sz w:val="14"/>
                <w:szCs w:val="14"/>
                <w:color w:val="auto"/>
              </w:rPr>
              <w:t>—</w:t>
            </w:r>
          </w:p>
        </w:tc>
        <w:tc>
          <w:tcPr>
            <w:tcW w:w="180" w:type="dxa"/>
            <w:vAlign w:val="bottom"/>
          </w:tcPr>
          <w:p>
            <w:pPr>
              <w:spacing w:after="0"/>
              <w:rPr>
                <w:sz w:val="11"/>
                <w:szCs w:val="11"/>
                <w:color w:val="auto"/>
              </w:rPr>
            </w:pPr>
          </w:p>
        </w:tc>
        <w:tc>
          <w:tcPr>
            <w:tcW w:w="840" w:type="dxa"/>
            <w:vAlign w:val="bottom"/>
            <w:vMerge w:val="continue"/>
          </w:tcPr>
          <w:p>
            <w:pPr>
              <w:spacing w:after="0"/>
              <w:rPr>
                <w:sz w:val="11"/>
                <w:szCs w:val="11"/>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4240" w:type="dxa"/>
            <w:vAlign w:val="bottom"/>
          </w:tcPr>
          <w:p>
            <w:pPr>
              <w:ind w:left="200"/>
              <w:spacing w:after="0" w:line="149" w:lineRule="exact"/>
              <w:rPr>
                <w:sz w:val="20"/>
                <w:szCs w:val="20"/>
                <w:color w:val="auto"/>
              </w:rPr>
            </w:pPr>
            <w:r>
              <w:rPr>
                <w:rFonts w:ascii="Arial" w:cs="Arial" w:eastAsia="Arial" w:hAnsi="Arial"/>
                <w:sz w:val="14"/>
                <w:szCs w:val="14"/>
                <w:color w:val="auto"/>
              </w:rPr>
              <w:t>Selling, general and administrative</w:t>
            </w:r>
          </w:p>
        </w:tc>
        <w:tc>
          <w:tcPr>
            <w:tcW w:w="420" w:type="dxa"/>
            <w:vAlign w:val="bottom"/>
          </w:tcPr>
          <w:p>
            <w:pPr>
              <w:spacing w:after="0"/>
              <w:rPr>
                <w:sz w:val="12"/>
                <w:szCs w:val="12"/>
                <w:color w:val="auto"/>
              </w:rPr>
            </w:pPr>
          </w:p>
        </w:tc>
        <w:tc>
          <w:tcPr>
            <w:tcW w:w="580" w:type="dxa"/>
            <w:vAlign w:val="bottom"/>
          </w:tcPr>
          <w:p>
            <w:pPr>
              <w:jc w:val="right"/>
              <w:ind w:right="72"/>
              <w:spacing w:after="0" w:line="149" w:lineRule="exact"/>
              <w:rPr>
                <w:sz w:val="20"/>
                <w:szCs w:val="20"/>
                <w:color w:val="auto"/>
              </w:rPr>
            </w:pPr>
            <w:r>
              <w:rPr>
                <w:rFonts w:ascii="Arial" w:cs="Arial" w:eastAsia="Arial" w:hAnsi="Arial"/>
                <w:sz w:val="14"/>
                <w:szCs w:val="14"/>
                <w:color w:val="auto"/>
              </w:rPr>
              <w:t>256</w:t>
            </w:r>
          </w:p>
        </w:tc>
        <w:tc>
          <w:tcPr>
            <w:tcW w:w="200" w:type="dxa"/>
            <w:vAlign w:val="bottom"/>
          </w:tcPr>
          <w:p>
            <w:pPr>
              <w:spacing w:after="0"/>
              <w:rPr>
                <w:sz w:val="12"/>
                <w:szCs w:val="12"/>
                <w:color w:val="auto"/>
              </w:rPr>
            </w:pPr>
          </w:p>
        </w:tc>
        <w:tc>
          <w:tcPr>
            <w:tcW w:w="500" w:type="dxa"/>
            <w:vAlign w:val="bottom"/>
          </w:tcPr>
          <w:p>
            <w:pPr>
              <w:jc w:val="right"/>
              <w:ind w:right="92"/>
              <w:spacing w:after="0" w:line="149" w:lineRule="exact"/>
              <w:rPr>
                <w:sz w:val="20"/>
                <w:szCs w:val="20"/>
                <w:color w:val="auto"/>
              </w:rPr>
            </w:pPr>
            <w:r>
              <w:rPr>
                <w:rFonts w:ascii="Arial" w:cs="Arial" w:eastAsia="Arial" w:hAnsi="Arial"/>
                <w:sz w:val="14"/>
                <w:szCs w:val="14"/>
                <w:color w:val="auto"/>
              </w:rPr>
              <w:t>193</w:t>
            </w:r>
          </w:p>
        </w:tc>
        <w:tc>
          <w:tcPr>
            <w:tcW w:w="180" w:type="dxa"/>
            <w:vAlign w:val="bottom"/>
          </w:tcPr>
          <w:p>
            <w:pPr>
              <w:spacing w:after="0"/>
              <w:rPr>
                <w:sz w:val="12"/>
                <w:szCs w:val="12"/>
                <w:color w:val="auto"/>
              </w:rPr>
            </w:pPr>
          </w:p>
        </w:tc>
        <w:tc>
          <w:tcPr>
            <w:tcW w:w="500" w:type="dxa"/>
            <w:vAlign w:val="bottom"/>
          </w:tcPr>
          <w:p>
            <w:pPr>
              <w:jc w:val="right"/>
              <w:ind w:right="72"/>
              <w:spacing w:after="0" w:line="149" w:lineRule="exact"/>
              <w:rPr>
                <w:sz w:val="20"/>
                <w:szCs w:val="20"/>
                <w:color w:val="auto"/>
              </w:rPr>
            </w:pPr>
            <w:r>
              <w:rPr>
                <w:rFonts w:ascii="Arial" w:cs="Arial" w:eastAsia="Arial" w:hAnsi="Arial"/>
                <w:sz w:val="14"/>
                <w:szCs w:val="14"/>
                <w:color w:val="auto"/>
              </w:rPr>
              <w:t>298</w:t>
            </w:r>
          </w:p>
        </w:tc>
        <w:tc>
          <w:tcPr>
            <w:tcW w:w="200" w:type="dxa"/>
            <w:vAlign w:val="bottom"/>
          </w:tcPr>
          <w:p>
            <w:pPr>
              <w:spacing w:after="0"/>
              <w:rPr>
                <w:sz w:val="12"/>
                <w:szCs w:val="12"/>
                <w:color w:val="auto"/>
              </w:rPr>
            </w:pPr>
          </w:p>
        </w:tc>
        <w:tc>
          <w:tcPr>
            <w:tcW w:w="680" w:type="dxa"/>
            <w:vAlign w:val="bottom"/>
          </w:tcPr>
          <w:p>
            <w:pPr>
              <w:jc w:val="right"/>
              <w:ind w:right="92"/>
              <w:spacing w:after="0" w:line="149" w:lineRule="exact"/>
              <w:rPr>
                <w:sz w:val="20"/>
                <w:szCs w:val="20"/>
                <w:color w:val="auto"/>
              </w:rPr>
            </w:pPr>
            <w:r>
              <w:rPr>
                <w:rFonts w:ascii="Arial" w:cs="Arial" w:eastAsia="Arial" w:hAnsi="Arial"/>
                <w:sz w:val="14"/>
                <w:szCs w:val="14"/>
                <w:color w:val="auto"/>
              </w:rPr>
              <w:t>298</w:t>
            </w:r>
          </w:p>
        </w:tc>
        <w:tc>
          <w:tcPr>
            <w:tcW w:w="240" w:type="dxa"/>
            <w:vAlign w:val="bottom"/>
          </w:tcPr>
          <w:p>
            <w:pPr>
              <w:spacing w:after="0"/>
              <w:rPr>
                <w:sz w:val="12"/>
                <w:szCs w:val="12"/>
                <w:color w:val="auto"/>
              </w:rPr>
            </w:pPr>
          </w:p>
        </w:tc>
        <w:tc>
          <w:tcPr>
            <w:tcW w:w="560" w:type="dxa"/>
            <w:vAlign w:val="bottom"/>
          </w:tcPr>
          <w:p>
            <w:pPr>
              <w:jc w:val="right"/>
              <w:ind w:right="92"/>
              <w:spacing w:after="0" w:line="149" w:lineRule="exact"/>
              <w:rPr>
                <w:sz w:val="20"/>
                <w:szCs w:val="20"/>
                <w:color w:val="auto"/>
              </w:rPr>
            </w:pPr>
            <w:r>
              <w:rPr>
                <w:rFonts w:ascii="Arial" w:cs="Arial" w:eastAsia="Arial" w:hAnsi="Arial"/>
                <w:sz w:val="14"/>
                <w:szCs w:val="14"/>
                <w:color w:val="auto"/>
              </w:rPr>
              <w:t>16</w:t>
            </w:r>
          </w:p>
        </w:tc>
        <w:tc>
          <w:tcPr>
            <w:tcW w:w="200" w:type="dxa"/>
            <w:vAlign w:val="bottom"/>
          </w:tcPr>
          <w:p>
            <w:pPr>
              <w:spacing w:after="0"/>
              <w:rPr>
                <w:sz w:val="12"/>
                <w:szCs w:val="12"/>
                <w:color w:val="auto"/>
              </w:rPr>
            </w:pPr>
          </w:p>
        </w:tc>
        <w:tc>
          <w:tcPr>
            <w:tcW w:w="800" w:type="dxa"/>
            <w:vAlign w:val="bottom"/>
          </w:tcPr>
          <w:p>
            <w:pPr>
              <w:jc w:val="right"/>
              <w:ind w:right="92"/>
              <w:spacing w:after="0" w:line="149" w:lineRule="exact"/>
              <w:rPr>
                <w:sz w:val="20"/>
                <w:szCs w:val="20"/>
                <w:color w:val="auto"/>
              </w:rPr>
            </w:pPr>
            <w:r>
              <w:rPr>
                <w:rFonts w:ascii="Arial" w:cs="Arial" w:eastAsia="Arial" w:hAnsi="Arial"/>
                <w:sz w:val="14"/>
                <w:szCs w:val="14"/>
                <w:color w:val="auto"/>
              </w:rPr>
              <w:t>6,776</w:t>
            </w:r>
          </w:p>
        </w:tc>
        <w:tc>
          <w:tcPr>
            <w:tcW w:w="180" w:type="dxa"/>
            <w:vAlign w:val="bottom"/>
          </w:tcPr>
          <w:p>
            <w:pPr>
              <w:spacing w:after="0"/>
              <w:rPr>
                <w:sz w:val="12"/>
                <w:szCs w:val="12"/>
                <w:color w:val="auto"/>
              </w:rPr>
            </w:pPr>
          </w:p>
        </w:tc>
        <w:tc>
          <w:tcPr>
            <w:tcW w:w="900" w:type="dxa"/>
            <w:vAlign w:val="bottom"/>
          </w:tcPr>
          <w:p>
            <w:pPr>
              <w:jc w:val="right"/>
              <w:ind w:right="32"/>
              <w:spacing w:after="0" w:line="149" w:lineRule="exact"/>
              <w:rPr>
                <w:sz w:val="20"/>
                <w:szCs w:val="20"/>
                <w:color w:val="auto"/>
              </w:rPr>
            </w:pPr>
            <w:r>
              <w:rPr>
                <w:rFonts w:ascii="Arial" w:cs="Arial" w:eastAsia="Arial" w:hAnsi="Arial"/>
                <w:sz w:val="14"/>
                <w:szCs w:val="14"/>
                <w:color w:val="auto"/>
              </w:rPr>
              <w:t>(1,323)</w:t>
            </w:r>
          </w:p>
        </w:tc>
        <w:tc>
          <w:tcPr>
            <w:tcW w:w="180" w:type="dxa"/>
            <w:vAlign w:val="bottom"/>
          </w:tcPr>
          <w:p>
            <w:pPr>
              <w:spacing w:after="0"/>
              <w:rPr>
                <w:sz w:val="12"/>
                <w:szCs w:val="12"/>
                <w:color w:val="auto"/>
              </w:rPr>
            </w:pPr>
          </w:p>
        </w:tc>
        <w:tc>
          <w:tcPr>
            <w:tcW w:w="840" w:type="dxa"/>
            <w:vAlign w:val="bottom"/>
          </w:tcPr>
          <w:p>
            <w:pPr>
              <w:jc w:val="right"/>
              <w:spacing w:after="0" w:line="149" w:lineRule="exact"/>
              <w:rPr>
                <w:sz w:val="20"/>
                <w:szCs w:val="20"/>
                <w:color w:val="auto"/>
              </w:rPr>
            </w:pPr>
            <w:r>
              <w:rPr>
                <w:rFonts w:ascii="Arial" w:cs="Arial" w:eastAsia="Arial" w:hAnsi="Arial"/>
                <w:sz w:val="14"/>
                <w:szCs w:val="14"/>
                <w:b w:val="1"/>
                <w:bCs w:val="1"/>
                <w:color w:val="auto"/>
              </w:rPr>
              <w:t>6,514</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4240" w:type="dxa"/>
            <w:vAlign w:val="bottom"/>
          </w:tcPr>
          <w:p>
            <w:pPr>
              <w:ind w:left="200"/>
              <w:spacing w:after="0" w:line="149" w:lineRule="exact"/>
              <w:rPr>
                <w:sz w:val="20"/>
                <w:szCs w:val="20"/>
                <w:color w:val="auto"/>
              </w:rPr>
            </w:pPr>
            <w:r>
              <w:rPr>
                <w:rFonts w:ascii="Arial" w:cs="Arial" w:eastAsia="Arial" w:hAnsi="Arial"/>
                <w:sz w:val="14"/>
                <w:szCs w:val="14"/>
                <w:color w:val="auto"/>
              </w:rPr>
              <w:t>Depreciation</w:t>
            </w:r>
          </w:p>
        </w:tc>
        <w:tc>
          <w:tcPr>
            <w:tcW w:w="420" w:type="dxa"/>
            <w:vAlign w:val="bottom"/>
          </w:tcPr>
          <w:p>
            <w:pPr>
              <w:spacing w:after="0"/>
              <w:rPr>
                <w:sz w:val="12"/>
                <w:szCs w:val="12"/>
                <w:color w:val="auto"/>
              </w:rPr>
            </w:pPr>
          </w:p>
        </w:tc>
        <w:tc>
          <w:tcPr>
            <w:tcW w:w="580" w:type="dxa"/>
            <w:vAlign w:val="bottom"/>
          </w:tcPr>
          <w:p>
            <w:pPr>
              <w:jc w:val="right"/>
              <w:ind w:right="72"/>
              <w:spacing w:after="0" w:line="149" w:lineRule="exact"/>
              <w:rPr>
                <w:sz w:val="20"/>
                <w:szCs w:val="20"/>
                <w:color w:val="auto"/>
              </w:rPr>
            </w:pPr>
            <w:r>
              <w:rPr>
                <w:rFonts w:ascii="Arial" w:cs="Arial" w:eastAsia="Arial" w:hAnsi="Arial"/>
                <w:sz w:val="14"/>
                <w:szCs w:val="14"/>
                <w:color w:val="auto"/>
              </w:rPr>
              <w:t>8</w:t>
            </w:r>
          </w:p>
        </w:tc>
        <w:tc>
          <w:tcPr>
            <w:tcW w:w="200" w:type="dxa"/>
            <w:vAlign w:val="bottom"/>
          </w:tcPr>
          <w:p>
            <w:pPr>
              <w:spacing w:after="0"/>
              <w:rPr>
                <w:sz w:val="12"/>
                <w:szCs w:val="12"/>
                <w:color w:val="auto"/>
              </w:rPr>
            </w:pPr>
          </w:p>
        </w:tc>
        <w:tc>
          <w:tcPr>
            <w:tcW w:w="500" w:type="dxa"/>
            <w:vAlign w:val="bottom"/>
          </w:tcPr>
          <w:p>
            <w:pPr>
              <w:jc w:val="right"/>
              <w:ind w:right="92"/>
              <w:spacing w:after="0" w:line="149" w:lineRule="exact"/>
              <w:rPr>
                <w:sz w:val="20"/>
                <w:szCs w:val="20"/>
                <w:color w:val="auto"/>
              </w:rPr>
            </w:pPr>
            <w:r>
              <w:rPr>
                <w:rFonts w:ascii="Arial" w:cs="Arial" w:eastAsia="Arial" w:hAnsi="Arial"/>
                <w:sz w:val="14"/>
                <w:szCs w:val="14"/>
                <w:color w:val="auto"/>
              </w:rPr>
              <w:t>—</w:t>
            </w:r>
          </w:p>
        </w:tc>
        <w:tc>
          <w:tcPr>
            <w:tcW w:w="180" w:type="dxa"/>
            <w:vAlign w:val="bottom"/>
          </w:tcPr>
          <w:p>
            <w:pPr>
              <w:spacing w:after="0"/>
              <w:rPr>
                <w:sz w:val="12"/>
                <w:szCs w:val="12"/>
                <w:color w:val="auto"/>
              </w:rPr>
            </w:pPr>
          </w:p>
        </w:tc>
        <w:tc>
          <w:tcPr>
            <w:tcW w:w="500" w:type="dxa"/>
            <w:vAlign w:val="bottom"/>
          </w:tcPr>
          <w:p>
            <w:pPr>
              <w:jc w:val="right"/>
              <w:ind w:right="72"/>
              <w:spacing w:after="0" w:line="149" w:lineRule="exact"/>
              <w:rPr>
                <w:sz w:val="20"/>
                <w:szCs w:val="20"/>
                <w:color w:val="auto"/>
              </w:rPr>
            </w:pPr>
            <w:r>
              <w:rPr>
                <w:rFonts w:ascii="Arial" w:cs="Arial" w:eastAsia="Arial" w:hAnsi="Arial"/>
                <w:sz w:val="14"/>
                <w:szCs w:val="14"/>
                <w:color w:val="auto"/>
              </w:rPr>
              <w:t>—</w:t>
            </w:r>
          </w:p>
        </w:tc>
        <w:tc>
          <w:tcPr>
            <w:tcW w:w="200" w:type="dxa"/>
            <w:vAlign w:val="bottom"/>
          </w:tcPr>
          <w:p>
            <w:pPr>
              <w:spacing w:after="0"/>
              <w:rPr>
                <w:sz w:val="12"/>
                <w:szCs w:val="12"/>
                <w:color w:val="auto"/>
              </w:rPr>
            </w:pPr>
          </w:p>
        </w:tc>
        <w:tc>
          <w:tcPr>
            <w:tcW w:w="680" w:type="dxa"/>
            <w:vAlign w:val="bottom"/>
          </w:tcPr>
          <w:p>
            <w:pPr>
              <w:jc w:val="right"/>
              <w:ind w:right="92"/>
              <w:spacing w:after="0" w:line="149" w:lineRule="exact"/>
              <w:rPr>
                <w:sz w:val="20"/>
                <w:szCs w:val="20"/>
                <w:color w:val="auto"/>
              </w:rPr>
            </w:pPr>
            <w:r>
              <w:rPr>
                <w:rFonts w:ascii="Arial" w:cs="Arial" w:eastAsia="Arial" w:hAnsi="Arial"/>
                <w:sz w:val="14"/>
                <w:szCs w:val="14"/>
                <w:color w:val="auto"/>
              </w:rPr>
              <w:t>—</w:t>
            </w:r>
          </w:p>
        </w:tc>
        <w:tc>
          <w:tcPr>
            <w:tcW w:w="240" w:type="dxa"/>
            <w:vAlign w:val="bottom"/>
          </w:tcPr>
          <w:p>
            <w:pPr>
              <w:spacing w:after="0"/>
              <w:rPr>
                <w:sz w:val="12"/>
                <w:szCs w:val="12"/>
                <w:color w:val="auto"/>
              </w:rPr>
            </w:pPr>
          </w:p>
        </w:tc>
        <w:tc>
          <w:tcPr>
            <w:tcW w:w="560" w:type="dxa"/>
            <w:vAlign w:val="bottom"/>
          </w:tcPr>
          <w:p>
            <w:pPr>
              <w:jc w:val="right"/>
              <w:ind w:right="92"/>
              <w:spacing w:after="0" w:line="149" w:lineRule="exact"/>
              <w:rPr>
                <w:sz w:val="20"/>
                <w:szCs w:val="20"/>
                <w:color w:val="auto"/>
              </w:rPr>
            </w:pPr>
            <w:r>
              <w:rPr>
                <w:rFonts w:ascii="Arial" w:cs="Arial" w:eastAsia="Arial" w:hAnsi="Arial"/>
                <w:sz w:val="14"/>
                <w:szCs w:val="14"/>
                <w:color w:val="auto"/>
              </w:rPr>
              <w:t>2</w:t>
            </w:r>
          </w:p>
        </w:tc>
        <w:tc>
          <w:tcPr>
            <w:tcW w:w="200" w:type="dxa"/>
            <w:vAlign w:val="bottom"/>
          </w:tcPr>
          <w:p>
            <w:pPr>
              <w:spacing w:after="0"/>
              <w:rPr>
                <w:sz w:val="12"/>
                <w:szCs w:val="12"/>
                <w:color w:val="auto"/>
              </w:rPr>
            </w:pPr>
          </w:p>
        </w:tc>
        <w:tc>
          <w:tcPr>
            <w:tcW w:w="800" w:type="dxa"/>
            <w:vAlign w:val="bottom"/>
          </w:tcPr>
          <w:p>
            <w:pPr>
              <w:jc w:val="right"/>
              <w:ind w:right="92"/>
              <w:spacing w:after="0" w:line="149" w:lineRule="exact"/>
              <w:rPr>
                <w:sz w:val="20"/>
                <w:szCs w:val="20"/>
                <w:color w:val="auto"/>
              </w:rPr>
            </w:pPr>
            <w:r>
              <w:rPr>
                <w:rFonts w:ascii="Arial" w:cs="Arial" w:eastAsia="Arial" w:hAnsi="Arial"/>
                <w:sz w:val="14"/>
                <w:szCs w:val="14"/>
                <w:color w:val="auto"/>
              </w:rPr>
              <w:t>3,818</w:t>
            </w:r>
          </w:p>
        </w:tc>
        <w:tc>
          <w:tcPr>
            <w:tcW w:w="180" w:type="dxa"/>
            <w:vAlign w:val="bottom"/>
          </w:tcPr>
          <w:p>
            <w:pPr>
              <w:spacing w:after="0"/>
              <w:rPr>
                <w:sz w:val="12"/>
                <w:szCs w:val="12"/>
                <w:color w:val="auto"/>
              </w:rPr>
            </w:pPr>
          </w:p>
        </w:tc>
        <w:tc>
          <w:tcPr>
            <w:tcW w:w="900" w:type="dxa"/>
            <w:vAlign w:val="bottom"/>
          </w:tcPr>
          <w:p>
            <w:pPr>
              <w:jc w:val="right"/>
              <w:ind w:right="92"/>
              <w:spacing w:after="0" w:line="149" w:lineRule="exact"/>
              <w:rPr>
                <w:sz w:val="20"/>
                <w:szCs w:val="20"/>
                <w:color w:val="auto"/>
              </w:rPr>
            </w:pPr>
            <w:r>
              <w:rPr>
                <w:rFonts w:ascii="Arial" w:cs="Arial" w:eastAsia="Arial" w:hAnsi="Arial"/>
                <w:sz w:val="14"/>
                <w:szCs w:val="14"/>
                <w:color w:val="auto"/>
              </w:rPr>
              <w:t>—</w:t>
            </w:r>
          </w:p>
        </w:tc>
        <w:tc>
          <w:tcPr>
            <w:tcW w:w="180" w:type="dxa"/>
            <w:vAlign w:val="bottom"/>
          </w:tcPr>
          <w:p>
            <w:pPr>
              <w:spacing w:after="0"/>
              <w:rPr>
                <w:sz w:val="12"/>
                <w:szCs w:val="12"/>
                <w:color w:val="auto"/>
              </w:rPr>
            </w:pPr>
          </w:p>
        </w:tc>
        <w:tc>
          <w:tcPr>
            <w:tcW w:w="840" w:type="dxa"/>
            <w:vAlign w:val="bottom"/>
          </w:tcPr>
          <w:p>
            <w:pPr>
              <w:jc w:val="right"/>
              <w:spacing w:after="0" w:line="149" w:lineRule="exact"/>
              <w:rPr>
                <w:sz w:val="20"/>
                <w:szCs w:val="20"/>
                <w:color w:val="auto"/>
              </w:rPr>
            </w:pPr>
            <w:r>
              <w:rPr>
                <w:rFonts w:ascii="Arial" w:cs="Arial" w:eastAsia="Arial" w:hAnsi="Arial"/>
                <w:sz w:val="14"/>
                <w:szCs w:val="14"/>
                <w:b w:val="1"/>
                <w:bCs w:val="1"/>
                <w:color w:val="auto"/>
              </w:rPr>
              <w:t>3,828</w:t>
            </w:r>
          </w:p>
        </w:tc>
        <w:tc>
          <w:tcPr>
            <w:tcW w:w="0" w:type="dxa"/>
            <w:vAlign w:val="bottom"/>
          </w:tcPr>
          <w:p>
            <w:pPr>
              <w:spacing w:after="0"/>
              <w:rPr>
                <w:sz w:val="1"/>
                <w:szCs w:val="1"/>
                <w:color w:val="auto"/>
              </w:rPr>
            </w:pPr>
          </w:p>
        </w:tc>
      </w:tr>
      <w:tr>
        <w:trPr>
          <w:trHeight w:val="165"/>
        </w:trPr>
        <w:tc>
          <w:tcPr>
            <w:tcW w:w="20" w:type="dxa"/>
            <w:vAlign w:val="bottom"/>
          </w:tcPr>
          <w:p>
            <w:pPr>
              <w:spacing w:after="0"/>
              <w:rPr>
                <w:sz w:val="14"/>
                <w:szCs w:val="14"/>
                <w:color w:val="auto"/>
              </w:rPr>
            </w:pPr>
          </w:p>
        </w:tc>
        <w:tc>
          <w:tcPr>
            <w:tcW w:w="4240" w:type="dxa"/>
            <w:vAlign w:val="bottom"/>
            <w:tcBorders>
              <w:bottom w:val="single" w:sz="8" w:color="auto"/>
            </w:tcBorders>
          </w:tcPr>
          <w:p>
            <w:pPr>
              <w:ind w:left="200"/>
              <w:spacing w:after="0"/>
              <w:rPr>
                <w:sz w:val="20"/>
                <w:szCs w:val="20"/>
                <w:color w:val="auto"/>
              </w:rPr>
            </w:pPr>
            <w:r>
              <w:rPr>
                <w:rFonts w:ascii="Arial" w:cs="Arial" w:eastAsia="Arial" w:hAnsi="Arial"/>
                <w:sz w:val="14"/>
                <w:szCs w:val="14"/>
                <w:color w:val="auto"/>
              </w:rPr>
              <w:t>Amortization</w:t>
            </w:r>
          </w:p>
        </w:tc>
        <w:tc>
          <w:tcPr>
            <w:tcW w:w="420" w:type="dxa"/>
            <w:vAlign w:val="bottom"/>
            <w:tcBorders>
              <w:bottom w:val="single" w:sz="8" w:color="auto"/>
            </w:tcBorders>
          </w:tcPr>
          <w:p>
            <w:pPr>
              <w:spacing w:after="0"/>
              <w:rPr>
                <w:sz w:val="14"/>
                <w:szCs w:val="14"/>
                <w:color w:val="auto"/>
              </w:rPr>
            </w:pPr>
          </w:p>
        </w:tc>
        <w:tc>
          <w:tcPr>
            <w:tcW w:w="580" w:type="dxa"/>
            <w:vAlign w:val="bottom"/>
            <w:tcBorders>
              <w:bottom w:val="single" w:sz="8" w:color="auto"/>
            </w:tcBorders>
          </w:tcPr>
          <w:p>
            <w:pPr>
              <w:jc w:val="right"/>
              <w:ind w:right="72"/>
              <w:spacing w:after="0"/>
              <w:rPr>
                <w:sz w:val="20"/>
                <w:szCs w:val="20"/>
                <w:color w:val="auto"/>
              </w:rPr>
            </w:pPr>
            <w:r>
              <w:rPr>
                <w:rFonts w:ascii="Arial" w:cs="Arial" w:eastAsia="Arial" w:hAnsi="Arial"/>
                <w:sz w:val="14"/>
                <w:szCs w:val="14"/>
                <w:color w:val="auto"/>
              </w:rPr>
              <w:t>—</w:t>
            </w:r>
          </w:p>
        </w:tc>
        <w:tc>
          <w:tcPr>
            <w:tcW w:w="200" w:type="dxa"/>
            <w:vAlign w:val="bottom"/>
            <w:tcBorders>
              <w:bottom w:val="single" w:sz="8" w:color="auto"/>
            </w:tcBorders>
          </w:tcPr>
          <w:p>
            <w:pPr>
              <w:spacing w:after="0"/>
              <w:rPr>
                <w:sz w:val="14"/>
                <w:szCs w:val="14"/>
                <w:color w:val="auto"/>
              </w:rPr>
            </w:pPr>
          </w:p>
        </w:tc>
        <w:tc>
          <w:tcPr>
            <w:tcW w:w="500" w:type="dxa"/>
            <w:vAlign w:val="bottom"/>
            <w:tcBorders>
              <w:bottom w:val="single" w:sz="8" w:color="auto"/>
            </w:tcBorders>
          </w:tcPr>
          <w:p>
            <w:pPr>
              <w:jc w:val="right"/>
              <w:ind w:right="92"/>
              <w:spacing w:after="0"/>
              <w:rPr>
                <w:sz w:val="20"/>
                <w:szCs w:val="20"/>
                <w:color w:val="auto"/>
              </w:rPr>
            </w:pPr>
            <w:r>
              <w:rPr>
                <w:rFonts w:ascii="Arial" w:cs="Arial" w:eastAsia="Arial" w:hAnsi="Arial"/>
                <w:sz w:val="14"/>
                <w:szCs w:val="14"/>
                <w:color w:val="auto"/>
              </w:rPr>
              <w:t>—</w:t>
            </w:r>
          </w:p>
        </w:tc>
        <w:tc>
          <w:tcPr>
            <w:tcW w:w="180" w:type="dxa"/>
            <w:vAlign w:val="bottom"/>
            <w:tcBorders>
              <w:bottom w:val="single" w:sz="8" w:color="auto"/>
            </w:tcBorders>
          </w:tcPr>
          <w:p>
            <w:pPr>
              <w:spacing w:after="0"/>
              <w:rPr>
                <w:sz w:val="14"/>
                <w:szCs w:val="14"/>
                <w:color w:val="auto"/>
              </w:rPr>
            </w:pPr>
          </w:p>
        </w:tc>
        <w:tc>
          <w:tcPr>
            <w:tcW w:w="500" w:type="dxa"/>
            <w:vAlign w:val="bottom"/>
            <w:tcBorders>
              <w:bottom w:val="single" w:sz="8" w:color="auto"/>
            </w:tcBorders>
          </w:tcPr>
          <w:p>
            <w:pPr>
              <w:jc w:val="right"/>
              <w:ind w:right="72"/>
              <w:spacing w:after="0"/>
              <w:rPr>
                <w:sz w:val="20"/>
                <w:szCs w:val="20"/>
                <w:color w:val="auto"/>
              </w:rPr>
            </w:pPr>
            <w:r>
              <w:rPr>
                <w:rFonts w:ascii="Arial" w:cs="Arial" w:eastAsia="Arial" w:hAnsi="Arial"/>
                <w:sz w:val="14"/>
                <w:szCs w:val="14"/>
                <w:color w:val="auto"/>
              </w:rPr>
              <w:t>—</w:t>
            </w:r>
          </w:p>
        </w:tc>
        <w:tc>
          <w:tcPr>
            <w:tcW w:w="200" w:type="dxa"/>
            <w:vAlign w:val="bottom"/>
            <w:tcBorders>
              <w:bottom w:val="single" w:sz="8" w:color="auto"/>
            </w:tcBorders>
          </w:tcPr>
          <w:p>
            <w:pPr>
              <w:spacing w:after="0"/>
              <w:rPr>
                <w:sz w:val="14"/>
                <w:szCs w:val="14"/>
                <w:color w:val="auto"/>
              </w:rPr>
            </w:pPr>
          </w:p>
        </w:tc>
        <w:tc>
          <w:tcPr>
            <w:tcW w:w="680" w:type="dxa"/>
            <w:vAlign w:val="bottom"/>
            <w:tcBorders>
              <w:bottom w:val="single" w:sz="8" w:color="auto"/>
            </w:tcBorders>
          </w:tcPr>
          <w:p>
            <w:pPr>
              <w:jc w:val="right"/>
              <w:ind w:right="92"/>
              <w:spacing w:after="0"/>
              <w:rPr>
                <w:sz w:val="20"/>
                <w:szCs w:val="20"/>
                <w:color w:val="auto"/>
              </w:rPr>
            </w:pPr>
            <w:r>
              <w:rPr>
                <w:rFonts w:ascii="Arial" w:cs="Arial" w:eastAsia="Arial" w:hAnsi="Arial"/>
                <w:sz w:val="14"/>
                <w:szCs w:val="14"/>
                <w:color w:val="auto"/>
              </w:rPr>
              <w:t>—</w:t>
            </w:r>
          </w:p>
        </w:tc>
        <w:tc>
          <w:tcPr>
            <w:tcW w:w="240" w:type="dxa"/>
            <w:vAlign w:val="bottom"/>
            <w:tcBorders>
              <w:bottom w:val="single" w:sz="8" w:color="auto"/>
            </w:tcBorders>
          </w:tcPr>
          <w:p>
            <w:pPr>
              <w:spacing w:after="0"/>
              <w:rPr>
                <w:sz w:val="14"/>
                <w:szCs w:val="14"/>
                <w:color w:val="auto"/>
              </w:rPr>
            </w:pPr>
          </w:p>
        </w:tc>
        <w:tc>
          <w:tcPr>
            <w:tcW w:w="560" w:type="dxa"/>
            <w:vAlign w:val="bottom"/>
            <w:tcBorders>
              <w:bottom w:val="single" w:sz="8" w:color="auto"/>
            </w:tcBorders>
          </w:tcPr>
          <w:p>
            <w:pPr>
              <w:jc w:val="right"/>
              <w:ind w:right="92"/>
              <w:spacing w:after="0"/>
              <w:rPr>
                <w:sz w:val="20"/>
                <w:szCs w:val="20"/>
                <w:color w:val="auto"/>
              </w:rPr>
            </w:pPr>
            <w:r>
              <w:rPr>
                <w:rFonts w:ascii="Arial" w:cs="Arial" w:eastAsia="Arial" w:hAnsi="Arial"/>
                <w:sz w:val="14"/>
                <w:szCs w:val="14"/>
                <w:color w:val="auto"/>
              </w:rPr>
              <w:t>4</w:t>
            </w:r>
          </w:p>
        </w:tc>
        <w:tc>
          <w:tcPr>
            <w:tcW w:w="200" w:type="dxa"/>
            <w:vAlign w:val="bottom"/>
            <w:tcBorders>
              <w:bottom w:val="single" w:sz="8" w:color="auto"/>
            </w:tcBorders>
          </w:tcPr>
          <w:p>
            <w:pPr>
              <w:spacing w:after="0"/>
              <w:rPr>
                <w:sz w:val="14"/>
                <w:szCs w:val="14"/>
                <w:color w:val="auto"/>
              </w:rPr>
            </w:pPr>
          </w:p>
        </w:tc>
        <w:tc>
          <w:tcPr>
            <w:tcW w:w="800" w:type="dxa"/>
            <w:vAlign w:val="bottom"/>
            <w:tcBorders>
              <w:bottom w:val="single" w:sz="8" w:color="auto"/>
            </w:tcBorders>
          </w:tcPr>
          <w:p>
            <w:pPr>
              <w:jc w:val="right"/>
              <w:ind w:right="92"/>
              <w:spacing w:after="0"/>
              <w:rPr>
                <w:sz w:val="20"/>
                <w:szCs w:val="20"/>
                <w:color w:val="auto"/>
              </w:rPr>
            </w:pPr>
            <w:r>
              <w:rPr>
                <w:rFonts w:ascii="Arial" w:cs="Arial" w:eastAsia="Arial" w:hAnsi="Arial"/>
                <w:sz w:val="14"/>
                <w:szCs w:val="14"/>
                <w:color w:val="auto"/>
              </w:rPr>
              <w:t>991</w:t>
            </w:r>
          </w:p>
        </w:tc>
        <w:tc>
          <w:tcPr>
            <w:tcW w:w="180" w:type="dxa"/>
            <w:vAlign w:val="bottom"/>
            <w:tcBorders>
              <w:bottom w:val="single" w:sz="8" w:color="auto"/>
            </w:tcBorders>
          </w:tcPr>
          <w:p>
            <w:pPr>
              <w:spacing w:after="0"/>
              <w:rPr>
                <w:sz w:val="14"/>
                <w:szCs w:val="14"/>
                <w:color w:val="auto"/>
              </w:rPr>
            </w:pPr>
          </w:p>
        </w:tc>
        <w:tc>
          <w:tcPr>
            <w:tcW w:w="900" w:type="dxa"/>
            <w:vAlign w:val="bottom"/>
            <w:tcBorders>
              <w:bottom w:val="single" w:sz="8" w:color="auto"/>
            </w:tcBorders>
          </w:tcPr>
          <w:p>
            <w:pPr>
              <w:jc w:val="right"/>
              <w:ind w:right="92"/>
              <w:spacing w:after="0"/>
              <w:rPr>
                <w:sz w:val="20"/>
                <w:szCs w:val="20"/>
                <w:color w:val="auto"/>
              </w:rPr>
            </w:pPr>
            <w:r>
              <w:rPr>
                <w:rFonts w:ascii="Arial" w:cs="Arial" w:eastAsia="Arial" w:hAnsi="Arial"/>
                <w:sz w:val="14"/>
                <w:szCs w:val="14"/>
                <w:color w:val="auto"/>
              </w:rPr>
              <w:t>—</w:t>
            </w:r>
          </w:p>
        </w:tc>
        <w:tc>
          <w:tcPr>
            <w:tcW w:w="180" w:type="dxa"/>
            <w:vAlign w:val="bottom"/>
            <w:tcBorders>
              <w:bottom w:val="single" w:sz="8" w:color="auto"/>
            </w:tcBorders>
          </w:tcPr>
          <w:p>
            <w:pPr>
              <w:spacing w:after="0"/>
              <w:rPr>
                <w:sz w:val="14"/>
                <w:szCs w:val="14"/>
                <w:color w:val="auto"/>
              </w:rPr>
            </w:pPr>
          </w:p>
        </w:tc>
        <w:tc>
          <w:tcPr>
            <w:tcW w:w="84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995</w:t>
            </w:r>
          </w:p>
        </w:tc>
        <w:tc>
          <w:tcPr>
            <w:tcW w:w="0" w:type="dxa"/>
            <w:vAlign w:val="bottom"/>
          </w:tcPr>
          <w:p>
            <w:pPr>
              <w:spacing w:after="0"/>
              <w:rPr>
                <w:sz w:val="1"/>
                <w:szCs w:val="1"/>
                <w:color w:val="auto"/>
              </w:rPr>
            </w:pPr>
          </w:p>
        </w:tc>
      </w:tr>
      <w:tr>
        <w:trPr>
          <w:trHeight w:val="125"/>
        </w:trPr>
        <w:tc>
          <w:tcPr>
            <w:tcW w:w="20" w:type="dxa"/>
            <w:vAlign w:val="bottom"/>
          </w:tcPr>
          <w:p>
            <w:pPr>
              <w:spacing w:after="0"/>
              <w:rPr>
                <w:sz w:val="10"/>
                <w:szCs w:val="10"/>
                <w:color w:val="auto"/>
              </w:rPr>
            </w:pPr>
          </w:p>
        </w:tc>
        <w:tc>
          <w:tcPr>
            <w:tcW w:w="4240" w:type="dxa"/>
            <w:vAlign w:val="bottom"/>
          </w:tcPr>
          <w:p>
            <w:pPr>
              <w:spacing w:after="0"/>
              <w:rPr>
                <w:sz w:val="10"/>
                <w:szCs w:val="10"/>
                <w:color w:val="auto"/>
              </w:rPr>
            </w:pPr>
          </w:p>
        </w:tc>
        <w:tc>
          <w:tcPr>
            <w:tcW w:w="420" w:type="dxa"/>
            <w:vAlign w:val="bottom"/>
          </w:tcPr>
          <w:p>
            <w:pPr>
              <w:spacing w:after="0"/>
              <w:rPr>
                <w:sz w:val="10"/>
                <w:szCs w:val="10"/>
                <w:color w:val="auto"/>
              </w:rPr>
            </w:pPr>
          </w:p>
        </w:tc>
        <w:tc>
          <w:tcPr>
            <w:tcW w:w="580" w:type="dxa"/>
            <w:vAlign w:val="bottom"/>
          </w:tcPr>
          <w:p>
            <w:pPr>
              <w:jc w:val="right"/>
              <w:ind w:right="72"/>
              <w:spacing w:after="0" w:line="125" w:lineRule="exact"/>
              <w:rPr>
                <w:sz w:val="20"/>
                <w:szCs w:val="20"/>
                <w:color w:val="auto"/>
              </w:rPr>
            </w:pPr>
            <w:r>
              <w:rPr>
                <w:rFonts w:ascii="Arial" w:cs="Arial" w:eastAsia="Arial" w:hAnsi="Arial"/>
                <w:sz w:val="14"/>
                <w:szCs w:val="14"/>
                <w:color w:val="auto"/>
              </w:rPr>
              <w:t>264</w:t>
            </w:r>
          </w:p>
        </w:tc>
        <w:tc>
          <w:tcPr>
            <w:tcW w:w="200" w:type="dxa"/>
            <w:vAlign w:val="bottom"/>
          </w:tcPr>
          <w:p>
            <w:pPr>
              <w:spacing w:after="0"/>
              <w:rPr>
                <w:sz w:val="10"/>
                <w:szCs w:val="10"/>
                <w:color w:val="auto"/>
              </w:rPr>
            </w:pPr>
          </w:p>
        </w:tc>
        <w:tc>
          <w:tcPr>
            <w:tcW w:w="500" w:type="dxa"/>
            <w:vAlign w:val="bottom"/>
          </w:tcPr>
          <w:p>
            <w:pPr>
              <w:jc w:val="right"/>
              <w:ind w:right="92"/>
              <w:spacing w:after="0" w:line="125" w:lineRule="exact"/>
              <w:rPr>
                <w:sz w:val="20"/>
                <w:szCs w:val="20"/>
                <w:color w:val="auto"/>
              </w:rPr>
            </w:pPr>
            <w:r>
              <w:rPr>
                <w:rFonts w:ascii="Arial" w:cs="Arial" w:eastAsia="Arial" w:hAnsi="Arial"/>
                <w:sz w:val="14"/>
                <w:szCs w:val="14"/>
                <w:color w:val="auto"/>
              </w:rPr>
              <w:t>193</w:t>
            </w:r>
          </w:p>
        </w:tc>
        <w:tc>
          <w:tcPr>
            <w:tcW w:w="180" w:type="dxa"/>
            <w:vAlign w:val="bottom"/>
          </w:tcPr>
          <w:p>
            <w:pPr>
              <w:spacing w:after="0"/>
              <w:rPr>
                <w:sz w:val="10"/>
                <w:szCs w:val="10"/>
                <w:color w:val="auto"/>
              </w:rPr>
            </w:pPr>
          </w:p>
        </w:tc>
        <w:tc>
          <w:tcPr>
            <w:tcW w:w="500" w:type="dxa"/>
            <w:vAlign w:val="bottom"/>
          </w:tcPr>
          <w:p>
            <w:pPr>
              <w:jc w:val="right"/>
              <w:ind w:right="72"/>
              <w:spacing w:after="0" w:line="125" w:lineRule="exact"/>
              <w:rPr>
                <w:sz w:val="20"/>
                <w:szCs w:val="20"/>
                <w:color w:val="auto"/>
              </w:rPr>
            </w:pPr>
            <w:r>
              <w:rPr>
                <w:rFonts w:ascii="Arial" w:cs="Arial" w:eastAsia="Arial" w:hAnsi="Arial"/>
                <w:sz w:val="14"/>
                <w:szCs w:val="14"/>
                <w:color w:val="auto"/>
              </w:rPr>
              <w:t>298</w:t>
            </w:r>
          </w:p>
        </w:tc>
        <w:tc>
          <w:tcPr>
            <w:tcW w:w="200" w:type="dxa"/>
            <w:vAlign w:val="bottom"/>
          </w:tcPr>
          <w:p>
            <w:pPr>
              <w:spacing w:after="0"/>
              <w:rPr>
                <w:sz w:val="10"/>
                <w:szCs w:val="10"/>
                <w:color w:val="auto"/>
              </w:rPr>
            </w:pPr>
          </w:p>
        </w:tc>
        <w:tc>
          <w:tcPr>
            <w:tcW w:w="680" w:type="dxa"/>
            <w:vAlign w:val="bottom"/>
          </w:tcPr>
          <w:p>
            <w:pPr>
              <w:jc w:val="right"/>
              <w:ind w:right="92"/>
              <w:spacing w:after="0" w:line="125" w:lineRule="exact"/>
              <w:rPr>
                <w:sz w:val="20"/>
                <w:szCs w:val="20"/>
                <w:color w:val="auto"/>
              </w:rPr>
            </w:pPr>
            <w:r>
              <w:rPr>
                <w:rFonts w:ascii="Arial" w:cs="Arial" w:eastAsia="Arial" w:hAnsi="Arial"/>
                <w:sz w:val="14"/>
                <w:szCs w:val="14"/>
                <w:color w:val="auto"/>
              </w:rPr>
              <w:t>298</w:t>
            </w:r>
          </w:p>
        </w:tc>
        <w:tc>
          <w:tcPr>
            <w:tcW w:w="240" w:type="dxa"/>
            <w:vAlign w:val="bottom"/>
          </w:tcPr>
          <w:p>
            <w:pPr>
              <w:spacing w:after="0"/>
              <w:rPr>
                <w:sz w:val="10"/>
                <w:szCs w:val="10"/>
                <w:color w:val="auto"/>
              </w:rPr>
            </w:pPr>
          </w:p>
        </w:tc>
        <w:tc>
          <w:tcPr>
            <w:tcW w:w="560" w:type="dxa"/>
            <w:vAlign w:val="bottom"/>
          </w:tcPr>
          <w:p>
            <w:pPr>
              <w:jc w:val="right"/>
              <w:ind w:right="92"/>
              <w:spacing w:after="0" w:line="125" w:lineRule="exact"/>
              <w:rPr>
                <w:sz w:val="20"/>
                <w:szCs w:val="20"/>
                <w:color w:val="auto"/>
              </w:rPr>
            </w:pPr>
            <w:r>
              <w:rPr>
                <w:rFonts w:ascii="Arial" w:cs="Arial" w:eastAsia="Arial" w:hAnsi="Arial"/>
                <w:sz w:val="14"/>
                <w:szCs w:val="14"/>
                <w:color w:val="auto"/>
              </w:rPr>
              <w:t>22</w:t>
            </w:r>
          </w:p>
        </w:tc>
        <w:tc>
          <w:tcPr>
            <w:tcW w:w="200" w:type="dxa"/>
            <w:vAlign w:val="bottom"/>
          </w:tcPr>
          <w:p>
            <w:pPr>
              <w:spacing w:after="0"/>
              <w:rPr>
                <w:sz w:val="10"/>
                <w:szCs w:val="10"/>
                <w:color w:val="auto"/>
              </w:rPr>
            </w:pPr>
          </w:p>
        </w:tc>
        <w:tc>
          <w:tcPr>
            <w:tcW w:w="800" w:type="dxa"/>
            <w:vAlign w:val="bottom"/>
          </w:tcPr>
          <w:p>
            <w:pPr>
              <w:jc w:val="right"/>
              <w:ind w:right="92"/>
              <w:spacing w:after="0" w:line="125" w:lineRule="exact"/>
              <w:rPr>
                <w:sz w:val="20"/>
                <w:szCs w:val="20"/>
                <w:color w:val="auto"/>
              </w:rPr>
            </w:pPr>
            <w:r>
              <w:rPr>
                <w:rFonts w:ascii="Arial" w:cs="Arial" w:eastAsia="Arial" w:hAnsi="Arial"/>
                <w:sz w:val="14"/>
                <w:szCs w:val="14"/>
                <w:color w:val="auto"/>
              </w:rPr>
              <w:t>20,595</w:t>
            </w:r>
          </w:p>
        </w:tc>
        <w:tc>
          <w:tcPr>
            <w:tcW w:w="180" w:type="dxa"/>
            <w:vAlign w:val="bottom"/>
          </w:tcPr>
          <w:p>
            <w:pPr>
              <w:spacing w:after="0"/>
              <w:rPr>
                <w:sz w:val="10"/>
                <w:szCs w:val="10"/>
                <w:color w:val="auto"/>
              </w:rPr>
            </w:pPr>
          </w:p>
        </w:tc>
        <w:tc>
          <w:tcPr>
            <w:tcW w:w="900" w:type="dxa"/>
            <w:vAlign w:val="bottom"/>
          </w:tcPr>
          <w:p>
            <w:pPr>
              <w:jc w:val="right"/>
              <w:ind w:right="32"/>
              <w:spacing w:after="0" w:line="125" w:lineRule="exact"/>
              <w:rPr>
                <w:sz w:val="20"/>
                <w:szCs w:val="20"/>
                <w:color w:val="auto"/>
              </w:rPr>
            </w:pPr>
            <w:r>
              <w:rPr>
                <w:rFonts w:ascii="Arial" w:cs="Arial" w:eastAsia="Arial" w:hAnsi="Arial"/>
                <w:sz w:val="14"/>
                <w:szCs w:val="14"/>
                <w:color w:val="auto"/>
              </w:rPr>
              <w:t>(1,323)</w:t>
            </w:r>
          </w:p>
        </w:tc>
        <w:tc>
          <w:tcPr>
            <w:tcW w:w="180" w:type="dxa"/>
            <w:vAlign w:val="bottom"/>
          </w:tcPr>
          <w:p>
            <w:pPr>
              <w:spacing w:after="0"/>
              <w:rPr>
                <w:sz w:val="10"/>
                <w:szCs w:val="10"/>
                <w:color w:val="auto"/>
              </w:rPr>
            </w:pPr>
          </w:p>
        </w:tc>
        <w:tc>
          <w:tcPr>
            <w:tcW w:w="840" w:type="dxa"/>
            <w:vAlign w:val="bottom"/>
          </w:tcPr>
          <w:p>
            <w:pPr>
              <w:jc w:val="right"/>
              <w:spacing w:after="0" w:line="125" w:lineRule="exact"/>
              <w:rPr>
                <w:sz w:val="20"/>
                <w:szCs w:val="20"/>
                <w:color w:val="auto"/>
              </w:rPr>
            </w:pPr>
            <w:r>
              <w:rPr>
                <w:rFonts w:ascii="Arial" w:cs="Arial" w:eastAsia="Arial" w:hAnsi="Arial"/>
                <w:sz w:val="14"/>
                <w:szCs w:val="14"/>
                <w:b w:val="1"/>
                <w:bCs w:val="1"/>
                <w:color w:val="auto"/>
              </w:rPr>
              <w:t>20,347</w:t>
            </w:r>
          </w:p>
        </w:tc>
        <w:tc>
          <w:tcPr>
            <w:tcW w:w="0" w:type="dxa"/>
            <w:vAlign w:val="bottom"/>
          </w:tcPr>
          <w:p>
            <w:pPr>
              <w:spacing w:after="0"/>
              <w:rPr>
                <w:sz w:val="1"/>
                <w:szCs w:val="1"/>
                <w:color w:val="auto"/>
              </w:rPr>
            </w:pPr>
          </w:p>
        </w:tc>
      </w:tr>
      <w:tr>
        <w:trPr>
          <w:trHeight w:val="165"/>
        </w:trPr>
        <w:tc>
          <w:tcPr>
            <w:tcW w:w="4260" w:type="dxa"/>
            <w:vAlign w:val="bottom"/>
            <w:gridSpan w:val="2"/>
          </w:tcPr>
          <w:p>
            <w:pPr>
              <w:spacing w:after="0"/>
              <w:rPr>
                <w:sz w:val="20"/>
                <w:szCs w:val="20"/>
                <w:color w:val="auto"/>
              </w:rPr>
            </w:pPr>
            <w:r>
              <w:rPr>
                <w:rFonts w:ascii="Arial" w:cs="Arial" w:eastAsia="Arial" w:hAnsi="Arial"/>
                <w:sz w:val="14"/>
                <w:szCs w:val="14"/>
                <w:color w:val="auto"/>
              </w:rPr>
              <w:t>Operating income (loss)</w:t>
            </w:r>
          </w:p>
        </w:tc>
        <w:tc>
          <w:tcPr>
            <w:tcW w:w="420" w:type="dxa"/>
            <w:vAlign w:val="bottom"/>
          </w:tcPr>
          <w:p>
            <w:pPr>
              <w:spacing w:after="0"/>
              <w:rPr>
                <w:sz w:val="14"/>
                <w:szCs w:val="14"/>
                <w:color w:val="auto"/>
              </w:rPr>
            </w:pPr>
          </w:p>
        </w:tc>
        <w:tc>
          <w:tcPr>
            <w:tcW w:w="580" w:type="dxa"/>
            <w:vAlign w:val="bottom"/>
          </w:tcPr>
          <w:p>
            <w:pPr>
              <w:jc w:val="right"/>
              <w:ind w:right="72"/>
              <w:spacing w:after="0"/>
              <w:rPr>
                <w:sz w:val="20"/>
                <w:szCs w:val="20"/>
                <w:color w:val="auto"/>
              </w:rPr>
            </w:pPr>
            <w:r>
              <w:rPr>
                <w:rFonts w:ascii="Arial" w:cs="Arial" w:eastAsia="Arial" w:hAnsi="Arial"/>
                <w:sz w:val="14"/>
                <w:szCs w:val="14"/>
                <w:color w:val="auto"/>
              </w:rPr>
              <w:t>262</w:t>
            </w:r>
          </w:p>
        </w:tc>
        <w:tc>
          <w:tcPr>
            <w:tcW w:w="200" w:type="dxa"/>
            <w:vAlign w:val="bottom"/>
          </w:tcPr>
          <w:p>
            <w:pPr>
              <w:spacing w:after="0"/>
              <w:rPr>
                <w:sz w:val="14"/>
                <w:szCs w:val="14"/>
                <w:color w:val="auto"/>
              </w:rPr>
            </w:pPr>
          </w:p>
        </w:tc>
        <w:tc>
          <w:tcPr>
            <w:tcW w:w="500" w:type="dxa"/>
            <w:vAlign w:val="bottom"/>
          </w:tcPr>
          <w:p>
            <w:pPr>
              <w:jc w:val="right"/>
              <w:ind w:right="92"/>
              <w:spacing w:after="0"/>
              <w:rPr>
                <w:sz w:val="20"/>
                <w:szCs w:val="20"/>
                <w:color w:val="auto"/>
              </w:rPr>
            </w:pPr>
            <w:r>
              <w:rPr>
                <w:rFonts w:ascii="Arial" w:cs="Arial" w:eastAsia="Arial" w:hAnsi="Arial"/>
                <w:sz w:val="14"/>
                <w:szCs w:val="14"/>
                <w:color w:val="auto"/>
              </w:rPr>
              <w:t>—</w:t>
            </w:r>
          </w:p>
        </w:tc>
        <w:tc>
          <w:tcPr>
            <w:tcW w:w="180" w:type="dxa"/>
            <w:vAlign w:val="bottom"/>
          </w:tcPr>
          <w:p>
            <w:pPr>
              <w:spacing w:after="0"/>
              <w:rPr>
                <w:sz w:val="14"/>
                <w:szCs w:val="14"/>
                <w:color w:val="auto"/>
              </w:rPr>
            </w:pPr>
          </w:p>
        </w:tc>
        <w:tc>
          <w:tcPr>
            <w:tcW w:w="500" w:type="dxa"/>
            <w:vAlign w:val="bottom"/>
          </w:tcPr>
          <w:p>
            <w:pPr>
              <w:jc w:val="right"/>
              <w:ind w:right="72"/>
              <w:spacing w:after="0"/>
              <w:rPr>
                <w:sz w:val="20"/>
                <w:szCs w:val="20"/>
                <w:color w:val="auto"/>
              </w:rPr>
            </w:pPr>
            <w:r>
              <w:rPr>
                <w:rFonts w:ascii="Arial" w:cs="Arial" w:eastAsia="Arial" w:hAnsi="Arial"/>
                <w:sz w:val="14"/>
                <w:szCs w:val="14"/>
                <w:color w:val="auto"/>
              </w:rPr>
              <w:t>—</w:t>
            </w:r>
          </w:p>
        </w:tc>
        <w:tc>
          <w:tcPr>
            <w:tcW w:w="200" w:type="dxa"/>
            <w:vAlign w:val="bottom"/>
          </w:tcPr>
          <w:p>
            <w:pPr>
              <w:spacing w:after="0"/>
              <w:rPr>
                <w:sz w:val="14"/>
                <w:szCs w:val="14"/>
                <w:color w:val="auto"/>
              </w:rPr>
            </w:pPr>
          </w:p>
        </w:tc>
        <w:tc>
          <w:tcPr>
            <w:tcW w:w="680" w:type="dxa"/>
            <w:vAlign w:val="bottom"/>
          </w:tcPr>
          <w:p>
            <w:pPr>
              <w:jc w:val="right"/>
              <w:ind w:right="92"/>
              <w:spacing w:after="0"/>
              <w:rPr>
                <w:sz w:val="20"/>
                <w:szCs w:val="20"/>
                <w:color w:val="auto"/>
              </w:rPr>
            </w:pPr>
            <w:r>
              <w:rPr>
                <w:rFonts w:ascii="Arial" w:cs="Arial" w:eastAsia="Arial" w:hAnsi="Arial"/>
                <w:sz w:val="14"/>
                <w:szCs w:val="14"/>
                <w:color w:val="auto"/>
              </w:rPr>
              <w:t>—</w:t>
            </w:r>
          </w:p>
        </w:tc>
        <w:tc>
          <w:tcPr>
            <w:tcW w:w="240" w:type="dxa"/>
            <w:vAlign w:val="bottom"/>
          </w:tcPr>
          <w:p>
            <w:pPr>
              <w:spacing w:after="0"/>
              <w:rPr>
                <w:sz w:val="14"/>
                <w:szCs w:val="14"/>
                <w:color w:val="auto"/>
              </w:rPr>
            </w:pPr>
          </w:p>
        </w:tc>
        <w:tc>
          <w:tcPr>
            <w:tcW w:w="560" w:type="dxa"/>
            <w:vAlign w:val="bottom"/>
          </w:tcPr>
          <w:p>
            <w:pPr>
              <w:jc w:val="right"/>
              <w:ind w:right="32"/>
              <w:spacing w:after="0"/>
              <w:rPr>
                <w:sz w:val="20"/>
                <w:szCs w:val="20"/>
                <w:color w:val="auto"/>
              </w:rPr>
            </w:pPr>
            <w:r>
              <w:rPr>
                <w:rFonts w:ascii="Arial" w:cs="Arial" w:eastAsia="Arial" w:hAnsi="Arial"/>
                <w:sz w:val="14"/>
                <w:szCs w:val="14"/>
                <w:color w:val="auto"/>
              </w:rPr>
              <w:t>(14)</w:t>
            </w:r>
          </w:p>
        </w:tc>
        <w:tc>
          <w:tcPr>
            <w:tcW w:w="200" w:type="dxa"/>
            <w:vAlign w:val="bottom"/>
          </w:tcPr>
          <w:p>
            <w:pPr>
              <w:spacing w:after="0"/>
              <w:rPr>
                <w:sz w:val="14"/>
                <w:szCs w:val="14"/>
                <w:color w:val="auto"/>
              </w:rPr>
            </w:pPr>
          </w:p>
        </w:tc>
        <w:tc>
          <w:tcPr>
            <w:tcW w:w="800" w:type="dxa"/>
            <w:vAlign w:val="bottom"/>
          </w:tcPr>
          <w:p>
            <w:pPr>
              <w:jc w:val="right"/>
              <w:ind w:right="92"/>
              <w:spacing w:after="0"/>
              <w:rPr>
                <w:sz w:val="20"/>
                <w:szCs w:val="20"/>
                <w:color w:val="auto"/>
              </w:rPr>
            </w:pPr>
            <w:r>
              <w:rPr>
                <w:rFonts w:ascii="Arial" w:cs="Arial" w:eastAsia="Arial" w:hAnsi="Arial"/>
                <w:sz w:val="14"/>
                <w:szCs w:val="14"/>
                <w:color w:val="auto"/>
              </w:rPr>
              <w:t>4,371</w:t>
            </w:r>
          </w:p>
        </w:tc>
        <w:tc>
          <w:tcPr>
            <w:tcW w:w="180" w:type="dxa"/>
            <w:vAlign w:val="bottom"/>
          </w:tcPr>
          <w:p>
            <w:pPr>
              <w:spacing w:after="0"/>
              <w:rPr>
                <w:sz w:val="14"/>
                <w:szCs w:val="14"/>
                <w:color w:val="auto"/>
              </w:rPr>
            </w:pPr>
          </w:p>
        </w:tc>
        <w:tc>
          <w:tcPr>
            <w:tcW w:w="900" w:type="dxa"/>
            <w:vAlign w:val="bottom"/>
          </w:tcPr>
          <w:p>
            <w:pPr>
              <w:jc w:val="right"/>
              <w:ind w:right="92"/>
              <w:spacing w:after="0"/>
              <w:rPr>
                <w:sz w:val="20"/>
                <w:szCs w:val="20"/>
                <w:color w:val="auto"/>
              </w:rPr>
            </w:pPr>
            <w:r>
              <w:rPr>
                <w:rFonts w:ascii="Arial" w:cs="Arial" w:eastAsia="Arial" w:hAnsi="Arial"/>
                <w:sz w:val="14"/>
                <w:szCs w:val="14"/>
                <w:color w:val="auto"/>
              </w:rPr>
              <w:t>—</w:t>
            </w:r>
          </w:p>
        </w:tc>
        <w:tc>
          <w:tcPr>
            <w:tcW w:w="180" w:type="dxa"/>
            <w:vAlign w:val="bottom"/>
          </w:tcPr>
          <w:p>
            <w:pPr>
              <w:spacing w:after="0"/>
              <w:rPr>
                <w:sz w:val="14"/>
                <w:szCs w:val="14"/>
                <w:color w:val="auto"/>
              </w:rPr>
            </w:pPr>
          </w:p>
        </w:tc>
        <w:tc>
          <w:tcPr>
            <w:tcW w:w="840" w:type="dxa"/>
            <w:vAlign w:val="bottom"/>
          </w:tcPr>
          <w:p>
            <w:pPr>
              <w:jc w:val="right"/>
              <w:spacing w:after="0"/>
              <w:rPr>
                <w:sz w:val="20"/>
                <w:szCs w:val="20"/>
                <w:color w:val="auto"/>
              </w:rPr>
            </w:pPr>
            <w:r>
              <w:rPr>
                <w:rFonts w:ascii="Arial" w:cs="Arial" w:eastAsia="Arial" w:hAnsi="Arial"/>
                <w:sz w:val="14"/>
                <w:szCs w:val="14"/>
                <w:b w:val="1"/>
                <w:bCs w:val="1"/>
                <w:color w:val="auto"/>
              </w:rPr>
              <w:t>4,619</w:t>
            </w:r>
          </w:p>
        </w:tc>
        <w:tc>
          <w:tcPr>
            <w:tcW w:w="0" w:type="dxa"/>
            <w:vAlign w:val="bottom"/>
          </w:tcPr>
          <w:p>
            <w:pPr>
              <w:spacing w:after="0"/>
              <w:rPr>
                <w:sz w:val="1"/>
                <w:szCs w:val="1"/>
                <w:color w:val="auto"/>
              </w:rPr>
            </w:pPr>
          </w:p>
        </w:tc>
      </w:tr>
      <w:tr>
        <w:trPr>
          <w:trHeight w:val="149"/>
        </w:trPr>
        <w:tc>
          <w:tcPr>
            <w:tcW w:w="4260" w:type="dxa"/>
            <w:vAlign w:val="bottom"/>
            <w:gridSpan w:val="2"/>
          </w:tcPr>
          <w:p>
            <w:pPr>
              <w:spacing w:after="0" w:line="149" w:lineRule="exact"/>
              <w:rPr>
                <w:sz w:val="20"/>
                <w:szCs w:val="20"/>
                <w:color w:val="auto"/>
              </w:rPr>
            </w:pPr>
            <w:r>
              <w:rPr>
                <w:rFonts w:ascii="Arial" w:cs="Arial" w:eastAsia="Arial" w:hAnsi="Arial"/>
                <w:sz w:val="14"/>
                <w:szCs w:val="14"/>
                <w:color w:val="auto"/>
              </w:rPr>
              <w:t>Other Income (Expense)</w:t>
            </w:r>
          </w:p>
        </w:tc>
        <w:tc>
          <w:tcPr>
            <w:tcW w:w="42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90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840" w:type="dxa"/>
            <w:vAlign w:val="bottom"/>
            <w:vMerge w:val="restart"/>
          </w:tcPr>
          <w:p>
            <w:pPr>
              <w:jc w:val="right"/>
              <w:spacing w:after="0"/>
              <w:rPr>
                <w:sz w:val="20"/>
                <w:szCs w:val="20"/>
                <w:color w:val="auto"/>
              </w:rPr>
            </w:pPr>
            <w:r>
              <w:rPr>
                <w:rFonts w:ascii="Arial" w:cs="Arial" w:eastAsia="Arial" w:hAnsi="Arial"/>
                <w:sz w:val="14"/>
                <w:szCs w:val="14"/>
                <w:b w:val="1"/>
                <w:bCs w:val="1"/>
                <w:color w:val="auto"/>
              </w:rPr>
              <w:t>(2,064)</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4240" w:type="dxa"/>
            <w:vAlign w:val="bottom"/>
          </w:tcPr>
          <w:p>
            <w:pPr>
              <w:ind w:left="200"/>
              <w:spacing w:after="0" w:line="133" w:lineRule="exact"/>
              <w:rPr>
                <w:sz w:val="20"/>
                <w:szCs w:val="20"/>
                <w:color w:val="auto"/>
              </w:rPr>
            </w:pPr>
            <w:r>
              <w:rPr>
                <w:rFonts w:ascii="Arial" w:cs="Arial" w:eastAsia="Arial" w:hAnsi="Arial"/>
                <w:sz w:val="14"/>
                <w:szCs w:val="14"/>
                <w:color w:val="auto"/>
              </w:rPr>
              <w:t>Interest expense</w:t>
            </w:r>
          </w:p>
        </w:tc>
        <w:tc>
          <w:tcPr>
            <w:tcW w:w="420" w:type="dxa"/>
            <w:vAlign w:val="bottom"/>
          </w:tcPr>
          <w:p>
            <w:pPr>
              <w:spacing w:after="0"/>
              <w:rPr>
                <w:sz w:val="11"/>
                <w:szCs w:val="11"/>
                <w:color w:val="auto"/>
              </w:rPr>
            </w:pPr>
          </w:p>
        </w:tc>
        <w:tc>
          <w:tcPr>
            <w:tcW w:w="580" w:type="dxa"/>
            <w:vAlign w:val="bottom"/>
          </w:tcPr>
          <w:p>
            <w:pPr>
              <w:jc w:val="right"/>
              <w:ind w:right="32"/>
              <w:spacing w:after="0" w:line="133" w:lineRule="exact"/>
              <w:rPr>
                <w:sz w:val="20"/>
                <w:szCs w:val="20"/>
                <w:color w:val="auto"/>
              </w:rPr>
            </w:pPr>
            <w:r>
              <w:rPr>
                <w:rFonts w:ascii="Arial" w:cs="Arial" w:eastAsia="Arial" w:hAnsi="Arial"/>
                <w:sz w:val="14"/>
                <w:szCs w:val="14"/>
                <w:color w:val="auto"/>
              </w:rPr>
              <w:t>(776)</w:t>
            </w:r>
          </w:p>
        </w:tc>
        <w:tc>
          <w:tcPr>
            <w:tcW w:w="200" w:type="dxa"/>
            <w:vAlign w:val="bottom"/>
          </w:tcPr>
          <w:p>
            <w:pPr>
              <w:spacing w:after="0"/>
              <w:rPr>
                <w:sz w:val="11"/>
                <w:szCs w:val="11"/>
                <w:color w:val="auto"/>
              </w:rPr>
            </w:pPr>
          </w:p>
        </w:tc>
        <w:tc>
          <w:tcPr>
            <w:tcW w:w="500" w:type="dxa"/>
            <w:vAlign w:val="bottom"/>
          </w:tcPr>
          <w:p>
            <w:pPr>
              <w:jc w:val="right"/>
              <w:ind w:right="52"/>
              <w:spacing w:after="0" w:line="133" w:lineRule="exact"/>
              <w:rPr>
                <w:sz w:val="20"/>
                <w:szCs w:val="20"/>
                <w:color w:val="auto"/>
              </w:rPr>
            </w:pPr>
            <w:r>
              <w:rPr>
                <w:rFonts w:ascii="Arial" w:cs="Arial" w:eastAsia="Arial" w:hAnsi="Arial"/>
                <w:sz w:val="14"/>
                <w:szCs w:val="14"/>
                <w:color w:val="auto"/>
              </w:rPr>
              <w:t>(400)</w:t>
            </w:r>
          </w:p>
        </w:tc>
        <w:tc>
          <w:tcPr>
            <w:tcW w:w="180" w:type="dxa"/>
            <w:vAlign w:val="bottom"/>
          </w:tcPr>
          <w:p>
            <w:pPr>
              <w:spacing w:after="0"/>
              <w:rPr>
                <w:sz w:val="11"/>
                <w:szCs w:val="11"/>
                <w:color w:val="auto"/>
              </w:rPr>
            </w:pPr>
          </w:p>
        </w:tc>
        <w:tc>
          <w:tcPr>
            <w:tcW w:w="500" w:type="dxa"/>
            <w:vAlign w:val="bottom"/>
          </w:tcPr>
          <w:p>
            <w:pPr>
              <w:jc w:val="right"/>
              <w:ind w:right="32"/>
              <w:spacing w:after="0" w:line="133" w:lineRule="exact"/>
              <w:rPr>
                <w:sz w:val="20"/>
                <w:szCs w:val="20"/>
                <w:color w:val="auto"/>
              </w:rPr>
            </w:pPr>
            <w:r>
              <w:rPr>
                <w:rFonts w:ascii="Arial" w:cs="Arial" w:eastAsia="Arial" w:hAnsi="Arial"/>
                <w:sz w:val="14"/>
                <w:szCs w:val="14"/>
                <w:color w:val="auto"/>
              </w:rPr>
              <w:t>(325)</w:t>
            </w:r>
          </w:p>
        </w:tc>
        <w:tc>
          <w:tcPr>
            <w:tcW w:w="200" w:type="dxa"/>
            <w:vAlign w:val="bottom"/>
          </w:tcPr>
          <w:p>
            <w:pPr>
              <w:spacing w:after="0"/>
              <w:rPr>
                <w:sz w:val="11"/>
                <w:szCs w:val="11"/>
                <w:color w:val="auto"/>
              </w:rPr>
            </w:pPr>
          </w:p>
        </w:tc>
        <w:tc>
          <w:tcPr>
            <w:tcW w:w="680" w:type="dxa"/>
            <w:vAlign w:val="bottom"/>
          </w:tcPr>
          <w:p>
            <w:pPr>
              <w:jc w:val="right"/>
              <w:ind w:right="32"/>
              <w:spacing w:after="0" w:line="133" w:lineRule="exact"/>
              <w:rPr>
                <w:sz w:val="20"/>
                <w:szCs w:val="20"/>
                <w:color w:val="auto"/>
              </w:rPr>
            </w:pPr>
            <w:r>
              <w:rPr>
                <w:rFonts w:ascii="Arial" w:cs="Arial" w:eastAsia="Arial" w:hAnsi="Arial"/>
                <w:sz w:val="14"/>
                <w:szCs w:val="14"/>
                <w:color w:val="auto"/>
              </w:rPr>
              <w:t>(259)</w:t>
            </w:r>
          </w:p>
        </w:tc>
        <w:tc>
          <w:tcPr>
            <w:tcW w:w="240" w:type="dxa"/>
            <w:vAlign w:val="bottom"/>
          </w:tcPr>
          <w:p>
            <w:pPr>
              <w:spacing w:after="0"/>
              <w:rPr>
                <w:sz w:val="11"/>
                <w:szCs w:val="11"/>
                <w:color w:val="auto"/>
              </w:rPr>
            </w:pPr>
          </w:p>
        </w:tc>
        <w:tc>
          <w:tcPr>
            <w:tcW w:w="560" w:type="dxa"/>
            <w:vAlign w:val="bottom"/>
          </w:tcPr>
          <w:p>
            <w:pPr>
              <w:jc w:val="right"/>
              <w:ind w:right="32"/>
              <w:spacing w:after="0" w:line="133" w:lineRule="exact"/>
              <w:rPr>
                <w:sz w:val="20"/>
                <w:szCs w:val="20"/>
                <w:color w:val="auto"/>
              </w:rPr>
            </w:pPr>
            <w:r>
              <w:rPr>
                <w:rFonts w:ascii="Arial" w:cs="Arial" w:eastAsia="Arial" w:hAnsi="Arial"/>
                <w:sz w:val="14"/>
                <w:szCs w:val="14"/>
                <w:color w:val="auto"/>
              </w:rPr>
              <w:t>(68)</w:t>
            </w:r>
          </w:p>
        </w:tc>
        <w:tc>
          <w:tcPr>
            <w:tcW w:w="200" w:type="dxa"/>
            <w:vAlign w:val="bottom"/>
          </w:tcPr>
          <w:p>
            <w:pPr>
              <w:spacing w:after="0"/>
              <w:rPr>
                <w:sz w:val="11"/>
                <w:szCs w:val="11"/>
                <w:color w:val="auto"/>
              </w:rPr>
            </w:pPr>
          </w:p>
        </w:tc>
        <w:tc>
          <w:tcPr>
            <w:tcW w:w="800" w:type="dxa"/>
            <w:vAlign w:val="bottom"/>
          </w:tcPr>
          <w:p>
            <w:pPr>
              <w:jc w:val="right"/>
              <w:ind w:right="52"/>
              <w:spacing w:after="0" w:line="133" w:lineRule="exact"/>
              <w:rPr>
                <w:sz w:val="20"/>
                <w:szCs w:val="20"/>
                <w:color w:val="auto"/>
              </w:rPr>
            </w:pPr>
            <w:r>
              <w:rPr>
                <w:rFonts w:ascii="Arial" w:cs="Arial" w:eastAsia="Arial" w:hAnsi="Arial"/>
                <w:sz w:val="14"/>
                <w:szCs w:val="14"/>
                <w:color w:val="auto"/>
              </w:rPr>
              <w:t>(236)</w:t>
            </w:r>
          </w:p>
        </w:tc>
        <w:tc>
          <w:tcPr>
            <w:tcW w:w="180" w:type="dxa"/>
            <w:vAlign w:val="bottom"/>
          </w:tcPr>
          <w:p>
            <w:pPr>
              <w:spacing w:after="0"/>
              <w:rPr>
                <w:sz w:val="11"/>
                <w:szCs w:val="11"/>
                <w:color w:val="auto"/>
              </w:rPr>
            </w:pPr>
          </w:p>
        </w:tc>
        <w:tc>
          <w:tcPr>
            <w:tcW w:w="900" w:type="dxa"/>
            <w:vAlign w:val="bottom"/>
          </w:tcPr>
          <w:p>
            <w:pPr>
              <w:jc w:val="right"/>
              <w:ind w:right="92"/>
              <w:spacing w:after="0" w:line="133" w:lineRule="exact"/>
              <w:rPr>
                <w:sz w:val="20"/>
                <w:szCs w:val="20"/>
                <w:color w:val="auto"/>
              </w:rPr>
            </w:pPr>
            <w:r>
              <w:rPr>
                <w:rFonts w:ascii="Arial" w:cs="Arial" w:eastAsia="Arial" w:hAnsi="Arial"/>
                <w:sz w:val="14"/>
                <w:szCs w:val="14"/>
                <w:color w:val="auto"/>
              </w:rPr>
              <w:t>—</w:t>
            </w:r>
          </w:p>
        </w:tc>
        <w:tc>
          <w:tcPr>
            <w:tcW w:w="180" w:type="dxa"/>
            <w:vAlign w:val="bottom"/>
          </w:tcPr>
          <w:p>
            <w:pPr>
              <w:spacing w:after="0"/>
              <w:rPr>
                <w:sz w:val="11"/>
                <w:szCs w:val="11"/>
                <w:color w:val="auto"/>
              </w:rPr>
            </w:pPr>
          </w:p>
        </w:tc>
        <w:tc>
          <w:tcPr>
            <w:tcW w:w="840" w:type="dxa"/>
            <w:vAlign w:val="bottom"/>
            <w:vMerge w:val="continue"/>
          </w:tcPr>
          <w:p>
            <w:pPr>
              <w:spacing w:after="0"/>
              <w:rPr>
                <w:sz w:val="11"/>
                <w:szCs w:val="11"/>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4240" w:type="dxa"/>
            <w:vAlign w:val="bottom"/>
          </w:tcPr>
          <w:p>
            <w:pPr>
              <w:ind w:left="200"/>
              <w:spacing w:after="0" w:line="149" w:lineRule="exact"/>
              <w:rPr>
                <w:sz w:val="20"/>
                <w:szCs w:val="20"/>
                <w:color w:val="auto"/>
              </w:rPr>
            </w:pPr>
            <w:r>
              <w:rPr>
                <w:rFonts w:ascii="Arial" w:cs="Arial" w:eastAsia="Arial" w:hAnsi="Arial"/>
                <w:sz w:val="14"/>
                <w:szCs w:val="14"/>
                <w:color w:val="auto"/>
              </w:rPr>
              <w:t>Investment income (loss), net</w:t>
            </w:r>
          </w:p>
        </w:tc>
        <w:tc>
          <w:tcPr>
            <w:tcW w:w="420" w:type="dxa"/>
            <w:vAlign w:val="bottom"/>
          </w:tcPr>
          <w:p>
            <w:pPr>
              <w:spacing w:after="0"/>
              <w:rPr>
                <w:sz w:val="12"/>
                <w:szCs w:val="12"/>
                <w:color w:val="auto"/>
              </w:rPr>
            </w:pPr>
          </w:p>
        </w:tc>
        <w:tc>
          <w:tcPr>
            <w:tcW w:w="580" w:type="dxa"/>
            <w:vAlign w:val="bottom"/>
          </w:tcPr>
          <w:p>
            <w:pPr>
              <w:jc w:val="right"/>
              <w:ind w:right="72"/>
              <w:spacing w:after="0" w:line="149" w:lineRule="exact"/>
              <w:rPr>
                <w:sz w:val="20"/>
                <w:szCs w:val="20"/>
                <w:color w:val="auto"/>
              </w:rPr>
            </w:pPr>
            <w:r>
              <w:rPr>
                <w:rFonts w:ascii="Arial" w:cs="Arial" w:eastAsia="Arial" w:hAnsi="Arial"/>
                <w:sz w:val="14"/>
                <w:szCs w:val="14"/>
                <w:color w:val="auto"/>
              </w:rPr>
              <w:t>—</w:t>
            </w:r>
          </w:p>
        </w:tc>
        <w:tc>
          <w:tcPr>
            <w:tcW w:w="200" w:type="dxa"/>
            <w:vAlign w:val="bottom"/>
          </w:tcPr>
          <w:p>
            <w:pPr>
              <w:spacing w:after="0"/>
              <w:rPr>
                <w:sz w:val="12"/>
                <w:szCs w:val="12"/>
                <w:color w:val="auto"/>
              </w:rPr>
            </w:pPr>
          </w:p>
        </w:tc>
        <w:tc>
          <w:tcPr>
            <w:tcW w:w="500" w:type="dxa"/>
            <w:vAlign w:val="bottom"/>
          </w:tcPr>
          <w:p>
            <w:pPr>
              <w:jc w:val="right"/>
              <w:ind w:right="92"/>
              <w:spacing w:after="0" w:line="149" w:lineRule="exact"/>
              <w:rPr>
                <w:sz w:val="20"/>
                <w:szCs w:val="20"/>
                <w:color w:val="auto"/>
              </w:rPr>
            </w:pPr>
            <w:r>
              <w:rPr>
                <w:rFonts w:ascii="Arial" w:cs="Arial" w:eastAsia="Arial" w:hAnsi="Arial"/>
                <w:sz w:val="14"/>
                <w:szCs w:val="14"/>
                <w:color w:val="auto"/>
              </w:rPr>
              <w:t>—</w:t>
            </w:r>
          </w:p>
        </w:tc>
        <w:tc>
          <w:tcPr>
            <w:tcW w:w="180" w:type="dxa"/>
            <w:vAlign w:val="bottom"/>
          </w:tcPr>
          <w:p>
            <w:pPr>
              <w:spacing w:after="0"/>
              <w:rPr>
                <w:sz w:val="12"/>
                <w:szCs w:val="12"/>
                <w:color w:val="auto"/>
              </w:rPr>
            </w:pPr>
          </w:p>
        </w:tc>
        <w:tc>
          <w:tcPr>
            <w:tcW w:w="500" w:type="dxa"/>
            <w:vAlign w:val="bottom"/>
          </w:tcPr>
          <w:p>
            <w:pPr>
              <w:jc w:val="right"/>
              <w:ind w:right="72"/>
              <w:spacing w:after="0" w:line="149" w:lineRule="exact"/>
              <w:rPr>
                <w:sz w:val="20"/>
                <w:szCs w:val="20"/>
                <w:color w:val="auto"/>
              </w:rPr>
            </w:pPr>
            <w:r>
              <w:rPr>
                <w:rFonts w:ascii="Arial" w:cs="Arial" w:eastAsia="Arial" w:hAnsi="Arial"/>
                <w:sz w:val="14"/>
                <w:szCs w:val="14"/>
                <w:color w:val="auto"/>
              </w:rPr>
              <w:t>—</w:t>
            </w:r>
          </w:p>
        </w:tc>
        <w:tc>
          <w:tcPr>
            <w:tcW w:w="200" w:type="dxa"/>
            <w:vAlign w:val="bottom"/>
          </w:tcPr>
          <w:p>
            <w:pPr>
              <w:spacing w:after="0"/>
              <w:rPr>
                <w:sz w:val="12"/>
                <w:szCs w:val="12"/>
                <w:color w:val="auto"/>
              </w:rPr>
            </w:pPr>
          </w:p>
        </w:tc>
        <w:tc>
          <w:tcPr>
            <w:tcW w:w="680" w:type="dxa"/>
            <w:vAlign w:val="bottom"/>
          </w:tcPr>
          <w:p>
            <w:pPr>
              <w:jc w:val="right"/>
              <w:ind w:right="92"/>
              <w:spacing w:after="0" w:line="149" w:lineRule="exact"/>
              <w:rPr>
                <w:sz w:val="20"/>
                <w:szCs w:val="20"/>
                <w:color w:val="auto"/>
              </w:rPr>
            </w:pPr>
            <w:r>
              <w:rPr>
                <w:rFonts w:ascii="Arial" w:cs="Arial" w:eastAsia="Arial" w:hAnsi="Arial"/>
                <w:sz w:val="14"/>
                <w:szCs w:val="14"/>
                <w:color w:val="auto"/>
              </w:rPr>
              <w:t>—</w:t>
            </w:r>
          </w:p>
        </w:tc>
        <w:tc>
          <w:tcPr>
            <w:tcW w:w="240" w:type="dxa"/>
            <w:vAlign w:val="bottom"/>
          </w:tcPr>
          <w:p>
            <w:pPr>
              <w:spacing w:after="0"/>
              <w:rPr>
                <w:sz w:val="12"/>
                <w:szCs w:val="12"/>
                <w:color w:val="auto"/>
              </w:rPr>
            </w:pPr>
          </w:p>
        </w:tc>
        <w:tc>
          <w:tcPr>
            <w:tcW w:w="560" w:type="dxa"/>
            <w:vAlign w:val="bottom"/>
          </w:tcPr>
          <w:p>
            <w:pPr>
              <w:jc w:val="right"/>
              <w:ind w:right="92"/>
              <w:spacing w:after="0" w:line="149" w:lineRule="exact"/>
              <w:rPr>
                <w:sz w:val="20"/>
                <w:szCs w:val="20"/>
                <w:color w:val="auto"/>
              </w:rPr>
            </w:pPr>
            <w:r>
              <w:rPr>
                <w:rFonts w:ascii="Arial" w:cs="Arial" w:eastAsia="Arial" w:hAnsi="Arial"/>
                <w:sz w:val="14"/>
                <w:szCs w:val="14"/>
                <w:color w:val="auto"/>
              </w:rPr>
              <w:t>34</w:t>
            </w:r>
          </w:p>
        </w:tc>
        <w:tc>
          <w:tcPr>
            <w:tcW w:w="200" w:type="dxa"/>
            <w:vAlign w:val="bottom"/>
          </w:tcPr>
          <w:p>
            <w:pPr>
              <w:spacing w:after="0"/>
              <w:rPr>
                <w:sz w:val="12"/>
                <w:szCs w:val="12"/>
                <w:color w:val="auto"/>
              </w:rPr>
            </w:pPr>
          </w:p>
        </w:tc>
        <w:tc>
          <w:tcPr>
            <w:tcW w:w="800" w:type="dxa"/>
            <w:vAlign w:val="bottom"/>
          </w:tcPr>
          <w:p>
            <w:pPr>
              <w:jc w:val="right"/>
              <w:ind w:right="92"/>
              <w:spacing w:after="0" w:line="149" w:lineRule="exact"/>
              <w:rPr>
                <w:sz w:val="20"/>
                <w:szCs w:val="20"/>
                <w:color w:val="auto"/>
              </w:rPr>
            </w:pPr>
            <w:r>
              <w:rPr>
                <w:rFonts w:ascii="Arial" w:cs="Arial" w:eastAsia="Arial" w:hAnsi="Arial"/>
                <w:sz w:val="14"/>
                <w:szCs w:val="14"/>
                <w:color w:val="auto"/>
              </w:rPr>
              <w:t>956</w:t>
            </w:r>
          </w:p>
        </w:tc>
        <w:tc>
          <w:tcPr>
            <w:tcW w:w="180" w:type="dxa"/>
            <w:vAlign w:val="bottom"/>
          </w:tcPr>
          <w:p>
            <w:pPr>
              <w:spacing w:after="0"/>
              <w:rPr>
                <w:sz w:val="12"/>
                <w:szCs w:val="12"/>
                <w:color w:val="auto"/>
              </w:rPr>
            </w:pPr>
          </w:p>
        </w:tc>
        <w:tc>
          <w:tcPr>
            <w:tcW w:w="900" w:type="dxa"/>
            <w:vAlign w:val="bottom"/>
          </w:tcPr>
          <w:p>
            <w:pPr>
              <w:jc w:val="right"/>
              <w:ind w:right="92"/>
              <w:spacing w:after="0" w:line="149" w:lineRule="exact"/>
              <w:rPr>
                <w:sz w:val="20"/>
                <w:szCs w:val="20"/>
                <w:color w:val="auto"/>
              </w:rPr>
            </w:pPr>
            <w:r>
              <w:rPr>
                <w:rFonts w:ascii="Arial" w:cs="Arial" w:eastAsia="Arial" w:hAnsi="Arial"/>
                <w:sz w:val="14"/>
                <w:szCs w:val="14"/>
                <w:color w:val="auto"/>
              </w:rPr>
              <w:t>—</w:t>
            </w:r>
          </w:p>
        </w:tc>
        <w:tc>
          <w:tcPr>
            <w:tcW w:w="180" w:type="dxa"/>
            <w:vAlign w:val="bottom"/>
          </w:tcPr>
          <w:p>
            <w:pPr>
              <w:spacing w:after="0"/>
              <w:rPr>
                <w:sz w:val="12"/>
                <w:szCs w:val="12"/>
                <w:color w:val="auto"/>
              </w:rPr>
            </w:pPr>
          </w:p>
        </w:tc>
        <w:tc>
          <w:tcPr>
            <w:tcW w:w="840" w:type="dxa"/>
            <w:vAlign w:val="bottom"/>
          </w:tcPr>
          <w:p>
            <w:pPr>
              <w:jc w:val="right"/>
              <w:spacing w:after="0" w:line="149" w:lineRule="exact"/>
              <w:rPr>
                <w:sz w:val="20"/>
                <w:szCs w:val="20"/>
                <w:color w:val="auto"/>
              </w:rPr>
            </w:pPr>
            <w:r>
              <w:rPr>
                <w:rFonts w:ascii="Arial" w:cs="Arial" w:eastAsia="Arial" w:hAnsi="Arial"/>
                <w:sz w:val="14"/>
                <w:szCs w:val="14"/>
                <w:b w:val="1"/>
                <w:bCs w:val="1"/>
                <w:color w:val="auto"/>
              </w:rPr>
              <w:t>990</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4240" w:type="dxa"/>
            <w:vAlign w:val="bottom"/>
          </w:tcPr>
          <w:p>
            <w:pPr>
              <w:ind w:left="200"/>
              <w:spacing w:after="0" w:line="149" w:lineRule="exact"/>
              <w:rPr>
                <w:sz w:val="20"/>
                <w:szCs w:val="20"/>
                <w:color w:val="auto"/>
              </w:rPr>
            </w:pPr>
            <w:r>
              <w:rPr>
                <w:rFonts w:ascii="Arial" w:cs="Arial" w:eastAsia="Arial" w:hAnsi="Arial"/>
                <w:sz w:val="14"/>
                <w:szCs w:val="14"/>
                <w:color w:val="auto"/>
              </w:rPr>
              <w:t>Equity in net income (losses) of affiliates</w:t>
            </w:r>
          </w:p>
        </w:tc>
        <w:tc>
          <w:tcPr>
            <w:tcW w:w="420" w:type="dxa"/>
            <w:vAlign w:val="bottom"/>
          </w:tcPr>
          <w:p>
            <w:pPr>
              <w:spacing w:after="0"/>
              <w:rPr>
                <w:sz w:val="12"/>
                <w:szCs w:val="12"/>
                <w:color w:val="auto"/>
              </w:rPr>
            </w:pPr>
          </w:p>
        </w:tc>
        <w:tc>
          <w:tcPr>
            <w:tcW w:w="580" w:type="dxa"/>
            <w:vAlign w:val="bottom"/>
          </w:tcPr>
          <w:p>
            <w:pPr>
              <w:jc w:val="right"/>
              <w:ind w:right="72"/>
              <w:spacing w:after="0" w:line="149" w:lineRule="exact"/>
              <w:rPr>
                <w:sz w:val="20"/>
                <w:szCs w:val="20"/>
                <w:color w:val="auto"/>
              </w:rPr>
            </w:pPr>
            <w:r>
              <w:rPr>
                <w:rFonts w:ascii="Arial" w:cs="Arial" w:eastAsia="Arial" w:hAnsi="Arial"/>
                <w:sz w:val="14"/>
                <w:szCs w:val="14"/>
                <w:color w:val="auto"/>
              </w:rPr>
              <w:t>2,867</w:t>
            </w:r>
          </w:p>
        </w:tc>
        <w:tc>
          <w:tcPr>
            <w:tcW w:w="200" w:type="dxa"/>
            <w:vAlign w:val="bottom"/>
          </w:tcPr>
          <w:p>
            <w:pPr>
              <w:spacing w:after="0"/>
              <w:rPr>
                <w:sz w:val="12"/>
                <w:szCs w:val="12"/>
                <w:color w:val="auto"/>
              </w:rPr>
            </w:pPr>
          </w:p>
        </w:tc>
        <w:tc>
          <w:tcPr>
            <w:tcW w:w="500" w:type="dxa"/>
            <w:vAlign w:val="bottom"/>
          </w:tcPr>
          <w:p>
            <w:pPr>
              <w:jc w:val="right"/>
              <w:ind w:right="92"/>
              <w:spacing w:after="0" w:line="149" w:lineRule="exact"/>
              <w:rPr>
                <w:sz w:val="20"/>
                <w:szCs w:val="20"/>
                <w:color w:val="auto"/>
              </w:rPr>
            </w:pPr>
            <w:r>
              <w:rPr>
                <w:rFonts w:ascii="Arial" w:cs="Arial" w:eastAsia="Arial" w:hAnsi="Arial"/>
                <w:sz w:val="14"/>
                <w:szCs w:val="14"/>
                <w:color w:val="auto"/>
                <w:w w:val="91"/>
              </w:rPr>
              <w:t>1,509</w:t>
            </w:r>
          </w:p>
        </w:tc>
        <w:tc>
          <w:tcPr>
            <w:tcW w:w="180" w:type="dxa"/>
            <w:vAlign w:val="bottom"/>
          </w:tcPr>
          <w:p>
            <w:pPr>
              <w:spacing w:after="0"/>
              <w:rPr>
                <w:sz w:val="12"/>
                <w:szCs w:val="12"/>
                <w:color w:val="auto"/>
              </w:rPr>
            </w:pPr>
          </w:p>
        </w:tc>
        <w:tc>
          <w:tcPr>
            <w:tcW w:w="500" w:type="dxa"/>
            <w:vAlign w:val="bottom"/>
          </w:tcPr>
          <w:p>
            <w:pPr>
              <w:jc w:val="right"/>
              <w:ind w:right="72"/>
              <w:spacing w:after="0" w:line="149" w:lineRule="exact"/>
              <w:rPr>
                <w:sz w:val="20"/>
                <w:szCs w:val="20"/>
                <w:color w:val="auto"/>
              </w:rPr>
            </w:pPr>
            <w:r>
              <w:rPr>
                <w:rFonts w:ascii="Arial" w:cs="Arial" w:eastAsia="Arial" w:hAnsi="Arial"/>
                <w:sz w:val="14"/>
                <w:szCs w:val="14"/>
                <w:color w:val="auto"/>
                <w:w w:val="96"/>
              </w:rPr>
              <w:t>1,900</w:t>
            </w:r>
          </w:p>
        </w:tc>
        <w:tc>
          <w:tcPr>
            <w:tcW w:w="200" w:type="dxa"/>
            <w:vAlign w:val="bottom"/>
          </w:tcPr>
          <w:p>
            <w:pPr>
              <w:spacing w:after="0"/>
              <w:rPr>
                <w:sz w:val="12"/>
                <w:szCs w:val="12"/>
                <w:color w:val="auto"/>
              </w:rPr>
            </w:pPr>
          </w:p>
        </w:tc>
        <w:tc>
          <w:tcPr>
            <w:tcW w:w="680" w:type="dxa"/>
            <w:vAlign w:val="bottom"/>
          </w:tcPr>
          <w:p>
            <w:pPr>
              <w:jc w:val="right"/>
              <w:ind w:right="92"/>
              <w:spacing w:after="0" w:line="149" w:lineRule="exact"/>
              <w:rPr>
                <w:sz w:val="20"/>
                <w:szCs w:val="20"/>
                <w:color w:val="auto"/>
              </w:rPr>
            </w:pPr>
            <w:r>
              <w:rPr>
                <w:rFonts w:ascii="Arial" w:cs="Arial" w:eastAsia="Arial" w:hAnsi="Arial"/>
                <w:sz w:val="14"/>
                <w:szCs w:val="14"/>
                <w:color w:val="auto"/>
              </w:rPr>
              <w:t>2,069</w:t>
            </w:r>
          </w:p>
        </w:tc>
        <w:tc>
          <w:tcPr>
            <w:tcW w:w="240" w:type="dxa"/>
            <w:vAlign w:val="bottom"/>
          </w:tcPr>
          <w:p>
            <w:pPr>
              <w:spacing w:after="0"/>
              <w:rPr>
                <w:sz w:val="12"/>
                <w:szCs w:val="12"/>
                <w:color w:val="auto"/>
              </w:rPr>
            </w:pPr>
          </w:p>
        </w:tc>
        <w:tc>
          <w:tcPr>
            <w:tcW w:w="560" w:type="dxa"/>
            <w:vAlign w:val="bottom"/>
          </w:tcPr>
          <w:p>
            <w:pPr>
              <w:jc w:val="right"/>
              <w:ind w:right="92"/>
              <w:spacing w:after="0" w:line="149" w:lineRule="exact"/>
              <w:rPr>
                <w:sz w:val="20"/>
                <w:szCs w:val="20"/>
                <w:color w:val="auto"/>
              </w:rPr>
            </w:pPr>
            <w:r>
              <w:rPr>
                <w:rFonts w:ascii="Arial" w:cs="Arial" w:eastAsia="Arial" w:hAnsi="Arial"/>
                <w:sz w:val="14"/>
                <w:szCs w:val="14"/>
                <w:color w:val="auto"/>
              </w:rPr>
              <w:t>1,266</w:t>
            </w:r>
          </w:p>
        </w:tc>
        <w:tc>
          <w:tcPr>
            <w:tcW w:w="200" w:type="dxa"/>
            <w:vAlign w:val="bottom"/>
          </w:tcPr>
          <w:p>
            <w:pPr>
              <w:spacing w:after="0"/>
              <w:rPr>
                <w:sz w:val="12"/>
                <w:szCs w:val="12"/>
                <w:color w:val="auto"/>
              </w:rPr>
            </w:pPr>
          </w:p>
        </w:tc>
        <w:tc>
          <w:tcPr>
            <w:tcW w:w="800" w:type="dxa"/>
            <w:vAlign w:val="bottom"/>
          </w:tcPr>
          <w:p>
            <w:pPr>
              <w:jc w:val="right"/>
              <w:ind w:right="52"/>
              <w:spacing w:after="0" w:line="149" w:lineRule="exact"/>
              <w:rPr>
                <w:sz w:val="20"/>
                <w:szCs w:val="20"/>
                <w:color w:val="auto"/>
              </w:rPr>
            </w:pPr>
            <w:r>
              <w:rPr>
                <w:rFonts w:ascii="Arial" w:cs="Arial" w:eastAsia="Arial" w:hAnsi="Arial"/>
                <w:sz w:val="14"/>
                <w:szCs w:val="14"/>
                <w:color w:val="auto"/>
              </w:rPr>
              <w:t>(138)</w:t>
            </w:r>
          </w:p>
        </w:tc>
        <w:tc>
          <w:tcPr>
            <w:tcW w:w="180" w:type="dxa"/>
            <w:vAlign w:val="bottom"/>
          </w:tcPr>
          <w:p>
            <w:pPr>
              <w:spacing w:after="0"/>
              <w:rPr>
                <w:sz w:val="12"/>
                <w:szCs w:val="12"/>
                <w:color w:val="auto"/>
              </w:rPr>
            </w:pPr>
          </w:p>
        </w:tc>
        <w:tc>
          <w:tcPr>
            <w:tcW w:w="900" w:type="dxa"/>
            <w:vAlign w:val="bottom"/>
          </w:tcPr>
          <w:p>
            <w:pPr>
              <w:jc w:val="right"/>
              <w:ind w:right="32"/>
              <w:spacing w:after="0" w:line="149" w:lineRule="exact"/>
              <w:rPr>
                <w:sz w:val="20"/>
                <w:szCs w:val="20"/>
                <w:color w:val="auto"/>
              </w:rPr>
            </w:pPr>
            <w:r>
              <w:rPr>
                <w:rFonts w:ascii="Arial" w:cs="Arial" w:eastAsia="Arial" w:hAnsi="Arial"/>
                <w:sz w:val="14"/>
                <w:szCs w:val="14"/>
                <w:color w:val="auto"/>
              </w:rPr>
              <w:t>(9,597)</w:t>
            </w:r>
          </w:p>
        </w:tc>
        <w:tc>
          <w:tcPr>
            <w:tcW w:w="180" w:type="dxa"/>
            <w:vAlign w:val="bottom"/>
          </w:tcPr>
          <w:p>
            <w:pPr>
              <w:spacing w:after="0"/>
              <w:rPr>
                <w:sz w:val="12"/>
                <w:szCs w:val="12"/>
                <w:color w:val="auto"/>
              </w:rPr>
            </w:pPr>
          </w:p>
        </w:tc>
        <w:tc>
          <w:tcPr>
            <w:tcW w:w="840" w:type="dxa"/>
            <w:vAlign w:val="bottom"/>
          </w:tcPr>
          <w:p>
            <w:pPr>
              <w:jc w:val="right"/>
              <w:spacing w:after="0" w:line="149" w:lineRule="exact"/>
              <w:rPr>
                <w:sz w:val="20"/>
                <w:szCs w:val="20"/>
                <w:color w:val="auto"/>
              </w:rPr>
            </w:pPr>
            <w:r>
              <w:rPr>
                <w:rFonts w:ascii="Arial" w:cs="Arial" w:eastAsia="Arial" w:hAnsi="Arial"/>
                <w:sz w:val="14"/>
                <w:szCs w:val="14"/>
                <w:b w:val="1"/>
                <w:bCs w:val="1"/>
                <w:color w:val="auto"/>
              </w:rPr>
              <w:t>(124)</w:t>
            </w:r>
          </w:p>
        </w:tc>
        <w:tc>
          <w:tcPr>
            <w:tcW w:w="0" w:type="dxa"/>
            <w:vAlign w:val="bottom"/>
          </w:tcPr>
          <w:p>
            <w:pPr>
              <w:spacing w:after="0"/>
              <w:rPr>
                <w:sz w:val="1"/>
                <w:szCs w:val="1"/>
                <w:color w:val="auto"/>
              </w:rPr>
            </w:pPr>
          </w:p>
        </w:tc>
      </w:tr>
      <w:tr>
        <w:trPr>
          <w:trHeight w:val="165"/>
        </w:trPr>
        <w:tc>
          <w:tcPr>
            <w:tcW w:w="20" w:type="dxa"/>
            <w:vAlign w:val="bottom"/>
          </w:tcPr>
          <w:p>
            <w:pPr>
              <w:spacing w:after="0"/>
              <w:rPr>
                <w:sz w:val="14"/>
                <w:szCs w:val="14"/>
                <w:color w:val="auto"/>
              </w:rPr>
            </w:pPr>
          </w:p>
        </w:tc>
        <w:tc>
          <w:tcPr>
            <w:tcW w:w="4240" w:type="dxa"/>
            <w:vAlign w:val="bottom"/>
            <w:tcBorders>
              <w:bottom w:val="single" w:sz="8" w:color="auto"/>
            </w:tcBorders>
          </w:tcPr>
          <w:p>
            <w:pPr>
              <w:ind w:left="200"/>
              <w:spacing w:after="0"/>
              <w:rPr>
                <w:sz w:val="20"/>
                <w:szCs w:val="20"/>
                <w:color w:val="auto"/>
              </w:rPr>
            </w:pPr>
            <w:r>
              <w:rPr>
                <w:rFonts w:ascii="Arial" w:cs="Arial" w:eastAsia="Arial" w:hAnsi="Arial"/>
                <w:sz w:val="14"/>
                <w:szCs w:val="14"/>
                <w:color w:val="auto"/>
              </w:rPr>
              <w:t>Other income (expense)</w:t>
            </w:r>
          </w:p>
        </w:tc>
        <w:tc>
          <w:tcPr>
            <w:tcW w:w="420" w:type="dxa"/>
            <w:vAlign w:val="bottom"/>
            <w:tcBorders>
              <w:bottom w:val="single" w:sz="8" w:color="auto"/>
            </w:tcBorders>
          </w:tcPr>
          <w:p>
            <w:pPr>
              <w:spacing w:after="0"/>
              <w:rPr>
                <w:sz w:val="14"/>
                <w:szCs w:val="14"/>
                <w:color w:val="auto"/>
              </w:rPr>
            </w:pPr>
          </w:p>
        </w:tc>
        <w:tc>
          <w:tcPr>
            <w:tcW w:w="580" w:type="dxa"/>
            <w:vAlign w:val="bottom"/>
            <w:tcBorders>
              <w:bottom w:val="single" w:sz="8" w:color="auto"/>
            </w:tcBorders>
          </w:tcPr>
          <w:p>
            <w:pPr>
              <w:jc w:val="right"/>
              <w:ind w:right="72"/>
              <w:spacing w:after="0"/>
              <w:rPr>
                <w:sz w:val="20"/>
                <w:szCs w:val="20"/>
                <w:color w:val="auto"/>
              </w:rPr>
            </w:pPr>
            <w:r>
              <w:rPr>
                <w:rFonts w:ascii="Arial" w:cs="Arial" w:eastAsia="Arial" w:hAnsi="Arial"/>
                <w:sz w:val="14"/>
                <w:szCs w:val="14"/>
                <w:color w:val="auto"/>
              </w:rPr>
              <w:t>—</w:t>
            </w:r>
          </w:p>
        </w:tc>
        <w:tc>
          <w:tcPr>
            <w:tcW w:w="200" w:type="dxa"/>
            <w:vAlign w:val="bottom"/>
            <w:tcBorders>
              <w:bottom w:val="single" w:sz="8" w:color="auto"/>
            </w:tcBorders>
          </w:tcPr>
          <w:p>
            <w:pPr>
              <w:spacing w:after="0"/>
              <w:rPr>
                <w:sz w:val="14"/>
                <w:szCs w:val="14"/>
                <w:color w:val="auto"/>
              </w:rPr>
            </w:pPr>
          </w:p>
        </w:tc>
        <w:tc>
          <w:tcPr>
            <w:tcW w:w="500" w:type="dxa"/>
            <w:vAlign w:val="bottom"/>
            <w:tcBorders>
              <w:bottom w:val="single" w:sz="8" w:color="auto"/>
            </w:tcBorders>
          </w:tcPr>
          <w:p>
            <w:pPr>
              <w:jc w:val="right"/>
              <w:ind w:right="92"/>
              <w:spacing w:after="0"/>
              <w:rPr>
                <w:sz w:val="20"/>
                <w:szCs w:val="20"/>
                <w:color w:val="auto"/>
              </w:rPr>
            </w:pPr>
            <w:r>
              <w:rPr>
                <w:rFonts w:ascii="Arial" w:cs="Arial" w:eastAsia="Arial" w:hAnsi="Arial"/>
                <w:sz w:val="14"/>
                <w:szCs w:val="14"/>
                <w:color w:val="auto"/>
              </w:rPr>
              <w:t>—</w:t>
            </w:r>
          </w:p>
        </w:tc>
        <w:tc>
          <w:tcPr>
            <w:tcW w:w="180" w:type="dxa"/>
            <w:vAlign w:val="bottom"/>
            <w:tcBorders>
              <w:bottom w:val="single" w:sz="8" w:color="auto"/>
            </w:tcBorders>
          </w:tcPr>
          <w:p>
            <w:pPr>
              <w:spacing w:after="0"/>
              <w:rPr>
                <w:sz w:val="14"/>
                <w:szCs w:val="14"/>
                <w:color w:val="auto"/>
              </w:rPr>
            </w:pPr>
          </w:p>
        </w:tc>
        <w:tc>
          <w:tcPr>
            <w:tcW w:w="500" w:type="dxa"/>
            <w:vAlign w:val="bottom"/>
            <w:tcBorders>
              <w:bottom w:val="single" w:sz="8" w:color="auto"/>
            </w:tcBorders>
          </w:tcPr>
          <w:p>
            <w:pPr>
              <w:jc w:val="right"/>
              <w:ind w:right="72"/>
              <w:spacing w:after="0"/>
              <w:rPr>
                <w:sz w:val="20"/>
                <w:szCs w:val="20"/>
                <w:color w:val="auto"/>
              </w:rPr>
            </w:pPr>
            <w:r>
              <w:rPr>
                <w:rFonts w:ascii="Arial" w:cs="Arial" w:eastAsia="Arial" w:hAnsi="Arial"/>
                <w:sz w:val="14"/>
                <w:szCs w:val="14"/>
                <w:color w:val="auto"/>
              </w:rPr>
              <w:t>—</w:t>
            </w:r>
          </w:p>
        </w:tc>
        <w:tc>
          <w:tcPr>
            <w:tcW w:w="200" w:type="dxa"/>
            <w:vAlign w:val="bottom"/>
            <w:tcBorders>
              <w:bottom w:val="single" w:sz="8" w:color="auto"/>
            </w:tcBorders>
          </w:tcPr>
          <w:p>
            <w:pPr>
              <w:spacing w:after="0"/>
              <w:rPr>
                <w:sz w:val="14"/>
                <w:szCs w:val="14"/>
                <w:color w:val="auto"/>
              </w:rPr>
            </w:pPr>
          </w:p>
        </w:tc>
        <w:tc>
          <w:tcPr>
            <w:tcW w:w="680" w:type="dxa"/>
            <w:vAlign w:val="bottom"/>
            <w:tcBorders>
              <w:bottom w:val="single" w:sz="8" w:color="auto"/>
            </w:tcBorders>
          </w:tcPr>
          <w:p>
            <w:pPr>
              <w:jc w:val="right"/>
              <w:ind w:right="92"/>
              <w:spacing w:after="0"/>
              <w:rPr>
                <w:sz w:val="20"/>
                <w:szCs w:val="20"/>
                <w:color w:val="auto"/>
              </w:rPr>
            </w:pPr>
            <w:r>
              <w:rPr>
                <w:rFonts w:ascii="Arial" w:cs="Arial" w:eastAsia="Arial" w:hAnsi="Arial"/>
                <w:sz w:val="14"/>
                <w:szCs w:val="14"/>
                <w:color w:val="auto"/>
              </w:rPr>
              <w:t>—</w:t>
            </w:r>
          </w:p>
        </w:tc>
        <w:tc>
          <w:tcPr>
            <w:tcW w:w="240" w:type="dxa"/>
            <w:vAlign w:val="bottom"/>
            <w:tcBorders>
              <w:bottom w:val="single" w:sz="8" w:color="auto"/>
            </w:tcBorders>
          </w:tcPr>
          <w:p>
            <w:pPr>
              <w:spacing w:after="0"/>
              <w:rPr>
                <w:sz w:val="14"/>
                <w:szCs w:val="14"/>
                <w:color w:val="auto"/>
              </w:rPr>
            </w:pPr>
          </w:p>
        </w:tc>
        <w:tc>
          <w:tcPr>
            <w:tcW w:w="560" w:type="dxa"/>
            <w:vAlign w:val="bottom"/>
            <w:tcBorders>
              <w:bottom w:val="single" w:sz="8" w:color="auto"/>
            </w:tcBorders>
          </w:tcPr>
          <w:p>
            <w:pPr>
              <w:jc w:val="right"/>
              <w:ind w:right="92"/>
              <w:spacing w:after="0"/>
              <w:rPr>
                <w:sz w:val="20"/>
                <w:szCs w:val="20"/>
                <w:color w:val="auto"/>
              </w:rPr>
            </w:pPr>
            <w:r>
              <w:rPr>
                <w:rFonts w:ascii="Arial" w:cs="Arial" w:eastAsia="Arial" w:hAnsi="Arial"/>
                <w:sz w:val="14"/>
                <w:szCs w:val="14"/>
                <w:color w:val="auto"/>
              </w:rPr>
              <w:t>—</w:t>
            </w:r>
          </w:p>
        </w:tc>
        <w:tc>
          <w:tcPr>
            <w:tcW w:w="200" w:type="dxa"/>
            <w:vAlign w:val="bottom"/>
            <w:tcBorders>
              <w:bottom w:val="single" w:sz="8" w:color="auto"/>
            </w:tcBorders>
          </w:tcPr>
          <w:p>
            <w:pPr>
              <w:spacing w:after="0"/>
              <w:rPr>
                <w:sz w:val="14"/>
                <w:szCs w:val="14"/>
                <w:color w:val="auto"/>
              </w:rPr>
            </w:pPr>
          </w:p>
        </w:tc>
        <w:tc>
          <w:tcPr>
            <w:tcW w:w="800" w:type="dxa"/>
            <w:vAlign w:val="bottom"/>
            <w:tcBorders>
              <w:bottom w:val="single" w:sz="8" w:color="auto"/>
            </w:tcBorders>
          </w:tcPr>
          <w:p>
            <w:pPr>
              <w:jc w:val="right"/>
              <w:ind w:right="92"/>
              <w:spacing w:after="0"/>
              <w:rPr>
                <w:sz w:val="20"/>
                <w:szCs w:val="20"/>
                <w:color w:val="auto"/>
              </w:rPr>
            </w:pPr>
            <w:r>
              <w:rPr>
                <w:rFonts w:ascii="Arial" w:cs="Arial" w:eastAsia="Arial" w:hAnsi="Arial"/>
                <w:sz w:val="14"/>
                <w:szCs w:val="14"/>
                <w:color w:val="auto"/>
              </w:rPr>
              <w:t>173</w:t>
            </w:r>
          </w:p>
        </w:tc>
        <w:tc>
          <w:tcPr>
            <w:tcW w:w="180" w:type="dxa"/>
            <w:vAlign w:val="bottom"/>
            <w:tcBorders>
              <w:bottom w:val="single" w:sz="8" w:color="auto"/>
            </w:tcBorders>
          </w:tcPr>
          <w:p>
            <w:pPr>
              <w:spacing w:after="0"/>
              <w:rPr>
                <w:sz w:val="14"/>
                <w:szCs w:val="14"/>
                <w:color w:val="auto"/>
              </w:rPr>
            </w:pPr>
          </w:p>
        </w:tc>
        <w:tc>
          <w:tcPr>
            <w:tcW w:w="900" w:type="dxa"/>
            <w:vAlign w:val="bottom"/>
            <w:tcBorders>
              <w:bottom w:val="single" w:sz="8" w:color="auto"/>
            </w:tcBorders>
          </w:tcPr>
          <w:p>
            <w:pPr>
              <w:jc w:val="right"/>
              <w:ind w:right="92"/>
              <w:spacing w:after="0"/>
              <w:rPr>
                <w:sz w:val="20"/>
                <w:szCs w:val="20"/>
                <w:color w:val="auto"/>
              </w:rPr>
            </w:pPr>
            <w:r>
              <w:rPr>
                <w:rFonts w:ascii="Arial" w:cs="Arial" w:eastAsia="Arial" w:hAnsi="Arial"/>
                <w:sz w:val="14"/>
                <w:szCs w:val="14"/>
                <w:color w:val="auto"/>
              </w:rPr>
              <w:t>—</w:t>
            </w:r>
          </w:p>
        </w:tc>
        <w:tc>
          <w:tcPr>
            <w:tcW w:w="180" w:type="dxa"/>
            <w:vAlign w:val="bottom"/>
            <w:tcBorders>
              <w:bottom w:val="single" w:sz="8" w:color="auto"/>
            </w:tcBorders>
          </w:tcPr>
          <w:p>
            <w:pPr>
              <w:spacing w:after="0"/>
              <w:rPr>
                <w:sz w:val="14"/>
                <w:szCs w:val="14"/>
                <w:color w:val="auto"/>
              </w:rPr>
            </w:pPr>
          </w:p>
        </w:tc>
        <w:tc>
          <w:tcPr>
            <w:tcW w:w="84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173</w:t>
            </w:r>
          </w:p>
        </w:tc>
        <w:tc>
          <w:tcPr>
            <w:tcW w:w="0" w:type="dxa"/>
            <w:vAlign w:val="bottom"/>
          </w:tcPr>
          <w:p>
            <w:pPr>
              <w:spacing w:after="0"/>
              <w:rPr>
                <w:sz w:val="1"/>
                <w:szCs w:val="1"/>
                <w:color w:val="auto"/>
              </w:rPr>
            </w:pPr>
          </w:p>
        </w:tc>
      </w:tr>
      <w:tr>
        <w:trPr>
          <w:trHeight w:val="172"/>
        </w:trPr>
        <w:tc>
          <w:tcPr>
            <w:tcW w:w="4260" w:type="dxa"/>
            <w:vAlign w:val="bottom"/>
            <w:gridSpan w:val="2"/>
            <w:vMerge w:val="restart"/>
          </w:tcPr>
          <w:p>
            <w:pPr>
              <w:spacing w:after="0"/>
              <w:rPr>
                <w:sz w:val="20"/>
                <w:szCs w:val="20"/>
                <w:color w:val="auto"/>
              </w:rPr>
            </w:pPr>
            <w:r>
              <w:rPr>
                <w:rFonts w:ascii="Arial" w:cs="Arial" w:eastAsia="Arial" w:hAnsi="Arial"/>
                <w:sz w:val="14"/>
                <w:szCs w:val="14"/>
                <w:color w:val="auto"/>
              </w:rPr>
              <w:t>Income (loss) from continuing operations before income taxes and</w:t>
            </w:r>
          </w:p>
        </w:tc>
        <w:tc>
          <w:tcPr>
            <w:tcW w:w="420" w:type="dxa"/>
            <w:vAlign w:val="bottom"/>
          </w:tcPr>
          <w:p>
            <w:pPr>
              <w:spacing w:after="0"/>
              <w:rPr>
                <w:sz w:val="14"/>
                <w:szCs w:val="14"/>
                <w:color w:val="auto"/>
              </w:rPr>
            </w:pPr>
          </w:p>
        </w:tc>
        <w:tc>
          <w:tcPr>
            <w:tcW w:w="580" w:type="dxa"/>
            <w:vAlign w:val="bottom"/>
          </w:tcPr>
          <w:p>
            <w:pPr>
              <w:jc w:val="right"/>
              <w:ind w:right="72"/>
              <w:spacing w:after="0"/>
              <w:rPr>
                <w:sz w:val="20"/>
                <w:szCs w:val="20"/>
                <w:color w:val="auto"/>
              </w:rPr>
            </w:pPr>
            <w:r>
              <w:rPr>
                <w:rFonts w:ascii="Arial" w:cs="Arial" w:eastAsia="Arial" w:hAnsi="Arial"/>
                <w:sz w:val="14"/>
                <w:szCs w:val="14"/>
                <w:color w:val="auto"/>
              </w:rPr>
              <w:t>2,091</w:t>
            </w:r>
          </w:p>
        </w:tc>
        <w:tc>
          <w:tcPr>
            <w:tcW w:w="200" w:type="dxa"/>
            <w:vAlign w:val="bottom"/>
          </w:tcPr>
          <w:p>
            <w:pPr>
              <w:spacing w:after="0"/>
              <w:rPr>
                <w:sz w:val="14"/>
                <w:szCs w:val="14"/>
                <w:color w:val="auto"/>
              </w:rPr>
            </w:pPr>
          </w:p>
        </w:tc>
        <w:tc>
          <w:tcPr>
            <w:tcW w:w="500" w:type="dxa"/>
            <w:vAlign w:val="bottom"/>
          </w:tcPr>
          <w:p>
            <w:pPr>
              <w:jc w:val="right"/>
              <w:ind w:right="92"/>
              <w:spacing w:after="0"/>
              <w:rPr>
                <w:sz w:val="20"/>
                <w:szCs w:val="20"/>
                <w:color w:val="auto"/>
              </w:rPr>
            </w:pPr>
            <w:r>
              <w:rPr>
                <w:rFonts w:ascii="Arial" w:cs="Arial" w:eastAsia="Arial" w:hAnsi="Arial"/>
                <w:sz w:val="14"/>
                <w:szCs w:val="14"/>
                <w:color w:val="auto"/>
                <w:w w:val="91"/>
              </w:rPr>
              <w:t>1,109</w:t>
            </w:r>
          </w:p>
        </w:tc>
        <w:tc>
          <w:tcPr>
            <w:tcW w:w="180" w:type="dxa"/>
            <w:vAlign w:val="bottom"/>
          </w:tcPr>
          <w:p>
            <w:pPr>
              <w:spacing w:after="0"/>
              <w:rPr>
                <w:sz w:val="14"/>
                <w:szCs w:val="14"/>
                <w:color w:val="auto"/>
              </w:rPr>
            </w:pPr>
          </w:p>
        </w:tc>
        <w:tc>
          <w:tcPr>
            <w:tcW w:w="500" w:type="dxa"/>
            <w:vAlign w:val="bottom"/>
          </w:tcPr>
          <w:p>
            <w:pPr>
              <w:jc w:val="right"/>
              <w:ind w:right="72"/>
              <w:spacing w:after="0"/>
              <w:rPr>
                <w:sz w:val="20"/>
                <w:szCs w:val="20"/>
                <w:color w:val="auto"/>
              </w:rPr>
            </w:pPr>
            <w:r>
              <w:rPr>
                <w:rFonts w:ascii="Arial" w:cs="Arial" w:eastAsia="Arial" w:hAnsi="Arial"/>
                <w:sz w:val="14"/>
                <w:szCs w:val="14"/>
                <w:color w:val="auto"/>
                <w:w w:val="96"/>
              </w:rPr>
              <w:t>1,575</w:t>
            </w:r>
          </w:p>
        </w:tc>
        <w:tc>
          <w:tcPr>
            <w:tcW w:w="200" w:type="dxa"/>
            <w:vAlign w:val="bottom"/>
          </w:tcPr>
          <w:p>
            <w:pPr>
              <w:spacing w:after="0"/>
              <w:rPr>
                <w:sz w:val="14"/>
                <w:szCs w:val="14"/>
                <w:color w:val="auto"/>
              </w:rPr>
            </w:pPr>
          </w:p>
        </w:tc>
        <w:tc>
          <w:tcPr>
            <w:tcW w:w="680" w:type="dxa"/>
            <w:vAlign w:val="bottom"/>
          </w:tcPr>
          <w:p>
            <w:pPr>
              <w:jc w:val="right"/>
              <w:ind w:right="92"/>
              <w:spacing w:after="0"/>
              <w:rPr>
                <w:sz w:val="20"/>
                <w:szCs w:val="20"/>
                <w:color w:val="auto"/>
              </w:rPr>
            </w:pPr>
            <w:r>
              <w:rPr>
                <w:rFonts w:ascii="Arial" w:cs="Arial" w:eastAsia="Arial" w:hAnsi="Arial"/>
                <w:sz w:val="14"/>
                <w:szCs w:val="14"/>
                <w:color w:val="auto"/>
              </w:rPr>
              <w:t>1,810</w:t>
            </w:r>
          </w:p>
        </w:tc>
        <w:tc>
          <w:tcPr>
            <w:tcW w:w="240" w:type="dxa"/>
            <w:vAlign w:val="bottom"/>
          </w:tcPr>
          <w:p>
            <w:pPr>
              <w:spacing w:after="0"/>
              <w:rPr>
                <w:sz w:val="14"/>
                <w:szCs w:val="14"/>
                <w:color w:val="auto"/>
              </w:rPr>
            </w:pPr>
          </w:p>
        </w:tc>
        <w:tc>
          <w:tcPr>
            <w:tcW w:w="560" w:type="dxa"/>
            <w:vAlign w:val="bottom"/>
          </w:tcPr>
          <w:p>
            <w:pPr>
              <w:jc w:val="right"/>
              <w:ind w:right="92"/>
              <w:spacing w:after="0"/>
              <w:rPr>
                <w:sz w:val="20"/>
                <w:szCs w:val="20"/>
                <w:color w:val="auto"/>
              </w:rPr>
            </w:pPr>
            <w:r>
              <w:rPr>
                <w:rFonts w:ascii="Arial" w:cs="Arial" w:eastAsia="Arial" w:hAnsi="Arial"/>
                <w:sz w:val="14"/>
                <w:szCs w:val="14"/>
                <w:color w:val="auto"/>
              </w:rPr>
              <w:t>1,232</w:t>
            </w:r>
          </w:p>
        </w:tc>
        <w:tc>
          <w:tcPr>
            <w:tcW w:w="200" w:type="dxa"/>
            <w:vAlign w:val="bottom"/>
          </w:tcPr>
          <w:p>
            <w:pPr>
              <w:spacing w:after="0"/>
              <w:rPr>
                <w:sz w:val="14"/>
                <w:szCs w:val="14"/>
                <w:color w:val="auto"/>
              </w:rPr>
            </w:pPr>
          </w:p>
        </w:tc>
        <w:tc>
          <w:tcPr>
            <w:tcW w:w="800" w:type="dxa"/>
            <w:vAlign w:val="bottom"/>
          </w:tcPr>
          <w:p>
            <w:pPr>
              <w:jc w:val="right"/>
              <w:ind w:right="92"/>
              <w:spacing w:after="0"/>
              <w:rPr>
                <w:sz w:val="20"/>
                <w:szCs w:val="20"/>
                <w:color w:val="auto"/>
              </w:rPr>
            </w:pPr>
            <w:r>
              <w:rPr>
                <w:rFonts w:ascii="Arial" w:cs="Arial" w:eastAsia="Arial" w:hAnsi="Arial"/>
                <w:sz w:val="14"/>
                <w:szCs w:val="14"/>
                <w:color w:val="auto"/>
              </w:rPr>
              <w:t>755</w:t>
            </w:r>
          </w:p>
        </w:tc>
        <w:tc>
          <w:tcPr>
            <w:tcW w:w="180" w:type="dxa"/>
            <w:vAlign w:val="bottom"/>
          </w:tcPr>
          <w:p>
            <w:pPr>
              <w:spacing w:after="0"/>
              <w:rPr>
                <w:sz w:val="14"/>
                <w:szCs w:val="14"/>
                <w:color w:val="auto"/>
              </w:rPr>
            </w:pPr>
          </w:p>
        </w:tc>
        <w:tc>
          <w:tcPr>
            <w:tcW w:w="900" w:type="dxa"/>
            <w:vAlign w:val="bottom"/>
          </w:tcPr>
          <w:p>
            <w:pPr>
              <w:jc w:val="right"/>
              <w:ind w:right="32"/>
              <w:spacing w:after="0"/>
              <w:rPr>
                <w:sz w:val="20"/>
                <w:szCs w:val="20"/>
                <w:color w:val="auto"/>
              </w:rPr>
            </w:pPr>
            <w:r>
              <w:rPr>
                <w:rFonts w:ascii="Arial" w:cs="Arial" w:eastAsia="Arial" w:hAnsi="Arial"/>
                <w:sz w:val="14"/>
                <w:szCs w:val="14"/>
                <w:color w:val="auto"/>
              </w:rPr>
              <w:t>(9,597)</w:t>
            </w:r>
          </w:p>
        </w:tc>
        <w:tc>
          <w:tcPr>
            <w:tcW w:w="180" w:type="dxa"/>
            <w:vAlign w:val="bottom"/>
          </w:tcPr>
          <w:p>
            <w:pPr>
              <w:spacing w:after="0"/>
              <w:rPr>
                <w:sz w:val="14"/>
                <w:szCs w:val="14"/>
                <w:color w:val="auto"/>
              </w:rPr>
            </w:pPr>
          </w:p>
        </w:tc>
        <w:tc>
          <w:tcPr>
            <w:tcW w:w="840" w:type="dxa"/>
            <w:vAlign w:val="bottom"/>
          </w:tcPr>
          <w:p>
            <w:pPr>
              <w:jc w:val="right"/>
              <w:spacing w:after="0"/>
              <w:rPr>
                <w:sz w:val="20"/>
                <w:szCs w:val="20"/>
                <w:color w:val="auto"/>
              </w:rPr>
            </w:pPr>
            <w:r>
              <w:rPr>
                <w:rFonts w:ascii="Arial" w:cs="Arial" w:eastAsia="Arial" w:hAnsi="Arial"/>
                <w:sz w:val="14"/>
                <w:szCs w:val="14"/>
                <w:b w:val="1"/>
                <w:bCs w:val="1"/>
                <w:color w:val="auto"/>
              </w:rPr>
              <w:t>(1,025)</w:t>
            </w:r>
          </w:p>
        </w:tc>
        <w:tc>
          <w:tcPr>
            <w:tcW w:w="0" w:type="dxa"/>
            <w:vAlign w:val="bottom"/>
          </w:tcPr>
          <w:p>
            <w:pPr>
              <w:spacing w:after="0"/>
              <w:rPr>
                <w:sz w:val="1"/>
                <w:szCs w:val="1"/>
                <w:color w:val="auto"/>
              </w:rPr>
            </w:pPr>
          </w:p>
        </w:tc>
      </w:tr>
      <w:tr>
        <w:trPr>
          <w:trHeight w:val="118"/>
        </w:trPr>
        <w:tc>
          <w:tcPr>
            <w:tcW w:w="4260" w:type="dxa"/>
            <w:vAlign w:val="bottom"/>
            <w:gridSpan w:val="2"/>
            <w:vMerge w:val="continue"/>
          </w:tcPr>
          <w:p>
            <w:pPr>
              <w:spacing w:after="0"/>
              <w:rPr>
                <w:sz w:val="10"/>
                <w:szCs w:val="10"/>
                <w:color w:val="auto"/>
              </w:rPr>
            </w:pPr>
          </w:p>
        </w:tc>
        <w:tc>
          <w:tcPr>
            <w:tcW w:w="420" w:type="dxa"/>
            <w:vAlign w:val="bottom"/>
          </w:tcPr>
          <w:p>
            <w:pPr>
              <w:spacing w:after="0"/>
              <w:rPr>
                <w:sz w:val="10"/>
                <w:szCs w:val="10"/>
                <w:color w:val="auto"/>
              </w:rPr>
            </w:pPr>
          </w:p>
        </w:tc>
        <w:tc>
          <w:tcPr>
            <w:tcW w:w="58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50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50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680" w:type="dxa"/>
            <w:vAlign w:val="bottom"/>
          </w:tcPr>
          <w:p>
            <w:pPr>
              <w:spacing w:after="0"/>
              <w:rPr>
                <w:sz w:val="10"/>
                <w:szCs w:val="10"/>
                <w:color w:val="auto"/>
              </w:rPr>
            </w:pPr>
          </w:p>
        </w:tc>
        <w:tc>
          <w:tcPr>
            <w:tcW w:w="240" w:type="dxa"/>
            <w:vAlign w:val="bottom"/>
          </w:tcPr>
          <w:p>
            <w:pPr>
              <w:spacing w:after="0"/>
              <w:rPr>
                <w:sz w:val="10"/>
                <w:szCs w:val="10"/>
                <w:color w:val="auto"/>
              </w:rPr>
            </w:pPr>
          </w:p>
        </w:tc>
        <w:tc>
          <w:tcPr>
            <w:tcW w:w="56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80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90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840" w:type="dxa"/>
            <w:vAlign w:val="bottom"/>
            <w:vMerge w:val="restart"/>
          </w:tcPr>
          <w:p>
            <w:pPr>
              <w:jc w:val="right"/>
              <w:spacing w:after="0"/>
              <w:rPr>
                <w:sz w:val="20"/>
                <w:szCs w:val="20"/>
                <w:color w:val="auto"/>
              </w:rPr>
            </w:pPr>
            <w:r>
              <w:rPr>
                <w:rFonts w:ascii="Arial" w:cs="Arial" w:eastAsia="Arial" w:hAnsi="Arial"/>
                <w:sz w:val="14"/>
                <w:szCs w:val="14"/>
                <w:b w:val="1"/>
                <w:bCs w:val="1"/>
                <w:color w:val="auto"/>
              </w:rPr>
              <w:t>3,594</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4240" w:type="dxa"/>
            <w:vAlign w:val="bottom"/>
          </w:tcPr>
          <w:p>
            <w:pPr>
              <w:ind w:left="200"/>
              <w:spacing w:after="0" w:line="133" w:lineRule="exact"/>
              <w:rPr>
                <w:sz w:val="20"/>
                <w:szCs w:val="20"/>
                <w:color w:val="auto"/>
              </w:rPr>
            </w:pPr>
            <w:r>
              <w:rPr>
                <w:rFonts w:ascii="Arial" w:cs="Arial" w:eastAsia="Arial" w:hAnsi="Arial"/>
                <w:sz w:val="14"/>
                <w:szCs w:val="14"/>
                <w:color w:val="auto"/>
              </w:rPr>
              <w:t>minority interest</w:t>
            </w:r>
          </w:p>
        </w:tc>
        <w:tc>
          <w:tcPr>
            <w:tcW w:w="420" w:type="dxa"/>
            <w:vAlign w:val="bottom"/>
          </w:tcPr>
          <w:p>
            <w:pPr>
              <w:spacing w:after="0"/>
              <w:rPr>
                <w:sz w:val="11"/>
                <w:szCs w:val="11"/>
                <w:color w:val="auto"/>
              </w:rPr>
            </w:pPr>
          </w:p>
        </w:tc>
        <w:tc>
          <w:tcPr>
            <w:tcW w:w="580" w:type="dxa"/>
            <w:vAlign w:val="bottom"/>
          </w:tcPr>
          <w:p>
            <w:pPr>
              <w:jc w:val="right"/>
              <w:ind w:right="72"/>
              <w:spacing w:after="0" w:line="133" w:lineRule="exact"/>
              <w:rPr>
                <w:sz w:val="20"/>
                <w:szCs w:val="20"/>
                <w:color w:val="auto"/>
              </w:rPr>
            </w:pPr>
            <w:r>
              <w:rPr>
                <w:rFonts w:ascii="Arial" w:cs="Arial" w:eastAsia="Arial" w:hAnsi="Arial"/>
                <w:sz w:val="14"/>
                <w:szCs w:val="14"/>
                <w:color w:val="auto"/>
              </w:rPr>
              <w:t>2,353</w:t>
            </w:r>
          </w:p>
        </w:tc>
        <w:tc>
          <w:tcPr>
            <w:tcW w:w="200" w:type="dxa"/>
            <w:vAlign w:val="bottom"/>
          </w:tcPr>
          <w:p>
            <w:pPr>
              <w:spacing w:after="0"/>
              <w:rPr>
                <w:sz w:val="11"/>
                <w:szCs w:val="11"/>
                <w:color w:val="auto"/>
              </w:rPr>
            </w:pPr>
          </w:p>
        </w:tc>
        <w:tc>
          <w:tcPr>
            <w:tcW w:w="500" w:type="dxa"/>
            <w:vAlign w:val="bottom"/>
          </w:tcPr>
          <w:p>
            <w:pPr>
              <w:jc w:val="right"/>
              <w:ind w:right="92"/>
              <w:spacing w:after="0" w:line="133" w:lineRule="exact"/>
              <w:rPr>
                <w:sz w:val="20"/>
                <w:szCs w:val="20"/>
                <w:color w:val="auto"/>
              </w:rPr>
            </w:pPr>
            <w:r>
              <w:rPr>
                <w:rFonts w:ascii="Arial" w:cs="Arial" w:eastAsia="Arial" w:hAnsi="Arial"/>
                <w:sz w:val="14"/>
                <w:szCs w:val="14"/>
                <w:color w:val="auto"/>
                <w:w w:val="91"/>
              </w:rPr>
              <w:t>1,109</w:t>
            </w:r>
          </w:p>
        </w:tc>
        <w:tc>
          <w:tcPr>
            <w:tcW w:w="180" w:type="dxa"/>
            <w:vAlign w:val="bottom"/>
          </w:tcPr>
          <w:p>
            <w:pPr>
              <w:spacing w:after="0"/>
              <w:rPr>
                <w:sz w:val="11"/>
                <w:szCs w:val="11"/>
                <w:color w:val="auto"/>
              </w:rPr>
            </w:pPr>
          </w:p>
        </w:tc>
        <w:tc>
          <w:tcPr>
            <w:tcW w:w="500" w:type="dxa"/>
            <w:vAlign w:val="bottom"/>
          </w:tcPr>
          <w:p>
            <w:pPr>
              <w:jc w:val="right"/>
              <w:ind w:right="72"/>
              <w:spacing w:after="0" w:line="133" w:lineRule="exact"/>
              <w:rPr>
                <w:sz w:val="20"/>
                <w:szCs w:val="20"/>
                <w:color w:val="auto"/>
              </w:rPr>
            </w:pPr>
            <w:r>
              <w:rPr>
                <w:rFonts w:ascii="Arial" w:cs="Arial" w:eastAsia="Arial" w:hAnsi="Arial"/>
                <w:sz w:val="14"/>
                <w:szCs w:val="14"/>
                <w:color w:val="auto"/>
                <w:w w:val="96"/>
              </w:rPr>
              <w:t>1,575</w:t>
            </w:r>
          </w:p>
        </w:tc>
        <w:tc>
          <w:tcPr>
            <w:tcW w:w="200" w:type="dxa"/>
            <w:vAlign w:val="bottom"/>
          </w:tcPr>
          <w:p>
            <w:pPr>
              <w:spacing w:after="0"/>
              <w:rPr>
                <w:sz w:val="11"/>
                <w:szCs w:val="11"/>
                <w:color w:val="auto"/>
              </w:rPr>
            </w:pPr>
          </w:p>
        </w:tc>
        <w:tc>
          <w:tcPr>
            <w:tcW w:w="680" w:type="dxa"/>
            <w:vAlign w:val="bottom"/>
          </w:tcPr>
          <w:p>
            <w:pPr>
              <w:jc w:val="right"/>
              <w:ind w:right="92"/>
              <w:spacing w:after="0" w:line="133" w:lineRule="exact"/>
              <w:rPr>
                <w:sz w:val="20"/>
                <w:szCs w:val="20"/>
                <w:color w:val="auto"/>
              </w:rPr>
            </w:pPr>
            <w:r>
              <w:rPr>
                <w:rFonts w:ascii="Arial" w:cs="Arial" w:eastAsia="Arial" w:hAnsi="Arial"/>
                <w:sz w:val="14"/>
                <w:szCs w:val="14"/>
                <w:color w:val="auto"/>
              </w:rPr>
              <w:t>1,810</w:t>
            </w:r>
          </w:p>
        </w:tc>
        <w:tc>
          <w:tcPr>
            <w:tcW w:w="240" w:type="dxa"/>
            <w:vAlign w:val="bottom"/>
          </w:tcPr>
          <w:p>
            <w:pPr>
              <w:spacing w:after="0"/>
              <w:rPr>
                <w:sz w:val="11"/>
                <w:szCs w:val="11"/>
                <w:color w:val="auto"/>
              </w:rPr>
            </w:pPr>
          </w:p>
        </w:tc>
        <w:tc>
          <w:tcPr>
            <w:tcW w:w="560" w:type="dxa"/>
            <w:vAlign w:val="bottom"/>
          </w:tcPr>
          <w:p>
            <w:pPr>
              <w:jc w:val="right"/>
              <w:ind w:right="92"/>
              <w:spacing w:after="0" w:line="133" w:lineRule="exact"/>
              <w:rPr>
                <w:sz w:val="20"/>
                <w:szCs w:val="20"/>
                <w:color w:val="auto"/>
              </w:rPr>
            </w:pPr>
            <w:r>
              <w:rPr>
                <w:rFonts w:ascii="Arial" w:cs="Arial" w:eastAsia="Arial" w:hAnsi="Arial"/>
                <w:sz w:val="14"/>
                <w:szCs w:val="14"/>
                <w:color w:val="auto"/>
              </w:rPr>
              <w:t>1,218</w:t>
            </w:r>
          </w:p>
        </w:tc>
        <w:tc>
          <w:tcPr>
            <w:tcW w:w="200" w:type="dxa"/>
            <w:vAlign w:val="bottom"/>
          </w:tcPr>
          <w:p>
            <w:pPr>
              <w:spacing w:after="0"/>
              <w:rPr>
                <w:sz w:val="11"/>
                <w:szCs w:val="11"/>
                <w:color w:val="auto"/>
              </w:rPr>
            </w:pPr>
          </w:p>
        </w:tc>
        <w:tc>
          <w:tcPr>
            <w:tcW w:w="800" w:type="dxa"/>
            <w:vAlign w:val="bottom"/>
          </w:tcPr>
          <w:p>
            <w:pPr>
              <w:jc w:val="right"/>
              <w:ind w:right="92"/>
              <w:spacing w:after="0" w:line="133" w:lineRule="exact"/>
              <w:rPr>
                <w:sz w:val="20"/>
                <w:szCs w:val="20"/>
                <w:color w:val="auto"/>
              </w:rPr>
            </w:pPr>
            <w:r>
              <w:rPr>
                <w:rFonts w:ascii="Arial" w:cs="Arial" w:eastAsia="Arial" w:hAnsi="Arial"/>
                <w:sz w:val="14"/>
                <w:szCs w:val="14"/>
                <w:color w:val="auto"/>
              </w:rPr>
              <w:t>5,126</w:t>
            </w:r>
          </w:p>
        </w:tc>
        <w:tc>
          <w:tcPr>
            <w:tcW w:w="180" w:type="dxa"/>
            <w:vAlign w:val="bottom"/>
          </w:tcPr>
          <w:p>
            <w:pPr>
              <w:spacing w:after="0"/>
              <w:rPr>
                <w:sz w:val="11"/>
                <w:szCs w:val="11"/>
                <w:color w:val="auto"/>
              </w:rPr>
            </w:pPr>
          </w:p>
        </w:tc>
        <w:tc>
          <w:tcPr>
            <w:tcW w:w="900" w:type="dxa"/>
            <w:vAlign w:val="bottom"/>
          </w:tcPr>
          <w:p>
            <w:pPr>
              <w:jc w:val="right"/>
              <w:ind w:right="32"/>
              <w:spacing w:after="0" w:line="133" w:lineRule="exact"/>
              <w:rPr>
                <w:sz w:val="20"/>
                <w:szCs w:val="20"/>
                <w:color w:val="auto"/>
              </w:rPr>
            </w:pPr>
            <w:r>
              <w:rPr>
                <w:rFonts w:ascii="Arial" w:cs="Arial" w:eastAsia="Arial" w:hAnsi="Arial"/>
                <w:sz w:val="14"/>
                <w:szCs w:val="14"/>
                <w:color w:val="auto"/>
              </w:rPr>
              <w:t>(9,597)</w:t>
            </w:r>
          </w:p>
        </w:tc>
        <w:tc>
          <w:tcPr>
            <w:tcW w:w="180" w:type="dxa"/>
            <w:vAlign w:val="bottom"/>
          </w:tcPr>
          <w:p>
            <w:pPr>
              <w:spacing w:after="0"/>
              <w:rPr>
                <w:sz w:val="11"/>
                <w:szCs w:val="11"/>
                <w:color w:val="auto"/>
              </w:rPr>
            </w:pPr>
          </w:p>
        </w:tc>
        <w:tc>
          <w:tcPr>
            <w:tcW w:w="840" w:type="dxa"/>
            <w:vAlign w:val="bottom"/>
            <w:vMerge w:val="continue"/>
          </w:tcPr>
          <w:p>
            <w:pPr>
              <w:spacing w:after="0"/>
              <w:rPr>
                <w:sz w:val="11"/>
                <w:szCs w:val="11"/>
                <w:color w:val="auto"/>
              </w:rPr>
            </w:pPr>
          </w:p>
        </w:tc>
        <w:tc>
          <w:tcPr>
            <w:tcW w:w="0" w:type="dxa"/>
            <w:vAlign w:val="bottom"/>
          </w:tcPr>
          <w:p>
            <w:pPr>
              <w:spacing w:after="0"/>
              <w:rPr>
                <w:sz w:val="1"/>
                <w:szCs w:val="1"/>
                <w:color w:val="auto"/>
              </w:rPr>
            </w:pPr>
          </w:p>
        </w:tc>
      </w:tr>
      <w:tr>
        <w:trPr>
          <w:trHeight w:val="165"/>
        </w:trPr>
        <w:tc>
          <w:tcPr>
            <w:tcW w:w="4260" w:type="dxa"/>
            <w:vAlign w:val="bottom"/>
            <w:tcBorders>
              <w:bottom w:val="single" w:sz="8" w:color="auto"/>
            </w:tcBorders>
            <w:gridSpan w:val="2"/>
          </w:tcPr>
          <w:p>
            <w:pPr>
              <w:spacing w:after="0"/>
              <w:rPr>
                <w:sz w:val="20"/>
                <w:szCs w:val="20"/>
                <w:color w:val="auto"/>
              </w:rPr>
            </w:pPr>
            <w:r>
              <w:rPr>
                <w:rFonts w:ascii="Arial" w:cs="Arial" w:eastAsia="Arial" w:hAnsi="Arial"/>
                <w:sz w:val="14"/>
                <w:szCs w:val="14"/>
                <w:color w:val="auto"/>
              </w:rPr>
              <w:t>Income tax (expense) benefit</w:t>
            </w:r>
          </w:p>
        </w:tc>
        <w:tc>
          <w:tcPr>
            <w:tcW w:w="420" w:type="dxa"/>
            <w:vAlign w:val="bottom"/>
            <w:tcBorders>
              <w:bottom w:val="single" w:sz="8" w:color="auto"/>
            </w:tcBorders>
          </w:tcPr>
          <w:p>
            <w:pPr>
              <w:spacing w:after="0"/>
              <w:rPr>
                <w:sz w:val="14"/>
                <w:szCs w:val="14"/>
                <w:color w:val="auto"/>
              </w:rPr>
            </w:pPr>
          </w:p>
        </w:tc>
        <w:tc>
          <w:tcPr>
            <w:tcW w:w="580" w:type="dxa"/>
            <w:vAlign w:val="bottom"/>
            <w:tcBorders>
              <w:bottom w:val="single" w:sz="8" w:color="auto"/>
            </w:tcBorders>
          </w:tcPr>
          <w:p>
            <w:pPr>
              <w:jc w:val="right"/>
              <w:ind w:right="72"/>
              <w:spacing w:after="0"/>
              <w:rPr>
                <w:sz w:val="20"/>
                <w:szCs w:val="20"/>
                <w:color w:val="auto"/>
              </w:rPr>
            </w:pPr>
            <w:r>
              <w:rPr>
                <w:rFonts w:ascii="Arial" w:cs="Arial" w:eastAsia="Arial" w:hAnsi="Arial"/>
                <w:sz w:val="14"/>
                <w:szCs w:val="14"/>
                <w:color w:val="auto"/>
              </w:rPr>
              <w:t>180</w:t>
            </w:r>
          </w:p>
        </w:tc>
        <w:tc>
          <w:tcPr>
            <w:tcW w:w="200" w:type="dxa"/>
            <w:vAlign w:val="bottom"/>
            <w:tcBorders>
              <w:bottom w:val="single" w:sz="8" w:color="auto"/>
            </w:tcBorders>
          </w:tcPr>
          <w:p>
            <w:pPr>
              <w:spacing w:after="0"/>
              <w:rPr>
                <w:sz w:val="14"/>
                <w:szCs w:val="14"/>
                <w:color w:val="auto"/>
              </w:rPr>
            </w:pPr>
          </w:p>
        </w:tc>
        <w:tc>
          <w:tcPr>
            <w:tcW w:w="500" w:type="dxa"/>
            <w:vAlign w:val="bottom"/>
            <w:tcBorders>
              <w:bottom w:val="single" w:sz="8" w:color="auto"/>
            </w:tcBorders>
          </w:tcPr>
          <w:p>
            <w:pPr>
              <w:jc w:val="right"/>
              <w:ind w:right="92"/>
              <w:spacing w:after="0"/>
              <w:rPr>
                <w:sz w:val="20"/>
                <w:szCs w:val="20"/>
                <w:color w:val="auto"/>
              </w:rPr>
            </w:pPr>
            <w:r>
              <w:rPr>
                <w:rFonts w:ascii="Arial" w:cs="Arial" w:eastAsia="Arial" w:hAnsi="Arial"/>
                <w:sz w:val="14"/>
                <w:szCs w:val="14"/>
                <w:color w:val="auto"/>
              </w:rPr>
              <w:t>143</w:t>
            </w:r>
          </w:p>
        </w:tc>
        <w:tc>
          <w:tcPr>
            <w:tcW w:w="180" w:type="dxa"/>
            <w:vAlign w:val="bottom"/>
            <w:tcBorders>
              <w:bottom w:val="single" w:sz="8" w:color="auto"/>
            </w:tcBorders>
          </w:tcPr>
          <w:p>
            <w:pPr>
              <w:spacing w:after="0"/>
              <w:rPr>
                <w:sz w:val="14"/>
                <w:szCs w:val="14"/>
                <w:color w:val="auto"/>
              </w:rPr>
            </w:pPr>
          </w:p>
        </w:tc>
        <w:tc>
          <w:tcPr>
            <w:tcW w:w="500" w:type="dxa"/>
            <w:vAlign w:val="bottom"/>
            <w:tcBorders>
              <w:bottom w:val="single" w:sz="8" w:color="auto"/>
            </w:tcBorders>
          </w:tcPr>
          <w:p>
            <w:pPr>
              <w:jc w:val="right"/>
              <w:ind w:right="72"/>
              <w:spacing w:after="0"/>
              <w:rPr>
                <w:sz w:val="20"/>
                <w:szCs w:val="20"/>
                <w:color w:val="auto"/>
              </w:rPr>
            </w:pPr>
            <w:r>
              <w:rPr>
                <w:rFonts w:ascii="Arial" w:cs="Arial" w:eastAsia="Arial" w:hAnsi="Arial"/>
                <w:sz w:val="14"/>
                <w:szCs w:val="14"/>
                <w:color w:val="auto"/>
              </w:rPr>
              <w:t>114</w:t>
            </w:r>
          </w:p>
        </w:tc>
        <w:tc>
          <w:tcPr>
            <w:tcW w:w="200" w:type="dxa"/>
            <w:vAlign w:val="bottom"/>
            <w:tcBorders>
              <w:bottom w:val="single" w:sz="8" w:color="auto"/>
            </w:tcBorders>
          </w:tcPr>
          <w:p>
            <w:pPr>
              <w:spacing w:after="0"/>
              <w:rPr>
                <w:sz w:val="14"/>
                <w:szCs w:val="14"/>
                <w:color w:val="auto"/>
              </w:rPr>
            </w:pPr>
          </w:p>
        </w:tc>
        <w:tc>
          <w:tcPr>
            <w:tcW w:w="680" w:type="dxa"/>
            <w:vAlign w:val="bottom"/>
            <w:tcBorders>
              <w:bottom w:val="single" w:sz="8" w:color="auto"/>
            </w:tcBorders>
          </w:tcPr>
          <w:p>
            <w:pPr>
              <w:jc w:val="right"/>
              <w:ind w:right="92"/>
              <w:spacing w:after="0"/>
              <w:rPr>
                <w:sz w:val="20"/>
                <w:szCs w:val="20"/>
                <w:color w:val="auto"/>
              </w:rPr>
            </w:pPr>
            <w:r>
              <w:rPr>
                <w:rFonts w:ascii="Arial" w:cs="Arial" w:eastAsia="Arial" w:hAnsi="Arial"/>
                <w:sz w:val="14"/>
                <w:szCs w:val="14"/>
                <w:color w:val="auto"/>
              </w:rPr>
              <w:t>90</w:t>
            </w:r>
          </w:p>
        </w:tc>
        <w:tc>
          <w:tcPr>
            <w:tcW w:w="240" w:type="dxa"/>
            <w:vAlign w:val="bottom"/>
            <w:tcBorders>
              <w:bottom w:val="single" w:sz="8" w:color="auto"/>
            </w:tcBorders>
          </w:tcPr>
          <w:p>
            <w:pPr>
              <w:spacing w:after="0"/>
              <w:rPr>
                <w:sz w:val="14"/>
                <w:szCs w:val="14"/>
                <w:color w:val="auto"/>
              </w:rPr>
            </w:pPr>
          </w:p>
        </w:tc>
        <w:tc>
          <w:tcPr>
            <w:tcW w:w="560" w:type="dxa"/>
            <w:vAlign w:val="bottom"/>
            <w:tcBorders>
              <w:bottom w:val="single" w:sz="8" w:color="auto"/>
            </w:tcBorders>
          </w:tcPr>
          <w:p>
            <w:pPr>
              <w:jc w:val="right"/>
              <w:ind w:right="92"/>
              <w:spacing w:after="0"/>
              <w:rPr>
                <w:sz w:val="20"/>
                <w:szCs w:val="20"/>
                <w:color w:val="auto"/>
              </w:rPr>
            </w:pPr>
            <w:r>
              <w:rPr>
                <w:rFonts w:ascii="Arial" w:cs="Arial" w:eastAsia="Arial" w:hAnsi="Arial"/>
                <w:sz w:val="14"/>
                <w:szCs w:val="14"/>
                <w:color w:val="auto"/>
              </w:rPr>
              <w:t>26</w:t>
            </w:r>
          </w:p>
        </w:tc>
        <w:tc>
          <w:tcPr>
            <w:tcW w:w="200" w:type="dxa"/>
            <w:vAlign w:val="bottom"/>
            <w:tcBorders>
              <w:bottom w:val="single" w:sz="8" w:color="auto"/>
            </w:tcBorders>
          </w:tcPr>
          <w:p>
            <w:pPr>
              <w:spacing w:after="0"/>
              <w:rPr>
                <w:sz w:val="14"/>
                <w:szCs w:val="14"/>
                <w:color w:val="auto"/>
              </w:rPr>
            </w:pPr>
          </w:p>
        </w:tc>
        <w:tc>
          <w:tcPr>
            <w:tcW w:w="800" w:type="dxa"/>
            <w:vAlign w:val="bottom"/>
            <w:tcBorders>
              <w:bottom w:val="single" w:sz="8" w:color="auto"/>
            </w:tcBorders>
          </w:tcPr>
          <w:p>
            <w:pPr>
              <w:jc w:val="right"/>
              <w:ind w:right="52"/>
              <w:spacing w:after="0"/>
              <w:rPr>
                <w:sz w:val="20"/>
                <w:szCs w:val="20"/>
                <w:color w:val="auto"/>
              </w:rPr>
            </w:pPr>
            <w:r>
              <w:rPr>
                <w:rFonts w:ascii="Arial" w:cs="Arial" w:eastAsia="Arial" w:hAnsi="Arial"/>
                <w:sz w:val="14"/>
                <w:szCs w:val="14"/>
                <w:color w:val="auto"/>
              </w:rPr>
              <w:t>(1,900)</w:t>
            </w:r>
          </w:p>
        </w:tc>
        <w:tc>
          <w:tcPr>
            <w:tcW w:w="180" w:type="dxa"/>
            <w:vAlign w:val="bottom"/>
            <w:tcBorders>
              <w:bottom w:val="single" w:sz="8" w:color="auto"/>
            </w:tcBorders>
          </w:tcPr>
          <w:p>
            <w:pPr>
              <w:spacing w:after="0"/>
              <w:rPr>
                <w:sz w:val="14"/>
                <w:szCs w:val="14"/>
                <w:color w:val="auto"/>
              </w:rPr>
            </w:pPr>
          </w:p>
        </w:tc>
        <w:tc>
          <w:tcPr>
            <w:tcW w:w="900" w:type="dxa"/>
            <w:vAlign w:val="bottom"/>
            <w:tcBorders>
              <w:bottom w:val="single" w:sz="8" w:color="auto"/>
            </w:tcBorders>
          </w:tcPr>
          <w:p>
            <w:pPr>
              <w:jc w:val="right"/>
              <w:ind w:right="92"/>
              <w:spacing w:after="0"/>
              <w:rPr>
                <w:sz w:val="20"/>
                <w:szCs w:val="20"/>
                <w:color w:val="auto"/>
              </w:rPr>
            </w:pPr>
            <w:r>
              <w:rPr>
                <w:rFonts w:ascii="Arial" w:cs="Arial" w:eastAsia="Arial" w:hAnsi="Arial"/>
                <w:sz w:val="14"/>
                <w:szCs w:val="14"/>
                <w:color w:val="auto"/>
              </w:rPr>
              <w:t>—</w:t>
            </w:r>
          </w:p>
        </w:tc>
        <w:tc>
          <w:tcPr>
            <w:tcW w:w="180" w:type="dxa"/>
            <w:vAlign w:val="bottom"/>
            <w:tcBorders>
              <w:bottom w:val="single" w:sz="8" w:color="auto"/>
            </w:tcBorders>
          </w:tcPr>
          <w:p>
            <w:pPr>
              <w:spacing w:after="0"/>
              <w:rPr>
                <w:sz w:val="14"/>
                <w:szCs w:val="14"/>
                <w:color w:val="auto"/>
              </w:rPr>
            </w:pPr>
          </w:p>
        </w:tc>
        <w:tc>
          <w:tcPr>
            <w:tcW w:w="84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(1,347)</w:t>
            </w:r>
          </w:p>
        </w:tc>
        <w:tc>
          <w:tcPr>
            <w:tcW w:w="0" w:type="dxa"/>
            <w:vAlign w:val="bottom"/>
          </w:tcPr>
          <w:p>
            <w:pPr>
              <w:spacing w:after="0"/>
              <w:rPr>
                <w:sz w:val="1"/>
                <w:szCs w:val="1"/>
                <w:color w:val="auto"/>
              </w:rPr>
            </w:pPr>
          </w:p>
        </w:tc>
      </w:tr>
      <w:tr>
        <w:trPr>
          <w:trHeight w:val="125"/>
        </w:trPr>
        <w:tc>
          <w:tcPr>
            <w:tcW w:w="4260" w:type="dxa"/>
            <w:vAlign w:val="bottom"/>
            <w:gridSpan w:val="2"/>
          </w:tcPr>
          <w:p>
            <w:pPr>
              <w:spacing w:after="0" w:line="125" w:lineRule="exact"/>
              <w:rPr>
                <w:sz w:val="20"/>
                <w:szCs w:val="20"/>
                <w:color w:val="auto"/>
              </w:rPr>
            </w:pPr>
            <w:r>
              <w:rPr>
                <w:rFonts w:ascii="Arial" w:cs="Arial" w:eastAsia="Arial" w:hAnsi="Arial"/>
                <w:sz w:val="14"/>
                <w:szCs w:val="14"/>
                <w:color w:val="auto"/>
              </w:rPr>
              <w:t>Income (loss) from continuing operations before minority interest</w:t>
            </w:r>
          </w:p>
        </w:tc>
        <w:tc>
          <w:tcPr>
            <w:tcW w:w="420" w:type="dxa"/>
            <w:vAlign w:val="bottom"/>
          </w:tcPr>
          <w:p>
            <w:pPr>
              <w:spacing w:after="0"/>
              <w:rPr>
                <w:sz w:val="10"/>
                <w:szCs w:val="10"/>
                <w:color w:val="auto"/>
              </w:rPr>
            </w:pPr>
          </w:p>
        </w:tc>
        <w:tc>
          <w:tcPr>
            <w:tcW w:w="580" w:type="dxa"/>
            <w:vAlign w:val="bottom"/>
          </w:tcPr>
          <w:p>
            <w:pPr>
              <w:jc w:val="right"/>
              <w:ind w:right="72"/>
              <w:spacing w:after="0" w:line="125" w:lineRule="exact"/>
              <w:rPr>
                <w:sz w:val="20"/>
                <w:szCs w:val="20"/>
                <w:color w:val="auto"/>
              </w:rPr>
            </w:pPr>
            <w:r>
              <w:rPr>
                <w:rFonts w:ascii="Arial" w:cs="Arial" w:eastAsia="Arial" w:hAnsi="Arial"/>
                <w:sz w:val="14"/>
                <w:szCs w:val="14"/>
                <w:color w:val="auto"/>
              </w:rPr>
              <w:t>2,533</w:t>
            </w:r>
          </w:p>
        </w:tc>
        <w:tc>
          <w:tcPr>
            <w:tcW w:w="200" w:type="dxa"/>
            <w:vAlign w:val="bottom"/>
          </w:tcPr>
          <w:p>
            <w:pPr>
              <w:spacing w:after="0"/>
              <w:rPr>
                <w:sz w:val="10"/>
                <w:szCs w:val="10"/>
                <w:color w:val="auto"/>
              </w:rPr>
            </w:pPr>
          </w:p>
        </w:tc>
        <w:tc>
          <w:tcPr>
            <w:tcW w:w="500" w:type="dxa"/>
            <w:vAlign w:val="bottom"/>
          </w:tcPr>
          <w:p>
            <w:pPr>
              <w:jc w:val="right"/>
              <w:ind w:right="92"/>
              <w:spacing w:after="0" w:line="125" w:lineRule="exact"/>
              <w:rPr>
                <w:sz w:val="20"/>
                <w:szCs w:val="20"/>
                <w:color w:val="auto"/>
              </w:rPr>
            </w:pPr>
            <w:r>
              <w:rPr>
                <w:rFonts w:ascii="Arial" w:cs="Arial" w:eastAsia="Arial" w:hAnsi="Arial"/>
                <w:sz w:val="14"/>
                <w:szCs w:val="14"/>
                <w:color w:val="auto"/>
                <w:w w:val="91"/>
              </w:rPr>
              <w:t>1,252</w:t>
            </w:r>
          </w:p>
        </w:tc>
        <w:tc>
          <w:tcPr>
            <w:tcW w:w="180" w:type="dxa"/>
            <w:vAlign w:val="bottom"/>
          </w:tcPr>
          <w:p>
            <w:pPr>
              <w:spacing w:after="0"/>
              <w:rPr>
                <w:sz w:val="10"/>
                <w:szCs w:val="10"/>
                <w:color w:val="auto"/>
              </w:rPr>
            </w:pPr>
          </w:p>
        </w:tc>
        <w:tc>
          <w:tcPr>
            <w:tcW w:w="500" w:type="dxa"/>
            <w:vAlign w:val="bottom"/>
          </w:tcPr>
          <w:p>
            <w:pPr>
              <w:jc w:val="right"/>
              <w:ind w:right="72"/>
              <w:spacing w:after="0" w:line="125" w:lineRule="exact"/>
              <w:rPr>
                <w:sz w:val="20"/>
                <w:szCs w:val="20"/>
                <w:color w:val="auto"/>
              </w:rPr>
            </w:pPr>
            <w:r>
              <w:rPr>
                <w:rFonts w:ascii="Arial" w:cs="Arial" w:eastAsia="Arial" w:hAnsi="Arial"/>
                <w:sz w:val="14"/>
                <w:szCs w:val="14"/>
                <w:color w:val="auto"/>
                <w:w w:val="96"/>
              </w:rPr>
              <w:t>1,689</w:t>
            </w:r>
          </w:p>
        </w:tc>
        <w:tc>
          <w:tcPr>
            <w:tcW w:w="200" w:type="dxa"/>
            <w:vAlign w:val="bottom"/>
          </w:tcPr>
          <w:p>
            <w:pPr>
              <w:spacing w:after="0"/>
              <w:rPr>
                <w:sz w:val="10"/>
                <w:szCs w:val="10"/>
                <w:color w:val="auto"/>
              </w:rPr>
            </w:pPr>
          </w:p>
        </w:tc>
        <w:tc>
          <w:tcPr>
            <w:tcW w:w="680" w:type="dxa"/>
            <w:vAlign w:val="bottom"/>
          </w:tcPr>
          <w:p>
            <w:pPr>
              <w:jc w:val="right"/>
              <w:ind w:right="92"/>
              <w:spacing w:after="0" w:line="125" w:lineRule="exact"/>
              <w:rPr>
                <w:sz w:val="20"/>
                <w:szCs w:val="20"/>
                <w:color w:val="auto"/>
              </w:rPr>
            </w:pPr>
            <w:r>
              <w:rPr>
                <w:rFonts w:ascii="Arial" w:cs="Arial" w:eastAsia="Arial" w:hAnsi="Arial"/>
                <w:sz w:val="14"/>
                <w:szCs w:val="14"/>
                <w:color w:val="auto"/>
              </w:rPr>
              <w:t>1,900</w:t>
            </w:r>
          </w:p>
        </w:tc>
        <w:tc>
          <w:tcPr>
            <w:tcW w:w="240" w:type="dxa"/>
            <w:vAlign w:val="bottom"/>
          </w:tcPr>
          <w:p>
            <w:pPr>
              <w:spacing w:after="0"/>
              <w:rPr>
                <w:sz w:val="10"/>
                <w:szCs w:val="10"/>
                <w:color w:val="auto"/>
              </w:rPr>
            </w:pPr>
          </w:p>
        </w:tc>
        <w:tc>
          <w:tcPr>
            <w:tcW w:w="560" w:type="dxa"/>
            <w:vAlign w:val="bottom"/>
          </w:tcPr>
          <w:p>
            <w:pPr>
              <w:jc w:val="right"/>
              <w:ind w:right="92"/>
              <w:spacing w:after="0" w:line="125" w:lineRule="exact"/>
              <w:rPr>
                <w:sz w:val="20"/>
                <w:szCs w:val="20"/>
                <w:color w:val="auto"/>
              </w:rPr>
            </w:pPr>
            <w:r>
              <w:rPr>
                <w:rFonts w:ascii="Arial" w:cs="Arial" w:eastAsia="Arial" w:hAnsi="Arial"/>
                <w:sz w:val="14"/>
                <w:szCs w:val="14"/>
                <w:color w:val="auto"/>
              </w:rPr>
              <w:t>1,244</w:t>
            </w:r>
          </w:p>
        </w:tc>
        <w:tc>
          <w:tcPr>
            <w:tcW w:w="200" w:type="dxa"/>
            <w:vAlign w:val="bottom"/>
          </w:tcPr>
          <w:p>
            <w:pPr>
              <w:spacing w:after="0"/>
              <w:rPr>
                <w:sz w:val="10"/>
                <w:szCs w:val="10"/>
                <w:color w:val="auto"/>
              </w:rPr>
            </w:pPr>
          </w:p>
        </w:tc>
        <w:tc>
          <w:tcPr>
            <w:tcW w:w="800" w:type="dxa"/>
            <w:vAlign w:val="bottom"/>
          </w:tcPr>
          <w:p>
            <w:pPr>
              <w:jc w:val="right"/>
              <w:ind w:right="92"/>
              <w:spacing w:after="0" w:line="125" w:lineRule="exact"/>
              <w:rPr>
                <w:sz w:val="20"/>
                <w:szCs w:val="20"/>
                <w:color w:val="auto"/>
              </w:rPr>
            </w:pPr>
            <w:r>
              <w:rPr>
                <w:rFonts w:ascii="Arial" w:cs="Arial" w:eastAsia="Arial" w:hAnsi="Arial"/>
                <w:sz w:val="14"/>
                <w:szCs w:val="14"/>
                <w:color w:val="auto"/>
              </w:rPr>
              <w:t>3,226</w:t>
            </w:r>
          </w:p>
        </w:tc>
        <w:tc>
          <w:tcPr>
            <w:tcW w:w="180" w:type="dxa"/>
            <w:vAlign w:val="bottom"/>
          </w:tcPr>
          <w:p>
            <w:pPr>
              <w:spacing w:after="0"/>
              <w:rPr>
                <w:sz w:val="10"/>
                <w:szCs w:val="10"/>
                <w:color w:val="auto"/>
              </w:rPr>
            </w:pPr>
          </w:p>
        </w:tc>
        <w:tc>
          <w:tcPr>
            <w:tcW w:w="900" w:type="dxa"/>
            <w:vAlign w:val="bottom"/>
          </w:tcPr>
          <w:p>
            <w:pPr>
              <w:jc w:val="right"/>
              <w:ind w:right="32"/>
              <w:spacing w:after="0" w:line="125" w:lineRule="exact"/>
              <w:rPr>
                <w:sz w:val="20"/>
                <w:szCs w:val="20"/>
                <w:color w:val="auto"/>
              </w:rPr>
            </w:pPr>
            <w:r>
              <w:rPr>
                <w:rFonts w:ascii="Arial" w:cs="Arial" w:eastAsia="Arial" w:hAnsi="Arial"/>
                <w:sz w:val="14"/>
                <w:szCs w:val="14"/>
                <w:color w:val="auto"/>
              </w:rPr>
              <w:t>(9,597)</w:t>
            </w:r>
          </w:p>
        </w:tc>
        <w:tc>
          <w:tcPr>
            <w:tcW w:w="180" w:type="dxa"/>
            <w:vAlign w:val="bottom"/>
          </w:tcPr>
          <w:p>
            <w:pPr>
              <w:spacing w:after="0"/>
              <w:rPr>
                <w:sz w:val="10"/>
                <w:szCs w:val="10"/>
                <w:color w:val="auto"/>
              </w:rPr>
            </w:pPr>
          </w:p>
        </w:tc>
        <w:tc>
          <w:tcPr>
            <w:tcW w:w="840" w:type="dxa"/>
            <w:vAlign w:val="bottom"/>
          </w:tcPr>
          <w:p>
            <w:pPr>
              <w:jc w:val="right"/>
              <w:spacing w:after="0" w:line="125" w:lineRule="exact"/>
              <w:rPr>
                <w:sz w:val="20"/>
                <w:szCs w:val="20"/>
                <w:color w:val="auto"/>
              </w:rPr>
            </w:pPr>
            <w:r>
              <w:rPr>
                <w:rFonts w:ascii="Arial" w:cs="Arial" w:eastAsia="Arial" w:hAnsi="Arial"/>
                <w:sz w:val="14"/>
                <w:szCs w:val="14"/>
                <w:b w:val="1"/>
                <w:bCs w:val="1"/>
                <w:color w:val="auto"/>
              </w:rPr>
              <w:t>2,247</w:t>
            </w:r>
          </w:p>
        </w:tc>
        <w:tc>
          <w:tcPr>
            <w:tcW w:w="0" w:type="dxa"/>
            <w:vAlign w:val="bottom"/>
          </w:tcPr>
          <w:p>
            <w:pPr>
              <w:spacing w:after="0"/>
              <w:rPr>
                <w:sz w:val="1"/>
                <w:szCs w:val="1"/>
                <w:color w:val="auto"/>
              </w:rPr>
            </w:pPr>
          </w:p>
        </w:tc>
      </w:tr>
      <w:tr>
        <w:trPr>
          <w:trHeight w:val="165"/>
        </w:trPr>
        <w:tc>
          <w:tcPr>
            <w:tcW w:w="4260" w:type="dxa"/>
            <w:vAlign w:val="bottom"/>
            <w:tcBorders>
              <w:bottom w:val="single" w:sz="8" w:color="auto"/>
            </w:tcBorders>
            <w:gridSpan w:val="2"/>
          </w:tcPr>
          <w:p>
            <w:pPr>
              <w:spacing w:after="0"/>
              <w:rPr>
                <w:sz w:val="20"/>
                <w:szCs w:val="20"/>
                <w:color w:val="auto"/>
              </w:rPr>
            </w:pPr>
            <w:r>
              <w:rPr>
                <w:rFonts w:ascii="Arial" w:cs="Arial" w:eastAsia="Arial" w:hAnsi="Arial"/>
                <w:sz w:val="14"/>
                <w:szCs w:val="14"/>
                <w:color w:val="auto"/>
              </w:rPr>
              <w:t>Minority interest</w:t>
            </w:r>
          </w:p>
        </w:tc>
        <w:tc>
          <w:tcPr>
            <w:tcW w:w="420" w:type="dxa"/>
            <w:vAlign w:val="bottom"/>
            <w:tcBorders>
              <w:bottom w:val="single" w:sz="8" w:color="auto"/>
            </w:tcBorders>
          </w:tcPr>
          <w:p>
            <w:pPr>
              <w:spacing w:after="0"/>
              <w:rPr>
                <w:sz w:val="14"/>
                <w:szCs w:val="14"/>
                <w:color w:val="auto"/>
              </w:rPr>
            </w:pPr>
          </w:p>
        </w:tc>
        <w:tc>
          <w:tcPr>
            <w:tcW w:w="580" w:type="dxa"/>
            <w:vAlign w:val="bottom"/>
            <w:tcBorders>
              <w:bottom w:val="single" w:sz="8" w:color="auto"/>
            </w:tcBorders>
          </w:tcPr>
          <w:p>
            <w:pPr>
              <w:jc w:val="right"/>
              <w:ind w:right="72"/>
              <w:spacing w:after="0"/>
              <w:rPr>
                <w:sz w:val="20"/>
                <w:szCs w:val="20"/>
                <w:color w:val="auto"/>
              </w:rPr>
            </w:pPr>
            <w:r>
              <w:rPr>
                <w:rFonts w:ascii="Arial" w:cs="Arial" w:eastAsia="Arial" w:hAnsi="Arial"/>
                <w:sz w:val="14"/>
                <w:szCs w:val="14"/>
                <w:color w:val="auto"/>
              </w:rPr>
              <w:t>—</w:t>
            </w:r>
          </w:p>
        </w:tc>
        <w:tc>
          <w:tcPr>
            <w:tcW w:w="200" w:type="dxa"/>
            <w:vAlign w:val="bottom"/>
            <w:tcBorders>
              <w:bottom w:val="single" w:sz="8" w:color="auto"/>
            </w:tcBorders>
          </w:tcPr>
          <w:p>
            <w:pPr>
              <w:spacing w:after="0"/>
              <w:rPr>
                <w:sz w:val="14"/>
                <w:szCs w:val="14"/>
                <w:color w:val="auto"/>
              </w:rPr>
            </w:pPr>
          </w:p>
        </w:tc>
        <w:tc>
          <w:tcPr>
            <w:tcW w:w="500" w:type="dxa"/>
            <w:vAlign w:val="bottom"/>
            <w:tcBorders>
              <w:bottom w:val="single" w:sz="8" w:color="auto"/>
            </w:tcBorders>
          </w:tcPr>
          <w:p>
            <w:pPr>
              <w:jc w:val="right"/>
              <w:ind w:right="92"/>
              <w:spacing w:after="0"/>
              <w:rPr>
                <w:sz w:val="20"/>
                <w:szCs w:val="20"/>
                <w:color w:val="auto"/>
              </w:rPr>
            </w:pPr>
            <w:r>
              <w:rPr>
                <w:rFonts w:ascii="Arial" w:cs="Arial" w:eastAsia="Arial" w:hAnsi="Arial"/>
                <w:sz w:val="14"/>
                <w:szCs w:val="14"/>
                <w:color w:val="auto"/>
              </w:rPr>
              <w:t>—</w:t>
            </w:r>
          </w:p>
        </w:tc>
        <w:tc>
          <w:tcPr>
            <w:tcW w:w="180" w:type="dxa"/>
            <w:vAlign w:val="bottom"/>
            <w:tcBorders>
              <w:bottom w:val="single" w:sz="8" w:color="auto"/>
            </w:tcBorders>
          </w:tcPr>
          <w:p>
            <w:pPr>
              <w:spacing w:after="0"/>
              <w:rPr>
                <w:sz w:val="14"/>
                <w:szCs w:val="14"/>
                <w:color w:val="auto"/>
              </w:rPr>
            </w:pPr>
          </w:p>
        </w:tc>
        <w:tc>
          <w:tcPr>
            <w:tcW w:w="500" w:type="dxa"/>
            <w:vAlign w:val="bottom"/>
            <w:tcBorders>
              <w:bottom w:val="single" w:sz="8" w:color="auto"/>
            </w:tcBorders>
          </w:tcPr>
          <w:p>
            <w:pPr>
              <w:jc w:val="right"/>
              <w:ind w:right="72"/>
              <w:spacing w:after="0"/>
              <w:rPr>
                <w:sz w:val="20"/>
                <w:szCs w:val="20"/>
                <w:color w:val="auto"/>
              </w:rPr>
            </w:pPr>
            <w:r>
              <w:rPr>
                <w:rFonts w:ascii="Arial" w:cs="Arial" w:eastAsia="Arial" w:hAnsi="Arial"/>
                <w:sz w:val="14"/>
                <w:szCs w:val="14"/>
                <w:color w:val="auto"/>
              </w:rPr>
              <w:t>—</w:t>
            </w:r>
          </w:p>
        </w:tc>
        <w:tc>
          <w:tcPr>
            <w:tcW w:w="200" w:type="dxa"/>
            <w:vAlign w:val="bottom"/>
            <w:tcBorders>
              <w:bottom w:val="single" w:sz="8" w:color="auto"/>
            </w:tcBorders>
          </w:tcPr>
          <w:p>
            <w:pPr>
              <w:spacing w:after="0"/>
              <w:rPr>
                <w:sz w:val="14"/>
                <w:szCs w:val="14"/>
                <w:color w:val="auto"/>
              </w:rPr>
            </w:pPr>
          </w:p>
        </w:tc>
        <w:tc>
          <w:tcPr>
            <w:tcW w:w="680" w:type="dxa"/>
            <w:vAlign w:val="bottom"/>
            <w:tcBorders>
              <w:bottom w:val="single" w:sz="8" w:color="auto"/>
            </w:tcBorders>
          </w:tcPr>
          <w:p>
            <w:pPr>
              <w:jc w:val="right"/>
              <w:ind w:right="92"/>
              <w:spacing w:after="0"/>
              <w:rPr>
                <w:sz w:val="20"/>
                <w:szCs w:val="20"/>
                <w:color w:val="auto"/>
              </w:rPr>
            </w:pPr>
            <w:r>
              <w:rPr>
                <w:rFonts w:ascii="Arial" w:cs="Arial" w:eastAsia="Arial" w:hAnsi="Arial"/>
                <w:sz w:val="14"/>
                <w:szCs w:val="14"/>
                <w:color w:val="auto"/>
              </w:rPr>
              <w:t>—</w:t>
            </w:r>
          </w:p>
        </w:tc>
        <w:tc>
          <w:tcPr>
            <w:tcW w:w="240" w:type="dxa"/>
            <w:vAlign w:val="bottom"/>
            <w:tcBorders>
              <w:bottom w:val="single" w:sz="8" w:color="auto"/>
            </w:tcBorders>
          </w:tcPr>
          <w:p>
            <w:pPr>
              <w:spacing w:after="0"/>
              <w:rPr>
                <w:sz w:val="14"/>
                <w:szCs w:val="14"/>
                <w:color w:val="auto"/>
              </w:rPr>
            </w:pPr>
          </w:p>
        </w:tc>
        <w:tc>
          <w:tcPr>
            <w:tcW w:w="560" w:type="dxa"/>
            <w:vAlign w:val="bottom"/>
            <w:tcBorders>
              <w:bottom w:val="single" w:sz="8" w:color="auto"/>
            </w:tcBorders>
          </w:tcPr>
          <w:p>
            <w:pPr>
              <w:jc w:val="right"/>
              <w:ind w:right="92"/>
              <w:spacing w:after="0"/>
              <w:rPr>
                <w:sz w:val="20"/>
                <w:szCs w:val="20"/>
                <w:color w:val="auto"/>
              </w:rPr>
            </w:pPr>
            <w:r>
              <w:rPr>
                <w:rFonts w:ascii="Arial" w:cs="Arial" w:eastAsia="Arial" w:hAnsi="Arial"/>
                <w:sz w:val="14"/>
                <w:szCs w:val="14"/>
                <w:color w:val="auto"/>
              </w:rPr>
              <w:t>—</w:t>
            </w:r>
          </w:p>
        </w:tc>
        <w:tc>
          <w:tcPr>
            <w:tcW w:w="200" w:type="dxa"/>
            <w:vAlign w:val="bottom"/>
            <w:tcBorders>
              <w:bottom w:val="single" w:sz="8" w:color="auto"/>
            </w:tcBorders>
          </w:tcPr>
          <w:p>
            <w:pPr>
              <w:spacing w:after="0"/>
              <w:rPr>
                <w:sz w:val="14"/>
                <w:szCs w:val="14"/>
                <w:color w:val="auto"/>
              </w:rPr>
            </w:pPr>
          </w:p>
        </w:tc>
        <w:tc>
          <w:tcPr>
            <w:tcW w:w="800" w:type="dxa"/>
            <w:vAlign w:val="bottom"/>
            <w:tcBorders>
              <w:bottom w:val="single" w:sz="8" w:color="auto"/>
            </w:tcBorders>
          </w:tcPr>
          <w:p>
            <w:pPr>
              <w:jc w:val="right"/>
              <w:ind w:right="52"/>
              <w:spacing w:after="0"/>
              <w:rPr>
                <w:sz w:val="20"/>
                <w:szCs w:val="20"/>
                <w:color w:val="auto"/>
              </w:rPr>
            </w:pPr>
            <w:r>
              <w:rPr>
                <w:rFonts w:ascii="Arial" w:cs="Arial" w:eastAsia="Arial" w:hAnsi="Arial"/>
                <w:sz w:val="14"/>
                <w:szCs w:val="14"/>
                <w:color w:val="auto"/>
              </w:rPr>
              <w:t>(12)</w:t>
            </w:r>
          </w:p>
        </w:tc>
        <w:tc>
          <w:tcPr>
            <w:tcW w:w="180" w:type="dxa"/>
            <w:vAlign w:val="bottom"/>
            <w:tcBorders>
              <w:bottom w:val="single" w:sz="8" w:color="auto"/>
            </w:tcBorders>
          </w:tcPr>
          <w:p>
            <w:pPr>
              <w:spacing w:after="0"/>
              <w:rPr>
                <w:sz w:val="14"/>
                <w:szCs w:val="14"/>
                <w:color w:val="auto"/>
              </w:rPr>
            </w:pPr>
          </w:p>
        </w:tc>
        <w:tc>
          <w:tcPr>
            <w:tcW w:w="900" w:type="dxa"/>
            <w:vAlign w:val="bottom"/>
            <w:tcBorders>
              <w:bottom w:val="single" w:sz="8" w:color="auto"/>
            </w:tcBorders>
          </w:tcPr>
          <w:p>
            <w:pPr>
              <w:jc w:val="right"/>
              <w:ind w:right="92"/>
              <w:spacing w:after="0"/>
              <w:rPr>
                <w:sz w:val="20"/>
                <w:szCs w:val="20"/>
                <w:color w:val="auto"/>
              </w:rPr>
            </w:pPr>
            <w:r>
              <w:rPr>
                <w:rFonts w:ascii="Arial" w:cs="Arial" w:eastAsia="Arial" w:hAnsi="Arial"/>
                <w:sz w:val="14"/>
                <w:szCs w:val="14"/>
                <w:color w:val="auto"/>
              </w:rPr>
              <w:t>—</w:t>
            </w:r>
          </w:p>
        </w:tc>
        <w:tc>
          <w:tcPr>
            <w:tcW w:w="180" w:type="dxa"/>
            <w:vAlign w:val="bottom"/>
            <w:tcBorders>
              <w:bottom w:val="single" w:sz="8" w:color="auto"/>
            </w:tcBorders>
          </w:tcPr>
          <w:p>
            <w:pPr>
              <w:spacing w:after="0"/>
              <w:rPr>
                <w:sz w:val="14"/>
                <w:szCs w:val="14"/>
                <w:color w:val="auto"/>
              </w:rPr>
            </w:pPr>
          </w:p>
        </w:tc>
        <w:tc>
          <w:tcPr>
            <w:tcW w:w="84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(12)</w:t>
            </w:r>
          </w:p>
        </w:tc>
        <w:tc>
          <w:tcPr>
            <w:tcW w:w="0" w:type="dxa"/>
            <w:vAlign w:val="bottom"/>
          </w:tcPr>
          <w:p>
            <w:pPr>
              <w:spacing w:after="0"/>
              <w:rPr>
                <w:sz w:val="1"/>
                <w:szCs w:val="1"/>
                <w:color w:val="auto"/>
              </w:rPr>
            </w:pPr>
          </w:p>
        </w:tc>
      </w:tr>
      <w:tr>
        <w:trPr>
          <w:trHeight w:val="125"/>
        </w:trPr>
        <w:tc>
          <w:tcPr>
            <w:tcW w:w="4260" w:type="dxa"/>
            <w:vAlign w:val="bottom"/>
            <w:gridSpan w:val="2"/>
          </w:tcPr>
          <w:p>
            <w:pPr>
              <w:spacing w:after="0" w:line="125" w:lineRule="exact"/>
              <w:rPr>
                <w:sz w:val="20"/>
                <w:szCs w:val="20"/>
                <w:color w:val="auto"/>
              </w:rPr>
            </w:pPr>
            <w:r>
              <w:rPr>
                <w:rFonts w:ascii="Arial" w:cs="Arial" w:eastAsia="Arial" w:hAnsi="Arial"/>
                <w:sz w:val="14"/>
                <w:szCs w:val="14"/>
                <w:color w:val="auto"/>
              </w:rPr>
              <w:t>Income from continuing operations</w:t>
            </w:r>
          </w:p>
        </w:tc>
        <w:tc>
          <w:tcPr>
            <w:tcW w:w="420" w:type="dxa"/>
            <w:vAlign w:val="bottom"/>
          </w:tcPr>
          <w:p>
            <w:pPr>
              <w:spacing w:after="0"/>
              <w:rPr>
                <w:sz w:val="10"/>
                <w:szCs w:val="10"/>
                <w:color w:val="auto"/>
              </w:rPr>
            </w:pPr>
          </w:p>
        </w:tc>
        <w:tc>
          <w:tcPr>
            <w:tcW w:w="580" w:type="dxa"/>
            <w:vAlign w:val="bottom"/>
          </w:tcPr>
          <w:p>
            <w:pPr>
              <w:jc w:val="right"/>
              <w:ind w:right="72"/>
              <w:spacing w:after="0" w:line="125" w:lineRule="exact"/>
              <w:rPr>
                <w:sz w:val="20"/>
                <w:szCs w:val="20"/>
                <w:color w:val="auto"/>
              </w:rPr>
            </w:pPr>
            <w:r>
              <w:rPr>
                <w:rFonts w:ascii="Arial" w:cs="Arial" w:eastAsia="Arial" w:hAnsi="Arial"/>
                <w:sz w:val="14"/>
                <w:szCs w:val="14"/>
                <w:color w:val="auto"/>
              </w:rPr>
              <w:t>2,533</w:t>
            </w:r>
          </w:p>
        </w:tc>
        <w:tc>
          <w:tcPr>
            <w:tcW w:w="200" w:type="dxa"/>
            <w:vAlign w:val="bottom"/>
          </w:tcPr>
          <w:p>
            <w:pPr>
              <w:spacing w:after="0"/>
              <w:rPr>
                <w:sz w:val="10"/>
                <w:szCs w:val="10"/>
                <w:color w:val="auto"/>
              </w:rPr>
            </w:pPr>
          </w:p>
        </w:tc>
        <w:tc>
          <w:tcPr>
            <w:tcW w:w="500" w:type="dxa"/>
            <w:vAlign w:val="bottom"/>
          </w:tcPr>
          <w:p>
            <w:pPr>
              <w:jc w:val="right"/>
              <w:ind w:right="92"/>
              <w:spacing w:after="0" w:line="125" w:lineRule="exact"/>
              <w:rPr>
                <w:sz w:val="20"/>
                <w:szCs w:val="20"/>
                <w:color w:val="auto"/>
              </w:rPr>
            </w:pPr>
            <w:r>
              <w:rPr>
                <w:rFonts w:ascii="Arial" w:cs="Arial" w:eastAsia="Arial" w:hAnsi="Arial"/>
                <w:sz w:val="14"/>
                <w:szCs w:val="14"/>
                <w:color w:val="auto"/>
                <w:w w:val="91"/>
              </w:rPr>
              <w:t>1,252</w:t>
            </w:r>
          </w:p>
        </w:tc>
        <w:tc>
          <w:tcPr>
            <w:tcW w:w="180" w:type="dxa"/>
            <w:vAlign w:val="bottom"/>
          </w:tcPr>
          <w:p>
            <w:pPr>
              <w:spacing w:after="0"/>
              <w:rPr>
                <w:sz w:val="10"/>
                <w:szCs w:val="10"/>
                <w:color w:val="auto"/>
              </w:rPr>
            </w:pPr>
          </w:p>
        </w:tc>
        <w:tc>
          <w:tcPr>
            <w:tcW w:w="500" w:type="dxa"/>
            <w:vAlign w:val="bottom"/>
          </w:tcPr>
          <w:p>
            <w:pPr>
              <w:jc w:val="right"/>
              <w:ind w:right="72"/>
              <w:spacing w:after="0" w:line="125" w:lineRule="exact"/>
              <w:rPr>
                <w:sz w:val="20"/>
                <w:szCs w:val="20"/>
                <w:color w:val="auto"/>
              </w:rPr>
            </w:pPr>
            <w:r>
              <w:rPr>
                <w:rFonts w:ascii="Arial" w:cs="Arial" w:eastAsia="Arial" w:hAnsi="Arial"/>
                <w:sz w:val="14"/>
                <w:szCs w:val="14"/>
                <w:color w:val="auto"/>
                <w:w w:val="96"/>
              </w:rPr>
              <w:t>1,689</w:t>
            </w:r>
          </w:p>
        </w:tc>
        <w:tc>
          <w:tcPr>
            <w:tcW w:w="200" w:type="dxa"/>
            <w:vAlign w:val="bottom"/>
          </w:tcPr>
          <w:p>
            <w:pPr>
              <w:spacing w:after="0"/>
              <w:rPr>
                <w:sz w:val="10"/>
                <w:szCs w:val="10"/>
                <w:color w:val="auto"/>
              </w:rPr>
            </w:pPr>
          </w:p>
        </w:tc>
        <w:tc>
          <w:tcPr>
            <w:tcW w:w="680" w:type="dxa"/>
            <w:vAlign w:val="bottom"/>
          </w:tcPr>
          <w:p>
            <w:pPr>
              <w:jc w:val="right"/>
              <w:ind w:right="92"/>
              <w:spacing w:after="0" w:line="125" w:lineRule="exact"/>
              <w:rPr>
                <w:sz w:val="20"/>
                <w:szCs w:val="20"/>
                <w:color w:val="auto"/>
              </w:rPr>
            </w:pPr>
            <w:r>
              <w:rPr>
                <w:rFonts w:ascii="Arial" w:cs="Arial" w:eastAsia="Arial" w:hAnsi="Arial"/>
                <w:sz w:val="14"/>
                <w:szCs w:val="14"/>
                <w:color w:val="auto"/>
              </w:rPr>
              <w:t>1,900</w:t>
            </w:r>
          </w:p>
        </w:tc>
        <w:tc>
          <w:tcPr>
            <w:tcW w:w="240" w:type="dxa"/>
            <w:vAlign w:val="bottom"/>
          </w:tcPr>
          <w:p>
            <w:pPr>
              <w:spacing w:after="0"/>
              <w:rPr>
                <w:sz w:val="10"/>
                <w:szCs w:val="10"/>
                <w:color w:val="auto"/>
              </w:rPr>
            </w:pPr>
          </w:p>
        </w:tc>
        <w:tc>
          <w:tcPr>
            <w:tcW w:w="560" w:type="dxa"/>
            <w:vAlign w:val="bottom"/>
          </w:tcPr>
          <w:p>
            <w:pPr>
              <w:jc w:val="right"/>
              <w:ind w:right="92"/>
              <w:spacing w:after="0" w:line="125" w:lineRule="exact"/>
              <w:rPr>
                <w:sz w:val="20"/>
                <w:szCs w:val="20"/>
                <w:color w:val="auto"/>
              </w:rPr>
            </w:pPr>
            <w:r>
              <w:rPr>
                <w:rFonts w:ascii="Arial" w:cs="Arial" w:eastAsia="Arial" w:hAnsi="Arial"/>
                <w:sz w:val="14"/>
                <w:szCs w:val="14"/>
                <w:color w:val="auto"/>
              </w:rPr>
              <w:t>1,244</w:t>
            </w:r>
          </w:p>
        </w:tc>
        <w:tc>
          <w:tcPr>
            <w:tcW w:w="200" w:type="dxa"/>
            <w:vAlign w:val="bottom"/>
          </w:tcPr>
          <w:p>
            <w:pPr>
              <w:spacing w:after="0"/>
              <w:rPr>
                <w:sz w:val="10"/>
                <w:szCs w:val="10"/>
                <w:color w:val="auto"/>
              </w:rPr>
            </w:pPr>
          </w:p>
        </w:tc>
        <w:tc>
          <w:tcPr>
            <w:tcW w:w="800" w:type="dxa"/>
            <w:vAlign w:val="bottom"/>
          </w:tcPr>
          <w:p>
            <w:pPr>
              <w:jc w:val="right"/>
              <w:ind w:right="92"/>
              <w:spacing w:after="0" w:line="125" w:lineRule="exact"/>
              <w:rPr>
                <w:sz w:val="20"/>
                <w:szCs w:val="20"/>
                <w:color w:val="auto"/>
              </w:rPr>
            </w:pPr>
            <w:r>
              <w:rPr>
                <w:rFonts w:ascii="Arial" w:cs="Arial" w:eastAsia="Arial" w:hAnsi="Arial"/>
                <w:sz w:val="14"/>
                <w:szCs w:val="14"/>
                <w:color w:val="auto"/>
              </w:rPr>
              <w:t>3,214</w:t>
            </w:r>
          </w:p>
        </w:tc>
        <w:tc>
          <w:tcPr>
            <w:tcW w:w="180" w:type="dxa"/>
            <w:vAlign w:val="bottom"/>
          </w:tcPr>
          <w:p>
            <w:pPr>
              <w:spacing w:after="0"/>
              <w:rPr>
                <w:sz w:val="10"/>
                <w:szCs w:val="10"/>
                <w:color w:val="auto"/>
              </w:rPr>
            </w:pPr>
          </w:p>
        </w:tc>
        <w:tc>
          <w:tcPr>
            <w:tcW w:w="900" w:type="dxa"/>
            <w:vAlign w:val="bottom"/>
          </w:tcPr>
          <w:p>
            <w:pPr>
              <w:jc w:val="right"/>
              <w:ind w:right="32"/>
              <w:spacing w:after="0" w:line="125" w:lineRule="exact"/>
              <w:rPr>
                <w:sz w:val="20"/>
                <w:szCs w:val="20"/>
                <w:color w:val="auto"/>
              </w:rPr>
            </w:pPr>
            <w:r>
              <w:rPr>
                <w:rFonts w:ascii="Arial" w:cs="Arial" w:eastAsia="Arial" w:hAnsi="Arial"/>
                <w:sz w:val="14"/>
                <w:szCs w:val="14"/>
                <w:color w:val="auto"/>
              </w:rPr>
              <w:t>(9,597)</w:t>
            </w:r>
          </w:p>
        </w:tc>
        <w:tc>
          <w:tcPr>
            <w:tcW w:w="180" w:type="dxa"/>
            <w:vAlign w:val="bottom"/>
          </w:tcPr>
          <w:p>
            <w:pPr>
              <w:spacing w:after="0"/>
              <w:rPr>
                <w:sz w:val="10"/>
                <w:szCs w:val="10"/>
                <w:color w:val="auto"/>
              </w:rPr>
            </w:pPr>
          </w:p>
        </w:tc>
        <w:tc>
          <w:tcPr>
            <w:tcW w:w="840" w:type="dxa"/>
            <w:vAlign w:val="bottom"/>
          </w:tcPr>
          <w:p>
            <w:pPr>
              <w:jc w:val="right"/>
              <w:spacing w:after="0" w:line="125" w:lineRule="exact"/>
              <w:rPr>
                <w:sz w:val="20"/>
                <w:szCs w:val="20"/>
                <w:color w:val="auto"/>
              </w:rPr>
            </w:pPr>
            <w:r>
              <w:rPr>
                <w:rFonts w:ascii="Arial" w:cs="Arial" w:eastAsia="Arial" w:hAnsi="Arial"/>
                <w:sz w:val="14"/>
                <w:szCs w:val="14"/>
                <w:b w:val="1"/>
                <w:bCs w:val="1"/>
                <w:color w:val="auto"/>
              </w:rPr>
              <w:t>2,235</w:t>
            </w:r>
          </w:p>
        </w:tc>
        <w:tc>
          <w:tcPr>
            <w:tcW w:w="0" w:type="dxa"/>
            <w:vAlign w:val="bottom"/>
          </w:tcPr>
          <w:p>
            <w:pPr>
              <w:spacing w:after="0"/>
              <w:rPr>
                <w:sz w:val="1"/>
                <w:szCs w:val="1"/>
                <w:color w:val="auto"/>
              </w:rPr>
            </w:pPr>
          </w:p>
        </w:tc>
      </w:tr>
      <w:tr>
        <w:trPr>
          <w:trHeight w:val="149"/>
        </w:trPr>
        <w:tc>
          <w:tcPr>
            <w:tcW w:w="4260" w:type="dxa"/>
            <w:vAlign w:val="bottom"/>
            <w:gridSpan w:val="2"/>
          </w:tcPr>
          <w:p>
            <w:pPr>
              <w:spacing w:after="0" w:line="149" w:lineRule="exact"/>
              <w:rPr>
                <w:sz w:val="20"/>
                <w:szCs w:val="20"/>
                <w:color w:val="auto"/>
              </w:rPr>
            </w:pPr>
            <w:r>
              <w:rPr>
                <w:rFonts w:ascii="Arial" w:cs="Arial" w:eastAsia="Arial" w:hAnsi="Arial"/>
                <w:sz w:val="14"/>
                <w:szCs w:val="14"/>
                <w:color w:val="auto"/>
              </w:rPr>
              <w:t>Income from discontinued operations, net of tax</w:t>
            </w:r>
          </w:p>
        </w:tc>
        <w:tc>
          <w:tcPr>
            <w:tcW w:w="420" w:type="dxa"/>
            <w:vAlign w:val="bottom"/>
          </w:tcPr>
          <w:p>
            <w:pPr>
              <w:spacing w:after="0"/>
              <w:rPr>
                <w:sz w:val="12"/>
                <w:szCs w:val="12"/>
                <w:color w:val="auto"/>
              </w:rPr>
            </w:pPr>
          </w:p>
        </w:tc>
        <w:tc>
          <w:tcPr>
            <w:tcW w:w="580" w:type="dxa"/>
            <w:vAlign w:val="bottom"/>
          </w:tcPr>
          <w:p>
            <w:pPr>
              <w:jc w:val="right"/>
              <w:ind w:right="72"/>
              <w:spacing w:after="0" w:line="149" w:lineRule="exact"/>
              <w:rPr>
                <w:sz w:val="20"/>
                <w:szCs w:val="20"/>
                <w:color w:val="auto"/>
              </w:rPr>
            </w:pPr>
            <w:r>
              <w:rPr>
                <w:rFonts w:ascii="Arial" w:cs="Arial" w:eastAsia="Arial" w:hAnsi="Arial"/>
                <w:sz w:val="14"/>
                <w:szCs w:val="14"/>
                <w:color w:val="auto"/>
              </w:rPr>
              <w:t>—</w:t>
            </w:r>
          </w:p>
        </w:tc>
        <w:tc>
          <w:tcPr>
            <w:tcW w:w="200" w:type="dxa"/>
            <w:vAlign w:val="bottom"/>
          </w:tcPr>
          <w:p>
            <w:pPr>
              <w:spacing w:after="0"/>
              <w:rPr>
                <w:sz w:val="12"/>
                <w:szCs w:val="12"/>
                <w:color w:val="auto"/>
              </w:rPr>
            </w:pPr>
          </w:p>
        </w:tc>
        <w:tc>
          <w:tcPr>
            <w:tcW w:w="500" w:type="dxa"/>
            <w:vAlign w:val="bottom"/>
          </w:tcPr>
          <w:p>
            <w:pPr>
              <w:jc w:val="right"/>
              <w:ind w:right="92"/>
              <w:spacing w:after="0" w:line="149" w:lineRule="exact"/>
              <w:rPr>
                <w:sz w:val="20"/>
                <w:szCs w:val="20"/>
                <w:color w:val="auto"/>
              </w:rPr>
            </w:pPr>
            <w:r>
              <w:rPr>
                <w:rFonts w:ascii="Arial" w:cs="Arial" w:eastAsia="Arial" w:hAnsi="Arial"/>
                <w:sz w:val="14"/>
                <w:szCs w:val="14"/>
                <w:color w:val="auto"/>
              </w:rPr>
              <w:t>—</w:t>
            </w:r>
          </w:p>
        </w:tc>
        <w:tc>
          <w:tcPr>
            <w:tcW w:w="180" w:type="dxa"/>
            <w:vAlign w:val="bottom"/>
          </w:tcPr>
          <w:p>
            <w:pPr>
              <w:spacing w:after="0"/>
              <w:rPr>
                <w:sz w:val="12"/>
                <w:szCs w:val="12"/>
                <w:color w:val="auto"/>
              </w:rPr>
            </w:pPr>
          </w:p>
        </w:tc>
        <w:tc>
          <w:tcPr>
            <w:tcW w:w="500" w:type="dxa"/>
            <w:vAlign w:val="bottom"/>
          </w:tcPr>
          <w:p>
            <w:pPr>
              <w:jc w:val="right"/>
              <w:ind w:right="72"/>
              <w:spacing w:after="0" w:line="149" w:lineRule="exact"/>
              <w:rPr>
                <w:sz w:val="20"/>
                <w:szCs w:val="20"/>
                <w:color w:val="auto"/>
              </w:rPr>
            </w:pPr>
            <w:r>
              <w:rPr>
                <w:rFonts w:ascii="Arial" w:cs="Arial" w:eastAsia="Arial" w:hAnsi="Arial"/>
                <w:sz w:val="14"/>
                <w:szCs w:val="14"/>
                <w:color w:val="auto"/>
              </w:rPr>
              <w:t>—</w:t>
            </w:r>
          </w:p>
        </w:tc>
        <w:tc>
          <w:tcPr>
            <w:tcW w:w="200" w:type="dxa"/>
            <w:vAlign w:val="bottom"/>
          </w:tcPr>
          <w:p>
            <w:pPr>
              <w:spacing w:after="0"/>
              <w:rPr>
                <w:sz w:val="12"/>
                <w:szCs w:val="12"/>
                <w:color w:val="auto"/>
              </w:rPr>
            </w:pPr>
          </w:p>
        </w:tc>
        <w:tc>
          <w:tcPr>
            <w:tcW w:w="680" w:type="dxa"/>
            <w:vAlign w:val="bottom"/>
          </w:tcPr>
          <w:p>
            <w:pPr>
              <w:jc w:val="right"/>
              <w:ind w:right="92"/>
              <w:spacing w:after="0" w:line="149" w:lineRule="exact"/>
              <w:rPr>
                <w:sz w:val="20"/>
                <w:szCs w:val="20"/>
                <w:color w:val="auto"/>
              </w:rPr>
            </w:pPr>
            <w:r>
              <w:rPr>
                <w:rFonts w:ascii="Arial" w:cs="Arial" w:eastAsia="Arial" w:hAnsi="Arial"/>
                <w:sz w:val="14"/>
                <w:szCs w:val="14"/>
                <w:color w:val="auto"/>
              </w:rPr>
              <w:t>—</w:t>
            </w:r>
          </w:p>
        </w:tc>
        <w:tc>
          <w:tcPr>
            <w:tcW w:w="240" w:type="dxa"/>
            <w:vAlign w:val="bottom"/>
          </w:tcPr>
          <w:p>
            <w:pPr>
              <w:spacing w:after="0"/>
              <w:rPr>
                <w:sz w:val="12"/>
                <w:szCs w:val="12"/>
                <w:color w:val="auto"/>
              </w:rPr>
            </w:pPr>
          </w:p>
        </w:tc>
        <w:tc>
          <w:tcPr>
            <w:tcW w:w="560" w:type="dxa"/>
            <w:vAlign w:val="bottom"/>
          </w:tcPr>
          <w:p>
            <w:pPr>
              <w:jc w:val="right"/>
              <w:ind w:right="92"/>
              <w:spacing w:after="0" w:line="149" w:lineRule="exact"/>
              <w:rPr>
                <w:sz w:val="20"/>
                <w:szCs w:val="20"/>
                <w:color w:val="auto"/>
              </w:rPr>
            </w:pPr>
            <w:r>
              <w:rPr>
                <w:rFonts w:ascii="Arial" w:cs="Arial" w:eastAsia="Arial" w:hAnsi="Arial"/>
                <w:sz w:val="14"/>
                <w:szCs w:val="14"/>
                <w:color w:val="auto"/>
              </w:rPr>
              <w:t>—</w:t>
            </w:r>
          </w:p>
        </w:tc>
        <w:tc>
          <w:tcPr>
            <w:tcW w:w="200" w:type="dxa"/>
            <w:vAlign w:val="bottom"/>
          </w:tcPr>
          <w:p>
            <w:pPr>
              <w:spacing w:after="0"/>
              <w:rPr>
                <w:sz w:val="12"/>
                <w:szCs w:val="12"/>
                <w:color w:val="auto"/>
              </w:rPr>
            </w:pPr>
          </w:p>
        </w:tc>
        <w:tc>
          <w:tcPr>
            <w:tcW w:w="800" w:type="dxa"/>
            <w:vAlign w:val="bottom"/>
          </w:tcPr>
          <w:p>
            <w:pPr>
              <w:jc w:val="right"/>
              <w:ind w:right="92"/>
              <w:spacing w:after="0" w:line="149" w:lineRule="exact"/>
              <w:rPr>
                <w:sz w:val="20"/>
                <w:szCs w:val="20"/>
                <w:color w:val="auto"/>
              </w:rPr>
            </w:pPr>
            <w:r>
              <w:rPr>
                <w:rFonts w:ascii="Arial" w:cs="Arial" w:eastAsia="Arial" w:hAnsi="Arial"/>
                <w:sz w:val="14"/>
                <w:szCs w:val="14"/>
                <w:color w:val="auto"/>
              </w:rPr>
              <w:t>103</w:t>
            </w:r>
          </w:p>
        </w:tc>
        <w:tc>
          <w:tcPr>
            <w:tcW w:w="180" w:type="dxa"/>
            <w:vAlign w:val="bottom"/>
          </w:tcPr>
          <w:p>
            <w:pPr>
              <w:spacing w:after="0"/>
              <w:rPr>
                <w:sz w:val="12"/>
                <w:szCs w:val="12"/>
                <w:color w:val="auto"/>
              </w:rPr>
            </w:pPr>
          </w:p>
        </w:tc>
        <w:tc>
          <w:tcPr>
            <w:tcW w:w="900" w:type="dxa"/>
            <w:vAlign w:val="bottom"/>
          </w:tcPr>
          <w:p>
            <w:pPr>
              <w:jc w:val="right"/>
              <w:ind w:right="92"/>
              <w:spacing w:after="0" w:line="149" w:lineRule="exact"/>
              <w:rPr>
                <w:sz w:val="20"/>
                <w:szCs w:val="20"/>
                <w:color w:val="auto"/>
              </w:rPr>
            </w:pPr>
            <w:r>
              <w:rPr>
                <w:rFonts w:ascii="Arial" w:cs="Arial" w:eastAsia="Arial" w:hAnsi="Arial"/>
                <w:sz w:val="14"/>
                <w:szCs w:val="14"/>
                <w:color w:val="auto"/>
              </w:rPr>
              <w:t>—</w:t>
            </w:r>
          </w:p>
        </w:tc>
        <w:tc>
          <w:tcPr>
            <w:tcW w:w="180" w:type="dxa"/>
            <w:vAlign w:val="bottom"/>
          </w:tcPr>
          <w:p>
            <w:pPr>
              <w:spacing w:after="0"/>
              <w:rPr>
                <w:sz w:val="12"/>
                <w:szCs w:val="12"/>
                <w:color w:val="auto"/>
              </w:rPr>
            </w:pPr>
          </w:p>
        </w:tc>
        <w:tc>
          <w:tcPr>
            <w:tcW w:w="840" w:type="dxa"/>
            <w:vAlign w:val="bottom"/>
          </w:tcPr>
          <w:p>
            <w:pPr>
              <w:jc w:val="right"/>
              <w:spacing w:after="0" w:line="149" w:lineRule="exact"/>
              <w:rPr>
                <w:sz w:val="20"/>
                <w:szCs w:val="20"/>
                <w:color w:val="auto"/>
              </w:rPr>
            </w:pPr>
            <w:r>
              <w:rPr>
                <w:rFonts w:ascii="Arial" w:cs="Arial" w:eastAsia="Arial" w:hAnsi="Arial"/>
                <w:sz w:val="14"/>
                <w:szCs w:val="14"/>
                <w:b w:val="1"/>
                <w:bCs w:val="1"/>
                <w:color w:val="auto"/>
              </w:rPr>
              <w:t>103</w:t>
            </w:r>
          </w:p>
        </w:tc>
        <w:tc>
          <w:tcPr>
            <w:tcW w:w="0" w:type="dxa"/>
            <w:vAlign w:val="bottom"/>
          </w:tcPr>
          <w:p>
            <w:pPr>
              <w:spacing w:after="0"/>
              <w:rPr>
                <w:sz w:val="1"/>
                <w:szCs w:val="1"/>
                <w:color w:val="auto"/>
              </w:rPr>
            </w:pPr>
          </w:p>
        </w:tc>
      </w:tr>
      <w:tr>
        <w:trPr>
          <w:trHeight w:val="165"/>
        </w:trPr>
        <w:tc>
          <w:tcPr>
            <w:tcW w:w="4260" w:type="dxa"/>
            <w:vAlign w:val="bottom"/>
            <w:tcBorders>
              <w:bottom w:val="single" w:sz="8" w:color="auto"/>
            </w:tcBorders>
            <w:gridSpan w:val="2"/>
          </w:tcPr>
          <w:p>
            <w:pPr>
              <w:spacing w:after="0"/>
              <w:rPr>
                <w:sz w:val="20"/>
                <w:szCs w:val="20"/>
                <w:color w:val="auto"/>
              </w:rPr>
            </w:pPr>
            <w:r>
              <w:rPr>
                <w:rFonts w:ascii="Arial" w:cs="Arial" w:eastAsia="Arial" w:hAnsi="Arial"/>
                <w:sz w:val="14"/>
                <w:szCs w:val="14"/>
                <w:color w:val="auto"/>
              </w:rPr>
              <w:t>Gain on discontinued operations, net of tax</w:t>
            </w:r>
          </w:p>
        </w:tc>
        <w:tc>
          <w:tcPr>
            <w:tcW w:w="420" w:type="dxa"/>
            <w:vAlign w:val="bottom"/>
            <w:tcBorders>
              <w:bottom w:val="single" w:sz="8" w:color="auto"/>
            </w:tcBorders>
          </w:tcPr>
          <w:p>
            <w:pPr>
              <w:spacing w:after="0"/>
              <w:rPr>
                <w:sz w:val="14"/>
                <w:szCs w:val="14"/>
                <w:color w:val="auto"/>
              </w:rPr>
            </w:pPr>
          </w:p>
        </w:tc>
        <w:tc>
          <w:tcPr>
            <w:tcW w:w="580" w:type="dxa"/>
            <w:vAlign w:val="bottom"/>
            <w:tcBorders>
              <w:bottom w:val="single" w:sz="8" w:color="auto"/>
            </w:tcBorders>
          </w:tcPr>
          <w:p>
            <w:pPr>
              <w:jc w:val="right"/>
              <w:ind w:right="72"/>
              <w:spacing w:after="0"/>
              <w:rPr>
                <w:sz w:val="20"/>
                <w:szCs w:val="20"/>
                <w:color w:val="auto"/>
              </w:rPr>
            </w:pPr>
            <w:r>
              <w:rPr>
                <w:rFonts w:ascii="Arial" w:cs="Arial" w:eastAsia="Arial" w:hAnsi="Arial"/>
                <w:sz w:val="14"/>
                <w:szCs w:val="14"/>
                <w:color w:val="auto"/>
              </w:rPr>
              <w:t>—</w:t>
            </w:r>
          </w:p>
        </w:tc>
        <w:tc>
          <w:tcPr>
            <w:tcW w:w="200" w:type="dxa"/>
            <w:vAlign w:val="bottom"/>
            <w:tcBorders>
              <w:bottom w:val="single" w:sz="8" w:color="auto"/>
            </w:tcBorders>
          </w:tcPr>
          <w:p>
            <w:pPr>
              <w:spacing w:after="0"/>
              <w:rPr>
                <w:sz w:val="14"/>
                <w:szCs w:val="14"/>
                <w:color w:val="auto"/>
              </w:rPr>
            </w:pPr>
          </w:p>
        </w:tc>
        <w:tc>
          <w:tcPr>
            <w:tcW w:w="500" w:type="dxa"/>
            <w:vAlign w:val="bottom"/>
            <w:tcBorders>
              <w:bottom w:val="single" w:sz="8" w:color="auto"/>
            </w:tcBorders>
          </w:tcPr>
          <w:p>
            <w:pPr>
              <w:jc w:val="right"/>
              <w:ind w:right="92"/>
              <w:spacing w:after="0"/>
              <w:rPr>
                <w:sz w:val="20"/>
                <w:szCs w:val="20"/>
                <w:color w:val="auto"/>
              </w:rPr>
            </w:pPr>
            <w:r>
              <w:rPr>
                <w:rFonts w:ascii="Arial" w:cs="Arial" w:eastAsia="Arial" w:hAnsi="Arial"/>
                <w:sz w:val="14"/>
                <w:szCs w:val="14"/>
                <w:color w:val="auto"/>
              </w:rPr>
              <w:t>—</w:t>
            </w:r>
          </w:p>
        </w:tc>
        <w:tc>
          <w:tcPr>
            <w:tcW w:w="180" w:type="dxa"/>
            <w:vAlign w:val="bottom"/>
            <w:tcBorders>
              <w:bottom w:val="single" w:sz="8" w:color="auto"/>
            </w:tcBorders>
          </w:tcPr>
          <w:p>
            <w:pPr>
              <w:spacing w:after="0"/>
              <w:rPr>
                <w:sz w:val="14"/>
                <w:szCs w:val="14"/>
                <w:color w:val="auto"/>
              </w:rPr>
            </w:pPr>
          </w:p>
        </w:tc>
        <w:tc>
          <w:tcPr>
            <w:tcW w:w="500" w:type="dxa"/>
            <w:vAlign w:val="bottom"/>
            <w:tcBorders>
              <w:bottom w:val="single" w:sz="8" w:color="auto"/>
            </w:tcBorders>
          </w:tcPr>
          <w:p>
            <w:pPr>
              <w:jc w:val="right"/>
              <w:ind w:right="72"/>
              <w:spacing w:after="0"/>
              <w:rPr>
                <w:sz w:val="20"/>
                <w:szCs w:val="20"/>
                <w:color w:val="auto"/>
              </w:rPr>
            </w:pPr>
            <w:r>
              <w:rPr>
                <w:rFonts w:ascii="Arial" w:cs="Arial" w:eastAsia="Arial" w:hAnsi="Arial"/>
                <w:sz w:val="14"/>
                <w:szCs w:val="14"/>
                <w:color w:val="auto"/>
              </w:rPr>
              <w:t>—</w:t>
            </w:r>
          </w:p>
        </w:tc>
        <w:tc>
          <w:tcPr>
            <w:tcW w:w="200" w:type="dxa"/>
            <w:vAlign w:val="bottom"/>
            <w:tcBorders>
              <w:bottom w:val="single" w:sz="8" w:color="auto"/>
            </w:tcBorders>
          </w:tcPr>
          <w:p>
            <w:pPr>
              <w:spacing w:after="0"/>
              <w:rPr>
                <w:sz w:val="14"/>
                <w:szCs w:val="14"/>
                <w:color w:val="auto"/>
              </w:rPr>
            </w:pPr>
          </w:p>
        </w:tc>
        <w:tc>
          <w:tcPr>
            <w:tcW w:w="680" w:type="dxa"/>
            <w:vAlign w:val="bottom"/>
            <w:tcBorders>
              <w:bottom w:val="single" w:sz="8" w:color="auto"/>
            </w:tcBorders>
          </w:tcPr>
          <w:p>
            <w:pPr>
              <w:jc w:val="right"/>
              <w:ind w:right="92"/>
              <w:spacing w:after="0"/>
              <w:rPr>
                <w:sz w:val="20"/>
                <w:szCs w:val="20"/>
                <w:color w:val="auto"/>
              </w:rPr>
            </w:pPr>
            <w:r>
              <w:rPr>
                <w:rFonts w:ascii="Arial" w:cs="Arial" w:eastAsia="Arial" w:hAnsi="Arial"/>
                <w:sz w:val="14"/>
                <w:szCs w:val="14"/>
                <w:color w:val="auto"/>
              </w:rPr>
              <w:t>—</w:t>
            </w:r>
          </w:p>
        </w:tc>
        <w:tc>
          <w:tcPr>
            <w:tcW w:w="240" w:type="dxa"/>
            <w:vAlign w:val="bottom"/>
            <w:tcBorders>
              <w:bottom w:val="single" w:sz="8" w:color="auto"/>
            </w:tcBorders>
          </w:tcPr>
          <w:p>
            <w:pPr>
              <w:spacing w:after="0"/>
              <w:rPr>
                <w:sz w:val="14"/>
                <w:szCs w:val="14"/>
                <w:color w:val="auto"/>
              </w:rPr>
            </w:pPr>
          </w:p>
        </w:tc>
        <w:tc>
          <w:tcPr>
            <w:tcW w:w="560" w:type="dxa"/>
            <w:vAlign w:val="bottom"/>
            <w:tcBorders>
              <w:bottom w:val="single" w:sz="8" w:color="auto"/>
            </w:tcBorders>
          </w:tcPr>
          <w:p>
            <w:pPr>
              <w:jc w:val="right"/>
              <w:ind w:right="92"/>
              <w:spacing w:after="0"/>
              <w:rPr>
                <w:sz w:val="20"/>
                <w:szCs w:val="20"/>
                <w:color w:val="auto"/>
              </w:rPr>
            </w:pPr>
            <w:r>
              <w:rPr>
                <w:rFonts w:ascii="Arial" w:cs="Arial" w:eastAsia="Arial" w:hAnsi="Arial"/>
                <w:sz w:val="14"/>
                <w:szCs w:val="14"/>
                <w:color w:val="auto"/>
              </w:rPr>
              <w:t>—</w:t>
            </w:r>
          </w:p>
        </w:tc>
        <w:tc>
          <w:tcPr>
            <w:tcW w:w="200" w:type="dxa"/>
            <w:vAlign w:val="bottom"/>
            <w:tcBorders>
              <w:bottom w:val="single" w:sz="8" w:color="auto"/>
            </w:tcBorders>
          </w:tcPr>
          <w:p>
            <w:pPr>
              <w:spacing w:after="0"/>
              <w:rPr>
                <w:sz w:val="14"/>
                <w:szCs w:val="14"/>
                <w:color w:val="auto"/>
              </w:rPr>
            </w:pPr>
          </w:p>
        </w:tc>
        <w:tc>
          <w:tcPr>
            <w:tcW w:w="800" w:type="dxa"/>
            <w:vAlign w:val="bottom"/>
            <w:tcBorders>
              <w:bottom w:val="single" w:sz="8" w:color="auto"/>
            </w:tcBorders>
          </w:tcPr>
          <w:p>
            <w:pPr>
              <w:jc w:val="right"/>
              <w:ind w:right="92"/>
              <w:spacing w:after="0"/>
              <w:rPr>
                <w:sz w:val="20"/>
                <w:szCs w:val="20"/>
                <w:color w:val="auto"/>
              </w:rPr>
            </w:pPr>
            <w:r>
              <w:rPr>
                <w:rFonts w:ascii="Arial" w:cs="Arial" w:eastAsia="Arial" w:hAnsi="Arial"/>
                <w:sz w:val="14"/>
                <w:szCs w:val="14"/>
                <w:color w:val="auto"/>
              </w:rPr>
              <w:t>195</w:t>
            </w:r>
          </w:p>
        </w:tc>
        <w:tc>
          <w:tcPr>
            <w:tcW w:w="180" w:type="dxa"/>
            <w:vAlign w:val="bottom"/>
            <w:tcBorders>
              <w:bottom w:val="single" w:sz="8" w:color="auto"/>
            </w:tcBorders>
          </w:tcPr>
          <w:p>
            <w:pPr>
              <w:spacing w:after="0"/>
              <w:rPr>
                <w:sz w:val="14"/>
                <w:szCs w:val="14"/>
                <w:color w:val="auto"/>
              </w:rPr>
            </w:pPr>
          </w:p>
        </w:tc>
        <w:tc>
          <w:tcPr>
            <w:tcW w:w="900" w:type="dxa"/>
            <w:vAlign w:val="bottom"/>
            <w:tcBorders>
              <w:bottom w:val="single" w:sz="8" w:color="auto"/>
            </w:tcBorders>
          </w:tcPr>
          <w:p>
            <w:pPr>
              <w:jc w:val="right"/>
              <w:ind w:right="92"/>
              <w:spacing w:after="0"/>
              <w:rPr>
                <w:sz w:val="20"/>
                <w:szCs w:val="20"/>
                <w:color w:val="auto"/>
              </w:rPr>
            </w:pPr>
            <w:r>
              <w:rPr>
                <w:rFonts w:ascii="Arial" w:cs="Arial" w:eastAsia="Arial" w:hAnsi="Arial"/>
                <w:sz w:val="14"/>
                <w:szCs w:val="14"/>
                <w:color w:val="auto"/>
              </w:rPr>
              <w:t>—</w:t>
            </w:r>
          </w:p>
        </w:tc>
        <w:tc>
          <w:tcPr>
            <w:tcW w:w="180" w:type="dxa"/>
            <w:vAlign w:val="bottom"/>
            <w:tcBorders>
              <w:bottom w:val="single" w:sz="8" w:color="auto"/>
            </w:tcBorders>
          </w:tcPr>
          <w:p>
            <w:pPr>
              <w:spacing w:after="0"/>
              <w:rPr>
                <w:sz w:val="14"/>
                <w:szCs w:val="14"/>
                <w:color w:val="auto"/>
              </w:rPr>
            </w:pPr>
          </w:p>
        </w:tc>
        <w:tc>
          <w:tcPr>
            <w:tcW w:w="84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195</w:t>
            </w:r>
          </w:p>
        </w:tc>
        <w:tc>
          <w:tcPr>
            <w:tcW w:w="0" w:type="dxa"/>
            <w:vAlign w:val="bottom"/>
          </w:tcPr>
          <w:p>
            <w:pPr>
              <w:spacing w:after="0"/>
              <w:rPr>
                <w:sz w:val="1"/>
                <w:szCs w:val="1"/>
                <w:color w:val="auto"/>
              </w:rPr>
            </w:pPr>
          </w:p>
        </w:tc>
      </w:tr>
      <w:tr>
        <w:trPr>
          <w:trHeight w:val="142"/>
        </w:trPr>
        <w:tc>
          <w:tcPr>
            <w:tcW w:w="4260" w:type="dxa"/>
            <w:vAlign w:val="bottom"/>
            <w:tcBorders>
              <w:bottom w:val="single" w:sz="8" w:color="35BF85"/>
            </w:tcBorders>
            <w:gridSpan w:val="2"/>
          </w:tcPr>
          <w:p>
            <w:pPr>
              <w:spacing w:after="0" w:line="142" w:lineRule="exact"/>
              <w:rPr>
                <w:sz w:val="20"/>
                <w:szCs w:val="20"/>
                <w:color w:val="auto"/>
              </w:rPr>
            </w:pPr>
            <w:r>
              <w:rPr>
                <w:rFonts w:ascii="Arial" w:cs="Arial" w:eastAsia="Arial" w:hAnsi="Arial"/>
                <w:sz w:val="14"/>
                <w:szCs w:val="14"/>
                <w:b w:val="1"/>
                <w:bCs w:val="1"/>
                <w:color w:val="auto"/>
              </w:rPr>
              <w:t>Net Income</w:t>
            </w:r>
          </w:p>
        </w:tc>
        <w:tc>
          <w:tcPr>
            <w:tcW w:w="420" w:type="dxa"/>
            <w:vAlign w:val="bottom"/>
            <w:tcBorders>
              <w:bottom w:val="single" w:sz="8" w:color="35BF85"/>
            </w:tcBorders>
          </w:tcPr>
          <w:p>
            <w:pPr>
              <w:ind w:left="320"/>
              <w:spacing w:after="0" w:line="142" w:lineRule="exact"/>
              <w:rPr>
                <w:sz w:val="20"/>
                <w:szCs w:val="20"/>
                <w:color w:val="auto"/>
              </w:rPr>
            </w:pPr>
            <w:r>
              <w:rPr>
                <w:rFonts w:ascii="Arial" w:cs="Arial" w:eastAsia="Arial" w:hAnsi="Arial"/>
                <w:sz w:val="14"/>
                <w:szCs w:val="14"/>
                <w:color w:val="auto"/>
              </w:rPr>
              <w:t>$</w:t>
            </w:r>
          </w:p>
        </w:tc>
        <w:tc>
          <w:tcPr>
            <w:tcW w:w="580" w:type="dxa"/>
            <w:vAlign w:val="bottom"/>
            <w:tcBorders>
              <w:bottom w:val="single" w:sz="8" w:color="35BF85"/>
            </w:tcBorders>
          </w:tcPr>
          <w:p>
            <w:pPr>
              <w:jc w:val="right"/>
              <w:ind w:right="72"/>
              <w:spacing w:after="0" w:line="142" w:lineRule="exact"/>
              <w:rPr>
                <w:sz w:val="20"/>
                <w:szCs w:val="20"/>
                <w:color w:val="auto"/>
              </w:rPr>
            </w:pPr>
            <w:r>
              <w:rPr>
                <w:rFonts w:ascii="Arial" w:cs="Arial" w:eastAsia="Arial" w:hAnsi="Arial"/>
                <w:sz w:val="14"/>
                <w:szCs w:val="14"/>
                <w:color w:val="auto"/>
              </w:rPr>
              <w:t>2,533</w:t>
            </w:r>
          </w:p>
        </w:tc>
        <w:tc>
          <w:tcPr>
            <w:tcW w:w="200" w:type="dxa"/>
            <w:vAlign w:val="bottom"/>
            <w:tcBorders>
              <w:bottom w:val="single" w:sz="8" w:color="35BF85"/>
            </w:tcBorders>
          </w:tcPr>
          <w:p>
            <w:pPr>
              <w:jc w:val="right"/>
              <w:spacing w:after="0" w:line="142" w:lineRule="exact"/>
              <w:rPr>
                <w:sz w:val="20"/>
                <w:szCs w:val="20"/>
                <w:color w:val="auto"/>
              </w:rPr>
            </w:pPr>
            <w:r>
              <w:rPr>
                <w:rFonts w:ascii="Arial" w:cs="Arial" w:eastAsia="Arial" w:hAnsi="Arial"/>
                <w:sz w:val="14"/>
                <w:szCs w:val="14"/>
                <w:color w:val="auto"/>
              </w:rPr>
              <w:t>$</w:t>
            </w:r>
          </w:p>
        </w:tc>
        <w:tc>
          <w:tcPr>
            <w:tcW w:w="500" w:type="dxa"/>
            <w:vAlign w:val="bottom"/>
            <w:tcBorders>
              <w:bottom w:val="single" w:sz="8" w:color="35BF85"/>
            </w:tcBorders>
          </w:tcPr>
          <w:p>
            <w:pPr>
              <w:jc w:val="right"/>
              <w:ind w:right="92"/>
              <w:spacing w:after="0" w:line="142" w:lineRule="exact"/>
              <w:rPr>
                <w:sz w:val="20"/>
                <w:szCs w:val="20"/>
                <w:color w:val="auto"/>
              </w:rPr>
            </w:pPr>
            <w:r>
              <w:rPr>
                <w:rFonts w:ascii="Arial" w:cs="Arial" w:eastAsia="Arial" w:hAnsi="Arial"/>
                <w:sz w:val="14"/>
                <w:szCs w:val="14"/>
                <w:color w:val="auto"/>
                <w:w w:val="91"/>
              </w:rPr>
              <w:t>1,252</w:t>
            </w:r>
          </w:p>
        </w:tc>
        <w:tc>
          <w:tcPr>
            <w:tcW w:w="180" w:type="dxa"/>
            <w:vAlign w:val="bottom"/>
            <w:tcBorders>
              <w:bottom w:val="single" w:sz="8" w:color="35BF85"/>
            </w:tcBorders>
          </w:tcPr>
          <w:p>
            <w:pPr>
              <w:jc w:val="right"/>
              <w:spacing w:after="0" w:line="142" w:lineRule="exact"/>
              <w:rPr>
                <w:sz w:val="20"/>
                <w:szCs w:val="20"/>
                <w:color w:val="auto"/>
              </w:rPr>
            </w:pPr>
            <w:r>
              <w:rPr>
                <w:rFonts w:ascii="Arial" w:cs="Arial" w:eastAsia="Arial" w:hAnsi="Arial"/>
                <w:sz w:val="14"/>
                <w:szCs w:val="14"/>
                <w:color w:val="auto"/>
              </w:rPr>
              <w:t>$</w:t>
            </w:r>
          </w:p>
        </w:tc>
        <w:tc>
          <w:tcPr>
            <w:tcW w:w="500" w:type="dxa"/>
            <w:vAlign w:val="bottom"/>
            <w:tcBorders>
              <w:bottom w:val="single" w:sz="8" w:color="35BF85"/>
            </w:tcBorders>
          </w:tcPr>
          <w:p>
            <w:pPr>
              <w:jc w:val="right"/>
              <w:ind w:right="72"/>
              <w:spacing w:after="0" w:line="142" w:lineRule="exact"/>
              <w:rPr>
                <w:sz w:val="20"/>
                <w:szCs w:val="20"/>
                <w:color w:val="auto"/>
              </w:rPr>
            </w:pPr>
            <w:r>
              <w:rPr>
                <w:rFonts w:ascii="Arial" w:cs="Arial" w:eastAsia="Arial" w:hAnsi="Arial"/>
                <w:sz w:val="14"/>
                <w:szCs w:val="14"/>
                <w:color w:val="auto"/>
                <w:w w:val="96"/>
              </w:rPr>
              <w:t>1,689</w:t>
            </w:r>
          </w:p>
        </w:tc>
        <w:tc>
          <w:tcPr>
            <w:tcW w:w="200" w:type="dxa"/>
            <w:vAlign w:val="bottom"/>
            <w:tcBorders>
              <w:bottom w:val="single" w:sz="8" w:color="35BF85"/>
            </w:tcBorders>
          </w:tcPr>
          <w:p>
            <w:pPr>
              <w:jc w:val="right"/>
              <w:spacing w:after="0" w:line="142" w:lineRule="exact"/>
              <w:rPr>
                <w:sz w:val="20"/>
                <w:szCs w:val="20"/>
                <w:color w:val="auto"/>
              </w:rPr>
            </w:pPr>
            <w:r>
              <w:rPr>
                <w:rFonts w:ascii="Arial" w:cs="Arial" w:eastAsia="Arial" w:hAnsi="Arial"/>
                <w:sz w:val="14"/>
                <w:szCs w:val="14"/>
                <w:color w:val="auto"/>
              </w:rPr>
              <w:t>$</w:t>
            </w:r>
          </w:p>
        </w:tc>
        <w:tc>
          <w:tcPr>
            <w:tcW w:w="680" w:type="dxa"/>
            <w:vAlign w:val="bottom"/>
            <w:tcBorders>
              <w:bottom w:val="single" w:sz="8" w:color="35BF85"/>
            </w:tcBorders>
          </w:tcPr>
          <w:p>
            <w:pPr>
              <w:jc w:val="right"/>
              <w:ind w:right="92"/>
              <w:spacing w:after="0" w:line="142" w:lineRule="exact"/>
              <w:rPr>
                <w:sz w:val="20"/>
                <w:szCs w:val="20"/>
                <w:color w:val="auto"/>
              </w:rPr>
            </w:pPr>
            <w:r>
              <w:rPr>
                <w:rFonts w:ascii="Arial" w:cs="Arial" w:eastAsia="Arial" w:hAnsi="Arial"/>
                <w:sz w:val="14"/>
                <w:szCs w:val="14"/>
                <w:color w:val="auto"/>
              </w:rPr>
              <w:t>1,900</w:t>
            </w:r>
          </w:p>
        </w:tc>
        <w:tc>
          <w:tcPr>
            <w:tcW w:w="240" w:type="dxa"/>
            <w:vAlign w:val="bottom"/>
            <w:tcBorders>
              <w:bottom w:val="single" w:sz="8" w:color="35BF85"/>
            </w:tcBorders>
          </w:tcPr>
          <w:p>
            <w:pPr>
              <w:ind w:left="100"/>
              <w:spacing w:after="0" w:line="142" w:lineRule="exact"/>
              <w:rPr>
                <w:sz w:val="20"/>
                <w:szCs w:val="20"/>
                <w:color w:val="auto"/>
              </w:rPr>
            </w:pPr>
            <w:r>
              <w:rPr>
                <w:rFonts w:ascii="Arial" w:cs="Arial" w:eastAsia="Arial" w:hAnsi="Arial"/>
                <w:sz w:val="14"/>
                <w:szCs w:val="14"/>
                <w:color w:val="auto"/>
              </w:rPr>
              <w:t>$</w:t>
            </w:r>
          </w:p>
        </w:tc>
        <w:tc>
          <w:tcPr>
            <w:tcW w:w="560" w:type="dxa"/>
            <w:vAlign w:val="bottom"/>
            <w:tcBorders>
              <w:bottom w:val="single" w:sz="8" w:color="35BF85"/>
            </w:tcBorders>
          </w:tcPr>
          <w:p>
            <w:pPr>
              <w:jc w:val="right"/>
              <w:ind w:right="92"/>
              <w:spacing w:after="0" w:line="142" w:lineRule="exact"/>
              <w:rPr>
                <w:sz w:val="20"/>
                <w:szCs w:val="20"/>
                <w:color w:val="auto"/>
              </w:rPr>
            </w:pPr>
            <w:r>
              <w:rPr>
                <w:rFonts w:ascii="Arial" w:cs="Arial" w:eastAsia="Arial" w:hAnsi="Arial"/>
                <w:sz w:val="14"/>
                <w:szCs w:val="14"/>
                <w:color w:val="auto"/>
              </w:rPr>
              <w:t>1,244</w:t>
            </w:r>
          </w:p>
        </w:tc>
        <w:tc>
          <w:tcPr>
            <w:tcW w:w="200" w:type="dxa"/>
            <w:vAlign w:val="bottom"/>
            <w:tcBorders>
              <w:bottom w:val="single" w:sz="8" w:color="35BF85"/>
            </w:tcBorders>
          </w:tcPr>
          <w:p>
            <w:pPr>
              <w:jc w:val="right"/>
              <w:spacing w:after="0" w:line="142" w:lineRule="exact"/>
              <w:rPr>
                <w:sz w:val="20"/>
                <w:szCs w:val="20"/>
                <w:color w:val="auto"/>
              </w:rPr>
            </w:pPr>
            <w:r>
              <w:rPr>
                <w:rFonts w:ascii="Arial" w:cs="Arial" w:eastAsia="Arial" w:hAnsi="Arial"/>
                <w:sz w:val="14"/>
                <w:szCs w:val="14"/>
                <w:color w:val="auto"/>
              </w:rPr>
              <w:t>$</w:t>
            </w:r>
          </w:p>
        </w:tc>
        <w:tc>
          <w:tcPr>
            <w:tcW w:w="800" w:type="dxa"/>
            <w:vAlign w:val="bottom"/>
            <w:tcBorders>
              <w:bottom w:val="single" w:sz="8" w:color="35BF85"/>
            </w:tcBorders>
          </w:tcPr>
          <w:p>
            <w:pPr>
              <w:jc w:val="right"/>
              <w:ind w:right="92"/>
              <w:spacing w:after="0" w:line="142" w:lineRule="exact"/>
              <w:rPr>
                <w:sz w:val="20"/>
                <w:szCs w:val="20"/>
                <w:color w:val="auto"/>
              </w:rPr>
            </w:pPr>
            <w:r>
              <w:rPr>
                <w:rFonts w:ascii="Arial" w:cs="Arial" w:eastAsia="Arial" w:hAnsi="Arial"/>
                <w:sz w:val="14"/>
                <w:szCs w:val="14"/>
                <w:color w:val="auto"/>
              </w:rPr>
              <w:t>3,512</w:t>
            </w:r>
          </w:p>
        </w:tc>
        <w:tc>
          <w:tcPr>
            <w:tcW w:w="180" w:type="dxa"/>
            <w:vAlign w:val="bottom"/>
            <w:tcBorders>
              <w:bottom w:val="single" w:sz="8" w:color="35BF85"/>
            </w:tcBorders>
          </w:tcPr>
          <w:p>
            <w:pPr>
              <w:jc w:val="right"/>
              <w:spacing w:after="0" w:line="142" w:lineRule="exact"/>
              <w:rPr>
                <w:sz w:val="20"/>
                <w:szCs w:val="20"/>
                <w:color w:val="auto"/>
              </w:rPr>
            </w:pPr>
            <w:r>
              <w:rPr>
                <w:rFonts w:ascii="Arial" w:cs="Arial" w:eastAsia="Arial" w:hAnsi="Arial"/>
                <w:sz w:val="14"/>
                <w:szCs w:val="14"/>
                <w:color w:val="auto"/>
              </w:rPr>
              <w:t>$</w:t>
            </w:r>
          </w:p>
        </w:tc>
        <w:tc>
          <w:tcPr>
            <w:tcW w:w="900" w:type="dxa"/>
            <w:vAlign w:val="bottom"/>
            <w:tcBorders>
              <w:bottom w:val="single" w:sz="8" w:color="35BF85"/>
            </w:tcBorders>
          </w:tcPr>
          <w:p>
            <w:pPr>
              <w:jc w:val="right"/>
              <w:ind w:right="32"/>
              <w:spacing w:after="0" w:line="142" w:lineRule="exact"/>
              <w:rPr>
                <w:sz w:val="20"/>
                <w:szCs w:val="20"/>
                <w:color w:val="auto"/>
              </w:rPr>
            </w:pPr>
            <w:r>
              <w:rPr>
                <w:rFonts w:ascii="Arial" w:cs="Arial" w:eastAsia="Arial" w:hAnsi="Arial"/>
                <w:sz w:val="14"/>
                <w:szCs w:val="14"/>
                <w:color w:val="auto"/>
              </w:rPr>
              <w:t>(9,597)</w:t>
            </w:r>
          </w:p>
        </w:tc>
        <w:tc>
          <w:tcPr>
            <w:tcW w:w="180" w:type="dxa"/>
            <w:vAlign w:val="bottom"/>
            <w:tcBorders>
              <w:bottom w:val="single" w:sz="8" w:color="35BF85"/>
            </w:tcBorders>
          </w:tcPr>
          <w:p>
            <w:pPr>
              <w:jc w:val="right"/>
              <w:spacing w:after="0" w:line="142" w:lineRule="exact"/>
              <w:rPr>
                <w:sz w:val="20"/>
                <w:szCs w:val="20"/>
                <w:color w:val="auto"/>
              </w:rPr>
            </w:pPr>
            <w:r>
              <w:rPr>
                <w:rFonts w:ascii="Arial" w:cs="Arial" w:eastAsia="Arial" w:hAnsi="Arial"/>
                <w:sz w:val="14"/>
                <w:szCs w:val="14"/>
                <w:b w:val="1"/>
                <w:bCs w:val="1"/>
                <w:color w:val="auto"/>
              </w:rPr>
              <w:t>$</w:t>
            </w:r>
          </w:p>
        </w:tc>
        <w:tc>
          <w:tcPr>
            <w:tcW w:w="840" w:type="dxa"/>
            <w:vAlign w:val="bottom"/>
            <w:tcBorders>
              <w:bottom w:val="single" w:sz="8" w:color="35BF85"/>
            </w:tcBorders>
          </w:tcPr>
          <w:p>
            <w:pPr>
              <w:jc w:val="right"/>
              <w:spacing w:after="0" w:line="142" w:lineRule="exact"/>
              <w:rPr>
                <w:sz w:val="20"/>
                <w:szCs w:val="20"/>
                <w:color w:val="auto"/>
              </w:rPr>
            </w:pPr>
            <w:r>
              <w:rPr>
                <w:rFonts w:ascii="Arial" w:cs="Arial" w:eastAsia="Arial" w:hAnsi="Arial"/>
                <w:sz w:val="14"/>
                <w:szCs w:val="14"/>
                <w:b w:val="1"/>
                <w:bCs w:val="1"/>
                <w:color w:val="auto"/>
              </w:rPr>
              <w:t>2,533</w:t>
            </w:r>
          </w:p>
        </w:tc>
        <w:tc>
          <w:tcPr>
            <w:tcW w:w="0" w:type="dxa"/>
            <w:vAlign w:val="bottom"/>
          </w:tcPr>
          <w:p>
            <w:pPr>
              <w:spacing w:after="0"/>
              <w:rPr>
                <w:sz w:val="1"/>
                <w:szCs w:val="1"/>
                <w:color w:val="auto"/>
              </w:rPr>
            </w:pPr>
          </w:p>
        </w:tc>
      </w:tr>
      <w:tr>
        <w:trPr>
          <w:trHeight w:val="304"/>
        </w:trPr>
        <w:tc>
          <w:tcPr>
            <w:tcW w:w="4680" w:type="dxa"/>
            <w:vAlign w:val="bottom"/>
            <w:gridSpan w:val="3"/>
          </w:tcPr>
          <w:p>
            <w:pPr>
              <w:spacing w:after="0"/>
              <w:rPr>
                <w:sz w:val="20"/>
                <w:szCs w:val="20"/>
                <w:color w:val="auto"/>
              </w:rPr>
            </w:pPr>
            <w:r>
              <w:rPr>
                <w:rFonts w:ascii="Arial" w:cs="Arial" w:eastAsia="Arial" w:hAnsi="Arial"/>
                <w:sz w:val="14"/>
                <w:szCs w:val="14"/>
                <w:b w:val="1"/>
                <w:bCs w:val="1"/>
                <w:color w:val="auto"/>
                <w:w w:val="97"/>
              </w:rPr>
              <w:t xml:space="preserve">Notes to Consolidated Financial Statements </w:t>
            </w:r>
            <w:r>
              <w:rPr>
                <w:rFonts w:ascii="Arial" w:cs="Arial" w:eastAsia="Arial" w:hAnsi="Arial"/>
                <w:sz w:val="14"/>
                <w:szCs w:val="14"/>
                <w:color w:val="auto"/>
                <w:w w:val="97"/>
              </w:rPr>
              <w:t>Comcast 2006 Annual Report</w:t>
            </w:r>
          </w:p>
        </w:tc>
        <w:tc>
          <w:tcPr>
            <w:tcW w:w="5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500" w:type="dxa"/>
            <w:vAlign w:val="bottom"/>
          </w:tcPr>
          <w:p>
            <w:pPr>
              <w:jc w:val="right"/>
              <w:ind w:right="52"/>
              <w:spacing w:after="0"/>
              <w:rPr>
                <w:sz w:val="20"/>
                <w:szCs w:val="20"/>
                <w:color w:val="auto"/>
              </w:rPr>
            </w:pPr>
            <w:r>
              <w:rPr>
                <w:rFonts w:ascii="Arial" w:cs="Arial" w:eastAsia="Arial" w:hAnsi="Arial"/>
                <w:sz w:val="14"/>
                <w:szCs w:val="14"/>
                <w:b w:val="1"/>
                <w:bCs w:val="1"/>
                <w:color w:val="auto"/>
              </w:rPr>
              <w:t>70</w:t>
            </w:r>
          </w:p>
        </w:tc>
        <w:tc>
          <w:tcPr>
            <w:tcW w:w="18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420"/>
          </w:cols>
          <w:pgMar w:left="240" w:top="459" w:right="239" w:bottom="1440" w:gutter="0" w:footer="0" w:header="0"/>
        </w:sectPr>
      </w:pPr>
    </w:p>
    <w:bookmarkStart w:id="147" w:name="page148"/>
    <w:bookmarkEnd w:id="14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221" name="Picture 2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1"/>
                    <pic:cNvPicPr>
                      <a:picLocks noChangeAspect="1" noChangeArrowheads="1"/>
                    </pic:cNvPicPr>
                  </pic:nvPicPr>
                  <pic:blipFill>
                    <a:blip r:embed="rId228">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200" w:lineRule="exact"/>
        <w:rPr>
          <w:sz w:val="20"/>
          <w:szCs w:val="20"/>
          <w:color w:val="auto"/>
        </w:rPr>
      </w:pPr>
    </w:p>
    <w:p>
      <w:pPr>
        <w:spacing w:after="0" w:line="25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Condensed Consolidating Statement of Operations</w:t>
      </w:r>
    </w:p>
    <w:p>
      <w:pPr>
        <w:spacing w:after="0" w:line="18" w:lineRule="exact"/>
        <w:rPr>
          <w:sz w:val="20"/>
          <w:szCs w:val="20"/>
          <w:color w:val="auto"/>
        </w:rPr>
      </w:pPr>
    </w:p>
    <w:p>
      <w:pPr>
        <w:spacing w:after="0"/>
        <w:rPr>
          <w:sz w:val="20"/>
          <w:szCs w:val="20"/>
          <w:color w:val="auto"/>
        </w:rPr>
      </w:pPr>
      <w:r>
        <w:rPr>
          <w:rFonts w:ascii="Arial" w:cs="Arial" w:eastAsia="Arial" w:hAnsi="Arial"/>
          <w:sz w:val="18"/>
          <w:szCs w:val="18"/>
          <w:color w:val="auto"/>
        </w:rPr>
        <w:t>For the Year Ended December 31, 2005</w:t>
      </w:r>
    </w:p>
    <w:p>
      <w:pPr>
        <w:spacing w:after="0" w:line="182"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390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920" w:type="dxa"/>
            <w:vAlign w:val="bottom"/>
          </w:tcPr>
          <w:p>
            <w:pPr>
              <w:jc w:val="right"/>
              <w:ind w:right="112"/>
              <w:spacing w:after="0"/>
              <w:rPr>
                <w:sz w:val="20"/>
                <w:szCs w:val="20"/>
                <w:color w:val="auto"/>
              </w:rPr>
            </w:pPr>
            <w:r>
              <w:rPr>
                <w:rFonts w:ascii="Arial" w:cs="Arial" w:eastAsia="Arial" w:hAnsi="Arial"/>
                <w:sz w:val="14"/>
                <w:szCs w:val="14"/>
                <w:color w:val="auto"/>
              </w:rPr>
              <w:t>Elimination</w:t>
            </w:r>
          </w:p>
        </w:tc>
        <w:tc>
          <w:tcPr>
            <w:tcW w:w="1060" w:type="dxa"/>
            <w:vAlign w:val="bottom"/>
            <w:gridSpan w:val="2"/>
            <w:vMerge w:val="restart"/>
          </w:tcPr>
          <w:p>
            <w:pPr>
              <w:ind w:left="160"/>
              <w:spacing w:after="0"/>
              <w:rPr>
                <w:sz w:val="20"/>
                <w:szCs w:val="20"/>
                <w:color w:val="auto"/>
              </w:rPr>
            </w:pPr>
            <w:r>
              <w:rPr>
                <w:rFonts w:ascii="Arial" w:cs="Arial" w:eastAsia="Arial" w:hAnsi="Arial"/>
                <w:sz w:val="14"/>
                <w:szCs w:val="14"/>
                <w:b w:val="1"/>
                <w:bCs w:val="1"/>
                <w:color w:val="auto"/>
                <w:w w:val="99"/>
              </w:rPr>
              <w:t>Consolidated</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390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940" w:type="dxa"/>
            <w:vAlign w:val="bottom"/>
            <w:gridSpan w:val="2"/>
          </w:tcPr>
          <w:p>
            <w:pPr>
              <w:ind w:left="140"/>
              <w:spacing w:after="0" w:line="133" w:lineRule="exact"/>
              <w:rPr>
                <w:sz w:val="20"/>
                <w:szCs w:val="20"/>
                <w:color w:val="auto"/>
              </w:rPr>
            </w:pPr>
            <w:r>
              <w:rPr>
                <w:rFonts w:ascii="Arial" w:cs="Arial" w:eastAsia="Arial" w:hAnsi="Arial"/>
                <w:sz w:val="14"/>
                <w:szCs w:val="14"/>
                <w:color w:val="auto"/>
              </w:rPr>
              <w:t>Combined</w:t>
            </w:r>
          </w:p>
        </w:tc>
        <w:tc>
          <w:tcPr>
            <w:tcW w:w="32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820" w:type="dxa"/>
            <w:vAlign w:val="bottom"/>
          </w:tcPr>
          <w:p>
            <w:pPr>
              <w:jc w:val="right"/>
              <w:ind w:right="132"/>
              <w:spacing w:after="0" w:line="133" w:lineRule="exact"/>
              <w:rPr>
                <w:sz w:val="20"/>
                <w:szCs w:val="20"/>
                <w:color w:val="auto"/>
              </w:rPr>
            </w:pPr>
            <w:r>
              <w:rPr>
                <w:rFonts w:ascii="Arial" w:cs="Arial" w:eastAsia="Arial" w:hAnsi="Arial"/>
                <w:sz w:val="14"/>
                <w:szCs w:val="14"/>
                <w:color w:val="auto"/>
              </w:rPr>
              <w:t>Non-</w:t>
            </w:r>
          </w:p>
        </w:tc>
        <w:tc>
          <w:tcPr>
            <w:tcW w:w="220" w:type="dxa"/>
            <w:vAlign w:val="bottom"/>
          </w:tcPr>
          <w:p>
            <w:pPr>
              <w:spacing w:after="0"/>
              <w:rPr>
                <w:sz w:val="11"/>
                <w:szCs w:val="11"/>
                <w:color w:val="auto"/>
              </w:rPr>
            </w:pPr>
          </w:p>
        </w:tc>
        <w:tc>
          <w:tcPr>
            <w:tcW w:w="920" w:type="dxa"/>
            <w:vAlign w:val="bottom"/>
          </w:tcPr>
          <w:p>
            <w:pPr>
              <w:jc w:val="right"/>
              <w:ind w:right="112"/>
              <w:spacing w:after="0" w:line="133" w:lineRule="exact"/>
              <w:rPr>
                <w:sz w:val="20"/>
                <w:szCs w:val="20"/>
                <w:color w:val="auto"/>
              </w:rPr>
            </w:pPr>
            <w:r>
              <w:rPr>
                <w:rFonts w:ascii="Arial" w:cs="Arial" w:eastAsia="Arial" w:hAnsi="Arial"/>
                <w:sz w:val="14"/>
                <w:szCs w:val="14"/>
                <w:color w:val="auto"/>
              </w:rPr>
              <w:t>and</w:t>
            </w:r>
          </w:p>
        </w:tc>
        <w:tc>
          <w:tcPr>
            <w:tcW w:w="1060" w:type="dxa"/>
            <w:vAlign w:val="bottom"/>
            <w:gridSpan w:val="2"/>
            <w:vMerge w:val="continue"/>
          </w:tcPr>
          <w:p>
            <w:pPr>
              <w:spacing w:after="0"/>
              <w:rPr>
                <w:sz w:val="11"/>
                <w:szCs w:val="11"/>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900" w:type="dxa"/>
            <w:vAlign w:val="bottom"/>
          </w:tcPr>
          <w:p>
            <w:pPr>
              <w:spacing w:after="0"/>
              <w:rPr>
                <w:sz w:val="12"/>
                <w:szCs w:val="12"/>
                <w:color w:val="auto"/>
              </w:rPr>
            </w:pPr>
          </w:p>
        </w:tc>
        <w:tc>
          <w:tcPr>
            <w:tcW w:w="940" w:type="dxa"/>
            <w:vAlign w:val="bottom"/>
            <w:gridSpan w:val="2"/>
          </w:tcPr>
          <w:p>
            <w:pPr>
              <w:ind w:left="220"/>
              <w:spacing w:after="0" w:line="149" w:lineRule="exact"/>
              <w:rPr>
                <w:sz w:val="20"/>
                <w:szCs w:val="20"/>
                <w:color w:val="auto"/>
              </w:rPr>
            </w:pPr>
            <w:r>
              <w:rPr>
                <w:rFonts w:ascii="Arial" w:cs="Arial" w:eastAsia="Arial" w:hAnsi="Arial"/>
                <w:sz w:val="14"/>
                <w:szCs w:val="14"/>
                <w:color w:val="auto"/>
              </w:rPr>
              <w:t>Comcast</w:t>
            </w:r>
          </w:p>
        </w:tc>
        <w:tc>
          <w:tcPr>
            <w:tcW w:w="720" w:type="dxa"/>
            <w:vAlign w:val="bottom"/>
            <w:gridSpan w:val="2"/>
          </w:tcPr>
          <w:p>
            <w:pPr>
              <w:jc w:val="right"/>
              <w:ind w:right="92"/>
              <w:spacing w:after="0" w:line="149" w:lineRule="exact"/>
              <w:rPr>
                <w:sz w:val="20"/>
                <w:szCs w:val="20"/>
                <w:color w:val="auto"/>
              </w:rPr>
            </w:pPr>
            <w:r>
              <w:rPr>
                <w:rFonts w:ascii="Arial" w:cs="Arial" w:eastAsia="Arial" w:hAnsi="Arial"/>
                <w:sz w:val="14"/>
                <w:szCs w:val="14"/>
                <w:color w:val="auto"/>
              </w:rPr>
              <w:t>CCCL</w:t>
            </w:r>
          </w:p>
        </w:tc>
        <w:tc>
          <w:tcPr>
            <w:tcW w:w="760" w:type="dxa"/>
            <w:vAlign w:val="bottom"/>
            <w:gridSpan w:val="2"/>
          </w:tcPr>
          <w:p>
            <w:pPr>
              <w:ind w:left="180"/>
              <w:spacing w:after="0" w:line="149" w:lineRule="exact"/>
              <w:rPr>
                <w:sz w:val="20"/>
                <w:szCs w:val="20"/>
                <w:color w:val="auto"/>
              </w:rPr>
            </w:pPr>
            <w:r>
              <w:rPr>
                <w:rFonts w:ascii="Arial" w:cs="Arial" w:eastAsia="Arial" w:hAnsi="Arial"/>
                <w:sz w:val="14"/>
                <w:szCs w:val="14"/>
                <w:color w:val="auto"/>
              </w:rPr>
              <w:t>CCCH</w:t>
            </w:r>
          </w:p>
        </w:tc>
        <w:tc>
          <w:tcPr>
            <w:tcW w:w="240" w:type="dxa"/>
            <w:vAlign w:val="bottom"/>
          </w:tcPr>
          <w:p>
            <w:pPr>
              <w:spacing w:after="0"/>
              <w:rPr>
                <w:sz w:val="12"/>
                <w:szCs w:val="12"/>
                <w:color w:val="auto"/>
              </w:rPr>
            </w:pPr>
          </w:p>
        </w:tc>
        <w:tc>
          <w:tcPr>
            <w:tcW w:w="700" w:type="dxa"/>
            <w:vAlign w:val="bottom"/>
          </w:tcPr>
          <w:p>
            <w:pPr>
              <w:jc w:val="right"/>
              <w:ind w:right="112"/>
              <w:spacing w:after="0" w:line="149" w:lineRule="exact"/>
              <w:rPr>
                <w:sz w:val="20"/>
                <w:szCs w:val="20"/>
                <w:color w:val="auto"/>
              </w:rPr>
            </w:pPr>
            <w:r>
              <w:rPr>
                <w:rFonts w:ascii="Arial" w:cs="Arial" w:eastAsia="Arial" w:hAnsi="Arial"/>
                <w:sz w:val="14"/>
                <w:szCs w:val="14"/>
                <w:color w:val="auto"/>
                <w:w w:val="94"/>
              </w:rPr>
              <w:t>CCHMO</w:t>
            </w:r>
          </w:p>
        </w:tc>
        <w:tc>
          <w:tcPr>
            <w:tcW w:w="860" w:type="dxa"/>
            <w:vAlign w:val="bottom"/>
            <w:gridSpan w:val="2"/>
          </w:tcPr>
          <w:p>
            <w:pPr>
              <w:ind w:left="140"/>
              <w:spacing w:after="0" w:line="149" w:lineRule="exact"/>
              <w:rPr>
                <w:sz w:val="20"/>
                <w:szCs w:val="20"/>
                <w:color w:val="auto"/>
              </w:rPr>
            </w:pPr>
            <w:r>
              <w:rPr>
                <w:rFonts w:ascii="Arial" w:cs="Arial" w:eastAsia="Arial" w:hAnsi="Arial"/>
                <w:sz w:val="14"/>
                <w:szCs w:val="14"/>
                <w:color w:val="auto"/>
              </w:rPr>
              <w:t>Comcast</w:t>
            </w:r>
          </w:p>
        </w:tc>
        <w:tc>
          <w:tcPr>
            <w:tcW w:w="260" w:type="dxa"/>
            <w:vAlign w:val="bottom"/>
          </w:tcPr>
          <w:p>
            <w:pPr>
              <w:spacing w:after="0"/>
              <w:rPr>
                <w:sz w:val="12"/>
                <w:szCs w:val="12"/>
                <w:color w:val="auto"/>
              </w:rPr>
            </w:pPr>
          </w:p>
        </w:tc>
        <w:tc>
          <w:tcPr>
            <w:tcW w:w="820" w:type="dxa"/>
            <w:vAlign w:val="bottom"/>
          </w:tcPr>
          <w:p>
            <w:pPr>
              <w:jc w:val="right"/>
              <w:ind w:right="132"/>
              <w:spacing w:after="0" w:line="149" w:lineRule="exact"/>
              <w:rPr>
                <w:sz w:val="20"/>
                <w:szCs w:val="20"/>
                <w:color w:val="auto"/>
              </w:rPr>
            </w:pPr>
            <w:r>
              <w:rPr>
                <w:rFonts w:ascii="Arial" w:cs="Arial" w:eastAsia="Arial" w:hAnsi="Arial"/>
                <w:sz w:val="14"/>
                <w:szCs w:val="14"/>
                <w:color w:val="auto"/>
                <w:w w:val="95"/>
              </w:rPr>
              <w:t>Guarantor</w:t>
            </w:r>
          </w:p>
        </w:tc>
        <w:tc>
          <w:tcPr>
            <w:tcW w:w="1140" w:type="dxa"/>
            <w:vAlign w:val="bottom"/>
            <w:gridSpan w:val="2"/>
          </w:tcPr>
          <w:p>
            <w:pPr>
              <w:ind w:left="140"/>
              <w:spacing w:after="0" w:line="149" w:lineRule="exact"/>
              <w:rPr>
                <w:sz w:val="20"/>
                <w:szCs w:val="20"/>
                <w:color w:val="auto"/>
              </w:rPr>
            </w:pPr>
            <w:r>
              <w:rPr>
                <w:rFonts w:ascii="Arial" w:cs="Arial" w:eastAsia="Arial" w:hAnsi="Arial"/>
                <w:sz w:val="14"/>
                <w:szCs w:val="14"/>
                <w:color w:val="auto"/>
              </w:rPr>
              <w:t>Consolidation</w:t>
            </w:r>
          </w:p>
        </w:tc>
        <w:tc>
          <w:tcPr>
            <w:tcW w:w="220" w:type="dxa"/>
            <w:vAlign w:val="bottom"/>
          </w:tcPr>
          <w:p>
            <w:pPr>
              <w:spacing w:after="0"/>
              <w:rPr>
                <w:sz w:val="12"/>
                <w:szCs w:val="12"/>
                <w:color w:val="auto"/>
              </w:rPr>
            </w:pPr>
          </w:p>
        </w:tc>
        <w:tc>
          <w:tcPr>
            <w:tcW w:w="840" w:type="dxa"/>
            <w:vAlign w:val="bottom"/>
          </w:tcPr>
          <w:p>
            <w:pPr>
              <w:jc w:val="right"/>
              <w:spacing w:after="0" w:line="149" w:lineRule="exact"/>
              <w:rPr>
                <w:sz w:val="20"/>
                <w:szCs w:val="20"/>
                <w:color w:val="auto"/>
              </w:rPr>
            </w:pPr>
            <w:r>
              <w:rPr>
                <w:rFonts w:ascii="Arial" w:cs="Arial" w:eastAsia="Arial" w:hAnsi="Arial"/>
                <w:sz w:val="14"/>
                <w:szCs w:val="14"/>
                <w:b w:val="1"/>
                <w:bCs w:val="1"/>
                <w:color w:val="auto"/>
              </w:rPr>
              <w:t>Comcast</w:t>
            </w:r>
          </w:p>
        </w:tc>
        <w:tc>
          <w:tcPr>
            <w:tcW w:w="0" w:type="dxa"/>
            <w:vAlign w:val="bottom"/>
          </w:tcPr>
          <w:p>
            <w:pPr>
              <w:spacing w:after="0"/>
              <w:rPr>
                <w:sz w:val="1"/>
                <w:szCs w:val="1"/>
                <w:color w:val="auto"/>
              </w:rPr>
            </w:pPr>
          </w:p>
        </w:tc>
      </w:tr>
      <w:tr>
        <w:trPr>
          <w:trHeight w:val="165"/>
        </w:trPr>
        <w:tc>
          <w:tcPr>
            <w:tcW w:w="3920" w:type="dxa"/>
            <w:vAlign w:val="bottom"/>
            <w:tcBorders>
              <w:bottom w:val="single" w:sz="8" w:color="auto"/>
            </w:tcBorders>
            <w:gridSpan w:val="2"/>
          </w:tcPr>
          <w:p>
            <w:pPr>
              <w:spacing w:after="0"/>
              <w:rPr>
                <w:sz w:val="20"/>
                <w:szCs w:val="20"/>
                <w:color w:val="auto"/>
              </w:rPr>
            </w:pPr>
            <w:r>
              <w:rPr>
                <w:rFonts w:ascii="Arial" w:cs="Arial" w:eastAsia="Arial" w:hAnsi="Arial"/>
                <w:sz w:val="14"/>
                <w:szCs w:val="14"/>
                <w:color w:val="auto"/>
              </w:rPr>
              <w:t>(in millions)</w:t>
            </w:r>
          </w:p>
        </w:tc>
        <w:tc>
          <w:tcPr>
            <w:tcW w:w="320" w:type="dxa"/>
            <w:vAlign w:val="bottom"/>
            <w:tcBorders>
              <w:bottom w:val="single" w:sz="8" w:color="auto"/>
            </w:tcBorders>
          </w:tcPr>
          <w:p>
            <w:pPr>
              <w:spacing w:after="0"/>
              <w:rPr>
                <w:sz w:val="14"/>
                <w:szCs w:val="14"/>
                <w:color w:val="auto"/>
              </w:rPr>
            </w:pPr>
          </w:p>
        </w:tc>
        <w:tc>
          <w:tcPr>
            <w:tcW w:w="620" w:type="dxa"/>
            <w:vAlign w:val="bottom"/>
            <w:tcBorders>
              <w:bottom w:val="single" w:sz="8" w:color="auto"/>
            </w:tcBorders>
          </w:tcPr>
          <w:p>
            <w:pPr>
              <w:jc w:val="right"/>
              <w:ind w:right="132"/>
              <w:spacing w:after="0"/>
              <w:rPr>
                <w:sz w:val="20"/>
                <w:szCs w:val="20"/>
                <w:color w:val="auto"/>
              </w:rPr>
            </w:pPr>
            <w:r>
              <w:rPr>
                <w:rFonts w:ascii="Arial" w:cs="Arial" w:eastAsia="Arial" w:hAnsi="Arial"/>
                <w:sz w:val="14"/>
                <w:szCs w:val="14"/>
                <w:color w:val="auto"/>
                <w:w w:val="96"/>
              </w:rPr>
              <w:t>Parent</w:t>
            </w:r>
          </w:p>
        </w:tc>
        <w:tc>
          <w:tcPr>
            <w:tcW w:w="720" w:type="dxa"/>
            <w:vAlign w:val="bottom"/>
            <w:tcBorders>
              <w:bottom w:val="single" w:sz="8" w:color="auto"/>
            </w:tcBorders>
            <w:gridSpan w:val="2"/>
          </w:tcPr>
          <w:p>
            <w:pPr>
              <w:jc w:val="right"/>
              <w:ind w:right="92"/>
              <w:spacing w:after="0"/>
              <w:rPr>
                <w:sz w:val="20"/>
                <w:szCs w:val="20"/>
                <w:color w:val="auto"/>
              </w:rPr>
            </w:pPr>
            <w:r>
              <w:rPr>
                <w:rFonts w:ascii="Arial" w:cs="Arial" w:eastAsia="Arial" w:hAnsi="Arial"/>
                <w:sz w:val="14"/>
                <w:szCs w:val="14"/>
                <w:color w:val="auto"/>
              </w:rPr>
              <w:t>Parent</w:t>
            </w:r>
          </w:p>
        </w:tc>
        <w:tc>
          <w:tcPr>
            <w:tcW w:w="760" w:type="dxa"/>
            <w:vAlign w:val="bottom"/>
            <w:tcBorders>
              <w:bottom w:val="single" w:sz="8" w:color="auto"/>
            </w:tcBorders>
            <w:gridSpan w:val="2"/>
          </w:tcPr>
          <w:p>
            <w:pPr>
              <w:ind w:left="180"/>
              <w:spacing w:after="0"/>
              <w:rPr>
                <w:sz w:val="20"/>
                <w:szCs w:val="20"/>
                <w:color w:val="auto"/>
              </w:rPr>
            </w:pPr>
            <w:r>
              <w:rPr>
                <w:rFonts w:ascii="Arial" w:cs="Arial" w:eastAsia="Arial" w:hAnsi="Arial"/>
                <w:sz w:val="14"/>
                <w:szCs w:val="14"/>
                <w:color w:val="auto"/>
              </w:rPr>
              <w:t>Parent</w:t>
            </w:r>
          </w:p>
        </w:tc>
        <w:tc>
          <w:tcPr>
            <w:tcW w:w="240" w:type="dxa"/>
            <w:vAlign w:val="bottom"/>
            <w:tcBorders>
              <w:bottom w:val="single" w:sz="8" w:color="auto"/>
            </w:tcBorders>
          </w:tcPr>
          <w:p>
            <w:pPr>
              <w:spacing w:after="0"/>
              <w:rPr>
                <w:sz w:val="14"/>
                <w:szCs w:val="14"/>
                <w:color w:val="auto"/>
              </w:rPr>
            </w:pPr>
          </w:p>
        </w:tc>
        <w:tc>
          <w:tcPr>
            <w:tcW w:w="700" w:type="dxa"/>
            <w:vAlign w:val="bottom"/>
            <w:tcBorders>
              <w:bottom w:val="single" w:sz="8" w:color="auto"/>
            </w:tcBorders>
          </w:tcPr>
          <w:p>
            <w:pPr>
              <w:jc w:val="right"/>
              <w:ind w:right="112"/>
              <w:spacing w:after="0"/>
              <w:rPr>
                <w:sz w:val="20"/>
                <w:szCs w:val="20"/>
                <w:color w:val="auto"/>
              </w:rPr>
            </w:pPr>
            <w:r>
              <w:rPr>
                <w:rFonts w:ascii="Arial" w:cs="Arial" w:eastAsia="Arial" w:hAnsi="Arial"/>
                <w:sz w:val="14"/>
                <w:szCs w:val="14"/>
                <w:color w:val="auto"/>
              </w:rPr>
              <w:t>Parents</w:t>
            </w:r>
          </w:p>
        </w:tc>
        <w:tc>
          <w:tcPr>
            <w:tcW w:w="860" w:type="dxa"/>
            <w:vAlign w:val="bottom"/>
            <w:tcBorders>
              <w:bottom w:val="single" w:sz="8" w:color="auto"/>
            </w:tcBorders>
            <w:gridSpan w:val="2"/>
          </w:tcPr>
          <w:p>
            <w:pPr>
              <w:ind w:left="160"/>
              <w:spacing w:after="0"/>
              <w:rPr>
                <w:sz w:val="20"/>
                <w:szCs w:val="20"/>
                <w:color w:val="auto"/>
              </w:rPr>
            </w:pPr>
            <w:r>
              <w:rPr>
                <w:rFonts w:ascii="Arial" w:cs="Arial" w:eastAsia="Arial" w:hAnsi="Arial"/>
                <w:sz w:val="14"/>
                <w:szCs w:val="14"/>
                <w:color w:val="auto"/>
              </w:rPr>
              <w:t>Holdings</w:t>
            </w:r>
          </w:p>
        </w:tc>
        <w:tc>
          <w:tcPr>
            <w:tcW w:w="1080" w:type="dxa"/>
            <w:vAlign w:val="bottom"/>
            <w:tcBorders>
              <w:bottom w:val="single" w:sz="8" w:color="auto"/>
            </w:tcBorders>
            <w:gridSpan w:val="2"/>
          </w:tcPr>
          <w:p>
            <w:pPr>
              <w:ind w:left="160"/>
              <w:spacing w:after="0"/>
              <w:rPr>
                <w:sz w:val="20"/>
                <w:szCs w:val="20"/>
                <w:color w:val="auto"/>
              </w:rPr>
            </w:pPr>
            <w:r>
              <w:rPr>
                <w:rFonts w:ascii="Arial" w:cs="Arial" w:eastAsia="Arial" w:hAnsi="Arial"/>
                <w:sz w:val="14"/>
                <w:szCs w:val="14"/>
                <w:color w:val="auto"/>
              </w:rPr>
              <w:t>Subsidiaries</w:t>
            </w:r>
          </w:p>
        </w:tc>
        <w:tc>
          <w:tcPr>
            <w:tcW w:w="220" w:type="dxa"/>
            <w:vAlign w:val="bottom"/>
            <w:tcBorders>
              <w:bottom w:val="single" w:sz="8" w:color="auto"/>
            </w:tcBorders>
          </w:tcPr>
          <w:p>
            <w:pPr>
              <w:spacing w:after="0"/>
              <w:rPr>
                <w:sz w:val="14"/>
                <w:szCs w:val="14"/>
                <w:color w:val="auto"/>
              </w:rPr>
            </w:pPr>
          </w:p>
        </w:tc>
        <w:tc>
          <w:tcPr>
            <w:tcW w:w="920" w:type="dxa"/>
            <w:vAlign w:val="bottom"/>
            <w:tcBorders>
              <w:bottom w:val="single" w:sz="8" w:color="auto"/>
            </w:tcBorders>
          </w:tcPr>
          <w:p>
            <w:pPr>
              <w:jc w:val="right"/>
              <w:ind w:right="112"/>
              <w:spacing w:after="0"/>
              <w:rPr>
                <w:sz w:val="20"/>
                <w:szCs w:val="20"/>
                <w:color w:val="auto"/>
              </w:rPr>
            </w:pPr>
            <w:r>
              <w:rPr>
                <w:rFonts w:ascii="Arial" w:cs="Arial" w:eastAsia="Arial" w:hAnsi="Arial"/>
                <w:sz w:val="14"/>
                <w:szCs w:val="14"/>
                <w:color w:val="auto"/>
                <w:w w:val="93"/>
              </w:rPr>
              <w:t>Adjustments</w:t>
            </w:r>
          </w:p>
        </w:tc>
        <w:tc>
          <w:tcPr>
            <w:tcW w:w="220" w:type="dxa"/>
            <w:vAlign w:val="bottom"/>
            <w:tcBorders>
              <w:bottom w:val="single" w:sz="8" w:color="auto"/>
            </w:tcBorders>
          </w:tcPr>
          <w:p>
            <w:pPr>
              <w:spacing w:after="0"/>
              <w:rPr>
                <w:sz w:val="14"/>
                <w:szCs w:val="14"/>
                <w:color w:val="auto"/>
              </w:rPr>
            </w:pPr>
          </w:p>
        </w:tc>
        <w:tc>
          <w:tcPr>
            <w:tcW w:w="84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w w:val="94"/>
              </w:rPr>
              <w:t>Corporation</w:t>
            </w:r>
          </w:p>
        </w:tc>
        <w:tc>
          <w:tcPr>
            <w:tcW w:w="0" w:type="dxa"/>
            <w:vAlign w:val="bottom"/>
          </w:tcPr>
          <w:p>
            <w:pPr>
              <w:spacing w:after="0"/>
              <w:rPr>
                <w:sz w:val="1"/>
                <w:szCs w:val="1"/>
                <w:color w:val="auto"/>
              </w:rPr>
            </w:pPr>
          </w:p>
        </w:tc>
      </w:tr>
      <w:tr>
        <w:trPr>
          <w:trHeight w:val="141"/>
        </w:trPr>
        <w:tc>
          <w:tcPr>
            <w:tcW w:w="3920" w:type="dxa"/>
            <w:vAlign w:val="bottom"/>
            <w:gridSpan w:val="2"/>
          </w:tcPr>
          <w:p>
            <w:pPr>
              <w:spacing w:after="0" w:line="141" w:lineRule="exact"/>
              <w:rPr>
                <w:sz w:val="20"/>
                <w:szCs w:val="20"/>
                <w:color w:val="auto"/>
              </w:rPr>
            </w:pPr>
            <w:r>
              <w:rPr>
                <w:rFonts w:ascii="Arial" w:cs="Arial" w:eastAsia="Arial" w:hAnsi="Arial"/>
                <w:sz w:val="14"/>
                <w:szCs w:val="14"/>
                <w:b w:val="1"/>
                <w:bCs w:val="1"/>
                <w:color w:val="auto"/>
              </w:rPr>
              <w:t>Revenues</w:t>
            </w:r>
          </w:p>
        </w:tc>
        <w:tc>
          <w:tcPr>
            <w:tcW w:w="32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920" w:type="dxa"/>
            <w:vAlign w:val="bottom"/>
          </w:tcPr>
          <w:p>
            <w:pPr>
              <w:spacing w:after="0"/>
              <w:rPr>
                <w:sz w:val="12"/>
                <w:szCs w:val="12"/>
                <w:color w:val="auto"/>
              </w:rPr>
            </w:pPr>
          </w:p>
        </w:tc>
        <w:tc>
          <w:tcPr>
            <w:tcW w:w="220" w:type="dxa"/>
            <w:vAlign w:val="bottom"/>
            <w:vMerge w:val="restart"/>
          </w:tcPr>
          <w:p>
            <w:pPr>
              <w:ind w:left="140"/>
              <w:spacing w:after="0"/>
              <w:rPr>
                <w:sz w:val="20"/>
                <w:szCs w:val="20"/>
                <w:color w:val="auto"/>
              </w:rPr>
            </w:pPr>
            <w:r>
              <w:rPr>
                <w:rFonts w:ascii="Arial" w:cs="Arial" w:eastAsia="Arial" w:hAnsi="Arial"/>
                <w:sz w:val="14"/>
                <w:szCs w:val="14"/>
                <w:b w:val="1"/>
                <w:bCs w:val="1"/>
                <w:color w:val="auto"/>
                <w:w w:val="76"/>
              </w:rPr>
              <w:t>$</w:t>
            </w:r>
          </w:p>
        </w:tc>
        <w:tc>
          <w:tcPr>
            <w:tcW w:w="840" w:type="dxa"/>
            <w:vAlign w:val="bottom"/>
            <w:vMerge w:val="restart"/>
          </w:tcPr>
          <w:p>
            <w:pPr>
              <w:jc w:val="right"/>
              <w:spacing w:after="0"/>
              <w:rPr>
                <w:sz w:val="20"/>
                <w:szCs w:val="20"/>
                <w:color w:val="auto"/>
              </w:rPr>
            </w:pPr>
            <w:r>
              <w:rPr>
                <w:rFonts w:ascii="Arial" w:cs="Arial" w:eastAsia="Arial" w:hAnsi="Arial"/>
                <w:sz w:val="14"/>
                <w:szCs w:val="14"/>
                <w:b w:val="1"/>
                <w:bCs w:val="1"/>
                <w:color w:val="auto"/>
              </w:rPr>
              <w:t>21.075</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3900" w:type="dxa"/>
            <w:vAlign w:val="bottom"/>
          </w:tcPr>
          <w:p>
            <w:pPr>
              <w:ind w:left="200"/>
              <w:spacing w:after="0" w:line="133" w:lineRule="exact"/>
              <w:rPr>
                <w:sz w:val="20"/>
                <w:szCs w:val="20"/>
                <w:color w:val="auto"/>
              </w:rPr>
            </w:pPr>
            <w:r>
              <w:rPr>
                <w:rFonts w:ascii="Arial" w:cs="Arial" w:eastAsia="Arial" w:hAnsi="Arial"/>
                <w:sz w:val="14"/>
                <w:szCs w:val="14"/>
                <w:color w:val="auto"/>
              </w:rPr>
              <w:t>Service revenues</w:t>
            </w:r>
          </w:p>
        </w:tc>
        <w:tc>
          <w:tcPr>
            <w:tcW w:w="320" w:type="dxa"/>
            <w:vAlign w:val="bottom"/>
          </w:tcPr>
          <w:p>
            <w:pPr>
              <w:ind w:left="200"/>
              <w:spacing w:after="0" w:line="133" w:lineRule="exact"/>
              <w:rPr>
                <w:sz w:val="20"/>
                <w:szCs w:val="20"/>
                <w:color w:val="auto"/>
              </w:rPr>
            </w:pPr>
            <w:r>
              <w:rPr>
                <w:rFonts w:ascii="Arial" w:cs="Arial" w:eastAsia="Arial" w:hAnsi="Arial"/>
                <w:sz w:val="14"/>
                <w:szCs w:val="14"/>
                <w:color w:val="auto"/>
              </w:rPr>
              <w:t>$</w:t>
            </w:r>
          </w:p>
        </w:tc>
        <w:tc>
          <w:tcPr>
            <w:tcW w:w="620" w:type="dxa"/>
            <w:vAlign w:val="bottom"/>
          </w:tcPr>
          <w:p>
            <w:pPr>
              <w:jc w:val="right"/>
              <w:ind w:right="132"/>
              <w:spacing w:after="0" w:line="133" w:lineRule="exact"/>
              <w:rPr>
                <w:sz w:val="20"/>
                <w:szCs w:val="20"/>
                <w:color w:val="auto"/>
              </w:rPr>
            </w:pPr>
            <w:r>
              <w:rPr>
                <w:rFonts w:ascii="Arial" w:cs="Arial" w:eastAsia="Arial" w:hAnsi="Arial"/>
                <w:sz w:val="14"/>
                <w:szCs w:val="14"/>
                <w:color w:val="auto"/>
              </w:rPr>
              <w:t>—</w:t>
            </w:r>
          </w:p>
        </w:tc>
        <w:tc>
          <w:tcPr>
            <w:tcW w:w="220" w:type="dxa"/>
            <w:vAlign w:val="bottom"/>
          </w:tcPr>
          <w:p>
            <w:pPr>
              <w:jc w:val="right"/>
              <w:spacing w:after="0" w:line="133" w:lineRule="exact"/>
              <w:rPr>
                <w:sz w:val="20"/>
                <w:szCs w:val="20"/>
                <w:color w:val="auto"/>
              </w:rPr>
            </w:pPr>
            <w:r>
              <w:rPr>
                <w:rFonts w:ascii="Arial" w:cs="Arial" w:eastAsia="Arial" w:hAnsi="Arial"/>
                <w:sz w:val="14"/>
                <w:szCs w:val="14"/>
                <w:color w:val="auto"/>
              </w:rPr>
              <w:t>$</w:t>
            </w:r>
          </w:p>
        </w:tc>
        <w:tc>
          <w:tcPr>
            <w:tcW w:w="500" w:type="dxa"/>
            <w:vAlign w:val="bottom"/>
          </w:tcPr>
          <w:p>
            <w:pPr>
              <w:jc w:val="right"/>
              <w:ind w:right="92"/>
              <w:spacing w:after="0" w:line="133" w:lineRule="exact"/>
              <w:rPr>
                <w:sz w:val="20"/>
                <w:szCs w:val="20"/>
                <w:color w:val="auto"/>
              </w:rPr>
            </w:pPr>
            <w:r>
              <w:rPr>
                <w:rFonts w:ascii="Arial" w:cs="Arial" w:eastAsia="Arial" w:hAnsi="Arial"/>
                <w:sz w:val="14"/>
                <w:szCs w:val="14"/>
                <w:color w:val="auto"/>
              </w:rPr>
              <w:t>—</w:t>
            </w:r>
          </w:p>
        </w:tc>
        <w:tc>
          <w:tcPr>
            <w:tcW w:w="280" w:type="dxa"/>
            <w:vAlign w:val="bottom"/>
          </w:tcPr>
          <w:p>
            <w:pPr>
              <w:ind w:left="160"/>
              <w:spacing w:after="0" w:line="133" w:lineRule="exact"/>
              <w:rPr>
                <w:sz w:val="20"/>
                <w:szCs w:val="20"/>
                <w:color w:val="auto"/>
              </w:rPr>
            </w:pPr>
            <w:r>
              <w:rPr>
                <w:rFonts w:ascii="Arial" w:cs="Arial" w:eastAsia="Arial" w:hAnsi="Arial"/>
                <w:sz w:val="14"/>
                <w:szCs w:val="14"/>
                <w:color w:val="auto"/>
              </w:rPr>
              <w:t>$</w:t>
            </w:r>
          </w:p>
        </w:tc>
        <w:tc>
          <w:tcPr>
            <w:tcW w:w="480" w:type="dxa"/>
            <w:vAlign w:val="bottom"/>
          </w:tcPr>
          <w:p>
            <w:pPr>
              <w:jc w:val="right"/>
              <w:ind w:right="112"/>
              <w:spacing w:after="0" w:line="133" w:lineRule="exact"/>
              <w:rPr>
                <w:sz w:val="20"/>
                <w:szCs w:val="20"/>
                <w:color w:val="auto"/>
              </w:rPr>
            </w:pPr>
            <w:r>
              <w:rPr>
                <w:rFonts w:ascii="Arial" w:cs="Arial" w:eastAsia="Arial" w:hAnsi="Arial"/>
                <w:sz w:val="14"/>
                <w:szCs w:val="14"/>
                <w:color w:val="auto"/>
              </w:rPr>
              <w:t>—</w:t>
            </w:r>
          </w:p>
        </w:tc>
        <w:tc>
          <w:tcPr>
            <w:tcW w:w="240" w:type="dxa"/>
            <w:vAlign w:val="bottom"/>
          </w:tcPr>
          <w:p>
            <w:pPr>
              <w:ind w:left="140"/>
              <w:spacing w:after="0" w:line="133" w:lineRule="exact"/>
              <w:rPr>
                <w:sz w:val="20"/>
                <w:szCs w:val="20"/>
                <w:color w:val="auto"/>
              </w:rPr>
            </w:pPr>
            <w:r>
              <w:rPr>
                <w:rFonts w:ascii="Arial" w:cs="Arial" w:eastAsia="Arial" w:hAnsi="Arial"/>
                <w:sz w:val="14"/>
                <w:szCs w:val="14"/>
                <w:color w:val="auto"/>
              </w:rPr>
              <w:t>$</w:t>
            </w:r>
          </w:p>
        </w:tc>
        <w:tc>
          <w:tcPr>
            <w:tcW w:w="700" w:type="dxa"/>
            <w:vAlign w:val="bottom"/>
          </w:tcPr>
          <w:p>
            <w:pPr>
              <w:jc w:val="right"/>
              <w:ind w:right="112"/>
              <w:spacing w:after="0" w:line="133" w:lineRule="exact"/>
              <w:rPr>
                <w:sz w:val="20"/>
                <w:szCs w:val="20"/>
                <w:color w:val="auto"/>
              </w:rPr>
            </w:pPr>
            <w:r>
              <w:rPr>
                <w:rFonts w:ascii="Arial" w:cs="Arial" w:eastAsia="Arial" w:hAnsi="Arial"/>
                <w:sz w:val="14"/>
                <w:szCs w:val="14"/>
                <w:color w:val="auto"/>
              </w:rPr>
              <w:t>—</w:t>
            </w:r>
          </w:p>
        </w:tc>
        <w:tc>
          <w:tcPr>
            <w:tcW w:w="320" w:type="dxa"/>
            <w:vAlign w:val="bottom"/>
          </w:tcPr>
          <w:p>
            <w:pPr>
              <w:ind w:left="140"/>
              <w:spacing w:after="0" w:line="133" w:lineRule="exact"/>
              <w:rPr>
                <w:sz w:val="20"/>
                <w:szCs w:val="20"/>
                <w:color w:val="auto"/>
              </w:rPr>
            </w:pPr>
            <w:r>
              <w:rPr>
                <w:rFonts w:ascii="Arial" w:cs="Arial" w:eastAsia="Arial" w:hAnsi="Arial"/>
                <w:sz w:val="14"/>
                <w:szCs w:val="14"/>
                <w:color w:val="auto"/>
              </w:rPr>
              <w:t>$</w:t>
            </w:r>
          </w:p>
        </w:tc>
        <w:tc>
          <w:tcPr>
            <w:tcW w:w="540" w:type="dxa"/>
            <w:vAlign w:val="bottom"/>
          </w:tcPr>
          <w:p>
            <w:pPr>
              <w:jc w:val="right"/>
              <w:ind w:right="112"/>
              <w:spacing w:after="0" w:line="133" w:lineRule="exact"/>
              <w:rPr>
                <w:sz w:val="20"/>
                <w:szCs w:val="20"/>
                <w:color w:val="auto"/>
              </w:rPr>
            </w:pPr>
            <w:r>
              <w:rPr>
                <w:rFonts w:ascii="Arial" w:cs="Arial" w:eastAsia="Arial" w:hAnsi="Arial"/>
                <w:sz w:val="14"/>
                <w:szCs w:val="14"/>
                <w:color w:val="auto"/>
              </w:rPr>
              <w:t>—</w:t>
            </w:r>
          </w:p>
        </w:tc>
        <w:tc>
          <w:tcPr>
            <w:tcW w:w="260" w:type="dxa"/>
            <w:vAlign w:val="bottom"/>
          </w:tcPr>
          <w:p>
            <w:pPr>
              <w:ind w:left="140"/>
              <w:spacing w:after="0" w:line="133" w:lineRule="exact"/>
              <w:rPr>
                <w:sz w:val="20"/>
                <w:szCs w:val="20"/>
                <w:color w:val="auto"/>
              </w:rPr>
            </w:pPr>
            <w:r>
              <w:rPr>
                <w:rFonts w:ascii="Arial" w:cs="Arial" w:eastAsia="Arial" w:hAnsi="Arial"/>
                <w:sz w:val="14"/>
                <w:szCs w:val="14"/>
                <w:color w:val="auto"/>
              </w:rPr>
              <w:t>$</w:t>
            </w:r>
          </w:p>
        </w:tc>
        <w:tc>
          <w:tcPr>
            <w:tcW w:w="820" w:type="dxa"/>
            <w:vAlign w:val="bottom"/>
          </w:tcPr>
          <w:p>
            <w:pPr>
              <w:jc w:val="right"/>
              <w:ind w:right="132"/>
              <w:spacing w:after="0" w:line="133" w:lineRule="exact"/>
              <w:rPr>
                <w:sz w:val="20"/>
                <w:szCs w:val="20"/>
                <w:color w:val="auto"/>
              </w:rPr>
            </w:pPr>
            <w:r>
              <w:rPr>
                <w:rFonts w:ascii="Arial" w:cs="Arial" w:eastAsia="Arial" w:hAnsi="Arial"/>
                <w:sz w:val="14"/>
                <w:szCs w:val="14"/>
                <w:color w:val="auto"/>
              </w:rPr>
              <w:t>21,075</w:t>
            </w:r>
          </w:p>
        </w:tc>
        <w:tc>
          <w:tcPr>
            <w:tcW w:w="220" w:type="dxa"/>
            <w:vAlign w:val="bottom"/>
          </w:tcPr>
          <w:p>
            <w:pPr>
              <w:ind w:left="140"/>
              <w:spacing w:after="0" w:line="133" w:lineRule="exact"/>
              <w:rPr>
                <w:sz w:val="20"/>
                <w:szCs w:val="20"/>
                <w:color w:val="auto"/>
              </w:rPr>
            </w:pPr>
            <w:r>
              <w:rPr>
                <w:rFonts w:ascii="Arial" w:cs="Arial" w:eastAsia="Arial" w:hAnsi="Arial"/>
                <w:sz w:val="14"/>
                <w:szCs w:val="14"/>
                <w:color w:val="auto"/>
                <w:w w:val="76"/>
              </w:rPr>
              <w:t>$</w:t>
            </w:r>
          </w:p>
        </w:tc>
        <w:tc>
          <w:tcPr>
            <w:tcW w:w="920" w:type="dxa"/>
            <w:vAlign w:val="bottom"/>
          </w:tcPr>
          <w:p>
            <w:pPr>
              <w:jc w:val="right"/>
              <w:ind w:right="112"/>
              <w:spacing w:after="0" w:line="133" w:lineRule="exact"/>
              <w:rPr>
                <w:sz w:val="20"/>
                <w:szCs w:val="20"/>
                <w:color w:val="auto"/>
              </w:rPr>
            </w:pPr>
            <w:r>
              <w:rPr>
                <w:rFonts w:ascii="Arial" w:cs="Arial" w:eastAsia="Arial" w:hAnsi="Arial"/>
                <w:sz w:val="14"/>
                <w:szCs w:val="14"/>
                <w:color w:val="auto"/>
              </w:rPr>
              <w:t>—</w:t>
            </w:r>
          </w:p>
        </w:tc>
        <w:tc>
          <w:tcPr>
            <w:tcW w:w="220" w:type="dxa"/>
            <w:vAlign w:val="bottom"/>
            <w:vMerge w:val="continue"/>
          </w:tcPr>
          <w:p>
            <w:pPr>
              <w:spacing w:after="0"/>
              <w:rPr>
                <w:sz w:val="11"/>
                <w:szCs w:val="11"/>
                <w:color w:val="auto"/>
              </w:rPr>
            </w:pPr>
          </w:p>
        </w:tc>
        <w:tc>
          <w:tcPr>
            <w:tcW w:w="840" w:type="dxa"/>
            <w:vAlign w:val="bottom"/>
            <w:vMerge w:val="continue"/>
          </w:tcPr>
          <w:p>
            <w:pPr>
              <w:spacing w:after="0"/>
              <w:rPr>
                <w:sz w:val="11"/>
                <w:szCs w:val="11"/>
                <w:color w:val="auto"/>
              </w:rPr>
            </w:pPr>
          </w:p>
        </w:tc>
        <w:tc>
          <w:tcPr>
            <w:tcW w:w="0" w:type="dxa"/>
            <w:vAlign w:val="bottom"/>
          </w:tcPr>
          <w:p>
            <w:pPr>
              <w:spacing w:after="0"/>
              <w:rPr>
                <w:sz w:val="1"/>
                <w:szCs w:val="1"/>
                <w:color w:val="auto"/>
              </w:rPr>
            </w:pPr>
          </w:p>
        </w:tc>
      </w:tr>
      <w:tr>
        <w:trPr>
          <w:trHeight w:val="165"/>
        </w:trPr>
        <w:tc>
          <w:tcPr>
            <w:tcW w:w="20" w:type="dxa"/>
            <w:vAlign w:val="bottom"/>
          </w:tcPr>
          <w:p>
            <w:pPr>
              <w:spacing w:after="0"/>
              <w:rPr>
                <w:sz w:val="14"/>
                <w:szCs w:val="14"/>
                <w:color w:val="auto"/>
              </w:rPr>
            </w:pPr>
          </w:p>
        </w:tc>
        <w:tc>
          <w:tcPr>
            <w:tcW w:w="3900" w:type="dxa"/>
            <w:vAlign w:val="bottom"/>
            <w:tcBorders>
              <w:bottom w:val="single" w:sz="8" w:color="auto"/>
            </w:tcBorders>
          </w:tcPr>
          <w:p>
            <w:pPr>
              <w:ind w:left="200"/>
              <w:spacing w:after="0"/>
              <w:rPr>
                <w:sz w:val="20"/>
                <w:szCs w:val="20"/>
                <w:color w:val="auto"/>
              </w:rPr>
            </w:pPr>
            <w:r>
              <w:rPr>
                <w:rFonts w:ascii="Arial" w:cs="Arial" w:eastAsia="Arial" w:hAnsi="Arial"/>
                <w:sz w:val="14"/>
                <w:szCs w:val="14"/>
                <w:color w:val="auto"/>
              </w:rPr>
              <w:t>Management fee revenue</w:t>
            </w:r>
          </w:p>
        </w:tc>
        <w:tc>
          <w:tcPr>
            <w:tcW w:w="320" w:type="dxa"/>
            <w:vAlign w:val="bottom"/>
            <w:tcBorders>
              <w:bottom w:val="single" w:sz="8" w:color="auto"/>
            </w:tcBorders>
          </w:tcPr>
          <w:p>
            <w:pPr>
              <w:spacing w:after="0"/>
              <w:rPr>
                <w:sz w:val="14"/>
                <w:szCs w:val="14"/>
                <w:color w:val="auto"/>
              </w:rPr>
            </w:pPr>
          </w:p>
        </w:tc>
        <w:tc>
          <w:tcPr>
            <w:tcW w:w="620" w:type="dxa"/>
            <w:vAlign w:val="bottom"/>
            <w:tcBorders>
              <w:bottom w:val="single" w:sz="8" w:color="auto"/>
            </w:tcBorders>
          </w:tcPr>
          <w:p>
            <w:pPr>
              <w:jc w:val="right"/>
              <w:ind w:right="132"/>
              <w:spacing w:after="0"/>
              <w:rPr>
                <w:sz w:val="20"/>
                <w:szCs w:val="20"/>
                <w:color w:val="auto"/>
              </w:rPr>
            </w:pPr>
            <w:r>
              <w:rPr>
                <w:rFonts w:ascii="Arial" w:cs="Arial" w:eastAsia="Arial" w:hAnsi="Arial"/>
                <w:sz w:val="14"/>
                <w:szCs w:val="14"/>
                <w:color w:val="auto"/>
              </w:rPr>
              <w:t>457</w:t>
            </w:r>
          </w:p>
        </w:tc>
        <w:tc>
          <w:tcPr>
            <w:tcW w:w="220" w:type="dxa"/>
            <w:vAlign w:val="bottom"/>
            <w:tcBorders>
              <w:bottom w:val="single" w:sz="8" w:color="auto"/>
            </w:tcBorders>
          </w:tcPr>
          <w:p>
            <w:pPr>
              <w:spacing w:after="0"/>
              <w:rPr>
                <w:sz w:val="14"/>
                <w:szCs w:val="14"/>
                <w:color w:val="auto"/>
              </w:rPr>
            </w:pPr>
          </w:p>
        </w:tc>
        <w:tc>
          <w:tcPr>
            <w:tcW w:w="500" w:type="dxa"/>
            <w:vAlign w:val="bottom"/>
            <w:tcBorders>
              <w:bottom w:val="single" w:sz="8" w:color="auto"/>
            </w:tcBorders>
          </w:tcPr>
          <w:p>
            <w:pPr>
              <w:jc w:val="right"/>
              <w:ind w:right="92"/>
              <w:spacing w:after="0"/>
              <w:rPr>
                <w:sz w:val="20"/>
                <w:szCs w:val="20"/>
                <w:color w:val="auto"/>
              </w:rPr>
            </w:pPr>
            <w:r>
              <w:rPr>
                <w:rFonts w:ascii="Arial" w:cs="Arial" w:eastAsia="Arial" w:hAnsi="Arial"/>
                <w:sz w:val="14"/>
                <w:szCs w:val="14"/>
                <w:color w:val="auto"/>
              </w:rPr>
              <w:t>174</w:t>
            </w:r>
          </w:p>
        </w:tc>
        <w:tc>
          <w:tcPr>
            <w:tcW w:w="280" w:type="dxa"/>
            <w:vAlign w:val="bottom"/>
            <w:tcBorders>
              <w:bottom w:val="single" w:sz="8" w:color="auto"/>
            </w:tcBorders>
          </w:tcPr>
          <w:p>
            <w:pPr>
              <w:spacing w:after="0"/>
              <w:rPr>
                <w:sz w:val="14"/>
                <w:szCs w:val="14"/>
                <w:color w:val="auto"/>
              </w:rPr>
            </w:pPr>
          </w:p>
        </w:tc>
        <w:tc>
          <w:tcPr>
            <w:tcW w:w="480" w:type="dxa"/>
            <w:vAlign w:val="bottom"/>
            <w:tcBorders>
              <w:bottom w:val="single" w:sz="8" w:color="auto"/>
            </w:tcBorders>
          </w:tcPr>
          <w:p>
            <w:pPr>
              <w:jc w:val="right"/>
              <w:ind w:right="112"/>
              <w:spacing w:after="0"/>
              <w:rPr>
                <w:sz w:val="20"/>
                <w:szCs w:val="20"/>
                <w:color w:val="auto"/>
              </w:rPr>
            </w:pPr>
            <w:r>
              <w:rPr>
                <w:rFonts w:ascii="Arial" w:cs="Arial" w:eastAsia="Arial" w:hAnsi="Arial"/>
                <w:sz w:val="14"/>
                <w:szCs w:val="14"/>
                <w:color w:val="auto"/>
              </w:rPr>
              <w:t>278</w:t>
            </w:r>
          </w:p>
        </w:tc>
        <w:tc>
          <w:tcPr>
            <w:tcW w:w="240" w:type="dxa"/>
            <w:vAlign w:val="bottom"/>
            <w:tcBorders>
              <w:bottom w:val="single" w:sz="8" w:color="auto"/>
            </w:tcBorders>
          </w:tcPr>
          <w:p>
            <w:pPr>
              <w:spacing w:after="0"/>
              <w:rPr>
                <w:sz w:val="14"/>
                <w:szCs w:val="14"/>
                <w:color w:val="auto"/>
              </w:rPr>
            </w:pPr>
          </w:p>
        </w:tc>
        <w:tc>
          <w:tcPr>
            <w:tcW w:w="700" w:type="dxa"/>
            <w:vAlign w:val="bottom"/>
            <w:tcBorders>
              <w:bottom w:val="single" w:sz="8" w:color="auto"/>
            </w:tcBorders>
          </w:tcPr>
          <w:p>
            <w:pPr>
              <w:jc w:val="right"/>
              <w:ind w:right="112"/>
              <w:spacing w:after="0"/>
              <w:rPr>
                <w:sz w:val="20"/>
                <w:szCs w:val="20"/>
                <w:color w:val="auto"/>
              </w:rPr>
            </w:pPr>
            <w:r>
              <w:rPr>
                <w:rFonts w:ascii="Arial" w:cs="Arial" w:eastAsia="Arial" w:hAnsi="Arial"/>
                <w:sz w:val="14"/>
                <w:szCs w:val="14"/>
                <w:color w:val="auto"/>
              </w:rPr>
              <w:t>278</w:t>
            </w:r>
          </w:p>
        </w:tc>
        <w:tc>
          <w:tcPr>
            <w:tcW w:w="320" w:type="dxa"/>
            <w:vAlign w:val="bottom"/>
            <w:tcBorders>
              <w:bottom w:val="single" w:sz="8" w:color="auto"/>
            </w:tcBorders>
          </w:tcPr>
          <w:p>
            <w:pPr>
              <w:spacing w:after="0"/>
              <w:rPr>
                <w:sz w:val="14"/>
                <w:szCs w:val="14"/>
                <w:color w:val="auto"/>
              </w:rPr>
            </w:pPr>
          </w:p>
        </w:tc>
        <w:tc>
          <w:tcPr>
            <w:tcW w:w="540" w:type="dxa"/>
            <w:vAlign w:val="bottom"/>
            <w:tcBorders>
              <w:bottom w:val="single" w:sz="8" w:color="auto"/>
            </w:tcBorders>
          </w:tcPr>
          <w:p>
            <w:pPr>
              <w:jc w:val="right"/>
              <w:ind w:right="112"/>
              <w:spacing w:after="0"/>
              <w:rPr>
                <w:sz w:val="20"/>
                <w:szCs w:val="20"/>
                <w:color w:val="auto"/>
              </w:rPr>
            </w:pPr>
            <w:r>
              <w:rPr>
                <w:rFonts w:ascii="Arial" w:cs="Arial" w:eastAsia="Arial" w:hAnsi="Arial"/>
                <w:sz w:val="14"/>
                <w:szCs w:val="14"/>
                <w:color w:val="auto"/>
              </w:rPr>
              <w:t>8</w:t>
            </w:r>
          </w:p>
        </w:tc>
        <w:tc>
          <w:tcPr>
            <w:tcW w:w="260" w:type="dxa"/>
            <w:vAlign w:val="bottom"/>
            <w:tcBorders>
              <w:bottom w:val="single" w:sz="8" w:color="auto"/>
            </w:tcBorders>
          </w:tcPr>
          <w:p>
            <w:pPr>
              <w:spacing w:after="0"/>
              <w:rPr>
                <w:sz w:val="14"/>
                <w:szCs w:val="14"/>
                <w:color w:val="auto"/>
              </w:rPr>
            </w:pPr>
          </w:p>
        </w:tc>
        <w:tc>
          <w:tcPr>
            <w:tcW w:w="820" w:type="dxa"/>
            <w:vAlign w:val="bottom"/>
            <w:tcBorders>
              <w:bottom w:val="single" w:sz="8" w:color="auto"/>
            </w:tcBorders>
          </w:tcPr>
          <w:p>
            <w:pPr>
              <w:jc w:val="right"/>
              <w:ind w:right="132"/>
              <w:spacing w:after="0"/>
              <w:rPr>
                <w:sz w:val="20"/>
                <w:szCs w:val="20"/>
                <w:color w:val="auto"/>
              </w:rPr>
            </w:pPr>
            <w:r>
              <w:rPr>
                <w:rFonts w:ascii="Arial" w:cs="Arial" w:eastAsia="Arial" w:hAnsi="Arial"/>
                <w:sz w:val="14"/>
                <w:szCs w:val="14"/>
                <w:color w:val="auto"/>
              </w:rPr>
              <w:t>—</w:t>
            </w:r>
          </w:p>
        </w:tc>
        <w:tc>
          <w:tcPr>
            <w:tcW w:w="220" w:type="dxa"/>
            <w:vAlign w:val="bottom"/>
            <w:tcBorders>
              <w:bottom w:val="single" w:sz="8" w:color="auto"/>
            </w:tcBorders>
          </w:tcPr>
          <w:p>
            <w:pPr>
              <w:spacing w:after="0"/>
              <w:rPr>
                <w:sz w:val="14"/>
                <w:szCs w:val="14"/>
                <w:color w:val="auto"/>
              </w:rPr>
            </w:pPr>
          </w:p>
        </w:tc>
        <w:tc>
          <w:tcPr>
            <w:tcW w:w="920" w:type="dxa"/>
            <w:vAlign w:val="bottom"/>
            <w:tcBorders>
              <w:bottom w:val="single" w:sz="8" w:color="auto"/>
            </w:tcBorders>
          </w:tcPr>
          <w:p>
            <w:pPr>
              <w:jc w:val="right"/>
              <w:ind w:right="72"/>
              <w:spacing w:after="0"/>
              <w:rPr>
                <w:sz w:val="20"/>
                <w:szCs w:val="20"/>
                <w:color w:val="auto"/>
              </w:rPr>
            </w:pPr>
            <w:r>
              <w:rPr>
                <w:rFonts w:ascii="Arial" w:cs="Arial" w:eastAsia="Arial" w:hAnsi="Arial"/>
                <w:sz w:val="14"/>
                <w:szCs w:val="14"/>
                <w:color w:val="auto"/>
              </w:rPr>
              <w:t>(1,195)</w:t>
            </w:r>
          </w:p>
        </w:tc>
        <w:tc>
          <w:tcPr>
            <w:tcW w:w="220" w:type="dxa"/>
            <w:vAlign w:val="bottom"/>
            <w:tcBorders>
              <w:bottom w:val="single" w:sz="8" w:color="auto"/>
            </w:tcBorders>
          </w:tcPr>
          <w:p>
            <w:pPr>
              <w:spacing w:after="0"/>
              <w:rPr>
                <w:sz w:val="14"/>
                <w:szCs w:val="14"/>
                <w:color w:val="auto"/>
              </w:rPr>
            </w:pPr>
          </w:p>
        </w:tc>
        <w:tc>
          <w:tcPr>
            <w:tcW w:w="84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w:t>
            </w: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3900" w:type="dxa"/>
            <w:vAlign w:val="bottom"/>
            <w:tcBorders>
              <w:bottom w:val="single" w:sz="8" w:color="auto"/>
            </w:tcBorders>
          </w:tcPr>
          <w:p>
            <w:pPr>
              <w:spacing w:after="0"/>
              <w:rPr>
                <w:sz w:val="12"/>
                <w:szCs w:val="12"/>
                <w:color w:val="auto"/>
              </w:rPr>
            </w:pPr>
          </w:p>
        </w:tc>
        <w:tc>
          <w:tcPr>
            <w:tcW w:w="320" w:type="dxa"/>
            <w:vAlign w:val="bottom"/>
            <w:tcBorders>
              <w:bottom w:val="single" w:sz="8" w:color="auto"/>
            </w:tcBorders>
          </w:tcPr>
          <w:p>
            <w:pPr>
              <w:spacing w:after="0"/>
              <w:rPr>
                <w:sz w:val="12"/>
                <w:szCs w:val="12"/>
                <w:color w:val="auto"/>
              </w:rPr>
            </w:pPr>
          </w:p>
        </w:tc>
        <w:tc>
          <w:tcPr>
            <w:tcW w:w="620" w:type="dxa"/>
            <w:vAlign w:val="bottom"/>
            <w:tcBorders>
              <w:bottom w:val="single" w:sz="8" w:color="auto"/>
            </w:tcBorders>
          </w:tcPr>
          <w:p>
            <w:pPr>
              <w:jc w:val="right"/>
              <w:ind w:right="132"/>
              <w:spacing w:after="0" w:line="142" w:lineRule="exact"/>
              <w:rPr>
                <w:sz w:val="20"/>
                <w:szCs w:val="20"/>
                <w:color w:val="auto"/>
              </w:rPr>
            </w:pPr>
            <w:r>
              <w:rPr>
                <w:rFonts w:ascii="Arial" w:cs="Arial" w:eastAsia="Arial" w:hAnsi="Arial"/>
                <w:sz w:val="14"/>
                <w:szCs w:val="14"/>
                <w:color w:val="auto"/>
              </w:rPr>
              <w:t>457</w:t>
            </w:r>
          </w:p>
        </w:tc>
        <w:tc>
          <w:tcPr>
            <w:tcW w:w="220" w:type="dxa"/>
            <w:vAlign w:val="bottom"/>
            <w:tcBorders>
              <w:bottom w:val="single" w:sz="8" w:color="auto"/>
            </w:tcBorders>
          </w:tcPr>
          <w:p>
            <w:pPr>
              <w:spacing w:after="0"/>
              <w:rPr>
                <w:sz w:val="12"/>
                <w:szCs w:val="12"/>
                <w:color w:val="auto"/>
              </w:rPr>
            </w:pPr>
          </w:p>
        </w:tc>
        <w:tc>
          <w:tcPr>
            <w:tcW w:w="500" w:type="dxa"/>
            <w:vAlign w:val="bottom"/>
            <w:tcBorders>
              <w:bottom w:val="single" w:sz="8" w:color="auto"/>
            </w:tcBorders>
          </w:tcPr>
          <w:p>
            <w:pPr>
              <w:jc w:val="right"/>
              <w:ind w:right="92"/>
              <w:spacing w:after="0" w:line="142" w:lineRule="exact"/>
              <w:rPr>
                <w:sz w:val="20"/>
                <w:szCs w:val="20"/>
                <w:color w:val="auto"/>
              </w:rPr>
            </w:pPr>
            <w:r>
              <w:rPr>
                <w:rFonts w:ascii="Arial" w:cs="Arial" w:eastAsia="Arial" w:hAnsi="Arial"/>
                <w:sz w:val="14"/>
                <w:szCs w:val="14"/>
                <w:color w:val="auto"/>
              </w:rPr>
              <w:t>174</w:t>
            </w:r>
          </w:p>
        </w:tc>
        <w:tc>
          <w:tcPr>
            <w:tcW w:w="280" w:type="dxa"/>
            <w:vAlign w:val="bottom"/>
            <w:tcBorders>
              <w:bottom w:val="single" w:sz="8" w:color="auto"/>
            </w:tcBorders>
          </w:tcPr>
          <w:p>
            <w:pPr>
              <w:spacing w:after="0"/>
              <w:rPr>
                <w:sz w:val="12"/>
                <w:szCs w:val="12"/>
                <w:color w:val="auto"/>
              </w:rPr>
            </w:pPr>
          </w:p>
        </w:tc>
        <w:tc>
          <w:tcPr>
            <w:tcW w:w="480" w:type="dxa"/>
            <w:vAlign w:val="bottom"/>
            <w:tcBorders>
              <w:bottom w:val="single" w:sz="8" w:color="auto"/>
            </w:tcBorders>
          </w:tcPr>
          <w:p>
            <w:pPr>
              <w:jc w:val="right"/>
              <w:ind w:right="112"/>
              <w:spacing w:after="0" w:line="142" w:lineRule="exact"/>
              <w:rPr>
                <w:sz w:val="20"/>
                <w:szCs w:val="20"/>
                <w:color w:val="auto"/>
              </w:rPr>
            </w:pPr>
            <w:r>
              <w:rPr>
                <w:rFonts w:ascii="Arial" w:cs="Arial" w:eastAsia="Arial" w:hAnsi="Arial"/>
                <w:sz w:val="14"/>
                <w:szCs w:val="14"/>
                <w:color w:val="auto"/>
              </w:rPr>
              <w:t>278</w:t>
            </w:r>
          </w:p>
        </w:tc>
        <w:tc>
          <w:tcPr>
            <w:tcW w:w="240" w:type="dxa"/>
            <w:vAlign w:val="bottom"/>
            <w:tcBorders>
              <w:bottom w:val="single" w:sz="8" w:color="auto"/>
            </w:tcBorders>
          </w:tcPr>
          <w:p>
            <w:pPr>
              <w:spacing w:after="0"/>
              <w:rPr>
                <w:sz w:val="12"/>
                <w:szCs w:val="12"/>
                <w:color w:val="auto"/>
              </w:rPr>
            </w:pPr>
          </w:p>
        </w:tc>
        <w:tc>
          <w:tcPr>
            <w:tcW w:w="700" w:type="dxa"/>
            <w:vAlign w:val="bottom"/>
            <w:tcBorders>
              <w:bottom w:val="single" w:sz="8" w:color="auto"/>
            </w:tcBorders>
          </w:tcPr>
          <w:p>
            <w:pPr>
              <w:jc w:val="right"/>
              <w:ind w:right="112"/>
              <w:spacing w:after="0" w:line="142" w:lineRule="exact"/>
              <w:rPr>
                <w:sz w:val="20"/>
                <w:szCs w:val="20"/>
                <w:color w:val="auto"/>
              </w:rPr>
            </w:pPr>
            <w:r>
              <w:rPr>
                <w:rFonts w:ascii="Arial" w:cs="Arial" w:eastAsia="Arial" w:hAnsi="Arial"/>
                <w:sz w:val="14"/>
                <w:szCs w:val="14"/>
                <w:color w:val="auto"/>
              </w:rPr>
              <w:t>278</w:t>
            </w:r>
          </w:p>
        </w:tc>
        <w:tc>
          <w:tcPr>
            <w:tcW w:w="320" w:type="dxa"/>
            <w:vAlign w:val="bottom"/>
            <w:tcBorders>
              <w:bottom w:val="single" w:sz="8" w:color="auto"/>
            </w:tcBorders>
          </w:tcPr>
          <w:p>
            <w:pPr>
              <w:spacing w:after="0"/>
              <w:rPr>
                <w:sz w:val="12"/>
                <w:szCs w:val="12"/>
                <w:color w:val="auto"/>
              </w:rPr>
            </w:pPr>
          </w:p>
        </w:tc>
        <w:tc>
          <w:tcPr>
            <w:tcW w:w="540" w:type="dxa"/>
            <w:vAlign w:val="bottom"/>
            <w:tcBorders>
              <w:bottom w:val="single" w:sz="8" w:color="auto"/>
            </w:tcBorders>
          </w:tcPr>
          <w:p>
            <w:pPr>
              <w:jc w:val="right"/>
              <w:ind w:right="112"/>
              <w:spacing w:after="0" w:line="142" w:lineRule="exact"/>
              <w:rPr>
                <w:sz w:val="20"/>
                <w:szCs w:val="20"/>
                <w:color w:val="auto"/>
              </w:rPr>
            </w:pPr>
            <w:r>
              <w:rPr>
                <w:rFonts w:ascii="Arial" w:cs="Arial" w:eastAsia="Arial" w:hAnsi="Arial"/>
                <w:sz w:val="14"/>
                <w:szCs w:val="14"/>
                <w:color w:val="auto"/>
              </w:rPr>
              <w:t>8</w:t>
            </w:r>
          </w:p>
        </w:tc>
        <w:tc>
          <w:tcPr>
            <w:tcW w:w="260" w:type="dxa"/>
            <w:vAlign w:val="bottom"/>
            <w:tcBorders>
              <w:bottom w:val="single" w:sz="8" w:color="auto"/>
            </w:tcBorders>
          </w:tcPr>
          <w:p>
            <w:pPr>
              <w:spacing w:after="0"/>
              <w:rPr>
                <w:sz w:val="12"/>
                <w:szCs w:val="12"/>
                <w:color w:val="auto"/>
              </w:rPr>
            </w:pPr>
          </w:p>
        </w:tc>
        <w:tc>
          <w:tcPr>
            <w:tcW w:w="820" w:type="dxa"/>
            <w:vAlign w:val="bottom"/>
            <w:tcBorders>
              <w:bottom w:val="single" w:sz="8" w:color="auto"/>
            </w:tcBorders>
          </w:tcPr>
          <w:p>
            <w:pPr>
              <w:jc w:val="right"/>
              <w:ind w:right="132"/>
              <w:spacing w:after="0" w:line="142" w:lineRule="exact"/>
              <w:rPr>
                <w:sz w:val="20"/>
                <w:szCs w:val="20"/>
                <w:color w:val="auto"/>
              </w:rPr>
            </w:pPr>
            <w:r>
              <w:rPr>
                <w:rFonts w:ascii="Arial" w:cs="Arial" w:eastAsia="Arial" w:hAnsi="Arial"/>
                <w:sz w:val="14"/>
                <w:szCs w:val="14"/>
                <w:color w:val="auto"/>
              </w:rPr>
              <w:t>21,075</w:t>
            </w:r>
          </w:p>
        </w:tc>
        <w:tc>
          <w:tcPr>
            <w:tcW w:w="220" w:type="dxa"/>
            <w:vAlign w:val="bottom"/>
            <w:tcBorders>
              <w:bottom w:val="single" w:sz="8" w:color="auto"/>
            </w:tcBorders>
          </w:tcPr>
          <w:p>
            <w:pPr>
              <w:spacing w:after="0"/>
              <w:rPr>
                <w:sz w:val="12"/>
                <w:szCs w:val="12"/>
                <w:color w:val="auto"/>
              </w:rPr>
            </w:pPr>
          </w:p>
        </w:tc>
        <w:tc>
          <w:tcPr>
            <w:tcW w:w="920" w:type="dxa"/>
            <w:vAlign w:val="bottom"/>
            <w:tcBorders>
              <w:bottom w:val="single" w:sz="8" w:color="auto"/>
            </w:tcBorders>
          </w:tcPr>
          <w:p>
            <w:pPr>
              <w:jc w:val="right"/>
              <w:ind w:right="72"/>
              <w:spacing w:after="0" w:line="142" w:lineRule="exact"/>
              <w:rPr>
                <w:sz w:val="20"/>
                <w:szCs w:val="20"/>
                <w:color w:val="auto"/>
              </w:rPr>
            </w:pPr>
            <w:r>
              <w:rPr>
                <w:rFonts w:ascii="Arial" w:cs="Arial" w:eastAsia="Arial" w:hAnsi="Arial"/>
                <w:sz w:val="14"/>
                <w:szCs w:val="14"/>
                <w:color w:val="auto"/>
              </w:rPr>
              <w:t>(1,195)</w:t>
            </w:r>
          </w:p>
        </w:tc>
        <w:tc>
          <w:tcPr>
            <w:tcW w:w="220" w:type="dxa"/>
            <w:vAlign w:val="bottom"/>
            <w:tcBorders>
              <w:bottom w:val="single" w:sz="8" w:color="auto"/>
            </w:tcBorders>
          </w:tcPr>
          <w:p>
            <w:pPr>
              <w:spacing w:after="0"/>
              <w:rPr>
                <w:sz w:val="12"/>
                <w:szCs w:val="12"/>
                <w:color w:val="auto"/>
              </w:rPr>
            </w:pPr>
          </w:p>
        </w:tc>
        <w:tc>
          <w:tcPr>
            <w:tcW w:w="840" w:type="dxa"/>
            <w:vAlign w:val="bottom"/>
            <w:tcBorders>
              <w:bottom w:val="single" w:sz="8" w:color="auto"/>
            </w:tcBorders>
          </w:tcPr>
          <w:p>
            <w:pPr>
              <w:jc w:val="right"/>
              <w:spacing w:after="0" w:line="142" w:lineRule="exact"/>
              <w:rPr>
                <w:sz w:val="20"/>
                <w:szCs w:val="20"/>
                <w:color w:val="auto"/>
              </w:rPr>
            </w:pPr>
            <w:r>
              <w:rPr>
                <w:rFonts w:ascii="Arial" w:cs="Arial" w:eastAsia="Arial" w:hAnsi="Arial"/>
                <w:sz w:val="14"/>
                <w:szCs w:val="14"/>
                <w:b w:val="1"/>
                <w:bCs w:val="1"/>
                <w:color w:val="auto"/>
              </w:rPr>
              <w:t>21,075</w:t>
            </w:r>
          </w:p>
        </w:tc>
        <w:tc>
          <w:tcPr>
            <w:tcW w:w="0" w:type="dxa"/>
            <w:vAlign w:val="bottom"/>
          </w:tcPr>
          <w:p>
            <w:pPr>
              <w:spacing w:after="0"/>
              <w:rPr>
                <w:sz w:val="1"/>
                <w:szCs w:val="1"/>
                <w:color w:val="auto"/>
              </w:rPr>
            </w:pPr>
          </w:p>
        </w:tc>
      </w:tr>
      <w:tr>
        <w:trPr>
          <w:trHeight w:val="141"/>
        </w:trPr>
        <w:tc>
          <w:tcPr>
            <w:tcW w:w="20" w:type="dxa"/>
            <w:vAlign w:val="bottom"/>
          </w:tcPr>
          <w:p>
            <w:pPr>
              <w:spacing w:after="0"/>
              <w:rPr>
                <w:sz w:val="12"/>
                <w:szCs w:val="12"/>
                <w:color w:val="auto"/>
              </w:rPr>
            </w:pPr>
          </w:p>
        </w:tc>
        <w:tc>
          <w:tcPr>
            <w:tcW w:w="3900" w:type="dxa"/>
            <w:vAlign w:val="bottom"/>
          </w:tcPr>
          <w:p>
            <w:pPr>
              <w:spacing w:after="0" w:line="141" w:lineRule="exact"/>
              <w:rPr>
                <w:sz w:val="20"/>
                <w:szCs w:val="20"/>
                <w:color w:val="auto"/>
              </w:rPr>
            </w:pPr>
            <w:r>
              <w:rPr>
                <w:rFonts w:ascii="Arial" w:cs="Arial" w:eastAsia="Arial" w:hAnsi="Arial"/>
                <w:sz w:val="14"/>
                <w:szCs w:val="14"/>
                <w:color w:val="auto"/>
              </w:rPr>
              <w:t>Costs and Expenses</w:t>
            </w:r>
          </w:p>
        </w:tc>
        <w:tc>
          <w:tcPr>
            <w:tcW w:w="32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92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840" w:type="dxa"/>
            <w:vAlign w:val="bottom"/>
            <w:vMerge w:val="restart"/>
          </w:tcPr>
          <w:p>
            <w:pPr>
              <w:jc w:val="right"/>
              <w:spacing w:after="0"/>
              <w:rPr>
                <w:sz w:val="20"/>
                <w:szCs w:val="20"/>
                <w:color w:val="auto"/>
              </w:rPr>
            </w:pPr>
            <w:r>
              <w:rPr>
                <w:rFonts w:ascii="Arial" w:cs="Arial" w:eastAsia="Arial" w:hAnsi="Arial"/>
                <w:sz w:val="14"/>
                <w:szCs w:val="14"/>
                <w:b w:val="1"/>
                <w:bCs w:val="1"/>
                <w:color w:val="auto"/>
              </w:rPr>
              <w:t>7,513</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3900" w:type="dxa"/>
            <w:vAlign w:val="bottom"/>
          </w:tcPr>
          <w:p>
            <w:pPr>
              <w:ind w:left="200"/>
              <w:spacing w:after="0" w:line="133" w:lineRule="exact"/>
              <w:rPr>
                <w:sz w:val="20"/>
                <w:szCs w:val="20"/>
                <w:color w:val="auto"/>
              </w:rPr>
            </w:pPr>
            <w:r>
              <w:rPr>
                <w:rFonts w:ascii="Arial" w:cs="Arial" w:eastAsia="Arial" w:hAnsi="Arial"/>
                <w:sz w:val="14"/>
                <w:szCs w:val="14"/>
                <w:color w:val="auto"/>
              </w:rPr>
              <w:t>Operating (excluding depreciation)</w:t>
            </w:r>
          </w:p>
        </w:tc>
        <w:tc>
          <w:tcPr>
            <w:tcW w:w="320" w:type="dxa"/>
            <w:vAlign w:val="bottom"/>
          </w:tcPr>
          <w:p>
            <w:pPr>
              <w:spacing w:after="0"/>
              <w:rPr>
                <w:sz w:val="11"/>
                <w:szCs w:val="11"/>
                <w:color w:val="auto"/>
              </w:rPr>
            </w:pPr>
          </w:p>
        </w:tc>
        <w:tc>
          <w:tcPr>
            <w:tcW w:w="620" w:type="dxa"/>
            <w:vAlign w:val="bottom"/>
          </w:tcPr>
          <w:p>
            <w:pPr>
              <w:jc w:val="right"/>
              <w:ind w:right="132"/>
              <w:spacing w:after="0" w:line="133" w:lineRule="exact"/>
              <w:rPr>
                <w:sz w:val="20"/>
                <w:szCs w:val="20"/>
                <w:color w:val="auto"/>
              </w:rPr>
            </w:pPr>
            <w:r>
              <w:rPr>
                <w:rFonts w:ascii="Arial" w:cs="Arial" w:eastAsia="Arial" w:hAnsi="Arial"/>
                <w:sz w:val="14"/>
                <w:szCs w:val="14"/>
                <w:color w:val="auto"/>
              </w:rPr>
              <w:t>—</w:t>
            </w:r>
          </w:p>
        </w:tc>
        <w:tc>
          <w:tcPr>
            <w:tcW w:w="220" w:type="dxa"/>
            <w:vAlign w:val="bottom"/>
          </w:tcPr>
          <w:p>
            <w:pPr>
              <w:spacing w:after="0"/>
              <w:rPr>
                <w:sz w:val="11"/>
                <w:szCs w:val="11"/>
                <w:color w:val="auto"/>
              </w:rPr>
            </w:pPr>
          </w:p>
        </w:tc>
        <w:tc>
          <w:tcPr>
            <w:tcW w:w="500" w:type="dxa"/>
            <w:vAlign w:val="bottom"/>
          </w:tcPr>
          <w:p>
            <w:pPr>
              <w:jc w:val="right"/>
              <w:ind w:right="92"/>
              <w:spacing w:after="0" w:line="133" w:lineRule="exact"/>
              <w:rPr>
                <w:sz w:val="20"/>
                <w:szCs w:val="20"/>
                <w:color w:val="auto"/>
              </w:rPr>
            </w:pPr>
            <w:r>
              <w:rPr>
                <w:rFonts w:ascii="Arial" w:cs="Arial" w:eastAsia="Arial" w:hAnsi="Arial"/>
                <w:sz w:val="14"/>
                <w:szCs w:val="14"/>
                <w:color w:val="auto"/>
              </w:rPr>
              <w:t>—</w:t>
            </w:r>
          </w:p>
        </w:tc>
        <w:tc>
          <w:tcPr>
            <w:tcW w:w="280" w:type="dxa"/>
            <w:vAlign w:val="bottom"/>
          </w:tcPr>
          <w:p>
            <w:pPr>
              <w:spacing w:after="0"/>
              <w:rPr>
                <w:sz w:val="11"/>
                <w:szCs w:val="11"/>
                <w:color w:val="auto"/>
              </w:rPr>
            </w:pPr>
          </w:p>
        </w:tc>
        <w:tc>
          <w:tcPr>
            <w:tcW w:w="480" w:type="dxa"/>
            <w:vAlign w:val="bottom"/>
          </w:tcPr>
          <w:p>
            <w:pPr>
              <w:jc w:val="right"/>
              <w:ind w:right="112"/>
              <w:spacing w:after="0" w:line="133" w:lineRule="exact"/>
              <w:rPr>
                <w:sz w:val="20"/>
                <w:szCs w:val="20"/>
                <w:color w:val="auto"/>
              </w:rPr>
            </w:pPr>
            <w:r>
              <w:rPr>
                <w:rFonts w:ascii="Arial" w:cs="Arial" w:eastAsia="Arial" w:hAnsi="Arial"/>
                <w:sz w:val="14"/>
                <w:szCs w:val="14"/>
                <w:color w:val="auto"/>
              </w:rPr>
              <w:t>—</w:t>
            </w:r>
          </w:p>
        </w:tc>
        <w:tc>
          <w:tcPr>
            <w:tcW w:w="240" w:type="dxa"/>
            <w:vAlign w:val="bottom"/>
          </w:tcPr>
          <w:p>
            <w:pPr>
              <w:spacing w:after="0"/>
              <w:rPr>
                <w:sz w:val="11"/>
                <w:szCs w:val="11"/>
                <w:color w:val="auto"/>
              </w:rPr>
            </w:pPr>
          </w:p>
        </w:tc>
        <w:tc>
          <w:tcPr>
            <w:tcW w:w="700" w:type="dxa"/>
            <w:vAlign w:val="bottom"/>
          </w:tcPr>
          <w:p>
            <w:pPr>
              <w:jc w:val="right"/>
              <w:ind w:right="112"/>
              <w:spacing w:after="0" w:line="133" w:lineRule="exact"/>
              <w:rPr>
                <w:sz w:val="20"/>
                <w:szCs w:val="20"/>
                <w:color w:val="auto"/>
              </w:rPr>
            </w:pPr>
            <w:r>
              <w:rPr>
                <w:rFonts w:ascii="Arial" w:cs="Arial" w:eastAsia="Arial" w:hAnsi="Arial"/>
                <w:sz w:val="14"/>
                <w:szCs w:val="14"/>
                <w:color w:val="auto"/>
              </w:rPr>
              <w:t>—</w:t>
            </w:r>
          </w:p>
        </w:tc>
        <w:tc>
          <w:tcPr>
            <w:tcW w:w="320" w:type="dxa"/>
            <w:vAlign w:val="bottom"/>
          </w:tcPr>
          <w:p>
            <w:pPr>
              <w:spacing w:after="0"/>
              <w:rPr>
                <w:sz w:val="11"/>
                <w:szCs w:val="11"/>
                <w:color w:val="auto"/>
              </w:rPr>
            </w:pPr>
          </w:p>
        </w:tc>
        <w:tc>
          <w:tcPr>
            <w:tcW w:w="540" w:type="dxa"/>
            <w:vAlign w:val="bottom"/>
          </w:tcPr>
          <w:p>
            <w:pPr>
              <w:jc w:val="right"/>
              <w:ind w:right="112"/>
              <w:spacing w:after="0" w:line="133" w:lineRule="exact"/>
              <w:rPr>
                <w:sz w:val="20"/>
                <w:szCs w:val="20"/>
                <w:color w:val="auto"/>
              </w:rPr>
            </w:pPr>
            <w:r>
              <w:rPr>
                <w:rFonts w:ascii="Arial" w:cs="Arial" w:eastAsia="Arial" w:hAnsi="Arial"/>
                <w:sz w:val="14"/>
                <w:szCs w:val="14"/>
                <w:color w:val="auto"/>
              </w:rPr>
              <w:t>—</w:t>
            </w:r>
          </w:p>
        </w:tc>
        <w:tc>
          <w:tcPr>
            <w:tcW w:w="260" w:type="dxa"/>
            <w:vAlign w:val="bottom"/>
          </w:tcPr>
          <w:p>
            <w:pPr>
              <w:spacing w:after="0"/>
              <w:rPr>
                <w:sz w:val="11"/>
                <w:szCs w:val="11"/>
                <w:color w:val="auto"/>
              </w:rPr>
            </w:pPr>
          </w:p>
        </w:tc>
        <w:tc>
          <w:tcPr>
            <w:tcW w:w="820" w:type="dxa"/>
            <w:vAlign w:val="bottom"/>
          </w:tcPr>
          <w:p>
            <w:pPr>
              <w:jc w:val="right"/>
              <w:ind w:right="132"/>
              <w:spacing w:after="0" w:line="133" w:lineRule="exact"/>
              <w:rPr>
                <w:sz w:val="20"/>
                <w:szCs w:val="20"/>
                <w:color w:val="auto"/>
              </w:rPr>
            </w:pPr>
            <w:r>
              <w:rPr>
                <w:rFonts w:ascii="Arial" w:cs="Arial" w:eastAsia="Arial" w:hAnsi="Arial"/>
                <w:sz w:val="14"/>
                <w:szCs w:val="14"/>
                <w:color w:val="auto"/>
              </w:rPr>
              <w:t>7,513</w:t>
            </w:r>
          </w:p>
        </w:tc>
        <w:tc>
          <w:tcPr>
            <w:tcW w:w="220" w:type="dxa"/>
            <w:vAlign w:val="bottom"/>
          </w:tcPr>
          <w:p>
            <w:pPr>
              <w:spacing w:after="0"/>
              <w:rPr>
                <w:sz w:val="11"/>
                <w:szCs w:val="11"/>
                <w:color w:val="auto"/>
              </w:rPr>
            </w:pPr>
          </w:p>
        </w:tc>
        <w:tc>
          <w:tcPr>
            <w:tcW w:w="920" w:type="dxa"/>
            <w:vAlign w:val="bottom"/>
          </w:tcPr>
          <w:p>
            <w:pPr>
              <w:jc w:val="right"/>
              <w:ind w:right="112"/>
              <w:spacing w:after="0" w:line="133" w:lineRule="exact"/>
              <w:rPr>
                <w:sz w:val="20"/>
                <w:szCs w:val="20"/>
                <w:color w:val="auto"/>
              </w:rPr>
            </w:pPr>
            <w:r>
              <w:rPr>
                <w:rFonts w:ascii="Arial" w:cs="Arial" w:eastAsia="Arial" w:hAnsi="Arial"/>
                <w:sz w:val="14"/>
                <w:szCs w:val="14"/>
                <w:color w:val="auto"/>
              </w:rPr>
              <w:t>—</w:t>
            </w:r>
          </w:p>
        </w:tc>
        <w:tc>
          <w:tcPr>
            <w:tcW w:w="220" w:type="dxa"/>
            <w:vAlign w:val="bottom"/>
          </w:tcPr>
          <w:p>
            <w:pPr>
              <w:spacing w:after="0"/>
              <w:rPr>
                <w:sz w:val="11"/>
                <w:szCs w:val="11"/>
                <w:color w:val="auto"/>
              </w:rPr>
            </w:pPr>
          </w:p>
        </w:tc>
        <w:tc>
          <w:tcPr>
            <w:tcW w:w="840" w:type="dxa"/>
            <w:vAlign w:val="bottom"/>
            <w:vMerge w:val="continue"/>
          </w:tcPr>
          <w:p>
            <w:pPr>
              <w:spacing w:after="0"/>
              <w:rPr>
                <w:sz w:val="11"/>
                <w:szCs w:val="11"/>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900" w:type="dxa"/>
            <w:vAlign w:val="bottom"/>
          </w:tcPr>
          <w:p>
            <w:pPr>
              <w:ind w:left="200"/>
              <w:spacing w:after="0" w:line="149" w:lineRule="exact"/>
              <w:rPr>
                <w:sz w:val="20"/>
                <w:szCs w:val="20"/>
                <w:color w:val="auto"/>
              </w:rPr>
            </w:pPr>
            <w:r>
              <w:rPr>
                <w:rFonts w:ascii="Arial" w:cs="Arial" w:eastAsia="Arial" w:hAnsi="Arial"/>
                <w:sz w:val="14"/>
                <w:szCs w:val="14"/>
                <w:color w:val="auto"/>
              </w:rPr>
              <w:t>Selling, general and administrative</w:t>
            </w:r>
          </w:p>
        </w:tc>
        <w:tc>
          <w:tcPr>
            <w:tcW w:w="320" w:type="dxa"/>
            <w:vAlign w:val="bottom"/>
          </w:tcPr>
          <w:p>
            <w:pPr>
              <w:spacing w:after="0"/>
              <w:rPr>
                <w:sz w:val="12"/>
                <w:szCs w:val="12"/>
                <w:color w:val="auto"/>
              </w:rPr>
            </w:pPr>
          </w:p>
        </w:tc>
        <w:tc>
          <w:tcPr>
            <w:tcW w:w="620" w:type="dxa"/>
            <w:vAlign w:val="bottom"/>
          </w:tcPr>
          <w:p>
            <w:pPr>
              <w:jc w:val="right"/>
              <w:ind w:right="132"/>
              <w:spacing w:after="0" w:line="149" w:lineRule="exact"/>
              <w:rPr>
                <w:sz w:val="20"/>
                <w:szCs w:val="20"/>
                <w:color w:val="auto"/>
              </w:rPr>
            </w:pPr>
            <w:r>
              <w:rPr>
                <w:rFonts w:ascii="Arial" w:cs="Arial" w:eastAsia="Arial" w:hAnsi="Arial"/>
                <w:sz w:val="14"/>
                <w:szCs w:val="14"/>
                <w:color w:val="auto"/>
              </w:rPr>
              <w:t>204</w:t>
            </w:r>
          </w:p>
        </w:tc>
        <w:tc>
          <w:tcPr>
            <w:tcW w:w="220" w:type="dxa"/>
            <w:vAlign w:val="bottom"/>
          </w:tcPr>
          <w:p>
            <w:pPr>
              <w:spacing w:after="0"/>
              <w:rPr>
                <w:sz w:val="12"/>
                <w:szCs w:val="12"/>
                <w:color w:val="auto"/>
              </w:rPr>
            </w:pPr>
          </w:p>
        </w:tc>
        <w:tc>
          <w:tcPr>
            <w:tcW w:w="500" w:type="dxa"/>
            <w:vAlign w:val="bottom"/>
          </w:tcPr>
          <w:p>
            <w:pPr>
              <w:jc w:val="right"/>
              <w:ind w:right="92"/>
              <w:spacing w:after="0" w:line="149" w:lineRule="exact"/>
              <w:rPr>
                <w:sz w:val="20"/>
                <w:szCs w:val="20"/>
                <w:color w:val="auto"/>
              </w:rPr>
            </w:pPr>
            <w:r>
              <w:rPr>
                <w:rFonts w:ascii="Arial" w:cs="Arial" w:eastAsia="Arial" w:hAnsi="Arial"/>
                <w:sz w:val="14"/>
                <w:szCs w:val="14"/>
                <w:color w:val="auto"/>
              </w:rPr>
              <w:t>174</w:t>
            </w:r>
          </w:p>
        </w:tc>
        <w:tc>
          <w:tcPr>
            <w:tcW w:w="280" w:type="dxa"/>
            <w:vAlign w:val="bottom"/>
          </w:tcPr>
          <w:p>
            <w:pPr>
              <w:spacing w:after="0"/>
              <w:rPr>
                <w:sz w:val="12"/>
                <w:szCs w:val="12"/>
                <w:color w:val="auto"/>
              </w:rPr>
            </w:pPr>
          </w:p>
        </w:tc>
        <w:tc>
          <w:tcPr>
            <w:tcW w:w="480" w:type="dxa"/>
            <w:vAlign w:val="bottom"/>
          </w:tcPr>
          <w:p>
            <w:pPr>
              <w:jc w:val="right"/>
              <w:ind w:right="112"/>
              <w:spacing w:after="0" w:line="149" w:lineRule="exact"/>
              <w:rPr>
                <w:sz w:val="20"/>
                <w:szCs w:val="20"/>
                <w:color w:val="auto"/>
              </w:rPr>
            </w:pPr>
            <w:r>
              <w:rPr>
                <w:rFonts w:ascii="Arial" w:cs="Arial" w:eastAsia="Arial" w:hAnsi="Arial"/>
                <w:sz w:val="14"/>
                <w:szCs w:val="14"/>
                <w:color w:val="auto"/>
              </w:rPr>
              <w:t>278</w:t>
            </w:r>
          </w:p>
        </w:tc>
        <w:tc>
          <w:tcPr>
            <w:tcW w:w="240" w:type="dxa"/>
            <w:vAlign w:val="bottom"/>
          </w:tcPr>
          <w:p>
            <w:pPr>
              <w:spacing w:after="0"/>
              <w:rPr>
                <w:sz w:val="12"/>
                <w:szCs w:val="12"/>
                <w:color w:val="auto"/>
              </w:rPr>
            </w:pPr>
          </w:p>
        </w:tc>
        <w:tc>
          <w:tcPr>
            <w:tcW w:w="700" w:type="dxa"/>
            <w:vAlign w:val="bottom"/>
          </w:tcPr>
          <w:p>
            <w:pPr>
              <w:jc w:val="right"/>
              <w:ind w:right="112"/>
              <w:spacing w:after="0" w:line="149" w:lineRule="exact"/>
              <w:rPr>
                <w:sz w:val="20"/>
                <w:szCs w:val="20"/>
                <w:color w:val="auto"/>
              </w:rPr>
            </w:pPr>
            <w:r>
              <w:rPr>
                <w:rFonts w:ascii="Arial" w:cs="Arial" w:eastAsia="Arial" w:hAnsi="Arial"/>
                <w:sz w:val="14"/>
                <w:szCs w:val="14"/>
                <w:color w:val="auto"/>
              </w:rPr>
              <w:t>278</w:t>
            </w:r>
          </w:p>
        </w:tc>
        <w:tc>
          <w:tcPr>
            <w:tcW w:w="320" w:type="dxa"/>
            <w:vAlign w:val="bottom"/>
          </w:tcPr>
          <w:p>
            <w:pPr>
              <w:spacing w:after="0"/>
              <w:rPr>
                <w:sz w:val="12"/>
                <w:szCs w:val="12"/>
                <w:color w:val="auto"/>
              </w:rPr>
            </w:pPr>
          </w:p>
        </w:tc>
        <w:tc>
          <w:tcPr>
            <w:tcW w:w="540" w:type="dxa"/>
            <w:vAlign w:val="bottom"/>
          </w:tcPr>
          <w:p>
            <w:pPr>
              <w:jc w:val="right"/>
              <w:ind w:right="112"/>
              <w:spacing w:after="0" w:line="149" w:lineRule="exact"/>
              <w:rPr>
                <w:sz w:val="20"/>
                <w:szCs w:val="20"/>
                <w:color w:val="auto"/>
              </w:rPr>
            </w:pPr>
            <w:r>
              <w:rPr>
                <w:rFonts w:ascii="Arial" w:cs="Arial" w:eastAsia="Arial" w:hAnsi="Arial"/>
                <w:sz w:val="14"/>
                <w:szCs w:val="14"/>
                <w:color w:val="auto"/>
              </w:rPr>
              <w:t>15</w:t>
            </w:r>
          </w:p>
        </w:tc>
        <w:tc>
          <w:tcPr>
            <w:tcW w:w="260" w:type="dxa"/>
            <w:vAlign w:val="bottom"/>
          </w:tcPr>
          <w:p>
            <w:pPr>
              <w:spacing w:after="0"/>
              <w:rPr>
                <w:sz w:val="12"/>
                <w:szCs w:val="12"/>
                <w:color w:val="auto"/>
              </w:rPr>
            </w:pPr>
          </w:p>
        </w:tc>
        <w:tc>
          <w:tcPr>
            <w:tcW w:w="820" w:type="dxa"/>
            <w:vAlign w:val="bottom"/>
          </w:tcPr>
          <w:p>
            <w:pPr>
              <w:jc w:val="right"/>
              <w:ind w:right="132"/>
              <w:spacing w:after="0" w:line="149" w:lineRule="exact"/>
              <w:rPr>
                <w:sz w:val="20"/>
                <w:szCs w:val="20"/>
                <w:color w:val="auto"/>
              </w:rPr>
            </w:pPr>
            <w:r>
              <w:rPr>
                <w:rFonts w:ascii="Arial" w:cs="Arial" w:eastAsia="Arial" w:hAnsi="Arial"/>
                <w:sz w:val="14"/>
                <w:szCs w:val="14"/>
                <w:color w:val="auto"/>
              </w:rPr>
              <w:t>5,736</w:t>
            </w:r>
          </w:p>
        </w:tc>
        <w:tc>
          <w:tcPr>
            <w:tcW w:w="220" w:type="dxa"/>
            <w:vAlign w:val="bottom"/>
          </w:tcPr>
          <w:p>
            <w:pPr>
              <w:spacing w:after="0"/>
              <w:rPr>
                <w:sz w:val="12"/>
                <w:szCs w:val="12"/>
                <w:color w:val="auto"/>
              </w:rPr>
            </w:pPr>
          </w:p>
        </w:tc>
        <w:tc>
          <w:tcPr>
            <w:tcW w:w="920" w:type="dxa"/>
            <w:vAlign w:val="bottom"/>
          </w:tcPr>
          <w:p>
            <w:pPr>
              <w:jc w:val="right"/>
              <w:ind w:right="72"/>
              <w:spacing w:after="0" w:line="149" w:lineRule="exact"/>
              <w:rPr>
                <w:sz w:val="20"/>
                <w:szCs w:val="20"/>
                <w:color w:val="auto"/>
              </w:rPr>
            </w:pPr>
            <w:r>
              <w:rPr>
                <w:rFonts w:ascii="Arial" w:cs="Arial" w:eastAsia="Arial" w:hAnsi="Arial"/>
                <w:sz w:val="14"/>
                <w:szCs w:val="14"/>
                <w:color w:val="auto"/>
              </w:rPr>
              <w:t>(1,195)</w:t>
            </w:r>
          </w:p>
        </w:tc>
        <w:tc>
          <w:tcPr>
            <w:tcW w:w="220" w:type="dxa"/>
            <w:vAlign w:val="bottom"/>
          </w:tcPr>
          <w:p>
            <w:pPr>
              <w:spacing w:after="0"/>
              <w:rPr>
                <w:sz w:val="12"/>
                <w:szCs w:val="12"/>
                <w:color w:val="auto"/>
              </w:rPr>
            </w:pPr>
          </w:p>
        </w:tc>
        <w:tc>
          <w:tcPr>
            <w:tcW w:w="840" w:type="dxa"/>
            <w:vAlign w:val="bottom"/>
          </w:tcPr>
          <w:p>
            <w:pPr>
              <w:jc w:val="right"/>
              <w:spacing w:after="0" w:line="149" w:lineRule="exact"/>
              <w:rPr>
                <w:sz w:val="20"/>
                <w:szCs w:val="20"/>
                <w:color w:val="auto"/>
              </w:rPr>
            </w:pPr>
            <w:r>
              <w:rPr>
                <w:rFonts w:ascii="Arial" w:cs="Arial" w:eastAsia="Arial" w:hAnsi="Arial"/>
                <w:sz w:val="14"/>
                <w:szCs w:val="14"/>
                <w:b w:val="1"/>
                <w:bCs w:val="1"/>
                <w:color w:val="auto"/>
              </w:rPr>
              <w:t>5,490</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900" w:type="dxa"/>
            <w:vAlign w:val="bottom"/>
          </w:tcPr>
          <w:p>
            <w:pPr>
              <w:ind w:left="200"/>
              <w:spacing w:after="0" w:line="149" w:lineRule="exact"/>
              <w:rPr>
                <w:sz w:val="20"/>
                <w:szCs w:val="20"/>
                <w:color w:val="auto"/>
              </w:rPr>
            </w:pPr>
            <w:r>
              <w:rPr>
                <w:rFonts w:ascii="Arial" w:cs="Arial" w:eastAsia="Arial" w:hAnsi="Arial"/>
                <w:sz w:val="14"/>
                <w:szCs w:val="14"/>
                <w:color w:val="auto"/>
              </w:rPr>
              <w:t>Depreciation</w:t>
            </w:r>
          </w:p>
        </w:tc>
        <w:tc>
          <w:tcPr>
            <w:tcW w:w="320" w:type="dxa"/>
            <w:vAlign w:val="bottom"/>
          </w:tcPr>
          <w:p>
            <w:pPr>
              <w:spacing w:after="0"/>
              <w:rPr>
                <w:sz w:val="12"/>
                <w:szCs w:val="12"/>
                <w:color w:val="auto"/>
              </w:rPr>
            </w:pPr>
          </w:p>
        </w:tc>
        <w:tc>
          <w:tcPr>
            <w:tcW w:w="620" w:type="dxa"/>
            <w:vAlign w:val="bottom"/>
          </w:tcPr>
          <w:p>
            <w:pPr>
              <w:jc w:val="right"/>
              <w:ind w:right="132"/>
              <w:spacing w:after="0" w:line="149" w:lineRule="exact"/>
              <w:rPr>
                <w:sz w:val="20"/>
                <w:szCs w:val="20"/>
                <w:color w:val="auto"/>
              </w:rPr>
            </w:pPr>
            <w:r>
              <w:rPr>
                <w:rFonts w:ascii="Arial" w:cs="Arial" w:eastAsia="Arial" w:hAnsi="Arial"/>
                <w:sz w:val="14"/>
                <w:szCs w:val="14"/>
                <w:color w:val="auto"/>
              </w:rPr>
              <w:t>3</w:t>
            </w:r>
          </w:p>
        </w:tc>
        <w:tc>
          <w:tcPr>
            <w:tcW w:w="220" w:type="dxa"/>
            <w:vAlign w:val="bottom"/>
          </w:tcPr>
          <w:p>
            <w:pPr>
              <w:spacing w:after="0"/>
              <w:rPr>
                <w:sz w:val="12"/>
                <w:szCs w:val="12"/>
                <w:color w:val="auto"/>
              </w:rPr>
            </w:pPr>
          </w:p>
        </w:tc>
        <w:tc>
          <w:tcPr>
            <w:tcW w:w="500" w:type="dxa"/>
            <w:vAlign w:val="bottom"/>
          </w:tcPr>
          <w:p>
            <w:pPr>
              <w:jc w:val="right"/>
              <w:ind w:right="92"/>
              <w:spacing w:after="0" w:line="149" w:lineRule="exact"/>
              <w:rPr>
                <w:sz w:val="20"/>
                <w:szCs w:val="20"/>
                <w:color w:val="auto"/>
              </w:rPr>
            </w:pPr>
            <w:r>
              <w:rPr>
                <w:rFonts w:ascii="Arial" w:cs="Arial" w:eastAsia="Arial" w:hAnsi="Arial"/>
                <w:sz w:val="14"/>
                <w:szCs w:val="14"/>
                <w:color w:val="auto"/>
              </w:rPr>
              <w:t>—</w:t>
            </w:r>
          </w:p>
        </w:tc>
        <w:tc>
          <w:tcPr>
            <w:tcW w:w="280" w:type="dxa"/>
            <w:vAlign w:val="bottom"/>
          </w:tcPr>
          <w:p>
            <w:pPr>
              <w:spacing w:after="0"/>
              <w:rPr>
                <w:sz w:val="12"/>
                <w:szCs w:val="12"/>
                <w:color w:val="auto"/>
              </w:rPr>
            </w:pPr>
          </w:p>
        </w:tc>
        <w:tc>
          <w:tcPr>
            <w:tcW w:w="480" w:type="dxa"/>
            <w:vAlign w:val="bottom"/>
          </w:tcPr>
          <w:p>
            <w:pPr>
              <w:jc w:val="right"/>
              <w:ind w:right="112"/>
              <w:spacing w:after="0" w:line="149" w:lineRule="exact"/>
              <w:rPr>
                <w:sz w:val="20"/>
                <w:szCs w:val="20"/>
                <w:color w:val="auto"/>
              </w:rPr>
            </w:pPr>
            <w:r>
              <w:rPr>
                <w:rFonts w:ascii="Arial" w:cs="Arial" w:eastAsia="Arial" w:hAnsi="Arial"/>
                <w:sz w:val="14"/>
                <w:szCs w:val="14"/>
                <w:color w:val="auto"/>
              </w:rPr>
              <w:t>—</w:t>
            </w:r>
          </w:p>
        </w:tc>
        <w:tc>
          <w:tcPr>
            <w:tcW w:w="240" w:type="dxa"/>
            <w:vAlign w:val="bottom"/>
          </w:tcPr>
          <w:p>
            <w:pPr>
              <w:spacing w:after="0"/>
              <w:rPr>
                <w:sz w:val="12"/>
                <w:szCs w:val="12"/>
                <w:color w:val="auto"/>
              </w:rPr>
            </w:pPr>
          </w:p>
        </w:tc>
        <w:tc>
          <w:tcPr>
            <w:tcW w:w="700" w:type="dxa"/>
            <w:vAlign w:val="bottom"/>
          </w:tcPr>
          <w:p>
            <w:pPr>
              <w:jc w:val="right"/>
              <w:ind w:right="112"/>
              <w:spacing w:after="0" w:line="149" w:lineRule="exact"/>
              <w:rPr>
                <w:sz w:val="20"/>
                <w:szCs w:val="20"/>
                <w:color w:val="auto"/>
              </w:rPr>
            </w:pPr>
            <w:r>
              <w:rPr>
                <w:rFonts w:ascii="Arial" w:cs="Arial" w:eastAsia="Arial" w:hAnsi="Arial"/>
                <w:sz w:val="14"/>
                <w:szCs w:val="14"/>
                <w:color w:val="auto"/>
              </w:rPr>
              <w:t>—</w:t>
            </w:r>
          </w:p>
        </w:tc>
        <w:tc>
          <w:tcPr>
            <w:tcW w:w="320" w:type="dxa"/>
            <w:vAlign w:val="bottom"/>
          </w:tcPr>
          <w:p>
            <w:pPr>
              <w:spacing w:after="0"/>
              <w:rPr>
                <w:sz w:val="12"/>
                <w:szCs w:val="12"/>
                <w:color w:val="auto"/>
              </w:rPr>
            </w:pPr>
          </w:p>
        </w:tc>
        <w:tc>
          <w:tcPr>
            <w:tcW w:w="540" w:type="dxa"/>
            <w:vAlign w:val="bottom"/>
          </w:tcPr>
          <w:p>
            <w:pPr>
              <w:jc w:val="right"/>
              <w:ind w:right="112"/>
              <w:spacing w:after="0" w:line="149" w:lineRule="exact"/>
              <w:rPr>
                <w:sz w:val="20"/>
                <w:szCs w:val="20"/>
                <w:color w:val="auto"/>
              </w:rPr>
            </w:pPr>
            <w:r>
              <w:rPr>
                <w:rFonts w:ascii="Arial" w:cs="Arial" w:eastAsia="Arial" w:hAnsi="Arial"/>
                <w:sz w:val="14"/>
                <w:szCs w:val="14"/>
                <w:color w:val="auto"/>
              </w:rPr>
              <w:t>3</w:t>
            </w:r>
          </w:p>
        </w:tc>
        <w:tc>
          <w:tcPr>
            <w:tcW w:w="260" w:type="dxa"/>
            <w:vAlign w:val="bottom"/>
          </w:tcPr>
          <w:p>
            <w:pPr>
              <w:spacing w:after="0"/>
              <w:rPr>
                <w:sz w:val="12"/>
                <w:szCs w:val="12"/>
                <w:color w:val="auto"/>
              </w:rPr>
            </w:pPr>
          </w:p>
        </w:tc>
        <w:tc>
          <w:tcPr>
            <w:tcW w:w="820" w:type="dxa"/>
            <w:vAlign w:val="bottom"/>
          </w:tcPr>
          <w:p>
            <w:pPr>
              <w:jc w:val="right"/>
              <w:ind w:right="132"/>
              <w:spacing w:after="0" w:line="149" w:lineRule="exact"/>
              <w:rPr>
                <w:sz w:val="20"/>
                <w:szCs w:val="20"/>
                <w:color w:val="auto"/>
              </w:rPr>
            </w:pPr>
            <w:r>
              <w:rPr>
                <w:rFonts w:ascii="Arial" w:cs="Arial" w:eastAsia="Arial" w:hAnsi="Arial"/>
                <w:sz w:val="14"/>
                <w:szCs w:val="14"/>
                <w:color w:val="auto"/>
              </w:rPr>
              <w:t>3,407</w:t>
            </w:r>
          </w:p>
        </w:tc>
        <w:tc>
          <w:tcPr>
            <w:tcW w:w="220" w:type="dxa"/>
            <w:vAlign w:val="bottom"/>
          </w:tcPr>
          <w:p>
            <w:pPr>
              <w:spacing w:after="0"/>
              <w:rPr>
                <w:sz w:val="12"/>
                <w:szCs w:val="12"/>
                <w:color w:val="auto"/>
              </w:rPr>
            </w:pPr>
          </w:p>
        </w:tc>
        <w:tc>
          <w:tcPr>
            <w:tcW w:w="920" w:type="dxa"/>
            <w:vAlign w:val="bottom"/>
          </w:tcPr>
          <w:p>
            <w:pPr>
              <w:jc w:val="right"/>
              <w:ind w:right="112"/>
              <w:spacing w:after="0" w:line="149" w:lineRule="exact"/>
              <w:rPr>
                <w:sz w:val="20"/>
                <w:szCs w:val="20"/>
                <w:color w:val="auto"/>
              </w:rPr>
            </w:pPr>
            <w:r>
              <w:rPr>
                <w:rFonts w:ascii="Arial" w:cs="Arial" w:eastAsia="Arial" w:hAnsi="Arial"/>
                <w:sz w:val="14"/>
                <w:szCs w:val="14"/>
                <w:color w:val="auto"/>
              </w:rPr>
              <w:t>—</w:t>
            </w:r>
          </w:p>
        </w:tc>
        <w:tc>
          <w:tcPr>
            <w:tcW w:w="220" w:type="dxa"/>
            <w:vAlign w:val="bottom"/>
          </w:tcPr>
          <w:p>
            <w:pPr>
              <w:spacing w:after="0"/>
              <w:rPr>
                <w:sz w:val="12"/>
                <w:szCs w:val="12"/>
                <w:color w:val="auto"/>
              </w:rPr>
            </w:pPr>
          </w:p>
        </w:tc>
        <w:tc>
          <w:tcPr>
            <w:tcW w:w="840" w:type="dxa"/>
            <w:vAlign w:val="bottom"/>
          </w:tcPr>
          <w:p>
            <w:pPr>
              <w:jc w:val="right"/>
              <w:spacing w:after="0" w:line="149" w:lineRule="exact"/>
              <w:rPr>
                <w:sz w:val="20"/>
                <w:szCs w:val="20"/>
                <w:color w:val="auto"/>
              </w:rPr>
            </w:pPr>
            <w:r>
              <w:rPr>
                <w:rFonts w:ascii="Arial" w:cs="Arial" w:eastAsia="Arial" w:hAnsi="Arial"/>
                <w:sz w:val="14"/>
                <w:szCs w:val="14"/>
                <w:b w:val="1"/>
                <w:bCs w:val="1"/>
                <w:color w:val="auto"/>
              </w:rPr>
              <w:t>3,413</w:t>
            </w:r>
          </w:p>
        </w:tc>
        <w:tc>
          <w:tcPr>
            <w:tcW w:w="0" w:type="dxa"/>
            <w:vAlign w:val="bottom"/>
          </w:tcPr>
          <w:p>
            <w:pPr>
              <w:spacing w:after="0"/>
              <w:rPr>
                <w:sz w:val="1"/>
                <w:szCs w:val="1"/>
                <w:color w:val="auto"/>
              </w:rPr>
            </w:pPr>
          </w:p>
        </w:tc>
      </w:tr>
      <w:tr>
        <w:trPr>
          <w:trHeight w:val="165"/>
        </w:trPr>
        <w:tc>
          <w:tcPr>
            <w:tcW w:w="20" w:type="dxa"/>
            <w:vAlign w:val="bottom"/>
          </w:tcPr>
          <w:p>
            <w:pPr>
              <w:spacing w:after="0"/>
              <w:rPr>
                <w:sz w:val="14"/>
                <w:szCs w:val="14"/>
                <w:color w:val="auto"/>
              </w:rPr>
            </w:pPr>
          </w:p>
        </w:tc>
        <w:tc>
          <w:tcPr>
            <w:tcW w:w="3900" w:type="dxa"/>
            <w:vAlign w:val="bottom"/>
            <w:tcBorders>
              <w:bottom w:val="single" w:sz="8" w:color="auto"/>
            </w:tcBorders>
          </w:tcPr>
          <w:p>
            <w:pPr>
              <w:ind w:left="200"/>
              <w:spacing w:after="0"/>
              <w:rPr>
                <w:sz w:val="20"/>
                <w:szCs w:val="20"/>
                <w:color w:val="auto"/>
              </w:rPr>
            </w:pPr>
            <w:r>
              <w:rPr>
                <w:rFonts w:ascii="Arial" w:cs="Arial" w:eastAsia="Arial" w:hAnsi="Arial"/>
                <w:sz w:val="14"/>
                <w:szCs w:val="14"/>
                <w:color w:val="auto"/>
              </w:rPr>
              <w:t>Amortization</w:t>
            </w:r>
          </w:p>
        </w:tc>
        <w:tc>
          <w:tcPr>
            <w:tcW w:w="320" w:type="dxa"/>
            <w:vAlign w:val="bottom"/>
            <w:tcBorders>
              <w:bottom w:val="single" w:sz="8" w:color="auto"/>
            </w:tcBorders>
          </w:tcPr>
          <w:p>
            <w:pPr>
              <w:spacing w:after="0"/>
              <w:rPr>
                <w:sz w:val="14"/>
                <w:szCs w:val="14"/>
                <w:color w:val="auto"/>
              </w:rPr>
            </w:pPr>
          </w:p>
        </w:tc>
        <w:tc>
          <w:tcPr>
            <w:tcW w:w="620" w:type="dxa"/>
            <w:vAlign w:val="bottom"/>
            <w:tcBorders>
              <w:bottom w:val="single" w:sz="8" w:color="auto"/>
            </w:tcBorders>
          </w:tcPr>
          <w:p>
            <w:pPr>
              <w:jc w:val="right"/>
              <w:ind w:right="132"/>
              <w:spacing w:after="0"/>
              <w:rPr>
                <w:sz w:val="20"/>
                <w:szCs w:val="20"/>
                <w:color w:val="auto"/>
              </w:rPr>
            </w:pPr>
            <w:r>
              <w:rPr>
                <w:rFonts w:ascii="Arial" w:cs="Arial" w:eastAsia="Arial" w:hAnsi="Arial"/>
                <w:sz w:val="14"/>
                <w:szCs w:val="14"/>
                <w:color w:val="auto"/>
              </w:rPr>
              <w:t>—</w:t>
            </w:r>
          </w:p>
        </w:tc>
        <w:tc>
          <w:tcPr>
            <w:tcW w:w="220" w:type="dxa"/>
            <w:vAlign w:val="bottom"/>
            <w:tcBorders>
              <w:bottom w:val="single" w:sz="8" w:color="auto"/>
            </w:tcBorders>
          </w:tcPr>
          <w:p>
            <w:pPr>
              <w:spacing w:after="0"/>
              <w:rPr>
                <w:sz w:val="14"/>
                <w:szCs w:val="14"/>
                <w:color w:val="auto"/>
              </w:rPr>
            </w:pPr>
          </w:p>
        </w:tc>
        <w:tc>
          <w:tcPr>
            <w:tcW w:w="500" w:type="dxa"/>
            <w:vAlign w:val="bottom"/>
            <w:tcBorders>
              <w:bottom w:val="single" w:sz="8" w:color="auto"/>
            </w:tcBorders>
          </w:tcPr>
          <w:p>
            <w:pPr>
              <w:jc w:val="right"/>
              <w:ind w:right="92"/>
              <w:spacing w:after="0"/>
              <w:rPr>
                <w:sz w:val="20"/>
                <w:szCs w:val="20"/>
                <w:color w:val="auto"/>
              </w:rPr>
            </w:pPr>
            <w:r>
              <w:rPr>
                <w:rFonts w:ascii="Arial" w:cs="Arial" w:eastAsia="Arial" w:hAnsi="Arial"/>
                <w:sz w:val="14"/>
                <w:szCs w:val="14"/>
                <w:color w:val="auto"/>
              </w:rPr>
              <w:t>—</w:t>
            </w:r>
          </w:p>
        </w:tc>
        <w:tc>
          <w:tcPr>
            <w:tcW w:w="280" w:type="dxa"/>
            <w:vAlign w:val="bottom"/>
            <w:tcBorders>
              <w:bottom w:val="single" w:sz="8" w:color="auto"/>
            </w:tcBorders>
          </w:tcPr>
          <w:p>
            <w:pPr>
              <w:spacing w:after="0"/>
              <w:rPr>
                <w:sz w:val="14"/>
                <w:szCs w:val="14"/>
                <w:color w:val="auto"/>
              </w:rPr>
            </w:pPr>
          </w:p>
        </w:tc>
        <w:tc>
          <w:tcPr>
            <w:tcW w:w="480" w:type="dxa"/>
            <w:vAlign w:val="bottom"/>
            <w:tcBorders>
              <w:bottom w:val="single" w:sz="8" w:color="auto"/>
            </w:tcBorders>
          </w:tcPr>
          <w:p>
            <w:pPr>
              <w:jc w:val="right"/>
              <w:ind w:right="112"/>
              <w:spacing w:after="0"/>
              <w:rPr>
                <w:sz w:val="20"/>
                <w:szCs w:val="20"/>
                <w:color w:val="auto"/>
              </w:rPr>
            </w:pPr>
            <w:r>
              <w:rPr>
                <w:rFonts w:ascii="Arial" w:cs="Arial" w:eastAsia="Arial" w:hAnsi="Arial"/>
                <w:sz w:val="14"/>
                <w:szCs w:val="14"/>
                <w:color w:val="auto"/>
              </w:rPr>
              <w:t>—</w:t>
            </w:r>
          </w:p>
        </w:tc>
        <w:tc>
          <w:tcPr>
            <w:tcW w:w="240" w:type="dxa"/>
            <w:vAlign w:val="bottom"/>
            <w:tcBorders>
              <w:bottom w:val="single" w:sz="8" w:color="auto"/>
            </w:tcBorders>
          </w:tcPr>
          <w:p>
            <w:pPr>
              <w:spacing w:after="0"/>
              <w:rPr>
                <w:sz w:val="14"/>
                <w:szCs w:val="14"/>
                <w:color w:val="auto"/>
              </w:rPr>
            </w:pPr>
          </w:p>
        </w:tc>
        <w:tc>
          <w:tcPr>
            <w:tcW w:w="700" w:type="dxa"/>
            <w:vAlign w:val="bottom"/>
            <w:tcBorders>
              <w:bottom w:val="single" w:sz="8" w:color="auto"/>
            </w:tcBorders>
          </w:tcPr>
          <w:p>
            <w:pPr>
              <w:jc w:val="right"/>
              <w:ind w:right="112"/>
              <w:spacing w:after="0"/>
              <w:rPr>
                <w:sz w:val="20"/>
                <w:szCs w:val="20"/>
                <w:color w:val="auto"/>
              </w:rPr>
            </w:pPr>
            <w:r>
              <w:rPr>
                <w:rFonts w:ascii="Arial" w:cs="Arial" w:eastAsia="Arial" w:hAnsi="Arial"/>
                <w:sz w:val="14"/>
                <w:szCs w:val="14"/>
                <w:color w:val="auto"/>
              </w:rPr>
              <w:t>—</w:t>
            </w:r>
          </w:p>
        </w:tc>
        <w:tc>
          <w:tcPr>
            <w:tcW w:w="320" w:type="dxa"/>
            <w:vAlign w:val="bottom"/>
            <w:tcBorders>
              <w:bottom w:val="single" w:sz="8" w:color="auto"/>
            </w:tcBorders>
          </w:tcPr>
          <w:p>
            <w:pPr>
              <w:spacing w:after="0"/>
              <w:rPr>
                <w:sz w:val="14"/>
                <w:szCs w:val="14"/>
                <w:color w:val="auto"/>
              </w:rPr>
            </w:pPr>
          </w:p>
        </w:tc>
        <w:tc>
          <w:tcPr>
            <w:tcW w:w="540" w:type="dxa"/>
            <w:vAlign w:val="bottom"/>
            <w:tcBorders>
              <w:bottom w:val="single" w:sz="8" w:color="auto"/>
            </w:tcBorders>
          </w:tcPr>
          <w:p>
            <w:pPr>
              <w:jc w:val="right"/>
              <w:ind w:right="112"/>
              <w:spacing w:after="0"/>
              <w:rPr>
                <w:sz w:val="20"/>
                <w:szCs w:val="20"/>
                <w:color w:val="auto"/>
              </w:rPr>
            </w:pPr>
            <w:r>
              <w:rPr>
                <w:rFonts w:ascii="Arial" w:cs="Arial" w:eastAsia="Arial" w:hAnsi="Arial"/>
                <w:sz w:val="14"/>
                <w:szCs w:val="14"/>
                <w:color w:val="auto"/>
              </w:rPr>
              <w:t>10</w:t>
            </w:r>
          </w:p>
        </w:tc>
        <w:tc>
          <w:tcPr>
            <w:tcW w:w="260" w:type="dxa"/>
            <w:vAlign w:val="bottom"/>
            <w:tcBorders>
              <w:bottom w:val="single" w:sz="8" w:color="auto"/>
            </w:tcBorders>
          </w:tcPr>
          <w:p>
            <w:pPr>
              <w:spacing w:after="0"/>
              <w:rPr>
                <w:sz w:val="14"/>
                <w:szCs w:val="14"/>
                <w:color w:val="auto"/>
              </w:rPr>
            </w:pPr>
          </w:p>
        </w:tc>
        <w:tc>
          <w:tcPr>
            <w:tcW w:w="820" w:type="dxa"/>
            <w:vAlign w:val="bottom"/>
            <w:tcBorders>
              <w:bottom w:val="single" w:sz="8" w:color="auto"/>
            </w:tcBorders>
          </w:tcPr>
          <w:p>
            <w:pPr>
              <w:jc w:val="right"/>
              <w:ind w:right="132"/>
              <w:spacing w:after="0"/>
              <w:rPr>
                <w:sz w:val="20"/>
                <w:szCs w:val="20"/>
                <w:color w:val="auto"/>
              </w:rPr>
            </w:pPr>
            <w:r>
              <w:rPr>
                <w:rFonts w:ascii="Arial" w:cs="Arial" w:eastAsia="Arial" w:hAnsi="Arial"/>
                <w:sz w:val="14"/>
                <w:szCs w:val="14"/>
                <w:color w:val="auto"/>
              </w:rPr>
              <w:t>1,128</w:t>
            </w:r>
          </w:p>
        </w:tc>
        <w:tc>
          <w:tcPr>
            <w:tcW w:w="220" w:type="dxa"/>
            <w:vAlign w:val="bottom"/>
            <w:tcBorders>
              <w:bottom w:val="single" w:sz="8" w:color="auto"/>
            </w:tcBorders>
          </w:tcPr>
          <w:p>
            <w:pPr>
              <w:spacing w:after="0"/>
              <w:rPr>
                <w:sz w:val="14"/>
                <w:szCs w:val="14"/>
                <w:color w:val="auto"/>
              </w:rPr>
            </w:pPr>
          </w:p>
        </w:tc>
        <w:tc>
          <w:tcPr>
            <w:tcW w:w="920" w:type="dxa"/>
            <w:vAlign w:val="bottom"/>
            <w:tcBorders>
              <w:bottom w:val="single" w:sz="8" w:color="auto"/>
            </w:tcBorders>
          </w:tcPr>
          <w:p>
            <w:pPr>
              <w:jc w:val="right"/>
              <w:ind w:right="112"/>
              <w:spacing w:after="0"/>
              <w:rPr>
                <w:sz w:val="20"/>
                <w:szCs w:val="20"/>
                <w:color w:val="auto"/>
              </w:rPr>
            </w:pPr>
            <w:r>
              <w:rPr>
                <w:rFonts w:ascii="Arial" w:cs="Arial" w:eastAsia="Arial" w:hAnsi="Arial"/>
                <w:sz w:val="14"/>
                <w:szCs w:val="14"/>
                <w:color w:val="auto"/>
              </w:rPr>
              <w:t>—</w:t>
            </w:r>
          </w:p>
        </w:tc>
        <w:tc>
          <w:tcPr>
            <w:tcW w:w="220" w:type="dxa"/>
            <w:vAlign w:val="bottom"/>
            <w:tcBorders>
              <w:bottom w:val="single" w:sz="8" w:color="auto"/>
            </w:tcBorders>
          </w:tcPr>
          <w:p>
            <w:pPr>
              <w:spacing w:after="0"/>
              <w:rPr>
                <w:sz w:val="14"/>
                <w:szCs w:val="14"/>
                <w:color w:val="auto"/>
              </w:rPr>
            </w:pPr>
          </w:p>
        </w:tc>
        <w:tc>
          <w:tcPr>
            <w:tcW w:w="84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1,138</w:t>
            </w:r>
          </w:p>
        </w:tc>
        <w:tc>
          <w:tcPr>
            <w:tcW w:w="0" w:type="dxa"/>
            <w:vAlign w:val="bottom"/>
          </w:tcPr>
          <w:p>
            <w:pPr>
              <w:spacing w:after="0"/>
              <w:rPr>
                <w:sz w:val="1"/>
                <w:szCs w:val="1"/>
                <w:color w:val="auto"/>
              </w:rPr>
            </w:pPr>
          </w:p>
        </w:tc>
      </w:tr>
      <w:tr>
        <w:trPr>
          <w:trHeight w:val="125"/>
        </w:trPr>
        <w:tc>
          <w:tcPr>
            <w:tcW w:w="20" w:type="dxa"/>
            <w:vAlign w:val="bottom"/>
          </w:tcPr>
          <w:p>
            <w:pPr>
              <w:spacing w:after="0"/>
              <w:rPr>
                <w:sz w:val="10"/>
                <w:szCs w:val="10"/>
                <w:color w:val="auto"/>
              </w:rPr>
            </w:pPr>
          </w:p>
        </w:tc>
        <w:tc>
          <w:tcPr>
            <w:tcW w:w="3900" w:type="dxa"/>
            <w:vAlign w:val="bottom"/>
          </w:tcPr>
          <w:p>
            <w:pPr>
              <w:spacing w:after="0"/>
              <w:rPr>
                <w:sz w:val="10"/>
                <w:szCs w:val="10"/>
                <w:color w:val="auto"/>
              </w:rPr>
            </w:pPr>
          </w:p>
        </w:tc>
        <w:tc>
          <w:tcPr>
            <w:tcW w:w="320" w:type="dxa"/>
            <w:vAlign w:val="bottom"/>
          </w:tcPr>
          <w:p>
            <w:pPr>
              <w:spacing w:after="0"/>
              <w:rPr>
                <w:sz w:val="10"/>
                <w:szCs w:val="10"/>
                <w:color w:val="auto"/>
              </w:rPr>
            </w:pPr>
          </w:p>
        </w:tc>
        <w:tc>
          <w:tcPr>
            <w:tcW w:w="620" w:type="dxa"/>
            <w:vAlign w:val="bottom"/>
          </w:tcPr>
          <w:p>
            <w:pPr>
              <w:jc w:val="right"/>
              <w:ind w:right="132"/>
              <w:spacing w:after="0" w:line="125" w:lineRule="exact"/>
              <w:rPr>
                <w:sz w:val="20"/>
                <w:szCs w:val="20"/>
                <w:color w:val="auto"/>
              </w:rPr>
            </w:pPr>
            <w:r>
              <w:rPr>
                <w:rFonts w:ascii="Arial" w:cs="Arial" w:eastAsia="Arial" w:hAnsi="Arial"/>
                <w:sz w:val="14"/>
                <w:szCs w:val="14"/>
                <w:color w:val="auto"/>
              </w:rPr>
              <w:t>207</w:t>
            </w:r>
          </w:p>
        </w:tc>
        <w:tc>
          <w:tcPr>
            <w:tcW w:w="220" w:type="dxa"/>
            <w:vAlign w:val="bottom"/>
          </w:tcPr>
          <w:p>
            <w:pPr>
              <w:spacing w:after="0"/>
              <w:rPr>
                <w:sz w:val="10"/>
                <w:szCs w:val="10"/>
                <w:color w:val="auto"/>
              </w:rPr>
            </w:pPr>
          </w:p>
        </w:tc>
        <w:tc>
          <w:tcPr>
            <w:tcW w:w="500" w:type="dxa"/>
            <w:vAlign w:val="bottom"/>
          </w:tcPr>
          <w:p>
            <w:pPr>
              <w:jc w:val="right"/>
              <w:ind w:right="92"/>
              <w:spacing w:after="0" w:line="125" w:lineRule="exact"/>
              <w:rPr>
                <w:sz w:val="20"/>
                <w:szCs w:val="20"/>
                <w:color w:val="auto"/>
              </w:rPr>
            </w:pPr>
            <w:r>
              <w:rPr>
                <w:rFonts w:ascii="Arial" w:cs="Arial" w:eastAsia="Arial" w:hAnsi="Arial"/>
                <w:sz w:val="14"/>
                <w:szCs w:val="14"/>
                <w:color w:val="auto"/>
              </w:rPr>
              <w:t>174</w:t>
            </w:r>
          </w:p>
        </w:tc>
        <w:tc>
          <w:tcPr>
            <w:tcW w:w="280" w:type="dxa"/>
            <w:vAlign w:val="bottom"/>
          </w:tcPr>
          <w:p>
            <w:pPr>
              <w:spacing w:after="0"/>
              <w:rPr>
                <w:sz w:val="10"/>
                <w:szCs w:val="10"/>
                <w:color w:val="auto"/>
              </w:rPr>
            </w:pPr>
          </w:p>
        </w:tc>
        <w:tc>
          <w:tcPr>
            <w:tcW w:w="480" w:type="dxa"/>
            <w:vAlign w:val="bottom"/>
          </w:tcPr>
          <w:p>
            <w:pPr>
              <w:jc w:val="right"/>
              <w:ind w:right="112"/>
              <w:spacing w:after="0" w:line="125" w:lineRule="exact"/>
              <w:rPr>
                <w:sz w:val="20"/>
                <w:szCs w:val="20"/>
                <w:color w:val="auto"/>
              </w:rPr>
            </w:pPr>
            <w:r>
              <w:rPr>
                <w:rFonts w:ascii="Arial" w:cs="Arial" w:eastAsia="Arial" w:hAnsi="Arial"/>
                <w:sz w:val="14"/>
                <w:szCs w:val="14"/>
                <w:color w:val="auto"/>
              </w:rPr>
              <w:t>278</w:t>
            </w:r>
          </w:p>
        </w:tc>
        <w:tc>
          <w:tcPr>
            <w:tcW w:w="240" w:type="dxa"/>
            <w:vAlign w:val="bottom"/>
          </w:tcPr>
          <w:p>
            <w:pPr>
              <w:spacing w:after="0"/>
              <w:rPr>
                <w:sz w:val="10"/>
                <w:szCs w:val="10"/>
                <w:color w:val="auto"/>
              </w:rPr>
            </w:pPr>
          </w:p>
        </w:tc>
        <w:tc>
          <w:tcPr>
            <w:tcW w:w="700" w:type="dxa"/>
            <w:vAlign w:val="bottom"/>
          </w:tcPr>
          <w:p>
            <w:pPr>
              <w:jc w:val="right"/>
              <w:ind w:right="112"/>
              <w:spacing w:after="0" w:line="125" w:lineRule="exact"/>
              <w:rPr>
                <w:sz w:val="20"/>
                <w:szCs w:val="20"/>
                <w:color w:val="auto"/>
              </w:rPr>
            </w:pPr>
            <w:r>
              <w:rPr>
                <w:rFonts w:ascii="Arial" w:cs="Arial" w:eastAsia="Arial" w:hAnsi="Arial"/>
                <w:sz w:val="14"/>
                <w:szCs w:val="14"/>
                <w:color w:val="auto"/>
              </w:rPr>
              <w:t>278</w:t>
            </w:r>
          </w:p>
        </w:tc>
        <w:tc>
          <w:tcPr>
            <w:tcW w:w="320" w:type="dxa"/>
            <w:vAlign w:val="bottom"/>
          </w:tcPr>
          <w:p>
            <w:pPr>
              <w:spacing w:after="0"/>
              <w:rPr>
                <w:sz w:val="10"/>
                <w:szCs w:val="10"/>
                <w:color w:val="auto"/>
              </w:rPr>
            </w:pPr>
          </w:p>
        </w:tc>
        <w:tc>
          <w:tcPr>
            <w:tcW w:w="540" w:type="dxa"/>
            <w:vAlign w:val="bottom"/>
          </w:tcPr>
          <w:p>
            <w:pPr>
              <w:jc w:val="right"/>
              <w:ind w:right="112"/>
              <w:spacing w:after="0" w:line="125" w:lineRule="exact"/>
              <w:rPr>
                <w:sz w:val="20"/>
                <w:szCs w:val="20"/>
                <w:color w:val="auto"/>
              </w:rPr>
            </w:pPr>
            <w:r>
              <w:rPr>
                <w:rFonts w:ascii="Arial" w:cs="Arial" w:eastAsia="Arial" w:hAnsi="Arial"/>
                <w:sz w:val="14"/>
                <w:szCs w:val="14"/>
                <w:color w:val="auto"/>
              </w:rPr>
              <w:t>28</w:t>
            </w:r>
          </w:p>
        </w:tc>
        <w:tc>
          <w:tcPr>
            <w:tcW w:w="260" w:type="dxa"/>
            <w:vAlign w:val="bottom"/>
          </w:tcPr>
          <w:p>
            <w:pPr>
              <w:spacing w:after="0"/>
              <w:rPr>
                <w:sz w:val="10"/>
                <w:szCs w:val="10"/>
                <w:color w:val="auto"/>
              </w:rPr>
            </w:pPr>
          </w:p>
        </w:tc>
        <w:tc>
          <w:tcPr>
            <w:tcW w:w="820" w:type="dxa"/>
            <w:vAlign w:val="bottom"/>
          </w:tcPr>
          <w:p>
            <w:pPr>
              <w:jc w:val="right"/>
              <w:ind w:right="132"/>
              <w:spacing w:after="0" w:line="125" w:lineRule="exact"/>
              <w:rPr>
                <w:sz w:val="20"/>
                <w:szCs w:val="20"/>
                <w:color w:val="auto"/>
              </w:rPr>
            </w:pPr>
            <w:r>
              <w:rPr>
                <w:rFonts w:ascii="Arial" w:cs="Arial" w:eastAsia="Arial" w:hAnsi="Arial"/>
                <w:sz w:val="14"/>
                <w:szCs w:val="14"/>
                <w:color w:val="auto"/>
              </w:rPr>
              <w:t>17,784</w:t>
            </w:r>
          </w:p>
        </w:tc>
        <w:tc>
          <w:tcPr>
            <w:tcW w:w="220" w:type="dxa"/>
            <w:vAlign w:val="bottom"/>
          </w:tcPr>
          <w:p>
            <w:pPr>
              <w:spacing w:after="0"/>
              <w:rPr>
                <w:sz w:val="10"/>
                <w:szCs w:val="10"/>
                <w:color w:val="auto"/>
              </w:rPr>
            </w:pPr>
          </w:p>
        </w:tc>
        <w:tc>
          <w:tcPr>
            <w:tcW w:w="920" w:type="dxa"/>
            <w:vAlign w:val="bottom"/>
          </w:tcPr>
          <w:p>
            <w:pPr>
              <w:jc w:val="right"/>
              <w:ind w:right="72"/>
              <w:spacing w:after="0" w:line="125" w:lineRule="exact"/>
              <w:rPr>
                <w:sz w:val="20"/>
                <w:szCs w:val="20"/>
                <w:color w:val="auto"/>
              </w:rPr>
            </w:pPr>
            <w:r>
              <w:rPr>
                <w:rFonts w:ascii="Arial" w:cs="Arial" w:eastAsia="Arial" w:hAnsi="Arial"/>
                <w:sz w:val="14"/>
                <w:szCs w:val="14"/>
                <w:color w:val="auto"/>
              </w:rPr>
              <w:t>(1,195)</w:t>
            </w:r>
          </w:p>
        </w:tc>
        <w:tc>
          <w:tcPr>
            <w:tcW w:w="220" w:type="dxa"/>
            <w:vAlign w:val="bottom"/>
          </w:tcPr>
          <w:p>
            <w:pPr>
              <w:spacing w:after="0"/>
              <w:rPr>
                <w:sz w:val="10"/>
                <w:szCs w:val="10"/>
                <w:color w:val="auto"/>
              </w:rPr>
            </w:pPr>
          </w:p>
        </w:tc>
        <w:tc>
          <w:tcPr>
            <w:tcW w:w="840" w:type="dxa"/>
            <w:vAlign w:val="bottom"/>
          </w:tcPr>
          <w:p>
            <w:pPr>
              <w:jc w:val="right"/>
              <w:spacing w:after="0" w:line="125" w:lineRule="exact"/>
              <w:rPr>
                <w:sz w:val="20"/>
                <w:szCs w:val="20"/>
                <w:color w:val="auto"/>
              </w:rPr>
            </w:pPr>
            <w:r>
              <w:rPr>
                <w:rFonts w:ascii="Arial" w:cs="Arial" w:eastAsia="Arial" w:hAnsi="Arial"/>
                <w:sz w:val="14"/>
                <w:szCs w:val="14"/>
                <w:b w:val="1"/>
                <w:bCs w:val="1"/>
                <w:color w:val="auto"/>
              </w:rPr>
              <w:t>17,554</w:t>
            </w:r>
          </w:p>
        </w:tc>
        <w:tc>
          <w:tcPr>
            <w:tcW w:w="0" w:type="dxa"/>
            <w:vAlign w:val="bottom"/>
          </w:tcPr>
          <w:p>
            <w:pPr>
              <w:spacing w:after="0"/>
              <w:rPr>
                <w:sz w:val="1"/>
                <w:szCs w:val="1"/>
                <w:color w:val="auto"/>
              </w:rPr>
            </w:pPr>
          </w:p>
        </w:tc>
      </w:tr>
      <w:tr>
        <w:trPr>
          <w:trHeight w:val="165"/>
        </w:trPr>
        <w:tc>
          <w:tcPr>
            <w:tcW w:w="3920" w:type="dxa"/>
            <w:vAlign w:val="bottom"/>
            <w:gridSpan w:val="2"/>
          </w:tcPr>
          <w:p>
            <w:pPr>
              <w:spacing w:after="0"/>
              <w:rPr>
                <w:sz w:val="20"/>
                <w:szCs w:val="20"/>
                <w:color w:val="auto"/>
              </w:rPr>
            </w:pPr>
            <w:r>
              <w:rPr>
                <w:rFonts w:ascii="Arial" w:cs="Arial" w:eastAsia="Arial" w:hAnsi="Arial"/>
                <w:sz w:val="14"/>
                <w:szCs w:val="14"/>
                <w:color w:val="auto"/>
              </w:rPr>
              <w:t>Operating income (loss)</w:t>
            </w:r>
          </w:p>
        </w:tc>
        <w:tc>
          <w:tcPr>
            <w:tcW w:w="320" w:type="dxa"/>
            <w:vAlign w:val="bottom"/>
          </w:tcPr>
          <w:p>
            <w:pPr>
              <w:spacing w:after="0"/>
              <w:rPr>
                <w:sz w:val="14"/>
                <w:szCs w:val="14"/>
                <w:color w:val="auto"/>
              </w:rPr>
            </w:pPr>
          </w:p>
        </w:tc>
        <w:tc>
          <w:tcPr>
            <w:tcW w:w="620" w:type="dxa"/>
            <w:vAlign w:val="bottom"/>
          </w:tcPr>
          <w:p>
            <w:pPr>
              <w:jc w:val="right"/>
              <w:ind w:right="132"/>
              <w:spacing w:after="0"/>
              <w:rPr>
                <w:sz w:val="20"/>
                <w:szCs w:val="20"/>
                <w:color w:val="auto"/>
              </w:rPr>
            </w:pPr>
            <w:r>
              <w:rPr>
                <w:rFonts w:ascii="Arial" w:cs="Arial" w:eastAsia="Arial" w:hAnsi="Arial"/>
                <w:sz w:val="14"/>
                <w:szCs w:val="14"/>
                <w:color w:val="auto"/>
              </w:rPr>
              <w:t>250</w:t>
            </w:r>
          </w:p>
        </w:tc>
        <w:tc>
          <w:tcPr>
            <w:tcW w:w="220" w:type="dxa"/>
            <w:vAlign w:val="bottom"/>
          </w:tcPr>
          <w:p>
            <w:pPr>
              <w:spacing w:after="0"/>
              <w:rPr>
                <w:sz w:val="14"/>
                <w:szCs w:val="14"/>
                <w:color w:val="auto"/>
              </w:rPr>
            </w:pPr>
          </w:p>
        </w:tc>
        <w:tc>
          <w:tcPr>
            <w:tcW w:w="500" w:type="dxa"/>
            <w:vAlign w:val="bottom"/>
          </w:tcPr>
          <w:p>
            <w:pPr>
              <w:jc w:val="right"/>
              <w:ind w:right="92"/>
              <w:spacing w:after="0"/>
              <w:rPr>
                <w:sz w:val="20"/>
                <w:szCs w:val="20"/>
                <w:color w:val="auto"/>
              </w:rPr>
            </w:pPr>
            <w:r>
              <w:rPr>
                <w:rFonts w:ascii="Arial" w:cs="Arial" w:eastAsia="Arial" w:hAnsi="Arial"/>
                <w:sz w:val="14"/>
                <w:szCs w:val="14"/>
                <w:color w:val="auto"/>
              </w:rPr>
              <w:t>—</w:t>
            </w:r>
          </w:p>
        </w:tc>
        <w:tc>
          <w:tcPr>
            <w:tcW w:w="280" w:type="dxa"/>
            <w:vAlign w:val="bottom"/>
          </w:tcPr>
          <w:p>
            <w:pPr>
              <w:spacing w:after="0"/>
              <w:rPr>
                <w:sz w:val="14"/>
                <w:szCs w:val="14"/>
                <w:color w:val="auto"/>
              </w:rPr>
            </w:pPr>
          </w:p>
        </w:tc>
        <w:tc>
          <w:tcPr>
            <w:tcW w:w="480" w:type="dxa"/>
            <w:vAlign w:val="bottom"/>
          </w:tcPr>
          <w:p>
            <w:pPr>
              <w:jc w:val="right"/>
              <w:ind w:right="112"/>
              <w:spacing w:after="0"/>
              <w:rPr>
                <w:sz w:val="20"/>
                <w:szCs w:val="20"/>
                <w:color w:val="auto"/>
              </w:rPr>
            </w:pPr>
            <w:r>
              <w:rPr>
                <w:rFonts w:ascii="Arial" w:cs="Arial" w:eastAsia="Arial" w:hAnsi="Arial"/>
                <w:sz w:val="14"/>
                <w:szCs w:val="14"/>
                <w:color w:val="auto"/>
              </w:rPr>
              <w:t>—</w:t>
            </w:r>
          </w:p>
        </w:tc>
        <w:tc>
          <w:tcPr>
            <w:tcW w:w="240" w:type="dxa"/>
            <w:vAlign w:val="bottom"/>
          </w:tcPr>
          <w:p>
            <w:pPr>
              <w:spacing w:after="0"/>
              <w:rPr>
                <w:sz w:val="14"/>
                <w:szCs w:val="14"/>
                <w:color w:val="auto"/>
              </w:rPr>
            </w:pPr>
          </w:p>
        </w:tc>
        <w:tc>
          <w:tcPr>
            <w:tcW w:w="700" w:type="dxa"/>
            <w:vAlign w:val="bottom"/>
          </w:tcPr>
          <w:p>
            <w:pPr>
              <w:jc w:val="right"/>
              <w:ind w:right="112"/>
              <w:spacing w:after="0"/>
              <w:rPr>
                <w:sz w:val="20"/>
                <w:szCs w:val="20"/>
                <w:color w:val="auto"/>
              </w:rPr>
            </w:pPr>
            <w:r>
              <w:rPr>
                <w:rFonts w:ascii="Arial" w:cs="Arial" w:eastAsia="Arial" w:hAnsi="Arial"/>
                <w:sz w:val="14"/>
                <w:szCs w:val="14"/>
                <w:color w:val="auto"/>
              </w:rPr>
              <w:t>—</w:t>
            </w:r>
          </w:p>
        </w:tc>
        <w:tc>
          <w:tcPr>
            <w:tcW w:w="320" w:type="dxa"/>
            <w:vAlign w:val="bottom"/>
          </w:tcPr>
          <w:p>
            <w:pPr>
              <w:spacing w:after="0"/>
              <w:rPr>
                <w:sz w:val="14"/>
                <w:szCs w:val="14"/>
                <w:color w:val="auto"/>
              </w:rPr>
            </w:pPr>
          </w:p>
        </w:tc>
        <w:tc>
          <w:tcPr>
            <w:tcW w:w="540" w:type="dxa"/>
            <w:vAlign w:val="bottom"/>
          </w:tcPr>
          <w:p>
            <w:pPr>
              <w:jc w:val="right"/>
              <w:ind w:right="72"/>
              <w:spacing w:after="0"/>
              <w:rPr>
                <w:sz w:val="20"/>
                <w:szCs w:val="20"/>
                <w:color w:val="auto"/>
              </w:rPr>
            </w:pPr>
            <w:r>
              <w:rPr>
                <w:rFonts w:ascii="Arial" w:cs="Arial" w:eastAsia="Arial" w:hAnsi="Arial"/>
                <w:sz w:val="14"/>
                <w:szCs w:val="14"/>
                <w:color w:val="auto"/>
              </w:rPr>
              <w:t>(20)</w:t>
            </w:r>
          </w:p>
        </w:tc>
        <w:tc>
          <w:tcPr>
            <w:tcW w:w="260" w:type="dxa"/>
            <w:vAlign w:val="bottom"/>
          </w:tcPr>
          <w:p>
            <w:pPr>
              <w:spacing w:after="0"/>
              <w:rPr>
                <w:sz w:val="14"/>
                <w:szCs w:val="14"/>
                <w:color w:val="auto"/>
              </w:rPr>
            </w:pPr>
          </w:p>
        </w:tc>
        <w:tc>
          <w:tcPr>
            <w:tcW w:w="820" w:type="dxa"/>
            <w:vAlign w:val="bottom"/>
          </w:tcPr>
          <w:p>
            <w:pPr>
              <w:jc w:val="right"/>
              <w:ind w:right="132"/>
              <w:spacing w:after="0"/>
              <w:rPr>
                <w:sz w:val="20"/>
                <w:szCs w:val="20"/>
                <w:color w:val="auto"/>
              </w:rPr>
            </w:pPr>
            <w:r>
              <w:rPr>
                <w:rFonts w:ascii="Arial" w:cs="Arial" w:eastAsia="Arial" w:hAnsi="Arial"/>
                <w:sz w:val="14"/>
                <w:szCs w:val="14"/>
                <w:color w:val="auto"/>
              </w:rPr>
              <w:t>3,291</w:t>
            </w:r>
          </w:p>
        </w:tc>
        <w:tc>
          <w:tcPr>
            <w:tcW w:w="220" w:type="dxa"/>
            <w:vAlign w:val="bottom"/>
          </w:tcPr>
          <w:p>
            <w:pPr>
              <w:spacing w:after="0"/>
              <w:rPr>
                <w:sz w:val="14"/>
                <w:szCs w:val="14"/>
                <w:color w:val="auto"/>
              </w:rPr>
            </w:pPr>
          </w:p>
        </w:tc>
        <w:tc>
          <w:tcPr>
            <w:tcW w:w="920" w:type="dxa"/>
            <w:vAlign w:val="bottom"/>
          </w:tcPr>
          <w:p>
            <w:pPr>
              <w:jc w:val="right"/>
              <w:ind w:right="112"/>
              <w:spacing w:after="0"/>
              <w:rPr>
                <w:sz w:val="20"/>
                <w:szCs w:val="20"/>
                <w:color w:val="auto"/>
              </w:rPr>
            </w:pPr>
            <w:r>
              <w:rPr>
                <w:rFonts w:ascii="Arial" w:cs="Arial" w:eastAsia="Arial" w:hAnsi="Arial"/>
                <w:sz w:val="14"/>
                <w:szCs w:val="14"/>
                <w:color w:val="auto"/>
              </w:rPr>
              <w:t>—</w:t>
            </w:r>
          </w:p>
        </w:tc>
        <w:tc>
          <w:tcPr>
            <w:tcW w:w="220" w:type="dxa"/>
            <w:vAlign w:val="bottom"/>
          </w:tcPr>
          <w:p>
            <w:pPr>
              <w:spacing w:after="0"/>
              <w:rPr>
                <w:sz w:val="14"/>
                <w:szCs w:val="14"/>
                <w:color w:val="auto"/>
              </w:rPr>
            </w:pPr>
          </w:p>
        </w:tc>
        <w:tc>
          <w:tcPr>
            <w:tcW w:w="840" w:type="dxa"/>
            <w:vAlign w:val="bottom"/>
          </w:tcPr>
          <w:p>
            <w:pPr>
              <w:jc w:val="right"/>
              <w:spacing w:after="0"/>
              <w:rPr>
                <w:sz w:val="20"/>
                <w:szCs w:val="20"/>
                <w:color w:val="auto"/>
              </w:rPr>
            </w:pPr>
            <w:r>
              <w:rPr>
                <w:rFonts w:ascii="Arial" w:cs="Arial" w:eastAsia="Arial" w:hAnsi="Arial"/>
                <w:sz w:val="14"/>
                <w:szCs w:val="14"/>
                <w:b w:val="1"/>
                <w:bCs w:val="1"/>
                <w:color w:val="auto"/>
              </w:rPr>
              <w:t>3,521</w:t>
            </w:r>
          </w:p>
        </w:tc>
        <w:tc>
          <w:tcPr>
            <w:tcW w:w="0" w:type="dxa"/>
            <w:vAlign w:val="bottom"/>
          </w:tcPr>
          <w:p>
            <w:pPr>
              <w:spacing w:after="0"/>
              <w:rPr>
                <w:sz w:val="1"/>
                <w:szCs w:val="1"/>
                <w:color w:val="auto"/>
              </w:rPr>
            </w:pPr>
          </w:p>
        </w:tc>
      </w:tr>
      <w:tr>
        <w:trPr>
          <w:trHeight w:val="149"/>
        </w:trPr>
        <w:tc>
          <w:tcPr>
            <w:tcW w:w="3920" w:type="dxa"/>
            <w:vAlign w:val="bottom"/>
            <w:gridSpan w:val="2"/>
          </w:tcPr>
          <w:p>
            <w:pPr>
              <w:spacing w:after="0" w:line="149" w:lineRule="exact"/>
              <w:rPr>
                <w:sz w:val="20"/>
                <w:szCs w:val="20"/>
                <w:color w:val="auto"/>
              </w:rPr>
            </w:pPr>
            <w:r>
              <w:rPr>
                <w:rFonts w:ascii="Arial" w:cs="Arial" w:eastAsia="Arial" w:hAnsi="Arial"/>
                <w:sz w:val="14"/>
                <w:szCs w:val="14"/>
                <w:color w:val="auto"/>
              </w:rPr>
              <w:t>Other Income (Expense)</w:t>
            </w:r>
          </w:p>
        </w:tc>
        <w:tc>
          <w:tcPr>
            <w:tcW w:w="32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92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840" w:type="dxa"/>
            <w:vAlign w:val="bottom"/>
            <w:vMerge w:val="restart"/>
          </w:tcPr>
          <w:p>
            <w:pPr>
              <w:jc w:val="right"/>
              <w:spacing w:after="0"/>
              <w:rPr>
                <w:sz w:val="20"/>
                <w:szCs w:val="20"/>
                <w:color w:val="auto"/>
              </w:rPr>
            </w:pPr>
            <w:r>
              <w:rPr>
                <w:rFonts w:ascii="Arial" w:cs="Arial" w:eastAsia="Arial" w:hAnsi="Arial"/>
                <w:sz w:val="14"/>
                <w:szCs w:val="14"/>
                <w:b w:val="1"/>
                <w:bCs w:val="1"/>
                <w:color w:val="auto"/>
              </w:rPr>
              <w:t>(1,795)</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3900" w:type="dxa"/>
            <w:vAlign w:val="bottom"/>
          </w:tcPr>
          <w:p>
            <w:pPr>
              <w:ind w:left="200"/>
              <w:spacing w:after="0" w:line="133" w:lineRule="exact"/>
              <w:rPr>
                <w:sz w:val="20"/>
                <w:szCs w:val="20"/>
                <w:color w:val="auto"/>
              </w:rPr>
            </w:pPr>
            <w:r>
              <w:rPr>
                <w:rFonts w:ascii="Arial" w:cs="Arial" w:eastAsia="Arial" w:hAnsi="Arial"/>
                <w:sz w:val="14"/>
                <w:szCs w:val="14"/>
                <w:color w:val="auto"/>
              </w:rPr>
              <w:t>Interest expense</w:t>
            </w:r>
          </w:p>
        </w:tc>
        <w:tc>
          <w:tcPr>
            <w:tcW w:w="320" w:type="dxa"/>
            <w:vAlign w:val="bottom"/>
          </w:tcPr>
          <w:p>
            <w:pPr>
              <w:spacing w:after="0"/>
              <w:rPr>
                <w:sz w:val="11"/>
                <w:szCs w:val="11"/>
                <w:color w:val="auto"/>
              </w:rPr>
            </w:pPr>
          </w:p>
        </w:tc>
        <w:tc>
          <w:tcPr>
            <w:tcW w:w="620" w:type="dxa"/>
            <w:vAlign w:val="bottom"/>
          </w:tcPr>
          <w:p>
            <w:pPr>
              <w:jc w:val="right"/>
              <w:ind w:right="72"/>
              <w:spacing w:after="0" w:line="133" w:lineRule="exact"/>
              <w:rPr>
                <w:sz w:val="20"/>
                <w:szCs w:val="20"/>
                <w:color w:val="auto"/>
              </w:rPr>
            </w:pPr>
            <w:r>
              <w:rPr>
                <w:rFonts w:ascii="Arial" w:cs="Arial" w:eastAsia="Arial" w:hAnsi="Arial"/>
                <w:sz w:val="14"/>
                <w:szCs w:val="14"/>
                <w:color w:val="auto"/>
              </w:rPr>
              <w:t>(371)</w:t>
            </w:r>
          </w:p>
        </w:tc>
        <w:tc>
          <w:tcPr>
            <w:tcW w:w="220" w:type="dxa"/>
            <w:vAlign w:val="bottom"/>
          </w:tcPr>
          <w:p>
            <w:pPr>
              <w:spacing w:after="0"/>
              <w:rPr>
                <w:sz w:val="11"/>
                <w:szCs w:val="11"/>
                <w:color w:val="auto"/>
              </w:rPr>
            </w:pPr>
          </w:p>
        </w:tc>
        <w:tc>
          <w:tcPr>
            <w:tcW w:w="500" w:type="dxa"/>
            <w:vAlign w:val="bottom"/>
          </w:tcPr>
          <w:p>
            <w:pPr>
              <w:jc w:val="right"/>
              <w:ind w:right="52"/>
              <w:spacing w:after="0" w:line="133" w:lineRule="exact"/>
              <w:rPr>
                <w:sz w:val="20"/>
                <w:szCs w:val="20"/>
                <w:color w:val="auto"/>
              </w:rPr>
            </w:pPr>
            <w:r>
              <w:rPr>
                <w:rFonts w:ascii="Arial" w:cs="Arial" w:eastAsia="Arial" w:hAnsi="Arial"/>
                <w:sz w:val="14"/>
                <w:szCs w:val="14"/>
                <w:color w:val="auto"/>
              </w:rPr>
              <w:t>(477)</w:t>
            </w:r>
          </w:p>
        </w:tc>
        <w:tc>
          <w:tcPr>
            <w:tcW w:w="280" w:type="dxa"/>
            <w:vAlign w:val="bottom"/>
          </w:tcPr>
          <w:p>
            <w:pPr>
              <w:spacing w:after="0"/>
              <w:rPr>
                <w:sz w:val="11"/>
                <w:szCs w:val="11"/>
                <w:color w:val="auto"/>
              </w:rPr>
            </w:pPr>
          </w:p>
        </w:tc>
        <w:tc>
          <w:tcPr>
            <w:tcW w:w="480" w:type="dxa"/>
            <w:vAlign w:val="bottom"/>
          </w:tcPr>
          <w:p>
            <w:pPr>
              <w:jc w:val="right"/>
              <w:ind w:right="72"/>
              <w:spacing w:after="0" w:line="133" w:lineRule="exact"/>
              <w:rPr>
                <w:sz w:val="20"/>
                <w:szCs w:val="20"/>
                <w:color w:val="auto"/>
              </w:rPr>
            </w:pPr>
            <w:r>
              <w:rPr>
                <w:rFonts w:ascii="Arial" w:cs="Arial" w:eastAsia="Arial" w:hAnsi="Arial"/>
                <w:sz w:val="14"/>
                <w:szCs w:val="14"/>
                <w:color w:val="auto"/>
                <w:w w:val="97"/>
              </w:rPr>
              <w:t>(329)</w:t>
            </w:r>
          </w:p>
        </w:tc>
        <w:tc>
          <w:tcPr>
            <w:tcW w:w="240" w:type="dxa"/>
            <w:vAlign w:val="bottom"/>
          </w:tcPr>
          <w:p>
            <w:pPr>
              <w:spacing w:after="0"/>
              <w:rPr>
                <w:sz w:val="11"/>
                <w:szCs w:val="11"/>
                <w:color w:val="auto"/>
              </w:rPr>
            </w:pPr>
          </w:p>
        </w:tc>
        <w:tc>
          <w:tcPr>
            <w:tcW w:w="700" w:type="dxa"/>
            <w:vAlign w:val="bottom"/>
          </w:tcPr>
          <w:p>
            <w:pPr>
              <w:jc w:val="right"/>
              <w:ind w:right="72"/>
              <w:spacing w:after="0" w:line="133" w:lineRule="exact"/>
              <w:rPr>
                <w:sz w:val="20"/>
                <w:szCs w:val="20"/>
                <w:color w:val="auto"/>
              </w:rPr>
            </w:pPr>
            <w:r>
              <w:rPr>
                <w:rFonts w:ascii="Arial" w:cs="Arial" w:eastAsia="Arial" w:hAnsi="Arial"/>
                <w:sz w:val="14"/>
                <w:szCs w:val="14"/>
                <w:color w:val="auto"/>
              </w:rPr>
              <w:t>(306)</w:t>
            </w:r>
          </w:p>
        </w:tc>
        <w:tc>
          <w:tcPr>
            <w:tcW w:w="320" w:type="dxa"/>
            <w:vAlign w:val="bottom"/>
          </w:tcPr>
          <w:p>
            <w:pPr>
              <w:spacing w:after="0"/>
              <w:rPr>
                <w:sz w:val="11"/>
                <w:szCs w:val="11"/>
                <w:color w:val="auto"/>
              </w:rPr>
            </w:pPr>
          </w:p>
        </w:tc>
        <w:tc>
          <w:tcPr>
            <w:tcW w:w="540" w:type="dxa"/>
            <w:vAlign w:val="bottom"/>
          </w:tcPr>
          <w:p>
            <w:pPr>
              <w:jc w:val="right"/>
              <w:ind w:right="72"/>
              <w:spacing w:after="0" w:line="133" w:lineRule="exact"/>
              <w:rPr>
                <w:sz w:val="20"/>
                <w:szCs w:val="20"/>
                <w:color w:val="auto"/>
              </w:rPr>
            </w:pPr>
            <w:r>
              <w:rPr>
                <w:rFonts w:ascii="Arial" w:cs="Arial" w:eastAsia="Arial" w:hAnsi="Arial"/>
                <w:sz w:val="14"/>
                <w:szCs w:val="14"/>
                <w:color w:val="auto"/>
              </w:rPr>
              <w:t>(101)</w:t>
            </w:r>
          </w:p>
        </w:tc>
        <w:tc>
          <w:tcPr>
            <w:tcW w:w="260" w:type="dxa"/>
            <w:vAlign w:val="bottom"/>
          </w:tcPr>
          <w:p>
            <w:pPr>
              <w:spacing w:after="0"/>
              <w:rPr>
                <w:sz w:val="11"/>
                <w:szCs w:val="11"/>
                <w:color w:val="auto"/>
              </w:rPr>
            </w:pPr>
          </w:p>
        </w:tc>
        <w:tc>
          <w:tcPr>
            <w:tcW w:w="820" w:type="dxa"/>
            <w:vAlign w:val="bottom"/>
          </w:tcPr>
          <w:p>
            <w:pPr>
              <w:jc w:val="right"/>
              <w:ind w:right="72"/>
              <w:spacing w:after="0" w:line="133" w:lineRule="exact"/>
              <w:rPr>
                <w:sz w:val="20"/>
                <w:szCs w:val="20"/>
                <w:color w:val="auto"/>
              </w:rPr>
            </w:pPr>
            <w:r>
              <w:rPr>
                <w:rFonts w:ascii="Arial" w:cs="Arial" w:eastAsia="Arial" w:hAnsi="Arial"/>
                <w:sz w:val="14"/>
                <w:szCs w:val="14"/>
                <w:color w:val="auto"/>
              </w:rPr>
              <w:t>(211)</w:t>
            </w:r>
          </w:p>
        </w:tc>
        <w:tc>
          <w:tcPr>
            <w:tcW w:w="220" w:type="dxa"/>
            <w:vAlign w:val="bottom"/>
          </w:tcPr>
          <w:p>
            <w:pPr>
              <w:spacing w:after="0"/>
              <w:rPr>
                <w:sz w:val="11"/>
                <w:szCs w:val="11"/>
                <w:color w:val="auto"/>
              </w:rPr>
            </w:pPr>
          </w:p>
        </w:tc>
        <w:tc>
          <w:tcPr>
            <w:tcW w:w="920" w:type="dxa"/>
            <w:vAlign w:val="bottom"/>
          </w:tcPr>
          <w:p>
            <w:pPr>
              <w:jc w:val="right"/>
              <w:ind w:right="112"/>
              <w:spacing w:after="0" w:line="133" w:lineRule="exact"/>
              <w:rPr>
                <w:sz w:val="20"/>
                <w:szCs w:val="20"/>
                <w:color w:val="auto"/>
              </w:rPr>
            </w:pPr>
            <w:r>
              <w:rPr>
                <w:rFonts w:ascii="Arial" w:cs="Arial" w:eastAsia="Arial" w:hAnsi="Arial"/>
                <w:sz w:val="14"/>
                <w:szCs w:val="14"/>
                <w:color w:val="auto"/>
              </w:rPr>
              <w:t>—</w:t>
            </w:r>
          </w:p>
        </w:tc>
        <w:tc>
          <w:tcPr>
            <w:tcW w:w="220" w:type="dxa"/>
            <w:vAlign w:val="bottom"/>
          </w:tcPr>
          <w:p>
            <w:pPr>
              <w:spacing w:after="0"/>
              <w:rPr>
                <w:sz w:val="11"/>
                <w:szCs w:val="11"/>
                <w:color w:val="auto"/>
              </w:rPr>
            </w:pPr>
          </w:p>
        </w:tc>
        <w:tc>
          <w:tcPr>
            <w:tcW w:w="840" w:type="dxa"/>
            <w:vAlign w:val="bottom"/>
            <w:vMerge w:val="continue"/>
          </w:tcPr>
          <w:p>
            <w:pPr>
              <w:spacing w:after="0"/>
              <w:rPr>
                <w:sz w:val="11"/>
                <w:szCs w:val="11"/>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900" w:type="dxa"/>
            <w:vAlign w:val="bottom"/>
          </w:tcPr>
          <w:p>
            <w:pPr>
              <w:ind w:left="200"/>
              <w:spacing w:after="0" w:line="149" w:lineRule="exact"/>
              <w:rPr>
                <w:sz w:val="20"/>
                <w:szCs w:val="20"/>
                <w:color w:val="auto"/>
              </w:rPr>
            </w:pPr>
            <w:r>
              <w:rPr>
                <w:rFonts w:ascii="Arial" w:cs="Arial" w:eastAsia="Arial" w:hAnsi="Arial"/>
                <w:sz w:val="14"/>
                <w:szCs w:val="14"/>
                <w:color w:val="auto"/>
              </w:rPr>
              <w:t>Investment income (loss), net</w:t>
            </w:r>
          </w:p>
        </w:tc>
        <w:tc>
          <w:tcPr>
            <w:tcW w:w="320" w:type="dxa"/>
            <w:vAlign w:val="bottom"/>
          </w:tcPr>
          <w:p>
            <w:pPr>
              <w:spacing w:after="0"/>
              <w:rPr>
                <w:sz w:val="12"/>
                <w:szCs w:val="12"/>
                <w:color w:val="auto"/>
              </w:rPr>
            </w:pPr>
          </w:p>
        </w:tc>
        <w:tc>
          <w:tcPr>
            <w:tcW w:w="620" w:type="dxa"/>
            <w:vAlign w:val="bottom"/>
          </w:tcPr>
          <w:p>
            <w:pPr>
              <w:jc w:val="right"/>
              <w:ind w:right="132"/>
              <w:spacing w:after="0" w:line="149" w:lineRule="exact"/>
              <w:rPr>
                <w:sz w:val="20"/>
                <w:szCs w:val="20"/>
                <w:color w:val="auto"/>
              </w:rPr>
            </w:pPr>
            <w:r>
              <w:rPr>
                <w:rFonts w:ascii="Arial" w:cs="Arial" w:eastAsia="Arial" w:hAnsi="Arial"/>
                <w:sz w:val="14"/>
                <w:szCs w:val="14"/>
                <w:color w:val="auto"/>
              </w:rPr>
              <w:t>—</w:t>
            </w:r>
          </w:p>
        </w:tc>
        <w:tc>
          <w:tcPr>
            <w:tcW w:w="220" w:type="dxa"/>
            <w:vAlign w:val="bottom"/>
          </w:tcPr>
          <w:p>
            <w:pPr>
              <w:spacing w:after="0"/>
              <w:rPr>
                <w:sz w:val="12"/>
                <w:szCs w:val="12"/>
                <w:color w:val="auto"/>
              </w:rPr>
            </w:pPr>
          </w:p>
        </w:tc>
        <w:tc>
          <w:tcPr>
            <w:tcW w:w="500" w:type="dxa"/>
            <w:vAlign w:val="bottom"/>
          </w:tcPr>
          <w:p>
            <w:pPr>
              <w:jc w:val="right"/>
              <w:ind w:right="92"/>
              <w:spacing w:after="0" w:line="149" w:lineRule="exact"/>
              <w:rPr>
                <w:sz w:val="20"/>
                <w:szCs w:val="20"/>
                <w:color w:val="auto"/>
              </w:rPr>
            </w:pPr>
            <w:r>
              <w:rPr>
                <w:rFonts w:ascii="Arial" w:cs="Arial" w:eastAsia="Arial" w:hAnsi="Arial"/>
                <w:sz w:val="14"/>
                <w:szCs w:val="14"/>
                <w:color w:val="auto"/>
              </w:rPr>
              <w:t>—</w:t>
            </w:r>
          </w:p>
        </w:tc>
        <w:tc>
          <w:tcPr>
            <w:tcW w:w="280" w:type="dxa"/>
            <w:vAlign w:val="bottom"/>
          </w:tcPr>
          <w:p>
            <w:pPr>
              <w:spacing w:after="0"/>
              <w:rPr>
                <w:sz w:val="12"/>
                <w:szCs w:val="12"/>
                <w:color w:val="auto"/>
              </w:rPr>
            </w:pPr>
          </w:p>
        </w:tc>
        <w:tc>
          <w:tcPr>
            <w:tcW w:w="480" w:type="dxa"/>
            <w:vAlign w:val="bottom"/>
          </w:tcPr>
          <w:p>
            <w:pPr>
              <w:jc w:val="right"/>
              <w:ind w:right="112"/>
              <w:spacing w:after="0" w:line="149" w:lineRule="exact"/>
              <w:rPr>
                <w:sz w:val="20"/>
                <w:szCs w:val="20"/>
                <w:color w:val="auto"/>
              </w:rPr>
            </w:pPr>
            <w:r>
              <w:rPr>
                <w:rFonts w:ascii="Arial" w:cs="Arial" w:eastAsia="Arial" w:hAnsi="Arial"/>
                <w:sz w:val="14"/>
                <w:szCs w:val="14"/>
                <w:color w:val="auto"/>
              </w:rPr>
              <w:t>—</w:t>
            </w:r>
          </w:p>
        </w:tc>
        <w:tc>
          <w:tcPr>
            <w:tcW w:w="240" w:type="dxa"/>
            <w:vAlign w:val="bottom"/>
          </w:tcPr>
          <w:p>
            <w:pPr>
              <w:spacing w:after="0"/>
              <w:rPr>
                <w:sz w:val="12"/>
                <w:szCs w:val="12"/>
                <w:color w:val="auto"/>
              </w:rPr>
            </w:pPr>
          </w:p>
        </w:tc>
        <w:tc>
          <w:tcPr>
            <w:tcW w:w="700" w:type="dxa"/>
            <w:vAlign w:val="bottom"/>
          </w:tcPr>
          <w:p>
            <w:pPr>
              <w:jc w:val="right"/>
              <w:ind w:right="112"/>
              <w:spacing w:after="0" w:line="149" w:lineRule="exact"/>
              <w:rPr>
                <w:sz w:val="20"/>
                <w:szCs w:val="20"/>
                <w:color w:val="auto"/>
              </w:rPr>
            </w:pPr>
            <w:r>
              <w:rPr>
                <w:rFonts w:ascii="Arial" w:cs="Arial" w:eastAsia="Arial" w:hAnsi="Arial"/>
                <w:sz w:val="14"/>
                <w:szCs w:val="14"/>
                <w:color w:val="auto"/>
              </w:rPr>
              <w:t>—</w:t>
            </w:r>
          </w:p>
        </w:tc>
        <w:tc>
          <w:tcPr>
            <w:tcW w:w="320" w:type="dxa"/>
            <w:vAlign w:val="bottom"/>
          </w:tcPr>
          <w:p>
            <w:pPr>
              <w:spacing w:after="0"/>
              <w:rPr>
                <w:sz w:val="12"/>
                <w:szCs w:val="12"/>
                <w:color w:val="auto"/>
              </w:rPr>
            </w:pPr>
          </w:p>
        </w:tc>
        <w:tc>
          <w:tcPr>
            <w:tcW w:w="540" w:type="dxa"/>
            <w:vAlign w:val="bottom"/>
          </w:tcPr>
          <w:p>
            <w:pPr>
              <w:jc w:val="right"/>
              <w:ind w:right="72"/>
              <w:spacing w:after="0" w:line="149" w:lineRule="exact"/>
              <w:rPr>
                <w:sz w:val="20"/>
                <w:szCs w:val="20"/>
                <w:color w:val="auto"/>
              </w:rPr>
            </w:pPr>
            <w:r>
              <w:rPr>
                <w:rFonts w:ascii="Arial" w:cs="Arial" w:eastAsia="Arial" w:hAnsi="Arial"/>
                <w:sz w:val="14"/>
                <w:szCs w:val="14"/>
                <w:color w:val="auto"/>
              </w:rPr>
              <w:t>(16)</w:t>
            </w:r>
          </w:p>
        </w:tc>
        <w:tc>
          <w:tcPr>
            <w:tcW w:w="260" w:type="dxa"/>
            <w:vAlign w:val="bottom"/>
          </w:tcPr>
          <w:p>
            <w:pPr>
              <w:spacing w:after="0"/>
              <w:rPr>
                <w:sz w:val="12"/>
                <w:szCs w:val="12"/>
                <w:color w:val="auto"/>
              </w:rPr>
            </w:pPr>
          </w:p>
        </w:tc>
        <w:tc>
          <w:tcPr>
            <w:tcW w:w="820" w:type="dxa"/>
            <w:vAlign w:val="bottom"/>
          </w:tcPr>
          <w:p>
            <w:pPr>
              <w:jc w:val="right"/>
              <w:ind w:right="132"/>
              <w:spacing w:after="0" w:line="149" w:lineRule="exact"/>
              <w:rPr>
                <w:sz w:val="20"/>
                <w:szCs w:val="20"/>
                <w:color w:val="auto"/>
              </w:rPr>
            </w:pPr>
            <w:r>
              <w:rPr>
                <w:rFonts w:ascii="Arial" w:cs="Arial" w:eastAsia="Arial" w:hAnsi="Arial"/>
                <w:sz w:val="14"/>
                <w:szCs w:val="14"/>
                <w:color w:val="auto"/>
              </w:rPr>
              <w:t>105</w:t>
            </w:r>
          </w:p>
        </w:tc>
        <w:tc>
          <w:tcPr>
            <w:tcW w:w="220" w:type="dxa"/>
            <w:vAlign w:val="bottom"/>
          </w:tcPr>
          <w:p>
            <w:pPr>
              <w:spacing w:after="0"/>
              <w:rPr>
                <w:sz w:val="12"/>
                <w:szCs w:val="12"/>
                <w:color w:val="auto"/>
              </w:rPr>
            </w:pPr>
          </w:p>
        </w:tc>
        <w:tc>
          <w:tcPr>
            <w:tcW w:w="920" w:type="dxa"/>
            <w:vAlign w:val="bottom"/>
          </w:tcPr>
          <w:p>
            <w:pPr>
              <w:jc w:val="right"/>
              <w:ind w:right="112"/>
              <w:spacing w:after="0" w:line="149" w:lineRule="exact"/>
              <w:rPr>
                <w:sz w:val="20"/>
                <w:szCs w:val="20"/>
                <w:color w:val="auto"/>
              </w:rPr>
            </w:pPr>
            <w:r>
              <w:rPr>
                <w:rFonts w:ascii="Arial" w:cs="Arial" w:eastAsia="Arial" w:hAnsi="Arial"/>
                <w:sz w:val="14"/>
                <w:szCs w:val="14"/>
                <w:color w:val="auto"/>
              </w:rPr>
              <w:t>—</w:t>
            </w:r>
          </w:p>
        </w:tc>
        <w:tc>
          <w:tcPr>
            <w:tcW w:w="220" w:type="dxa"/>
            <w:vAlign w:val="bottom"/>
          </w:tcPr>
          <w:p>
            <w:pPr>
              <w:spacing w:after="0"/>
              <w:rPr>
                <w:sz w:val="12"/>
                <w:szCs w:val="12"/>
                <w:color w:val="auto"/>
              </w:rPr>
            </w:pPr>
          </w:p>
        </w:tc>
        <w:tc>
          <w:tcPr>
            <w:tcW w:w="840" w:type="dxa"/>
            <w:vAlign w:val="bottom"/>
          </w:tcPr>
          <w:p>
            <w:pPr>
              <w:jc w:val="right"/>
              <w:spacing w:after="0" w:line="149" w:lineRule="exact"/>
              <w:rPr>
                <w:sz w:val="20"/>
                <w:szCs w:val="20"/>
                <w:color w:val="auto"/>
              </w:rPr>
            </w:pPr>
            <w:r>
              <w:rPr>
                <w:rFonts w:ascii="Arial" w:cs="Arial" w:eastAsia="Arial" w:hAnsi="Arial"/>
                <w:sz w:val="14"/>
                <w:szCs w:val="14"/>
                <w:b w:val="1"/>
                <w:bCs w:val="1"/>
                <w:color w:val="auto"/>
              </w:rPr>
              <w:t>89</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900" w:type="dxa"/>
            <w:vAlign w:val="bottom"/>
          </w:tcPr>
          <w:p>
            <w:pPr>
              <w:ind w:left="200"/>
              <w:spacing w:after="0" w:line="149" w:lineRule="exact"/>
              <w:rPr>
                <w:sz w:val="20"/>
                <w:szCs w:val="20"/>
                <w:color w:val="auto"/>
              </w:rPr>
            </w:pPr>
            <w:r>
              <w:rPr>
                <w:rFonts w:ascii="Arial" w:cs="Arial" w:eastAsia="Arial" w:hAnsi="Arial"/>
                <w:sz w:val="14"/>
                <w:szCs w:val="14"/>
                <w:color w:val="auto"/>
              </w:rPr>
              <w:t>Equity in net income (losses) of affiliates</w:t>
            </w:r>
          </w:p>
        </w:tc>
        <w:tc>
          <w:tcPr>
            <w:tcW w:w="320" w:type="dxa"/>
            <w:vAlign w:val="bottom"/>
          </w:tcPr>
          <w:p>
            <w:pPr>
              <w:spacing w:after="0"/>
              <w:rPr>
                <w:sz w:val="12"/>
                <w:szCs w:val="12"/>
                <w:color w:val="auto"/>
              </w:rPr>
            </w:pPr>
          </w:p>
        </w:tc>
        <w:tc>
          <w:tcPr>
            <w:tcW w:w="620" w:type="dxa"/>
            <w:vAlign w:val="bottom"/>
          </w:tcPr>
          <w:p>
            <w:pPr>
              <w:jc w:val="right"/>
              <w:ind w:right="132"/>
              <w:spacing w:after="0" w:line="149" w:lineRule="exact"/>
              <w:rPr>
                <w:sz w:val="20"/>
                <w:szCs w:val="20"/>
                <w:color w:val="auto"/>
              </w:rPr>
            </w:pPr>
            <w:r>
              <w:rPr>
                <w:rFonts w:ascii="Arial" w:cs="Arial" w:eastAsia="Arial" w:hAnsi="Arial"/>
                <w:sz w:val="14"/>
                <w:szCs w:val="14"/>
                <w:color w:val="auto"/>
              </w:rPr>
              <w:t>1,007</w:t>
            </w:r>
          </w:p>
        </w:tc>
        <w:tc>
          <w:tcPr>
            <w:tcW w:w="220" w:type="dxa"/>
            <w:vAlign w:val="bottom"/>
          </w:tcPr>
          <w:p>
            <w:pPr>
              <w:spacing w:after="0"/>
              <w:rPr>
                <w:sz w:val="12"/>
                <w:szCs w:val="12"/>
                <w:color w:val="auto"/>
              </w:rPr>
            </w:pPr>
          </w:p>
        </w:tc>
        <w:tc>
          <w:tcPr>
            <w:tcW w:w="500" w:type="dxa"/>
            <w:vAlign w:val="bottom"/>
          </w:tcPr>
          <w:p>
            <w:pPr>
              <w:jc w:val="right"/>
              <w:ind w:right="92"/>
              <w:spacing w:after="0" w:line="149" w:lineRule="exact"/>
              <w:rPr>
                <w:sz w:val="20"/>
                <w:szCs w:val="20"/>
                <w:color w:val="auto"/>
              </w:rPr>
            </w:pPr>
            <w:r>
              <w:rPr>
                <w:rFonts w:ascii="Arial" w:cs="Arial" w:eastAsia="Arial" w:hAnsi="Arial"/>
                <w:sz w:val="14"/>
                <w:szCs w:val="14"/>
                <w:color w:val="auto"/>
                <w:w w:val="91"/>
              </w:rPr>
              <w:t>1,372</w:t>
            </w:r>
          </w:p>
        </w:tc>
        <w:tc>
          <w:tcPr>
            <w:tcW w:w="280" w:type="dxa"/>
            <w:vAlign w:val="bottom"/>
          </w:tcPr>
          <w:p>
            <w:pPr>
              <w:spacing w:after="0"/>
              <w:rPr>
                <w:sz w:val="12"/>
                <w:szCs w:val="12"/>
                <w:color w:val="auto"/>
              </w:rPr>
            </w:pPr>
          </w:p>
        </w:tc>
        <w:tc>
          <w:tcPr>
            <w:tcW w:w="480" w:type="dxa"/>
            <w:vAlign w:val="bottom"/>
          </w:tcPr>
          <w:p>
            <w:pPr>
              <w:jc w:val="right"/>
              <w:ind w:right="112"/>
              <w:spacing w:after="0" w:line="149" w:lineRule="exact"/>
              <w:rPr>
                <w:sz w:val="20"/>
                <w:szCs w:val="20"/>
                <w:color w:val="auto"/>
              </w:rPr>
            </w:pPr>
            <w:r>
              <w:rPr>
                <w:rFonts w:ascii="Arial" w:cs="Arial" w:eastAsia="Arial" w:hAnsi="Arial"/>
                <w:sz w:val="14"/>
                <w:szCs w:val="14"/>
                <w:color w:val="auto"/>
              </w:rPr>
              <w:t>605</w:t>
            </w:r>
          </w:p>
        </w:tc>
        <w:tc>
          <w:tcPr>
            <w:tcW w:w="240" w:type="dxa"/>
            <w:vAlign w:val="bottom"/>
          </w:tcPr>
          <w:p>
            <w:pPr>
              <w:spacing w:after="0"/>
              <w:rPr>
                <w:sz w:val="12"/>
                <w:szCs w:val="12"/>
                <w:color w:val="auto"/>
              </w:rPr>
            </w:pPr>
          </w:p>
        </w:tc>
        <w:tc>
          <w:tcPr>
            <w:tcW w:w="700" w:type="dxa"/>
            <w:vAlign w:val="bottom"/>
          </w:tcPr>
          <w:p>
            <w:pPr>
              <w:jc w:val="right"/>
              <w:ind w:right="112"/>
              <w:spacing w:after="0" w:line="149" w:lineRule="exact"/>
              <w:rPr>
                <w:sz w:val="20"/>
                <w:szCs w:val="20"/>
                <w:color w:val="auto"/>
              </w:rPr>
            </w:pPr>
            <w:r>
              <w:rPr>
                <w:rFonts w:ascii="Arial" w:cs="Arial" w:eastAsia="Arial" w:hAnsi="Arial"/>
                <w:sz w:val="14"/>
                <w:szCs w:val="14"/>
                <w:color w:val="auto"/>
              </w:rPr>
              <w:t>804</w:t>
            </w:r>
          </w:p>
        </w:tc>
        <w:tc>
          <w:tcPr>
            <w:tcW w:w="320" w:type="dxa"/>
            <w:vAlign w:val="bottom"/>
          </w:tcPr>
          <w:p>
            <w:pPr>
              <w:spacing w:after="0"/>
              <w:rPr>
                <w:sz w:val="12"/>
                <w:szCs w:val="12"/>
                <w:color w:val="auto"/>
              </w:rPr>
            </w:pPr>
          </w:p>
        </w:tc>
        <w:tc>
          <w:tcPr>
            <w:tcW w:w="540" w:type="dxa"/>
            <w:vAlign w:val="bottom"/>
          </w:tcPr>
          <w:p>
            <w:pPr>
              <w:jc w:val="right"/>
              <w:ind w:right="112"/>
              <w:spacing w:after="0" w:line="149" w:lineRule="exact"/>
              <w:rPr>
                <w:sz w:val="20"/>
                <w:szCs w:val="20"/>
                <w:color w:val="auto"/>
              </w:rPr>
            </w:pPr>
            <w:r>
              <w:rPr>
                <w:rFonts w:ascii="Arial" w:cs="Arial" w:eastAsia="Arial" w:hAnsi="Arial"/>
                <w:sz w:val="14"/>
                <w:szCs w:val="14"/>
                <w:color w:val="auto"/>
              </w:rPr>
              <w:t>977</w:t>
            </w:r>
          </w:p>
        </w:tc>
        <w:tc>
          <w:tcPr>
            <w:tcW w:w="260" w:type="dxa"/>
            <w:vAlign w:val="bottom"/>
          </w:tcPr>
          <w:p>
            <w:pPr>
              <w:spacing w:after="0"/>
              <w:rPr>
                <w:sz w:val="12"/>
                <w:szCs w:val="12"/>
                <w:color w:val="auto"/>
              </w:rPr>
            </w:pPr>
          </w:p>
        </w:tc>
        <w:tc>
          <w:tcPr>
            <w:tcW w:w="820" w:type="dxa"/>
            <w:vAlign w:val="bottom"/>
          </w:tcPr>
          <w:p>
            <w:pPr>
              <w:jc w:val="right"/>
              <w:ind w:right="132"/>
              <w:spacing w:after="0" w:line="149" w:lineRule="exact"/>
              <w:rPr>
                <w:sz w:val="20"/>
                <w:szCs w:val="20"/>
                <w:color w:val="auto"/>
              </w:rPr>
            </w:pPr>
            <w:r>
              <w:rPr>
                <w:rFonts w:ascii="Arial" w:cs="Arial" w:eastAsia="Arial" w:hAnsi="Arial"/>
                <w:sz w:val="14"/>
                <w:szCs w:val="14"/>
                <w:color w:val="auto"/>
              </w:rPr>
              <w:t>43</w:t>
            </w:r>
          </w:p>
        </w:tc>
        <w:tc>
          <w:tcPr>
            <w:tcW w:w="220" w:type="dxa"/>
            <w:vAlign w:val="bottom"/>
          </w:tcPr>
          <w:p>
            <w:pPr>
              <w:spacing w:after="0"/>
              <w:rPr>
                <w:sz w:val="12"/>
                <w:szCs w:val="12"/>
                <w:color w:val="auto"/>
              </w:rPr>
            </w:pPr>
          </w:p>
        </w:tc>
        <w:tc>
          <w:tcPr>
            <w:tcW w:w="920" w:type="dxa"/>
            <w:vAlign w:val="bottom"/>
          </w:tcPr>
          <w:p>
            <w:pPr>
              <w:jc w:val="right"/>
              <w:ind w:right="72"/>
              <w:spacing w:after="0" w:line="149" w:lineRule="exact"/>
              <w:rPr>
                <w:sz w:val="20"/>
                <w:szCs w:val="20"/>
                <w:color w:val="auto"/>
              </w:rPr>
            </w:pPr>
            <w:r>
              <w:rPr>
                <w:rFonts w:ascii="Arial" w:cs="Arial" w:eastAsia="Arial" w:hAnsi="Arial"/>
                <w:sz w:val="14"/>
                <w:szCs w:val="14"/>
                <w:color w:val="auto"/>
              </w:rPr>
              <w:t>(4,850)</w:t>
            </w:r>
          </w:p>
        </w:tc>
        <w:tc>
          <w:tcPr>
            <w:tcW w:w="220" w:type="dxa"/>
            <w:vAlign w:val="bottom"/>
          </w:tcPr>
          <w:p>
            <w:pPr>
              <w:spacing w:after="0"/>
              <w:rPr>
                <w:sz w:val="12"/>
                <w:szCs w:val="12"/>
                <w:color w:val="auto"/>
              </w:rPr>
            </w:pPr>
          </w:p>
        </w:tc>
        <w:tc>
          <w:tcPr>
            <w:tcW w:w="840" w:type="dxa"/>
            <w:vAlign w:val="bottom"/>
          </w:tcPr>
          <w:p>
            <w:pPr>
              <w:jc w:val="right"/>
              <w:spacing w:after="0" w:line="149" w:lineRule="exact"/>
              <w:rPr>
                <w:sz w:val="20"/>
                <w:szCs w:val="20"/>
                <w:color w:val="auto"/>
              </w:rPr>
            </w:pPr>
            <w:r>
              <w:rPr>
                <w:rFonts w:ascii="Arial" w:cs="Arial" w:eastAsia="Arial" w:hAnsi="Arial"/>
                <w:sz w:val="14"/>
                <w:szCs w:val="14"/>
                <w:b w:val="1"/>
                <w:bCs w:val="1"/>
                <w:color w:val="auto"/>
              </w:rPr>
              <w:t>(42)</w:t>
            </w:r>
          </w:p>
        </w:tc>
        <w:tc>
          <w:tcPr>
            <w:tcW w:w="0" w:type="dxa"/>
            <w:vAlign w:val="bottom"/>
          </w:tcPr>
          <w:p>
            <w:pPr>
              <w:spacing w:after="0"/>
              <w:rPr>
                <w:sz w:val="1"/>
                <w:szCs w:val="1"/>
                <w:color w:val="auto"/>
              </w:rPr>
            </w:pPr>
          </w:p>
        </w:tc>
      </w:tr>
      <w:tr>
        <w:trPr>
          <w:trHeight w:val="165"/>
        </w:trPr>
        <w:tc>
          <w:tcPr>
            <w:tcW w:w="20" w:type="dxa"/>
            <w:vAlign w:val="bottom"/>
          </w:tcPr>
          <w:p>
            <w:pPr>
              <w:spacing w:after="0"/>
              <w:rPr>
                <w:sz w:val="14"/>
                <w:szCs w:val="14"/>
                <w:color w:val="auto"/>
              </w:rPr>
            </w:pPr>
          </w:p>
        </w:tc>
        <w:tc>
          <w:tcPr>
            <w:tcW w:w="3900" w:type="dxa"/>
            <w:vAlign w:val="bottom"/>
            <w:tcBorders>
              <w:bottom w:val="single" w:sz="8" w:color="auto"/>
            </w:tcBorders>
          </w:tcPr>
          <w:p>
            <w:pPr>
              <w:ind w:left="200"/>
              <w:spacing w:after="0"/>
              <w:rPr>
                <w:sz w:val="20"/>
                <w:szCs w:val="20"/>
                <w:color w:val="auto"/>
              </w:rPr>
            </w:pPr>
            <w:r>
              <w:rPr>
                <w:rFonts w:ascii="Arial" w:cs="Arial" w:eastAsia="Arial" w:hAnsi="Arial"/>
                <w:sz w:val="14"/>
                <w:szCs w:val="14"/>
                <w:color w:val="auto"/>
              </w:rPr>
              <w:t>Other income (expense)</w:t>
            </w:r>
          </w:p>
        </w:tc>
        <w:tc>
          <w:tcPr>
            <w:tcW w:w="320" w:type="dxa"/>
            <w:vAlign w:val="bottom"/>
            <w:tcBorders>
              <w:bottom w:val="single" w:sz="8" w:color="auto"/>
            </w:tcBorders>
          </w:tcPr>
          <w:p>
            <w:pPr>
              <w:spacing w:after="0"/>
              <w:rPr>
                <w:sz w:val="14"/>
                <w:szCs w:val="14"/>
                <w:color w:val="auto"/>
              </w:rPr>
            </w:pPr>
          </w:p>
        </w:tc>
        <w:tc>
          <w:tcPr>
            <w:tcW w:w="620" w:type="dxa"/>
            <w:vAlign w:val="bottom"/>
            <w:tcBorders>
              <w:bottom w:val="single" w:sz="8" w:color="auto"/>
            </w:tcBorders>
          </w:tcPr>
          <w:p>
            <w:pPr>
              <w:jc w:val="right"/>
              <w:ind w:right="132"/>
              <w:spacing w:after="0"/>
              <w:rPr>
                <w:sz w:val="20"/>
                <w:szCs w:val="20"/>
                <w:color w:val="auto"/>
              </w:rPr>
            </w:pPr>
            <w:r>
              <w:rPr>
                <w:rFonts w:ascii="Arial" w:cs="Arial" w:eastAsia="Arial" w:hAnsi="Arial"/>
                <w:sz w:val="14"/>
                <w:szCs w:val="14"/>
                <w:color w:val="auto"/>
              </w:rPr>
              <w:t>—</w:t>
            </w:r>
          </w:p>
        </w:tc>
        <w:tc>
          <w:tcPr>
            <w:tcW w:w="220" w:type="dxa"/>
            <w:vAlign w:val="bottom"/>
            <w:tcBorders>
              <w:bottom w:val="single" w:sz="8" w:color="auto"/>
            </w:tcBorders>
          </w:tcPr>
          <w:p>
            <w:pPr>
              <w:spacing w:after="0"/>
              <w:rPr>
                <w:sz w:val="14"/>
                <w:szCs w:val="14"/>
                <w:color w:val="auto"/>
              </w:rPr>
            </w:pPr>
          </w:p>
        </w:tc>
        <w:tc>
          <w:tcPr>
            <w:tcW w:w="500" w:type="dxa"/>
            <w:vAlign w:val="bottom"/>
            <w:tcBorders>
              <w:bottom w:val="single" w:sz="8" w:color="auto"/>
            </w:tcBorders>
          </w:tcPr>
          <w:p>
            <w:pPr>
              <w:jc w:val="right"/>
              <w:ind w:right="92"/>
              <w:spacing w:after="0"/>
              <w:rPr>
                <w:sz w:val="20"/>
                <w:szCs w:val="20"/>
                <w:color w:val="auto"/>
              </w:rPr>
            </w:pPr>
            <w:r>
              <w:rPr>
                <w:rFonts w:ascii="Arial" w:cs="Arial" w:eastAsia="Arial" w:hAnsi="Arial"/>
                <w:sz w:val="14"/>
                <w:szCs w:val="14"/>
                <w:color w:val="auto"/>
              </w:rPr>
              <w:t>—</w:t>
            </w:r>
          </w:p>
        </w:tc>
        <w:tc>
          <w:tcPr>
            <w:tcW w:w="280" w:type="dxa"/>
            <w:vAlign w:val="bottom"/>
            <w:tcBorders>
              <w:bottom w:val="single" w:sz="8" w:color="auto"/>
            </w:tcBorders>
          </w:tcPr>
          <w:p>
            <w:pPr>
              <w:spacing w:after="0"/>
              <w:rPr>
                <w:sz w:val="14"/>
                <w:szCs w:val="14"/>
                <w:color w:val="auto"/>
              </w:rPr>
            </w:pPr>
          </w:p>
        </w:tc>
        <w:tc>
          <w:tcPr>
            <w:tcW w:w="480" w:type="dxa"/>
            <w:vAlign w:val="bottom"/>
            <w:tcBorders>
              <w:bottom w:val="single" w:sz="8" w:color="auto"/>
            </w:tcBorders>
          </w:tcPr>
          <w:p>
            <w:pPr>
              <w:jc w:val="right"/>
              <w:ind w:right="112"/>
              <w:spacing w:after="0"/>
              <w:rPr>
                <w:sz w:val="20"/>
                <w:szCs w:val="20"/>
                <w:color w:val="auto"/>
              </w:rPr>
            </w:pPr>
            <w:r>
              <w:rPr>
                <w:rFonts w:ascii="Arial" w:cs="Arial" w:eastAsia="Arial" w:hAnsi="Arial"/>
                <w:sz w:val="14"/>
                <w:szCs w:val="14"/>
                <w:color w:val="auto"/>
              </w:rPr>
              <w:t>—</w:t>
            </w:r>
          </w:p>
        </w:tc>
        <w:tc>
          <w:tcPr>
            <w:tcW w:w="240" w:type="dxa"/>
            <w:vAlign w:val="bottom"/>
            <w:tcBorders>
              <w:bottom w:val="single" w:sz="8" w:color="auto"/>
            </w:tcBorders>
          </w:tcPr>
          <w:p>
            <w:pPr>
              <w:spacing w:after="0"/>
              <w:rPr>
                <w:sz w:val="14"/>
                <w:szCs w:val="14"/>
                <w:color w:val="auto"/>
              </w:rPr>
            </w:pPr>
          </w:p>
        </w:tc>
        <w:tc>
          <w:tcPr>
            <w:tcW w:w="700" w:type="dxa"/>
            <w:vAlign w:val="bottom"/>
            <w:tcBorders>
              <w:bottom w:val="single" w:sz="8" w:color="auto"/>
            </w:tcBorders>
          </w:tcPr>
          <w:p>
            <w:pPr>
              <w:jc w:val="right"/>
              <w:ind w:right="112"/>
              <w:spacing w:after="0"/>
              <w:rPr>
                <w:sz w:val="20"/>
                <w:szCs w:val="20"/>
                <w:color w:val="auto"/>
              </w:rPr>
            </w:pPr>
            <w:r>
              <w:rPr>
                <w:rFonts w:ascii="Arial" w:cs="Arial" w:eastAsia="Arial" w:hAnsi="Arial"/>
                <w:sz w:val="14"/>
                <w:szCs w:val="14"/>
                <w:color w:val="auto"/>
              </w:rPr>
              <w:t>—</w:t>
            </w:r>
          </w:p>
        </w:tc>
        <w:tc>
          <w:tcPr>
            <w:tcW w:w="320" w:type="dxa"/>
            <w:vAlign w:val="bottom"/>
            <w:tcBorders>
              <w:bottom w:val="single" w:sz="8" w:color="auto"/>
            </w:tcBorders>
          </w:tcPr>
          <w:p>
            <w:pPr>
              <w:spacing w:after="0"/>
              <w:rPr>
                <w:sz w:val="14"/>
                <w:szCs w:val="14"/>
                <w:color w:val="auto"/>
              </w:rPr>
            </w:pPr>
          </w:p>
        </w:tc>
        <w:tc>
          <w:tcPr>
            <w:tcW w:w="540" w:type="dxa"/>
            <w:vAlign w:val="bottom"/>
            <w:tcBorders>
              <w:bottom w:val="single" w:sz="8" w:color="auto"/>
            </w:tcBorders>
          </w:tcPr>
          <w:p>
            <w:pPr>
              <w:jc w:val="right"/>
              <w:ind w:right="112"/>
              <w:spacing w:after="0"/>
              <w:rPr>
                <w:sz w:val="20"/>
                <w:szCs w:val="20"/>
                <w:color w:val="auto"/>
              </w:rPr>
            </w:pPr>
            <w:r>
              <w:rPr>
                <w:rFonts w:ascii="Arial" w:cs="Arial" w:eastAsia="Arial" w:hAnsi="Arial"/>
                <w:sz w:val="14"/>
                <w:szCs w:val="14"/>
                <w:color w:val="auto"/>
              </w:rPr>
              <w:t>—</w:t>
            </w:r>
          </w:p>
        </w:tc>
        <w:tc>
          <w:tcPr>
            <w:tcW w:w="260" w:type="dxa"/>
            <w:vAlign w:val="bottom"/>
            <w:tcBorders>
              <w:bottom w:val="single" w:sz="8" w:color="auto"/>
            </w:tcBorders>
          </w:tcPr>
          <w:p>
            <w:pPr>
              <w:spacing w:after="0"/>
              <w:rPr>
                <w:sz w:val="14"/>
                <w:szCs w:val="14"/>
                <w:color w:val="auto"/>
              </w:rPr>
            </w:pPr>
          </w:p>
        </w:tc>
        <w:tc>
          <w:tcPr>
            <w:tcW w:w="820" w:type="dxa"/>
            <w:vAlign w:val="bottom"/>
            <w:tcBorders>
              <w:bottom w:val="single" w:sz="8" w:color="auto"/>
            </w:tcBorders>
          </w:tcPr>
          <w:p>
            <w:pPr>
              <w:jc w:val="right"/>
              <w:ind w:right="72"/>
              <w:spacing w:after="0"/>
              <w:rPr>
                <w:sz w:val="20"/>
                <w:szCs w:val="20"/>
                <w:color w:val="auto"/>
              </w:rPr>
            </w:pPr>
            <w:r>
              <w:rPr>
                <w:rFonts w:ascii="Arial" w:cs="Arial" w:eastAsia="Arial" w:hAnsi="Arial"/>
                <w:sz w:val="14"/>
                <w:szCs w:val="14"/>
                <w:color w:val="auto"/>
              </w:rPr>
              <w:t>(53)</w:t>
            </w:r>
          </w:p>
        </w:tc>
        <w:tc>
          <w:tcPr>
            <w:tcW w:w="220" w:type="dxa"/>
            <w:vAlign w:val="bottom"/>
            <w:tcBorders>
              <w:bottom w:val="single" w:sz="8" w:color="auto"/>
            </w:tcBorders>
          </w:tcPr>
          <w:p>
            <w:pPr>
              <w:spacing w:after="0"/>
              <w:rPr>
                <w:sz w:val="14"/>
                <w:szCs w:val="14"/>
                <w:color w:val="auto"/>
              </w:rPr>
            </w:pPr>
          </w:p>
        </w:tc>
        <w:tc>
          <w:tcPr>
            <w:tcW w:w="920" w:type="dxa"/>
            <w:vAlign w:val="bottom"/>
            <w:tcBorders>
              <w:bottom w:val="single" w:sz="8" w:color="auto"/>
            </w:tcBorders>
          </w:tcPr>
          <w:p>
            <w:pPr>
              <w:jc w:val="right"/>
              <w:ind w:right="112"/>
              <w:spacing w:after="0"/>
              <w:rPr>
                <w:sz w:val="20"/>
                <w:szCs w:val="20"/>
                <w:color w:val="auto"/>
              </w:rPr>
            </w:pPr>
            <w:r>
              <w:rPr>
                <w:rFonts w:ascii="Arial" w:cs="Arial" w:eastAsia="Arial" w:hAnsi="Arial"/>
                <w:sz w:val="14"/>
                <w:szCs w:val="14"/>
                <w:color w:val="auto"/>
              </w:rPr>
              <w:t>—</w:t>
            </w:r>
          </w:p>
        </w:tc>
        <w:tc>
          <w:tcPr>
            <w:tcW w:w="220" w:type="dxa"/>
            <w:vAlign w:val="bottom"/>
            <w:tcBorders>
              <w:bottom w:val="single" w:sz="8" w:color="auto"/>
            </w:tcBorders>
          </w:tcPr>
          <w:p>
            <w:pPr>
              <w:spacing w:after="0"/>
              <w:rPr>
                <w:sz w:val="14"/>
                <w:szCs w:val="14"/>
                <w:color w:val="auto"/>
              </w:rPr>
            </w:pPr>
          </w:p>
        </w:tc>
        <w:tc>
          <w:tcPr>
            <w:tcW w:w="84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(53)</w:t>
            </w:r>
          </w:p>
        </w:tc>
        <w:tc>
          <w:tcPr>
            <w:tcW w:w="0" w:type="dxa"/>
            <w:vAlign w:val="bottom"/>
          </w:tcPr>
          <w:p>
            <w:pPr>
              <w:spacing w:after="0"/>
              <w:rPr>
                <w:sz w:val="1"/>
                <w:szCs w:val="1"/>
                <w:color w:val="auto"/>
              </w:rPr>
            </w:pPr>
          </w:p>
        </w:tc>
      </w:tr>
      <w:tr>
        <w:trPr>
          <w:trHeight w:val="172"/>
        </w:trPr>
        <w:tc>
          <w:tcPr>
            <w:tcW w:w="3920" w:type="dxa"/>
            <w:vAlign w:val="bottom"/>
            <w:gridSpan w:val="2"/>
            <w:vMerge w:val="restart"/>
          </w:tcPr>
          <w:p>
            <w:pPr>
              <w:spacing w:after="0"/>
              <w:rPr>
                <w:sz w:val="20"/>
                <w:szCs w:val="20"/>
                <w:color w:val="auto"/>
              </w:rPr>
            </w:pPr>
            <w:r>
              <w:rPr>
                <w:rFonts w:ascii="Arial" w:cs="Arial" w:eastAsia="Arial" w:hAnsi="Arial"/>
                <w:sz w:val="14"/>
                <w:szCs w:val="14"/>
                <w:color w:val="auto"/>
              </w:rPr>
              <w:t>Income (loss) from continuing operations before income taxes</w:t>
            </w:r>
          </w:p>
        </w:tc>
        <w:tc>
          <w:tcPr>
            <w:tcW w:w="320" w:type="dxa"/>
            <w:vAlign w:val="bottom"/>
          </w:tcPr>
          <w:p>
            <w:pPr>
              <w:spacing w:after="0"/>
              <w:rPr>
                <w:sz w:val="14"/>
                <w:szCs w:val="14"/>
                <w:color w:val="auto"/>
              </w:rPr>
            </w:pPr>
          </w:p>
        </w:tc>
        <w:tc>
          <w:tcPr>
            <w:tcW w:w="620" w:type="dxa"/>
            <w:vAlign w:val="bottom"/>
          </w:tcPr>
          <w:p>
            <w:pPr>
              <w:jc w:val="right"/>
              <w:ind w:right="132"/>
              <w:spacing w:after="0"/>
              <w:rPr>
                <w:sz w:val="20"/>
                <w:szCs w:val="20"/>
                <w:color w:val="auto"/>
              </w:rPr>
            </w:pPr>
            <w:r>
              <w:rPr>
                <w:rFonts w:ascii="Arial" w:cs="Arial" w:eastAsia="Arial" w:hAnsi="Arial"/>
                <w:sz w:val="14"/>
                <w:szCs w:val="14"/>
                <w:color w:val="auto"/>
              </w:rPr>
              <w:t>636</w:t>
            </w:r>
          </w:p>
        </w:tc>
        <w:tc>
          <w:tcPr>
            <w:tcW w:w="220" w:type="dxa"/>
            <w:vAlign w:val="bottom"/>
          </w:tcPr>
          <w:p>
            <w:pPr>
              <w:spacing w:after="0"/>
              <w:rPr>
                <w:sz w:val="14"/>
                <w:szCs w:val="14"/>
                <w:color w:val="auto"/>
              </w:rPr>
            </w:pPr>
          </w:p>
        </w:tc>
        <w:tc>
          <w:tcPr>
            <w:tcW w:w="500" w:type="dxa"/>
            <w:vAlign w:val="bottom"/>
          </w:tcPr>
          <w:p>
            <w:pPr>
              <w:jc w:val="right"/>
              <w:ind w:right="92"/>
              <w:spacing w:after="0"/>
              <w:rPr>
                <w:sz w:val="20"/>
                <w:szCs w:val="20"/>
                <w:color w:val="auto"/>
              </w:rPr>
            </w:pPr>
            <w:r>
              <w:rPr>
                <w:rFonts w:ascii="Arial" w:cs="Arial" w:eastAsia="Arial" w:hAnsi="Arial"/>
                <w:sz w:val="14"/>
                <w:szCs w:val="14"/>
                <w:color w:val="auto"/>
              </w:rPr>
              <w:t>895</w:t>
            </w:r>
          </w:p>
        </w:tc>
        <w:tc>
          <w:tcPr>
            <w:tcW w:w="280" w:type="dxa"/>
            <w:vAlign w:val="bottom"/>
          </w:tcPr>
          <w:p>
            <w:pPr>
              <w:spacing w:after="0"/>
              <w:rPr>
                <w:sz w:val="14"/>
                <w:szCs w:val="14"/>
                <w:color w:val="auto"/>
              </w:rPr>
            </w:pPr>
          </w:p>
        </w:tc>
        <w:tc>
          <w:tcPr>
            <w:tcW w:w="480" w:type="dxa"/>
            <w:vAlign w:val="bottom"/>
          </w:tcPr>
          <w:p>
            <w:pPr>
              <w:jc w:val="right"/>
              <w:ind w:right="112"/>
              <w:spacing w:after="0"/>
              <w:rPr>
                <w:sz w:val="20"/>
                <w:szCs w:val="20"/>
                <w:color w:val="auto"/>
              </w:rPr>
            </w:pPr>
            <w:r>
              <w:rPr>
                <w:rFonts w:ascii="Arial" w:cs="Arial" w:eastAsia="Arial" w:hAnsi="Arial"/>
                <w:sz w:val="14"/>
                <w:szCs w:val="14"/>
                <w:color w:val="auto"/>
              </w:rPr>
              <w:t>276</w:t>
            </w:r>
          </w:p>
        </w:tc>
        <w:tc>
          <w:tcPr>
            <w:tcW w:w="240" w:type="dxa"/>
            <w:vAlign w:val="bottom"/>
          </w:tcPr>
          <w:p>
            <w:pPr>
              <w:spacing w:after="0"/>
              <w:rPr>
                <w:sz w:val="14"/>
                <w:szCs w:val="14"/>
                <w:color w:val="auto"/>
              </w:rPr>
            </w:pPr>
          </w:p>
        </w:tc>
        <w:tc>
          <w:tcPr>
            <w:tcW w:w="700" w:type="dxa"/>
            <w:vAlign w:val="bottom"/>
          </w:tcPr>
          <w:p>
            <w:pPr>
              <w:jc w:val="right"/>
              <w:ind w:right="112"/>
              <w:spacing w:after="0"/>
              <w:rPr>
                <w:sz w:val="20"/>
                <w:szCs w:val="20"/>
                <w:color w:val="auto"/>
              </w:rPr>
            </w:pPr>
            <w:r>
              <w:rPr>
                <w:rFonts w:ascii="Arial" w:cs="Arial" w:eastAsia="Arial" w:hAnsi="Arial"/>
                <w:sz w:val="14"/>
                <w:szCs w:val="14"/>
                <w:color w:val="auto"/>
              </w:rPr>
              <w:t>498</w:t>
            </w:r>
          </w:p>
        </w:tc>
        <w:tc>
          <w:tcPr>
            <w:tcW w:w="320" w:type="dxa"/>
            <w:vAlign w:val="bottom"/>
          </w:tcPr>
          <w:p>
            <w:pPr>
              <w:spacing w:after="0"/>
              <w:rPr>
                <w:sz w:val="14"/>
                <w:szCs w:val="14"/>
                <w:color w:val="auto"/>
              </w:rPr>
            </w:pPr>
          </w:p>
        </w:tc>
        <w:tc>
          <w:tcPr>
            <w:tcW w:w="540" w:type="dxa"/>
            <w:vAlign w:val="bottom"/>
          </w:tcPr>
          <w:p>
            <w:pPr>
              <w:jc w:val="right"/>
              <w:ind w:right="112"/>
              <w:spacing w:after="0"/>
              <w:rPr>
                <w:sz w:val="20"/>
                <w:szCs w:val="20"/>
                <w:color w:val="auto"/>
              </w:rPr>
            </w:pPr>
            <w:r>
              <w:rPr>
                <w:rFonts w:ascii="Arial" w:cs="Arial" w:eastAsia="Arial" w:hAnsi="Arial"/>
                <w:sz w:val="14"/>
                <w:szCs w:val="14"/>
                <w:color w:val="auto"/>
              </w:rPr>
              <w:t>860</w:t>
            </w:r>
          </w:p>
        </w:tc>
        <w:tc>
          <w:tcPr>
            <w:tcW w:w="260" w:type="dxa"/>
            <w:vAlign w:val="bottom"/>
          </w:tcPr>
          <w:p>
            <w:pPr>
              <w:spacing w:after="0"/>
              <w:rPr>
                <w:sz w:val="14"/>
                <w:szCs w:val="14"/>
                <w:color w:val="auto"/>
              </w:rPr>
            </w:pPr>
          </w:p>
        </w:tc>
        <w:tc>
          <w:tcPr>
            <w:tcW w:w="820" w:type="dxa"/>
            <w:vAlign w:val="bottom"/>
          </w:tcPr>
          <w:p>
            <w:pPr>
              <w:jc w:val="right"/>
              <w:ind w:right="72"/>
              <w:spacing w:after="0"/>
              <w:rPr>
                <w:sz w:val="20"/>
                <w:szCs w:val="20"/>
                <w:color w:val="auto"/>
              </w:rPr>
            </w:pPr>
            <w:r>
              <w:rPr>
                <w:rFonts w:ascii="Arial" w:cs="Arial" w:eastAsia="Arial" w:hAnsi="Arial"/>
                <w:sz w:val="14"/>
                <w:szCs w:val="14"/>
                <w:color w:val="auto"/>
              </w:rPr>
              <w:t>(116)</w:t>
            </w:r>
          </w:p>
        </w:tc>
        <w:tc>
          <w:tcPr>
            <w:tcW w:w="220" w:type="dxa"/>
            <w:vAlign w:val="bottom"/>
          </w:tcPr>
          <w:p>
            <w:pPr>
              <w:spacing w:after="0"/>
              <w:rPr>
                <w:sz w:val="14"/>
                <w:szCs w:val="14"/>
                <w:color w:val="auto"/>
              </w:rPr>
            </w:pPr>
          </w:p>
        </w:tc>
        <w:tc>
          <w:tcPr>
            <w:tcW w:w="920" w:type="dxa"/>
            <w:vAlign w:val="bottom"/>
          </w:tcPr>
          <w:p>
            <w:pPr>
              <w:jc w:val="right"/>
              <w:ind w:right="72"/>
              <w:spacing w:after="0"/>
              <w:rPr>
                <w:sz w:val="20"/>
                <w:szCs w:val="20"/>
                <w:color w:val="auto"/>
              </w:rPr>
            </w:pPr>
            <w:r>
              <w:rPr>
                <w:rFonts w:ascii="Arial" w:cs="Arial" w:eastAsia="Arial" w:hAnsi="Arial"/>
                <w:sz w:val="14"/>
                <w:szCs w:val="14"/>
                <w:color w:val="auto"/>
              </w:rPr>
              <w:t>(4,850)</w:t>
            </w:r>
          </w:p>
        </w:tc>
        <w:tc>
          <w:tcPr>
            <w:tcW w:w="220" w:type="dxa"/>
            <w:vAlign w:val="bottom"/>
          </w:tcPr>
          <w:p>
            <w:pPr>
              <w:spacing w:after="0"/>
              <w:rPr>
                <w:sz w:val="14"/>
                <w:szCs w:val="14"/>
                <w:color w:val="auto"/>
              </w:rPr>
            </w:pPr>
          </w:p>
        </w:tc>
        <w:tc>
          <w:tcPr>
            <w:tcW w:w="840" w:type="dxa"/>
            <w:vAlign w:val="bottom"/>
          </w:tcPr>
          <w:p>
            <w:pPr>
              <w:jc w:val="right"/>
              <w:spacing w:after="0"/>
              <w:rPr>
                <w:sz w:val="20"/>
                <w:szCs w:val="20"/>
                <w:color w:val="auto"/>
              </w:rPr>
            </w:pPr>
            <w:r>
              <w:rPr>
                <w:rFonts w:ascii="Arial" w:cs="Arial" w:eastAsia="Arial" w:hAnsi="Arial"/>
                <w:sz w:val="14"/>
                <w:szCs w:val="14"/>
                <w:b w:val="1"/>
                <w:bCs w:val="1"/>
                <w:color w:val="auto"/>
              </w:rPr>
              <w:t>(1,801)</w:t>
            </w:r>
          </w:p>
        </w:tc>
        <w:tc>
          <w:tcPr>
            <w:tcW w:w="0" w:type="dxa"/>
            <w:vAlign w:val="bottom"/>
          </w:tcPr>
          <w:p>
            <w:pPr>
              <w:spacing w:after="0"/>
              <w:rPr>
                <w:sz w:val="1"/>
                <w:szCs w:val="1"/>
                <w:color w:val="auto"/>
              </w:rPr>
            </w:pPr>
          </w:p>
        </w:tc>
      </w:tr>
      <w:tr>
        <w:trPr>
          <w:trHeight w:val="118"/>
        </w:trPr>
        <w:tc>
          <w:tcPr>
            <w:tcW w:w="3920" w:type="dxa"/>
            <w:vAlign w:val="bottom"/>
            <w:gridSpan w:val="2"/>
            <w:vMerge w:val="continue"/>
          </w:tcPr>
          <w:p>
            <w:pPr>
              <w:spacing w:after="0"/>
              <w:rPr>
                <w:sz w:val="10"/>
                <w:szCs w:val="10"/>
                <w:color w:val="auto"/>
              </w:rPr>
            </w:pPr>
          </w:p>
        </w:tc>
        <w:tc>
          <w:tcPr>
            <w:tcW w:w="320" w:type="dxa"/>
            <w:vAlign w:val="bottom"/>
          </w:tcPr>
          <w:p>
            <w:pPr>
              <w:spacing w:after="0"/>
              <w:rPr>
                <w:sz w:val="10"/>
                <w:szCs w:val="10"/>
                <w:color w:val="auto"/>
              </w:rPr>
            </w:pPr>
          </w:p>
        </w:tc>
        <w:tc>
          <w:tcPr>
            <w:tcW w:w="62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500" w:type="dxa"/>
            <w:vAlign w:val="bottom"/>
          </w:tcPr>
          <w:p>
            <w:pPr>
              <w:spacing w:after="0"/>
              <w:rPr>
                <w:sz w:val="10"/>
                <w:szCs w:val="10"/>
                <w:color w:val="auto"/>
              </w:rPr>
            </w:pPr>
          </w:p>
        </w:tc>
        <w:tc>
          <w:tcPr>
            <w:tcW w:w="280" w:type="dxa"/>
            <w:vAlign w:val="bottom"/>
          </w:tcPr>
          <w:p>
            <w:pPr>
              <w:spacing w:after="0"/>
              <w:rPr>
                <w:sz w:val="10"/>
                <w:szCs w:val="10"/>
                <w:color w:val="auto"/>
              </w:rPr>
            </w:pPr>
          </w:p>
        </w:tc>
        <w:tc>
          <w:tcPr>
            <w:tcW w:w="480" w:type="dxa"/>
            <w:vAlign w:val="bottom"/>
          </w:tcPr>
          <w:p>
            <w:pPr>
              <w:spacing w:after="0"/>
              <w:rPr>
                <w:sz w:val="10"/>
                <w:szCs w:val="10"/>
                <w:color w:val="auto"/>
              </w:rPr>
            </w:pPr>
          </w:p>
        </w:tc>
        <w:tc>
          <w:tcPr>
            <w:tcW w:w="240" w:type="dxa"/>
            <w:vAlign w:val="bottom"/>
          </w:tcPr>
          <w:p>
            <w:pPr>
              <w:spacing w:after="0"/>
              <w:rPr>
                <w:sz w:val="10"/>
                <w:szCs w:val="10"/>
                <w:color w:val="auto"/>
              </w:rPr>
            </w:pPr>
          </w:p>
        </w:tc>
        <w:tc>
          <w:tcPr>
            <w:tcW w:w="700" w:type="dxa"/>
            <w:vAlign w:val="bottom"/>
          </w:tcPr>
          <w:p>
            <w:pPr>
              <w:spacing w:after="0"/>
              <w:rPr>
                <w:sz w:val="10"/>
                <w:szCs w:val="10"/>
                <w:color w:val="auto"/>
              </w:rPr>
            </w:pPr>
          </w:p>
        </w:tc>
        <w:tc>
          <w:tcPr>
            <w:tcW w:w="320" w:type="dxa"/>
            <w:vAlign w:val="bottom"/>
          </w:tcPr>
          <w:p>
            <w:pPr>
              <w:spacing w:after="0"/>
              <w:rPr>
                <w:sz w:val="10"/>
                <w:szCs w:val="10"/>
                <w:color w:val="auto"/>
              </w:rPr>
            </w:pPr>
          </w:p>
        </w:tc>
        <w:tc>
          <w:tcPr>
            <w:tcW w:w="540" w:type="dxa"/>
            <w:vAlign w:val="bottom"/>
          </w:tcPr>
          <w:p>
            <w:pPr>
              <w:spacing w:after="0"/>
              <w:rPr>
                <w:sz w:val="10"/>
                <w:szCs w:val="10"/>
                <w:color w:val="auto"/>
              </w:rPr>
            </w:pPr>
          </w:p>
        </w:tc>
        <w:tc>
          <w:tcPr>
            <w:tcW w:w="260" w:type="dxa"/>
            <w:vAlign w:val="bottom"/>
          </w:tcPr>
          <w:p>
            <w:pPr>
              <w:spacing w:after="0"/>
              <w:rPr>
                <w:sz w:val="10"/>
                <w:szCs w:val="10"/>
                <w:color w:val="auto"/>
              </w:rPr>
            </w:pPr>
          </w:p>
        </w:tc>
        <w:tc>
          <w:tcPr>
            <w:tcW w:w="82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92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840" w:type="dxa"/>
            <w:vAlign w:val="bottom"/>
            <w:vMerge w:val="restart"/>
          </w:tcPr>
          <w:p>
            <w:pPr>
              <w:jc w:val="right"/>
              <w:spacing w:after="0"/>
              <w:rPr>
                <w:sz w:val="20"/>
                <w:szCs w:val="20"/>
                <w:color w:val="auto"/>
              </w:rPr>
            </w:pPr>
            <w:r>
              <w:rPr>
                <w:rFonts w:ascii="Arial" w:cs="Arial" w:eastAsia="Arial" w:hAnsi="Arial"/>
                <w:sz w:val="14"/>
                <w:szCs w:val="14"/>
                <w:b w:val="1"/>
                <w:bCs w:val="1"/>
                <w:color w:val="auto"/>
              </w:rPr>
              <w:t>1,720</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3900" w:type="dxa"/>
            <w:vAlign w:val="bottom"/>
          </w:tcPr>
          <w:p>
            <w:pPr>
              <w:ind w:left="200"/>
              <w:spacing w:after="0" w:line="133" w:lineRule="exact"/>
              <w:rPr>
                <w:sz w:val="20"/>
                <w:szCs w:val="20"/>
                <w:color w:val="auto"/>
              </w:rPr>
            </w:pPr>
            <w:r>
              <w:rPr>
                <w:rFonts w:ascii="Arial" w:cs="Arial" w:eastAsia="Arial" w:hAnsi="Arial"/>
                <w:sz w:val="14"/>
                <w:szCs w:val="14"/>
                <w:color w:val="auto"/>
              </w:rPr>
              <w:t>and minority interest</w:t>
            </w:r>
          </w:p>
        </w:tc>
        <w:tc>
          <w:tcPr>
            <w:tcW w:w="320" w:type="dxa"/>
            <w:vAlign w:val="bottom"/>
          </w:tcPr>
          <w:p>
            <w:pPr>
              <w:spacing w:after="0"/>
              <w:rPr>
                <w:sz w:val="11"/>
                <w:szCs w:val="11"/>
                <w:color w:val="auto"/>
              </w:rPr>
            </w:pPr>
          </w:p>
        </w:tc>
        <w:tc>
          <w:tcPr>
            <w:tcW w:w="620" w:type="dxa"/>
            <w:vAlign w:val="bottom"/>
          </w:tcPr>
          <w:p>
            <w:pPr>
              <w:jc w:val="right"/>
              <w:ind w:right="132"/>
              <w:spacing w:after="0" w:line="133" w:lineRule="exact"/>
              <w:rPr>
                <w:sz w:val="20"/>
                <w:szCs w:val="20"/>
                <w:color w:val="auto"/>
              </w:rPr>
            </w:pPr>
            <w:r>
              <w:rPr>
                <w:rFonts w:ascii="Arial" w:cs="Arial" w:eastAsia="Arial" w:hAnsi="Arial"/>
                <w:sz w:val="14"/>
                <w:szCs w:val="14"/>
                <w:color w:val="auto"/>
              </w:rPr>
              <w:t>886</w:t>
            </w:r>
          </w:p>
        </w:tc>
        <w:tc>
          <w:tcPr>
            <w:tcW w:w="220" w:type="dxa"/>
            <w:vAlign w:val="bottom"/>
          </w:tcPr>
          <w:p>
            <w:pPr>
              <w:spacing w:after="0"/>
              <w:rPr>
                <w:sz w:val="11"/>
                <w:szCs w:val="11"/>
                <w:color w:val="auto"/>
              </w:rPr>
            </w:pPr>
          </w:p>
        </w:tc>
        <w:tc>
          <w:tcPr>
            <w:tcW w:w="500" w:type="dxa"/>
            <w:vAlign w:val="bottom"/>
          </w:tcPr>
          <w:p>
            <w:pPr>
              <w:jc w:val="right"/>
              <w:ind w:right="92"/>
              <w:spacing w:after="0" w:line="133" w:lineRule="exact"/>
              <w:rPr>
                <w:sz w:val="20"/>
                <w:szCs w:val="20"/>
                <w:color w:val="auto"/>
              </w:rPr>
            </w:pPr>
            <w:r>
              <w:rPr>
                <w:rFonts w:ascii="Arial" w:cs="Arial" w:eastAsia="Arial" w:hAnsi="Arial"/>
                <w:sz w:val="14"/>
                <w:szCs w:val="14"/>
                <w:color w:val="auto"/>
              </w:rPr>
              <w:t>895</w:t>
            </w:r>
          </w:p>
        </w:tc>
        <w:tc>
          <w:tcPr>
            <w:tcW w:w="280" w:type="dxa"/>
            <w:vAlign w:val="bottom"/>
          </w:tcPr>
          <w:p>
            <w:pPr>
              <w:spacing w:after="0"/>
              <w:rPr>
                <w:sz w:val="11"/>
                <w:szCs w:val="11"/>
                <w:color w:val="auto"/>
              </w:rPr>
            </w:pPr>
          </w:p>
        </w:tc>
        <w:tc>
          <w:tcPr>
            <w:tcW w:w="480" w:type="dxa"/>
            <w:vAlign w:val="bottom"/>
          </w:tcPr>
          <w:p>
            <w:pPr>
              <w:jc w:val="right"/>
              <w:ind w:right="112"/>
              <w:spacing w:after="0" w:line="133" w:lineRule="exact"/>
              <w:rPr>
                <w:sz w:val="20"/>
                <w:szCs w:val="20"/>
                <w:color w:val="auto"/>
              </w:rPr>
            </w:pPr>
            <w:r>
              <w:rPr>
                <w:rFonts w:ascii="Arial" w:cs="Arial" w:eastAsia="Arial" w:hAnsi="Arial"/>
                <w:sz w:val="14"/>
                <w:szCs w:val="14"/>
                <w:color w:val="auto"/>
              </w:rPr>
              <w:t>276</w:t>
            </w:r>
          </w:p>
        </w:tc>
        <w:tc>
          <w:tcPr>
            <w:tcW w:w="240" w:type="dxa"/>
            <w:vAlign w:val="bottom"/>
          </w:tcPr>
          <w:p>
            <w:pPr>
              <w:spacing w:after="0"/>
              <w:rPr>
                <w:sz w:val="11"/>
                <w:szCs w:val="11"/>
                <w:color w:val="auto"/>
              </w:rPr>
            </w:pPr>
          </w:p>
        </w:tc>
        <w:tc>
          <w:tcPr>
            <w:tcW w:w="700" w:type="dxa"/>
            <w:vAlign w:val="bottom"/>
          </w:tcPr>
          <w:p>
            <w:pPr>
              <w:jc w:val="right"/>
              <w:ind w:right="112"/>
              <w:spacing w:after="0" w:line="133" w:lineRule="exact"/>
              <w:rPr>
                <w:sz w:val="20"/>
                <w:szCs w:val="20"/>
                <w:color w:val="auto"/>
              </w:rPr>
            </w:pPr>
            <w:r>
              <w:rPr>
                <w:rFonts w:ascii="Arial" w:cs="Arial" w:eastAsia="Arial" w:hAnsi="Arial"/>
                <w:sz w:val="14"/>
                <w:szCs w:val="14"/>
                <w:color w:val="auto"/>
              </w:rPr>
              <w:t>498</w:t>
            </w:r>
          </w:p>
        </w:tc>
        <w:tc>
          <w:tcPr>
            <w:tcW w:w="320" w:type="dxa"/>
            <w:vAlign w:val="bottom"/>
          </w:tcPr>
          <w:p>
            <w:pPr>
              <w:spacing w:after="0"/>
              <w:rPr>
                <w:sz w:val="11"/>
                <w:szCs w:val="11"/>
                <w:color w:val="auto"/>
              </w:rPr>
            </w:pPr>
          </w:p>
        </w:tc>
        <w:tc>
          <w:tcPr>
            <w:tcW w:w="540" w:type="dxa"/>
            <w:vAlign w:val="bottom"/>
          </w:tcPr>
          <w:p>
            <w:pPr>
              <w:jc w:val="right"/>
              <w:ind w:right="112"/>
              <w:spacing w:after="0" w:line="133" w:lineRule="exact"/>
              <w:rPr>
                <w:sz w:val="20"/>
                <w:szCs w:val="20"/>
                <w:color w:val="auto"/>
              </w:rPr>
            </w:pPr>
            <w:r>
              <w:rPr>
                <w:rFonts w:ascii="Arial" w:cs="Arial" w:eastAsia="Arial" w:hAnsi="Arial"/>
                <w:sz w:val="14"/>
                <w:szCs w:val="14"/>
                <w:color w:val="auto"/>
              </w:rPr>
              <w:t>840</w:t>
            </w:r>
          </w:p>
        </w:tc>
        <w:tc>
          <w:tcPr>
            <w:tcW w:w="260" w:type="dxa"/>
            <w:vAlign w:val="bottom"/>
          </w:tcPr>
          <w:p>
            <w:pPr>
              <w:spacing w:after="0"/>
              <w:rPr>
                <w:sz w:val="11"/>
                <w:szCs w:val="11"/>
                <w:color w:val="auto"/>
              </w:rPr>
            </w:pPr>
          </w:p>
        </w:tc>
        <w:tc>
          <w:tcPr>
            <w:tcW w:w="820" w:type="dxa"/>
            <w:vAlign w:val="bottom"/>
          </w:tcPr>
          <w:p>
            <w:pPr>
              <w:jc w:val="right"/>
              <w:ind w:right="132"/>
              <w:spacing w:after="0" w:line="133" w:lineRule="exact"/>
              <w:rPr>
                <w:sz w:val="20"/>
                <w:szCs w:val="20"/>
                <w:color w:val="auto"/>
              </w:rPr>
            </w:pPr>
            <w:r>
              <w:rPr>
                <w:rFonts w:ascii="Arial" w:cs="Arial" w:eastAsia="Arial" w:hAnsi="Arial"/>
                <w:sz w:val="14"/>
                <w:szCs w:val="14"/>
                <w:color w:val="auto"/>
              </w:rPr>
              <w:t>3,175</w:t>
            </w:r>
          </w:p>
        </w:tc>
        <w:tc>
          <w:tcPr>
            <w:tcW w:w="220" w:type="dxa"/>
            <w:vAlign w:val="bottom"/>
          </w:tcPr>
          <w:p>
            <w:pPr>
              <w:spacing w:after="0"/>
              <w:rPr>
                <w:sz w:val="11"/>
                <w:szCs w:val="11"/>
                <w:color w:val="auto"/>
              </w:rPr>
            </w:pPr>
          </w:p>
        </w:tc>
        <w:tc>
          <w:tcPr>
            <w:tcW w:w="920" w:type="dxa"/>
            <w:vAlign w:val="bottom"/>
          </w:tcPr>
          <w:p>
            <w:pPr>
              <w:jc w:val="right"/>
              <w:ind w:right="72"/>
              <w:spacing w:after="0" w:line="133" w:lineRule="exact"/>
              <w:rPr>
                <w:sz w:val="20"/>
                <w:szCs w:val="20"/>
                <w:color w:val="auto"/>
              </w:rPr>
            </w:pPr>
            <w:r>
              <w:rPr>
                <w:rFonts w:ascii="Arial" w:cs="Arial" w:eastAsia="Arial" w:hAnsi="Arial"/>
                <w:sz w:val="14"/>
                <w:szCs w:val="14"/>
                <w:color w:val="auto"/>
              </w:rPr>
              <w:t>(4,850)</w:t>
            </w:r>
          </w:p>
        </w:tc>
        <w:tc>
          <w:tcPr>
            <w:tcW w:w="220" w:type="dxa"/>
            <w:vAlign w:val="bottom"/>
          </w:tcPr>
          <w:p>
            <w:pPr>
              <w:spacing w:after="0"/>
              <w:rPr>
                <w:sz w:val="11"/>
                <w:szCs w:val="11"/>
                <w:color w:val="auto"/>
              </w:rPr>
            </w:pPr>
          </w:p>
        </w:tc>
        <w:tc>
          <w:tcPr>
            <w:tcW w:w="840" w:type="dxa"/>
            <w:vAlign w:val="bottom"/>
            <w:vMerge w:val="continue"/>
          </w:tcPr>
          <w:p>
            <w:pPr>
              <w:spacing w:after="0"/>
              <w:rPr>
                <w:sz w:val="11"/>
                <w:szCs w:val="11"/>
                <w:color w:val="auto"/>
              </w:rPr>
            </w:pPr>
          </w:p>
        </w:tc>
        <w:tc>
          <w:tcPr>
            <w:tcW w:w="0" w:type="dxa"/>
            <w:vAlign w:val="bottom"/>
          </w:tcPr>
          <w:p>
            <w:pPr>
              <w:spacing w:after="0"/>
              <w:rPr>
                <w:sz w:val="1"/>
                <w:szCs w:val="1"/>
                <w:color w:val="auto"/>
              </w:rPr>
            </w:pPr>
          </w:p>
        </w:tc>
      </w:tr>
      <w:tr>
        <w:trPr>
          <w:trHeight w:val="165"/>
        </w:trPr>
        <w:tc>
          <w:tcPr>
            <w:tcW w:w="3920" w:type="dxa"/>
            <w:vAlign w:val="bottom"/>
            <w:tcBorders>
              <w:bottom w:val="single" w:sz="8" w:color="auto"/>
            </w:tcBorders>
            <w:gridSpan w:val="2"/>
          </w:tcPr>
          <w:p>
            <w:pPr>
              <w:spacing w:after="0"/>
              <w:rPr>
                <w:sz w:val="20"/>
                <w:szCs w:val="20"/>
                <w:color w:val="auto"/>
              </w:rPr>
            </w:pPr>
            <w:r>
              <w:rPr>
                <w:rFonts w:ascii="Arial" w:cs="Arial" w:eastAsia="Arial" w:hAnsi="Arial"/>
                <w:sz w:val="14"/>
                <w:szCs w:val="14"/>
                <w:color w:val="auto"/>
              </w:rPr>
              <w:t>Income tax (expense) benefit</w:t>
            </w:r>
          </w:p>
        </w:tc>
        <w:tc>
          <w:tcPr>
            <w:tcW w:w="320" w:type="dxa"/>
            <w:vAlign w:val="bottom"/>
            <w:tcBorders>
              <w:bottom w:val="single" w:sz="8" w:color="auto"/>
            </w:tcBorders>
          </w:tcPr>
          <w:p>
            <w:pPr>
              <w:spacing w:after="0"/>
              <w:rPr>
                <w:sz w:val="14"/>
                <w:szCs w:val="14"/>
                <w:color w:val="auto"/>
              </w:rPr>
            </w:pPr>
          </w:p>
        </w:tc>
        <w:tc>
          <w:tcPr>
            <w:tcW w:w="620" w:type="dxa"/>
            <w:vAlign w:val="bottom"/>
            <w:tcBorders>
              <w:bottom w:val="single" w:sz="8" w:color="auto"/>
            </w:tcBorders>
          </w:tcPr>
          <w:p>
            <w:pPr>
              <w:jc w:val="right"/>
              <w:ind w:right="132"/>
              <w:spacing w:after="0"/>
              <w:rPr>
                <w:sz w:val="20"/>
                <w:szCs w:val="20"/>
                <w:color w:val="auto"/>
              </w:rPr>
            </w:pPr>
            <w:r>
              <w:rPr>
                <w:rFonts w:ascii="Arial" w:cs="Arial" w:eastAsia="Arial" w:hAnsi="Arial"/>
                <w:sz w:val="14"/>
                <w:szCs w:val="14"/>
                <w:color w:val="auto"/>
              </w:rPr>
              <w:t>42</w:t>
            </w:r>
          </w:p>
        </w:tc>
        <w:tc>
          <w:tcPr>
            <w:tcW w:w="220" w:type="dxa"/>
            <w:vAlign w:val="bottom"/>
            <w:tcBorders>
              <w:bottom w:val="single" w:sz="8" w:color="auto"/>
            </w:tcBorders>
          </w:tcPr>
          <w:p>
            <w:pPr>
              <w:spacing w:after="0"/>
              <w:rPr>
                <w:sz w:val="14"/>
                <w:szCs w:val="14"/>
                <w:color w:val="auto"/>
              </w:rPr>
            </w:pPr>
          </w:p>
        </w:tc>
        <w:tc>
          <w:tcPr>
            <w:tcW w:w="500" w:type="dxa"/>
            <w:vAlign w:val="bottom"/>
            <w:tcBorders>
              <w:bottom w:val="single" w:sz="8" w:color="auto"/>
            </w:tcBorders>
          </w:tcPr>
          <w:p>
            <w:pPr>
              <w:jc w:val="right"/>
              <w:ind w:right="92"/>
              <w:spacing w:after="0"/>
              <w:rPr>
                <w:sz w:val="20"/>
                <w:szCs w:val="20"/>
                <w:color w:val="auto"/>
              </w:rPr>
            </w:pPr>
            <w:r>
              <w:rPr>
                <w:rFonts w:ascii="Arial" w:cs="Arial" w:eastAsia="Arial" w:hAnsi="Arial"/>
                <w:sz w:val="14"/>
                <w:szCs w:val="14"/>
                <w:color w:val="auto"/>
              </w:rPr>
              <w:t>167</w:t>
            </w:r>
          </w:p>
        </w:tc>
        <w:tc>
          <w:tcPr>
            <w:tcW w:w="280" w:type="dxa"/>
            <w:vAlign w:val="bottom"/>
            <w:tcBorders>
              <w:bottom w:val="single" w:sz="8" w:color="auto"/>
            </w:tcBorders>
          </w:tcPr>
          <w:p>
            <w:pPr>
              <w:spacing w:after="0"/>
              <w:rPr>
                <w:sz w:val="14"/>
                <w:szCs w:val="14"/>
                <w:color w:val="auto"/>
              </w:rPr>
            </w:pPr>
          </w:p>
        </w:tc>
        <w:tc>
          <w:tcPr>
            <w:tcW w:w="480" w:type="dxa"/>
            <w:vAlign w:val="bottom"/>
            <w:tcBorders>
              <w:bottom w:val="single" w:sz="8" w:color="auto"/>
            </w:tcBorders>
          </w:tcPr>
          <w:p>
            <w:pPr>
              <w:jc w:val="right"/>
              <w:ind w:right="112"/>
              <w:spacing w:after="0"/>
              <w:rPr>
                <w:sz w:val="20"/>
                <w:szCs w:val="20"/>
                <w:color w:val="auto"/>
              </w:rPr>
            </w:pPr>
            <w:r>
              <w:rPr>
                <w:rFonts w:ascii="Arial" w:cs="Arial" w:eastAsia="Arial" w:hAnsi="Arial"/>
                <w:sz w:val="14"/>
                <w:szCs w:val="14"/>
                <w:color w:val="auto"/>
              </w:rPr>
              <w:t>115</w:t>
            </w:r>
          </w:p>
        </w:tc>
        <w:tc>
          <w:tcPr>
            <w:tcW w:w="240" w:type="dxa"/>
            <w:vAlign w:val="bottom"/>
            <w:tcBorders>
              <w:bottom w:val="single" w:sz="8" w:color="auto"/>
            </w:tcBorders>
          </w:tcPr>
          <w:p>
            <w:pPr>
              <w:spacing w:after="0"/>
              <w:rPr>
                <w:sz w:val="14"/>
                <w:szCs w:val="14"/>
                <w:color w:val="auto"/>
              </w:rPr>
            </w:pPr>
          </w:p>
        </w:tc>
        <w:tc>
          <w:tcPr>
            <w:tcW w:w="700" w:type="dxa"/>
            <w:vAlign w:val="bottom"/>
            <w:tcBorders>
              <w:bottom w:val="single" w:sz="8" w:color="auto"/>
            </w:tcBorders>
          </w:tcPr>
          <w:p>
            <w:pPr>
              <w:jc w:val="right"/>
              <w:ind w:right="112"/>
              <w:spacing w:after="0"/>
              <w:rPr>
                <w:sz w:val="20"/>
                <w:szCs w:val="20"/>
                <w:color w:val="auto"/>
              </w:rPr>
            </w:pPr>
            <w:r>
              <w:rPr>
                <w:rFonts w:ascii="Arial" w:cs="Arial" w:eastAsia="Arial" w:hAnsi="Arial"/>
                <w:sz w:val="14"/>
                <w:szCs w:val="14"/>
                <w:color w:val="auto"/>
              </w:rPr>
              <w:t>107</w:t>
            </w:r>
          </w:p>
        </w:tc>
        <w:tc>
          <w:tcPr>
            <w:tcW w:w="320" w:type="dxa"/>
            <w:vAlign w:val="bottom"/>
            <w:tcBorders>
              <w:bottom w:val="single" w:sz="8" w:color="auto"/>
            </w:tcBorders>
          </w:tcPr>
          <w:p>
            <w:pPr>
              <w:spacing w:after="0"/>
              <w:rPr>
                <w:sz w:val="14"/>
                <w:szCs w:val="14"/>
                <w:color w:val="auto"/>
              </w:rPr>
            </w:pPr>
          </w:p>
        </w:tc>
        <w:tc>
          <w:tcPr>
            <w:tcW w:w="540" w:type="dxa"/>
            <w:vAlign w:val="bottom"/>
            <w:tcBorders>
              <w:bottom w:val="single" w:sz="8" w:color="auto"/>
            </w:tcBorders>
          </w:tcPr>
          <w:p>
            <w:pPr>
              <w:jc w:val="right"/>
              <w:ind w:right="112"/>
              <w:spacing w:after="0"/>
              <w:rPr>
                <w:sz w:val="20"/>
                <w:szCs w:val="20"/>
                <w:color w:val="auto"/>
              </w:rPr>
            </w:pPr>
            <w:r>
              <w:rPr>
                <w:rFonts w:ascii="Arial" w:cs="Arial" w:eastAsia="Arial" w:hAnsi="Arial"/>
                <w:sz w:val="14"/>
                <w:szCs w:val="14"/>
                <w:color w:val="auto"/>
              </w:rPr>
              <w:t>48</w:t>
            </w:r>
          </w:p>
        </w:tc>
        <w:tc>
          <w:tcPr>
            <w:tcW w:w="260" w:type="dxa"/>
            <w:vAlign w:val="bottom"/>
            <w:tcBorders>
              <w:bottom w:val="single" w:sz="8" w:color="auto"/>
            </w:tcBorders>
          </w:tcPr>
          <w:p>
            <w:pPr>
              <w:spacing w:after="0"/>
              <w:rPr>
                <w:sz w:val="14"/>
                <w:szCs w:val="14"/>
                <w:color w:val="auto"/>
              </w:rPr>
            </w:pPr>
          </w:p>
        </w:tc>
        <w:tc>
          <w:tcPr>
            <w:tcW w:w="820" w:type="dxa"/>
            <w:vAlign w:val="bottom"/>
            <w:tcBorders>
              <w:bottom w:val="single" w:sz="8" w:color="auto"/>
            </w:tcBorders>
          </w:tcPr>
          <w:p>
            <w:pPr>
              <w:jc w:val="right"/>
              <w:ind w:right="72"/>
              <w:spacing w:after="0"/>
              <w:rPr>
                <w:sz w:val="20"/>
                <w:szCs w:val="20"/>
                <w:color w:val="auto"/>
              </w:rPr>
            </w:pPr>
            <w:r>
              <w:rPr>
                <w:rFonts w:ascii="Arial" w:cs="Arial" w:eastAsia="Arial" w:hAnsi="Arial"/>
                <w:sz w:val="14"/>
                <w:szCs w:val="14"/>
                <w:color w:val="auto"/>
              </w:rPr>
              <w:t>(1,352)</w:t>
            </w:r>
          </w:p>
        </w:tc>
        <w:tc>
          <w:tcPr>
            <w:tcW w:w="220" w:type="dxa"/>
            <w:vAlign w:val="bottom"/>
            <w:tcBorders>
              <w:bottom w:val="single" w:sz="8" w:color="auto"/>
            </w:tcBorders>
          </w:tcPr>
          <w:p>
            <w:pPr>
              <w:spacing w:after="0"/>
              <w:rPr>
                <w:sz w:val="14"/>
                <w:szCs w:val="14"/>
                <w:color w:val="auto"/>
              </w:rPr>
            </w:pPr>
          </w:p>
        </w:tc>
        <w:tc>
          <w:tcPr>
            <w:tcW w:w="920" w:type="dxa"/>
            <w:vAlign w:val="bottom"/>
            <w:tcBorders>
              <w:bottom w:val="single" w:sz="8" w:color="auto"/>
            </w:tcBorders>
          </w:tcPr>
          <w:p>
            <w:pPr>
              <w:jc w:val="right"/>
              <w:ind w:right="112"/>
              <w:spacing w:after="0"/>
              <w:rPr>
                <w:sz w:val="20"/>
                <w:szCs w:val="20"/>
                <w:color w:val="auto"/>
              </w:rPr>
            </w:pPr>
            <w:r>
              <w:rPr>
                <w:rFonts w:ascii="Arial" w:cs="Arial" w:eastAsia="Arial" w:hAnsi="Arial"/>
                <w:sz w:val="14"/>
                <w:szCs w:val="14"/>
                <w:color w:val="auto"/>
              </w:rPr>
              <w:t>—</w:t>
            </w:r>
          </w:p>
        </w:tc>
        <w:tc>
          <w:tcPr>
            <w:tcW w:w="220" w:type="dxa"/>
            <w:vAlign w:val="bottom"/>
            <w:tcBorders>
              <w:bottom w:val="single" w:sz="8" w:color="auto"/>
            </w:tcBorders>
          </w:tcPr>
          <w:p>
            <w:pPr>
              <w:spacing w:after="0"/>
              <w:rPr>
                <w:sz w:val="14"/>
                <w:szCs w:val="14"/>
                <w:color w:val="auto"/>
              </w:rPr>
            </w:pPr>
          </w:p>
        </w:tc>
        <w:tc>
          <w:tcPr>
            <w:tcW w:w="84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(873)</w:t>
            </w:r>
          </w:p>
        </w:tc>
        <w:tc>
          <w:tcPr>
            <w:tcW w:w="0" w:type="dxa"/>
            <w:vAlign w:val="bottom"/>
          </w:tcPr>
          <w:p>
            <w:pPr>
              <w:spacing w:after="0"/>
              <w:rPr>
                <w:sz w:val="1"/>
                <w:szCs w:val="1"/>
                <w:color w:val="auto"/>
              </w:rPr>
            </w:pPr>
          </w:p>
        </w:tc>
      </w:tr>
      <w:tr>
        <w:trPr>
          <w:trHeight w:val="141"/>
        </w:trPr>
        <w:tc>
          <w:tcPr>
            <w:tcW w:w="3920" w:type="dxa"/>
            <w:vAlign w:val="bottom"/>
            <w:gridSpan w:val="2"/>
          </w:tcPr>
          <w:p>
            <w:pPr>
              <w:spacing w:after="0" w:line="141" w:lineRule="exact"/>
              <w:rPr>
                <w:sz w:val="20"/>
                <w:szCs w:val="20"/>
                <w:color w:val="auto"/>
              </w:rPr>
            </w:pPr>
            <w:r>
              <w:rPr>
                <w:rFonts w:ascii="Arial" w:cs="Arial" w:eastAsia="Arial" w:hAnsi="Arial"/>
                <w:sz w:val="14"/>
                <w:szCs w:val="14"/>
                <w:color w:val="auto"/>
              </w:rPr>
              <w:t>Income (loss) from continuing operations before minority</w:t>
            </w:r>
          </w:p>
        </w:tc>
        <w:tc>
          <w:tcPr>
            <w:tcW w:w="32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92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840" w:type="dxa"/>
            <w:vAlign w:val="bottom"/>
            <w:vMerge w:val="restart"/>
          </w:tcPr>
          <w:p>
            <w:pPr>
              <w:jc w:val="right"/>
              <w:spacing w:after="0"/>
              <w:rPr>
                <w:sz w:val="20"/>
                <w:szCs w:val="20"/>
                <w:color w:val="auto"/>
              </w:rPr>
            </w:pPr>
            <w:r>
              <w:rPr>
                <w:rFonts w:ascii="Arial" w:cs="Arial" w:eastAsia="Arial" w:hAnsi="Arial"/>
                <w:sz w:val="14"/>
                <w:szCs w:val="14"/>
                <w:b w:val="1"/>
                <w:bCs w:val="1"/>
                <w:color w:val="auto"/>
              </w:rPr>
              <w:t>847</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3900" w:type="dxa"/>
            <w:vAlign w:val="bottom"/>
          </w:tcPr>
          <w:p>
            <w:pPr>
              <w:ind w:left="200"/>
              <w:spacing w:after="0" w:line="133" w:lineRule="exact"/>
              <w:rPr>
                <w:sz w:val="20"/>
                <w:szCs w:val="20"/>
                <w:color w:val="auto"/>
              </w:rPr>
            </w:pPr>
            <w:r>
              <w:rPr>
                <w:rFonts w:ascii="Arial" w:cs="Arial" w:eastAsia="Arial" w:hAnsi="Arial"/>
                <w:sz w:val="14"/>
                <w:szCs w:val="14"/>
                <w:color w:val="auto"/>
              </w:rPr>
              <w:t>interest</w:t>
            </w:r>
          </w:p>
        </w:tc>
        <w:tc>
          <w:tcPr>
            <w:tcW w:w="320" w:type="dxa"/>
            <w:vAlign w:val="bottom"/>
          </w:tcPr>
          <w:p>
            <w:pPr>
              <w:spacing w:after="0"/>
              <w:rPr>
                <w:sz w:val="11"/>
                <w:szCs w:val="11"/>
                <w:color w:val="auto"/>
              </w:rPr>
            </w:pPr>
          </w:p>
        </w:tc>
        <w:tc>
          <w:tcPr>
            <w:tcW w:w="620" w:type="dxa"/>
            <w:vAlign w:val="bottom"/>
          </w:tcPr>
          <w:p>
            <w:pPr>
              <w:jc w:val="right"/>
              <w:ind w:right="132"/>
              <w:spacing w:after="0" w:line="133" w:lineRule="exact"/>
              <w:rPr>
                <w:sz w:val="20"/>
                <w:szCs w:val="20"/>
                <w:color w:val="auto"/>
              </w:rPr>
            </w:pPr>
            <w:r>
              <w:rPr>
                <w:rFonts w:ascii="Arial" w:cs="Arial" w:eastAsia="Arial" w:hAnsi="Arial"/>
                <w:sz w:val="14"/>
                <w:szCs w:val="14"/>
                <w:color w:val="auto"/>
              </w:rPr>
              <w:t>928</w:t>
            </w:r>
          </w:p>
        </w:tc>
        <w:tc>
          <w:tcPr>
            <w:tcW w:w="220" w:type="dxa"/>
            <w:vAlign w:val="bottom"/>
          </w:tcPr>
          <w:p>
            <w:pPr>
              <w:spacing w:after="0"/>
              <w:rPr>
                <w:sz w:val="11"/>
                <w:szCs w:val="11"/>
                <w:color w:val="auto"/>
              </w:rPr>
            </w:pPr>
          </w:p>
        </w:tc>
        <w:tc>
          <w:tcPr>
            <w:tcW w:w="500" w:type="dxa"/>
            <w:vAlign w:val="bottom"/>
          </w:tcPr>
          <w:p>
            <w:pPr>
              <w:jc w:val="right"/>
              <w:ind w:right="92"/>
              <w:spacing w:after="0" w:line="133" w:lineRule="exact"/>
              <w:rPr>
                <w:sz w:val="20"/>
                <w:szCs w:val="20"/>
                <w:color w:val="auto"/>
              </w:rPr>
            </w:pPr>
            <w:r>
              <w:rPr>
                <w:rFonts w:ascii="Arial" w:cs="Arial" w:eastAsia="Arial" w:hAnsi="Arial"/>
                <w:sz w:val="14"/>
                <w:szCs w:val="14"/>
                <w:color w:val="auto"/>
                <w:w w:val="91"/>
              </w:rPr>
              <w:t>1,062</w:t>
            </w:r>
          </w:p>
        </w:tc>
        <w:tc>
          <w:tcPr>
            <w:tcW w:w="280" w:type="dxa"/>
            <w:vAlign w:val="bottom"/>
          </w:tcPr>
          <w:p>
            <w:pPr>
              <w:spacing w:after="0"/>
              <w:rPr>
                <w:sz w:val="11"/>
                <w:szCs w:val="11"/>
                <w:color w:val="auto"/>
              </w:rPr>
            </w:pPr>
          </w:p>
        </w:tc>
        <w:tc>
          <w:tcPr>
            <w:tcW w:w="480" w:type="dxa"/>
            <w:vAlign w:val="bottom"/>
          </w:tcPr>
          <w:p>
            <w:pPr>
              <w:jc w:val="right"/>
              <w:ind w:right="112"/>
              <w:spacing w:after="0" w:line="133" w:lineRule="exact"/>
              <w:rPr>
                <w:sz w:val="20"/>
                <w:szCs w:val="20"/>
                <w:color w:val="auto"/>
              </w:rPr>
            </w:pPr>
            <w:r>
              <w:rPr>
                <w:rFonts w:ascii="Arial" w:cs="Arial" w:eastAsia="Arial" w:hAnsi="Arial"/>
                <w:sz w:val="14"/>
                <w:szCs w:val="14"/>
                <w:color w:val="auto"/>
              </w:rPr>
              <w:t>391</w:t>
            </w:r>
          </w:p>
        </w:tc>
        <w:tc>
          <w:tcPr>
            <w:tcW w:w="240" w:type="dxa"/>
            <w:vAlign w:val="bottom"/>
          </w:tcPr>
          <w:p>
            <w:pPr>
              <w:spacing w:after="0"/>
              <w:rPr>
                <w:sz w:val="11"/>
                <w:szCs w:val="11"/>
                <w:color w:val="auto"/>
              </w:rPr>
            </w:pPr>
          </w:p>
        </w:tc>
        <w:tc>
          <w:tcPr>
            <w:tcW w:w="700" w:type="dxa"/>
            <w:vAlign w:val="bottom"/>
          </w:tcPr>
          <w:p>
            <w:pPr>
              <w:jc w:val="right"/>
              <w:ind w:right="112"/>
              <w:spacing w:after="0" w:line="133" w:lineRule="exact"/>
              <w:rPr>
                <w:sz w:val="20"/>
                <w:szCs w:val="20"/>
                <w:color w:val="auto"/>
              </w:rPr>
            </w:pPr>
            <w:r>
              <w:rPr>
                <w:rFonts w:ascii="Arial" w:cs="Arial" w:eastAsia="Arial" w:hAnsi="Arial"/>
                <w:sz w:val="14"/>
                <w:szCs w:val="14"/>
                <w:color w:val="auto"/>
              </w:rPr>
              <w:t>605</w:t>
            </w:r>
          </w:p>
        </w:tc>
        <w:tc>
          <w:tcPr>
            <w:tcW w:w="320" w:type="dxa"/>
            <w:vAlign w:val="bottom"/>
          </w:tcPr>
          <w:p>
            <w:pPr>
              <w:spacing w:after="0"/>
              <w:rPr>
                <w:sz w:val="11"/>
                <w:szCs w:val="11"/>
                <w:color w:val="auto"/>
              </w:rPr>
            </w:pPr>
          </w:p>
        </w:tc>
        <w:tc>
          <w:tcPr>
            <w:tcW w:w="540" w:type="dxa"/>
            <w:vAlign w:val="bottom"/>
          </w:tcPr>
          <w:p>
            <w:pPr>
              <w:jc w:val="right"/>
              <w:ind w:right="112"/>
              <w:spacing w:after="0" w:line="133" w:lineRule="exact"/>
              <w:rPr>
                <w:sz w:val="20"/>
                <w:szCs w:val="20"/>
                <w:color w:val="auto"/>
              </w:rPr>
            </w:pPr>
            <w:r>
              <w:rPr>
                <w:rFonts w:ascii="Arial" w:cs="Arial" w:eastAsia="Arial" w:hAnsi="Arial"/>
                <w:sz w:val="14"/>
                <w:szCs w:val="14"/>
                <w:color w:val="auto"/>
              </w:rPr>
              <w:t>888</w:t>
            </w:r>
          </w:p>
        </w:tc>
        <w:tc>
          <w:tcPr>
            <w:tcW w:w="260" w:type="dxa"/>
            <w:vAlign w:val="bottom"/>
          </w:tcPr>
          <w:p>
            <w:pPr>
              <w:spacing w:after="0"/>
              <w:rPr>
                <w:sz w:val="11"/>
                <w:szCs w:val="11"/>
                <w:color w:val="auto"/>
              </w:rPr>
            </w:pPr>
          </w:p>
        </w:tc>
        <w:tc>
          <w:tcPr>
            <w:tcW w:w="820" w:type="dxa"/>
            <w:vAlign w:val="bottom"/>
          </w:tcPr>
          <w:p>
            <w:pPr>
              <w:jc w:val="right"/>
              <w:ind w:right="132"/>
              <w:spacing w:after="0" w:line="133" w:lineRule="exact"/>
              <w:rPr>
                <w:sz w:val="20"/>
                <w:szCs w:val="20"/>
                <w:color w:val="auto"/>
              </w:rPr>
            </w:pPr>
            <w:r>
              <w:rPr>
                <w:rFonts w:ascii="Arial" w:cs="Arial" w:eastAsia="Arial" w:hAnsi="Arial"/>
                <w:sz w:val="14"/>
                <w:szCs w:val="14"/>
                <w:color w:val="auto"/>
              </w:rPr>
              <w:t>1,823</w:t>
            </w:r>
          </w:p>
        </w:tc>
        <w:tc>
          <w:tcPr>
            <w:tcW w:w="220" w:type="dxa"/>
            <w:vAlign w:val="bottom"/>
          </w:tcPr>
          <w:p>
            <w:pPr>
              <w:spacing w:after="0"/>
              <w:rPr>
                <w:sz w:val="11"/>
                <w:szCs w:val="11"/>
                <w:color w:val="auto"/>
              </w:rPr>
            </w:pPr>
          </w:p>
        </w:tc>
        <w:tc>
          <w:tcPr>
            <w:tcW w:w="920" w:type="dxa"/>
            <w:vAlign w:val="bottom"/>
          </w:tcPr>
          <w:p>
            <w:pPr>
              <w:jc w:val="right"/>
              <w:ind w:right="72"/>
              <w:spacing w:after="0" w:line="133" w:lineRule="exact"/>
              <w:rPr>
                <w:sz w:val="20"/>
                <w:szCs w:val="20"/>
                <w:color w:val="auto"/>
              </w:rPr>
            </w:pPr>
            <w:r>
              <w:rPr>
                <w:rFonts w:ascii="Arial" w:cs="Arial" w:eastAsia="Arial" w:hAnsi="Arial"/>
                <w:sz w:val="14"/>
                <w:szCs w:val="14"/>
                <w:color w:val="auto"/>
              </w:rPr>
              <w:t>(4,850)</w:t>
            </w:r>
          </w:p>
        </w:tc>
        <w:tc>
          <w:tcPr>
            <w:tcW w:w="220" w:type="dxa"/>
            <w:vAlign w:val="bottom"/>
          </w:tcPr>
          <w:p>
            <w:pPr>
              <w:spacing w:after="0"/>
              <w:rPr>
                <w:sz w:val="11"/>
                <w:szCs w:val="11"/>
                <w:color w:val="auto"/>
              </w:rPr>
            </w:pPr>
          </w:p>
        </w:tc>
        <w:tc>
          <w:tcPr>
            <w:tcW w:w="840" w:type="dxa"/>
            <w:vAlign w:val="bottom"/>
            <w:vMerge w:val="continue"/>
          </w:tcPr>
          <w:p>
            <w:pPr>
              <w:spacing w:after="0"/>
              <w:rPr>
                <w:sz w:val="11"/>
                <w:szCs w:val="11"/>
                <w:color w:val="auto"/>
              </w:rPr>
            </w:pPr>
          </w:p>
        </w:tc>
        <w:tc>
          <w:tcPr>
            <w:tcW w:w="0" w:type="dxa"/>
            <w:vAlign w:val="bottom"/>
          </w:tcPr>
          <w:p>
            <w:pPr>
              <w:spacing w:after="0"/>
              <w:rPr>
                <w:sz w:val="1"/>
                <w:szCs w:val="1"/>
                <w:color w:val="auto"/>
              </w:rPr>
            </w:pPr>
          </w:p>
        </w:tc>
      </w:tr>
      <w:tr>
        <w:trPr>
          <w:trHeight w:val="165"/>
        </w:trPr>
        <w:tc>
          <w:tcPr>
            <w:tcW w:w="3920" w:type="dxa"/>
            <w:vAlign w:val="bottom"/>
            <w:tcBorders>
              <w:bottom w:val="single" w:sz="8" w:color="auto"/>
            </w:tcBorders>
            <w:gridSpan w:val="2"/>
          </w:tcPr>
          <w:p>
            <w:pPr>
              <w:spacing w:after="0"/>
              <w:rPr>
                <w:sz w:val="20"/>
                <w:szCs w:val="20"/>
                <w:color w:val="auto"/>
              </w:rPr>
            </w:pPr>
            <w:r>
              <w:rPr>
                <w:rFonts w:ascii="Arial" w:cs="Arial" w:eastAsia="Arial" w:hAnsi="Arial"/>
                <w:sz w:val="14"/>
                <w:szCs w:val="14"/>
                <w:color w:val="auto"/>
              </w:rPr>
              <w:t>Minority interest</w:t>
            </w:r>
          </w:p>
        </w:tc>
        <w:tc>
          <w:tcPr>
            <w:tcW w:w="320" w:type="dxa"/>
            <w:vAlign w:val="bottom"/>
            <w:tcBorders>
              <w:bottom w:val="single" w:sz="8" w:color="auto"/>
            </w:tcBorders>
          </w:tcPr>
          <w:p>
            <w:pPr>
              <w:spacing w:after="0"/>
              <w:rPr>
                <w:sz w:val="14"/>
                <w:szCs w:val="14"/>
                <w:color w:val="auto"/>
              </w:rPr>
            </w:pPr>
          </w:p>
        </w:tc>
        <w:tc>
          <w:tcPr>
            <w:tcW w:w="620" w:type="dxa"/>
            <w:vAlign w:val="bottom"/>
            <w:tcBorders>
              <w:bottom w:val="single" w:sz="8" w:color="auto"/>
            </w:tcBorders>
          </w:tcPr>
          <w:p>
            <w:pPr>
              <w:jc w:val="right"/>
              <w:ind w:right="132"/>
              <w:spacing w:after="0"/>
              <w:rPr>
                <w:sz w:val="20"/>
                <w:szCs w:val="20"/>
                <w:color w:val="auto"/>
              </w:rPr>
            </w:pPr>
            <w:r>
              <w:rPr>
                <w:rFonts w:ascii="Arial" w:cs="Arial" w:eastAsia="Arial" w:hAnsi="Arial"/>
                <w:sz w:val="14"/>
                <w:szCs w:val="14"/>
                <w:color w:val="auto"/>
              </w:rPr>
              <w:t>—</w:t>
            </w:r>
          </w:p>
        </w:tc>
        <w:tc>
          <w:tcPr>
            <w:tcW w:w="220" w:type="dxa"/>
            <w:vAlign w:val="bottom"/>
            <w:tcBorders>
              <w:bottom w:val="single" w:sz="8" w:color="auto"/>
            </w:tcBorders>
          </w:tcPr>
          <w:p>
            <w:pPr>
              <w:spacing w:after="0"/>
              <w:rPr>
                <w:sz w:val="14"/>
                <w:szCs w:val="14"/>
                <w:color w:val="auto"/>
              </w:rPr>
            </w:pPr>
          </w:p>
        </w:tc>
        <w:tc>
          <w:tcPr>
            <w:tcW w:w="500" w:type="dxa"/>
            <w:vAlign w:val="bottom"/>
            <w:tcBorders>
              <w:bottom w:val="single" w:sz="8" w:color="auto"/>
            </w:tcBorders>
          </w:tcPr>
          <w:p>
            <w:pPr>
              <w:jc w:val="right"/>
              <w:ind w:right="92"/>
              <w:spacing w:after="0"/>
              <w:rPr>
                <w:sz w:val="20"/>
                <w:szCs w:val="20"/>
                <w:color w:val="auto"/>
              </w:rPr>
            </w:pPr>
            <w:r>
              <w:rPr>
                <w:rFonts w:ascii="Arial" w:cs="Arial" w:eastAsia="Arial" w:hAnsi="Arial"/>
                <w:sz w:val="14"/>
                <w:szCs w:val="14"/>
                <w:color w:val="auto"/>
              </w:rPr>
              <w:t>—</w:t>
            </w:r>
          </w:p>
        </w:tc>
        <w:tc>
          <w:tcPr>
            <w:tcW w:w="280" w:type="dxa"/>
            <w:vAlign w:val="bottom"/>
            <w:tcBorders>
              <w:bottom w:val="single" w:sz="8" w:color="auto"/>
            </w:tcBorders>
          </w:tcPr>
          <w:p>
            <w:pPr>
              <w:spacing w:after="0"/>
              <w:rPr>
                <w:sz w:val="14"/>
                <w:szCs w:val="14"/>
                <w:color w:val="auto"/>
              </w:rPr>
            </w:pPr>
          </w:p>
        </w:tc>
        <w:tc>
          <w:tcPr>
            <w:tcW w:w="480" w:type="dxa"/>
            <w:vAlign w:val="bottom"/>
            <w:tcBorders>
              <w:bottom w:val="single" w:sz="8" w:color="auto"/>
            </w:tcBorders>
          </w:tcPr>
          <w:p>
            <w:pPr>
              <w:jc w:val="right"/>
              <w:ind w:right="112"/>
              <w:spacing w:after="0"/>
              <w:rPr>
                <w:sz w:val="20"/>
                <w:szCs w:val="20"/>
                <w:color w:val="auto"/>
              </w:rPr>
            </w:pPr>
            <w:r>
              <w:rPr>
                <w:rFonts w:ascii="Arial" w:cs="Arial" w:eastAsia="Arial" w:hAnsi="Arial"/>
                <w:sz w:val="14"/>
                <w:szCs w:val="14"/>
                <w:color w:val="auto"/>
              </w:rPr>
              <w:t>—</w:t>
            </w:r>
          </w:p>
        </w:tc>
        <w:tc>
          <w:tcPr>
            <w:tcW w:w="240" w:type="dxa"/>
            <w:vAlign w:val="bottom"/>
            <w:tcBorders>
              <w:bottom w:val="single" w:sz="8" w:color="auto"/>
            </w:tcBorders>
          </w:tcPr>
          <w:p>
            <w:pPr>
              <w:spacing w:after="0"/>
              <w:rPr>
                <w:sz w:val="14"/>
                <w:szCs w:val="14"/>
                <w:color w:val="auto"/>
              </w:rPr>
            </w:pPr>
          </w:p>
        </w:tc>
        <w:tc>
          <w:tcPr>
            <w:tcW w:w="700" w:type="dxa"/>
            <w:vAlign w:val="bottom"/>
            <w:tcBorders>
              <w:bottom w:val="single" w:sz="8" w:color="auto"/>
            </w:tcBorders>
          </w:tcPr>
          <w:p>
            <w:pPr>
              <w:jc w:val="right"/>
              <w:ind w:right="112"/>
              <w:spacing w:after="0"/>
              <w:rPr>
                <w:sz w:val="20"/>
                <w:szCs w:val="20"/>
                <w:color w:val="auto"/>
              </w:rPr>
            </w:pPr>
            <w:r>
              <w:rPr>
                <w:rFonts w:ascii="Arial" w:cs="Arial" w:eastAsia="Arial" w:hAnsi="Arial"/>
                <w:sz w:val="14"/>
                <w:szCs w:val="14"/>
                <w:color w:val="auto"/>
              </w:rPr>
              <w:t>—</w:t>
            </w:r>
          </w:p>
        </w:tc>
        <w:tc>
          <w:tcPr>
            <w:tcW w:w="320" w:type="dxa"/>
            <w:vAlign w:val="bottom"/>
            <w:tcBorders>
              <w:bottom w:val="single" w:sz="8" w:color="auto"/>
            </w:tcBorders>
          </w:tcPr>
          <w:p>
            <w:pPr>
              <w:spacing w:after="0"/>
              <w:rPr>
                <w:sz w:val="14"/>
                <w:szCs w:val="14"/>
                <w:color w:val="auto"/>
              </w:rPr>
            </w:pPr>
          </w:p>
        </w:tc>
        <w:tc>
          <w:tcPr>
            <w:tcW w:w="540" w:type="dxa"/>
            <w:vAlign w:val="bottom"/>
            <w:tcBorders>
              <w:bottom w:val="single" w:sz="8" w:color="auto"/>
            </w:tcBorders>
          </w:tcPr>
          <w:p>
            <w:pPr>
              <w:jc w:val="right"/>
              <w:ind w:right="112"/>
              <w:spacing w:after="0"/>
              <w:rPr>
                <w:sz w:val="20"/>
                <w:szCs w:val="20"/>
                <w:color w:val="auto"/>
              </w:rPr>
            </w:pPr>
            <w:r>
              <w:rPr>
                <w:rFonts w:ascii="Arial" w:cs="Arial" w:eastAsia="Arial" w:hAnsi="Arial"/>
                <w:sz w:val="14"/>
                <w:szCs w:val="14"/>
                <w:color w:val="auto"/>
              </w:rPr>
              <w:t>—</w:t>
            </w:r>
          </w:p>
        </w:tc>
        <w:tc>
          <w:tcPr>
            <w:tcW w:w="260" w:type="dxa"/>
            <w:vAlign w:val="bottom"/>
            <w:tcBorders>
              <w:bottom w:val="single" w:sz="8" w:color="auto"/>
            </w:tcBorders>
          </w:tcPr>
          <w:p>
            <w:pPr>
              <w:spacing w:after="0"/>
              <w:rPr>
                <w:sz w:val="14"/>
                <w:szCs w:val="14"/>
                <w:color w:val="auto"/>
              </w:rPr>
            </w:pPr>
          </w:p>
        </w:tc>
        <w:tc>
          <w:tcPr>
            <w:tcW w:w="820" w:type="dxa"/>
            <w:vAlign w:val="bottom"/>
            <w:tcBorders>
              <w:bottom w:val="single" w:sz="8" w:color="auto"/>
            </w:tcBorders>
          </w:tcPr>
          <w:p>
            <w:pPr>
              <w:jc w:val="right"/>
              <w:ind w:right="72"/>
              <w:spacing w:after="0"/>
              <w:rPr>
                <w:sz w:val="20"/>
                <w:szCs w:val="20"/>
                <w:color w:val="auto"/>
              </w:rPr>
            </w:pPr>
            <w:r>
              <w:rPr>
                <w:rFonts w:ascii="Arial" w:cs="Arial" w:eastAsia="Arial" w:hAnsi="Arial"/>
                <w:sz w:val="14"/>
                <w:szCs w:val="14"/>
                <w:color w:val="auto"/>
              </w:rPr>
              <w:t>(19)</w:t>
            </w:r>
          </w:p>
        </w:tc>
        <w:tc>
          <w:tcPr>
            <w:tcW w:w="220" w:type="dxa"/>
            <w:vAlign w:val="bottom"/>
            <w:tcBorders>
              <w:bottom w:val="single" w:sz="8" w:color="auto"/>
            </w:tcBorders>
          </w:tcPr>
          <w:p>
            <w:pPr>
              <w:spacing w:after="0"/>
              <w:rPr>
                <w:sz w:val="14"/>
                <w:szCs w:val="14"/>
                <w:color w:val="auto"/>
              </w:rPr>
            </w:pPr>
          </w:p>
        </w:tc>
        <w:tc>
          <w:tcPr>
            <w:tcW w:w="920" w:type="dxa"/>
            <w:vAlign w:val="bottom"/>
            <w:tcBorders>
              <w:bottom w:val="single" w:sz="8" w:color="auto"/>
            </w:tcBorders>
          </w:tcPr>
          <w:p>
            <w:pPr>
              <w:jc w:val="right"/>
              <w:ind w:right="112"/>
              <w:spacing w:after="0"/>
              <w:rPr>
                <w:sz w:val="20"/>
                <w:szCs w:val="20"/>
                <w:color w:val="auto"/>
              </w:rPr>
            </w:pPr>
            <w:r>
              <w:rPr>
                <w:rFonts w:ascii="Arial" w:cs="Arial" w:eastAsia="Arial" w:hAnsi="Arial"/>
                <w:sz w:val="14"/>
                <w:szCs w:val="14"/>
                <w:color w:val="auto"/>
              </w:rPr>
              <w:t>—</w:t>
            </w:r>
          </w:p>
        </w:tc>
        <w:tc>
          <w:tcPr>
            <w:tcW w:w="220" w:type="dxa"/>
            <w:vAlign w:val="bottom"/>
            <w:tcBorders>
              <w:bottom w:val="single" w:sz="8" w:color="auto"/>
            </w:tcBorders>
          </w:tcPr>
          <w:p>
            <w:pPr>
              <w:spacing w:after="0"/>
              <w:rPr>
                <w:sz w:val="14"/>
                <w:szCs w:val="14"/>
                <w:color w:val="auto"/>
              </w:rPr>
            </w:pPr>
          </w:p>
        </w:tc>
        <w:tc>
          <w:tcPr>
            <w:tcW w:w="84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(19)</w:t>
            </w:r>
          </w:p>
        </w:tc>
        <w:tc>
          <w:tcPr>
            <w:tcW w:w="0" w:type="dxa"/>
            <w:vAlign w:val="bottom"/>
          </w:tcPr>
          <w:p>
            <w:pPr>
              <w:spacing w:after="0"/>
              <w:rPr>
                <w:sz w:val="1"/>
                <w:szCs w:val="1"/>
                <w:color w:val="auto"/>
              </w:rPr>
            </w:pPr>
          </w:p>
        </w:tc>
      </w:tr>
      <w:tr>
        <w:trPr>
          <w:trHeight w:val="125"/>
        </w:trPr>
        <w:tc>
          <w:tcPr>
            <w:tcW w:w="3920" w:type="dxa"/>
            <w:vAlign w:val="bottom"/>
            <w:gridSpan w:val="2"/>
          </w:tcPr>
          <w:p>
            <w:pPr>
              <w:spacing w:after="0" w:line="125" w:lineRule="exact"/>
              <w:rPr>
                <w:sz w:val="20"/>
                <w:szCs w:val="20"/>
                <w:color w:val="auto"/>
              </w:rPr>
            </w:pPr>
            <w:r>
              <w:rPr>
                <w:rFonts w:ascii="Arial" w:cs="Arial" w:eastAsia="Arial" w:hAnsi="Arial"/>
                <w:sz w:val="14"/>
                <w:szCs w:val="14"/>
                <w:color w:val="auto"/>
              </w:rPr>
              <w:t>Income from continuing operations</w:t>
            </w:r>
          </w:p>
        </w:tc>
        <w:tc>
          <w:tcPr>
            <w:tcW w:w="320" w:type="dxa"/>
            <w:vAlign w:val="bottom"/>
          </w:tcPr>
          <w:p>
            <w:pPr>
              <w:ind w:left="200"/>
              <w:spacing w:after="0" w:line="125" w:lineRule="exact"/>
              <w:rPr>
                <w:sz w:val="20"/>
                <w:szCs w:val="20"/>
                <w:color w:val="auto"/>
              </w:rPr>
            </w:pPr>
            <w:r>
              <w:rPr>
                <w:rFonts w:ascii="Arial" w:cs="Arial" w:eastAsia="Arial" w:hAnsi="Arial"/>
                <w:sz w:val="14"/>
                <w:szCs w:val="14"/>
                <w:color w:val="auto"/>
              </w:rPr>
              <w:t>$</w:t>
            </w:r>
          </w:p>
        </w:tc>
        <w:tc>
          <w:tcPr>
            <w:tcW w:w="620" w:type="dxa"/>
            <w:vAlign w:val="bottom"/>
          </w:tcPr>
          <w:p>
            <w:pPr>
              <w:jc w:val="right"/>
              <w:ind w:right="132"/>
              <w:spacing w:after="0" w:line="125" w:lineRule="exact"/>
              <w:rPr>
                <w:sz w:val="20"/>
                <w:szCs w:val="20"/>
                <w:color w:val="auto"/>
              </w:rPr>
            </w:pPr>
            <w:r>
              <w:rPr>
                <w:rFonts w:ascii="Arial" w:cs="Arial" w:eastAsia="Arial" w:hAnsi="Arial"/>
                <w:sz w:val="14"/>
                <w:szCs w:val="14"/>
                <w:color w:val="auto"/>
              </w:rPr>
              <w:t>928</w:t>
            </w:r>
          </w:p>
        </w:tc>
        <w:tc>
          <w:tcPr>
            <w:tcW w:w="220" w:type="dxa"/>
            <w:vAlign w:val="bottom"/>
          </w:tcPr>
          <w:p>
            <w:pPr>
              <w:jc w:val="right"/>
              <w:spacing w:after="0" w:line="125" w:lineRule="exact"/>
              <w:rPr>
                <w:sz w:val="20"/>
                <w:szCs w:val="20"/>
                <w:color w:val="auto"/>
              </w:rPr>
            </w:pPr>
            <w:r>
              <w:rPr>
                <w:rFonts w:ascii="Arial" w:cs="Arial" w:eastAsia="Arial" w:hAnsi="Arial"/>
                <w:sz w:val="14"/>
                <w:szCs w:val="14"/>
                <w:color w:val="auto"/>
              </w:rPr>
              <w:t>$</w:t>
            </w:r>
          </w:p>
        </w:tc>
        <w:tc>
          <w:tcPr>
            <w:tcW w:w="500" w:type="dxa"/>
            <w:vAlign w:val="bottom"/>
          </w:tcPr>
          <w:p>
            <w:pPr>
              <w:jc w:val="right"/>
              <w:ind w:right="92"/>
              <w:spacing w:after="0" w:line="125" w:lineRule="exact"/>
              <w:rPr>
                <w:sz w:val="20"/>
                <w:szCs w:val="20"/>
                <w:color w:val="auto"/>
              </w:rPr>
            </w:pPr>
            <w:r>
              <w:rPr>
                <w:rFonts w:ascii="Arial" w:cs="Arial" w:eastAsia="Arial" w:hAnsi="Arial"/>
                <w:sz w:val="14"/>
                <w:szCs w:val="14"/>
                <w:color w:val="auto"/>
                <w:w w:val="91"/>
              </w:rPr>
              <w:t>1,062</w:t>
            </w:r>
          </w:p>
        </w:tc>
        <w:tc>
          <w:tcPr>
            <w:tcW w:w="280" w:type="dxa"/>
            <w:vAlign w:val="bottom"/>
          </w:tcPr>
          <w:p>
            <w:pPr>
              <w:ind w:left="160"/>
              <w:spacing w:after="0" w:line="125" w:lineRule="exact"/>
              <w:rPr>
                <w:sz w:val="20"/>
                <w:szCs w:val="20"/>
                <w:color w:val="auto"/>
              </w:rPr>
            </w:pPr>
            <w:r>
              <w:rPr>
                <w:rFonts w:ascii="Arial" w:cs="Arial" w:eastAsia="Arial" w:hAnsi="Arial"/>
                <w:sz w:val="14"/>
                <w:szCs w:val="14"/>
                <w:color w:val="auto"/>
              </w:rPr>
              <w:t>$</w:t>
            </w:r>
          </w:p>
        </w:tc>
        <w:tc>
          <w:tcPr>
            <w:tcW w:w="480" w:type="dxa"/>
            <w:vAlign w:val="bottom"/>
          </w:tcPr>
          <w:p>
            <w:pPr>
              <w:jc w:val="right"/>
              <w:ind w:right="112"/>
              <w:spacing w:after="0" w:line="125" w:lineRule="exact"/>
              <w:rPr>
                <w:sz w:val="20"/>
                <w:szCs w:val="20"/>
                <w:color w:val="auto"/>
              </w:rPr>
            </w:pPr>
            <w:r>
              <w:rPr>
                <w:rFonts w:ascii="Arial" w:cs="Arial" w:eastAsia="Arial" w:hAnsi="Arial"/>
                <w:sz w:val="14"/>
                <w:szCs w:val="14"/>
                <w:color w:val="auto"/>
              </w:rPr>
              <w:t>391</w:t>
            </w:r>
          </w:p>
        </w:tc>
        <w:tc>
          <w:tcPr>
            <w:tcW w:w="240" w:type="dxa"/>
            <w:vAlign w:val="bottom"/>
          </w:tcPr>
          <w:p>
            <w:pPr>
              <w:ind w:left="140"/>
              <w:spacing w:after="0" w:line="125" w:lineRule="exact"/>
              <w:rPr>
                <w:sz w:val="20"/>
                <w:szCs w:val="20"/>
                <w:color w:val="auto"/>
              </w:rPr>
            </w:pPr>
            <w:r>
              <w:rPr>
                <w:rFonts w:ascii="Arial" w:cs="Arial" w:eastAsia="Arial" w:hAnsi="Arial"/>
                <w:sz w:val="14"/>
                <w:szCs w:val="14"/>
                <w:color w:val="auto"/>
              </w:rPr>
              <w:t>$</w:t>
            </w:r>
          </w:p>
        </w:tc>
        <w:tc>
          <w:tcPr>
            <w:tcW w:w="700" w:type="dxa"/>
            <w:vAlign w:val="bottom"/>
          </w:tcPr>
          <w:p>
            <w:pPr>
              <w:jc w:val="right"/>
              <w:ind w:right="112"/>
              <w:spacing w:after="0" w:line="125" w:lineRule="exact"/>
              <w:rPr>
                <w:sz w:val="20"/>
                <w:szCs w:val="20"/>
                <w:color w:val="auto"/>
              </w:rPr>
            </w:pPr>
            <w:r>
              <w:rPr>
                <w:rFonts w:ascii="Arial" w:cs="Arial" w:eastAsia="Arial" w:hAnsi="Arial"/>
                <w:sz w:val="14"/>
                <w:szCs w:val="14"/>
                <w:color w:val="auto"/>
              </w:rPr>
              <w:t>605</w:t>
            </w:r>
          </w:p>
        </w:tc>
        <w:tc>
          <w:tcPr>
            <w:tcW w:w="320" w:type="dxa"/>
            <w:vAlign w:val="bottom"/>
          </w:tcPr>
          <w:p>
            <w:pPr>
              <w:ind w:left="140"/>
              <w:spacing w:after="0" w:line="125" w:lineRule="exact"/>
              <w:rPr>
                <w:sz w:val="20"/>
                <w:szCs w:val="20"/>
                <w:color w:val="auto"/>
              </w:rPr>
            </w:pPr>
            <w:r>
              <w:rPr>
                <w:rFonts w:ascii="Arial" w:cs="Arial" w:eastAsia="Arial" w:hAnsi="Arial"/>
                <w:sz w:val="14"/>
                <w:szCs w:val="14"/>
                <w:color w:val="auto"/>
              </w:rPr>
              <w:t>$</w:t>
            </w:r>
          </w:p>
        </w:tc>
        <w:tc>
          <w:tcPr>
            <w:tcW w:w="540" w:type="dxa"/>
            <w:vAlign w:val="bottom"/>
          </w:tcPr>
          <w:p>
            <w:pPr>
              <w:jc w:val="right"/>
              <w:ind w:right="112"/>
              <w:spacing w:after="0" w:line="125" w:lineRule="exact"/>
              <w:rPr>
                <w:sz w:val="20"/>
                <w:szCs w:val="20"/>
                <w:color w:val="auto"/>
              </w:rPr>
            </w:pPr>
            <w:r>
              <w:rPr>
                <w:rFonts w:ascii="Arial" w:cs="Arial" w:eastAsia="Arial" w:hAnsi="Arial"/>
                <w:sz w:val="14"/>
                <w:szCs w:val="14"/>
                <w:color w:val="auto"/>
              </w:rPr>
              <w:t>888</w:t>
            </w:r>
          </w:p>
        </w:tc>
        <w:tc>
          <w:tcPr>
            <w:tcW w:w="260" w:type="dxa"/>
            <w:vAlign w:val="bottom"/>
          </w:tcPr>
          <w:p>
            <w:pPr>
              <w:ind w:left="140"/>
              <w:spacing w:after="0" w:line="125" w:lineRule="exact"/>
              <w:rPr>
                <w:sz w:val="20"/>
                <w:szCs w:val="20"/>
                <w:color w:val="auto"/>
              </w:rPr>
            </w:pPr>
            <w:r>
              <w:rPr>
                <w:rFonts w:ascii="Arial" w:cs="Arial" w:eastAsia="Arial" w:hAnsi="Arial"/>
                <w:sz w:val="14"/>
                <w:szCs w:val="14"/>
                <w:color w:val="auto"/>
              </w:rPr>
              <w:t>$</w:t>
            </w:r>
          </w:p>
        </w:tc>
        <w:tc>
          <w:tcPr>
            <w:tcW w:w="820" w:type="dxa"/>
            <w:vAlign w:val="bottom"/>
          </w:tcPr>
          <w:p>
            <w:pPr>
              <w:jc w:val="right"/>
              <w:ind w:right="132"/>
              <w:spacing w:after="0" w:line="125" w:lineRule="exact"/>
              <w:rPr>
                <w:sz w:val="20"/>
                <w:szCs w:val="20"/>
                <w:color w:val="auto"/>
              </w:rPr>
            </w:pPr>
            <w:r>
              <w:rPr>
                <w:rFonts w:ascii="Arial" w:cs="Arial" w:eastAsia="Arial" w:hAnsi="Arial"/>
                <w:sz w:val="14"/>
                <w:szCs w:val="14"/>
                <w:color w:val="auto"/>
              </w:rPr>
              <w:t>1,804</w:t>
            </w:r>
          </w:p>
        </w:tc>
        <w:tc>
          <w:tcPr>
            <w:tcW w:w="220" w:type="dxa"/>
            <w:vAlign w:val="bottom"/>
          </w:tcPr>
          <w:p>
            <w:pPr>
              <w:ind w:left="140"/>
              <w:spacing w:after="0" w:line="125" w:lineRule="exact"/>
              <w:rPr>
                <w:sz w:val="20"/>
                <w:szCs w:val="20"/>
                <w:color w:val="auto"/>
              </w:rPr>
            </w:pPr>
            <w:r>
              <w:rPr>
                <w:rFonts w:ascii="Arial" w:cs="Arial" w:eastAsia="Arial" w:hAnsi="Arial"/>
                <w:sz w:val="14"/>
                <w:szCs w:val="14"/>
                <w:color w:val="auto"/>
                <w:w w:val="76"/>
              </w:rPr>
              <w:t>$</w:t>
            </w:r>
          </w:p>
        </w:tc>
        <w:tc>
          <w:tcPr>
            <w:tcW w:w="920" w:type="dxa"/>
            <w:vAlign w:val="bottom"/>
          </w:tcPr>
          <w:p>
            <w:pPr>
              <w:jc w:val="right"/>
              <w:ind w:right="72"/>
              <w:spacing w:after="0" w:line="125" w:lineRule="exact"/>
              <w:rPr>
                <w:sz w:val="20"/>
                <w:szCs w:val="20"/>
                <w:color w:val="auto"/>
              </w:rPr>
            </w:pPr>
            <w:r>
              <w:rPr>
                <w:rFonts w:ascii="Arial" w:cs="Arial" w:eastAsia="Arial" w:hAnsi="Arial"/>
                <w:sz w:val="14"/>
                <w:szCs w:val="14"/>
                <w:color w:val="auto"/>
              </w:rPr>
              <w:t>(4,850)</w:t>
            </w:r>
          </w:p>
        </w:tc>
        <w:tc>
          <w:tcPr>
            <w:tcW w:w="220" w:type="dxa"/>
            <w:vAlign w:val="bottom"/>
          </w:tcPr>
          <w:p>
            <w:pPr>
              <w:ind w:left="140"/>
              <w:spacing w:after="0" w:line="125" w:lineRule="exact"/>
              <w:rPr>
                <w:sz w:val="20"/>
                <w:szCs w:val="20"/>
                <w:color w:val="auto"/>
              </w:rPr>
            </w:pPr>
            <w:r>
              <w:rPr>
                <w:rFonts w:ascii="Arial" w:cs="Arial" w:eastAsia="Arial" w:hAnsi="Arial"/>
                <w:sz w:val="14"/>
                <w:szCs w:val="14"/>
                <w:b w:val="1"/>
                <w:bCs w:val="1"/>
                <w:color w:val="auto"/>
                <w:w w:val="76"/>
              </w:rPr>
              <w:t>$</w:t>
            </w:r>
          </w:p>
        </w:tc>
        <w:tc>
          <w:tcPr>
            <w:tcW w:w="840" w:type="dxa"/>
            <w:vAlign w:val="bottom"/>
          </w:tcPr>
          <w:p>
            <w:pPr>
              <w:jc w:val="right"/>
              <w:spacing w:after="0" w:line="125" w:lineRule="exact"/>
              <w:rPr>
                <w:sz w:val="20"/>
                <w:szCs w:val="20"/>
                <w:color w:val="auto"/>
              </w:rPr>
            </w:pPr>
            <w:r>
              <w:rPr>
                <w:rFonts w:ascii="Arial" w:cs="Arial" w:eastAsia="Arial" w:hAnsi="Arial"/>
                <w:sz w:val="14"/>
                <w:szCs w:val="14"/>
                <w:b w:val="1"/>
                <w:bCs w:val="1"/>
                <w:color w:val="auto"/>
              </w:rPr>
              <w:t>828</w:t>
            </w:r>
          </w:p>
        </w:tc>
        <w:tc>
          <w:tcPr>
            <w:tcW w:w="0" w:type="dxa"/>
            <w:vAlign w:val="bottom"/>
          </w:tcPr>
          <w:p>
            <w:pPr>
              <w:spacing w:after="0"/>
              <w:rPr>
                <w:sz w:val="1"/>
                <w:szCs w:val="1"/>
                <w:color w:val="auto"/>
              </w:rPr>
            </w:pPr>
          </w:p>
        </w:tc>
      </w:tr>
      <w:tr>
        <w:trPr>
          <w:trHeight w:val="165"/>
        </w:trPr>
        <w:tc>
          <w:tcPr>
            <w:tcW w:w="3920" w:type="dxa"/>
            <w:vAlign w:val="bottom"/>
            <w:gridSpan w:val="2"/>
          </w:tcPr>
          <w:p>
            <w:pPr>
              <w:spacing w:after="0"/>
              <w:rPr>
                <w:sz w:val="20"/>
                <w:szCs w:val="20"/>
                <w:color w:val="auto"/>
              </w:rPr>
            </w:pPr>
            <w:r>
              <w:rPr>
                <w:rFonts w:ascii="Arial" w:cs="Arial" w:eastAsia="Arial" w:hAnsi="Arial"/>
                <w:sz w:val="14"/>
                <w:szCs w:val="14"/>
                <w:color w:val="auto"/>
              </w:rPr>
              <w:t>Income from discontinued operations, net of tax</w:t>
            </w:r>
          </w:p>
        </w:tc>
        <w:tc>
          <w:tcPr>
            <w:tcW w:w="320" w:type="dxa"/>
            <w:vAlign w:val="bottom"/>
          </w:tcPr>
          <w:p>
            <w:pPr>
              <w:spacing w:after="0"/>
              <w:rPr>
                <w:sz w:val="14"/>
                <w:szCs w:val="14"/>
                <w:color w:val="auto"/>
              </w:rPr>
            </w:pPr>
          </w:p>
        </w:tc>
        <w:tc>
          <w:tcPr>
            <w:tcW w:w="620" w:type="dxa"/>
            <w:vAlign w:val="bottom"/>
          </w:tcPr>
          <w:p>
            <w:pPr>
              <w:jc w:val="right"/>
              <w:ind w:right="132"/>
              <w:spacing w:after="0"/>
              <w:rPr>
                <w:sz w:val="20"/>
                <w:szCs w:val="20"/>
                <w:color w:val="auto"/>
              </w:rPr>
            </w:pPr>
            <w:r>
              <w:rPr>
                <w:rFonts w:ascii="Arial" w:cs="Arial" w:eastAsia="Arial" w:hAnsi="Arial"/>
                <w:sz w:val="14"/>
                <w:szCs w:val="14"/>
                <w:color w:val="auto"/>
              </w:rPr>
              <w:t>—</w:t>
            </w:r>
          </w:p>
        </w:tc>
        <w:tc>
          <w:tcPr>
            <w:tcW w:w="220" w:type="dxa"/>
            <w:vAlign w:val="bottom"/>
          </w:tcPr>
          <w:p>
            <w:pPr>
              <w:spacing w:after="0"/>
              <w:rPr>
                <w:sz w:val="14"/>
                <w:szCs w:val="14"/>
                <w:color w:val="auto"/>
              </w:rPr>
            </w:pPr>
          </w:p>
        </w:tc>
        <w:tc>
          <w:tcPr>
            <w:tcW w:w="500" w:type="dxa"/>
            <w:vAlign w:val="bottom"/>
          </w:tcPr>
          <w:p>
            <w:pPr>
              <w:jc w:val="right"/>
              <w:ind w:right="92"/>
              <w:spacing w:after="0"/>
              <w:rPr>
                <w:sz w:val="20"/>
                <w:szCs w:val="20"/>
                <w:color w:val="auto"/>
              </w:rPr>
            </w:pPr>
            <w:r>
              <w:rPr>
                <w:rFonts w:ascii="Arial" w:cs="Arial" w:eastAsia="Arial" w:hAnsi="Arial"/>
                <w:sz w:val="14"/>
                <w:szCs w:val="14"/>
                <w:color w:val="auto"/>
              </w:rPr>
              <w:t>—</w:t>
            </w:r>
          </w:p>
        </w:tc>
        <w:tc>
          <w:tcPr>
            <w:tcW w:w="280" w:type="dxa"/>
            <w:vAlign w:val="bottom"/>
          </w:tcPr>
          <w:p>
            <w:pPr>
              <w:spacing w:after="0"/>
              <w:rPr>
                <w:sz w:val="14"/>
                <w:szCs w:val="14"/>
                <w:color w:val="auto"/>
              </w:rPr>
            </w:pPr>
          </w:p>
        </w:tc>
        <w:tc>
          <w:tcPr>
            <w:tcW w:w="480" w:type="dxa"/>
            <w:vAlign w:val="bottom"/>
          </w:tcPr>
          <w:p>
            <w:pPr>
              <w:jc w:val="right"/>
              <w:ind w:right="112"/>
              <w:spacing w:after="0"/>
              <w:rPr>
                <w:sz w:val="20"/>
                <w:szCs w:val="20"/>
                <w:color w:val="auto"/>
              </w:rPr>
            </w:pPr>
            <w:r>
              <w:rPr>
                <w:rFonts w:ascii="Arial" w:cs="Arial" w:eastAsia="Arial" w:hAnsi="Arial"/>
                <w:sz w:val="14"/>
                <w:szCs w:val="14"/>
                <w:color w:val="auto"/>
              </w:rPr>
              <w:t>—</w:t>
            </w:r>
          </w:p>
        </w:tc>
        <w:tc>
          <w:tcPr>
            <w:tcW w:w="240" w:type="dxa"/>
            <w:vAlign w:val="bottom"/>
          </w:tcPr>
          <w:p>
            <w:pPr>
              <w:spacing w:after="0"/>
              <w:rPr>
                <w:sz w:val="14"/>
                <w:szCs w:val="14"/>
                <w:color w:val="auto"/>
              </w:rPr>
            </w:pPr>
          </w:p>
        </w:tc>
        <w:tc>
          <w:tcPr>
            <w:tcW w:w="700" w:type="dxa"/>
            <w:vAlign w:val="bottom"/>
          </w:tcPr>
          <w:p>
            <w:pPr>
              <w:jc w:val="right"/>
              <w:ind w:right="112"/>
              <w:spacing w:after="0"/>
              <w:rPr>
                <w:sz w:val="20"/>
                <w:szCs w:val="20"/>
                <w:color w:val="auto"/>
              </w:rPr>
            </w:pPr>
            <w:r>
              <w:rPr>
                <w:rFonts w:ascii="Arial" w:cs="Arial" w:eastAsia="Arial" w:hAnsi="Arial"/>
                <w:sz w:val="14"/>
                <w:szCs w:val="14"/>
                <w:color w:val="auto"/>
              </w:rPr>
              <w:t>—</w:t>
            </w:r>
          </w:p>
        </w:tc>
        <w:tc>
          <w:tcPr>
            <w:tcW w:w="320" w:type="dxa"/>
            <w:vAlign w:val="bottom"/>
          </w:tcPr>
          <w:p>
            <w:pPr>
              <w:spacing w:after="0"/>
              <w:rPr>
                <w:sz w:val="14"/>
                <w:szCs w:val="14"/>
                <w:color w:val="auto"/>
              </w:rPr>
            </w:pPr>
          </w:p>
        </w:tc>
        <w:tc>
          <w:tcPr>
            <w:tcW w:w="540" w:type="dxa"/>
            <w:vAlign w:val="bottom"/>
          </w:tcPr>
          <w:p>
            <w:pPr>
              <w:jc w:val="right"/>
              <w:ind w:right="112"/>
              <w:spacing w:after="0"/>
              <w:rPr>
                <w:sz w:val="20"/>
                <w:szCs w:val="20"/>
                <w:color w:val="auto"/>
              </w:rPr>
            </w:pPr>
            <w:r>
              <w:rPr>
                <w:rFonts w:ascii="Arial" w:cs="Arial" w:eastAsia="Arial" w:hAnsi="Arial"/>
                <w:sz w:val="14"/>
                <w:szCs w:val="14"/>
                <w:color w:val="auto"/>
              </w:rPr>
              <w:t>—</w:t>
            </w:r>
          </w:p>
        </w:tc>
        <w:tc>
          <w:tcPr>
            <w:tcW w:w="260" w:type="dxa"/>
            <w:vAlign w:val="bottom"/>
          </w:tcPr>
          <w:p>
            <w:pPr>
              <w:spacing w:after="0"/>
              <w:rPr>
                <w:sz w:val="14"/>
                <w:szCs w:val="14"/>
                <w:color w:val="auto"/>
              </w:rPr>
            </w:pPr>
          </w:p>
        </w:tc>
        <w:tc>
          <w:tcPr>
            <w:tcW w:w="820" w:type="dxa"/>
            <w:vAlign w:val="bottom"/>
          </w:tcPr>
          <w:p>
            <w:pPr>
              <w:jc w:val="right"/>
              <w:ind w:right="132"/>
              <w:spacing w:after="0"/>
              <w:rPr>
                <w:sz w:val="20"/>
                <w:szCs w:val="20"/>
                <w:color w:val="auto"/>
              </w:rPr>
            </w:pPr>
            <w:r>
              <w:rPr>
                <w:rFonts w:ascii="Arial" w:cs="Arial" w:eastAsia="Arial" w:hAnsi="Arial"/>
                <w:sz w:val="14"/>
                <w:szCs w:val="14"/>
                <w:color w:val="auto"/>
              </w:rPr>
              <w:t>100</w:t>
            </w:r>
          </w:p>
        </w:tc>
        <w:tc>
          <w:tcPr>
            <w:tcW w:w="220" w:type="dxa"/>
            <w:vAlign w:val="bottom"/>
          </w:tcPr>
          <w:p>
            <w:pPr>
              <w:spacing w:after="0"/>
              <w:rPr>
                <w:sz w:val="14"/>
                <w:szCs w:val="14"/>
                <w:color w:val="auto"/>
              </w:rPr>
            </w:pPr>
          </w:p>
        </w:tc>
        <w:tc>
          <w:tcPr>
            <w:tcW w:w="920" w:type="dxa"/>
            <w:vAlign w:val="bottom"/>
          </w:tcPr>
          <w:p>
            <w:pPr>
              <w:jc w:val="right"/>
              <w:ind w:right="112"/>
              <w:spacing w:after="0"/>
              <w:rPr>
                <w:sz w:val="20"/>
                <w:szCs w:val="20"/>
                <w:color w:val="auto"/>
              </w:rPr>
            </w:pPr>
            <w:r>
              <w:rPr>
                <w:rFonts w:ascii="Arial" w:cs="Arial" w:eastAsia="Arial" w:hAnsi="Arial"/>
                <w:sz w:val="14"/>
                <w:szCs w:val="14"/>
                <w:color w:val="auto"/>
              </w:rPr>
              <w:t>—</w:t>
            </w:r>
          </w:p>
        </w:tc>
        <w:tc>
          <w:tcPr>
            <w:tcW w:w="220" w:type="dxa"/>
            <w:vAlign w:val="bottom"/>
          </w:tcPr>
          <w:p>
            <w:pPr>
              <w:spacing w:after="0"/>
              <w:rPr>
                <w:sz w:val="14"/>
                <w:szCs w:val="14"/>
                <w:color w:val="auto"/>
              </w:rPr>
            </w:pPr>
          </w:p>
        </w:tc>
        <w:tc>
          <w:tcPr>
            <w:tcW w:w="840" w:type="dxa"/>
            <w:vAlign w:val="bottom"/>
          </w:tcPr>
          <w:p>
            <w:pPr>
              <w:jc w:val="right"/>
              <w:spacing w:after="0"/>
              <w:rPr>
                <w:sz w:val="20"/>
                <w:szCs w:val="20"/>
                <w:color w:val="auto"/>
              </w:rPr>
            </w:pPr>
            <w:r>
              <w:rPr>
                <w:rFonts w:ascii="Arial" w:cs="Arial" w:eastAsia="Arial" w:hAnsi="Arial"/>
                <w:sz w:val="14"/>
                <w:szCs w:val="14"/>
                <w:b w:val="1"/>
                <w:bCs w:val="1"/>
                <w:color w:val="auto"/>
              </w:rPr>
              <w:t>100</w:t>
            </w: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3900" w:type="dxa"/>
            <w:vAlign w:val="bottom"/>
            <w:tcBorders>
              <w:top w:val="single" w:sz="8" w:color="auto"/>
              <w:bottom w:val="single" w:sz="8" w:color="35BF85"/>
            </w:tcBorders>
          </w:tcPr>
          <w:p>
            <w:pPr>
              <w:ind w:left="200"/>
              <w:spacing w:after="0" w:line="142" w:lineRule="exact"/>
              <w:rPr>
                <w:sz w:val="20"/>
                <w:szCs w:val="20"/>
                <w:color w:val="auto"/>
              </w:rPr>
            </w:pPr>
            <w:r>
              <w:rPr>
                <w:rFonts w:ascii="Arial" w:cs="Arial" w:eastAsia="Arial" w:hAnsi="Arial"/>
                <w:sz w:val="14"/>
                <w:szCs w:val="14"/>
                <w:b w:val="1"/>
                <w:bCs w:val="1"/>
                <w:color w:val="auto"/>
              </w:rPr>
              <w:t>Net Income</w:t>
            </w:r>
          </w:p>
        </w:tc>
        <w:tc>
          <w:tcPr>
            <w:tcW w:w="320" w:type="dxa"/>
            <w:vAlign w:val="bottom"/>
            <w:tcBorders>
              <w:top w:val="single" w:sz="8" w:color="auto"/>
              <w:bottom w:val="single" w:sz="8" w:color="35BF85"/>
            </w:tcBorders>
          </w:tcPr>
          <w:p>
            <w:pPr>
              <w:ind w:left="200"/>
              <w:spacing w:after="0" w:line="142" w:lineRule="exact"/>
              <w:rPr>
                <w:sz w:val="20"/>
                <w:szCs w:val="20"/>
                <w:color w:val="auto"/>
              </w:rPr>
            </w:pPr>
            <w:r>
              <w:rPr>
                <w:rFonts w:ascii="Arial" w:cs="Arial" w:eastAsia="Arial" w:hAnsi="Arial"/>
                <w:sz w:val="14"/>
                <w:szCs w:val="14"/>
                <w:color w:val="auto"/>
              </w:rPr>
              <w:t>$</w:t>
            </w:r>
          </w:p>
        </w:tc>
        <w:tc>
          <w:tcPr>
            <w:tcW w:w="620" w:type="dxa"/>
            <w:vAlign w:val="bottom"/>
            <w:tcBorders>
              <w:top w:val="single" w:sz="8" w:color="auto"/>
              <w:bottom w:val="single" w:sz="8" w:color="35BF85"/>
            </w:tcBorders>
          </w:tcPr>
          <w:p>
            <w:pPr>
              <w:jc w:val="right"/>
              <w:ind w:right="132"/>
              <w:spacing w:after="0" w:line="142" w:lineRule="exact"/>
              <w:rPr>
                <w:sz w:val="20"/>
                <w:szCs w:val="20"/>
                <w:color w:val="auto"/>
              </w:rPr>
            </w:pPr>
            <w:r>
              <w:rPr>
                <w:rFonts w:ascii="Arial" w:cs="Arial" w:eastAsia="Arial" w:hAnsi="Arial"/>
                <w:sz w:val="14"/>
                <w:szCs w:val="14"/>
                <w:color w:val="auto"/>
              </w:rPr>
              <w:t>928</w:t>
            </w:r>
          </w:p>
        </w:tc>
        <w:tc>
          <w:tcPr>
            <w:tcW w:w="220" w:type="dxa"/>
            <w:vAlign w:val="bottom"/>
            <w:tcBorders>
              <w:top w:val="single" w:sz="8" w:color="auto"/>
              <w:bottom w:val="single" w:sz="8" w:color="35BF85"/>
            </w:tcBorders>
          </w:tcPr>
          <w:p>
            <w:pPr>
              <w:jc w:val="right"/>
              <w:spacing w:after="0" w:line="142" w:lineRule="exact"/>
              <w:rPr>
                <w:sz w:val="20"/>
                <w:szCs w:val="20"/>
                <w:color w:val="auto"/>
              </w:rPr>
            </w:pPr>
            <w:r>
              <w:rPr>
                <w:rFonts w:ascii="Arial" w:cs="Arial" w:eastAsia="Arial" w:hAnsi="Arial"/>
                <w:sz w:val="14"/>
                <w:szCs w:val="14"/>
                <w:color w:val="auto"/>
              </w:rPr>
              <w:t>$</w:t>
            </w:r>
          </w:p>
        </w:tc>
        <w:tc>
          <w:tcPr>
            <w:tcW w:w="500" w:type="dxa"/>
            <w:vAlign w:val="bottom"/>
            <w:tcBorders>
              <w:top w:val="single" w:sz="8" w:color="auto"/>
              <w:bottom w:val="single" w:sz="8" w:color="35BF85"/>
            </w:tcBorders>
          </w:tcPr>
          <w:p>
            <w:pPr>
              <w:jc w:val="right"/>
              <w:ind w:right="92"/>
              <w:spacing w:after="0" w:line="142" w:lineRule="exact"/>
              <w:rPr>
                <w:sz w:val="20"/>
                <w:szCs w:val="20"/>
                <w:color w:val="auto"/>
              </w:rPr>
            </w:pPr>
            <w:r>
              <w:rPr>
                <w:rFonts w:ascii="Arial" w:cs="Arial" w:eastAsia="Arial" w:hAnsi="Arial"/>
                <w:sz w:val="14"/>
                <w:szCs w:val="14"/>
                <w:color w:val="auto"/>
                <w:w w:val="91"/>
              </w:rPr>
              <w:t>1,062</w:t>
            </w:r>
          </w:p>
        </w:tc>
        <w:tc>
          <w:tcPr>
            <w:tcW w:w="280" w:type="dxa"/>
            <w:vAlign w:val="bottom"/>
            <w:tcBorders>
              <w:top w:val="single" w:sz="8" w:color="auto"/>
              <w:bottom w:val="single" w:sz="8" w:color="35BF85"/>
            </w:tcBorders>
          </w:tcPr>
          <w:p>
            <w:pPr>
              <w:ind w:left="160"/>
              <w:spacing w:after="0" w:line="142" w:lineRule="exact"/>
              <w:rPr>
                <w:sz w:val="20"/>
                <w:szCs w:val="20"/>
                <w:color w:val="auto"/>
              </w:rPr>
            </w:pPr>
            <w:r>
              <w:rPr>
                <w:rFonts w:ascii="Arial" w:cs="Arial" w:eastAsia="Arial" w:hAnsi="Arial"/>
                <w:sz w:val="14"/>
                <w:szCs w:val="14"/>
                <w:color w:val="auto"/>
              </w:rPr>
              <w:t>$</w:t>
            </w:r>
          </w:p>
        </w:tc>
        <w:tc>
          <w:tcPr>
            <w:tcW w:w="480" w:type="dxa"/>
            <w:vAlign w:val="bottom"/>
            <w:tcBorders>
              <w:top w:val="single" w:sz="8" w:color="auto"/>
              <w:bottom w:val="single" w:sz="8" w:color="35BF85"/>
            </w:tcBorders>
          </w:tcPr>
          <w:p>
            <w:pPr>
              <w:jc w:val="right"/>
              <w:ind w:right="112"/>
              <w:spacing w:after="0" w:line="142" w:lineRule="exact"/>
              <w:rPr>
                <w:sz w:val="20"/>
                <w:szCs w:val="20"/>
                <w:color w:val="auto"/>
              </w:rPr>
            </w:pPr>
            <w:r>
              <w:rPr>
                <w:rFonts w:ascii="Arial" w:cs="Arial" w:eastAsia="Arial" w:hAnsi="Arial"/>
                <w:sz w:val="14"/>
                <w:szCs w:val="14"/>
                <w:color w:val="auto"/>
              </w:rPr>
              <w:t>391</w:t>
            </w:r>
          </w:p>
        </w:tc>
        <w:tc>
          <w:tcPr>
            <w:tcW w:w="240" w:type="dxa"/>
            <w:vAlign w:val="bottom"/>
            <w:tcBorders>
              <w:top w:val="single" w:sz="8" w:color="auto"/>
              <w:bottom w:val="single" w:sz="8" w:color="35BF85"/>
            </w:tcBorders>
          </w:tcPr>
          <w:p>
            <w:pPr>
              <w:ind w:left="140"/>
              <w:spacing w:after="0" w:line="142" w:lineRule="exact"/>
              <w:rPr>
                <w:sz w:val="20"/>
                <w:szCs w:val="20"/>
                <w:color w:val="auto"/>
              </w:rPr>
            </w:pPr>
            <w:r>
              <w:rPr>
                <w:rFonts w:ascii="Arial" w:cs="Arial" w:eastAsia="Arial" w:hAnsi="Arial"/>
                <w:sz w:val="14"/>
                <w:szCs w:val="14"/>
                <w:color w:val="auto"/>
              </w:rPr>
              <w:t>$</w:t>
            </w:r>
          </w:p>
        </w:tc>
        <w:tc>
          <w:tcPr>
            <w:tcW w:w="700" w:type="dxa"/>
            <w:vAlign w:val="bottom"/>
            <w:tcBorders>
              <w:top w:val="single" w:sz="8" w:color="auto"/>
              <w:bottom w:val="single" w:sz="8" w:color="35BF85"/>
            </w:tcBorders>
          </w:tcPr>
          <w:p>
            <w:pPr>
              <w:jc w:val="right"/>
              <w:ind w:right="112"/>
              <w:spacing w:after="0" w:line="142" w:lineRule="exact"/>
              <w:rPr>
                <w:sz w:val="20"/>
                <w:szCs w:val="20"/>
                <w:color w:val="auto"/>
              </w:rPr>
            </w:pPr>
            <w:r>
              <w:rPr>
                <w:rFonts w:ascii="Arial" w:cs="Arial" w:eastAsia="Arial" w:hAnsi="Arial"/>
                <w:sz w:val="14"/>
                <w:szCs w:val="14"/>
                <w:color w:val="auto"/>
              </w:rPr>
              <w:t>605</w:t>
            </w:r>
          </w:p>
        </w:tc>
        <w:tc>
          <w:tcPr>
            <w:tcW w:w="320" w:type="dxa"/>
            <w:vAlign w:val="bottom"/>
            <w:tcBorders>
              <w:top w:val="single" w:sz="8" w:color="auto"/>
              <w:bottom w:val="single" w:sz="8" w:color="35BF85"/>
            </w:tcBorders>
          </w:tcPr>
          <w:p>
            <w:pPr>
              <w:ind w:left="140"/>
              <w:spacing w:after="0" w:line="142" w:lineRule="exact"/>
              <w:rPr>
                <w:sz w:val="20"/>
                <w:szCs w:val="20"/>
                <w:color w:val="auto"/>
              </w:rPr>
            </w:pPr>
            <w:r>
              <w:rPr>
                <w:rFonts w:ascii="Arial" w:cs="Arial" w:eastAsia="Arial" w:hAnsi="Arial"/>
                <w:sz w:val="14"/>
                <w:szCs w:val="14"/>
                <w:color w:val="auto"/>
              </w:rPr>
              <w:t>$</w:t>
            </w:r>
          </w:p>
        </w:tc>
        <w:tc>
          <w:tcPr>
            <w:tcW w:w="540" w:type="dxa"/>
            <w:vAlign w:val="bottom"/>
            <w:tcBorders>
              <w:top w:val="single" w:sz="8" w:color="auto"/>
              <w:bottom w:val="single" w:sz="8" w:color="35BF85"/>
            </w:tcBorders>
          </w:tcPr>
          <w:p>
            <w:pPr>
              <w:jc w:val="right"/>
              <w:ind w:right="112"/>
              <w:spacing w:after="0" w:line="142" w:lineRule="exact"/>
              <w:rPr>
                <w:sz w:val="20"/>
                <w:szCs w:val="20"/>
                <w:color w:val="auto"/>
              </w:rPr>
            </w:pPr>
            <w:r>
              <w:rPr>
                <w:rFonts w:ascii="Arial" w:cs="Arial" w:eastAsia="Arial" w:hAnsi="Arial"/>
                <w:sz w:val="14"/>
                <w:szCs w:val="14"/>
                <w:color w:val="auto"/>
              </w:rPr>
              <w:t>888</w:t>
            </w:r>
          </w:p>
        </w:tc>
        <w:tc>
          <w:tcPr>
            <w:tcW w:w="260" w:type="dxa"/>
            <w:vAlign w:val="bottom"/>
            <w:tcBorders>
              <w:top w:val="single" w:sz="8" w:color="auto"/>
              <w:bottom w:val="single" w:sz="8" w:color="35BF85"/>
            </w:tcBorders>
          </w:tcPr>
          <w:p>
            <w:pPr>
              <w:ind w:left="140"/>
              <w:spacing w:after="0" w:line="142" w:lineRule="exact"/>
              <w:rPr>
                <w:sz w:val="20"/>
                <w:szCs w:val="20"/>
                <w:color w:val="auto"/>
              </w:rPr>
            </w:pPr>
            <w:r>
              <w:rPr>
                <w:rFonts w:ascii="Arial" w:cs="Arial" w:eastAsia="Arial" w:hAnsi="Arial"/>
                <w:sz w:val="14"/>
                <w:szCs w:val="14"/>
                <w:color w:val="auto"/>
              </w:rPr>
              <w:t>$</w:t>
            </w:r>
          </w:p>
        </w:tc>
        <w:tc>
          <w:tcPr>
            <w:tcW w:w="820" w:type="dxa"/>
            <w:vAlign w:val="bottom"/>
            <w:tcBorders>
              <w:top w:val="single" w:sz="8" w:color="auto"/>
              <w:bottom w:val="single" w:sz="8" w:color="35BF85"/>
            </w:tcBorders>
          </w:tcPr>
          <w:p>
            <w:pPr>
              <w:jc w:val="right"/>
              <w:ind w:right="132"/>
              <w:spacing w:after="0" w:line="142" w:lineRule="exact"/>
              <w:rPr>
                <w:sz w:val="20"/>
                <w:szCs w:val="20"/>
                <w:color w:val="auto"/>
              </w:rPr>
            </w:pPr>
            <w:r>
              <w:rPr>
                <w:rFonts w:ascii="Arial" w:cs="Arial" w:eastAsia="Arial" w:hAnsi="Arial"/>
                <w:sz w:val="14"/>
                <w:szCs w:val="14"/>
                <w:color w:val="auto"/>
              </w:rPr>
              <w:t>1,904</w:t>
            </w:r>
          </w:p>
        </w:tc>
        <w:tc>
          <w:tcPr>
            <w:tcW w:w="220" w:type="dxa"/>
            <w:vAlign w:val="bottom"/>
            <w:tcBorders>
              <w:top w:val="single" w:sz="8" w:color="auto"/>
              <w:bottom w:val="single" w:sz="8" w:color="35BF85"/>
            </w:tcBorders>
          </w:tcPr>
          <w:p>
            <w:pPr>
              <w:ind w:left="140"/>
              <w:spacing w:after="0" w:line="142" w:lineRule="exact"/>
              <w:rPr>
                <w:sz w:val="20"/>
                <w:szCs w:val="20"/>
                <w:color w:val="auto"/>
              </w:rPr>
            </w:pPr>
            <w:r>
              <w:rPr>
                <w:rFonts w:ascii="Arial" w:cs="Arial" w:eastAsia="Arial" w:hAnsi="Arial"/>
                <w:sz w:val="14"/>
                <w:szCs w:val="14"/>
                <w:color w:val="auto"/>
                <w:w w:val="76"/>
              </w:rPr>
              <w:t>$</w:t>
            </w:r>
          </w:p>
        </w:tc>
        <w:tc>
          <w:tcPr>
            <w:tcW w:w="920" w:type="dxa"/>
            <w:vAlign w:val="bottom"/>
            <w:tcBorders>
              <w:top w:val="single" w:sz="8" w:color="auto"/>
              <w:bottom w:val="single" w:sz="8" w:color="35BF85"/>
            </w:tcBorders>
          </w:tcPr>
          <w:p>
            <w:pPr>
              <w:jc w:val="right"/>
              <w:ind w:right="72"/>
              <w:spacing w:after="0" w:line="142" w:lineRule="exact"/>
              <w:rPr>
                <w:sz w:val="20"/>
                <w:szCs w:val="20"/>
                <w:color w:val="auto"/>
              </w:rPr>
            </w:pPr>
            <w:r>
              <w:rPr>
                <w:rFonts w:ascii="Arial" w:cs="Arial" w:eastAsia="Arial" w:hAnsi="Arial"/>
                <w:sz w:val="14"/>
                <w:szCs w:val="14"/>
                <w:color w:val="auto"/>
              </w:rPr>
              <w:t>(4,850)</w:t>
            </w:r>
          </w:p>
        </w:tc>
        <w:tc>
          <w:tcPr>
            <w:tcW w:w="220" w:type="dxa"/>
            <w:vAlign w:val="bottom"/>
            <w:tcBorders>
              <w:top w:val="single" w:sz="8" w:color="auto"/>
              <w:bottom w:val="single" w:sz="8" w:color="35BF85"/>
            </w:tcBorders>
          </w:tcPr>
          <w:p>
            <w:pPr>
              <w:ind w:left="140"/>
              <w:spacing w:after="0" w:line="142" w:lineRule="exact"/>
              <w:rPr>
                <w:sz w:val="20"/>
                <w:szCs w:val="20"/>
                <w:color w:val="auto"/>
              </w:rPr>
            </w:pPr>
            <w:r>
              <w:rPr>
                <w:rFonts w:ascii="Arial" w:cs="Arial" w:eastAsia="Arial" w:hAnsi="Arial"/>
                <w:sz w:val="14"/>
                <w:szCs w:val="14"/>
                <w:b w:val="1"/>
                <w:bCs w:val="1"/>
                <w:color w:val="auto"/>
                <w:w w:val="76"/>
              </w:rPr>
              <w:t>$</w:t>
            </w:r>
          </w:p>
        </w:tc>
        <w:tc>
          <w:tcPr>
            <w:tcW w:w="840" w:type="dxa"/>
            <w:vAlign w:val="bottom"/>
            <w:tcBorders>
              <w:top w:val="single" w:sz="8" w:color="auto"/>
              <w:bottom w:val="single" w:sz="8" w:color="35BF85"/>
            </w:tcBorders>
          </w:tcPr>
          <w:p>
            <w:pPr>
              <w:jc w:val="right"/>
              <w:spacing w:after="0" w:line="142" w:lineRule="exact"/>
              <w:rPr>
                <w:sz w:val="20"/>
                <w:szCs w:val="20"/>
                <w:color w:val="auto"/>
              </w:rPr>
            </w:pPr>
            <w:r>
              <w:rPr>
                <w:rFonts w:ascii="Arial" w:cs="Arial" w:eastAsia="Arial" w:hAnsi="Arial"/>
                <w:sz w:val="14"/>
                <w:szCs w:val="14"/>
                <w:b w:val="1"/>
                <w:bCs w:val="1"/>
                <w:color w:val="auto"/>
              </w:rPr>
              <w:t>928</w:t>
            </w:r>
          </w:p>
        </w:tc>
        <w:tc>
          <w:tcPr>
            <w:tcW w:w="0" w:type="dxa"/>
            <w:vAlign w:val="bottom"/>
          </w:tcPr>
          <w:p>
            <w:pPr>
              <w:spacing w:after="0"/>
              <w:rPr>
                <w:sz w:val="1"/>
                <w:szCs w:val="1"/>
                <w:color w:val="auto"/>
              </w:rPr>
            </w:pPr>
          </w:p>
        </w:tc>
      </w:tr>
      <w:tr>
        <w:trPr>
          <w:trHeight w:val="304"/>
        </w:trPr>
        <w:tc>
          <w:tcPr>
            <w:tcW w:w="20" w:type="dxa"/>
            <w:vAlign w:val="bottom"/>
          </w:tcPr>
          <w:p>
            <w:pPr>
              <w:spacing w:after="0"/>
              <w:rPr>
                <w:sz w:val="24"/>
                <w:szCs w:val="24"/>
                <w:color w:val="auto"/>
              </w:rPr>
            </w:pPr>
          </w:p>
        </w:tc>
        <w:tc>
          <w:tcPr>
            <w:tcW w:w="390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280" w:type="dxa"/>
            <w:vAlign w:val="bottom"/>
          </w:tcPr>
          <w:p>
            <w:pPr>
              <w:ind w:left="100"/>
              <w:spacing w:after="0"/>
              <w:rPr>
                <w:sz w:val="20"/>
                <w:szCs w:val="20"/>
                <w:color w:val="auto"/>
              </w:rPr>
            </w:pPr>
            <w:r>
              <w:rPr>
                <w:rFonts w:ascii="Arial" w:cs="Arial" w:eastAsia="Arial" w:hAnsi="Arial"/>
                <w:sz w:val="14"/>
                <w:szCs w:val="14"/>
                <w:b w:val="1"/>
                <w:bCs w:val="1"/>
                <w:color w:val="auto"/>
              </w:rPr>
              <w:t>71</w:t>
            </w:r>
          </w:p>
        </w:tc>
        <w:tc>
          <w:tcPr>
            <w:tcW w:w="48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4840" w:type="dxa"/>
            <w:vAlign w:val="bottom"/>
            <w:gridSpan w:val="9"/>
          </w:tcPr>
          <w:p>
            <w:pPr>
              <w:jc w:val="right"/>
              <w:spacing w:after="0"/>
              <w:rPr>
                <w:sz w:val="20"/>
                <w:szCs w:val="20"/>
                <w:color w:val="auto"/>
              </w:rPr>
            </w:pPr>
            <w:r>
              <w:rPr>
                <w:rFonts w:ascii="Arial" w:cs="Arial" w:eastAsia="Arial" w:hAnsi="Arial"/>
                <w:sz w:val="14"/>
                <w:szCs w:val="14"/>
                <w:color w:val="auto"/>
              </w:rPr>
              <w:t xml:space="preserve">Comcast 2006 Annual Report </w:t>
            </w:r>
            <w:r>
              <w:rPr>
                <w:rFonts w:ascii="Arial" w:cs="Arial" w:eastAsia="Arial" w:hAnsi="Arial"/>
                <w:sz w:val="14"/>
                <w:szCs w:val="14"/>
                <w:b w:val="1"/>
                <w:bCs w:val="1"/>
                <w:color w:val="auto"/>
              </w:rPr>
              <w:t>Notes to Consolidated Financial Statements</w:t>
            </w:r>
          </w:p>
        </w:tc>
        <w:tc>
          <w:tcPr>
            <w:tcW w:w="0" w:type="dxa"/>
            <w:vAlign w:val="bottom"/>
          </w:tcPr>
          <w:p>
            <w:pPr>
              <w:spacing w:after="0"/>
              <w:rPr>
                <w:sz w:val="1"/>
                <w:szCs w:val="1"/>
                <w:color w:val="auto"/>
              </w:rPr>
            </w:pPr>
          </w:p>
        </w:tc>
      </w:tr>
    </w:tbl>
    <w:p>
      <w:pPr>
        <w:sectPr>
          <w:pgSz w:w="11900" w:h="16838" w:orient="portrait"/>
          <w:cols w:equalWidth="0" w:num="1">
            <w:col w:w="11420"/>
          </w:cols>
          <w:pgMar w:left="240" w:top="459" w:right="239" w:bottom="1440" w:gutter="0" w:footer="0" w:header="0"/>
        </w:sectPr>
      </w:pPr>
    </w:p>
    <w:bookmarkStart w:id="148" w:name="page149"/>
    <w:bookmarkEnd w:id="14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222" name="Picture 2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2"/>
                    <pic:cNvPicPr>
                      <a:picLocks noChangeAspect="1" noChangeArrowheads="1"/>
                    </pic:cNvPicPr>
                  </pic:nvPicPr>
                  <pic:blipFill>
                    <a:blip r:embed="rId229">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200" w:lineRule="exact"/>
        <w:rPr>
          <w:sz w:val="20"/>
          <w:szCs w:val="20"/>
          <w:color w:val="auto"/>
        </w:rPr>
      </w:pPr>
    </w:p>
    <w:p>
      <w:pPr>
        <w:spacing w:after="0" w:line="25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Condensed Consolidating Statement of Operations</w:t>
      </w:r>
    </w:p>
    <w:p>
      <w:pPr>
        <w:spacing w:after="0" w:line="18" w:lineRule="exact"/>
        <w:rPr>
          <w:sz w:val="20"/>
          <w:szCs w:val="20"/>
          <w:color w:val="auto"/>
        </w:rPr>
      </w:pPr>
    </w:p>
    <w:p>
      <w:pPr>
        <w:spacing w:after="0"/>
        <w:rPr>
          <w:sz w:val="20"/>
          <w:szCs w:val="20"/>
          <w:color w:val="auto"/>
        </w:rPr>
      </w:pPr>
      <w:r>
        <w:rPr>
          <w:rFonts w:ascii="Arial" w:cs="Arial" w:eastAsia="Arial" w:hAnsi="Arial"/>
          <w:sz w:val="18"/>
          <w:szCs w:val="18"/>
          <w:color w:val="auto"/>
        </w:rPr>
        <w:t>For the Year Ended December 31, 2004</w:t>
      </w:r>
    </w:p>
    <w:p>
      <w:pPr>
        <w:spacing w:after="0" w:line="182"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324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960" w:type="dxa"/>
            <w:vAlign w:val="bottom"/>
          </w:tcPr>
          <w:p>
            <w:pPr>
              <w:jc w:val="right"/>
              <w:ind w:right="152"/>
              <w:spacing w:after="0"/>
              <w:rPr>
                <w:sz w:val="20"/>
                <w:szCs w:val="20"/>
                <w:color w:val="auto"/>
              </w:rPr>
            </w:pPr>
            <w:r>
              <w:rPr>
                <w:rFonts w:ascii="Arial" w:cs="Arial" w:eastAsia="Arial" w:hAnsi="Arial"/>
                <w:sz w:val="14"/>
                <w:szCs w:val="14"/>
                <w:color w:val="auto"/>
              </w:rPr>
              <w:t>Elimination</w:t>
            </w:r>
          </w:p>
        </w:tc>
        <w:tc>
          <w:tcPr>
            <w:tcW w:w="1100" w:type="dxa"/>
            <w:vAlign w:val="bottom"/>
            <w:gridSpan w:val="2"/>
            <w:vMerge w:val="restart"/>
          </w:tcPr>
          <w:p>
            <w:pPr>
              <w:jc w:val="right"/>
              <w:spacing w:after="0"/>
              <w:rPr>
                <w:sz w:val="20"/>
                <w:szCs w:val="20"/>
                <w:color w:val="auto"/>
              </w:rPr>
            </w:pPr>
            <w:r>
              <w:rPr>
                <w:rFonts w:ascii="Arial" w:cs="Arial" w:eastAsia="Arial" w:hAnsi="Arial"/>
                <w:sz w:val="14"/>
                <w:szCs w:val="14"/>
                <w:b w:val="1"/>
                <w:bCs w:val="1"/>
                <w:color w:val="auto"/>
              </w:rPr>
              <w:t>Consolidated</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324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1020" w:type="dxa"/>
            <w:vAlign w:val="bottom"/>
            <w:gridSpan w:val="2"/>
          </w:tcPr>
          <w:p>
            <w:pPr>
              <w:jc w:val="right"/>
              <w:ind w:right="152"/>
              <w:spacing w:after="0" w:line="133" w:lineRule="exact"/>
              <w:rPr>
                <w:sz w:val="20"/>
                <w:szCs w:val="20"/>
                <w:color w:val="auto"/>
              </w:rPr>
            </w:pPr>
            <w:r>
              <w:rPr>
                <w:rFonts w:ascii="Arial" w:cs="Arial" w:eastAsia="Arial" w:hAnsi="Arial"/>
                <w:sz w:val="14"/>
                <w:szCs w:val="14"/>
                <w:color w:val="auto"/>
              </w:rPr>
              <w:t>Combined</w:t>
            </w:r>
          </w:p>
        </w:tc>
        <w:tc>
          <w:tcPr>
            <w:tcW w:w="36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860" w:type="dxa"/>
            <w:vAlign w:val="bottom"/>
          </w:tcPr>
          <w:p>
            <w:pPr>
              <w:jc w:val="right"/>
              <w:ind w:right="152"/>
              <w:spacing w:after="0" w:line="133" w:lineRule="exact"/>
              <w:rPr>
                <w:sz w:val="20"/>
                <w:szCs w:val="20"/>
                <w:color w:val="auto"/>
              </w:rPr>
            </w:pPr>
            <w:r>
              <w:rPr>
                <w:rFonts w:ascii="Arial" w:cs="Arial" w:eastAsia="Arial" w:hAnsi="Arial"/>
                <w:sz w:val="14"/>
                <w:szCs w:val="14"/>
                <w:color w:val="auto"/>
              </w:rPr>
              <w:t>Non-</w:t>
            </w:r>
          </w:p>
        </w:tc>
        <w:tc>
          <w:tcPr>
            <w:tcW w:w="260" w:type="dxa"/>
            <w:vAlign w:val="bottom"/>
          </w:tcPr>
          <w:p>
            <w:pPr>
              <w:spacing w:after="0"/>
              <w:rPr>
                <w:sz w:val="11"/>
                <w:szCs w:val="11"/>
                <w:color w:val="auto"/>
              </w:rPr>
            </w:pPr>
          </w:p>
        </w:tc>
        <w:tc>
          <w:tcPr>
            <w:tcW w:w="960" w:type="dxa"/>
            <w:vAlign w:val="bottom"/>
          </w:tcPr>
          <w:p>
            <w:pPr>
              <w:jc w:val="right"/>
              <w:ind w:right="152"/>
              <w:spacing w:after="0" w:line="133" w:lineRule="exact"/>
              <w:rPr>
                <w:sz w:val="20"/>
                <w:szCs w:val="20"/>
                <w:color w:val="auto"/>
              </w:rPr>
            </w:pPr>
            <w:r>
              <w:rPr>
                <w:rFonts w:ascii="Arial" w:cs="Arial" w:eastAsia="Arial" w:hAnsi="Arial"/>
                <w:sz w:val="14"/>
                <w:szCs w:val="14"/>
                <w:color w:val="auto"/>
              </w:rPr>
              <w:t>and</w:t>
            </w:r>
          </w:p>
        </w:tc>
        <w:tc>
          <w:tcPr>
            <w:tcW w:w="1100" w:type="dxa"/>
            <w:vAlign w:val="bottom"/>
            <w:gridSpan w:val="2"/>
            <w:vMerge w:val="continue"/>
          </w:tcPr>
          <w:p>
            <w:pPr>
              <w:spacing w:after="0"/>
              <w:rPr>
                <w:sz w:val="11"/>
                <w:szCs w:val="11"/>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240" w:type="dxa"/>
            <w:vAlign w:val="bottom"/>
          </w:tcPr>
          <w:p>
            <w:pPr>
              <w:spacing w:after="0"/>
              <w:rPr>
                <w:sz w:val="12"/>
                <w:szCs w:val="12"/>
                <w:color w:val="auto"/>
              </w:rPr>
            </w:pPr>
          </w:p>
        </w:tc>
        <w:tc>
          <w:tcPr>
            <w:tcW w:w="1140" w:type="dxa"/>
            <w:vAlign w:val="bottom"/>
            <w:gridSpan w:val="2"/>
          </w:tcPr>
          <w:p>
            <w:pPr>
              <w:ind w:left="380"/>
              <w:spacing w:after="0" w:line="149" w:lineRule="exact"/>
              <w:rPr>
                <w:sz w:val="20"/>
                <w:szCs w:val="20"/>
                <w:color w:val="auto"/>
              </w:rPr>
            </w:pPr>
            <w:r>
              <w:rPr>
                <w:rFonts w:ascii="Arial" w:cs="Arial" w:eastAsia="Arial" w:hAnsi="Arial"/>
                <w:sz w:val="14"/>
                <w:szCs w:val="14"/>
                <w:color w:val="auto"/>
              </w:rPr>
              <w:t>Comcast</w:t>
            </w:r>
          </w:p>
        </w:tc>
        <w:tc>
          <w:tcPr>
            <w:tcW w:w="820" w:type="dxa"/>
            <w:vAlign w:val="bottom"/>
            <w:gridSpan w:val="2"/>
          </w:tcPr>
          <w:p>
            <w:pPr>
              <w:jc w:val="right"/>
              <w:ind w:right="152"/>
              <w:spacing w:after="0" w:line="149" w:lineRule="exact"/>
              <w:rPr>
                <w:sz w:val="20"/>
                <w:szCs w:val="20"/>
                <w:color w:val="auto"/>
              </w:rPr>
            </w:pPr>
            <w:r>
              <w:rPr>
                <w:rFonts w:ascii="Arial" w:cs="Arial" w:eastAsia="Arial" w:hAnsi="Arial"/>
                <w:sz w:val="14"/>
                <w:szCs w:val="14"/>
                <w:color w:val="auto"/>
              </w:rPr>
              <w:t>CCCL</w:t>
            </w:r>
          </w:p>
        </w:tc>
        <w:tc>
          <w:tcPr>
            <w:tcW w:w="800" w:type="dxa"/>
            <w:vAlign w:val="bottom"/>
            <w:gridSpan w:val="2"/>
          </w:tcPr>
          <w:p>
            <w:pPr>
              <w:ind w:left="200"/>
              <w:spacing w:after="0" w:line="149" w:lineRule="exact"/>
              <w:rPr>
                <w:sz w:val="20"/>
                <w:szCs w:val="20"/>
                <w:color w:val="auto"/>
              </w:rPr>
            </w:pPr>
            <w:r>
              <w:rPr>
                <w:rFonts w:ascii="Arial" w:cs="Arial" w:eastAsia="Arial" w:hAnsi="Arial"/>
                <w:sz w:val="14"/>
                <w:szCs w:val="14"/>
                <w:color w:val="auto"/>
              </w:rPr>
              <w:t>CCCH</w:t>
            </w:r>
          </w:p>
        </w:tc>
        <w:tc>
          <w:tcPr>
            <w:tcW w:w="260" w:type="dxa"/>
            <w:vAlign w:val="bottom"/>
          </w:tcPr>
          <w:p>
            <w:pPr>
              <w:spacing w:after="0"/>
              <w:rPr>
                <w:sz w:val="12"/>
                <w:szCs w:val="12"/>
                <w:color w:val="auto"/>
              </w:rPr>
            </w:pPr>
          </w:p>
        </w:tc>
        <w:tc>
          <w:tcPr>
            <w:tcW w:w="760" w:type="dxa"/>
            <w:vAlign w:val="bottom"/>
          </w:tcPr>
          <w:p>
            <w:pPr>
              <w:jc w:val="right"/>
              <w:ind w:right="152"/>
              <w:spacing w:after="0" w:line="149" w:lineRule="exact"/>
              <w:rPr>
                <w:sz w:val="20"/>
                <w:szCs w:val="20"/>
                <w:color w:val="auto"/>
              </w:rPr>
            </w:pPr>
            <w:r>
              <w:rPr>
                <w:rFonts w:ascii="Arial" w:cs="Arial" w:eastAsia="Arial" w:hAnsi="Arial"/>
                <w:sz w:val="14"/>
                <w:szCs w:val="14"/>
                <w:color w:val="auto"/>
                <w:w w:val="98"/>
              </w:rPr>
              <w:t>CCHMO</w:t>
            </w:r>
          </w:p>
        </w:tc>
        <w:tc>
          <w:tcPr>
            <w:tcW w:w="920" w:type="dxa"/>
            <w:vAlign w:val="bottom"/>
            <w:gridSpan w:val="2"/>
          </w:tcPr>
          <w:p>
            <w:pPr>
              <w:ind w:left="180"/>
              <w:spacing w:after="0" w:line="149" w:lineRule="exact"/>
              <w:rPr>
                <w:sz w:val="20"/>
                <w:szCs w:val="20"/>
                <w:color w:val="auto"/>
              </w:rPr>
            </w:pPr>
            <w:r>
              <w:rPr>
                <w:rFonts w:ascii="Arial" w:cs="Arial" w:eastAsia="Arial" w:hAnsi="Arial"/>
                <w:sz w:val="14"/>
                <w:szCs w:val="14"/>
                <w:color w:val="auto"/>
              </w:rPr>
              <w:t>Comcast</w:t>
            </w:r>
          </w:p>
        </w:tc>
        <w:tc>
          <w:tcPr>
            <w:tcW w:w="280" w:type="dxa"/>
            <w:vAlign w:val="bottom"/>
          </w:tcPr>
          <w:p>
            <w:pPr>
              <w:spacing w:after="0"/>
              <w:rPr>
                <w:sz w:val="12"/>
                <w:szCs w:val="12"/>
                <w:color w:val="auto"/>
              </w:rPr>
            </w:pPr>
          </w:p>
        </w:tc>
        <w:tc>
          <w:tcPr>
            <w:tcW w:w="860" w:type="dxa"/>
            <w:vAlign w:val="bottom"/>
          </w:tcPr>
          <w:p>
            <w:pPr>
              <w:jc w:val="right"/>
              <w:ind w:right="152"/>
              <w:spacing w:after="0" w:line="149" w:lineRule="exact"/>
              <w:rPr>
                <w:sz w:val="20"/>
                <w:szCs w:val="20"/>
                <w:color w:val="auto"/>
              </w:rPr>
            </w:pPr>
            <w:r>
              <w:rPr>
                <w:rFonts w:ascii="Arial" w:cs="Arial" w:eastAsia="Arial" w:hAnsi="Arial"/>
                <w:sz w:val="14"/>
                <w:szCs w:val="14"/>
                <w:color w:val="auto"/>
                <w:w w:val="98"/>
              </w:rPr>
              <w:t>Guarantor</w:t>
            </w:r>
          </w:p>
        </w:tc>
        <w:tc>
          <w:tcPr>
            <w:tcW w:w="1220" w:type="dxa"/>
            <w:vAlign w:val="bottom"/>
            <w:gridSpan w:val="2"/>
          </w:tcPr>
          <w:p>
            <w:pPr>
              <w:jc w:val="right"/>
              <w:ind w:right="152"/>
              <w:spacing w:after="0" w:line="149" w:lineRule="exact"/>
              <w:rPr>
                <w:sz w:val="20"/>
                <w:szCs w:val="20"/>
                <w:color w:val="auto"/>
              </w:rPr>
            </w:pPr>
            <w:r>
              <w:rPr>
                <w:rFonts w:ascii="Arial" w:cs="Arial" w:eastAsia="Arial" w:hAnsi="Arial"/>
                <w:sz w:val="14"/>
                <w:szCs w:val="14"/>
                <w:color w:val="auto"/>
              </w:rPr>
              <w:t>Consolidation</w:t>
            </w:r>
          </w:p>
        </w:tc>
        <w:tc>
          <w:tcPr>
            <w:tcW w:w="260" w:type="dxa"/>
            <w:vAlign w:val="bottom"/>
          </w:tcPr>
          <w:p>
            <w:pPr>
              <w:spacing w:after="0"/>
              <w:rPr>
                <w:sz w:val="12"/>
                <w:szCs w:val="12"/>
                <w:color w:val="auto"/>
              </w:rPr>
            </w:pPr>
          </w:p>
        </w:tc>
        <w:tc>
          <w:tcPr>
            <w:tcW w:w="840" w:type="dxa"/>
            <w:vAlign w:val="bottom"/>
          </w:tcPr>
          <w:p>
            <w:pPr>
              <w:jc w:val="right"/>
              <w:spacing w:after="0" w:line="149" w:lineRule="exact"/>
              <w:rPr>
                <w:sz w:val="20"/>
                <w:szCs w:val="20"/>
                <w:color w:val="auto"/>
              </w:rPr>
            </w:pPr>
            <w:r>
              <w:rPr>
                <w:rFonts w:ascii="Arial" w:cs="Arial" w:eastAsia="Arial" w:hAnsi="Arial"/>
                <w:sz w:val="14"/>
                <w:szCs w:val="14"/>
                <w:b w:val="1"/>
                <w:bCs w:val="1"/>
                <w:color w:val="auto"/>
              </w:rPr>
              <w:t>Comcast</w:t>
            </w:r>
          </w:p>
        </w:tc>
        <w:tc>
          <w:tcPr>
            <w:tcW w:w="0" w:type="dxa"/>
            <w:vAlign w:val="bottom"/>
          </w:tcPr>
          <w:p>
            <w:pPr>
              <w:spacing w:after="0"/>
              <w:rPr>
                <w:sz w:val="1"/>
                <w:szCs w:val="1"/>
                <w:color w:val="auto"/>
              </w:rPr>
            </w:pPr>
          </w:p>
        </w:tc>
      </w:tr>
      <w:tr>
        <w:trPr>
          <w:trHeight w:val="165"/>
        </w:trPr>
        <w:tc>
          <w:tcPr>
            <w:tcW w:w="3260" w:type="dxa"/>
            <w:vAlign w:val="bottom"/>
            <w:tcBorders>
              <w:bottom w:val="single" w:sz="8" w:color="auto"/>
            </w:tcBorders>
            <w:gridSpan w:val="2"/>
          </w:tcPr>
          <w:p>
            <w:pPr>
              <w:spacing w:after="0"/>
              <w:rPr>
                <w:sz w:val="20"/>
                <w:szCs w:val="20"/>
                <w:color w:val="auto"/>
              </w:rPr>
            </w:pPr>
            <w:r>
              <w:rPr>
                <w:rFonts w:ascii="Arial" w:cs="Arial" w:eastAsia="Arial" w:hAnsi="Arial"/>
                <w:sz w:val="14"/>
                <w:szCs w:val="14"/>
                <w:color w:val="auto"/>
              </w:rPr>
              <w:t>(in millions)</w:t>
            </w:r>
          </w:p>
        </w:tc>
        <w:tc>
          <w:tcPr>
            <w:tcW w:w="480" w:type="dxa"/>
            <w:vAlign w:val="bottom"/>
            <w:tcBorders>
              <w:bottom w:val="single" w:sz="8" w:color="auto"/>
            </w:tcBorders>
          </w:tcPr>
          <w:p>
            <w:pPr>
              <w:spacing w:after="0"/>
              <w:rPr>
                <w:sz w:val="14"/>
                <w:szCs w:val="14"/>
                <w:color w:val="auto"/>
              </w:rPr>
            </w:pPr>
          </w:p>
        </w:tc>
        <w:tc>
          <w:tcPr>
            <w:tcW w:w="660" w:type="dxa"/>
            <w:vAlign w:val="bottom"/>
            <w:tcBorders>
              <w:bottom w:val="single" w:sz="8" w:color="auto"/>
            </w:tcBorders>
          </w:tcPr>
          <w:p>
            <w:pPr>
              <w:jc w:val="right"/>
              <w:ind w:right="152"/>
              <w:spacing w:after="0"/>
              <w:rPr>
                <w:sz w:val="20"/>
                <w:szCs w:val="20"/>
                <w:color w:val="auto"/>
              </w:rPr>
            </w:pPr>
            <w:r>
              <w:rPr>
                <w:rFonts w:ascii="Arial" w:cs="Arial" w:eastAsia="Arial" w:hAnsi="Arial"/>
                <w:sz w:val="14"/>
                <w:szCs w:val="14"/>
                <w:color w:val="auto"/>
              </w:rPr>
              <w:t>Parent</w:t>
            </w:r>
          </w:p>
        </w:tc>
        <w:tc>
          <w:tcPr>
            <w:tcW w:w="820" w:type="dxa"/>
            <w:vAlign w:val="bottom"/>
            <w:tcBorders>
              <w:bottom w:val="single" w:sz="8" w:color="auto"/>
            </w:tcBorders>
            <w:gridSpan w:val="2"/>
          </w:tcPr>
          <w:p>
            <w:pPr>
              <w:jc w:val="right"/>
              <w:ind w:right="152"/>
              <w:spacing w:after="0"/>
              <w:rPr>
                <w:sz w:val="20"/>
                <w:szCs w:val="20"/>
                <w:color w:val="auto"/>
              </w:rPr>
            </w:pPr>
            <w:r>
              <w:rPr>
                <w:rFonts w:ascii="Arial" w:cs="Arial" w:eastAsia="Arial" w:hAnsi="Arial"/>
                <w:sz w:val="14"/>
                <w:szCs w:val="14"/>
                <w:color w:val="auto"/>
              </w:rPr>
              <w:t>Parent</w:t>
            </w:r>
          </w:p>
        </w:tc>
        <w:tc>
          <w:tcPr>
            <w:tcW w:w="800" w:type="dxa"/>
            <w:vAlign w:val="bottom"/>
            <w:tcBorders>
              <w:bottom w:val="single" w:sz="8" w:color="auto"/>
            </w:tcBorders>
            <w:gridSpan w:val="2"/>
          </w:tcPr>
          <w:p>
            <w:pPr>
              <w:ind w:left="180"/>
              <w:spacing w:after="0"/>
              <w:rPr>
                <w:sz w:val="20"/>
                <w:szCs w:val="20"/>
                <w:color w:val="auto"/>
              </w:rPr>
            </w:pPr>
            <w:r>
              <w:rPr>
                <w:rFonts w:ascii="Arial" w:cs="Arial" w:eastAsia="Arial" w:hAnsi="Arial"/>
                <w:sz w:val="14"/>
                <w:szCs w:val="14"/>
                <w:color w:val="auto"/>
              </w:rPr>
              <w:t>Parent</w:t>
            </w:r>
          </w:p>
        </w:tc>
        <w:tc>
          <w:tcPr>
            <w:tcW w:w="260" w:type="dxa"/>
            <w:vAlign w:val="bottom"/>
            <w:tcBorders>
              <w:bottom w:val="single" w:sz="8" w:color="auto"/>
            </w:tcBorders>
          </w:tcPr>
          <w:p>
            <w:pPr>
              <w:spacing w:after="0"/>
              <w:rPr>
                <w:sz w:val="14"/>
                <w:szCs w:val="14"/>
                <w:color w:val="auto"/>
              </w:rPr>
            </w:pPr>
          </w:p>
        </w:tc>
        <w:tc>
          <w:tcPr>
            <w:tcW w:w="760" w:type="dxa"/>
            <w:vAlign w:val="bottom"/>
            <w:tcBorders>
              <w:bottom w:val="single" w:sz="8" w:color="auto"/>
            </w:tcBorders>
          </w:tcPr>
          <w:p>
            <w:pPr>
              <w:jc w:val="right"/>
              <w:ind w:right="152"/>
              <w:spacing w:after="0"/>
              <w:rPr>
                <w:sz w:val="20"/>
                <w:szCs w:val="20"/>
                <w:color w:val="auto"/>
              </w:rPr>
            </w:pPr>
            <w:r>
              <w:rPr>
                <w:rFonts w:ascii="Arial" w:cs="Arial" w:eastAsia="Arial" w:hAnsi="Arial"/>
                <w:sz w:val="14"/>
                <w:szCs w:val="14"/>
                <w:color w:val="auto"/>
              </w:rPr>
              <w:t>Parents</w:t>
            </w:r>
          </w:p>
        </w:tc>
        <w:tc>
          <w:tcPr>
            <w:tcW w:w="920" w:type="dxa"/>
            <w:vAlign w:val="bottom"/>
            <w:tcBorders>
              <w:bottom w:val="single" w:sz="8" w:color="auto"/>
            </w:tcBorders>
            <w:gridSpan w:val="2"/>
          </w:tcPr>
          <w:p>
            <w:pPr>
              <w:ind w:left="180"/>
              <w:spacing w:after="0"/>
              <w:rPr>
                <w:sz w:val="20"/>
                <w:szCs w:val="20"/>
                <w:color w:val="auto"/>
              </w:rPr>
            </w:pPr>
            <w:r>
              <w:rPr>
                <w:rFonts w:ascii="Arial" w:cs="Arial" w:eastAsia="Arial" w:hAnsi="Arial"/>
                <w:sz w:val="14"/>
                <w:szCs w:val="14"/>
                <w:color w:val="auto"/>
              </w:rPr>
              <w:t>Holdings</w:t>
            </w:r>
          </w:p>
        </w:tc>
        <w:tc>
          <w:tcPr>
            <w:tcW w:w="1140" w:type="dxa"/>
            <w:vAlign w:val="bottom"/>
            <w:tcBorders>
              <w:bottom w:val="single" w:sz="8" w:color="auto"/>
            </w:tcBorders>
            <w:gridSpan w:val="2"/>
          </w:tcPr>
          <w:p>
            <w:pPr>
              <w:jc w:val="right"/>
              <w:ind w:right="152"/>
              <w:spacing w:after="0"/>
              <w:rPr>
                <w:sz w:val="20"/>
                <w:szCs w:val="20"/>
                <w:color w:val="auto"/>
              </w:rPr>
            </w:pPr>
            <w:r>
              <w:rPr>
                <w:rFonts w:ascii="Arial" w:cs="Arial" w:eastAsia="Arial" w:hAnsi="Arial"/>
                <w:sz w:val="14"/>
                <w:szCs w:val="14"/>
                <w:color w:val="auto"/>
              </w:rPr>
              <w:t>Subsidiaries</w:t>
            </w:r>
          </w:p>
        </w:tc>
        <w:tc>
          <w:tcPr>
            <w:tcW w:w="260" w:type="dxa"/>
            <w:vAlign w:val="bottom"/>
            <w:tcBorders>
              <w:bottom w:val="single" w:sz="8" w:color="auto"/>
            </w:tcBorders>
          </w:tcPr>
          <w:p>
            <w:pPr>
              <w:spacing w:after="0"/>
              <w:rPr>
                <w:sz w:val="14"/>
                <w:szCs w:val="14"/>
                <w:color w:val="auto"/>
              </w:rPr>
            </w:pPr>
          </w:p>
        </w:tc>
        <w:tc>
          <w:tcPr>
            <w:tcW w:w="960" w:type="dxa"/>
            <w:vAlign w:val="bottom"/>
            <w:tcBorders>
              <w:bottom w:val="single" w:sz="8" w:color="auto"/>
            </w:tcBorders>
          </w:tcPr>
          <w:p>
            <w:pPr>
              <w:jc w:val="right"/>
              <w:ind w:right="152"/>
              <w:spacing w:after="0"/>
              <w:rPr>
                <w:sz w:val="20"/>
                <w:szCs w:val="20"/>
                <w:color w:val="auto"/>
              </w:rPr>
            </w:pPr>
            <w:r>
              <w:rPr>
                <w:rFonts w:ascii="Arial" w:cs="Arial" w:eastAsia="Arial" w:hAnsi="Arial"/>
                <w:sz w:val="14"/>
                <w:szCs w:val="14"/>
                <w:color w:val="auto"/>
                <w:w w:val="93"/>
              </w:rPr>
              <w:t>Adjustments</w:t>
            </w:r>
          </w:p>
        </w:tc>
        <w:tc>
          <w:tcPr>
            <w:tcW w:w="260" w:type="dxa"/>
            <w:vAlign w:val="bottom"/>
            <w:tcBorders>
              <w:bottom w:val="single" w:sz="8" w:color="auto"/>
            </w:tcBorders>
          </w:tcPr>
          <w:p>
            <w:pPr>
              <w:spacing w:after="0"/>
              <w:rPr>
                <w:sz w:val="14"/>
                <w:szCs w:val="14"/>
                <w:color w:val="auto"/>
              </w:rPr>
            </w:pPr>
          </w:p>
        </w:tc>
        <w:tc>
          <w:tcPr>
            <w:tcW w:w="84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w w:val="94"/>
              </w:rPr>
              <w:t>Corporation</w:t>
            </w:r>
          </w:p>
        </w:tc>
        <w:tc>
          <w:tcPr>
            <w:tcW w:w="0" w:type="dxa"/>
            <w:vAlign w:val="bottom"/>
          </w:tcPr>
          <w:p>
            <w:pPr>
              <w:spacing w:after="0"/>
              <w:rPr>
                <w:sz w:val="1"/>
                <w:szCs w:val="1"/>
                <w:color w:val="auto"/>
              </w:rPr>
            </w:pPr>
          </w:p>
        </w:tc>
      </w:tr>
      <w:tr>
        <w:trPr>
          <w:trHeight w:val="141"/>
        </w:trPr>
        <w:tc>
          <w:tcPr>
            <w:tcW w:w="3260" w:type="dxa"/>
            <w:vAlign w:val="bottom"/>
            <w:gridSpan w:val="2"/>
          </w:tcPr>
          <w:p>
            <w:pPr>
              <w:spacing w:after="0" w:line="141" w:lineRule="exact"/>
              <w:rPr>
                <w:sz w:val="20"/>
                <w:szCs w:val="20"/>
                <w:color w:val="auto"/>
              </w:rPr>
            </w:pPr>
            <w:r>
              <w:rPr>
                <w:rFonts w:ascii="Arial" w:cs="Arial" w:eastAsia="Arial" w:hAnsi="Arial"/>
                <w:sz w:val="14"/>
                <w:szCs w:val="14"/>
                <w:b w:val="1"/>
                <w:bCs w:val="1"/>
                <w:color w:val="auto"/>
              </w:rPr>
              <w:t>Revenues</w:t>
            </w:r>
          </w:p>
        </w:tc>
        <w:tc>
          <w:tcPr>
            <w:tcW w:w="48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86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960" w:type="dxa"/>
            <w:vAlign w:val="bottom"/>
          </w:tcPr>
          <w:p>
            <w:pPr>
              <w:spacing w:after="0"/>
              <w:rPr>
                <w:sz w:val="12"/>
                <w:szCs w:val="12"/>
                <w:color w:val="auto"/>
              </w:rPr>
            </w:pPr>
          </w:p>
        </w:tc>
        <w:tc>
          <w:tcPr>
            <w:tcW w:w="260" w:type="dxa"/>
            <w:vAlign w:val="bottom"/>
            <w:vMerge w:val="restart"/>
          </w:tcPr>
          <w:p>
            <w:pPr>
              <w:jc w:val="right"/>
              <w:spacing w:after="0"/>
              <w:rPr>
                <w:sz w:val="20"/>
                <w:szCs w:val="20"/>
                <w:color w:val="auto"/>
              </w:rPr>
            </w:pPr>
            <w:r>
              <w:rPr>
                <w:rFonts w:ascii="Arial" w:cs="Arial" w:eastAsia="Arial" w:hAnsi="Arial"/>
                <w:sz w:val="14"/>
                <w:szCs w:val="14"/>
                <w:b w:val="1"/>
                <w:bCs w:val="1"/>
                <w:color w:val="auto"/>
              </w:rPr>
              <w:t>$</w:t>
            </w:r>
          </w:p>
        </w:tc>
        <w:tc>
          <w:tcPr>
            <w:tcW w:w="840" w:type="dxa"/>
            <w:vAlign w:val="bottom"/>
            <w:vMerge w:val="restart"/>
          </w:tcPr>
          <w:p>
            <w:pPr>
              <w:jc w:val="right"/>
              <w:spacing w:after="0"/>
              <w:rPr>
                <w:sz w:val="20"/>
                <w:szCs w:val="20"/>
                <w:color w:val="auto"/>
              </w:rPr>
            </w:pPr>
            <w:r>
              <w:rPr>
                <w:rFonts w:ascii="Arial" w:cs="Arial" w:eastAsia="Arial" w:hAnsi="Arial"/>
                <w:sz w:val="14"/>
                <w:szCs w:val="14"/>
                <w:b w:val="1"/>
                <w:bCs w:val="1"/>
                <w:color w:val="auto"/>
              </w:rPr>
              <w:t>19,221</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3240" w:type="dxa"/>
            <w:vAlign w:val="bottom"/>
          </w:tcPr>
          <w:p>
            <w:pPr>
              <w:ind w:left="200"/>
              <w:spacing w:after="0" w:line="133" w:lineRule="exact"/>
              <w:rPr>
                <w:sz w:val="20"/>
                <w:szCs w:val="20"/>
                <w:color w:val="auto"/>
              </w:rPr>
            </w:pPr>
            <w:r>
              <w:rPr>
                <w:rFonts w:ascii="Arial" w:cs="Arial" w:eastAsia="Arial" w:hAnsi="Arial"/>
                <w:sz w:val="14"/>
                <w:szCs w:val="14"/>
                <w:color w:val="auto"/>
              </w:rPr>
              <w:t>Service revenues</w:t>
            </w:r>
          </w:p>
        </w:tc>
        <w:tc>
          <w:tcPr>
            <w:tcW w:w="480" w:type="dxa"/>
            <w:vAlign w:val="bottom"/>
          </w:tcPr>
          <w:p>
            <w:pPr>
              <w:ind w:left="380"/>
              <w:spacing w:after="0" w:line="133" w:lineRule="exact"/>
              <w:rPr>
                <w:sz w:val="20"/>
                <w:szCs w:val="20"/>
                <w:color w:val="auto"/>
              </w:rPr>
            </w:pPr>
            <w:r>
              <w:rPr>
                <w:rFonts w:ascii="Arial" w:cs="Arial" w:eastAsia="Arial" w:hAnsi="Arial"/>
                <w:sz w:val="14"/>
                <w:szCs w:val="14"/>
                <w:color w:val="auto"/>
              </w:rPr>
              <w:t>$</w:t>
            </w:r>
          </w:p>
        </w:tc>
        <w:tc>
          <w:tcPr>
            <w:tcW w:w="660" w:type="dxa"/>
            <w:vAlign w:val="bottom"/>
          </w:tcPr>
          <w:p>
            <w:pPr>
              <w:jc w:val="right"/>
              <w:ind w:right="152"/>
              <w:spacing w:after="0" w:line="133" w:lineRule="exact"/>
              <w:rPr>
                <w:sz w:val="20"/>
                <w:szCs w:val="20"/>
                <w:color w:val="auto"/>
              </w:rPr>
            </w:pPr>
            <w:r>
              <w:rPr>
                <w:rFonts w:ascii="Arial" w:cs="Arial" w:eastAsia="Arial" w:hAnsi="Arial"/>
                <w:sz w:val="14"/>
                <w:szCs w:val="14"/>
                <w:color w:val="auto"/>
              </w:rPr>
              <w:t>—</w:t>
            </w:r>
          </w:p>
        </w:tc>
        <w:tc>
          <w:tcPr>
            <w:tcW w:w="260" w:type="dxa"/>
            <w:vAlign w:val="bottom"/>
          </w:tcPr>
          <w:p>
            <w:pPr>
              <w:jc w:val="right"/>
              <w:spacing w:after="0" w:line="133" w:lineRule="exact"/>
              <w:rPr>
                <w:sz w:val="20"/>
                <w:szCs w:val="20"/>
                <w:color w:val="auto"/>
              </w:rPr>
            </w:pPr>
            <w:r>
              <w:rPr>
                <w:rFonts w:ascii="Arial" w:cs="Arial" w:eastAsia="Arial" w:hAnsi="Arial"/>
                <w:sz w:val="14"/>
                <w:szCs w:val="14"/>
                <w:color w:val="auto"/>
              </w:rPr>
              <w:t>$</w:t>
            </w:r>
          </w:p>
        </w:tc>
        <w:tc>
          <w:tcPr>
            <w:tcW w:w="560" w:type="dxa"/>
            <w:vAlign w:val="bottom"/>
          </w:tcPr>
          <w:p>
            <w:pPr>
              <w:jc w:val="right"/>
              <w:ind w:right="152"/>
              <w:spacing w:after="0" w:line="133" w:lineRule="exact"/>
              <w:rPr>
                <w:sz w:val="20"/>
                <w:szCs w:val="20"/>
                <w:color w:val="auto"/>
              </w:rPr>
            </w:pPr>
            <w:r>
              <w:rPr>
                <w:rFonts w:ascii="Arial" w:cs="Arial" w:eastAsia="Arial" w:hAnsi="Arial"/>
                <w:sz w:val="14"/>
                <w:szCs w:val="14"/>
                <w:color w:val="auto"/>
              </w:rPr>
              <w:t>—</w:t>
            </w:r>
          </w:p>
        </w:tc>
        <w:tc>
          <w:tcPr>
            <w:tcW w:w="280" w:type="dxa"/>
            <w:vAlign w:val="bottom"/>
          </w:tcPr>
          <w:p>
            <w:pPr>
              <w:ind w:left="180"/>
              <w:spacing w:after="0" w:line="133" w:lineRule="exact"/>
              <w:rPr>
                <w:sz w:val="20"/>
                <w:szCs w:val="20"/>
                <w:color w:val="auto"/>
              </w:rPr>
            </w:pPr>
            <w:r>
              <w:rPr>
                <w:rFonts w:ascii="Arial" w:cs="Arial" w:eastAsia="Arial" w:hAnsi="Arial"/>
                <w:sz w:val="14"/>
                <w:szCs w:val="14"/>
                <w:color w:val="auto"/>
              </w:rPr>
              <w:t>$</w:t>
            </w:r>
          </w:p>
        </w:tc>
        <w:tc>
          <w:tcPr>
            <w:tcW w:w="520" w:type="dxa"/>
            <w:vAlign w:val="bottom"/>
          </w:tcPr>
          <w:p>
            <w:pPr>
              <w:jc w:val="right"/>
              <w:ind w:right="152"/>
              <w:spacing w:after="0" w:line="133" w:lineRule="exact"/>
              <w:rPr>
                <w:sz w:val="20"/>
                <w:szCs w:val="20"/>
                <w:color w:val="auto"/>
              </w:rPr>
            </w:pPr>
            <w:r>
              <w:rPr>
                <w:rFonts w:ascii="Arial" w:cs="Arial" w:eastAsia="Arial" w:hAnsi="Arial"/>
                <w:sz w:val="14"/>
                <w:szCs w:val="14"/>
                <w:color w:val="auto"/>
              </w:rPr>
              <w:t>—</w:t>
            </w:r>
          </w:p>
        </w:tc>
        <w:tc>
          <w:tcPr>
            <w:tcW w:w="260" w:type="dxa"/>
            <w:vAlign w:val="bottom"/>
          </w:tcPr>
          <w:p>
            <w:pPr>
              <w:jc w:val="right"/>
              <w:spacing w:after="0" w:line="133" w:lineRule="exact"/>
              <w:rPr>
                <w:sz w:val="20"/>
                <w:szCs w:val="20"/>
                <w:color w:val="auto"/>
              </w:rPr>
            </w:pPr>
            <w:r>
              <w:rPr>
                <w:rFonts w:ascii="Arial" w:cs="Arial" w:eastAsia="Arial" w:hAnsi="Arial"/>
                <w:sz w:val="14"/>
                <w:szCs w:val="14"/>
                <w:color w:val="auto"/>
              </w:rPr>
              <w:t>$</w:t>
            </w:r>
          </w:p>
        </w:tc>
        <w:tc>
          <w:tcPr>
            <w:tcW w:w="760" w:type="dxa"/>
            <w:vAlign w:val="bottom"/>
          </w:tcPr>
          <w:p>
            <w:pPr>
              <w:jc w:val="right"/>
              <w:ind w:right="152"/>
              <w:spacing w:after="0" w:line="133" w:lineRule="exact"/>
              <w:rPr>
                <w:sz w:val="20"/>
                <w:szCs w:val="20"/>
                <w:color w:val="auto"/>
              </w:rPr>
            </w:pPr>
            <w:r>
              <w:rPr>
                <w:rFonts w:ascii="Arial" w:cs="Arial" w:eastAsia="Arial" w:hAnsi="Arial"/>
                <w:sz w:val="14"/>
                <w:szCs w:val="14"/>
                <w:color w:val="auto"/>
              </w:rPr>
              <w:t>—</w:t>
            </w:r>
          </w:p>
        </w:tc>
        <w:tc>
          <w:tcPr>
            <w:tcW w:w="360" w:type="dxa"/>
            <w:vAlign w:val="bottom"/>
          </w:tcPr>
          <w:p>
            <w:pPr>
              <w:ind w:left="160"/>
              <w:spacing w:after="0" w:line="133" w:lineRule="exact"/>
              <w:rPr>
                <w:sz w:val="20"/>
                <w:szCs w:val="20"/>
                <w:color w:val="auto"/>
              </w:rPr>
            </w:pPr>
            <w:r>
              <w:rPr>
                <w:rFonts w:ascii="Arial" w:cs="Arial" w:eastAsia="Arial" w:hAnsi="Arial"/>
                <w:sz w:val="14"/>
                <w:szCs w:val="14"/>
                <w:color w:val="auto"/>
              </w:rPr>
              <w:t>$</w:t>
            </w:r>
          </w:p>
        </w:tc>
        <w:tc>
          <w:tcPr>
            <w:tcW w:w="560" w:type="dxa"/>
            <w:vAlign w:val="bottom"/>
          </w:tcPr>
          <w:p>
            <w:pPr>
              <w:jc w:val="right"/>
              <w:ind w:right="152"/>
              <w:spacing w:after="0" w:line="133" w:lineRule="exact"/>
              <w:rPr>
                <w:sz w:val="20"/>
                <w:szCs w:val="20"/>
                <w:color w:val="auto"/>
              </w:rPr>
            </w:pPr>
            <w:r>
              <w:rPr>
                <w:rFonts w:ascii="Arial" w:cs="Arial" w:eastAsia="Arial" w:hAnsi="Arial"/>
                <w:sz w:val="14"/>
                <w:szCs w:val="14"/>
                <w:color w:val="auto"/>
              </w:rPr>
              <w:t>—</w:t>
            </w:r>
          </w:p>
        </w:tc>
        <w:tc>
          <w:tcPr>
            <w:tcW w:w="280" w:type="dxa"/>
            <w:vAlign w:val="bottom"/>
          </w:tcPr>
          <w:p>
            <w:pPr>
              <w:jc w:val="right"/>
              <w:spacing w:after="0" w:line="133" w:lineRule="exact"/>
              <w:rPr>
                <w:sz w:val="20"/>
                <w:szCs w:val="20"/>
                <w:color w:val="auto"/>
              </w:rPr>
            </w:pPr>
            <w:r>
              <w:rPr>
                <w:rFonts w:ascii="Arial" w:cs="Arial" w:eastAsia="Arial" w:hAnsi="Arial"/>
                <w:sz w:val="14"/>
                <w:szCs w:val="14"/>
                <w:color w:val="auto"/>
              </w:rPr>
              <w:t>$</w:t>
            </w:r>
          </w:p>
        </w:tc>
        <w:tc>
          <w:tcPr>
            <w:tcW w:w="860" w:type="dxa"/>
            <w:vAlign w:val="bottom"/>
          </w:tcPr>
          <w:p>
            <w:pPr>
              <w:jc w:val="right"/>
              <w:ind w:right="152"/>
              <w:spacing w:after="0" w:line="133" w:lineRule="exact"/>
              <w:rPr>
                <w:sz w:val="20"/>
                <w:szCs w:val="20"/>
                <w:color w:val="auto"/>
              </w:rPr>
            </w:pPr>
            <w:r>
              <w:rPr>
                <w:rFonts w:ascii="Arial" w:cs="Arial" w:eastAsia="Arial" w:hAnsi="Arial"/>
                <w:sz w:val="14"/>
                <w:szCs w:val="14"/>
                <w:color w:val="auto"/>
              </w:rPr>
              <w:t>19,221</w:t>
            </w:r>
          </w:p>
        </w:tc>
        <w:tc>
          <w:tcPr>
            <w:tcW w:w="260" w:type="dxa"/>
            <w:vAlign w:val="bottom"/>
          </w:tcPr>
          <w:p>
            <w:pPr>
              <w:jc w:val="right"/>
              <w:spacing w:after="0" w:line="133" w:lineRule="exact"/>
              <w:rPr>
                <w:sz w:val="20"/>
                <w:szCs w:val="20"/>
                <w:color w:val="auto"/>
              </w:rPr>
            </w:pPr>
            <w:r>
              <w:rPr>
                <w:rFonts w:ascii="Arial" w:cs="Arial" w:eastAsia="Arial" w:hAnsi="Arial"/>
                <w:sz w:val="14"/>
                <w:szCs w:val="14"/>
                <w:color w:val="auto"/>
              </w:rPr>
              <w:t>$</w:t>
            </w:r>
          </w:p>
        </w:tc>
        <w:tc>
          <w:tcPr>
            <w:tcW w:w="960" w:type="dxa"/>
            <w:vAlign w:val="bottom"/>
          </w:tcPr>
          <w:p>
            <w:pPr>
              <w:jc w:val="right"/>
              <w:ind w:right="152"/>
              <w:spacing w:after="0" w:line="133" w:lineRule="exact"/>
              <w:rPr>
                <w:sz w:val="20"/>
                <w:szCs w:val="20"/>
                <w:color w:val="auto"/>
              </w:rPr>
            </w:pPr>
            <w:r>
              <w:rPr>
                <w:rFonts w:ascii="Arial" w:cs="Arial" w:eastAsia="Arial" w:hAnsi="Arial"/>
                <w:sz w:val="14"/>
                <w:szCs w:val="14"/>
                <w:color w:val="auto"/>
              </w:rPr>
              <w:t>—</w:t>
            </w:r>
          </w:p>
        </w:tc>
        <w:tc>
          <w:tcPr>
            <w:tcW w:w="260" w:type="dxa"/>
            <w:vAlign w:val="bottom"/>
            <w:vMerge w:val="continue"/>
          </w:tcPr>
          <w:p>
            <w:pPr>
              <w:spacing w:after="0"/>
              <w:rPr>
                <w:sz w:val="11"/>
                <w:szCs w:val="11"/>
                <w:color w:val="auto"/>
              </w:rPr>
            </w:pPr>
          </w:p>
        </w:tc>
        <w:tc>
          <w:tcPr>
            <w:tcW w:w="840" w:type="dxa"/>
            <w:vAlign w:val="bottom"/>
            <w:vMerge w:val="continue"/>
          </w:tcPr>
          <w:p>
            <w:pPr>
              <w:spacing w:after="0"/>
              <w:rPr>
                <w:sz w:val="11"/>
                <w:szCs w:val="11"/>
                <w:color w:val="auto"/>
              </w:rPr>
            </w:pPr>
          </w:p>
        </w:tc>
        <w:tc>
          <w:tcPr>
            <w:tcW w:w="0" w:type="dxa"/>
            <w:vAlign w:val="bottom"/>
          </w:tcPr>
          <w:p>
            <w:pPr>
              <w:spacing w:after="0"/>
              <w:rPr>
                <w:sz w:val="1"/>
                <w:szCs w:val="1"/>
                <w:color w:val="auto"/>
              </w:rPr>
            </w:pPr>
          </w:p>
        </w:tc>
      </w:tr>
      <w:tr>
        <w:trPr>
          <w:trHeight w:val="165"/>
        </w:trPr>
        <w:tc>
          <w:tcPr>
            <w:tcW w:w="20" w:type="dxa"/>
            <w:vAlign w:val="bottom"/>
          </w:tcPr>
          <w:p>
            <w:pPr>
              <w:spacing w:after="0"/>
              <w:rPr>
                <w:sz w:val="14"/>
                <w:szCs w:val="14"/>
                <w:color w:val="auto"/>
              </w:rPr>
            </w:pPr>
          </w:p>
        </w:tc>
        <w:tc>
          <w:tcPr>
            <w:tcW w:w="3240" w:type="dxa"/>
            <w:vAlign w:val="bottom"/>
            <w:tcBorders>
              <w:bottom w:val="single" w:sz="8" w:color="auto"/>
            </w:tcBorders>
          </w:tcPr>
          <w:p>
            <w:pPr>
              <w:ind w:left="200"/>
              <w:spacing w:after="0"/>
              <w:rPr>
                <w:sz w:val="20"/>
                <w:szCs w:val="20"/>
                <w:color w:val="auto"/>
              </w:rPr>
            </w:pPr>
            <w:r>
              <w:rPr>
                <w:rFonts w:ascii="Arial" w:cs="Arial" w:eastAsia="Arial" w:hAnsi="Arial"/>
                <w:sz w:val="14"/>
                <w:szCs w:val="14"/>
                <w:color w:val="auto"/>
              </w:rPr>
              <w:t>Management fee revenue</w:t>
            </w:r>
          </w:p>
        </w:tc>
        <w:tc>
          <w:tcPr>
            <w:tcW w:w="480" w:type="dxa"/>
            <w:vAlign w:val="bottom"/>
            <w:tcBorders>
              <w:bottom w:val="single" w:sz="8" w:color="auto"/>
            </w:tcBorders>
          </w:tcPr>
          <w:p>
            <w:pPr>
              <w:spacing w:after="0"/>
              <w:rPr>
                <w:sz w:val="14"/>
                <w:szCs w:val="14"/>
                <w:color w:val="auto"/>
              </w:rPr>
            </w:pPr>
          </w:p>
        </w:tc>
        <w:tc>
          <w:tcPr>
            <w:tcW w:w="660" w:type="dxa"/>
            <w:vAlign w:val="bottom"/>
            <w:tcBorders>
              <w:bottom w:val="single" w:sz="8" w:color="auto"/>
            </w:tcBorders>
          </w:tcPr>
          <w:p>
            <w:pPr>
              <w:jc w:val="right"/>
              <w:ind w:right="152"/>
              <w:spacing w:after="0"/>
              <w:rPr>
                <w:sz w:val="20"/>
                <w:szCs w:val="20"/>
                <w:color w:val="auto"/>
              </w:rPr>
            </w:pPr>
            <w:r>
              <w:rPr>
                <w:rFonts w:ascii="Arial" w:cs="Arial" w:eastAsia="Arial" w:hAnsi="Arial"/>
                <w:sz w:val="14"/>
                <w:szCs w:val="14"/>
                <w:color w:val="auto"/>
              </w:rPr>
              <w:t>416</w:t>
            </w:r>
          </w:p>
        </w:tc>
        <w:tc>
          <w:tcPr>
            <w:tcW w:w="260" w:type="dxa"/>
            <w:vAlign w:val="bottom"/>
            <w:tcBorders>
              <w:bottom w:val="single" w:sz="8" w:color="auto"/>
            </w:tcBorders>
          </w:tcPr>
          <w:p>
            <w:pPr>
              <w:spacing w:after="0"/>
              <w:rPr>
                <w:sz w:val="14"/>
                <w:szCs w:val="14"/>
                <w:color w:val="auto"/>
              </w:rPr>
            </w:pPr>
          </w:p>
        </w:tc>
        <w:tc>
          <w:tcPr>
            <w:tcW w:w="560" w:type="dxa"/>
            <w:vAlign w:val="bottom"/>
            <w:tcBorders>
              <w:bottom w:val="single" w:sz="8" w:color="auto"/>
            </w:tcBorders>
          </w:tcPr>
          <w:p>
            <w:pPr>
              <w:jc w:val="right"/>
              <w:ind w:right="152"/>
              <w:spacing w:after="0"/>
              <w:rPr>
                <w:sz w:val="20"/>
                <w:szCs w:val="20"/>
                <w:color w:val="auto"/>
              </w:rPr>
            </w:pPr>
            <w:r>
              <w:rPr>
                <w:rFonts w:ascii="Arial" w:cs="Arial" w:eastAsia="Arial" w:hAnsi="Arial"/>
                <w:sz w:val="14"/>
                <w:szCs w:val="14"/>
                <w:color w:val="auto"/>
              </w:rPr>
              <w:t>161</w:t>
            </w:r>
          </w:p>
        </w:tc>
        <w:tc>
          <w:tcPr>
            <w:tcW w:w="280" w:type="dxa"/>
            <w:vAlign w:val="bottom"/>
            <w:tcBorders>
              <w:bottom w:val="single" w:sz="8" w:color="auto"/>
            </w:tcBorders>
          </w:tcPr>
          <w:p>
            <w:pPr>
              <w:spacing w:after="0"/>
              <w:rPr>
                <w:sz w:val="14"/>
                <w:szCs w:val="14"/>
                <w:color w:val="auto"/>
              </w:rPr>
            </w:pPr>
          </w:p>
        </w:tc>
        <w:tc>
          <w:tcPr>
            <w:tcW w:w="520" w:type="dxa"/>
            <w:vAlign w:val="bottom"/>
            <w:tcBorders>
              <w:bottom w:val="single" w:sz="8" w:color="auto"/>
            </w:tcBorders>
          </w:tcPr>
          <w:p>
            <w:pPr>
              <w:jc w:val="right"/>
              <w:ind w:right="152"/>
              <w:spacing w:after="0"/>
              <w:rPr>
                <w:sz w:val="20"/>
                <w:szCs w:val="20"/>
                <w:color w:val="auto"/>
              </w:rPr>
            </w:pPr>
            <w:r>
              <w:rPr>
                <w:rFonts w:ascii="Arial" w:cs="Arial" w:eastAsia="Arial" w:hAnsi="Arial"/>
                <w:sz w:val="14"/>
                <w:szCs w:val="14"/>
                <w:color w:val="auto"/>
              </w:rPr>
              <w:t>253</w:t>
            </w:r>
          </w:p>
        </w:tc>
        <w:tc>
          <w:tcPr>
            <w:tcW w:w="260" w:type="dxa"/>
            <w:vAlign w:val="bottom"/>
            <w:tcBorders>
              <w:bottom w:val="single" w:sz="8" w:color="auto"/>
            </w:tcBorders>
          </w:tcPr>
          <w:p>
            <w:pPr>
              <w:spacing w:after="0"/>
              <w:rPr>
                <w:sz w:val="14"/>
                <w:szCs w:val="14"/>
                <w:color w:val="auto"/>
              </w:rPr>
            </w:pPr>
          </w:p>
        </w:tc>
        <w:tc>
          <w:tcPr>
            <w:tcW w:w="760" w:type="dxa"/>
            <w:vAlign w:val="bottom"/>
            <w:tcBorders>
              <w:bottom w:val="single" w:sz="8" w:color="auto"/>
            </w:tcBorders>
          </w:tcPr>
          <w:p>
            <w:pPr>
              <w:jc w:val="right"/>
              <w:ind w:right="152"/>
              <w:spacing w:after="0"/>
              <w:rPr>
                <w:sz w:val="20"/>
                <w:szCs w:val="20"/>
                <w:color w:val="auto"/>
              </w:rPr>
            </w:pPr>
            <w:r>
              <w:rPr>
                <w:rFonts w:ascii="Arial" w:cs="Arial" w:eastAsia="Arial" w:hAnsi="Arial"/>
                <w:sz w:val="14"/>
                <w:szCs w:val="14"/>
                <w:color w:val="auto"/>
              </w:rPr>
              <w:t>253</w:t>
            </w:r>
          </w:p>
        </w:tc>
        <w:tc>
          <w:tcPr>
            <w:tcW w:w="360" w:type="dxa"/>
            <w:vAlign w:val="bottom"/>
            <w:tcBorders>
              <w:bottom w:val="single" w:sz="8" w:color="auto"/>
            </w:tcBorders>
          </w:tcPr>
          <w:p>
            <w:pPr>
              <w:spacing w:after="0"/>
              <w:rPr>
                <w:sz w:val="14"/>
                <w:szCs w:val="14"/>
                <w:color w:val="auto"/>
              </w:rPr>
            </w:pPr>
          </w:p>
        </w:tc>
        <w:tc>
          <w:tcPr>
            <w:tcW w:w="560" w:type="dxa"/>
            <w:vAlign w:val="bottom"/>
            <w:tcBorders>
              <w:bottom w:val="single" w:sz="8" w:color="auto"/>
            </w:tcBorders>
          </w:tcPr>
          <w:p>
            <w:pPr>
              <w:jc w:val="right"/>
              <w:ind w:right="152"/>
              <w:spacing w:after="0"/>
              <w:rPr>
                <w:sz w:val="20"/>
                <w:szCs w:val="20"/>
                <w:color w:val="auto"/>
              </w:rPr>
            </w:pPr>
            <w:r>
              <w:rPr>
                <w:rFonts w:ascii="Arial" w:cs="Arial" w:eastAsia="Arial" w:hAnsi="Arial"/>
                <w:sz w:val="14"/>
                <w:szCs w:val="14"/>
                <w:color w:val="auto"/>
              </w:rPr>
              <w:t>8</w:t>
            </w:r>
          </w:p>
        </w:tc>
        <w:tc>
          <w:tcPr>
            <w:tcW w:w="280" w:type="dxa"/>
            <w:vAlign w:val="bottom"/>
            <w:tcBorders>
              <w:bottom w:val="single" w:sz="8" w:color="auto"/>
            </w:tcBorders>
          </w:tcPr>
          <w:p>
            <w:pPr>
              <w:spacing w:after="0"/>
              <w:rPr>
                <w:sz w:val="14"/>
                <w:szCs w:val="14"/>
                <w:color w:val="auto"/>
              </w:rPr>
            </w:pPr>
          </w:p>
        </w:tc>
        <w:tc>
          <w:tcPr>
            <w:tcW w:w="860" w:type="dxa"/>
            <w:vAlign w:val="bottom"/>
            <w:tcBorders>
              <w:bottom w:val="single" w:sz="8" w:color="auto"/>
            </w:tcBorders>
          </w:tcPr>
          <w:p>
            <w:pPr>
              <w:jc w:val="right"/>
              <w:ind w:right="152"/>
              <w:spacing w:after="0"/>
              <w:rPr>
                <w:sz w:val="20"/>
                <w:szCs w:val="20"/>
                <w:color w:val="auto"/>
              </w:rPr>
            </w:pPr>
            <w:r>
              <w:rPr>
                <w:rFonts w:ascii="Arial" w:cs="Arial" w:eastAsia="Arial" w:hAnsi="Arial"/>
                <w:sz w:val="14"/>
                <w:szCs w:val="14"/>
                <w:color w:val="auto"/>
              </w:rPr>
              <w:t>—</w:t>
            </w:r>
          </w:p>
        </w:tc>
        <w:tc>
          <w:tcPr>
            <w:tcW w:w="260" w:type="dxa"/>
            <w:vAlign w:val="bottom"/>
            <w:tcBorders>
              <w:bottom w:val="single" w:sz="8" w:color="auto"/>
            </w:tcBorders>
          </w:tcPr>
          <w:p>
            <w:pPr>
              <w:spacing w:after="0"/>
              <w:rPr>
                <w:sz w:val="14"/>
                <w:szCs w:val="14"/>
                <w:color w:val="auto"/>
              </w:rPr>
            </w:pPr>
          </w:p>
        </w:tc>
        <w:tc>
          <w:tcPr>
            <w:tcW w:w="960" w:type="dxa"/>
            <w:vAlign w:val="bottom"/>
            <w:tcBorders>
              <w:bottom w:val="single" w:sz="8" w:color="auto"/>
            </w:tcBorders>
          </w:tcPr>
          <w:p>
            <w:pPr>
              <w:jc w:val="right"/>
              <w:ind w:right="112"/>
              <w:spacing w:after="0"/>
              <w:rPr>
                <w:sz w:val="20"/>
                <w:szCs w:val="20"/>
                <w:color w:val="auto"/>
              </w:rPr>
            </w:pPr>
            <w:r>
              <w:rPr>
                <w:rFonts w:ascii="Arial" w:cs="Arial" w:eastAsia="Arial" w:hAnsi="Arial"/>
                <w:sz w:val="14"/>
                <w:szCs w:val="14"/>
                <w:color w:val="auto"/>
              </w:rPr>
              <w:t>(1,091)</w:t>
            </w:r>
          </w:p>
        </w:tc>
        <w:tc>
          <w:tcPr>
            <w:tcW w:w="260" w:type="dxa"/>
            <w:vAlign w:val="bottom"/>
            <w:tcBorders>
              <w:bottom w:val="single" w:sz="8" w:color="auto"/>
            </w:tcBorders>
          </w:tcPr>
          <w:p>
            <w:pPr>
              <w:spacing w:after="0"/>
              <w:rPr>
                <w:sz w:val="14"/>
                <w:szCs w:val="14"/>
                <w:color w:val="auto"/>
              </w:rPr>
            </w:pPr>
          </w:p>
        </w:tc>
        <w:tc>
          <w:tcPr>
            <w:tcW w:w="84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w:t>
            </w: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3240" w:type="dxa"/>
            <w:vAlign w:val="bottom"/>
            <w:tcBorders>
              <w:bottom w:val="single" w:sz="8" w:color="auto"/>
            </w:tcBorders>
          </w:tcPr>
          <w:p>
            <w:pPr>
              <w:spacing w:after="0"/>
              <w:rPr>
                <w:sz w:val="12"/>
                <w:szCs w:val="12"/>
                <w:color w:val="auto"/>
              </w:rPr>
            </w:pPr>
          </w:p>
        </w:tc>
        <w:tc>
          <w:tcPr>
            <w:tcW w:w="480" w:type="dxa"/>
            <w:vAlign w:val="bottom"/>
            <w:tcBorders>
              <w:bottom w:val="single" w:sz="8" w:color="auto"/>
            </w:tcBorders>
          </w:tcPr>
          <w:p>
            <w:pPr>
              <w:spacing w:after="0"/>
              <w:rPr>
                <w:sz w:val="12"/>
                <w:szCs w:val="12"/>
                <w:color w:val="auto"/>
              </w:rPr>
            </w:pPr>
          </w:p>
        </w:tc>
        <w:tc>
          <w:tcPr>
            <w:tcW w:w="660" w:type="dxa"/>
            <w:vAlign w:val="bottom"/>
            <w:tcBorders>
              <w:bottom w:val="single" w:sz="8" w:color="auto"/>
            </w:tcBorders>
          </w:tcPr>
          <w:p>
            <w:pPr>
              <w:jc w:val="right"/>
              <w:ind w:right="152"/>
              <w:spacing w:after="0" w:line="142" w:lineRule="exact"/>
              <w:rPr>
                <w:sz w:val="20"/>
                <w:szCs w:val="20"/>
                <w:color w:val="auto"/>
              </w:rPr>
            </w:pPr>
            <w:r>
              <w:rPr>
                <w:rFonts w:ascii="Arial" w:cs="Arial" w:eastAsia="Arial" w:hAnsi="Arial"/>
                <w:sz w:val="14"/>
                <w:szCs w:val="14"/>
                <w:color w:val="auto"/>
              </w:rPr>
              <w:t>416</w:t>
            </w:r>
          </w:p>
        </w:tc>
        <w:tc>
          <w:tcPr>
            <w:tcW w:w="260" w:type="dxa"/>
            <w:vAlign w:val="bottom"/>
            <w:tcBorders>
              <w:bottom w:val="single" w:sz="8" w:color="auto"/>
            </w:tcBorders>
          </w:tcPr>
          <w:p>
            <w:pPr>
              <w:spacing w:after="0"/>
              <w:rPr>
                <w:sz w:val="12"/>
                <w:szCs w:val="12"/>
                <w:color w:val="auto"/>
              </w:rPr>
            </w:pPr>
          </w:p>
        </w:tc>
        <w:tc>
          <w:tcPr>
            <w:tcW w:w="560" w:type="dxa"/>
            <w:vAlign w:val="bottom"/>
            <w:tcBorders>
              <w:bottom w:val="single" w:sz="8" w:color="auto"/>
            </w:tcBorders>
          </w:tcPr>
          <w:p>
            <w:pPr>
              <w:jc w:val="right"/>
              <w:ind w:right="152"/>
              <w:spacing w:after="0" w:line="142" w:lineRule="exact"/>
              <w:rPr>
                <w:sz w:val="20"/>
                <w:szCs w:val="20"/>
                <w:color w:val="auto"/>
              </w:rPr>
            </w:pPr>
            <w:r>
              <w:rPr>
                <w:rFonts w:ascii="Arial" w:cs="Arial" w:eastAsia="Arial" w:hAnsi="Arial"/>
                <w:sz w:val="14"/>
                <w:szCs w:val="14"/>
                <w:color w:val="auto"/>
              </w:rPr>
              <w:t>161</w:t>
            </w:r>
          </w:p>
        </w:tc>
        <w:tc>
          <w:tcPr>
            <w:tcW w:w="280" w:type="dxa"/>
            <w:vAlign w:val="bottom"/>
            <w:tcBorders>
              <w:bottom w:val="single" w:sz="8" w:color="auto"/>
            </w:tcBorders>
          </w:tcPr>
          <w:p>
            <w:pPr>
              <w:spacing w:after="0"/>
              <w:rPr>
                <w:sz w:val="12"/>
                <w:szCs w:val="12"/>
                <w:color w:val="auto"/>
              </w:rPr>
            </w:pPr>
          </w:p>
        </w:tc>
        <w:tc>
          <w:tcPr>
            <w:tcW w:w="520" w:type="dxa"/>
            <w:vAlign w:val="bottom"/>
            <w:tcBorders>
              <w:bottom w:val="single" w:sz="8" w:color="auto"/>
            </w:tcBorders>
          </w:tcPr>
          <w:p>
            <w:pPr>
              <w:jc w:val="right"/>
              <w:ind w:right="152"/>
              <w:spacing w:after="0" w:line="142" w:lineRule="exact"/>
              <w:rPr>
                <w:sz w:val="20"/>
                <w:szCs w:val="20"/>
                <w:color w:val="auto"/>
              </w:rPr>
            </w:pPr>
            <w:r>
              <w:rPr>
                <w:rFonts w:ascii="Arial" w:cs="Arial" w:eastAsia="Arial" w:hAnsi="Arial"/>
                <w:sz w:val="14"/>
                <w:szCs w:val="14"/>
                <w:color w:val="auto"/>
              </w:rPr>
              <w:t>253</w:t>
            </w:r>
          </w:p>
        </w:tc>
        <w:tc>
          <w:tcPr>
            <w:tcW w:w="260" w:type="dxa"/>
            <w:vAlign w:val="bottom"/>
            <w:tcBorders>
              <w:bottom w:val="single" w:sz="8" w:color="auto"/>
            </w:tcBorders>
          </w:tcPr>
          <w:p>
            <w:pPr>
              <w:spacing w:after="0"/>
              <w:rPr>
                <w:sz w:val="12"/>
                <w:szCs w:val="12"/>
                <w:color w:val="auto"/>
              </w:rPr>
            </w:pPr>
          </w:p>
        </w:tc>
        <w:tc>
          <w:tcPr>
            <w:tcW w:w="760" w:type="dxa"/>
            <w:vAlign w:val="bottom"/>
            <w:tcBorders>
              <w:bottom w:val="single" w:sz="8" w:color="auto"/>
            </w:tcBorders>
          </w:tcPr>
          <w:p>
            <w:pPr>
              <w:jc w:val="right"/>
              <w:ind w:right="152"/>
              <w:spacing w:after="0" w:line="142" w:lineRule="exact"/>
              <w:rPr>
                <w:sz w:val="20"/>
                <w:szCs w:val="20"/>
                <w:color w:val="auto"/>
              </w:rPr>
            </w:pPr>
            <w:r>
              <w:rPr>
                <w:rFonts w:ascii="Arial" w:cs="Arial" w:eastAsia="Arial" w:hAnsi="Arial"/>
                <w:sz w:val="14"/>
                <w:szCs w:val="14"/>
                <w:color w:val="auto"/>
              </w:rPr>
              <w:t>253</w:t>
            </w:r>
          </w:p>
        </w:tc>
        <w:tc>
          <w:tcPr>
            <w:tcW w:w="360" w:type="dxa"/>
            <w:vAlign w:val="bottom"/>
            <w:tcBorders>
              <w:bottom w:val="single" w:sz="8" w:color="auto"/>
            </w:tcBorders>
          </w:tcPr>
          <w:p>
            <w:pPr>
              <w:spacing w:after="0"/>
              <w:rPr>
                <w:sz w:val="12"/>
                <w:szCs w:val="12"/>
                <w:color w:val="auto"/>
              </w:rPr>
            </w:pPr>
          </w:p>
        </w:tc>
        <w:tc>
          <w:tcPr>
            <w:tcW w:w="560" w:type="dxa"/>
            <w:vAlign w:val="bottom"/>
            <w:tcBorders>
              <w:bottom w:val="single" w:sz="8" w:color="auto"/>
            </w:tcBorders>
          </w:tcPr>
          <w:p>
            <w:pPr>
              <w:jc w:val="right"/>
              <w:ind w:right="152"/>
              <w:spacing w:after="0" w:line="142" w:lineRule="exact"/>
              <w:rPr>
                <w:sz w:val="20"/>
                <w:szCs w:val="20"/>
                <w:color w:val="auto"/>
              </w:rPr>
            </w:pPr>
            <w:r>
              <w:rPr>
                <w:rFonts w:ascii="Arial" w:cs="Arial" w:eastAsia="Arial" w:hAnsi="Arial"/>
                <w:sz w:val="14"/>
                <w:szCs w:val="14"/>
                <w:color w:val="auto"/>
              </w:rPr>
              <w:t>8</w:t>
            </w:r>
          </w:p>
        </w:tc>
        <w:tc>
          <w:tcPr>
            <w:tcW w:w="280" w:type="dxa"/>
            <w:vAlign w:val="bottom"/>
            <w:tcBorders>
              <w:bottom w:val="single" w:sz="8" w:color="auto"/>
            </w:tcBorders>
          </w:tcPr>
          <w:p>
            <w:pPr>
              <w:spacing w:after="0"/>
              <w:rPr>
                <w:sz w:val="12"/>
                <w:szCs w:val="12"/>
                <w:color w:val="auto"/>
              </w:rPr>
            </w:pPr>
          </w:p>
        </w:tc>
        <w:tc>
          <w:tcPr>
            <w:tcW w:w="860" w:type="dxa"/>
            <w:vAlign w:val="bottom"/>
            <w:tcBorders>
              <w:bottom w:val="single" w:sz="8" w:color="auto"/>
            </w:tcBorders>
          </w:tcPr>
          <w:p>
            <w:pPr>
              <w:jc w:val="right"/>
              <w:ind w:right="152"/>
              <w:spacing w:after="0" w:line="142" w:lineRule="exact"/>
              <w:rPr>
                <w:sz w:val="20"/>
                <w:szCs w:val="20"/>
                <w:color w:val="auto"/>
              </w:rPr>
            </w:pPr>
            <w:r>
              <w:rPr>
                <w:rFonts w:ascii="Arial" w:cs="Arial" w:eastAsia="Arial" w:hAnsi="Arial"/>
                <w:sz w:val="14"/>
                <w:szCs w:val="14"/>
                <w:color w:val="auto"/>
              </w:rPr>
              <w:t>19,221</w:t>
            </w:r>
          </w:p>
        </w:tc>
        <w:tc>
          <w:tcPr>
            <w:tcW w:w="260" w:type="dxa"/>
            <w:vAlign w:val="bottom"/>
            <w:tcBorders>
              <w:bottom w:val="single" w:sz="8" w:color="auto"/>
            </w:tcBorders>
          </w:tcPr>
          <w:p>
            <w:pPr>
              <w:spacing w:after="0"/>
              <w:rPr>
                <w:sz w:val="12"/>
                <w:szCs w:val="12"/>
                <w:color w:val="auto"/>
              </w:rPr>
            </w:pPr>
          </w:p>
        </w:tc>
        <w:tc>
          <w:tcPr>
            <w:tcW w:w="960" w:type="dxa"/>
            <w:vAlign w:val="bottom"/>
            <w:tcBorders>
              <w:bottom w:val="single" w:sz="8" w:color="auto"/>
            </w:tcBorders>
          </w:tcPr>
          <w:p>
            <w:pPr>
              <w:jc w:val="right"/>
              <w:ind w:right="112"/>
              <w:spacing w:after="0" w:line="142" w:lineRule="exact"/>
              <w:rPr>
                <w:sz w:val="20"/>
                <w:szCs w:val="20"/>
                <w:color w:val="auto"/>
              </w:rPr>
            </w:pPr>
            <w:r>
              <w:rPr>
                <w:rFonts w:ascii="Arial" w:cs="Arial" w:eastAsia="Arial" w:hAnsi="Arial"/>
                <w:sz w:val="14"/>
                <w:szCs w:val="14"/>
                <w:color w:val="auto"/>
              </w:rPr>
              <w:t>(1,091)</w:t>
            </w:r>
          </w:p>
        </w:tc>
        <w:tc>
          <w:tcPr>
            <w:tcW w:w="260" w:type="dxa"/>
            <w:vAlign w:val="bottom"/>
            <w:tcBorders>
              <w:bottom w:val="single" w:sz="8" w:color="auto"/>
            </w:tcBorders>
          </w:tcPr>
          <w:p>
            <w:pPr>
              <w:spacing w:after="0"/>
              <w:rPr>
                <w:sz w:val="12"/>
                <w:szCs w:val="12"/>
                <w:color w:val="auto"/>
              </w:rPr>
            </w:pPr>
          </w:p>
        </w:tc>
        <w:tc>
          <w:tcPr>
            <w:tcW w:w="840" w:type="dxa"/>
            <w:vAlign w:val="bottom"/>
            <w:tcBorders>
              <w:bottom w:val="single" w:sz="8" w:color="auto"/>
            </w:tcBorders>
          </w:tcPr>
          <w:p>
            <w:pPr>
              <w:jc w:val="right"/>
              <w:spacing w:after="0" w:line="142" w:lineRule="exact"/>
              <w:rPr>
                <w:sz w:val="20"/>
                <w:szCs w:val="20"/>
                <w:color w:val="auto"/>
              </w:rPr>
            </w:pPr>
            <w:r>
              <w:rPr>
                <w:rFonts w:ascii="Arial" w:cs="Arial" w:eastAsia="Arial" w:hAnsi="Arial"/>
                <w:sz w:val="14"/>
                <w:szCs w:val="14"/>
                <w:b w:val="1"/>
                <w:bCs w:val="1"/>
                <w:color w:val="auto"/>
              </w:rPr>
              <w:t>19,221</w:t>
            </w:r>
          </w:p>
        </w:tc>
        <w:tc>
          <w:tcPr>
            <w:tcW w:w="0" w:type="dxa"/>
            <w:vAlign w:val="bottom"/>
          </w:tcPr>
          <w:p>
            <w:pPr>
              <w:spacing w:after="0"/>
              <w:rPr>
                <w:sz w:val="1"/>
                <w:szCs w:val="1"/>
                <w:color w:val="auto"/>
              </w:rPr>
            </w:pPr>
          </w:p>
        </w:tc>
      </w:tr>
      <w:tr>
        <w:trPr>
          <w:trHeight w:val="141"/>
        </w:trPr>
        <w:tc>
          <w:tcPr>
            <w:tcW w:w="20" w:type="dxa"/>
            <w:vAlign w:val="bottom"/>
          </w:tcPr>
          <w:p>
            <w:pPr>
              <w:spacing w:after="0"/>
              <w:rPr>
                <w:sz w:val="12"/>
                <w:szCs w:val="12"/>
                <w:color w:val="auto"/>
              </w:rPr>
            </w:pPr>
          </w:p>
        </w:tc>
        <w:tc>
          <w:tcPr>
            <w:tcW w:w="3240" w:type="dxa"/>
            <w:vAlign w:val="bottom"/>
          </w:tcPr>
          <w:p>
            <w:pPr>
              <w:spacing w:after="0" w:line="141" w:lineRule="exact"/>
              <w:rPr>
                <w:sz w:val="20"/>
                <w:szCs w:val="20"/>
                <w:color w:val="auto"/>
              </w:rPr>
            </w:pPr>
            <w:r>
              <w:rPr>
                <w:rFonts w:ascii="Arial" w:cs="Arial" w:eastAsia="Arial" w:hAnsi="Arial"/>
                <w:sz w:val="14"/>
                <w:szCs w:val="14"/>
                <w:color w:val="auto"/>
              </w:rPr>
              <w:t>Costs and Expenses</w:t>
            </w:r>
          </w:p>
        </w:tc>
        <w:tc>
          <w:tcPr>
            <w:tcW w:w="48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86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96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840" w:type="dxa"/>
            <w:vAlign w:val="bottom"/>
            <w:vMerge w:val="restart"/>
          </w:tcPr>
          <w:p>
            <w:pPr>
              <w:jc w:val="right"/>
              <w:spacing w:after="0"/>
              <w:rPr>
                <w:sz w:val="20"/>
                <w:szCs w:val="20"/>
                <w:color w:val="auto"/>
              </w:rPr>
            </w:pPr>
            <w:r>
              <w:rPr>
                <w:rFonts w:ascii="Arial" w:cs="Arial" w:eastAsia="Arial" w:hAnsi="Arial"/>
                <w:sz w:val="14"/>
                <w:szCs w:val="14"/>
                <w:b w:val="1"/>
                <w:bCs w:val="1"/>
                <w:color w:val="auto"/>
              </w:rPr>
              <w:t>7,036</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3240" w:type="dxa"/>
            <w:vAlign w:val="bottom"/>
          </w:tcPr>
          <w:p>
            <w:pPr>
              <w:ind w:left="200"/>
              <w:spacing w:after="0" w:line="133" w:lineRule="exact"/>
              <w:rPr>
                <w:sz w:val="20"/>
                <w:szCs w:val="20"/>
                <w:color w:val="auto"/>
              </w:rPr>
            </w:pPr>
            <w:r>
              <w:rPr>
                <w:rFonts w:ascii="Arial" w:cs="Arial" w:eastAsia="Arial" w:hAnsi="Arial"/>
                <w:sz w:val="14"/>
                <w:szCs w:val="14"/>
                <w:color w:val="auto"/>
              </w:rPr>
              <w:t>Operating (excluding depreciation)</w:t>
            </w:r>
          </w:p>
        </w:tc>
        <w:tc>
          <w:tcPr>
            <w:tcW w:w="480" w:type="dxa"/>
            <w:vAlign w:val="bottom"/>
          </w:tcPr>
          <w:p>
            <w:pPr>
              <w:spacing w:after="0"/>
              <w:rPr>
                <w:sz w:val="11"/>
                <w:szCs w:val="11"/>
                <w:color w:val="auto"/>
              </w:rPr>
            </w:pPr>
          </w:p>
        </w:tc>
        <w:tc>
          <w:tcPr>
            <w:tcW w:w="660" w:type="dxa"/>
            <w:vAlign w:val="bottom"/>
          </w:tcPr>
          <w:p>
            <w:pPr>
              <w:jc w:val="right"/>
              <w:ind w:right="152"/>
              <w:spacing w:after="0" w:line="133" w:lineRule="exact"/>
              <w:rPr>
                <w:sz w:val="20"/>
                <w:szCs w:val="20"/>
                <w:color w:val="auto"/>
              </w:rPr>
            </w:pPr>
            <w:r>
              <w:rPr>
                <w:rFonts w:ascii="Arial" w:cs="Arial" w:eastAsia="Arial" w:hAnsi="Arial"/>
                <w:sz w:val="14"/>
                <w:szCs w:val="14"/>
                <w:color w:val="auto"/>
              </w:rPr>
              <w:t>—</w:t>
            </w:r>
          </w:p>
        </w:tc>
        <w:tc>
          <w:tcPr>
            <w:tcW w:w="260" w:type="dxa"/>
            <w:vAlign w:val="bottom"/>
          </w:tcPr>
          <w:p>
            <w:pPr>
              <w:spacing w:after="0"/>
              <w:rPr>
                <w:sz w:val="11"/>
                <w:szCs w:val="11"/>
                <w:color w:val="auto"/>
              </w:rPr>
            </w:pPr>
          </w:p>
        </w:tc>
        <w:tc>
          <w:tcPr>
            <w:tcW w:w="560" w:type="dxa"/>
            <w:vAlign w:val="bottom"/>
          </w:tcPr>
          <w:p>
            <w:pPr>
              <w:jc w:val="right"/>
              <w:ind w:right="152"/>
              <w:spacing w:after="0" w:line="133" w:lineRule="exact"/>
              <w:rPr>
                <w:sz w:val="20"/>
                <w:szCs w:val="20"/>
                <w:color w:val="auto"/>
              </w:rPr>
            </w:pPr>
            <w:r>
              <w:rPr>
                <w:rFonts w:ascii="Arial" w:cs="Arial" w:eastAsia="Arial" w:hAnsi="Arial"/>
                <w:sz w:val="14"/>
                <w:szCs w:val="14"/>
                <w:color w:val="auto"/>
              </w:rPr>
              <w:t>—</w:t>
            </w:r>
          </w:p>
        </w:tc>
        <w:tc>
          <w:tcPr>
            <w:tcW w:w="280" w:type="dxa"/>
            <w:vAlign w:val="bottom"/>
          </w:tcPr>
          <w:p>
            <w:pPr>
              <w:spacing w:after="0"/>
              <w:rPr>
                <w:sz w:val="11"/>
                <w:szCs w:val="11"/>
                <w:color w:val="auto"/>
              </w:rPr>
            </w:pPr>
          </w:p>
        </w:tc>
        <w:tc>
          <w:tcPr>
            <w:tcW w:w="520" w:type="dxa"/>
            <w:vAlign w:val="bottom"/>
          </w:tcPr>
          <w:p>
            <w:pPr>
              <w:jc w:val="right"/>
              <w:ind w:right="152"/>
              <w:spacing w:after="0" w:line="133" w:lineRule="exact"/>
              <w:rPr>
                <w:sz w:val="20"/>
                <w:szCs w:val="20"/>
                <w:color w:val="auto"/>
              </w:rPr>
            </w:pPr>
            <w:r>
              <w:rPr>
                <w:rFonts w:ascii="Arial" w:cs="Arial" w:eastAsia="Arial" w:hAnsi="Arial"/>
                <w:sz w:val="14"/>
                <w:szCs w:val="14"/>
                <w:color w:val="auto"/>
              </w:rPr>
              <w:t>—</w:t>
            </w:r>
          </w:p>
        </w:tc>
        <w:tc>
          <w:tcPr>
            <w:tcW w:w="260" w:type="dxa"/>
            <w:vAlign w:val="bottom"/>
          </w:tcPr>
          <w:p>
            <w:pPr>
              <w:spacing w:after="0"/>
              <w:rPr>
                <w:sz w:val="11"/>
                <w:szCs w:val="11"/>
                <w:color w:val="auto"/>
              </w:rPr>
            </w:pPr>
          </w:p>
        </w:tc>
        <w:tc>
          <w:tcPr>
            <w:tcW w:w="760" w:type="dxa"/>
            <w:vAlign w:val="bottom"/>
          </w:tcPr>
          <w:p>
            <w:pPr>
              <w:jc w:val="right"/>
              <w:ind w:right="152"/>
              <w:spacing w:after="0" w:line="133" w:lineRule="exact"/>
              <w:rPr>
                <w:sz w:val="20"/>
                <w:szCs w:val="20"/>
                <w:color w:val="auto"/>
              </w:rPr>
            </w:pPr>
            <w:r>
              <w:rPr>
                <w:rFonts w:ascii="Arial" w:cs="Arial" w:eastAsia="Arial" w:hAnsi="Arial"/>
                <w:sz w:val="14"/>
                <w:szCs w:val="14"/>
                <w:color w:val="auto"/>
              </w:rPr>
              <w:t>—</w:t>
            </w:r>
          </w:p>
        </w:tc>
        <w:tc>
          <w:tcPr>
            <w:tcW w:w="360" w:type="dxa"/>
            <w:vAlign w:val="bottom"/>
          </w:tcPr>
          <w:p>
            <w:pPr>
              <w:spacing w:after="0"/>
              <w:rPr>
                <w:sz w:val="11"/>
                <w:szCs w:val="11"/>
                <w:color w:val="auto"/>
              </w:rPr>
            </w:pPr>
          </w:p>
        </w:tc>
        <w:tc>
          <w:tcPr>
            <w:tcW w:w="560" w:type="dxa"/>
            <w:vAlign w:val="bottom"/>
          </w:tcPr>
          <w:p>
            <w:pPr>
              <w:jc w:val="right"/>
              <w:ind w:right="152"/>
              <w:spacing w:after="0" w:line="133" w:lineRule="exact"/>
              <w:rPr>
                <w:sz w:val="20"/>
                <w:szCs w:val="20"/>
                <w:color w:val="auto"/>
              </w:rPr>
            </w:pPr>
            <w:r>
              <w:rPr>
                <w:rFonts w:ascii="Arial" w:cs="Arial" w:eastAsia="Arial" w:hAnsi="Arial"/>
                <w:sz w:val="14"/>
                <w:szCs w:val="14"/>
                <w:color w:val="auto"/>
              </w:rPr>
              <w:t>—</w:t>
            </w:r>
          </w:p>
        </w:tc>
        <w:tc>
          <w:tcPr>
            <w:tcW w:w="280" w:type="dxa"/>
            <w:vAlign w:val="bottom"/>
          </w:tcPr>
          <w:p>
            <w:pPr>
              <w:spacing w:after="0"/>
              <w:rPr>
                <w:sz w:val="11"/>
                <w:szCs w:val="11"/>
                <w:color w:val="auto"/>
              </w:rPr>
            </w:pPr>
          </w:p>
        </w:tc>
        <w:tc>
          <w:tcPr>
            <w:tcW w:w="860" w:type="dxa"/>
            <w:vAlign w:val="bottom"/>
          </w:tcPr>
          <w:p>
            <w:pPr>
              <w:jc w:val="right"/>
              <w:ind w:right="152"/>
              <w:spacing w:after="0" w:line="133" w:lineRule="exact"/>
              <w:rPr>
                <w:sz w:val="20"/>
                <w:szCs w:val="20"/>
                <w:color w:val="auto"/>
              </w:rPr>
            </w:pPr>
            <w:r>
              <w:rPr>
                <w:rFonts w:ascii="Arial" w:cs="Arial" w:eastAsia="Arial" w:hAnsi="Arial"/>
                <w:sz w:val="14"/>
                <w:szCs w:val="14"/>
                <w:color w:val="auto"/>
              </w:rPr>
              <w:t>7,036</w:t>
            </w:r>
          </w:p>
        </w:tc>
        <w:tc>
          <w:tcPr>
            <w:tcW w:w="260" w:type="dxa"/>
            <w:vAlign w:val="bottom"/>
          </w:tcPr>
          <w:p>
            <w:pPr>
              <w:spacing w:after="0"/>
              <w:rPr>
                <w:sz w:val="11"/>
                <w:szCs w:val="11"/>
                <w:color w:val="auto"/>
              </w:rPr>
            </w:pPr>
          </w:p>
        </w:tc>
        <w:tc>
          <w:tcPr>
            <w:tcW w:w="960" w:type="dxa"/>
            <w:vAlign w:val="bottom"/>
          </w:tcPr>
          <w:p>
            <w:pPr>
              <w:jc w:val="right"/>
              <w:ind w:right="152"/>
              <w:spacing w:after="0" w:line="133" w:lineRule="exact"/>
              <w:rPr>
                <w:sz w:val="20"/>
                <w:szCs w:val="20"/>
                <w:color w:val="auto"/>
              </w:rPr>
            </w:pPr>
            <w:r>
              <w:rPr>
                <w:rFonts w:ascii="Arial" w:cs="Arial" w:eastAsia="Arial" w:hAnsi="Arial"/>
                <w:sz w:val="14"/>
                <w:szCs w:val="14"/>
                <w:color w:val="auto"/>
              </w:rPr>
              <w:t>—</w:t>
            </w:r>
          </w:p>
        </w:tc>
        <w:tc>
          <w:tcPr>
            <w:tcW w:w="260" w:type="dxa"/>
            <w:vAlign w:val="bottom"/>
          </w:tcPr>
          <w:p>
            <w:pPr>
              <w:spacing w:after="0"/>
              <w:rPr>
                <w:sz w:val="11"/>
                <w:szCs w:val="11"/>
                <w:color w:val="auto"/>
              </w:rPr>
            </w:pPr>
          </w:p>
        </w:tc>
        <w:tc>
          <w:tcPr>
            <w:tcW w:w="840" w:type="dxa"/>
            <w:vAlign w:val="bottom"/>
            <w:vMerge w:val="continue"/>
          </w:tcPr>
          <w:p>
            <w:pPr>
              <w:spacing w:after="0"/>
              <w:rPr>
                <w:sz w:val="11"/>
                <w:szCs w:val="11"/>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240" w:type="dxa"/>
            <w:vAlign w:val="bottom"/>
          </w:tcPr>
          <w:p>
            <w:pPr>
              <w:ind w:left="200"/>
              <w:spacing w:after="0" w:line="149" w:lineRule="exact"/>
              <w:rPr>
                <w:sz w:val="20"/>
                <w:szCs w:val="20"/>
                <w:color w:val="auto"/>
              </w:rPr>
            </w:pPr>
            <w:r>
              <w:rPr>
                <w:rFonts w:ascii="Arial" w:cs="Arial" w:eastAsia="Arial" w:hAnsi="Arial"/>
                <w:sz w:val="14"/>
                <w:szCs w:val="14"/>
                <w:color w:val="auto"/>
              </w:rPr>
              <w:t>Selling, general and administrative</w:t>
            </w:r>
          </w:p>
        </w:tc>
        <w:tc>
          <w:tcPr>
            <w:tcW w:w="480" w:type="dxa"/>
            <w:vAlign w:val="bottom"/>
          </w:tcPr>
          <w:p>
            <w:pPr>
              <w:spacing w:after="0"/>
              <w:rPr>
                <w:sz w:val="12"/>
                <w:szCs w:val="12"/>
                <w:color w:val="auto"/>
              </w:rPr>
            </w:pPr>
          </w:p>
        </w:tc>
        <w:tc>
          <w:tcPr>
            <w:tcW w:w="660" w:type="dxa"/>
            <w:vAlign w:val="bottom"/>
          </w:tcPr>
          <w:p>
            <w:pPr>
              <w:jc w:val="right"/>
              <w:ind w:right="152"/>
              <w:spacing w:after="0" w:line="149" w:lineRule="exact"/>
              <w:rPr>
                <w:sz w:val="20"/>
                <w:szCs w:val="20"/>
                <w:color w:val="auto"/>
              </w:rPr>
            </w:pPr>
            <w:r>
              <w:rPr>
                <w:rFonts w:ascii="Arial" w:cs="Arial" w:eastAsia="Arial" w:hAnsi="Arial"/>
                <w:sz w:val="14"/>
                <w:szCs w:val="14"/>
                <w:color w:val="auto"/>
              </w:rPr>
              <w:t>168</w:t>
            </w:r>
          </w:p>
        </w:tc>
        <w:tc>
          <w:tcPr>
            <w:tcW w:w="260" w:type="dxa"/>
            <w:vAlign w:val="bottom"/>
          </w:tcPr>
          <w:p>
            <w:pPr>
              <w:spacing w:after="0"/>
              <w:rPr>
                <w:sz w:val="12"/>
                <w:szCs w:val="12"/>
                <w:color w:val="auto"/>
              </w:rPr>
            </w:pPr>
          </w:p>
        </w:tc>
        <w:tc>
          <w:tcPr>
            <w:tcW w:w="560" w:type="dxa"/>
            <w:vAlign w:val="bottom"/>
          </w:tcPr>
          <w:p>
            <w:pPr>
              <w:jc w:val="right"/>
              <w:ind w:right="152"/>
              <w:spacing w:after="0" w:line="149" w:lineRule="exact"/>
              <w:rPr>
                <w:sz w:val="20"/>
                <w:szCs w:val="20"/>
                <w:color w:val="auto"/>
              </w:rPr>
            </w:pPr>
            <w:r>
              <w:rPr>
                <w:rFonts w:ascii="Arial" w:cs="Arial" w:eastAsia="Arial" w:hAnsi="Arial"/>
                <w:sz w:val="14"/>
                <w:szCs w:val="14"/>
                <w:color w:val="auto"/>
              </w:rPr>
              <w:t>161</w:t>
            </w:r>
          </w:p>
        </w:tc>
        <w:tc>
          <w:tcPr>
            <w:tcW w:w="280" w:type="dxa"/>
            <w:vAlign w:val="bottom"/>
          </w:tcPr>
          <w:p>
            <w:pPr>
              <w:spacing w:after="0"/>
              <w:rPr>
                <w:sz w:val="12"/>
                <w:szCs w:val="12"/>
                <w:color w:val="auto"/>
              </w:rPr>
            </w:pPr>
          </w:p>
        </w:tc>
        <w:tc>
          <w:tcPr>
            <w:tcW w:w="520" w:type="dxa"/>
            <w:vAlign w:val="bottom"/>
          </w:tcPr>
          <w:p>
            <w:pPr>
              <w:jc w:val="right"/>
              <w:ind w:right="152"/>
              <w:spacing w:after="0" w:line="149" w:lineRule="exact"/>
              <w:rPr>
                <w:sz w:val="20"/>
                <w:szCs w:val="20"/>
                <w:color w:val="auto"/>
              </w:rPr>
            </w:pPr>
            <w:r>
              <w:rPr>
                <w:rFonts w:ascii="Arial" w:cs="Arial" w:eastAsia="Arial" w:hAnsi="Arial"/>
                <w:sz w:val="14"/>
                <w:szCs w:val="14"/>
                <w:color w:val="auto"/>
              </w:rPr>
              <w:t>253</w:t>
            </w:r>
          </w:p>
        </w:tc>
        <w:tc>
          <w:tcPr>
            <w:tcW w:w="260" w:type="dxa"/>
            <w:vAlign w:val="bottom"/>
          </w:tcPr>
          <w:p>
            <w:pPr>
              <w:spacing w:after="0"/>
              <w:rPr>
                <w:sz w:val="12"/>
                <w:szCs w:val="12"/>
                <w:color w:val="auto"/>
              </w:rPr>
            </w:pPr>
          </w:p>
        </w:tc>
        <w:tc>
          <w:tcPr>
            <w:tcW w:w="760" w:type="dxa"/>
            <w:vAlign w:val="bottom"/>
          </w:tcPr>
          <w:p>
            <w:pPr>
              <w:jc w:val="right"/>
              <w:ind w:right="152"/>
              <w:spacing w:after="0" w:line="149" w:lineRule="exact"/>
              <w:rPr>
                <w:sz w:val="20"/>
                <w:szCs w:val="20"/>
                <w:color w:val="auto"/>
              </w:rPr>
            </w:pPr>
            <w:r>
              <w:rPr>
                <w:rFonts w:ascii="Arial" w:cs="Arial" w:eastAsia="Arial" w:hAnsi="Arial"/>
                <w:sz w:val="14"/>
                <w:szCs w:val="14"/>
                <w:color w:val="auto"/>
              </w:rPr>
              <w:t>253</w:t>
            </w:r>
          </w:p>
        </w:tc>
        <w:tc>
          <w:tcPr>
            <w:tcW w:w="360" w:type="dxa"/>
            <w:vAlign w:val="bottom"/>
          </w:tcPr>
          <w:p>
            <w:pPr>
              <w:spacing w:after="0"/>
              <w:rPr>
                <w:sz w:val="12"/>
                <w:szCs w:val="12"/>
                <w:color w:val="auto"/>
              </w:rPr>
            </w:pPr>
          </w:p>
        </w:tc>
        <w:tc>
          <w:tcPr>
            <w:tcW w:w="560" w:type="dxa"/>
            <w:vAlign w:val="bottom"/>
          </w:tcPr>
          <w:p>
            <w:pPr>
              <w:jc w:val="right"/>
              <w:ind w:right="152"/>
              <w:spacing w:after="0" w:line="149" w:lineRule="exact"/>
              <w:rPr>
                <w:sz w:val="20"/>
                <w:szCs w:val="20"/>
                <w:color w:val="auto"/>
              </w:rPr>
            </w:pPr>
            <w:r>
              <w:rPr>
                <w:rFonts w:ascii="Arial" w:cs="Arial" w:eastAsia="Arial" w:hAnsi="Arial"/>
                <w:sz w:val="14"/>
                <w:szCs w:val="14"/>
                <w:color w:val="auto"/>
              </w:rPr>
              <w:t>13</w:t>
            </w:r>
          </w:p>
        </w:tc>
        <w:tc>
          <w:tcPr>
            <w:tcW w:w="280" w:type="dxa"/>
            <w:vAlign w:val="bottom"/>
          </w:tcPr>
          <w:p>
            <w:pPr>
              <w:spacing w:after="0"/>
              <w:rPr>
                <w:sz w:val="12"/>
                <w:szCs w:val="12"/>
                <w:color w:val="auto"/>
              </w:rPr>
            </w:pPr>
          </w:p>
        </w:tc>
        <w:tc>
          <w:tcPr>
            <w:tcW w:w="860" w:type="dxa"/>
            <w:vAlign w:val="bottom"/>
          </w:tcPr>
          <w:p>
            <w:pPr>
              <w:jc w:val="right"/>
              <w:ind w:right="152"/>
              <w:spacing w:after="0" w:line="149" w:lineRule="exact"/>
              <w:rPr>
                <w:sz w:val="20"/>
                <w:szCs w:val="20"/>
                <w:color w:val="auto"/>
              </w:rPr>
            </w:pPr>
            <w:r>
              <w:rPr>
                <w:rFonts w:ascii="Arial" w:cs="Arial" w:eastAsia="Arial" w:hAnsi="Arial"/>
                <w:sz w:val="14"/>
                <w:szCs w:val="14"/>
                <w:color w:val="auto"/>
              </w:rPr>
              <w:t>5,248</w:t>
            </w:r>
          </w:p>
        </w:tc>
        <w:tc>
          <w:tcPr>
            <w:tcW w:w="260" w:type="dxa"/>
            <w:vAlign w:val="bottom"/>
          </w:tcPr>
          <w:p>
            <w:pPr>
              <w:spacing w:after="0"/>
              <w:rPr>
                <w:sz w:val="12"/>
                <w:szCs w:val="12"/>
                <w:color w:val="auto"/>
              </w:rPr>
            </w:pPr>
          </w:p>
        </w:tc>
        <w:tc>
          <w:tcPr>
            <w:tcW w:w="960" w:type="dxa"/>
            <w:vAlign w:val="bottom"/>
          </w:tcPr>
          <w:p>
            <w:pPr>
              <w:jc w:val="right"/>
              <w:ind w:right="112"/>
              <w:spacing w:after="0" w:line="149" w:lineRule="exact"/>
              <w:rPr>
                <w:sz w:val="20"/>
                <w:szCs w:val="20"/>
                <w:color w:val="auto"/>
              </w:rPr>
            </w:pPr>
            <w:r>
              <w:rPr>
                <w:rFonts w:ascii="Arial" w:cs="Arial" w:eastAsia="Arial" w:hAnsi="Arial"/>
                <w:sz w:val="14"/>
                <w:szCs w:val="14"/>
                <w:color w:val="auto"/>
              </w:rPr>
              <w:t>(1,091)</w:t>
            </w:r>
          </w:p>
        </w:tc>
        <w:tc>
          <w:tcPr>
            <w:tcW w:w="260" w:type="dxa"/>
            <w:vAlign w:val="bottom"/>
          </w:tcPr>
          <w:p>
            <w:pPr>
              <w:spacing w:after="0"/>
              <w:rPr>
                <w:sz w:val="12"/>
                <w:szCs w:val="12"/>
                <w:color w:val="auto"/>
              </w:rPr>
            </w:pPr>
          </w:p>
        </w:tc>
        <w:tc>
          <w:tcPr>
            <w:tcW w:w="840" w:type="dxa"/>
            <w:vAlign w:val="bottom"/>
          </w:tcPr>
          <w:p>
            <w:pPr>
              <w:jc w:val="right"/>
              <w:spacing w:after="0" w:line="149" w:lineRule="exact"/>
              <w:rPr>
                <w:sz w:val="20"/>
                <w:szCs w:val="20"/>
                <w:color w:val="auto"/>
              </w:rPr>
            </w:pPr>
            <w:r>
              <w:rPr>
                <w:rFonts w:ascii="Arial" w:cs="Arial" w:eastAsia="Arial" w:hAnsi="Arial"/>
                <w:sz w:val="14"/>
                <w:szCs w:val="14"/>
                <w:b w:val="1"/>
                <w:bCs w:val="1"/>
                <w:color w:val="auto"/>
              </w:rPr>
              <w:t>5,005</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240" w:type="dxa"/>
            <w:vAlign w:val="bottom"/>
          </w:tcPr>
          <w:p>
            <w:pPr>
              <w:ind w:left="200"/>
              <w:spacing w:after="0" w:line="149" w:lineRule="exact"/>
              <w:rPr>
                <w:sz w:val="20"/>
                <w:szCs w:val="20"/>
                <w:color w:val="auto"/>
              </w:rPr>
            </w:pPr>
            <w:r>
              <w:rPr>
                <w:rFonts w:ascii="Arial" w:cs="Arial" w:eastAsia="Arial" w:hAnsi="Arial"/>
                <w:sz w:val="14"/>
                <w:szCs w:val="14"/>
                <w:color w:val="auto"/>
              </w:rPr>
              <w:t>Depreciation</w:t>
            </w:r>
          </w:p>
        </w:tc>
        <w:tc>
          <w:tcPr>
            <w:tcW w:w="480" w:type="dxa"/>
            <w:vAlign w:val="bottom"/>
          </w:tcPr>
          <w:p>
            <w:pPr>
              <w:spacing w:after="0"/>
              <w:rPr>
                <w:sz w:val="12"/>
                <w:szCs w:val="12"/>
                <w:color w:val="auto"/>
              </w:rPr>
            </w:pPr>
          </w:p>
        </w:tc>
        <w:tc>
          <w:tcPr>
            <w:tcW w:w="660" w:type="dxa"/>
            <w:vAlign w:val="bottom"/>
          </w:tcPr>
          <w:p>
            <w:pPr>
              <w:jc w:val="right"/>
              <w:ind w:right="152"/>
              <w:spacing w:after="0" w:line="149" w:lineRule="exact"/>
              <w:rPr>
                <w:sz w:val="20"/>
                <w:szCs w:val="20"/>
                <w:color w:val="auto"/>
              </w:rPr>
            </w:pPr>
            <w:r>
              <w:rPr>
                <w:rFonts w:ascii="Arial" w:cs="Arial" w:eastAsia="Arial" w:hAnsi="Arial"/>
                <w:sz w:val="14"/>
                <w:szCs w:val="14"/>
                <w:color w:val="auto"/>
              </w:rPr>
              <w:t>2</w:t>
            </w:r>
          </w:p>
        </w:tc>
        <w:tc>
          <w:tcPr>
            <w:tcW w:w="260" w:type="dxa"/>
            <w:vAlign w:val="bottom"/>
          </w:tcPr>
          <w:p>
            <w:pPr>
              <w:spacing w:after="0"/>
              <w:rPr>
                <w:sz w:val="12"/>
                <w:szCs w:val="12"/>
                <w:color w:val="auto"/>
              </w:rPr>
            </w:pPr>
          </w:p>
        </w:tc>
        <w:tc>
          <w:tcPr>
            <w:tcW w:w="560" w:type="dxa"/>
            <w:vAlign w:val="bottom"/>
          </w:tcPr>
          <w:p>
            <w:pPr>
              <w:jc w:val="right"/>
              <w:ind w:right="152"/>
              <w:spacing w:after="0" w:line="149" w:lineRule="exact"/>
              <w:rPr>
                <w:sz w:val="20"/>
                <w:szCs w:val="20"/>
                <w:color w:val="auto"/>
              </w:rPr>
            </w:pPr>
            <w:r>
              <w:rPr>
                <w:rFonts w:ascii="Arial" w:cs="Arial" w:eastAsia="Arial" w:hAnsi="Arial"/>
                <w:sz w:val="14"/>
                <w:szCs w:val="14"/>
                <w:color w:val="auto"/>
              </w:rPr>
              <w:t>—</w:t>
            </w:r>
          </w:p>
        </w:tc>
        <w:tc>
          <w:tcPr>
            <w:tcW w:w="280" w:type="dxa"/>
            <w:vAlign w:val="bottom"/>
          </w:tcPr>
          <w:p>
            <w:pPr>
              <w:spacing w:after="0"/>
              <w:rPr>
                <w:sz w:val="12"/>
                <w:szCs w:val="12"/>
                <w:color w:val="auto"/>
              </w:rPr>
            </w:pPr>
          </w:p>
        </w:tc>
        <w:tc>
          <w:tcPr>
            <w:tcW w:w="520" w:type="dxa"/>
            <w:vAlign w:val="bottom"/>
          </w:tcPr>
          <w:p>
            <w:pPr>
              <w:jc w:val="right"/>
              <w:ind w:right="152"/>
              <w:spacing w:after="0" w:line="149" w:lineRule="exact"/>
              <w:rPr>
                <w:sz w:val="20"/>
                <w:szCs w:val="20"/>
                <w:color w:val="auto"/>
              </w:rPr>
            </w:pPr>
            <w:r>
              <w:rPr>
                <w:rFonts w:ascii="Arial" w:cs="Arial" w:eastAsia="Arial" w:hAnsi="Arial"/>
                <w:sz w:val="14"/>
                <w:szCs w:val="14"/>
                <w:color w:val="auto"/>
              </w:rPr>
              <w:t>—</w:t>
            </w:r>
          </w:p>
        </w:tc>
        <w:tc>
          <w:tcPr>
            <w:tcW w:w="260" w:type="dxa"/>
            <w:vAlign w:val="bottom"/>
          </w:tcPr>
          <w:p>
            <w:pPr>
              <w:spacing w:after="0"/>
              <w:rPr>
                <w:sz w:val="12"/>
                <w:szCs w:val="12"/>
                <w:color w:val="auto"/>
              </w:rPr>
            </w:pPr>
          </w:p>
        </w:tc>
        <w:tc>
          <w:tcPr>
            <w:tcW w:w="760" w:type="dxa"/>
            <w:vAlign w:val="bottom"/>
          </w:tcPr>
          <w:p>
            <w:pPr>
              <w:jc w:val="right"/>
              <w:ind w:right="152"/>
              <w:spacing w:after="0" w:line="149" w:lineRule="exact"/>
              <w:rPr>
                <w:sz w:val="20"/>
                <w:szCs w:val="20"/>
                <w:color w:val="auto"/>
              </w:rPr>
            </w:pPr>
            <w:r>
              <w:rPr>
                <w:rFonts w:ascii="Arial" w:cs="Arial" w:eastAsia="Arial" w:hAnsi="Arial"/>
                <w:sz w:val="14"/>
                <w:szCs w:val="14"/>
                <w:color w:val="auto"/>
              </w:rPr>
              <w:t>—</w:t>
            </w:r>
          </w:p>
        </w:tc>
        <w:tc>
          <w:tcPr>
            <w:tcW w:w="360" w:type="dxa"/>
            <w:vAlign w:val="bottom"/>
          </w:tcPr>
          <w:p>
            <w:pPr>
              <w:spacing w:after="0"/>
              <w:rPr>
                <w:sz w:val="12"/>
                <w:szCs w:val="12"/>
                <w:color w:val="auto"/>
              </w:rPr>
            </w:pPr>
          </w:p>
        </w:tc>
        <w:tc>
          <w:tcPr>
            <w:tcW w:w="560" w:type="dxa"/>
            <w:vAlign w:val="bottom"/>
          </w:tcPr>
          <w:p>
            <w:pPr>
              <w:jc w:val="right"/>
              <w:ind w:right="152"/>
              <w:spacing w:after="0" w:line="149" w:lineRule="exact"/>
              <w:rPr>
                <w:sz w:val="20"/>
                <w:szCs w:val="20"/>
                <w:color w:val="auto"/>
              </w:rPr>
            </w:pPr>
            <w:r>
              <w:rPr>
                <w:rFonts w:ascii="Arial" w:cs="Arial" w:eastAsia="Arial" w:hAnsi="Arial"/>
                <w:sz w:val="14"/>
                <w:szCs w:val="14"/>
                <w:color w:val="auto"/>
              </w:rPr>
              <w:t>3</w:t>
            </w:r>
          </w:p>
        </w:tc>
        <w:tc>
          <w:tcPr>
            <w:tcW w:w="280" w:type="dxa"/>
            <w:vAlign w:val="bottom"/>
          </w:tcPr>
          <w:p>
            <w:pPr>
              <w:spacing w:after="0"/>
              <w:rPr>
                <w:sz w:val="12"/>
                <w:szCs w:val="12"/>
                <w:color w:val="auto"/>
              </w:rPr>
            </w:pPr>
          </w:p>
        </w:tc>
        <w:tc>
          <w:tcPr>
            <w:tcW w:w="860" w:type="dxa"/>
            <w:vAlign w:val="bottom"/>
          </w:tcPr>
          <w:p>
            <w:pPr>
              <w:jc w:val="right"/>
              <w:ind w:right="152"/>
              <w:spacing w:after="0" w:line="149" w:lineRule="exact"/>
              <w:rPr>
                <w:sz w:val="20"/>
                <w:szCs w:val="20"/>
                <w:color w:val="auto"/>
              </w:rPr>
            </w:pPr>
            <w:r>
              <w:rPr>
                <w:rFonts w:ascii="Arial" w:cs="Arial" w:eastAsia="Arial" w:hAnsi="Arial"/>
                <w:sz w:val="14"/>
                <w:szCs w:val="14"/>
                <w:color w:val="auto"/>
              </w:rPr>
              <w:t>3,192</w:t>
            </w:r>
          </w:p>
        </w:tc>
        <w:tc>
          <w:tcPr>
            <w:tcW w:w="260" w:type="dxa"/>
            <w:vAlign w:val="bottom"/>
          </w:tcPr>
          <w:p>
            <w:pPr>
              <w:spacing w:after="0"/>
              <w:rPr>
                <w:sz w:val="12"/>
                <w:szCs w:val="12"/>
                <w:color w:val="auto"/>
              </w:rPr>
            </w:pPr>
          </w:p>
        </w:tc>
        <w:tc>
          <w:tcPr>
            <w:tcW w:w="960" w:type="dxa"/>
            <w:vAlign w:val="bottom"/>
          </w:tcPr>
          <w:p>
            <w:pPr>
              <w:jc w:val="right"/>
              <w:ind w:right="152"/>
              <w:spacing w:after="0" w:line="149" w:lineRule="exact"/>
              <w:rPr>
                <w:sz w:val="20"/>
                <w:szCs w:val="20"/>
                <w:color w:val="auto"/>
              </w:rPr>
            </w:pPr>
            <w:r>
              <w:rPr>
                <w:rFonts w:ascii="Arial" w:cs="Arial" w:eastAsia="Arial" w:hAnsi="Arial"/>
                <w:sz w:val="14"/>
                <w:szCs w:val="14"/>
                <w:color w:val="auto"/>
              </w:rPr>
              <w:t>—</w:t>
            </w:r>
          </w:p>
        </w:tc>
        <w:tc>
          <w:tcPr>
            <w:tcW w:w="260" w:type="dxa"/>
            <w:vAlign w:val="bottom"/>
          </w:tcPr>
          <w:p>
            <w:pPr>
              <w:spacing w:after="0"/>
              <w:rPr>
                <w:sz w:val="12"/>
                <w:szCs w:val="12"/>
                <w:color w:val="auto"/>
              </w:rPr>
            </w:pPr>
          </w:p>
        </w:tc>
        <w:tc>
          <w:tcPr>
            <w:tcW w:w="840" w:type="dxa"/>
            <w:vAlign w:val="bottom"/>
          </w:tcPr>
          <w:p>
            <w:pPr>
              <w:jc w:val="right"/>
              <w:spacing w:after="0" w:line="149" w:lineRule="exact"/>
              <w:rPr>
                <w:sz w:val="20"/>
                <w:szCs w:val="20"/>
                <w:color w:val="auto"/>
              </w:rPr>
            </w:pPr>
            <w:r>
              <w:rPr>
                <w:rFonts w:ascii="Arial" w:cs="Arial" w:eastAsia="Arial" w:hAnsi="Arial"/>
                <w:sz w:val="14"/>
                <w:szCs w:val="14"/>
                <w:b w:val="1"/>
                <w:bCs w:val="1"/>
                <w:color w:val="auto"/>
              </w:rPr>
              <w:t>3,197</w:t>
            </w:r>
          </w:p>
        </w:tc>
        <w:tc>
          <w:tcPr>
            <w:tcW w:w="0" w:type="dxa"/>
            <w:vAlign w:val="bottom"/>
          </w:tcPr>
          <w:p>
            <w:pPr>
              <w:spacing w:after="0"/>
              <w:rPr>
                <w:sz w:val="1"/>
                <w:szCs w:val="1"/>
                <w:color w:val="auto"/>
              </w:rPr>
            </w:pPr>
          </w:p>
        </w:tc>
      </w:tr>
      <w:tr>
        <w:trPr>
          <w:trHeight w:val="165"/>
        </w:trPr>
        <w:tc>
          <w:tcPr>
            <w:tcW w:w="20" w:type="dxa"/>
            <w:vAlign w:val="bottom"/>
          </w:tcPr>
          <w:p>
            <w:pPr>
              <w:spacing w:after="0"/>
              <w:rPr>
                <w:sz w:val="14"/>
                <w:szCs w:val="14"/>
                <w:color w:val="auto"/>
              </w:rPr>
            </w:pPr>
          </w:p>
        </w:tc>
        <w:tc>
          <w:tcPr>
            <w:tcW w:w="3240" w:type="dxa"/>
            <w:vAlign w:val="bottom"/>
            <w:tcBorders>
              <w:bottom w:val="single" w:sz="8" w:color="auto"/>
            </w:tcBorders>
          </w:tcPr>
          <w:p>
            <w:pPr>
              <w:ind w:left="200"/>
              <w:spacing w:after="0"/>
              <w:rPr>
                <w:sz w:val="20"/>
                <w:szCs w:val="20"/>
                <w:color w:val="auto"/>
              </w:rPr>
            </w:pPr>
            <w:r>
              <w:rPr>
                <w:rFonts w:ascii="Arial" w:cs="Arial" w:eastAsia="Arial" w:hAnsi="Arial"/>
                <w:sz w:val="14"/>
                <w:szCs w:val="14"/>
                <w:color w:val="auto"/>
              </w:rPr>
              <w:t>Amortization</w:t>
            </w:r>
          </w:p>
        </w:tc>
        <w:tc>
          <w:tcPr>
            <w:tcW w:w="480" w:type="dxa"/>
            <w:vAlign w:val="bottom"/>
            <w:tcBorders>
              <w:bottom w:val="single" w:sz="8" w:color="auto"/>
            </w:tcBorders>
          </w:tcPr>
          <w:p>
            <w:pPr>
              <w:spacing w:after="0"/>
              <w:rPr>
                <w:sz w:val="14"/>
                <w:szCs w:val="14"/>
                <w:color w:val="auto"/>
              </w:rPr>
            </w:pPr>
          </w:p>
        </w:tc>
        <w:tc>
          <w:tcPr>
            <w:tcW w:w="660" w:type="dxa"/>
            <w:vAlign w:val="bottom"/>
            <w:tcBorders>
              <w:bottom w:val="single" w:sz="8" w:color="auto"/>
            </w:tcBorders>
          </w:tcPr>
          <w:p>
            <w:pPr>
              <w:jc w:val="right"/>
              <w:ind w:right="152"/>
              <w:spacing w:after="0"/>
              <w:rPr>
                <w:sz w:val="20"/>
                <w:szCs w:val="20"/>
                <w:color w:val="auto"/>
              </w:rPr>
            </w:pPr>
            <w:r>
              <w:rPr>
                <w:rFonts w:ascii="Arial" w:cs="Arial" w:eastAsia="Arial" w:hAnsi="Arial"/>
                <w:sz w:val="14"/>
                <w:szCs w:val="14"/>
                <w:color w:val="auto"/>
              </w:rPr>
              <w:t>—</w:t>
            </w:r>
          </w:p>
        </w:tc>
        <w:tc>
          <w:tcPr>
            <w:tcW w:w="260" w:type="dxa"/>
            <w:vAlign w:val="bottom"/>
            <w:tcBorders>
              <w:bottom w:val="single" w:sz="8" w:color="auto"/>
            </w:tcBorders>
          </w:tcPr>
          <w:p>
            <w:pPr>
              <w:spacing w:after="0"/>
              <w:rPr>
                <w:sz w:val="14"/>
                <w:szCs w:val="14"/>
                <w:color w:val="auto"/>
              </w:rPr>
            </w:pPr>
          </w:p>
        </w:tc>
        <w:tc>
          <w:tcPr>
            <w:tcW w:w="560" w:type="dxa"/>
            <w:vAlign w:val="bottom"/>
            <w:tcBorders>
              <w:bottom w:val="single" w:sz="8" w:color="auto"/>
            </w:tcBorders>
          </w:tcPr>
          <w:p>
            <w:pPr>
              <w:jc w:val="right"/>
              <w:ind w:right="152"/>
              <w:spacing w:after="0"/>
              <w:rPr>
                <w:sz w:val="20"/>
                <w:szCs w:val="20"/>
                <w:color w:val="auto"/>
              </w:rPr>
            </w:pPr>
            <w:r>
              <w:rPr>
                <w:rFonts w:ascii="Arial" w:cs="Arial" w:eastAsia="Arial" w:hAnsi="Arial"/>
                <w:sz w:val="14"/>
                <w:szCs w:val="14"/>
                <w:color w:val="auto"/>
              </w:rPr>
              <w:t>—</w:t>
            </w:r>
          </w:p>
        </w:tc>
        <w:tc>
          <w:tcPr>
            <w:tcW w:w="280" w:type="dxa"/>
            <w:vAlign w:val="bottom"/>
            <w:tcBorders>
              <w:bottom w:val="single" w:sz="8" w:color="auto"/>
            </w:tcBorders>
          </w:tcPr>
          <w:p>
            <w:pPr>
              <w:spacing w:after="0"/>
              <w:rPr>
                <w:sz w:val="14"/>
                <w:szCs w:val="14"/>
                <w:color w:val="auto"/>
              </w:rPr>
            </w:pPr>
          </w:p>
        </w:tc>
        <w:tc>
          <w:tcPr>
            <w:tcW w:w="520" w:type="dxa"/>
            <w:vAlign w:val="bottom"/>
            <w:tcBorders>
              <w:bottom w:val="single" w:sz="8" w:color="auto"/>
            </w:tcBorders>
          </w:tcPr>
          <w:p>
            <w:pPr>
              <w:jc w:val="right"/>
              <w:ind w:right="152"/>
              <w:spacing w:after="0"/>
              <w:rPr>
                <w:sz w:val="20"/>
                <w:szCs w:val="20"/>
                <w:color w:val="auto"/>
              </w:rPr>
            </w:pPr>
            <w:r>
              <w:rPr>
                <w:rFonts w:ascii="Arial" w:cs="Arial" w:eastAsia="Arial" w:hAnsi="Arial"/>
                <w:sz w:val="14"/>
                <w:szCs w:val="14"/>
                <w:color w:val="auto"/>
              </w:rPr>
              <w:t>—</w:t>
            </w:r>
          </w:p>
        </w:tc>
        <w:tc>
          <w:tcPr>
            <w:tcW w:w="260" w:type="dxa"/>
            <w:vAlign w:val="bottom"/>
            <w:tcBorders>
              <w:bottom w:val="single" w:sz="8" w:color="auto"/>
            </w:tcBorders>
          </w:tcPr>
          <w:p>
            <w:pPr>
              <w:spacing w:after="0"/>
              <w:rPr>
                <w:sz w:val="14"/>
                <w:szCs w:val="14"/>
                <w:color w:val="auto"/>
              </w:rPr>
            </w:pPr>
          </w:p>
        </w:tc>
        <w:tc>
          <w:tcPr>
            <w:tcW w:w="760" w:type="dxa"/>
            <w:vAlign w:val="bottom"/>
            <w:tcBorders>
              <w:bottom w:val="single" w:sz="8" w:color="auto"/>
            </w:tcBorders>
          </w:tcPr>
          <w:p>
            <w:pPr>
              <w:jc w:val="right"/>
              <w:ind w:right="152"/>
              <w:spacing w:after="0"/>
              <w:rPr>
                <w:sz w:val="20"/>
                <w:szCs w:val="20"/>
                <w:color w:val="auto"/>
              </w:rPr>
            </w:pPr>
            <w:r>
              <w:rPr>
                <w:rFonts w:ascii="Arial" w:cs="Arial" w:eastAsia="Arial" w:hAnsi="Arial"/>
                <w:sz w:val="14"/>
                <w:szCs w:val="14"/>
                <w:color w:val="auto"/>
              </w:rPr>
              <w:t>—</w:t>
            </w:r>
          </w:p>
        </w:tc>
        <w:tc>
          <w:tcPr>
            <w:tcW w:w="360" w:type="dxa"/>
            <w:vAlign w:val="bottom"/>
            <w:tcBorders>
              <w:bottom w:val="single" w:sz="8" w:color="auto"/>
            </w:tcBorders>
          </w:tcPr>
          <w:p>
            <w:pPr>
              <w:spacing w:after="0"/>
              <w:rPr>
                <w:sz w:val="14"/>
                <w:szCs w:val="14"/>
                <w:color w:val="auto"/>
              </w:rPr>
            </w:pPr>
          </w:p>
        </w:tc>
        <w:tc>
          <w:tcPr>
            <w:tcW w:w="560" w:type="dxa"/>
            <w:vAlign w:val="bottom"/>
            <w:tcBorders>
              <w:bottom w:val="single" w:sz="8" w:color="auto"/>
            </w:tcBorders>
          </w:tcPr>
          <w:p>
            <w:pPr>
              <w:jc w:val="right"/>
              <w:ind w:right="152"/>
              <w:spacing w:after="0"/>
              <w:rPr>
                <w:sz w:val="20"/>
                <w:szCs w:val="20"/>
                <w:color w:val="auto"/>
              </w:rPr>
            </w:pPr>
            <w:r>
              <w:rPr>
                <w:rFonts w:ascii="Arial" w:cs="Arial" w:eastAsia="Arial" w:hAnsi="Arial"/>
                <w:sz w:val="14"/>
                <w:szCs w:val="14"/>
                <w:color w:val="auto"/>
              </w:rPr>
              <w:t>11</w:t>
            </w:r>
          </w:p>
        </w:tc>
        <w:tc>
          <w:tcPr>
            <w:tcW w:w="280" w:type="dxa"/>
            <w:vAlign w:val="bottom"/>
            <w:tcBorders>
              <w:bottom w:val="single" w:sz="8" w:color="auto"/>
            </w:tcBorders>
          </w:tcPr>
          <w:p>
            <w:pPr>
              <w:spacing w:after="0"/>
              <w:rPr>
                <w:sz w:val="14"/>
                <w:szCs w:val="14"/>
                <w:color w:val="auto"/>
              </w:rPr>
            </w:pPr>
          </w:p>
        </w:tc>
        <w:tc>
          <w:tcPr>
            <w:tcW w:w="860" w:type="dxa"/>
            <w:vAlign w:val="bottom"/>
            <w:tcBorders>
              <w:bottom w:val="single" w:sz="8" w:color="auto"/>
            </w:tcBorders>
          </w:tcPr>
          <w:p>
            <w:pPr>
              <w:jc w:val="right"/>
              <w:ind w:right="152"/>
              <w:spacing w:after="0"/>
              <w:rPr>
                <w:sz w:val="20"/>
                <w:szCs w:val="20"/>
                <w:color w:val="auto"/>
              </w:rPr>
            </w:pPr>
            <w:r>
              <w:rPr>
                <w:rFonts w:ascii="Arial" w:cs="Arial" w:eastAsia="Arial" w:hAnsi="Arial"/>
                <w:sz w:val="14"/>
                <w:szCs w:val="14"/>
                <w:color w:val="auto"/>
              </w:rPr>
              <w:t>1,143</w:t>
            </w:r>
          </w:p>
        </w:tc>
        <w:tc>
          <w:tcPr>
            <w:tcW w:w="260" w:type="dxa"/>
            <w:vAlign w:val="bottom"/>
            <w:tcBorders>
              <w:bottom w:val="single" w:sz="8" w:color="auto"/>
            </w:tcBorders>
          </w:tcPr>
          <w:p>
            <w:pPr>
              <w:spacing w:after="0"/>
              <w:rPr>
                <w:sz w:val="14"/>
                <w:szCs w:val="14"/>
                <w:color w:val="auto"/>
              </w:rPr>
            </w:pPr>
          </w:p>
        </w:tc>
        <w:tc>
          <w:tcPr>
            <w:tcW w:w="960" w:type="dxa"/>
            <w:vAlign w:val="bottom"/>
            <w:tcBorders>
              <w:bottom w:val="single" w:sz="8" w:color="auto"/>
            </w:tcBorders>
          </w:tcPr>
          <w:p>
            <w:pPr>
              <w:jc w:val="right"/>
              <w:ind w:right="152"/>
              <w:spacing w:after="0"/>
              <w:rPr>
                <w:sz w:val="20"/>
                <w:szCs w:val="20"/>
                <w:color w:val="auto"/>
              </w:rPr>
            </w:pPr>
            <w:r>
              <w:rPr>
                <w:rFonts w:ascii="Arial" w:cs="Arial" w:eastAsia="Arial" w:hAnsi="Arial"/>
                <w:sz w:val="14"/>
                <w:szCs w:val="14"/>
                <w:color w:val="auto"/>
              </w:rPr>
              <w:t>—</w:t>
            </w:r>
          </w:p>
        </w:tc>
        <w:tc>
          <w:tcPr>
            <w:tcW w:w="260" w:type="dxa"/>
            <w:vAlign w:val="bottom"/>
            <w:tcBorders>
              <w:bottom w:val="single" w:sz="8" w:color="auto"/>
            </w:tcBorders>
          </w:tcPr>
          <w:p>
            <w:pPr>
              <w:spacing w:after="0"/>
              <w:rPr>
                <w:sz w:val="14"/>
                <w:szCs w:val="14"/>
                <w:color w:val="auto"/>
              </w:rPr>
            </w:pPr>
          </w:p>
        </w:tc>
        <w:tc>
          <w:tcPr>
            <w:tcW w:w="84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1,154</w:t>
            </w:r>
          </w:p>
        </w:tc>
        <w:tc>
          <w:tcPr>
            <w:tcW w:w="0" w:type="dxa"/>
            <w:vAlign w:val="bottom"/>
          </w:tcPr>
          <w:p>
            <w:pPr>
              <w:spacing w:after="0"/>
              <w:rPr>
                <w:sz w:val="1"/>
                <w:szCs w:val="1"/>
                <w:color w:val="auto"/>
              </w:rPr>
            </w:pPr>
          </w:p>
        </w:tc>
      </w:tr>
      <w:tr>
        <w:trPr>
          <w:trHeight w:val="125"/>
        </w:trPr>
        <w:tc>
          <w:tcPr>
            <w:tcW w:w="20" w:type="dxa"/>
            <w:vAlign w:val="bottom"/>
          </w:tcPr>
          <w:p>
            <w:pPr>
              <w:spacing w:after="0"/>
              <w:rPr>
                <w:sz w:val="10"/>
                <w:szCs w:val="10"/>
                <w:color w:val="auto"/>
              </w:rPr>
            </w:pPr>
          </w:p>
        </w:tc>
        <w:tc>
          <w:tcPr>
            <w:tcW w:w="3240" w:type="dxa"/>
            <w:vAlign w:val="bottom"/>
          </w:tcPr>
          <w:p>
            <w:pPr>
              <w:spacing w:after="0"/>
              <w:rPr>
                <w:sz w:val="10"/>
                <w:szCs w:val="10"/>
                <w:color w:val="auto"/>
              </w:rPr>
            </w:pPr>
          </w:p>
        </w:tc>
        <w:tc>
          <w:tcPr>
            <w:tcW w:w="480" w:type="dxa"/>
            <w:vAlign w:val="bottom"/>
          </w:tcPr>
          <w:p>
            <w:pPr>
              <w:spacing w:after="0"/>
              <w:rPr>
                <w:sz w:val="10"/>
                <w:szCs w:val="10"/>
                <w:color w:val="auto"/>
              </w:rPr>
            </w:pPr>
          </w:p>
        </w:tc>
        <w:tc>
          <w:tcPr>
            <w:tcW w:w="660" w:type="dxa"/>
            <w:vAlign w:val="bottom"/>
          </w:tcPr>
          <w:p>
            <w:pPr>
              <w:jc w:val="right"/>
              <w:ind w:right="152"/>
              <w:spacing w:after="0" w:line="125" w:lineRule="exact"/>
              <w:rPr>
                <w:sz w:val="20"/>
                <w:szCs w:val="20"/>
                <w:color w:val="auto"/>
              </w:rPr>
            </w:pPr>
            <w:r>
              <w:rPr>
                <w:rFonts w:ascii="Arial" w:cs="Arial" w:eastAsia="Arial" w:hAnsi="Arial"/>
                <w:sz w:val="14"/>
                <w:szCs w:val="14"/>
                <w:color w:val="auto"/>
              </w:rPr>
              <w:t>170</w:t>
            </w:r>
          </w:p>
        </w:tc>
        <w:tc>
          <w:tcPr>
            <w:tcW w:w="260" w:type="dxa"/>
            <w:vAlign w:val="bottom"/>
          </w:tcPr>
          <w:p>
            <w:pPr>
              <w:spacing w:after="0"/>
              <w:rPr>
                <w:sz w:val="10"/>
                <w:szCs w:val="10"/>
                <w:color w:val="auto"/>
              </w:rPr>
            </w:pPr>
          </w:p>
        </w:tc>
        <w:tc>
          <w:tcPr>
            <w:tcW w:w="560" w:type="dxa"/>
            <w:vAlign w:val="bottom"/>
          </w:tcPr>
          <w:p>
            <w:pPr>
              <w:jc w:val="right"/>
              <w:ind w:right="152"/>
              <w:spacing w:after="0" w:line="125" w:lineRule="exact"/>
              <w:rPr>
                <w:sz w:val="20"/>
                <w:szCs w:val="20"/>
                <w:color w:val="auto"/>
              </w:rPr>
            </w:pPr>
            <w:r>
              <w:rPr>
                <w:rFonts w:ascii="Arial" w:cs="Arial" w:eastAsia="Arial" w:hAnsi="Arial"/>
                <w:sz w:val="14"/>
                <w:szCs w:val="14"/>
                <w:color w:val="auto"/>
              </w:rPr>
              <w:t>161</w:t>
            </w:r>
          </w:p>
        </w:tc>
        <w:tc>
          <w:tcPr>
            <w:tcW w:w="280" w:type="dxa"/>
            <w:vAlign w:val="bottom"/>
          </w:tcPr>
          <w:p>
            <w:pPr>
              <w:spacing w:after="0"/>
              <w:rPr>
                <w:sz w:val="10"/>
                <w:szCs w:val="10"/>
                <w:color w:val="auto"/>
              </w:rPr>
            </w:pPr>
          </w:p>
        </w:tc>
        <w:tc>
          <w:tcPr>
            <w:tcW w:w="520" w:type="dxa"/>
            <w:vAlign w:val="bottom"/>
          </w:tcPr>
          <w:p>
            <w:pPr>
              <w:jc w:val="right"/>
              <w:ind w:right="152"/>
              <w:spacing w:after="0" w:line="125" w:lineRule="exact"/>
              <w:rPr>
                <w:sz w:val="20"/>
                <w:szCs w:val="20"/>
                <w:color w:val="auto"/>
              </w:rPr>
            </w:pPr>
            <w:r>
              <w:rPr>
                <w:rFonts w:ascii="Arial" w:cs="Arial" w:eastAsia="Arial" w:hAnsi="Arial"/>
                <w:sz w:val="14"/>
                <w:szCs w:val="14"/>
                <w:color w:val="auto"/>
              </w:rPr>
              <w:t>253</w:t>
            </w:r>
          </w:p>
        </w:tc>
        <w:tc>
          <w:tcPr>
            <w:tcW w:w="260" w:type="dxa"/>
            <w:vAlign w:val="bottom"/>
          </w:tcPr>
          <w:p>
            <w:pPr>
              <w:spacing w:after="0"/>
              <w:rPr>
                <w:sz w:val="10"/>
                <w:szCs w:val="10"/>
                <w:color w:val="auto"/>
              </w:rPr>
            </w:pPr>
          </w:p>
        </w:tc>
        <w:tc>
          <w:tcPr>
            <w:tcW w:w="760" w:type="dxa"/>
            <w:vAlign w:val="bottom"/>
          </w:tcPr>
          <w:p>
            <w:pPr>
              <w:jc w:val="right"/>
              <w:ind w:right="152"/>
              <w:spacing w:after="0" w:line="125" w:lineRule="exact"/>
              <w:rPr>
                <w:sz w:val="20"/>
                <w:szCs w:val="20"/>
                <w:color w:val="auto"/>
              </w:rPr>
            </w:pPr>
            <w:r>
              <w:rPr>
                <w:rFonts w:ascii="Arial" w:cs="Arial" w:eastAsia="Arial" w:hAnsi="Arial"/>
                <w:sz w:val="14"/>
                <w:szCs w:val="14"/>
                <w:color w:val="auto"/>
              </w:rPr>
              <w:t>253</w:t>
            </w:r>
          </w:p>
        </w:tc>
        <w:tc>
          <w:tcPr>
            <w:tcW w:w="360" w:type="dxa"/>
            <w:vAlign w:val="bottom"/>
          </w:tcPr>
          <w:p>
            <w:pPr>
              <w:spacing w:after="0"/>
              <w:rPr>
                <w:sz w:val="10"/>
                <w:szCs w:val="10"/>
                <w:color w:val="auto"/>
              </w:rPr>
            </w:pPr>
          </w:p>
        </w:tc>
        <w:tc>
          <w:tcPr>
            <w:tcW w:w="560" w:type="dxa"/>
            <w:vAlign w:val="bottom"/>
          </w:tcPr>
          <w:p>
            <w:pPr>
              <w:jc w:val="right"/>
              <w:ind w:right="152"/>
              <w:spacing w:after="0" w:line="125" w:lineRule="exact"/>
              <w:rPr>
                <w:sz w:val="20"/>
                <w:szCs w:val="20"/>
                <w:color w:val="auto"/>
              </w:rPr>
            </w:pPr>
            <w:r>
              <w:rPr>
                <w:rFonts w:ascii="Arial" w:cs="Arial" w:eastAsia="Arial" w:hAnsi="Arial"/>
                <w:sz w:val="14"/>
                <w:szCs w:val="14"/>
                <w:color w:val="auto"/>
              </w:rPr>
              <w:t>27</w:t>
            </w:r>
          </w:p>
        </w:tc>
        <w:tc>
          <w:tcPr>
            <w:tcW w:w="280" w:type="dxa"/>
            <w:vAlign w:val="bottom"/>
          </w:tcPr>
          <w:p>
            <w:pPr>
              <w:spacing w:after="0"/>
              <w:rPr>
                <w:sz w:val="10"/>
                <w:szCs w:val="10"/>
                <w:color w:val="auto"/>
              </w:rPr>
            </w:pPr>
          </w:p>
        </w:tc>
        <w:tc>
          <w:tcPr>
            <w:tcW w:w="860" w:type="dxa"/>
            <w:vAlign w:val="bottom"/>
          </w:tcPr>
          <w:p>
            <w:pPr>
              <w:jc w:val="right"/>
              <w:ind w:right="152"/>
              <w:spacing w:after="0" w:line="125" w:lineRule="exact"/>
              <w:rPr>
                <w:sz w:val="20"/>
                <w:szCs w:val="20"/>
                <w:color w:val="auto"/>
              </w:rPr>
            </w:pPr>
            <w:r>
              <w:rPr>
                <w:rFonts w:ascii="Arial" w:cs="Arial" w:eastAsia="Arial" w:hAnsi="Arial"/>
                <w:sz w:val="14"/>
                <w:szCs w:val="14"/>
                <w:color w:val="auto"/>
              </w:rPr>
              <w:t>16,619</w:t>
            </w:r>
          </w:p>
        </w:tc>
        <w:tc>
          <w:tcPr>
            <w:tcW w:w="260" w:type="dxa"/>
            <w:vAlign w:val="bottom"/>
          </w:tcPr>
          <w:p>
            <w:pPr>
              <w:spacing w:after="0"/>
              <w:rPr>
                <w:sz w:val="10"/>
                <w:szCs w:val="10"/>
                <w:color w:val="auto"/>
              </w:rPr>
            </w:pPr>
          </w:p>
        </w:tc>
        <w:tc>
          <w:tcPr>
            <w:tcW w:w="960" w:type="dxa"/>
            <w:vAlign w:val="bottom"/>
          </w:tcPr>
          <w:p>
            <w:pPr>
              <w:jc w:val="right"/>
              <w:ind w:right="112"/>
              <w:spacing w:after="0" w:line="125" w:lineRule="exact"/>
              <w:rPr>
                <w:sz w:val="20"/>
                <w:szCs w:val="20"/>
                <w:color w:val="auto"/>
              </w:rPr>
            </w:pPr>
            <w:r>
              <w:rPr>
                <w:rFonts w:ascii="Arial" w:cs="Arial" w:eastAsia="Arial" w:hAnsi="Arial"/>
                <w:sz w:val="14"/>
                <w:szCs w:val="14"/>
                <w:color w:val="auto"/>
              </w:rPr>
              <w:t>(1,091)</w:t>
            </w:r>
          </w:p>
        </w:tc>
        <w:tc>
          <w:tcPr>
            <w:tcW w:w="260" w:type="dxa"/>
            <w:vAlign w:val="bottom"/>
          </w:tcPr>
          <w:p>
            <w:pPr>
              <w:spacing w:after="0"/>
              <w:rPr>
                <w:sz w:val="10"/>
                <w:szCs w:val="10"/>
                <w:color w:val="auto"/>
              </w:rPr>
            </w:pPr>
          </w:p>
        </w:tc>
        <w:tc>
          <w:tcPr>
            <w:tcW w:w="840" w:type="dxa"/>
            <w:vAlign w:val="bottom"/>
          </w:tcPr>
          <w:p>
            <w:pPr>
              <w:jc w:val="right"/>
              <w:spacing w:after="0" w:line="125" w:lineRule="exact"/>
              <w:rPr>
                <w:sz w:val="20"/>
                <w:szCs w:val="20"/>
                <w:color w:val="auto"/>
              </w:rPr>
            </w:pPr>
            <w:r>
              <w:rPr>
                <w:rFonts w:ascii="Arial" w:cs="Arial" w:eastAsia="Arial" w:hAnsi="Arial"/>
                <w:sz w:val="14"/>
                <w:szCs w:val="14"/>
                <w:b w:val="1"/>
                <w:bCs w:val="1"/>
                <w:color w:val="auto"/>
              </w:rPr>
              <w:t>16,392</w:t>
            </w:r>
          </w:p>
        </w:tc>
        <w:tc>
          <w:tcPr>
            <w:tcW w:w="0" w:type="dxa"/>
            <w:vAlign w:val="bottom"/>
          </w:tcPr>
          <w:p>
            <w:pPr>
              <w:spacing w:after="0"/>
              <w:rPr>
                <w:sz w:val="1"/>
                <w:szCs w:val="1"/>
                <w:color w:val="auto"/>
              </w:rPr>
            </w:pPr>
          </w:p>
        </w:tc>
      </w:tr>
      <w:tr>
        <w:trPr>
          <w:trHeight w:val="165"/>
        </w:trPr>
        <w:tc>
          <w:tcPr>
            <w:tcW w:w="3260" w:type="dxa"/>
            <w:vAlign w:val="bottom"/>
            <w:gridSpan w:val="2"/>
          </w:tcPr>
          <w:p>
            <w:pPr>
              <w:spacing w:after="0"/>
              <w:rPr>
                <w:sz w:val="20"/>
                <w:szCs w:val="20"/>
                <w:color w:val="auto"/>
              </w:rPr>
            </w:pPr>
            <w:r>
              <w:rPr>
                <w:rFonts w:ascii="Arial" w:cs="Arial" w:eastAsia="Arial" w:hAnsi="Arial"/>
                <w:sz w:val="14"/>
                <w:szCs w:val="14"/>
                <w:color w:val="auto"/>
              </w:rPr>
              <w:t>Operating income (loss)</w:t>
            </w:r>
          </w:p>
        </w:tc>
        <w:tc>
          <w:tcPr>
            <w:tcW w:w="480" w:type="dxa"/>
            <w:vAlign w:val="bottom"/>
          </w:tcPr>
          <w:p>
            <w:pPr>
              <w:spacing w:after="0"/>
              <w:rPr>
                <w:sz w:val="14"/>
                <w:szCs w:val="14"/>
                <w:color w:val="auto"/>
              </w:rPr>
            </w:pPr>
          </w:p>
        </w:tc>
        <w:tc>
          <w:tcPr>
            <w:tcW w:w="660" w:type="dxa"/>
            <w:vAlign w:val="bottom"/>
          </w:tcPr>
          <w:p>
            <w:pPr>
              <w:jc w:val="right"/>
              <w:ind w:right="152"/>
              <w:spacing w:after="0"/>
              <w:rPr>
                <w:sz w:val="20"/>
                <w:szCs w:val="20"/>
                <w:color w:val="auto"/>
              </w:rPr>
            </w:pPr>
            <w:r>
              <w:rPr>
                <w:rFonts w:ascii="Arial" w:cs="Arial" w:eastAsia="Arial" w:hAnsi="Arial"/>
                <w:sz w:val="14"/>
                <w:szCs w:val="14"/>
                <w:color w:val="auto"/>
              </w:rPr>
              <w:t>246</w:t>
            </w:r>
          </w:p>
        </w:tc>
        <w:tc>
          <w:tcPr>
            <w:tcW w:w="260" w:type="dxa"/>
            <w:vAlign w:val="bottom"/>
          </w:tcPr>
          <w:p>
            <w:pPr>
              <w:spacing w:after="0"/>
              <w:rPr>
                <w:sz w:val="14"/>
                <w:szCs w:val="14"/>
                <w:color w:val="auto"/>
              </w:rPr>
            </w:pPr>
          </w:p>
        </w:tc>
        <w:tc>
          <w:tcPr>
            <w:tcW w:w="560" w:type="dxa"/>
            <w:vAlign w:val="bottom"/>
          </w:tcPr>
          <w:p>
            <w:pPr>
              <w:jc w:val="right"/>
              <w:ind w:right="152"/>
              <w:spacing w:after="0"/>
              <w:rPr>
                <w:sz w:val="20"/>
                <w:szCs w:val="20"/>
                <w:color w:val="auto"/>
              </w:rPr>
            </w:pPr>
            <w:r>
              <w:rPr>
                <w:rFonts w:ascii="Arial" w:cs="Arial" w:eastAsia="Arial" w:hAnsi="Arial"/>
                <w:sz w:val="14"/>
                <w:szCs w:val="14"/>
                <w:color w:val="auto"/>
              </w:rPr>
              <w:t>—</w:t>
            </w:r>
          </w:p>
        </w:tc>
        <w:tc>
          <w:tcPr>
            <w:tcW w:w="280" w:type="dxa"/>
            <w:vAlign w:val="bottom"/>
          </w:tcPr>
          <w:p>
            <w:pPr>
              <w:spacing w:after="0"/>
              <w:rPr>
                <w:sz w:val="14"/>
                <w:szCs w:val="14"/>
                <w:color w:val="auto"/>
              </w:rPr>
            </w:pPr>
          </w:p>
        </w:tc>
        <w:tc>
          <w:tcPr>
            <w:tcW w:w="520" w:type="dxa"/>
            <w:vAlign w:val="bottom"/>
          </w:tcPr>
          <w:p>
            <w:pPr>
              <w:jc w:val="right"/>
              <w:ind w:right="152"/>
              <w:spacing w:after="0"/>
              <w:rPr>
                <w:sz w:val="20"/>
                <w:szCs w:val="20"/>
                <w:color w:val="auto"/>
              </w:rPr>
            </w:pPr>
            <w:r>
              <w:rPr>
                <w:rFonts w:ascii="Arial" w:cs="Arial" w:eastAsia="Arial" w:hAnsi="Arial"/>
                <w:sz w:val="14"/>
                <w:szCs w:val="14"/>
                <w:color w:val="auto"/>
              </w:rPr>
              <w:t>—</w:t>
            </w:r>
          </w:p>
        </w:tc>
        <w:tc>
          <w:tcPr>
            <w:tcW w:w="260" w:type="dxa"/>
            <w:vAlign w:val="bottom"/>
          </w:tcPr>
          <w:p>
            <w:pPr>
              <w:spacing w:after="0"/>
              <w:rPr>
                <w:sz w:val="14"/>
                <w:szCs w:val="14"/>
                <w:color w:val="auto"/>
              </w:rPr>
            </w:pPr>
          </w:p>
        </w:tc>
        <w:tc>
          <w:tcPr>
            <w:tcW w:w="760" w:type="dxa"/>
            <w:vAlign w:val="bottom"/>
          </w:tcPr>
          <w:p>
            <w:pPr>
              <w:jc w:val="right"/>
              <w:ind w:right="152"/>
              <w:spacing w:after="0"/>
              <w:rPr>
                <w:sz w:val="20"/>
                <w:szCs w:val="20"/>
                <w:color w:val="auto"/>
              </w:rPr>
            </w:pPr>
            <w:r>
              <w:rPr>
                <w:rFonts w:ascii="Arial" w:cs="Arial" w:eastAsia="Arial" w:hAnsi="Arial"/>
                <w:sz w:val="14"/>
                <w:szCs w:val="14"/>
                <w:color w:val="auto"/>
              </w:rPr>
              <w:t>—</w:t>
            </w:r>
          </w:p>
        </w:tc>
        <w:tc>
          <w:tcPr>
            <w:tcW w:w="360" w:type="dxa"/>
            <w:vAlign w:val="bottom"/>
          </w:tcPr>
          <w:p>
            <w:pPr>
              <w:spacing w:after="0"/>
              <w:rPr>
                <w:sz w:val="14"/>
                <w:szCs w:val="14"/>
                <w:color w:val="auto"/>
              </w:rPr>
            </w:pPr>
          </w:p>
        </w:tc>
        <w:tc>
          <w:tcPr>
            <w:tcW w:w="560" w:type="dxa"/>
            <w:vAlign w:val="bottom"/>
          </w:tcPr>
          <w:p>
            <w:pPr>
              <w:jc w:val="right"/>
              <w:ind w:right="92"/>
              <w:spacing w:after="0"/>
              <w:rPr>
                <w:sz w:val="20"/>
                <w:szCs w:val="20"/>
                <w:color w:val="auto"/>
              </w:rPr>
            </w:pPr>
            <w:r>
              <w:rPr>
                <w:rFonts w:ascii="Arial" w:cs="Arial" w:eastAsia="Arial" w:hAnsi="Arial"/>
                <w:sz w:val="14"/>
                <w:szCs w:val="14"/>
                <w:color w:val="auto"/>
              </w:rPr>
              <w:t>(19)</w:t>
            </w:r>
          </w:p>
        </w:tc>
        <w:tc>
          <w:tcPr>
            <w:tcW w:w="280" w:type="dxa"/>
            <w:vAlign w:val="bottom"/>
          </w:tcPr>
          <w:p>
            <w:pPr>
              <w:spacing w:after="0"/>
              <w:rPr>
                <w:sz w:val="14"/>
                <w:szCs w:val="14"/>
                <w:color w:val="auto"/>
              </w:rPr>
            </w:pPr>
          </w:p>
        </w:tc>
        <w:tc>
          <w:tcPr>
            <w:tcW w:w="860" w:type="dxa"/>
            <w:vAlign w:val="bottom"/>
          </w:tcPr>
          <w:p>
            <w:pPr>
              <w:jc w:val="right"/>
              <w:ind w:right="152"/>
              <w:spacing w:after="0"/>
              <w:rPr>
                <w:sz w:val="20"/>
                <w:szCs w:val="20"/>
                <w:color w:val="auto"/>
              </w:rPr>
            </w:pPr>
            <w:r>
              <w:rPr>
                <w:rFonts w:ascii="Arial" w:cs="Arial" w:eastAsia="Arial" w:hAnsi="Arial"/>
                <w:sz w:val="14"/>
                <w:szCs w:val="14"/>
                <w:color w:val="auto"/>
              </w:rPr>
              <w:t>2,602</w:t>
            </w:r>
          </w:p>
        </w:tc>
        <w:tc>
          <w:tcPr>
            <w:tcW w:w="260" w:type="dxa"/>
            <w:vAlign w:val="bottom"/>
          </w:tcPr>
          <w:p>
            <w:pPr>
              <w:spacing w:after="0"/>
              <w:rPr>
                <w:sz w:val="14"/>
                <w:szCs w:val="14"/>
                <w:color w:val="auto"/>
              </w:rPr>
            </w:pPr>
          </w:p>
        </w:tc>
        <w:tc>
          <w:tcPr>
            <w:tcW w:w="960" w:type="dxa"/>
            <w:vAlign w:val="bottom"/>
          </w:tcPr>
          <w:p>
            <w:pPr>
              <w:jc w:val="right"/>
              <w:ind w:right="152"/>
              <w:spacing w:after="0"/>
              <w:rPr>
                <w:sz w:val="20"/>
                <w:szCs w:val="20"/>
                <w:color w:val="auto"/>
              </w:rPr>
            </w:pPr>
            <w:r>
              <w:rPr>
                <w:rFonts w:ascii="Arial" w:cs="Arial" w:eastAsia="Arial" w:hAnsi="Arial"/>
                <w:sz w:val="14"/>
                <w:szCs w:val="14"/>
                <w:color w:val="auto"/>
              </w:rPr>
              <w:t>—</w:t>
            </w:r>
          </w:p>
        </w:tc>
        <w:tc>
          <w:tcPr>
            <w:tcW w:w="260" w:type="dxa"/>
            <w:vAlign w:val="bottom"/>
          </w:tcPr>
          <w:p>
            <w:pPr>
              <w:spacing w:after="0"/>
              <w:rPr>
                <w:sz w:val="14"/>
                <w:szCs w:val="14"/>
                <w:color w:val="auto"/>
              </w:rPr>
            </w:pPr>
          </w:p>
        </w:tc>
        <w:tc>
          <w:tcPr>
            <w:tcW w:w="840" w:type="dxa"/>
            <w:vAlign w:val="bottom"/>
          </w:tcPr>
          <w:p>
            <w:pPr>
              <w:jc w:val="right"/>
              <w:spacing w:after="0"/>
              <w:rPr>
                <w:sz w:val="20"/>
                <w:szCs w:val="20"/>
                <w:color w:val="auto"/>
              </w:rPr>
            </w:pPr>
            <w:r>
              <w:rPr>
                <w:rFonts w:ascii="Arial" w:cs="Arial" w:eastAsia="Arial" w:hAnsi="Arial"/>
                <w:sz w:val="14"/>
                <w:szCs w:val="14"/>
                <w:b w:val="1"/>
                <w:bCs w:val="1"/>
                <w:color w:val="auto"/>
              </w:rPr>
              <w:t>2,829</w:t>
            </w:r>
          </w:p>
        </w:tc>
        <w:tc>
          <w:tcPr>
            <w:tcW w:w="0" w:type="dxa"/>
            <w:vAlign w:val="bottom"/>
          </w:tcPr>
          <w:p>
            <w:pPr>
              <w:spacing w:after="0"/>
              <w:rPr>
                <w:sz w:val="1"/>
                <w:szCs w:val="1"/>
                <w:color w:val="auto"/>
              </w:rPr>
            </w:pPr>
          </w:p>
        </w:tc>
      </w:tr>
      <w:tr>
        <w:trPr>
          <w:trHeight w:val="149"/>
        </w:trPr>
        <w:tc>
          <w:tcPr>
            <w:tcW w:w="3260" w:type="dxa"/>
            <w:vAlign w:val="bottom"/>
            <w:gridSpan w:val="2"/>
          </w:tcPr>
          <w:p>
            <w:pPr>
              <w:spacing w:after="0" w:line="149" w:lineRule="exact"/>
              <w:rPr>
                <w:sz w:val="20"/>
                <w:szCs w:val="20"/>
                <w:color w:val="auto"/>
              </w:rPr>
            </w:pPr>
            <w:r>
              <w:rPr>
                <w:rFonts w:ascii="Arial" w:cs="Arial" w:eastAsia="Arial" w:hAnsi="Arial"/>
                <w:sz w:val="14"/>
                <w:szCs w:val="14"/>
                <w:color w:val="auto"/>
              </w:rPr>
              <w:t>Other Income (Expense)</w:t>
            </w:r>
          </w:p>
        </w:tc>
        <w:tc>
          <w:tcPr>
            <w:tcW w:w="48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86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96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840" w:type="dxa"/>
            <w:vAlign w:val="bottom"/>
            <w:vMerge w:val="restart"/>
          </w:tcPr>
          <w:p>
            <w:pPr>
              <w:jc w:val="right"/>
              <w:spacing w:after="0"/>
              <w:rPr>
                <w:sz w:val="20"/>
                <w:szCs w:val="20"/>
                <w:color w:val="auto"/>
              </w:rPr>
            </w:pPr>
            <w:r>
              <w:rPr>
                <w:rFonts w:ascii="Arial" w:cs="Arial" w:eastAsia="Arial" w:hAnsi="Arial"/>
                <w:sz w:val="14"/>
                <w:szCs w:val="14"/>
                <w:b w:val="1"/>
                <w:bCs w:val="1"/>
                <w:color w:val="auto"/>
              </w:rPr>
              <w:t>(1,874)</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3240" w:type="dxa"/>
            <w:vAlign w:val="bottom"/>
          </w:tcPr>
          <w:p>
            <w:pPr>
              <w:ind w:left="200"/>
              <w:spacing w:after="0" w:line="133" w:lineRule="exact"/>
              <w:rPr>
                <w:sz w:val="20"/>
                <w:szCs w:val="20"/>
                <w:color w:val="auto"/>
              </w:rPr>
            </w:pPr>
            <w:r>
              <w:rPr>
                <w:rFonts w:ascii="Arial" w:cs="Arial" w:eastAsia="Arial" w:hAnsi="Arial"/>
                <w:sz w:val="14"/>
                <w:szCs w:val="14"/>
                <w:color w:val="auto"/>
              </w:rPr>
              <w:t>Interest expense</w:t>
            </w:r>
          </w:p>
        </w:tc>
        <w:tc>
          <w:tcPr>
            <w:tcW w:w="480" w:type="dxa"/>
            <w:vAlign w:val="bottom"/>
          </w:tcPr>
          <w:p>
            <w:pPr>
              <w:spacing w:after="0"/>
              <w:rPr>
                <w:sz w:val="11"/>
                <w:szCs w:val="11"/>
                <w:color w:val="auto"/>
              </w:rPr>
            </w:pPr>
          </w:p>
        </w:tc>
        <w:tc>
          <w:tcPr>
            <w:tcW w:w="660" w:type="dxa"/>
            <w:vAlign w:val="bottom"/>
          </w:tcPr>
          <w:p>
            <w:pPr>
              <w:jc w:val="right"/>
              <w:ind w:right="112"/>
              <w:spacing w:after="0" w:line="133" w:lineRule="exact"/>
              <w:rPr>
                <w:sz w:val="20"/>
                <w:szCs w:val="20"/>
                <w:color w:val="auto"/>
              </w:rPr>
            </w:pPr>
            <w:r>
              <w:rPr>
                <w:rFonts w:ascii="Arial" w:cs="Arial" w:eastAsia="Arial" w:hAnsi="Arial"/>
                <w:sz w:val="14"/>
                <w:szCs w:val="14"/>
                <w:color w:val="auto"/>
              </w:rPr>
              <w:t>(289)</w:t>
            </w:r>
          </w:p>
        </w:tc>
        <w:tc>
          <w:tcPr>
            <w:tcW w:w="260" w:type="dxa"/>
            <w:vAlign w:val="bottom"/>
          </w:tcPr>
          <w:p>
            <w:pPr>
              <w:spacing w:after="0"/>
              <w:rPr>
                <w:sz w:val="11"/>
                <w:szCs w:val="11"/>
                <w:color w:val="auto"/>
              </w:rPr>
            </w:pPr>
          </w:p>
        </w:tc>
        <w:tc>
          <w:tcPr>
            <w:tcW w:w="560" w:type="dxa"/>
            <w:vAlign w:val="bottom"/>
          </w:tcPr>
          <w:p>
            <w:pPr>
              <w:jc w:val="right"/>
              <w:ind w:right="92"/>
              <w:spacing w:after="0" w:line="133" w:lineRule="exact"/>
              <w:rPr>
                <w:sz w:val="20"/>
                <w:szCs w:val="20"/>
                <w:color w:val="auto"/>
              </w:rPr>
            </w:pPr>
            <w:r>
              <w:rPr>
                <w:rFonts w:ascii="Arial" w:cs="Arial" w:eastAsia="Arial" w:hAnsi="Arial"/>
                <w:sz w:val="14"/>
                <w:szCs w:val="14"/>
                <w:color w:val="auto"/>
              </w:rPr>
              <w:t>(474)</w:t>
            </w:r>
          </w:p>
        </w:tc>
        <w:tc>
          <w:tcPr>
            <w:tcW w:w="280" w:type="dxa"/>
            <w:vAlign w:val="bottom"/>
          </w:tcPr>
          <w:p>
            <w:pPr>
              <w:spacing w:after="0"/>
              <w:rPr>
                <w:sz w:val="11"/>
                <w:szCs w:val="11"/>
                <w:color w:val="auto"/>
              </w:rPr>
            </w:pPr>
          </w:p>
        </w:tc>
        <w:tc>
          <w:tcPr>
            <w:tcW w:w="520" w:type="dxa"/>
            <w:vAlign w:val="bottom"/>
          </w:tcPr>
          <w:p>
            <w:pPr>
              <w:jc w:val="right"/>
              <w:ind w:right="112"/>
              <w:spacing w:after="0" w:line="133" w:lineRule="exact"/>
              <w:rPr>
                <w:sz w:val="20"/>
                <w:szCs w:val="20"/>
                <w:color w:val="auto"/>
              </w:rPr>
            </w:pPr>
            <w:r>
              <w:rPr>
                <w:rFonts w:ascii="Arial" w:cs="Arial" w:eastAsia="Arial" w:hAnsi="Arial"/>
                <w:sz w:val="14"/>
                <w:szCs w:val="14"/>
                <w:color w:val="auto"/>
                <w:w w:val="97"/>
              </w:rPr>
              <w:t>(348)</w:t>
            </w:r>
          </w:p>
        </w:tc>
        <w:tc>
          <w:tcPr>
            <w:tcW w:w="260" w:type="dxa"/>
            <w:vAlign w:val="bottom"/>
          </w:tcPr>
          <w:p>
            <w:pPr>
              <w:spacing w:after="0"/>
              <w:rPr>
                <w:sz w:val="11"/>
                <w:szCs w:val="11"/>
                <w:color w:val="auto"/>
              </w:rPr>
            </w:pPr>
          </w:p>
        </w:tc>
        <w:tc>
          <w:tcPr>
            <w:tcW w:w="760" w:type="dxa"/>
            <w:vAlign w:val="bottom"/>
          </w:tcPr>
          <w:p>
            <w:pPr>
              <w:jc w:val="right"/>
              <w:ind w:right="112"/>
              <w:spacing w:after="0" w:line="133" w:lineRule="exact"/>
              <w:rPr>
                <w:sz w:val="20"/>
                <w:szCs w:val="20"/>
                <w:color w:val="auto"/>
              </w:rPr>
            </w:pPr>
            <w:r>
              <w:rPr>
                <w:rFonts w:ascii="Arial" w:cs="Arial" w:eastAsia="Arial" w:hAnsi="Arial"/>
                <w:sz w:val="14"/>
                <w:szCs w:val="14"/>
                <w:color w:val="auto"/>
              </w:rPr>
              <w:t>(399)</w:t>
            </w:r>
          </w:p>
        </w:tc>
        <w:tc>
          <w:tcPr>
            <w:tcW w:w="360" w:type="dxa"/>
            <w:vAlign w:val="bottom"/>
          </w:tcPr>
          <w:p>
            <w:pPr>
              <w:spacing w:after="0"/>
              <w:rPr>
                <w:sz w:val="11"/>
                <w:szCs w:val="11"/>
                <w:color w:val="auto"/>
              </w:rPr>
            </w:pPr>
          </w:p>
        </w:tc>
        <w:tc>
          <w:tcPr>
            <w:tcW w:w="560" w:type="dxa"/>
            <w:vAlign w:val="bottom"/>
          </w:tcPr>
          <w:p>
            <w:pPr>
              <w:jc w:val="right"/>
              <w:ind w:right="92"/>
              <w:spacing w:after="0" w:line="133" w:lineRule="exact"/>
              <w:rPr>
                <w:sz w:val="20"/>
                <w:szCs w:val="20"/>
                <w:color w:val="auto"/>
              </w:rPr>
            </w:pPr>
            <w:r>
              <w:rPr>
                <w:rFonts w:ascii="Arial" w:cs="Arial" w:eastAsia="Arial" w:hAnsi="Arial"/>
                <w:sz w:val="14"/>
                <w:szCs w:val="14"/>
                <w:color w:val="auto"/>
              </w:rPr>
              <w:t>(98)</w:t>
            </w:r>
          </w:p>
        </w:tc>
        <w:tc>
          <w:tcPr>
            <w:tcW w:w="280" w:type="dxa"/>
            <w:vAlign w:val="bottom"/>
          </w:tcPr>
          <w:p>
            <w:pPr>
              <w:spacing w:after="0"/>
              <w:rPr>
                <w:sz w:val="11"/>
                <w:szCs w:val="11"/>
                <w:color w:val="auto"/>
              </w:rPr>
            </w:pPr>
          </w:p>
        </w:tc>
        <w:tc>
          <w:tcPr>
            <w:tcW w:w="860" w:type="dxa"/>
            <w:vAlign w:val="bottom"/>
          </w:tcPr>
          <w:p>
            <w:pPr>
              <w:jc w:val="right"/>
              <w:ind w:right="112"/>
              <w:spacing w:after="0" w:line="133" w:lineRule="exact"/>
              <w:rPr>
                <w:sz w:val="20"/>
                <w:szCs w:val="20"/>
                <w:color w:val="auto"/>
              </w:rPr>
            </w:pPr>
            <w:r>
              <w:rPr>
                <w:rFonts w:ascii="Arial" w:cs="Arial" w:eastAsia="Arial" w:hAnsi="Arial"/>
                <w:sz w:val="14"/>
                <w:szCs w:val="14"/>
                <w:color w:val="auto"/>
              </w:rPr>
              <w:t>(266)</w:t>
            </w:r>
          </w:p>
        </w:tc>
        <w:tc>
          <w:tcPr>
            <w:tcW w:w="260" w:type="dxa"/>
            <w:vAlign w:val="bottom"/>
          </w:tcPr>
          <w:p>
            <w:pPr>
              <w:spacing w:after="0"/>
              <w:rPr>
                <w:sz w:val="11"/>
                <w:szCs w:val="11"/>
                <w:color w:val="auto"/>
              </w:rPr>
            </w:pPr>
          </w:p>
        </w:tc>
        <w:tc>
          <w:tcPr>
            <w:tcW w:w="960" w:type="dxa"/>
            <w:vAlign w:val="bottom"/>
          </w:tcPr>
          <w:p>
            <w:pPr>
              <w:jc w:val="right"/>
              <w:ind w:right="152"/>
              <w:spacing w:after="0" w:line="133" w:lineRule="exact"/>
              <w:rPr>
                <w:sz w:val="20"/>
                <w:szCs w:val="20"/>
                <w:color w:val="auto"/>
              </w:rPr>
            </w:pPr>
            <w:r>
              <w:rPr>
                <w:rFonts w:ascii="Arial" w:cs="Arial" w:eastAsia="Arial" w:hAnsi="Arial"/>
                <w:sz w:val="14"/>
                <w:szCs w:val="14"/>
                <w:color w:val="auto"/>
              </w:rPr>
              <w:t>—</w:t>
            </w:r>
          </w:p>
        </w:tc>
        <w:tc>
          <w:tcPr>
            <w:tcW w:w="260" w:type="dxa"/>
            <w:vAlign w:val="bottom"/>
          </w:tcPr>
          <w:p>
            <w:pPr>
              <w:spacing w:after="0"/>
              <w:rPr>
                <w:sz w:val="11"/>
                <w:szCs w:val="11"/>
                <w:color w:val="auto"/>
              </w:rPr>
            </w:pPr>
          </w:p>
        </w:tc>
        <w:tc>
          <w:tcPr>
            <w:tcW w:w="840" w:type="dxa"/>
            <w:vAlign w:val="bottom"/>
            <w:vMerge w:val="continue"/>
          </w:tcPr>
          <w:p>
            <w:pPr>
              <w:spacing w:after="0"/>
              <w:rPr>
                <w:sz w:val="11"/>
                <w:szCs w:val="11"/>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240" w:type="dxa"/>
            <w:vAlign w:val="bottom"/>
          </w:tcPr>
          <w:p>
            <w:pPr>
              <w:ind w:left="200"/>
              <w:spacing w:after="0" w:line="149" w:lineRule="exact"/>
              <w:rPr>
                <w:sz w:val="20"/>
                <w:szCs w:val="20"/>
                <w:color w:val="auto"/>
              </w:rPr>
            </w:pPr>
            <w:r>
              <w:rPr>
                <w:rFonts w:ascii="Arial" w:cs="Arial" w:eastAsia="Arial" w:hAnsi="Arial"/>
                <w:sz w:val="14"/>
                <w:szCs w:val="14"/>
                <w:color w:val="auto"/>
              </w:rPr>
              <w:t>Investment income (loss), net</w:t>
            </w:r>
          </w:p>
        </w:tc>
        <w:tc>
          <w:tcPr>
            <w:tcW w:w="480" w:type="dxa"/>
            <w:vAlign w:val="bottom"/>
          </w:tcPr>
          <w:p>
            <w:pPr>
              <w:spacing w:after="0"/>
              <w:rPr>
                <w:sz w:val="12"/>
                <w:szCs w:val="12"/>
                <w:color w:val="auto"/>
              </w:rPr>
            </w:pPr>
          </w:p>
        </w:tc>
        <w:tc>
          <w:tcPr>
            <w:tcW w:w="660" w:type="dxa"/>
            <w:vAlign w:val="bottom"/>
          </w:tcPr>
          <w:p>
            <w:pPr>
              <w:jc w:val="right"/>
              <w:ind w:right="152"/>
              <w:spacing w:after="0" w:line="149" w:lineRule="exact"/>
              <w:rPr>
                <w:sz w:val="20"/>
                <w:szCs w:val="20"/>
                <w:color w:val="auto"/>
              </w:rPr>
            </w:pPr>
            <w:r>
              <w:rPr>
                <w:rFonts w:ascii="Arial" w:cs="Arial" w:eastAsia="Arial" w:hAnsi="Arial"/>
                <w:sz w:val="14"/>
                <w:szCs w:val="14"/>
                <w:color w:val="auto"/>
              </w:rPr>
              <w:t>—</w:t>
            </w:r>
          </w:p>
        </w:tc>
        <w:tc>
          <w:tcPr>
            <w:tcW w:w="260" w:type="dxa"/>
            <w:vAlign w:val="bottom"/>
          </w:tcPr>
          <w:p>
            <w:pPr>
              <w:spacing w:after="0"/>
              <w:rPr>
                <w:sz w:val="12"/>
                <w:szCs w:val="12"/>
                <w:color w:val="auto"/>
              </w:rPr>
            </w:pPr>
          </w:p>
        </w:tc>
        <w:tc>
          <w:tcPr>
            <w:tcW w:w="560" w:type="dxa"/>
            <w:vAlign w:val="bottom"/>
          </w:tcPr>
          <w:p>
            <w:pPr>
              <w:jc w:val="right"/>
              <w:ind w:right="152"/>
              <w:spacing w:after="0" w:line="149" w:lineRule="exact"/>
              <w:rPr>
                <w:sz w:val="20"/>
                <w:szCs w:val="20"/>
                <w:color w:val="auto"/>
              </w:rPr>
            </w:pPr>
            <w:r>
              <w:rPr>
                <w:rFonts w:ascii="Arial" w:cs="Arial" w:eastAsia="Arial" w:hAnsi="Arial"/>
                <w:sz w:val="14"/>
                <w:szCs w:val="14"/>
                <w:color w:val="auto"/>
              </w:rPr>
              <w:t>—</w:t>
            </w:r>
          </w:p>
        </w:tc>
        <w:tc>
          <w:tcPr>
            <w:tcW w:w="280" w:type="dxa"/>
            <w:vAlign w:val="bottom"/>
          </w:tcPr>
          <w:p>
            <w:pPr>
              <w:spacing w:after="0"/>
              <w:rPr>
                <w:sz w:val="12"/>
                <w:szCs w:val="12"/>
                <w:color w:val="auto"/>
              </w:rPr>
            </w:pPr>
          </w:p>
        </w:tc>
        <w:tc>
          <w:tcPr>
            <w:tcW w:w="520" w:type="dxa"/>
            <w:vAlign w:val="bottom"/>
          </w:tcPr>
          <w:p>
            <w:pPr>
              <w:jc w:val="right"/>
              <w:ind w:right="152"/>
              <w:spacing w:after="0" w:line="149" w:lineRule="exact"/>
              <w:rPr>
                <w:sz w:val="20"/>
                <w:szCs w:val="20"/>
                <w:color w:val="auto"/>
              </w:rPr>
            </w:pPr>
            <w:r>
              <w:rPr>
                <w:rFonts w:ascii="Arial" w:cs="Arial" w:eastAsia="Arial" w:hAnsi="Arial"/>
                <w:sz w:val="14"/>
                <w:szCs w:val="14"/>
                <w:color w:val="auto"/>
              </w:rPr>
              <w:t>—</w:t>
            </w:r>
          </w:p>
        </w:tc>
        <w:tc>
          <w:tcPr>
            <w:tcW w:w="260" w:type="dxa"/>
            <w:vAlign w:val="bottom"/>
          </w:tcPr>
          <w:p>
            <w:pPr>
              <w:spacing w:after="0"/>
              <w:rPr>
                <w:sz w:val="12"/>
                <w:szCs w:val="12"/>
                <w:color w:val="auto"/>
              </w:rPr>
            </w:pPr>
          </w:p>
        </w:tc>
        <w:tc>
          <w:tcPr>
            <w:tcW w:w="760" w:type="dxa"/>
            <w:vAlign w:val="bottom"/>
          </w:tcPr>
          <w:p>
            <w:pPr>
              <w:jc w:val="right"/>
              <w:ind w:right="152"/>
              <w:spacing w:after="0" w:line="149" w:lineRule="exact"/>
              <w:rPr>
                <w:sz w:val="20"/>
                <w:szCs w:val="20"/>
                <w:color w:val="auto"/>
              </w:rPr>
            </w:pPr>
            <w:r>
              <w:rPr>
                <w:rFonts w:ascii="Arial" w:cs="Arial" w:eastAsia="Arial" w:hAnsi="Arial"/>
                <w:sz w:val="14"/>
                <w:szCs w:val="14"/>
                <w:color w:val="auto"/>
              </w:rPr>
              <w:t>—</w:t>
            </w:r>
          </w:p>
        </w:tc>
        <w:tc>
          <w:tcPr>
            <w:tcW w:w="360" w:type="dxa"/>
            <w:vAlign w:val="bottom"/>
          </w:tcPr>
          <w:p>
            <w:pPr>
              <w:spacing w:after="0"/>
              <w:rPr>
                <w:sz w:val="12"/>
                <w:szCs w:val="12"/>
                <w:color w:val="auto"/>
              </w:rPr>
            </w:pPr>
          </w:p>
        </w:tc>
        <w:tc>
          <w:tcPr>
            <w:tcW w:w="560" w:type="dxa"/>
            <w:vAlign w:val="bottom"/>
          </w:tcPr>
          <w:p>
            <w:pPr>
              <w:jc w:val="right"/>
              <w:ind w:right="152"/>
              <w:spacing w:after="0" w:line="149" w:lineRule="exact"/>
              <w:rPr>
                <w:sz w:val="20"/>
                <w:szCs w:val="20"/>
                <w:color w:val="auto"/>
              </w:rPr>
            </w:pPr>
            <w:r>
              <w:rPr>
                <w:rFonts w:ascii="Arial" w:cs="Arial" w:eastAsia="Arial" w:hAnsi="Arial"/>
                <w:sz w:val="14"/>
                <w:szCs w:val="14"/>
                <w:color w:val="auto"/>
              </w:rPr>
              <w:t>100</w:t>
            </w:r>
          </w:p>
        </w:tc>
        <w:tc>
          <w:tcPr>
            <w:tcW w:w="280" w:type="dxa"/>
            <w:vAlign w:val="bottom"/>
          </w:tcPr>
          <w:p>
            <w:pPr>
              <w:spacing w:after="0"/>
              <w:rPr>
                <w:sz w:val="12"/>
                <w:szCs w:val="12"/>
                <w:color w:val="auto"/>
              </w:rPr>
            </w:pPr>
          </w:p>
        </w:tc>
        <w:tc>
          <w:tcPr>
            <w:tcW w:w="860" w:type="dxa"/>
            <w:vAlign w:val="bottom"/>
          </w:tcPr>
          <w:p>
            <w:pPr>
              <w:jc w:val="right"/>
              <w:ind w:right="152"/>
              <w:spacing w:after="0" w:line="149" w:lineRule="exact"/>
              <w:rPr>
                <w:sz w:val="20"/>
                <w:szCs w:val="20"/>
                <w:color w:val="auto"/>
              </w:rPr>
            </w:pPr>
            <w:r>
              <w:rPr>
                <w:rFonts w:ascii="Arial" w:cs="Arial" w:eastAsia="Arial" w:hAnsi="Arial"/>
                <w:sz w:val="14"/>
                <w:szCs w:val="14"/>
                <w:color w:val="auto"/>
              </w:rPr>
              <w:t>372</w:t>
            </w:r>
          </w:p>
        </w:tc>
        <w:tc>
          <w:tcPr>
            <w:tcW w:w="260" w:type="dxa"/>
            <w:vAlign w:val="bottom"/>
          </w:tcPr>
          <w:p>
            <w:pPr>
              <w:spacing w:after="0"/>
              <w:rPr>
                <w:sz w:val="12"/>
                <w:szCs w:val="12"/>
                <w:color w:val="auto"/>
              </w:rPr>
            </w:pPr>
          </w:p>
        </w:tc>
        <w:tc>
          <w:tcPr>
            <w:tcW w:w="960" w:type="dxa"/>
            <w:vAlign w:val="bottom"/>
          </w:tcPr>
          <w:p>
            <w:pPr>
              <w:jc w:val="right"/>
              <w:ind w:right="152"/>
              <w:spacing w:after="0" w:line="149" w:lineRule="exact"/>
              <w:rPr>
                <w:sz w:val="20"/>
                <w:szCs w:val="20"/>
                <w:color w:val="auto"/>
              </w:rPr>
            </w:pPr>
            <w:r>
              <w:rPr>
                <w:rFonts w:ascii="Arial" w:cs="Arial" w:eastAsia="Arial" w:hAnsi="Arial"/>
                <w:sz w:val="14"/>
                <w:szCs w:val="14"/>
                <w:color w:val="auto"/>
              </w:rPr>
              <w:t>—</w:t>
            </w:r>
          </w:p>
        </w:tc>
        <w:tc>
          <w:tcPr>
            <w:tcW w:w="260" w:type="dxa"/>
            <w:vAlign w:val="bottom"/>
          </w:tcPr>
          <w:p>
            <w:pPr>
              <w:spacing w:after="0"/>
              <w:rPr>
                <w:sz w:val="12"/>
                <w:szCs w:val="12"/>
                <w:color w:val="auto"/>
              </w:rPr>
            </w:pPr>
          </w:p>
        </w:tc>
        <w:tc>
          <w:tcPr>
            <w:tcW w:w="840" w:type="dxa"/>
            <w:vAlign w:val="bottom"/>
          </w:tcPr>
          <w:p>
            <w:pPr>
              <w:jc w:val="right"/>
              <w:spacing w:after="0" w:line="149" w:lineRule="exact"/>
              <w:rPr>
                <w:sz w:val="20"/>
                <w:szCs w:val="20"/>
                <w:color w:val="auto"/>
              </w:rPr>
            </w:pPr>
            <w:r>
              <w:rPr>
                <w:rFonts w:ascii="Arial" w:cs="Arial" w:eastAsia="Arial" w:hAnsi="Arial"/>
                <w:sz w:val="14"/>
                <w:szCs w:val="14"/>
                <w:b w:val="1"/>
                <w:bCs w:val="1"/>
                <w:color w:val="auto"/>
              </w:rPr>
              <w:t>472</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240" w:type="dxa"/>
            <w:vAlign w:val="bottom"/>
          </w:tcPr>
          <w:p>
            <w:pPr>
              <w:ind w:left="200"/>
              <w:spacing w:after="0" w:line="149" w:lineRule="exact"/>
              <w:rPr>
                <w:sz w:val="20"/>
                <w:szCs w:val="20"/>
                <w:color w:val="auto"/>
              </w:rPr>
            </w:pPr>
            <w:r>
              <w:rPr>
                <w:rFonts w:ascii="Arial" w:cs="Arial" w:eastAsia="Arial" w:hAnsi="Arial"/>
                <w:sz w:val="14"/>
                <w:szCs w:val="14"/>
                <w:color w:val="auto"/>
              </w:rPr>
              <w:t>Equity in net income (losses) of affiliates</w:t>
            </w:r>
          </w:p>
        </w:tc>
        <w:tc>
          <w:tcPr>
            <w:tcW w:w="480" w:type="dxa"/>
            <w:vAlign w:val="bottom"/>
          </w:tcPr>
          <w:p>
            <w:pPr>
              <w:spacing w:after="0"/>
              <w:rPr>
                <w:sz w:val="12"/>
                <w:szCs w:val="12"/>
                <w:color w:val="auto"/>
              </w:rPr>
            </w:pPr>
          </w:p>
        </w:tc>
        <w:tc>
          <w:tcPr>
            <w:tcW w:w="660" w:type="dxa"/>
            <w:vAlign w:val="bottom"/>
          </w:tcPr>
          <w:p>
            <w:pPr>
              <w:jc w:val="right"/>
              <w:ind w:right="152"/>
              <w:spacing w:after="0" w:line="149" w:lineRule="exact"/>
              <w:rPr>
                <w:sz w:val="20"/>
                <w:szCs w:val="20"/>
                <w:color w:val="auto"/>
              </w:rPr>
            </w:pPr>
            <w:r>
              <w:rPr>
                <w:rFonts w:ascii="Arial" w:cs="Arial" w:eastAsia="Arial" w:hAnsi="Arial"/>
                <w:sz w:val="14"/>
                <w:szCs w:val="14"/>
                <w:color w:val="auto"/>
              </w:rPr>
              <w:t>998</w:t>
            </w:r>
          </w:p>
        </w:tc>
        <w:tc>
          <w:tcPr>
            <w:tcW w:w="260" w:type="dxa"/>
            <w:vAlign w:val="bottom"/>
          </w:tcPr>
          <w:p>
            <w:pPr>
              <w:spacing w:after="0"/>
              <w:rPr>
                <w:sz w:val="12"/>
                <w:szCs w:val="12"/>
                <w:color w:val="auto"/>
              </w:rPr>
            </w:pPr>
          </w:p>
        </w:tc>
        <w:tc>
          <w:tcPr>
            <w:tcW w:w="560" w:type="dxa"/>
            <w:vAlign w:val="bottom"/>
          </w:tcPr>
          <w:p>
            <w:pPr>
              <w:jc w:val="right"/>
              <w:ind w:right="152"/>
              <w:spacing w:after="0" w:line="149" w:lineRule="exact"/>
              <w:rPr>
                <w:sz w:val="20"/>
                <w:szCs w:val="20"/>
                <w:color w:val="auto"/>
              </w:rPr>
            </w:pPr>
            <w:r>
              <w:rPr>
                <w:rFonts w:ascii="Arial" w:cs="Arial" w:eastAsia="Arial" w:hAnsi="Arial"/>
                <w:sz w:val="14"/>
                <w:szCs w:val="14"/>
                <w:color w:val="auto"/>
                <w:w w:val="91"/>
              </w:rPr>
              <w:t>1,170</w:t>
            </w:r>
          </w:p>
        </w:tc>
        <w:tc>
          <w:tcPr>
            <w:tcW w:w="280" w:type="dxa"/>
            <w:vAlign w:val="bottom"/>
          </w:tcPr>
          <w:p>
            <w:pPr>
              <w:spacing w:after="0"/>
              <w:rPr>
                <w:sz w:val="12"/>
                <w:szCs w:val="12"/>
                <w:color w:val="auto"/>
              </w:rPr>
            </w:pPr>
          </w:p>
        </w:tc>
        <w:tc>
          <w:tcPr>
            <w:tcW w:w="520" w:type="dxa"/>
            <w:vAlign w:val="bottom"/>
          </w:tcPr>
          <w:p>
            <w:pPr>
              <w:jc w:val="right"/>
              <w:ind w:right="152"/>
              <w:spacing w:after="0" w:line="149" w:lineRule="exact"/>
              <w:rPr>
                <w:sz w:val="20"/>
                <w:szCs w:val="20"/>
                <w:color w:val="auto"/>
              </w:rPr>
            </w:pPr>
            <w:r>
              <w:rPr>
                <w:rFonts w:ascii="Arial" w:cs="Arial" w:eastAsia="Arial" w:hAnsi="Arial"/>
                <w:sz w:val="14"/>
                <w:szCs w:val="14"/>
                <w:color w:val="auto"/>
              </w:rPr>
              <w:t>310</w:t>
            </w:r>
          </w:p>
        </w:tc>
        <w:tc>
          <w:tcPr>
            <w:tcW w:w="260" w:type="dxa"/>
            <w:vAlign w:val="bottom"/>
          </w:tcPr>
          <w:p>
            <w:pPr>
              <w:spacing w:after="0"/>
              <w:rPr>
                <w:sz w:val="12"/>
                <w:szCs w:val="12"/>
                <w:color w:val="auto"/>
              </w:rPr>
            </w:pPr>
          </w:p>
        </w:tc>
        <w:tc>
          <w:tcPr>
            <w:tcW w:w="760" w:type="dxa"/>
            <w:vAlign w:val="bottom"/>
          </w:tcPr>
          <w:p>
            <w:pPr>
              <w:jc w:val="right"/>
              <w:ind w:right="152"/>
              <w:spacing w:after="0" w:line="149" w:lineRule="exact"/>
              <w:rPr>
                <w:sz w:val="20"/>
                <w:szCs w:val="20"/>
                <w:color w:val="auto"/>
              </w:rPr>
            </w:pPr>
            <w:r>
              <w:rPr>
                <w:rFonts w:ascii="Arial" w:cs="Arial" w:eastAsia="Arial" w:hAnsi="Arial"/>
                <w:sz w:val="14"/>
                <w:szCs w:val="14"/>
                <w:color w:val="auto"/>
              </w:rPr>
              <w:t>569</w:t>
            </w:r>
          </w:p>
        </w:tc>
        <w:tc>
          <w:tcPr>
            <w:tcW w:w="360" w:type="dxa"/>
            <w:vAlign w:val="bottom"/>
          </w:tcPr>
          <w:p>
            <w:pPr>
              <w:spacing w:after="0"/>
              <w:rPr>
                <w:sz w:val="12"/>
                <w:szCs w:val="12"/>
                <w:color w:val="auto"/>
              </w:rPr>
            </w:pPr>
          </w:p>
        </w:tc>
        <w:tc>
          <w:tcPr>
            <w:tcW w:w="560" w:type="dxa"/>
            <w:vAlign w:val="bottom"/>
          </w:tcPr>
          <w:p>
            <w:pPr>
              <w:jc w:val="right"/>
              <w:ind w:right="152"/>
              <w:spacing w:after="0" w:line="149" w:lineRule="exact"/>
              <w:rPr>
                <w:sz w:val="20"/>
                <w:szCs w:val="20"/>
                <w:color w:val="auto"/>
              </w:rPr>
            </w:pPr>
            <w:r>
              <w:rPr>
                <w:rFonts w:ascii="Arial" w:cs="Arial" w:eastAsia="Arial" w:hAnsi="Arial"/>
                <w:sz w:val="14"/>
                <w:szCs w:val="14"/>
                <w:color w:val="auto"/>
              </w:rPr>
              <w:t>997</w:t>
            </w:r>
          </w:p>
        </w:tc>
        <w:tc>
          <w:tcPr>
            <w:tcW w:w="280" w:type="dxa"/>
            <w:vAlign w:val="bottom"/>
          </w:tcPr>
          <w:p>
            <w:pPr>
              <w:spacing w:after="0"/>
              <w:rPr>
                <w:sz w:val="12"/>
                <w:szCs w:val="12"/>
                <w:color w:val="auto"/>
              </w:rPr>
            </w:pPr>
          </w:p>
        </w:tc>
        <w:tc>
          <w:tcPr>
            <w:tcW w:w="860" w:type="dxa"/>
            <w:vAlign w:val="bottom"/>
          </w:tcPr>
          <w:p>
            <w:pPr>
              <w:jc w:val="right"/>
              <w:ind w:right="112"/>
              <w:spacing w:after="0" w:line="149" w:lineRule="exact"/>
              <w:rPr>
                <w:sz w:val="20"/>
                <w:szCs w:val="20"/>
                <w:color w:val="auto"/>
              </w:rPr>
            </w:pPr>
            <w:r>
              <w:rPr>
                <w:rFonts w:ascii="Arial" w:cs="Arial" w:eastAsia="Arial" w:hAnsi="Arial"/>
                <w:sz w:val="14"/>
                <w:szCs w:val="14"/>
                <w:color w:val="auto"/>
              </w:rPr>
              <w:t>(216)</w:t>
            </w:r>
          </w:p>
        </w:tc>
        <w:tc>
          <w:tcPr>
            <w:tcW w:w="260" w:type="dxa"/>
            <w:vAlign w:val="bottom"/>
          </w:tcPr>
          <w:p>
            <w:pPr>
              <w:spacing w:after="0"/>
              <w:rPr>
                <w:sz w:val="12"/>
                <w:szCs w:val="12"/>
                <w:color w:val="auto"/>
              </w:rPr>
            </w:pPr>
          </w:p>
        </w:tc>
        <w:tc>
          <w:tcPr>
            <w:tcW w:w="960" w:type="dxa"/>
            <w:vAlign w:val="bottom"/>
          </w:tcPr>
          <w:p>
            <w:pPr>
              <w:jc w:val="right"/>
              <w:ind w:right="112"/>
              <w:spacing w:after="0" w:line="149" w:lineRule="exact"/>
              <w:rPr>
                <w:sz w:val="20"/>
                <w:szCs w:val="20"/>
                <w:color w:val="auto"/>
              </w:rPr>
            </w:pPr>
            <w:r>
              <w:rPr>
                <w:rFonts w:ascii="Arial" w:cs="Arial" w:eastAsia="Arial" w:hAnsi="Arial"/>
                <w:sz w:val="14"/>
                <w:szCs w:val="14"/>
                <w:color w:val="auto"/>
              </w:rPr>
              <w:t>(3,909)</w:t>
            </w:r>
          </w:p>
        </w:tc>
        <w:tc>
          <w:tcPr>
            <w:tcW w:w="260" w:type="dxa"/>
            <w:vAlign w:val="bottom"/>
          </w:tcPr>
          <w:p>
            <w:pPr>
              <w:spacing w:after="0"/>
              <w:rPr>
                <w:sz w:val="12"/>
                <w:szCs w:val="12"/>
                <w:color w:val="auto"/>
              </w:rPr>
            </w:pPr>
          </w:p>
        </w:tc>
        <w:tc>
          <w:tcPr>
            <w:tcW w:w="840" w:type="dxa"/>
            <w:vAlign w:val="bottom"/>
          </w:tcPr>
          <w:p>
            <w:pPr>
              <w:jc w:val="right"/>
              <w:spacing w:after="0" w:line="149" w:lineRule="exact"/>
              <w:rPr>
                <w:sz w:val="20"/>
                <w:szCs w:val="20"/>
                <w:color w:val="auto"/>
              </w:rPr>
            </w:pPr>
            <w:r>
              <w:rPr>
                <w:rFonts w:ascii="Arial" w:cs="Arial" w:eastAsia="Arial" w:hAnsi="Arial"/>
                <w:sz w:val="14"/>
                <w:szCs w:val="14"/>
                <w:b w:val="1"/>
                <w:bCs w:val="1"/>
                <w:color w:val="auto"/>
              </w:rPr>
              <w:t>(81)</w:t>
            </w:r>
          </w:p>
        </w:tc>
        <w:tc>
          <w:tcPr>
            <w:tcW w:w="0" w:type="dxa"/>
            <w:vAlign w:val="bottom"/>
          </w:tcPr>
          <w:p>
            <w:pPr>
              <w:spacing w:after="0"/>
              <w:rPr>
                <w:sz w:val="1"/>
                <w:szCs w:val="1"/>
                <w:color w:val="auto"/>
              </w:rPr>
            </w:pPr>
          </w:p>
        </w:tc>
      </w:tr>
      <w:tr>
        <w:trPr>
          <w:trHeight w:val="165"/>
        </w:trPr>
        <w:tc>
          <w:tcPr>
            <w:tcW w:w="20" w:type="dxa"/>
            <w:vAlign w:val="bottom"/>
          </w:tcPr>
          <w:p>
            <w:pPr>
              <w:spacing w:after="0"/>
              <w:rPr>
                <w:sz w:val="14"/>
                <w:szCs w:val="14"/>
                <w:color w:val="auto"/>
              </w:rPr>
            </w:pPr>
          </w:p>
        </w:tc>
        <w:tc>
          <w:tcPr>
            <w:tcW w:w="3240" w:type="dxa"/>
            <w:vAlign w:val="bottom"/>
            <w:tcBorders>
              <w:bottom w:val="single" w:sz="8" w:color="auto"/>
            </w:tcBorders>
          </w:tcPr>
          <w:p>
            <w:pPr>
              <w:ind w:left="200"/>
              <w:spacing w:after="0"/>
              <w:rPr>
                <w:sz w:val="20"/>
                <w:szCs w:val="20"/>
                <w:color w:val="auto"/>
              </w:rPr>
            </w:pPr>
            <w:r>
              <w:rPr>
                <w:rFonts w:ascii="Arial" w:cs="Arial" w:eastAsia="Arial" w:hAnsi="Arial"/>
                <w:sz w:val="14"/>
                <w:szCs w:val="14"/>
                <w:color w:val="auto"/>
              </w:rPr>
              <w:t>Other income (expense)</w:t>
            </w:r>
          </w:p>
        </w:tc>
        <w:tc>
          <w:tcPr>
            <w:tcW w:w="480" w:type="dxa"/>
            <w:vAlign w:val="bottom"/>
            <w:tcBorders>
              <w:bottom w:val="single" w:sz="8" w:color="auto"/>
            </w:tcBorders>
          </w:tcPr>
          <w:p>
            <w:pPr>
              <w:spacing w:after="0"/>
              <w:rPr>
                <w:sz w:val="14"/>
                <w:szCs w:val="14"/>
                <w:color w:val="auto"/>
              </w:rPr>
            </w:pPr>
          </w:p>
        </w:tc>
        <w:tc>
          <w:tcPr>
            <w:tcW w:w="660" w:type="dxa"/>
            <w:vAlign w:val="bottom"/>
            <w:tcBorders>
              <w:bottom w:val="single" w:sz="8" w:color="auto"/>
            </w:tcBorders>
          </w:tcPr>
          <w:p>
            <w:pPr>
              <w:jc w:val="right"/>
              <w:ind w:right="152"/>
              <w:spacing w:after="0"/>
              <w:rPr>
                <w:sz w:val="20"/>
                <w:szCs w:val="20"/>
                <w:color w:val="auto"/>
              </w:rPr>
            </w:pPr>
            <w:r>
              <w:rPr>
                <w:rFonts w:ascii="Arial" w:cs="Arial" w:eastAsia="Arial" w:hAnsi="Arial"/>
                <w:sz w:val="14"/>
                <w:szCs w:val="14"/>
                <w:color w:val="auto"/>
              </w:rPr>
              <w:t>—</w:t>
            </w:r>
          </w:p>
        </w:tc>
        <w:tc>
          <w:tcPr>
            <w:tcW w:w="260" w:type="dxa"/>
            <w:vAlign w:val="bottom"/>
            <w:tcBorders>
              <w:bottom w:val="single" w:sz="8" w:color="auto"/>
            </w:tcBorders>
          </w:tcPr>
          <w:p>
            <w:pPr>
              <w:spacing w:after="0"/>
              <w:rPr>
                <w:sz w:val="14"/>
                <w:szCs w:val="14"/>
                <w:color w:val="auto"/>
              </w:rPr>
            </w:pPr>
          </w:p>
        </w:tc>
        <w:tc>
          <w:tcPr>
            <w:tcW w:w="560" w:type="dxa"/>
            <w:vAlign w:val="bottom"/>
            <w:tcBorders>
              <w:bottom w:val="single" w:sz="8" w:color="auto"/>
            </w:tcBorders>
          </w:tcPr>
          <w:p>
            <w:pPr>
              <w:jc w:val="right"/>
              <w:ind w:right="152"/>
              <w:spacing w:after="0"/>
              <w:rPr>
                <w:sz w:val="20"/>
                <w:szCs w:val="20"/>
                <w:color w:val="auto"/>
              </w:rPr>
            </w:pPr>
            <w:r>
              <w:rPr>
                <w:rFonts w:ascii="Arial" w:cs="Arial" w:eastAsia="Arial" w:hAnsi="Arial"/>
                <w:sz w:val="14"/>
                <w:szCs w:val="14"/>
                <w:color w:val="auto"/>
              </w:rPr>
              <w:t>—</w:t>
            </w:r>
          </w:p>
        </w:tc>
        <w:tc>
          <w:tcPr>
            <w:tcW w:w="280" w:type="dxa"/>
            <w:vAlign w:val="bottom"/>
            <w:tcBorders>
              <w:bottom w:val="single" w:sz="8" w:color="auto"/>
            </w:tcBorders>
          </w:tcPr>
          <w:p>
            <w:pPr>
              <w:spacing w:after="0"/>
              <w:rPr>
                <w:sz w:val="14"/>
                <w:szCs w:val="14"/>
                <w:color w:val="auto"/>
              </w:rPr>
            </w:pPr>
          </w:p>
        </w:tc>
        <w:tc>
          <w:tcPr>
            <w:tcW w:w="520" w:type="dxa"/>
            <w:vAlign w:val="bottom"/>
            <w:tcBorders>
              <w:bottom w:val="single" w:sz="8" w:color="auto"/>
            </w:tcBorders>
          </w:tcPr>
          <w:p>
            <w:pPr>
              <w:jc w:val="right"/>
              <w:ind w:right="152"/>
              <w:spacing w:after="0"/>
              <w:rPr>
                <w:sz w:val="20"/>
                <w:szCs w:val="20"/>
                <w:color w:val="auto"/>
              </w:rPr>
            </w:pPr>
            <w:r>
              <w:rPr>
                <w:rFonts w:ascii="Arial" w:cs="Arial" w:eastAsia="Arial" w:hAnsi="Arial"/>
                <w:sz w:val="14"/>
                <w:szCs w:val="14"/>
                <w:color w:val="auto"/>
              </w:rPr>
              <w:t>—</w:t>
            </w:r>
          </w:p>
        </w:tc>
        <w:tc>
          <w:tcPr>
            <w:tcW w:w="260" w:type="dxa"/>
            <w:vAlign w:val="bottom"/>
            <w:tcBorders>
              <w:bottom w:val="single" w:sz="8" w:color="auto"/>
            </w:tcBorders>
          </w:tcPr>
          <w:p>
            <w:pPr>
              <w:spacing w:after="0"/>
              <w:rPr>
                <w:sz w:val="14"/>
                <w:szCs w:val="14"/>
                <w:color w:val="auto"/>
              </w:rPr>
            </w:pPr>
          </w:p>
        </w:tc>
        <w:tc>
          <w:tcPr>
            <w:tcW w:w="760" w:type="dxa"/>
            <w:vAlign w:val="bottom"/>
            <w:tcBorders>
              <w:bottom w:val="single" w:sz="8" w:color="auto"/>
            </w:tcBorders>
          </w:tcPr>
          <w:p>
            <w:pPr>
              <w:jc w:val="right"/>
              <w:ind w:right="152"/>
              <w:spacing w:after="0"/>
              <w:rPr>
                <w:sz w:val="20"/>
                <w:szCs w:val="20"/>
                <w:color w:val="auto"/>
              </w:rPr>
            </w:pPr>
            <w:r>
              <w:rPr>
                <w:rFonts w:ascii="Arial" w:cs="Arial" w:eastAsia="Arial" w:hAnsi="Arial"/>
                <w:sz w:val="14"/>
                <w:szCs w:val="14"/>
                <w:color w:val="auto"/>
              </w:rPr>
              <w:t>—</w:t>
            </w:r>
          </w:p>
        </w:tc>
        <w:tc>
          <w:tcPr>
            <w:tcW w:w="360" w:type="dxa"/>
            <w:vAlign w:val="bottom"/>
            <w:tcBorders>
              <w:bottom w:val="single" w:sz="8" w:color="auto"/>
            </w:tcBorders>
          </w:tcPr>
          <w:p>
            <w:pPr>
              <w:spacing w:after="0"/>
              <w:rPr>
                <w:sz w:val="14"/>
                <w:szCs w:val="14"/>
                <w:color w:val="auto"/>
              </w:rPr>
            </w:pPr>
          </w:p>
        </w:tc>
        <w:tc>
          <w:tcPr>
            <w:tcW w:w="560" w:type="dxa"/>
            <w:vAlign w:val="bottom"/>
            <w:tcBorders>
              <w:bottom w:val="single" w:sz="8" w:color="auto"/>
            </w:tcBorders>
          </w:tcPr>
          <w:p>
            <w:pPr>
              <w:jc w:val="right"/>
              <w:ind w:right="152"/>
              <w:spacing w:after="0"/>
              <w:rPr>
                <w:sz w:val="20"/>
                <w:szCs w:val="20"/>
                <w:color w:val="auto"/>
              </w:rPr>
            </w:pPr>
            <w:r>
              <w:rPr>
                <w:rFonts w:ascii="Arial" w:cs="Arial" w:eastAsia="Arial" w:hAnsi="Arial"/>
                <w:sz w:val="14"/>
                <w:szCs w:val="14"/>
                <w:color w:val="auto"/>
              </w:rPr>
              <w:t>—</w:t>
            </w:r>
          </w:p>
        </w:tc>
        <w:tc>
          <w:tcPr>
            <w:tcW w:w="280" w:type="dxa"/>
            <w:vAlign w:val="bottom"/>
            <w:tcBorders>
              <w:bottom w:val="single" w:sz="8" w:color="auto"/>
            </w:tcBorders>
          </w:tcPr>
          <w:p>
            <w:pPr>
              <w:spacing w:after="0"/>
              <w:rPr>
                <w:sz w:val="14"/>
                <w:szCs w:val="14"/>
                <w:color w:val="auto"/>
              </w:rPr>
            </w:pPr>
          </w:p>
        </w:tc>
        <w:tc>
          <w:tcPr>
            <w:tcW w:w="860" w:type="dxa"/>
            <w:vAlign w:val="bottom"/>
            <w:tcBorders>
              <w:bottom w:val="single" w:sz="8" w:color="auto"/>
            </w:tcBorders>
          </w:tcPr>
          <w:p>
            <w:pPr>
              <w:jc w:val="right"/>
              <w:ind w:right="152"/>
              <w:spacing w:after="0"/>
              <w:rPr>
                <w:sz w:val="20"/>
                <w:szCs w:val="20"/>
                <w:color w:val="auto"/>
              </w:rPr>
            </w:pPr>
            <w:r>
              <w:rPr>
                <w:rFonts w:ascii="Arial" w:cs="Arial" w:eastAsia="Arial" w:hAnsi="Arial"/>
                <w:sz w:val="14"/>
                <w:szCs w:val="14"/>
                <w:color w:val="auto"/>
              </w:rPr>
              <w:t>397</w:t>
            </w:r>
          </w:p>
        </w:tc>
        <w:tc>
          <w:tcPr>
            <w:tcW w:w="260" w:type="dxa"/>
            <w:vAlign w:val="bottom"/>
            <w:tcBorders>
              <w:bottom w:val="single" w:sz="8" w:color="auto"/>
            </w:tcBorders>
          </w:tcPr>
          <w:p>
            <w:pPr>
              <w:spacing w:after="0"/>
              <w:rPr>
                <w:sz w:val="14"/>
                <w:szCs w:val="14"/>
                <w:color w:val="auto"/>
              </w:rPr>
            </w:pPr>
          </w:p>
        </w:tc>
        <w:tc>
          <w:tcPr>
            <w:tcW w:w="960" w:type="dxa"/>
            <w:vAlign w:val="bottom"/>
            <w:tcBorders>
              <w:bottom w:val="single" w:sz="8" w:color="auto"/>
            </w:tcBorders>
          </w:tcPr>
          <w:p>
            <w:pPr>
              <w:jc w:val="right"/>
              <w:ind w:right="152"/>
              <w:spacing w:after="0"/>
              <w:rPr>
                <w:sz w:val="20"/>
                <w:szCs w:val="20"/>
                <w:color w:val="auto"/>
              </w:rPr>
            </w:pPr>
            <w:r>
              <w:rPr>
                <w:rFonts w:ascii="Arial" w:cs="Arial" w:eastAsia="Arial" w:hAnsi="Arial"/>
                <w:sz w:val="14"/>
                <w:szCs w:val="14"/>
                <w:color w:val="auto"/>
              </w:rPr>
              <w:t>—</w:t>
            </w:r>
          </w:p>
        </w:tc>
        <w:tc>
          <w:tcPr>
            <w:tcW w:w="260" w:type="dxa"/>
            <w:vAlign w:val="bottom"/>
            <w:tcBorders>
              <w:bottom w:val="single" w:sz="8" w:color="auto"/>
            </w:tcBorders>
          </w:tcPr>
          <w:p>
            <w:pPr>
              <w:spacing w:after="0"/>
              <w:rPr>
                <w:sz w:val="14"/>
                <w:szCs w:val="14"/>
                <w:color w:val="auto"/>
              </w:rPr>
            </w:pPr>
          </w:p>
        </w:tc>
        <w:tc>
          <w:tcPr>
            <w:tcW w:w="84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397</w:t>
            </w:r>
          </w:p>
        </w:tc>
        <w:tc>
          <w:tcPr>
            <w:tcW w:w="0" w:type="dxa"/>
            <w:vAlign w:val="bottom"/>
          </w:tcPr>
          <w:p>
            <w:pPr>
              <w:spacing w:after="0"/>
              <w:rPr>
                <w:sz w:val="1"/>
                <w:szCs w:val="1"/>
                <w:color w:val="auto"/>
              </w:rPr>
            </w:pPr>
          </w:p>
        </w:tc>
      </w:tr>
      <w:tr>
        <w:trPr>
          <w:trHeight w:val="172"/>
        </w:trPr>
        <w:tc>
          <w:tcPr>
            <w:tcW w:w="3260" w:type="dxa"/>
            <w:vAlign w:val="bottom"/>
            <w:gridSpan w:val="2"/>
            <w:vMerge w:val="restart"/>
          </w:tcPr>
          <w:p>
            <w:pPr>
              <w:spacing w:after="0"/>
              <w:rPr>
                <w:sz w:val="20"/>
                <w:szCs w:val="20"/>
                <w:color w:val="auto"/>
              </w:rPr>
            </w:pPr>
            <w:r>
              <w:rPr>
                <w:rFonts w:ascii="Arial" w:cs="Arial" w:eastAsia="Arial" w:hAnsi="Arial"/>
                <w:sz w:val="14"/>
                <w:szCs w:val="14"/>
                <w:color w:val="auto"/>
              </w:rPr>
              <w:t>Income (loss) from continuing operations before</w:t>
            </w:r>
          </w:p>
        </w:tc>
        <w:tc>
          <w:tcPr>
            <w:tcW w:w="480" w:type="dxa"/>
            <w:vAlign w:val="bottom"/>
          </w:tcPr>
          <w:p>
            <w:pPr>
              <w:spacing w:after="0"/>
              <w:rPr>
                <w:sz w:val="14"/>
                <w:szCs w:val="14"/>
                <w:color w:val="auto"/>
              </w:rPr>
            </w:pPr>
          </w:p>
        </w:tc>
        <w:tc>
          <w:tcPr>
            <w:tcW w:w="660" w:type="dxa"/>
            <w:vAlign w:val="bottom"/>
          </w:tcPr>
          <w:p>
            <w:pPr>
              <w:jc w:val="right"/>
              <w:ind w:right="152"/>
              <w:spacing w:after="0"/>
              <w:rPr>
                <w:sz w:val="20"/>
                <w:szCs w:val="20"/>
                <w:color w:val="auto"/>
              </w:rPr>
            </w:pPr>
            <w:r>
              <w:rPr>
                <w:rFonts w:ascii="Arial" w:cs="Arial" w:eastAsia="Arial" w:hAnsi="Arial"/>
                <w:sz w:val="14"/>
                <w:szCs w:val="14"/>
                <w:color w:val="auto"/>
              </w:rPr>
              <w:t>709</w:t>
            </w:r>
          </w:p>
        </w:tc>
        <w:tc>
          <w:tcPr>
            <w:tcW w:w="260" w:type="dxa"/>
            <w:vAlign w:val="bottom"/>
          </w:tcPr>
          <w:p>
            <w:pPr>
              <w:spacing w:after="0"/>
              <w:rPr>
                <w:sz w:val="14"/>
                <w:szCs w:val="14"/>
                <w:color w:val="auto"/>
              </w:rPr>
            </w:pPr>
          </w:p>
        </w:tc>
        <w:tc>
          <w:tcPr>
            <w:tcW w:w="560" w:type="dxa"/>
            <w:vAlign w:val="bottom"/>
          </w:tcPr>
          <w:p>
            <w:pPr>
              <w:jc w:val="right"/>
              <w:ind w:right="152"/>
              <w:spacing w:after="0"/>
              <w:rPr>
                <w:sz w:val="20"/>
                <w:szCs w:val="20"/>
                <w:color w:val="auto"/>
              </w:rPr>
            </w:pPr>
            <w:r>
              <w:rPr>
                <w:rFonts w:ascii="Arial" w:cs="Arial" w:eastAsia="Arial" w:hAnsi="Arial"/>
                <w:sz w:val="14"/>
                <w:szCs w:val="14"/>
                <w:color w:val="auto"/>
              </w:rPr>
              <w:t>696</w:t>
            </w:r>
          </w:p>
        </w:tc>
        <w:tc>
          <w:tcPr>
            <w:tcW w:w="280" w:type="dxa"/>
            <w:vAlign w:val="bottom"/>
          </w:tcPr>
          <w:p>
            <w:pPr>
              <w:spacing w:after="0"/>
              <w:rPr>
                <w:sz w:val="14"/>
                <w:szCs w:val="14"/>
                <w:color w:val="auto"/>
              </w:rPr>
            </w:pPr>
          </w:p>
        </w:tc>
        <w:tc>
          <w:tcPr>
            <w:tcW w:w="520" w:type="dxa"/>
            <w:vAlign w:val="bottom"/>
          </w:tcPr>
          <w:p>
            <w:pPr>
              <w:jc w:val="right"/>
              <w:ind w:right="112"/>
              <w:spacing w:after="0"/>
              <w:rPr>
                <w:sz w:val="20"/>
                <w:szCs w:val="20"/>
                <w:color w:val="auto"/>
              </w:rPr>
            </w:pPr>
            <w:r>
              <w:rPr>
                <w:rFonts w:ascii="Arial" w:cs="Arial" w:eastAsia="Arial" w:hAnsi="Arial"/>
                <w:sz w:val="14"/>
                <w:szCs w:val="14"/>
                <w:color w:val="auto"/>
              </w:rPr>
              <w:t>(38)</w:t>
            </w:r>
          </w:p>
        </w:tc>
        <w:tc>
          <w:tcPr>
            <w:tcW w:w="260" w:type="dxa"/>
            <w:vAlign w:val="bottom"/>
          </w:tcPr>
          <w:p>
            <w:pPr>
              <w:spacing w:after="0"/>
              <w:rPr>
                <w:sz w:val="14"/>
                <w:szCs w:val="14"/>
                <w:color w:val="auto"/>
              </w:rPr>
            </w:pPr>
          </w:p>
        </w:tc>
        <w:tc>
          <w:tcPr>
            <w:tcW w:w="760" w:type="dxa"/>
            <w:vAlign w:val="bottom"/>
          </w:tcPr>
          <w:p>
            <w:pPr>
              <w:jc w:val="right"/>
              <w:ind w:right="152"/>
              <w:spacing w:after="0"/>
              <w:rPr>
                <w:sz w:val="20"/>
                <w:szCs w:val="20"/>
                <w:color w:val="auto"/>
              </w:rPr>
            </w:pPr>
            <w:r>
              <w:rPr>
                <w:rFonts w:ascii="Arial" w:cs="Arial" w:eastAsia="Arial" w:hAnsi="Arial"/>
                <w:sz w:val="14"/>
                <w:szCs w:val="14"/>
                <w:color w:val="auto"/>
              </w:rPr>
              <w:t>170</w:t>
            </w:r>
          </w:p>
        </w:tc>
        <w:tc>
          <w:tcPr>
            <w:tcW w:w="360" w:type="dxa"/>
            <w:vAlign w:val="bottom"/>
          </w:tcPr>
          <w:p>
            <w:pPr>
              <w:spacing w:after="0"/>
              <w:rPr>
                <w:sz w:val="14"/>
                <w:szCs w:val="14"/>
                <w:color w:val="auto"/>
              </w:rPr>
            </w:pPr>
          </w:p>
        </w:tc>
        <w:tc>
          <w:tcPr>
            <w:tcW w:w="560" w:type="dxa"/>
            <w:vAlign w:val="bottom"/>
          </w:tcPr>
          <w:p>
            <w:pPr>
              <w:jc w:val="right"/>
              <w:ind w:right="152"/>
              <w:spacing w:after="0"/>
              <w:rPr>
                <w:sz w:val="20"/>
                <w:szCs w:val="20"/>
                <w:color w:val="auto"/>
              </w:rPr>
            </w:pPr>
            <w:r>
              <w:rPr>
                <w:rFonts w:ascii="Arial" w:cs="Arial" w:eastAsia="Arial" w:hAnsi="Arial"/>
                <w:sz w:val="14"/>
                <w:szCs w:val="14"/>
                <w:color w:val="auto"/>
              </w:rPr>
              <w:t>999</w:t>
            </w:r>
          </w:p>
        </w:tc>
        <w:tc>
          <w:tcPr>
            <w:tcW w:w="280" w:type="dxa"/>
            <w:vAlign w:val="bottom"/>
          </w:tcPr>
          <w:p>
            <w:pPr>
              <w:spacing w:after="0"/>
              <w:rPr>
                <w:sz w:val="14"/>
                <w:szCs w:val="14"/>
                <w:color w:val="auto"/>
              </w:rPr>
            </w:pPr>
          </w:p>
        </w:tc>
        <w:tc>
          <w:tcPr>
            <w:tcW w:w="860" w:type="dxa"/>
            <w:vAlign w:val="bottom"/>
          </w:tcPr>
          <w:p>
            <w:pPr>
              <w:jc w:val="right"/>
              <w:ind w:right="152"/>
              <w:spacing w:after="0"/>
              <w:rPr>
                <w:sz w:val="20"/>
                <w:szCs w:val="20"/>
                <w:color w:val="auto"/>
              </w:rPr>
            </w:pPr>
            <w:r>
              <w:rPr>
                <w:rFonts w:ascii="Arial" w:cs="Arial" w:eastAsia="Arial" w:hAnsi="Arial"/>
                <w:sz w:val="14"/>
                <w:szCs w:val="14"/>
                <w:color w:val="auto"/>
              </w:rPr>
              <w:t>287</w:t>
            </w:r>
          </w:p>
        </w:tc>
        <w:tc>
          <w:tcPr>
            <w:tcW w:w="260" w:type="dxa"/>
            <w:vAlign w:val="bottom"/>
          </w:tcPr>
          <w:p>
            <w:pPr>
              <w:spacing w:after="0"/>
              <w:rPr>
                <w:sz w:val="14"/>
                <w:szCs w:val="14"/>
                <w:color w:val="auto"/>
              </w:rPr>
            </w:pPr>
          </w:p>
        </w:tc>
        <w:tc>
          <w:tcPr>
            <w:tcW w:w="960" w:type="dxa"/>
            <w:vAlign w:val="bottom"/>
          </w:tcPr>
          <w:p>
            <w:pPr>
              <w:jc w:val="right"/>
              <w:ind w:right="112"/>
              <w:spacing w:after="0"/>
              <w:rPr>
                <w:sz w:val="20"/>
                <w:szCs w:val="20"/>
                <w:color w:val="auto"/>
              </w:rPr>
            </w:pPr>
            <w:r>
              <w:rPr>
                <w:rFonts w:ascii="Arial" w:cs="Arial" w:eastAsia="Arial" w:hAnsi="Arial"/>
                <w:sz w:val="14"/>
                <w:szCs w:val="14"/>
                <w:color w:val="auto"/>
              </w:rPr>
              <w:t>(3,909)</w:t>
            </w:r>
          </w:p>
        </w:tc>
        <w:tc>
          <w:tcPr>
            <w:tcW w:w="260" w:type="dxa"/>
            <w:vAlign w:val="bottom"/>
          </w:tcPr>
          <w:p>
            <w:pPr>
              <w:spacing w:after="0"/>
              <w:rPr>
                <w:sz w:val="14"/>
                <w:szCs w:val="14"/>
                <w:color w:val="auto"/>
              </w:rPr>
            </w:pPr>
          </w:p>
        </w:tc>
        <w:tc>
          <w:tcPr>
            <w:tcW w:w="840" w:type="dxa"/>
            <w:vAlign w:val="bottom"/>
          </w:tcPr>
          <w:p>
            <w:pPr>
              <w:jc w:val="right"/>
              <w:spacing w:after="0"/>
              <w:rPr>
                <w:sz w:val="20"/>
                <w:szCs w:val="20"/>
                <w:color w:val="auto"/>
              </w:rPr>
            </w:pPr>
            <w:r>
              <w:rPr>
                <w:rFonts w:ascii="Arial" w:cs="Arial" w:eastAsia="Arial" w:hAnsi="Arial"/>
                <w:sz w:val="14"/>
                <w:szCs w:val="14"/>
                <w:b w:val="1"/>
                <w:bCs w:val="1"/>
                <w:color w:val="auto"/>
              </w:rPr>
              <w:t>(1,086)</w:t>
            </w:r>
          </w:p>
        </w:tc>
        <w:tc>
          <w:tcPr>
            <w:tcW w:w="0" w:type="dxa"/>
            <w:vAlign w:val="bottom"/>
          </w:tcPr>
          <w:p>
            <w:pPr>
              <w:spacing w:after="0"/>
              <w:rPr>
                <w:sz w:val="1"/>
                <w:szCs w:val="1"/>
                <w:color w:val="auto"/>
              </w:rPr>
            </w:pPr>
          </w:p>
        </w:tc>
      </w:tr>
      <w:tr>
        <w:trPr>
          <w:trHeight w:val="118"/>
        </w:trPr>
        <w:tc>
          <w:tcPr>
            <w:tcW w:w="3260" w:type="dxa"/>
            <w:vAlign w:val="bottom"/>
            <w:gridSpan w:val="2"/>
            <w:vMerge w:val="continue"/>
          </w:tcPr>
          <w:p>
            <w:pPr>
              <w:spacing w:after="0"/>
              <w:rPr>
                <w:sz w:val="10"/>
                <w:szCs w:val="10"/>
                <w:color w:val="auto"/>
              </w:rPr>
            </w:pPr>
          </w:p>
        </w:tc>
        <w:tc>
          <w:tcPr>
            <w:tcW w:w="480" w:type="dxa"/>
            <w:vAlign w:val="bottom"/>
          </w:tcPr>
          <w:p>
            <w:pPr>
              <w:spacing w:after="0"/>
              <w:rPr>
                <w:sz w:val="10"/>
                <w:szCs w:val="10"/>
                <w:color w:val="auto"/>
              </w:rPr>
            </w:pPr>
          </w:p>
        </w:tc>
        <w:tc>
          <w:tcPr>
            <w:tcW w:w="660" w:type="dxa"/>
            <w:vAlign w:val="bottom"/>
          </w:tcPr>
          <w:p>
            <w:pPr>
              <w:spacing w:after="0"/>
              <w:rPr>
                <w:sz w:val="10"/>
                <w:szCs w:val="10"/>
                <w:color w:val="auto"/>
              </w:rPr>
            </w:pPr>
          </w:p>
        </w:tc>
        <w:tc>
          <w:tcPr>
            <w:tcW w:w="260" w:type="dxa"/>
            <w:vAlign w:val="bottom"/>
          </w:tcPr>
          <w:p>
            <w:pPr>
              <w:spacing w:after="0"/>
              <w:rPr>
                <w:sz w:val="10"/>
                <w:szCs w:val="10"/>
                <w:color w:val="auto"/>
              </w:rPr>
            </w:pPr>
          </w:p>
        </w:tc>
        <w:tc>
          <w:tcPr>
            <w:tcW w:w="560" w:type="dxa"/>
            <w:vAlign w:val="bottom"/>
          </w:tcPr>
          <w:p>
            <w:pPr>
              <w:spacing w:after="0"/>
              <w:rPr>
                <w:sz w:val="10"/>
                <w:szCs w:val="10"/>
                <w:color w:val="auto"/>
              </w:rPr>
            </w:pPr>
          </w:p>
        </w:tc>
        <w:tc>
          <w:tcPr>
            <w:tcW w:w="280" w:type="dxa"/>
            <w:vAlign w:val="bottom"/>
          </w:tcPr>
          <w:p>
            <w:pPr>
              <w:spacing w:after="0"/>
              <w:rPr>
                <w:sz w:val="10"/>
                <w:szCs w:val="10"/>
                <w:color w:val="auto"/>
              </w:rPr>
            </w:pPr>
          </w:p>
        </w:tc>
        <w:tc>
          <w:tcPr>
            <w:tcW w:w="520" w:type="dxa"/>
            <w:vAlign w:val="bottom"/>
          </w:tcPr>
          <w:p>
            <w:pPr>
              <w:spacing w:after="0"/>
              <w:rPr>
                <w:sz w:val="10"/>
                <w:szCs w:val="10"/>
                <w:color w:val="auto"/>
              </w:rPr>
            </w:pPr>
          </w:p>
        </w:tc>
        <w:tc>
          <w:tcPr>
            <w:tcW w:w="260" w:type="dxa"/>
            <w:vAlign w:val="bottom"/>
          </w:tcPr>
          <w:p>
            <w:pPr>
              <w:spacing w:after="0"/>
              <w:rPr>
                <w:sz w:val="10"/>
                <w:szCs w:val="10"/>
                <w:color w:val="auto"/>
              </w:rPr>
            </w:pPr>
          </w:p>
        </w:tc>
        <w:tc>
          <w:tcPr>
            <w:tcW w:w="760" w:type="dxa"/>
            <w:vAlign w:val="bottom"/>
          </w:tcPr>
          <w:p>
            <w:pPr>
              <w:spacing w:after="0"/>
              <w:rPr>
                <w:sz w:val="10"/>
                <w:szCs w:val="10"/>
                <w:color w:val="auto"/>
              </w:rPr>
            </w:pPr>
          </w:p>
        </w:tc>
        <w:tc>
          <w:tcPr>
            <w:tcW w:w="360" w:type="dxa"/>
            <w:vAlign w:val="bottom"/>
          </w:tcPr>
          <w:p>
            <w:pPr>
              <w:spacing w:after="0"/>
              <w:rPr>
                <w:sz w:val="10"/>
                <w:szCs w:val="10"/>
                <w:color w:val="auto"/>
              </w:rPr>
            </w:pPr>
          </w:p>
        </w:tc>
        <w:tc>
          <w:tcPr>
            <w:tcW w:w="560" w:type="dxa"/>
            <w:vAlign w:val="bottom"/>
          </w:tcPr>
          <w:p>
            <w:pPr>
              <w:spacing w:after="0"/>
              <w:rPr>
                <w:sz w:val="10"/>
                <w:szCs w:val="10"/>
                <w:color w:val="auto"/>
              </w:rPr>
            </w:pPr>
          </w:p>
        </w:tc>
        <w:tc>
          <w:tcPr>
            <w:tcW w:w="280" w:type="dxa"/>
            <w:vAlign w:val="bottom"/>
          </w:tcPr>
          <w:p>
            <w:pPr>
              <w:spacing w:after="0"/>
              <w:rPr>
                <w:sz w:val="10"/>
                <w:szCs w:val="10"/>
                <w:color w:val="auto"/>
              </w:rPr>
            </w:pPr>
          </w:p>
        </w:tc>
        <w:tc>
          <w:tcPr>
            <w:tcW w:w="860" w:type="dxa"/>
            <w:vAlign w:val="bottom"/>
          </w:tcPr>
          <w:p>
            <w:pPr>
              <w:spacing w:after="0"/>
              <w:rPr>
                <w:sz w:val="10"/>
                <w:szCs w:val="10"/>
                <w:color w:val="auto"/>
              </w:rPr>
            </w:pPr>
          </w:p>
        </w:tc>
        <w:tc>
          <w:tcPr>
            <w:tcW w:w="260" w:type="dxa"/>
            <w:vAlign w:val="bottom"/>
          </w:tcPr>
          <w:p>
            <w:pPr>
              <w:spacing w:after="0"/>
              <w:rPr>
                <w:sz w:val="10"/>
                <w:szCs w:val="10"/>
                <w:color w:val="auto"/>
              </w:rPr>
            </w:pPr>
          </w:p>
        </w:tc>
        <w:tc>
          <w:tcPr>
            <w:tcW w:w="960" w:type="dxa"/>
            <w:vAlign w:val="bottom"/>
          </w:tcPr>
          <w:p>
            <w:pPr>
              <w:spacing w:after="0"/>
              <w:rPr>
                <w:sz w:val="10"/>
                <w:szCs w:val="10"/>
                <w:color w:val="auto"/>
              </w:rPr>
            </w:pPr>
          </w:p>
        </w:tc>
        <w:tc>
          <w:tcPr>
            <w:tcW w:w="260" w:type="dxa"/>
            <w:vAlign w:val="bottom"/>
          </w:tcPr>
          <w:p>
            <w:pPr>
              <w:spacing w:after="0"/>
              <w:rPr>
                <w:sz w:val="10"/>
                <w:szCs w:val="10"/>
                <w:color w:val="auto"/>
              </w:rPr>
            </w:pPr>
          </w:p>
        </w:tc>
        <w:tc>
          <w:tcPr>
            <w:tcW w:w="840" w:type="dxa"/>
            <w:vAlign w:val="bottom"/>
            <w:vMerge w:val="restart"/>
          </w:tcPr>
          <w:p>
            <w:pPr>
              <w:jc w:val="right"/>
              <w:spacing w:after="0"/>
              <w:rPr>
                <w:sz w:val="20"/>
                <w:szCs w:val="20"/>
                <w:color w:val="auto"/>
              </w:rPr>
            </w:pPr>
            <w:r>
              <w:rPr>
                <w:rFonts w:ascii="Arial" w:cs="Arial" w:eastAsia="Arial" w:hAnsi="Arial"/>
                <w:sz w:val="14"/>
                <w:szCs w:val="14"/>
                <w:b w:val="1"/>
                <w:bCs w:val="1"/>
                <w:color w:val="auto"/>
              </w:rPr>
              <w:t>1,743</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3240" w:type="dxa"/>
            <w:vAlign w:val="bottom"/>
          </w:tcPr>
          <w:p>
            <w:pPr>
              <w:ind w:left="200"/>
              <w:spacing w:after="0" w:line="133" w:lineRule="exact"/>
              <w:rPr>
                <w:sz w:val="20"/>
                <w:szCs w:val="20"/>
                <w:color w:val="auto"/>
              </w:rPr>
            </w:pPr>
            <w:r>
              <w:rPr>
                <w:rFonts w:ascii="Arial" w:cs="Arial" w:eastAsia="Arial" w:hAnsi="Arial"/>
                <w:sz w:val="14"/>
                <w:szCs w:val="14"/>
                <w:color w:val="auto"/>
              </w:rPr>
              <w:t>income taxes and minority interest</w:t>
            </w:r>
          </w:p>
        </w:tc>
        <w:tc>
          <w:tcPr>
            <w:tcW w:w="480" w:type="dxa"/>
            <w:vAlign w:val="bottom"/>
          </w:tcPr>
          <w:p>
            <w:pPr>
              <w:spacing w:after="0"/>
              <w:rPr>
                <w:sz w:val="11"/>
                <w:szCs w:val="11"/>
                <w:color w:val="auto"/>
              </w:rPr>
            </w:pPr>
          </w:p>
        </w:tc>
        <w:tc>
          <w:tcPr>
            <w:tcW w:w="660" w:type="dxa"/>
            <w:vAlign w:val="bottom"/>
          </w:tcPr>
          <w:p>
            <w:pPr>
              <w:jc w:val="right"/>
              <w:ind w:right="152"/>
              <w:spacing w:after="0" w:line="133" w:lineRule="exact"/>
              <w:rPr>
                <w:sz w:val="20"/>
                <w:szCs w:val="20"/>
                <w:color w:val="auto"/>
              </w:rPr>
            </w:pPr>
            <w:r>
              <w:rPr>
                <w:rFonts w:ascii="Arial" w:cs="Arial" w:eastAsia="Arial" w:hAnsi="Arial"/>
                <w:sz w:val="14"/>
                <w:szCs w:val="14"/>
                <w:color w:val="auto"/>
              </w:rPr>
              <w:t>955</w:t>
            </w:r>
          </w:p>
        </w:tc>
        <w:tc>
          <w:tcPr>
            <w:tcW w:w="260" w:type="dxa"/>
            <w:vAlign w:val="bottom"/>
          </w:tcPr>
          <w:p>
            <w:pPr>
              <w:spacing w:after="0"/>
              <w:rPr>
                <w:sz w:val="11"/>
                <w:szCs w:val="11"/>
                <w:color w:val="auto"/>
              </w:rPr>
            </w:pPr>
          </w:p>
        </w:tc>
        <w:tc>
          <w:tcPr>
            <w:tcW w:w="560" w:type="dxa"/>
            <w:vAlign w:val="bottom"/>
          </w:tcPr>
          <w:p>
            <w:pPr>
              <w:jc w:val="right"/>
              <w:ind w:right="152"/>
              <w:spacing w:after="0" w:line="133" w:lineRule="exact"/>
              <w:rPr>
                <w:sz w:val="20"/>
                <w:szCs w:val="20"/>
                <w:color w:val="auto"/>
              </w:rPr>
            </w:pPr>
            <w:r>
              <w:rPr>
                <w:rFonts w:ascii="Arial" w:cs="Arial" w:eastAsia="Arial" w:hAnsi="Arial"/>
                <w:sz w:val="14"/>
                <w:szCs w:val="14"/>
                <w:color w:val="auto"/>
              </w:rPr>
              <w:t>696</w:t>
            </w:r>
          </w:p>
        </w:tc>
        <w:tc>
          <w:tcPr>
            <w:tcW w:w="280" w:type="dxa"/>
            <w:vAlign w:val="bottom"/>
          </w:tcPr>
          <w:p>
            <w:pPr>
              <w:spacing w:after="0"/>
              <w:rPr>
                <w:sz w:val="11"/>
                <w:szCs w:val="11"/>
                <w:color w:val="auto"/>
              </w:rPr>
            </w:pPr>
          </w:p>
        </w:tc>
        <w:tc>
          <w:tcPr>
            <w:tcW w:w="520" w:type="dxa"/>
            <w:vAlign w:val="bottom"/>
          </w:tcPr>
          <w:p>
            <w:pPr>
              <w:jc w:val="right"/>
              <w:ind w:right="112"/>
              <w:spacing w:after="0" w:line="133" w:lineRule="exact"/>
              <w:rPr>
                <w:sz w:val="20"/>
                <w:szCs w:val="20"/>
                <w:color w:val="auto"/>
              </w:rPr>
            </w:pPr>
            <w:r>
              <w:rPr>
                <w:rFonts w:ascii="Arial" w:cs="Arial" w:eastAsia="Arial" w:hAnsi="Arial"/>
                <w:sz w:val="14"/>
                <w:szCs w:val="14"/>
                <w:color w:val="auto"/>
              </w:rPr>
              <w:t>(38)</w:t>
            </w:r>
          </w:p>
        </w:tc>
        <w:tc>
          <w:tcPr>
            <w:tcW w:w="260" w:type="dxa"/>
            <w:vAlign w:val="bottom"/>
          </w:tcPr>
          <w:p>
            <w:pPr>
              <w:spacing w:after="0"/>
              <w:rPr>
                <w:sz w:val="11"/>
                <w:szCs w:val="11"/>
                <w:color w:val="auto"/>
              </w:rPr>
            </w:pPr>
          </w:p>
        </w:tc>
        <w:tc>
          <w:tcPr>
            <w:tcW w:w="760" w:type="dxa"/>
            <w:vAlign w:val="bottom"/>
          </w:tcPr>
          <w:p>
            <w:pPr>
              <w:jc w:val="right"/>
              <w:ind w:right="152"/>
              <w:spacing w:after="0" w:line="133" w:lineRule="exact"/>
              <w:rPr>
                <w:sz w:val="20"/>
                <w:szCs w:val="20"/>
                <w:color w:val="auto"/>
              </w:rPr>
            </w:pPr>
            <w:r>
              <w:rPr>
                <w:rFonts w:ascii="Arial" w:cs="Arial" w:eastAsia="Arial" w:hAnsi="Arial"/>
                <w:sz w:val="14"/>
                <w:szCs w:val="14"/>
                <w:color w:val="auto"/>
              </w:rPr>
              <w:t>170</w:t>
            </w:r>
          </w:p>
        </w:tc>
        <w:tc>
          <w:tcPr>
            <w:tcW w:w="360" w:type="dxa"/>
            <w:vAlign w:val="bottom"/>
          </w:tcPr>
          <w:p>
            <w:pPr>
              <w:spacing w:after="0"/>
              <w:rPr>
                <w:sz w:val="11"/>
                <w:szCs w:val="11"/>
                <w:color w:val="auto"/>
              </w:rPr>
            </w:pPr>
          </w:p>
        </w:tc>
        <w:tc>
          <w:tcPr>
            <w:tcW w:w="560" w:type="dxa"/>
            <w:vAlign w:val="bottom"/>
          </w:tcPr>
          <w:p>
            <w:pPr>
              <w:jc w:val="right"/>
              <w:ind w:right="152"/>
              <w:spacing w:after="0" w:line="133" w:lineRule="exact"/>
              <w:rPr>
                <w:sz w:val="20"/>
                <w:szCs w:val="20"/>
                <w:color w:val="auto"/>
              </w:rPr>
            </w:pPr>
            <w:r>
              <w:rPr>
                <w:rFonts w:ascii="Arial" w:cs="Arial" w:eastAsia="Arial" w:hAnsi="Arial"/>
                <w:sz w:val="14"/>
                <w:szCs w:val="14"/>
                <w:color w:val="auto"/>
              </w:rPr>
              <w:t>980</w:t>
            </w:r>
          </w:p>
        </w:tc>
        <w:tc>
          <w:tcPr>
            <w:tcW w:w="280" w:type="dxa"/>
            <w:vAlign w:val="bottom"/>
          </w:tcPr>
          <w:p>
            <w:pPr>
              <w:spacing w:after="0"/>
              <w:rPr>
                <w:sz w:val="11"/>
                <w:szCs w:val="11"/>
                <w:color w:val="auto"/>
              </w:rPr>
            </w:pPr>
          </w:p>
        </w:tc>
        <w:tc>
          <w:tcPr>
            <w:tcW w:w="860" w:type="dxa"/>
            <w:vAlign w:val="bottom"/>
          </w:tcPr>
          <w:p>
            <w:pPr>
              <w:jc w:val="right"/>
              <w:ind w:right="152"/>
              <w:spacing w:after="0" w:line="133" w:lineRule="exact"/>
              <w:rPr>
                <w:sz w:val="20"/>
                <w:szCs w:val="20"/>
                <w:color w:val="auto"/>
              </w:rPr>
            </w:pPr>
            <w:r>
              <w:rPr>
                <w:rFonts w:ascii="Arial" w:cs="Arial" w:eastAsia="Arial" w:hAnsi="Arial"/>
                <w:sz w:val="14"/>
                <w:szCs w:val="14"/>
                <w:color w:val="auto"/>
              </w:rPr>
              <w:t>2,889</w:t>
            </w:r>
          </w:p>
        </w:tc>
        <w:tc>
          <w:tcPr>
            <w:tcW w:w="260" w:type="dxa"/>
            <w:vAlign w:val="bottom"/>
          </w:tcPr>
          <w:p>
            <w:pPr>
              <w:spacing w:after="0"/>
              <w:rPr>
                <w:sz w:val="11"/>
                <w:szCs w:val="11"/>
                <w:color w:val="auto"/>
              </w:rPr>
            </w:pPr>
          </w:p>
        </w:tc>
        <w:tc>
          <w:tcPr>
            <w:tcW w:w="960" w:type="dxa"/>
            <w:vAlign w:val="bottom"/>
          </w:tcPr>
          <w:p>
            <w:pPr>
              <w:jc w:val="right"/>
              <w:ind w:right="112"/>
              <w:spacing w:after="0" w:line="133" w:lineRule="exact"/>
              <w:rPr>
                <w:sz w:val="20"/>
                <w:szCs w:val="20"/>
                <w:color w:val="auto"/>
              </w:rPr>
            </w:pPr>
            <w:r>
              <w:rPr>
                <w:rFonts w:ascii="Arial" w:cs="Arial" w:eastAsia="Arial" w:hAnsi="Arial"/>
                <w:sz w:val="14"/>
                <w:szCs w:val="14"/>
                <w:color w:val="auto"/>
              </w:rPr>
              <w:t>(3,909)</w:t>
            </w:r>
          </w:p>
        </w:tc>
        <w:tc>
          <w:tcPr>
            <w:tcW w:w="260" w:type="dxa"/>
            <w:vAlign w:val="bottom"/>
          </w:tcPr>
          <w:p>
            <w:pPr>
              <w:spacing w:after="0"/>
              <w:rPr>
                <w:sz w:val="11"/>
                <w:szCs w:val="11"/>
                <w:color w:val="auto"/>
              </w:rPr>
            </w:pPr>
          </w:p>
        </w:tc>
        <w:tc>
          <w:tcPr>
            <w:tcW w:w="840" w:type="dxa"/>
            <w:vAlign w:val="bottom"/>
            <w:vMerge w:val="continue"/>
          </w:tcPr>
          <w:p>
            <w:pPr>
              <w:spacing w:after="0"/>
              <w:rPr>
                <w:sz w:val="11"/>
                <w:szCs w:val="11"/>
                <w:color w:val="auto"/>
              </w:rPr>
            </w:pPr>
          </w:p>
        </w:tc>
        <w:tc>
          <w:tcPr>
            <w:tcW w:w="0" w:type="dxa"/>
            <w:vAlign w:val="bottom"/>
          </w:tcPr>
          <w:p>
            <w:pPr>
              <w:spacing w:after="0"/>
              <w:rPr>
                <w:sz w:val="1"/>
                <w:szCs w:val="1"/>
                <w:color w:val="auto"/>
              </w:rPr>
            </w:pPr>
          </w:p>
        </w:tc>
      </w:tr>
      <w:tr>
        <w:trPr>
          <w:trHeight w:val="165"/>
        </w:trPr>
        <w:tc>
          <w:tcPr>
            <w:tcW w:w="3260" w:type="dxa"/>
            <w:vAlign w:val="bottom"/>
            <w:tcBorders>
              <w:bottom w:val="single" w:sz="8" w:color="auto"/>
            </w:tcBorders>
            <w:gridSpan w:val="2"/>
          </w:tcPr>
          <w:p>
            <w:pPr>
              <w:spacing w:after="0"/>
              <w:rPr>
                <w:sz w:val="20"/>
                <w:szCs w:val="20"/>
                <w:color w:val="auto"/>
              </w:rPr>
            </w:pPr>
            <w:r>
              <w:rPr>
                <w:rFonts w:ascii="Arial" w:cs="Arial" w:eastAsia="Arial" w:hAnsi="Arial"/>
                <w:sz w:val="14"/>
                <w:szCs w:val="14"/>
                <w:color w:val="auto"/>
              </w:rPr>
              <w:t>Income tax (expense) benefit</w:t>
            </w:r>
          </w:p>
        </w:tc>
        <w:tc>
          <w:tcPr>
            <w:tcW w:w="480" w:type="dxa"/>
            <w:vAlign w:val="bottom"/>
            <w:tcBorders>
              <w:bottom w:val="single" w:sz="8" w:color="auto"/>
            </w:tcBorders>
          </w:tcPr>
          <w:p>
            <w:pPr>
              <w:spacing w:after="0"/>
              <w:rPr>
                <w:sz w:val="14"/>
                <w:szCs w:val="14"/>
                <w:color w:val="auto"/>
              </w:rPr>
            </w:pPr>
          </w:p>
        </w:tc>
        <w:tc>
          <w:tcPr>
            <w:tcW w:w="660" w:type="dxa"/>
            <w:vAlign w:val="bottom"/>
            <w:tcBorders>
              <w:bottom w:val="single" w:sz="8" w:color="auto"/>
            </w:tcBorders>
          </w:tcPr>
          <w:p>
            <w:pPr>
              <w:jc w:val="right"/>
              <w:ind w:right="152"/>
              <w:spacing w:after="0"/>
              <w:rPr>
                <w:sz w:val="20"/>
                <w:szCs w:val="20"/>
                <w:color w:val="auto"/>
              </w:rPr>
            </w:pPr>
            <w:r>
              <w:rPr>
                <w:rFonts w:ascii="Arial" w:cs="Arial" w:eastAsia="Arial" w:hAnsi="Arial"/>
                <w:sz w:val="14"/>
                <w:szCs w:val="14"/>
                <w:color w:val="auto"/>
              </w:rPr>
              <w:t>15</w:t>
            </w:r>
          </w:p>
        </w:tc>
        <w:tc>
          <w:tcPr>
            <w:tcW w:w="260" w:type="dxa"/>
            <w:vAlign w:val="bottom"/>
            <w:tcBorders>
              <w:bottom w:val="single" w:sz="8" w:color="auto"/>
            </w:tcBorders>
          </w:tcPr>
          <w:p>
            <w:pPr>
              <w:spacing w:after="0"/>
              <w:rPr>
                <w:sz w:val="14"/>
                <w:szCs w:val="14"/>
                <w:color w:val="auto"/>
              </w:rPr>
            </w:pPr>
          </w:p>
        </w:tc>
        <w:tc>
          <w:tcPr>
            <w:tcW w:w="560" w:type="dxa"/>
            <w:vAlign w:val="bottom"/>
            <w:tcBorders>
              <w:bottom w:val="single" w:sz="8" w:color="auto"/>
            </w:tcBorders>
          </w:tcPr>
          <w:p>
            <w:pPr>
              <w:jc w:val="right"/>
              <w:ind w:right="152"/>
              <w:spacing w:after="0"/>
              <w:rPr>
                <w:sz w:val="20"/>
                <w:szCs w:val="20"/>
                <w:color w:val="auto"/>
              </w:rPr>
            </w:pPr>
            <w:r>
              <w:rPr>
                <w:rFonts w:ascii="Arial" w:cs="Arial" w:eastAsia="Arial" w:hAnsi="Arial"/>
                <w:sz w:val="14"/>
                <w:szCs w:val="14"/>
                <w:color w:val="auto"/>
              </w:rPr>
              <w:t>166</w:t>
            </w:r>
          </w:p>
        </w:tc>
        <w:tc>
          <w:tcPr>
            <w:tcW w:w="280" w:type="dxa"/>
            <w:vAlign w:val="bottom"/>
            <w:tcBorders>
              <w:bottom w:val="single" w:sz="8" w:color="auto"/>
            </w:tcBorders>
          </w:tcPr>
          <w:p>
            <w:pPr>
              <w:spacing w:after="0"/>
              <w:rPr>
                <w:sz w:val="14"/>
                <w:szCs w:val="14"/>
                <w:color w:val="auto"/>
              </w:rPr>
            </w:pPr>
          </w:p>
        </w:tc>
        <w:tc>
          <w:tcPr>
            <w:tcW w:w="520" w:type="dxa"/>
            <w:vAlign w:val="bottom"/>
            <w:tcBorders>
              <w:bottom w:val="single" w:sz="8" w:color="auto"/>
            </w:tcBorders>
          </w:tcPr>
          <w:p>
            <w:pPr>
              <w:jc w:val="right"/>
              <w:ind w:right="152"/>
              <w:spacing w:after="0"/>
              <w:rPr>
                <w:sz w:val="20"/>
                <w:szCs w:val="20"/>
                <w:color w:val="auto"/>
              </w:rPr>
            </w:pPr>
            <w:r>
              <w:rPr>
                <w:rFonts w:ascii="Arial" w:cs="Arial" w:eastAsia="Arial" w:hAnsi="Arial"/>
                <w:sz w:val="14"/>
                <w:szCs w:val="14"/>
                <w:color w:val="auto"/>
              </w:rPr>
              <w:t>122</w:t>
            </w:r>
          </w:p>
        </w:tc>
        <w:tc>
          <w:tcPr>
            <w:tcW w:w="260" w:type="dxa"/>
            <w:vAlign w:val="bottom"/>
            <w:tcBorders>
              <w:bottom w:val="single" w:sz="8" w:color="auto"/>
            </w:tcBorders>
          </w:tcPr>
          <w:p>
            <w:pPr>
              <w:spacing w:after="0"/>
              <w:rPr>
                <w:sz w:val="14"/>
                <w:szCs w:val="14"/>
                <w:color w:val="auto"/>
              </w:rPr>
            </w:pPr>
          </w:p>
        </w:tc>
        <w:tc>
          <w:tcPr>
            <w:tcW w:w="760" w:type="dxa"/>
            <w:vAlign w:val="bottom"/>
            <w:tcBorders>
              <w:bottom w:val="single" w:sz="8" w:color="auto"/>
            </w:tcBorders>
          </w:tcPr>
          <w:p>
            <w:pPr>
              <w:jc w:val="right"/>
              <w:ind w:right="152"/>
              <w:spacing w:after="0"/>
              <w:rPr>
                <w:sz w:val="20"/>
                <w:szCs w:val="20"/>
                <w:color w:val="auto"/>
              </w:rPr>
            </w:pPr>
            <w:r>
              <w:rPr>
                <w:rFonts w:ascii="Arial" w:cs="Arial" w:eastAsia="Arial" w:hAnsi="Arial"/>
                <w:sz w:val="14"/>
                <w:szCs w:val="14"/>
                <w:color w:val="auto"/>
              </w:rPr>
              <w:t>140</w:t>
            </w:r>
          </w:p>
        </w:tc>
        <w:tc>
          <w:tcPr>
            <w:tcW w:w="360" w:type="dxa"/>
            <w:vAlign w:val="bottom"/>
            <w:tcBorders>
              <w:bottom w:val="single" w:sz="8" w:color="auto"/>
            </w:tcBorders>
          </w:tcPr>
          <w:p>
            <w:pPr>
              <w:spacing w:after="0"/>
              <w:rPr>
                <w:sz w:val="14"/>
                <w:szCs w:val="14"/>
                <w:color w:val="auto"/>
              </w:rPr>
            </w:pPr>
          </w:p>
        </w:tc>
        <w:tc>
          <w:tcPr>
            <w:tcW w:w="560" w:type="dxa"/>
            <w:vAlign w:val="bottom"/>
            <w:tcBorders>
              <w:bottom w:val="single" w:sz="8" w:color="auto"/>
            </w:tcBorders>
          </w:tcPr>
          <w:p>
            <w:pPr>
              <w:jc w:val="right"/>
              <w:ind w:right="152"/>
              <w:spacing w:after="0"/>
              <w:rPr>
                <w:sz w:val="20"/>
                <w:szCs w:val="20"/>
                <w:color w:val="auto"/>
              </w:rPr>
            </w:pPr>
            <w:r>
              <w:rPr>
                <w:rFonts w:ascii="Arial" w:cs="Arial" w:eastAsia="Arial" w:hAnsi="Arial"/>
                <w:sz w:val="14"/>
                <w:szCs w:val="14"/>
                <w:color w:val="auto"/>
              </w:rPr>
              <w:t>6</w:t>
            </w:r>
          </w:p>
        </w:tc>
        <w:tc>
          <w:tcPr>
            <w:tcW w:w="280" w:type="dxa"/>
            <w:vAlign w:val="bottom"/>
            <w:tcBorders>
              <w:bottom w:val="single" w:sz="8" w:color="auto"/>
            </w:tcBorders>
          </w:tcPr>
          <w:p>
            <w:pPr>
              <w:spacing w:after="0"/>
              <w:rPr>
                <w:sz w:val="14"/>
                <w:szCs w:val="14"/>
                <w:color w:val="auto"/>
              </w:rPr>
            </w:pPr>
          </w:p>
        </w:tc>
        <w:tc>
          <w:tcPr>
            <w:tcW w:w="860" w:type="dxa"/>
            <w:vAlign w:val="bottom"/>
            <w:tcBorders>
              <w:bottom w:val="single" w:sz="8" w:color="auto"/>
            </w:tcBorders>
          </w:tcPr>
          <w:p>
            <w:pPr>
              <w:jc w:val="right"/>
              <w:ind w:right="112"/>
              <w:spacing w:after="0"/>
              <w:rPr>
                <w:sz w:val="20"/>
                <w:szCs w:val="20"/>
                <w:color w:val="auto"/>
              </w:rPr>
            </w:pPr>
            <w:r>
              <w:rPr>
                <w:rFonts w:ascii="Arial" w:cs="Arial" w:eastAsia="Arial" w:hAnsi="Arial"/>
                <w:sz w:val="14"/>
                <w:szCs w:val="14"/>
                <w:color w:val="auto"/>
              </w:rPr>
              <w:t>(1,250)</w:t>
            </w:r>
          </w:p>
        </w:tc>
        <w:tc>
          <w:tcPr>
            <w:tcW w:w="260" w:type="dxa"/>
            <w:vAlign w:val="bottom"/>
            <w:tcBorders>
              <w:bottom w:val="single" w:sz="8" w:color="auto"/>
            </w:tcBorders>
          </w:tcPr>
          <w:p>
            <w:pPr>
              <w:spacing w:after="0"/>
              <w:rPr>
                <w:sz w:val="14"/>
                <w:szCs w:val="14"/>
                <w:color w:val="auto"/>
              </w:rPr>
            </w:pPr>
          </w:p>
        </w:tc>
        <w:tc>
          <w:tcPr>
            <w:tcW w:w="960" w:type="dxa"/>
            <w:vAlign w:val="bottom"/>
            <w:tcBorders>
              <w:bottom w:val="single" w:sz="8" w:color="auto"/>
            </w:tcBorders>
          </w:tcPr>
          <w:p>
            <w:pPr>
              <w:jc w:val="right"/>
              <w:ind w:right="152"/>
              <w:spacing w:after="0"/>
              <w:rPr>
                <w:sz w:val="20"/>
                <w:szCs w:val="20"/>
                <w:color w:val="auto"/>
              </w:rPr>
            </w:pPr>
            <w:r>
              <w:rPr>
                <w:rFonts w:ascii="Arial" w:cs="Arial" w:eastAsia="Arial" w:hAnsi="Arial"/>
                <w:sz w:val="14"/>
                <w:szCs w:val="14"/>
                <w:color w:val="auto"/>
              </w:rPr>
              <w:t>—</w:t>
            </w:r>
          </w:p>
        </w:tc>
        <w:tc>
          <w:tcPr>
            <w:tcW w:w="260" w:type="dxa"/>
            <w:vAlign w:val="bottom"/>
            <w:tcBorders>
              <w:bottom w:val="single" w:sz="8" w:color="auto"/>
            </w:tcBorders>
          </w:tcPr>
          <w:p>
            <w:pPr>
              <w:spacing w:after="0"/>
              <w:rPr>
                <w:sz w:val="14"/>
                <w:szCs w:val="14"/>
                <w:color w:val="auto"/>
              </w:rPr>
            </w:pPr>
          </w:p>
        </w:tc>
        <w:tc>
          <w:tcPr>
            <w:tcW w:w="84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(801)</w:t>
            </w:r>
          </w:p>
        </w:tc>
        <w:tc>
          <w:tcPr>
            <w:tcW w:w="0" w:type="dxa"/>
            <w:vAlign w:val="bottom"/>
          </w:tcPr>
          <w:p>
            <w:pPr>
              <w:spacing w:after="0"/>
              <w:rPr>
                <w:sz w:val="1"/>
                <w:szCs w:val="1"/>
                <w:color w:val="auto"/>
              </w:rPr>
            </w:pPr>
          </w:p>
        </w:tc>
      </w:tr>
      <w:tr>
        <w:trPr>
          <w:trHeight w:val="141"/>
        </w:trPr>
        <w:tc>
          <w:tcPr>
            <w:tcW w:w="3260" w:type="dxa"/>
            <w:vAlign w:val="bottom"/>
            <w:gridSpan w:val="2"/>
          </w:tcPr>
          <w:p>
            <w:pPr>
              <w:spacing w:after="0" w:line="141" w:lineRule="exact"/>
              <w:rPr>
                <w:sz w:val="20"/>
                <w:szCs w:val="20"/>
                <w:color w:val="auto"/>
              </w:rPr>
            </w:pPr>
            <w:r>
              <w:rPr>
                <w:rFonts w:ascii="Arial" w:cs="Arial" w:eastAsia="Arial" w:hAnsi="Arial"/>
                <w:sz w:val="14"/>
                <w:szCs w:val="14"/>
                <w:color w:val="auto"/>
              </w:rPr>
              <w:t>Income (loss) from continuing operations before</w:t>
            </w:r>
          </w:p>
        </w:tc>
        <w:tc>
          <w:tcPr>
            <w:tcW w:w="48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86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96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840" w:type="dxa"/>
            <w:vAlign w:val="bottom"/>
            <w:vMerge w:val="restart"/>
          </w:tcPr>
          <w:p>
            <w:pPr>
              <w:jc w:val="right"/>
              <w:spacing w:after="0"/>
              <w:rPr>
                <w:sz w:val="20"/>
                <w:szCs w:val="20"/>
                <w:color w:val="auto"/>
              </w:rPr>
            </w:pPr>
            <w:r>
              <w:rPr>
                <w:rFonts w:ascii="Arial" w:cs="Arial" w:eastAsia="Arial" w:hAnsi="Arial"/>
                <w:sz w:val="14"/>
                <w:szCs w:val="14"/>
                <w:b w:val="1"/>
                <w:bCs w:val="1"/>
                <w:color w:val="auto"/>
              </w:rPr>
              <w:t>942</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3240" w:type="dxa"/>
            <w:vAlign w:val="bottom"/>
          </w:tcPr>
          <w:p>
            <w:pPr>
              <w:ind w:left="200"/>
              <w:spacing w:after="0" w:line="133" w:lineRule="exact"/>
              <w:rPr>
                <w:sz w:val="20"/>
                <w:szCs w:val="20"/>
                <w:color w:val="auto"/>
              </w:rPr>
            </w:pPr>
            <w:r>
              <w:rPr>
                <w:rFonts w:ascii="Arial" w:cs="Arial" w:eastAsia="Arial" w:hAnsi="Arial"/>
                <w:sz w:val="14"/>
                <w:szCs w:val="14"/>
                <w:color w:val="auto"/>
              </w:rPr>
              <w:t>minority interest</w:t>
            </w:r>
          </w:p>
        </w:tc>
        <w:tc>
          <w:tcPr>
            <w:tcW w:w="480" w:type="dxa"/>
            <w:vAlign w:val="bottom"/>
          </w:tcPr>
          <w:p>
            <w:pPr>
              <w:spacing w:after="0"/>
              <w:rPr>
                <w:sz w:val="11"/>
                <w:szCs w:val="11"/>
                <w:color w:val="auto"/>
              </w:rPr>
            </w:pPr>
          </w:p>
        </w:tc>
        <w:tc>
          <w:tcPr>
            <w:tcW w:w="660" w:type="dxa"/>
            <w:vAlign w:val="bottom"/>
          </w:tcPr>
          <w:p>
            <w:pPr>
              <w:jc w:val="right"/>
              <w:ind w:right="152"/>
              <w:spacing w:after="0" w:line="133" w:lineRule="exact"/>
              <w:rPr>
                <w:sz w:val="20"/>
                <w:szCs w:val="20"/>
                <w:color w:val="auto"/>
              </w:rPr>
            </w:pPr>
            <w:r>
              <w:rPr>
                <w:rFonts w:ascii="Arial" w:cs="Arial" w:eastAsia="Arial" w:hAnsi="Arial"/>
                <w:sz w:val="14"/>
                <w:szCs w:val="14"/>
                <w:color w:val="auto"/>
              </w:rPr>
              <w:t>970</w:t>
            </w:r>
          </w:p>
        </w:tc>
        <w:tc>
          <w:tcPr>
            <w:tcW w:w="260" w:type="dxa"/>
            <w:vAlign w:val="bottom"/>
          </w:tcPr>
          <w:p>
            <w:pPr>
              <w:spacing w:after="0"/>
              <w:rPr>
                <w:sz w:val="11"/>
                <w:szCs w:val="11"/>
                <w:color w:val="auto"/>
              </w:rPr>
            </w:pPr>
          </w:p>
        </w:tc>
        <w:tc>
          <w:tcPr>
            <w:tcW w:w="560" w:type="dxa"/>
            <w:vAlign w:val="bottom"/>
          </w:tcPr>
          <w:p>
            <w:pPr>
              <w:jc w:val="right"/>
              <w:ind w:right="152"/>
              <w:spacing w:after="0" w:line="133" w:lineRule="exact"/>
              <w:rPr>
                <w:sz w:val="20"/>
                <w:szCs w:val="20"/>
                <w:color w:val="auto"/>
              </w:rPr>
            </w:pPr>
            <w:r>
              <w:rPr>
                <w:rFonts w:ascii="Arial" w:cs="Arial" w:eastAsia="Arial" w:hAnsi="Arial"/>
                <w:sz w:val="14"/>
                <w:szCs w:val="14"/>
                <w:color w:val="auto"/>
              </w:rPr>
              <w:t>862</w:t>
            </w:r>
          </w:p>
        </w:tc>
        <w:tc>
          <w:tcPr>
            <w:tcW w:w="280" w:type="dxa"/>
            <w:vAlign w:val="bottom"/>
          </w:tcPr>
          <w:p>
            <w:pPr>
              <w:spacing w:after="0"/>
              <w:rPr>
                <w:sz w:val="11"/>
                <w:szCs w:val="11"/>
                <w:color w:val="auto"/>
              </w:rPr>
            </w:pPr>
          </w:p>
        </w:tc>
        <w:tc>
          <w:tcPr>
            <w:tcW w:w="520" w:type="dxa"/>
            <w:vAlign w:val="bottom"/>
          </w:tcPr>
          <w:p>
            <w:pPr>
              <w:jc w:val="right"/>
              <w:ind w:right="152"/>
              <w:spacing w:after="0" w:line="133" w:lineRule="exact"/>
              <w:rPr>
                <w:sz w:val="20"/>
                <w:szCs w:val="20"/>
                <w:color w:val="auto"/>
              </w:rPr>
            </w:pPr>
            <w:r>
              <w:rPr>
                <w:rFonts w:ascii="Arial" w:cs="Arial" w:eastAsia="Arial" w:hAnsi="Arial"/>
                <w:sz w:val="14"/>
                <w:szCs w:val="14"/>
                <w:color w:val="auto"/>
              </w:rPr>
              <w:t>84</w:t>
            </w:r>
          </w:p>
        </w:tc>
        <w:tc>
          <w:tcPr>
            <w:tcW w:w="260" w:type="dxa"/>
            <w:vAlign w:val="bottom"/>
          </w:tcPr>
          <w:p>
            <w:pPr>
              <w:spacing w:after="0"/>
              <w:rPr>
                <w:sz w:val="11"/>
                <w:szCs w:val="11"/>
                <w:color w:val="auto"/>
              </w:rPr>
            </w:pPr>
          </w:p>
        </w:tc>
        <w:tc>
          <w:tcPr>
            <w:tcW w:w="760" w:type="dxa"/>
            <w:vAlign w:val="bottom"/>
          </w:tcPr>
          <w:p>
            <w:pPr>
              <w:jc w:val="right"/>
              <w:ind w:right="152"/>
              <w:spacing w:after="0" w:line="133" w:lineRule="exact"/>
              <w:rPr>
                <w:sz w:val="20"/>
                <w:szCs w:val="20"/>
                <w:color w:val="auto"/>
              </w:rPr>
            </w:pPr>
            <w:r>
              <w:rPr>
                <w:rFonts w:ascii="Arial" w:cs="Arial" w:eastAsia="Arial" w:hAnsi="Arial"/>
                <w:sz w:val="14"/>
                <w:szCs w:val="14"/>
                <w:color w:val="auto"/>
              </w:rPr>
              <w:t>310</w:t>
            </w:r>
          </w:p>
        </w:tc>
        <w:tc>
          <w:tcPr>
            <w:tcW w:w="360" w:type="dxa"/>
            <w:vAlign w:val="bottom"/>
          </w:tcPr>
          <w:p>
            <w:pPr>
              <w:spacing w:after="0"/>
              <w:rPr>
                <w:sz w:val="11"/>
                <w:szCs w:val="11"/>
                <w:color w:val="auto"/>
              </w:rPr>
            </w:pPr>
          </w:p>
        </w:tc>
        <w:tc>
          <w:tcPr>
            <w:tcW w:w="560" w:type="dxa"/>
            <w:vAlign w:val="bottom"/>
          </w:tcPr>
          <w:p>
            <w:pPr>
              <w:jc w:val="right"/>
              <w:ind w:right="152"/>
              <w:spacing w:after="0" w:line="133" w:lineRule="exact"/>
              <w:rPr>
                <w:sz w:val="20"/>
                <w:szCs w:val="20"/>
                <w:color w:val="auto"/>
              </w:rPr>
            </w:pPr>
            <w:r>
              <w:rPr>
                <w:rFonts w:ascii="Arial" w:cs="Arial" w:eastAsia="Arial" w:hAnsi="Arial"/>
                <w:sz w:val="14"/>
                <w:szCs w:val="14"/>
                <w:color w:val="auto"/>
              </w:rPr>
              <w:t>986</w:t>
            </w:r>
          </w:p>
        </w:tc>
        <w:tc>
          <w:tcPr>
            <w:tcW w:w="280" w:type="dxa"/>
            <w:vAlign w:val="bottom"/>
          </w:tcPr>
          <w:p>
            <w:pPr>
              <w:spacing w:after="0"/>
              <w:rPr>
                <w:sz w:val="11"/>
                <w:szCs w:val="11"/>
                <w:color w:val="auto"/>
              </w:rPr>
            </w:pPr>
          </w:p>
        </w:tc>
        <w:tc>
          <w:tcPr>
            <w:tcW w:w="860" w:type="dxa"/>
            <w:vAlign w:val="bottom"/>
          </w:tcPr>
          <w:p>
            <w:pPr>
              <w:jc w:val="right"/>
              <w:ind w:right="152"/>
              <w:spacing w:after="0" w:line="133" w:lineRule="exact"/>
              <w:rPr>
                <w:sz w:val="20"/>
                <w:szCs w:val="20"/>
                <w:color w:val="auto"/>
              </w:rPr>
            </w:pPr>
            <w:r>
              <w:rPr>
                <w:rFonts w:ascii="Arial" w:cs="Arial" w:eastAsia="Arial" w:hAnsi="Arial"/>
                <w:sz w:val="14"/>
                <w:szCs w:val="14"/>
                <w:color w:val="auto"/>
              </w:rPr>
              <w:t>1,639</w:t>
            </w:r>
          </w:p>
        </w:tc>
        <w:tc>
          <w:tcPr>
            <w:tcW w:w="260" w:type="dxa"/>
            <w:vAlign w:val="bottom"/>
          </w:tcPr>
          <w:p>
            <w:pPr>
              <w:spacing w:after="0"/>
              <w:rPr>
                <w:sz w:val="11"/>
                <w:szCs w:val="11"/>
                <w:color w:val="auto"/>
              </w:rPr>
            </w:pPr>
          </w:p>
        </w:tc>
        <w:tc>
          <w:tcPr>
            <w:tcW w:w="960" w:type="dxa"/>
            <w:vAlign w:val="bottom"/>
          </w:tcPr>
          <w:p>
            <w:pPr>
              <w:jc w:val="right"/>
              <w:ind w:right="112"/>
              <w:spacing w:after="0" w:line="133" w:lineRule="exact"/>
              <w:rPr>
                <w:sz w:val="20"/>
                <w:szCs w:val="20"/>
                <w:color w:val="auto"/>
              </w:rPr>
            </w:pPr>
            <w:r>
              <w:rPr>
                <w:rFonts w:ascii="Arial" w:cs="Arial" w:eastAsia="Arial" w:hAnsi="Arial"/>
                <w:sz w:val="14"/>
                <w:szCs w:val="14"/>
                <w:color w:val="auto"/>
              </w:rPr>
              <w:t>(3,909)</w:t>
            </w:r>
          </w:p>
        </w:tc>
        <w:tc>
          <w:tcPr>
            <w:tcW w:w="260" w:type="dxa"/>
            <w:vAlign w:val="bottom"/>
          </w:tcPr>
          <w:p>
            <w:pPr>
              <w:spacing w:after="0"/>
              <w:rPr>
                <w:sz w:val="11"/>
                <w:szCs w:val="11"/>
                <w:color w:val="auto"/>
              </w:rPr>
            </w:pPr>
          </w:p>
        </w:tc>
        <w:tc>
          <w:tcPr>
            <w:tcW w:w="840" w:type="dxa"/>
            <w:vAlign w:val="bottom"/>
            <w:vMerge w:val="continue"/>
          </w:tcPr>
          <w:p>
            <w:pPr>
              <w:spacing w:after="0"/>
              <w:rPr>
                <w:sz w:val="11"/>
                <w:szCs w:val="11"/>
                <w:color w:val="auto"/>
              </w:rPr>
            </w:pPr>
          </w:p>
        </w:tc>
        <w:tc>
          <w:tcPr>
            <w:tcW w:w="0" w:type="dxa"/>
            <w:vAlign w:val="bottom"/>
          </w:tcPr>
          <w:p>
            <w:pPr>
              <w:spacing w:after="0"/>
              <w:rPr>
                <w:sz w:val="1"/>
                <w:szCs w:val="1"/>
                <w:color w:val="auto"/>
              </w:rPr>
            </w:pPr>
          </w:p>
        </w:tc>
      </w:tr>
      <w:tr>
        <w:trPr>
          <w:trHeight w:val="165"/>
        </w:trPr>
        <w:tc>
          <w:tcPr>
            <w:tcW w:w="3260" w:type="dxa"/>
            <w:vAlign w:val="bottom"/>
            <w:tcBorders>
              <w:bottom w:val="single" w:sz="8" w:color="auto"/>
            </w:tcBorders>
            <w:gridSpan w:val="2"/>
          </w:tcPr>
          <w:p>
            <w:pPr>
              <w:spacing w:after="0"/>
              <w:rPr>
                <w:sz w:val="20"/>
                <w:szCs w:val="20"/>
                <w:color w:val="auto"/>
              </w:rPr>
            </w:pPr>
            <w:r>
              <w:rPr>
                <w:rFonts w:ascii="Arial" w:cs="Arial" w:eastAsia="Arial" w:hAnsi="Arial"/>
                <w:sz w:val="14"/>
                <w:szCs w:val="14"/>
                <w:color w:val="auto"/>
              </w:rPr>
              <w:t>Minority interest</w:t>
            </w:r>
          </w:p>
        </w:tc>
        <w:tc>
          <w:tcPr>
            <w:tcW w:w="480" w:type="dxa"/>
            <w:vAlign w:val="bottom"/>
            <w:tcBorders>
              <w:bottom w:val="single" w:sz="8" w:color="auto"/>
            </w:tcBorders>
          </w:tcPr>
          <w:p>
            <w:pPr>
              <w:spacing w:after="0"/>
              <w:rPr>
                <w:sz w:val="14"/>
                <w:szCs w:val="14"/>
                <w:color w:val="auto"/>
              </w:rPr>
            </w:pPr>
          </w:p>
        </w:tc>
        <w:tc>
          <w:tcPr>
            <w:tcW w:w="660" w:type="dxa"/>
            <w:vAlign w:val="bottom"/>
            <w:tcBorders>
              <w:bottom w:val="single" w:sz="8" w:color="auto"/>
            </w:tcBorders>
          </w:tcPr>
          <w:p>
            <w:pPr>
              <w:jc w:val="right"/>
              <w:ind w:right="152"/>
              <w:spacing w:after="0"/>
              <w:rPr>
                <w:sz w:val="20"/>
                <w:szCs w:val="20"/>
                <w:color w:val="auto"/>
              </w:rPr>
            </w:pPr>
            <w:r>
              <w:rPr>
                <w:rFonts w:ascii="Arial" w:cs="Arial" w:eastAsia="Arial" w:hAnsi="Arial"/>
                <w:sz w:val="14"/>
                <w:szCs w:val="14"/>
                <w:color w:val="auto"/>
              </w:rPr>
              <w:t>—</w:t>
            </w:r>
          </w:p>
        </w:tc>
        <w:tc>
          <w:tcPr>
            <w:tcW w:w="260" w:type="dxa"/>
            <w:vAlign w:val="bottom"/>
            <w:tcBorders>
              <w:bottom w:val="single" w:sz="8" w:color="auto"/>
            </w:tcBorders>
          </w:tcPr>
          <w:p>
            <w:pPr>
              <w:spacing w:after="0"/>
              <w:rPr>
                <w:sz w:val="14"/>
                <w:szCs w:val="14"/>
                <w:color w:val="auto"/>
              </w:rPr>
            </w:pPr>
          </w:p>
        </w:tc>
        <w:tc>
          <w:tcPr>
            <w:tcW w:w="560" w:type="dxa"/>
            <w:vAlign w:val="bottom"/>
            <w:tcBorders>
              <w:bottom w:val="single" w:sz="8" w:color="auto"/>
            </w:tcBorders>
          </w:tcPr>
          <w:p>
            <w:pPr>
              <w:jc w:val="right"/>
              <w:ind w:right="152"/>
              <w:spacing w:after="0"/>
              <w:rPr>
                <w:sz w:val="20"/>
                <w:szCs w:val="20"/>
                <w:color w:val="auto"/>
              </w:rPr>
            </w:pPr>
            <w:r>
              <w:rPr>
                <w:rFonts w:ascii="Arial" w:cs="Arial" w:eastAsia="Arial" w:hAnsi="Arial"/>
                <w:sz w:val="14"/>
                <w:szCs w:val="14"/>
                <w:color w:val="auto"/>
              </w:rPr>
              <w:t>—</w:t>
            </w:r>
          </w:p>
        </w:tc>
        <w:tc>
          <w:tcPr>
            <w:tcW w:w="280" w:type="dxa"/>
            <w:vAlign w:val="bottom"/>
            <w:tcBorders>
              <w:bottom w:val="single" w:sz="8" w:color="auto"/>
            </w:tcBorders>
          </w:tcPr>
          <w:p>
            <w:pPr>
              <w:spacing w:after="0"/>
              <w:rPr>
                <w:sz w:val="14"/>
                <w:szCs w:val="14"/>
                <w:color w:val="auto"/>
              </w:rPr>
            </w:pPr>
          </w:p>
        </w:tc>
        <w:tc>
          <w:tcPr>
            <w:tcW w:w="520" w:type="dxa"/>
            <w:vAlign w:val="bottom"/>
            <w:tcBorders>
              <w:bottom w:val="single" w:sz="8" w:color="auto"/>
            </w:tcBorders>
          </w:tcPr>
          <w:p>
            <w:pPr>
              <w:jc w:val="right"/>
              <w:ind w:right="152"/>
              <w:spacing w:after="0"/>
              <w:rPr>
                <w:sz w:val="20"/>
                <w:szCs w:val="20"/>
                <w:color w:val="auto"/>
              </w:rPr>
            </w:pPr>
            <w:r>
              <w:rPr>
                <w:rFonts w:ascii="Arial" w:cs="Arial" w:eastAsia="Arial" w:hAnsi="Arial"/>
                <w:sz w:val="14"/>
                <w:szCs w:val="14"/>
                <w:color w:val="auto"/>
              </w:rPr>
              <w:t>—</w:t>
            </w:r>
          </w:p>
        </w:tc>
        <w:tc>
          <w:tcPr>
            <w:tcW w:w="260" w:type="dxa"/>
            <w:vAlign w:val="bottom"/>
            <w:tcBorders>
              <w:bottom w:val="single" w:sz="8" w:color="auto"/>
            </w:tcBorders>
          </w:tcPr>
          <w:p>
            <w:pPr>
              <w:spacing w:after="0"/>
              <w:rPr>
                <w:sz w:val="14"/>
                <w:szCs w:val="14"/>
                <w:color w:val="auto"/>
              </w:rPr>
            </w:pPr>
          </w:p>
        </w:tc>
        <w:tc>
          <w:tcPr>
            <w:tcW w:w="760" w:type="dxa"/>
            <w:vAlign w:val="bottom"/>
            <w:tcBorders>
              <w:bottom w:val="single" w:sz="8" w:color="auto"/>
            </w:tcBorders>
          </w:tcPr>
          <w:p>
            <w:pPr>
              <w:jc w:val="right"/>
              <w:ind w:right="152"/>
              <w:spacing w:after="0"/>
              <w:rPr>
                <w:sz w:val="20"/>
                <w:szCs w:val="20"/>
                <w:color w:val="auto"/>
              </w:rPr>
            </w:pPr>
            <w:r>
              <w:rPr>
                <w:rFonts w:ascii="Arial" w:cs="Arial" w:eastAsia="Arial" w:hAnsi="Arial"/>
                <w:sz w:val="14"/>
                <w:szCs w:val="14"/>
                <w:color w:val="auto"/>
              </w:rPr>
              <w:t>—</w:t>
            </w:r>
          </w:p>
        </w:tc>
        <w:tc>
          <w:tcPr>
            <w:tcW w:w="360" w:type="dxa"/>
            <w:vAlign w:val="bottom"/>
            <w:tcBorders>
              <w:bottom w:val="single" w:sz="8" w:color="auto"/>
            </w:tcBorders>
          </w:tcPr>
          <w:p>
            <w:pPr>
              <w:spacing w:after="0"/>
              <w:rPr>
                <w:sz w:val="14"/>
                <w:szCs w:val="14"/>
                <w:color w:val="auto"/>
              </w:rPr>
            </w:pPr>
          </w:p>
        </w:tc>
        <w:tc>
          <w:tcPr>
            <w:tcW w:w="560" w:type="dxa"/>
            <w:vAlign w:val="bottom"/>
            <w:tcBorders>
              <w:bottom w:val="single" w:sz="8" w:color="auto"/>
            </w:tcBorders>
          </w:tcPr>
          <w:p>
            <w:pPr>
              <w:jc w:val="right"/>
              <w:ind w:right="152"/>
              <w:spacing w:after="0"/>
              <w:rPr>
                <w:sz w:val="20"/>
                <w:szCs w:val="20"/>
                <w:color w:val="auto"/>
              </w:rPr>
            </w:pPr>
            <w:r>
              <w:rPr>
                <w:rFonts w:ascii="Arial" w:cs="Arial" w:eastAsia="Arial" w:hAnsi="Arial"/>
                <w:sz w:val="14"/>
                <w:szCs w:val="14"/>
                <w:color w:val="auto"/>
              </w:rPr>
              <w:t>—</w:t>
            </w:r>
          </w:p>
        </w:tc>
        <w:tc>
          <w:tcPr>
            <w:tcW w:w="280" w:type="dxa"/>
            <w:vAlign w:val="bottom"/>
            <w:tcBorders>
              <w:bottom w:val="single" w:sz="8" w:color="auto"/>
            </w:tcBorders>
          </w:tcPr>
          <w:p>
            <w:pPr>
              <w:spacing w:after="0"/>
              <w:rPr>
                <w:sz w:val="14"/>
                <w:szCs w:val="14"/>
                <w:color w:val="auto"/>
              </w:rPr>
            </w:pPr>
          </w:p>
        </w:tc>
        <w:tc>
          <w:tcPr>
            <w:tcW w:w="860" w:type="dxa"/>
            <w:vAlign w:val="bottom"/>
            <w:tcBorders>
              <w:bottom w:val="single" w:sz="8" w:color="auto"/>
            </w:tcBorders>
          </w:tcPr>
          <w:p>
            <w:pPr>
              <w:jc w:val="right"/>
              <w:ind w:right="112"/>
              <w:spacing w:after="0"/>
              <w:rPr>
                <w:sz w:val="20"/>
                <w:szCs w:val="20"/>
                <w:color w:val="auto"/>
              </w:rPr>
            </w:pPr>
            <w:r>
              <w:rPr>
                <w:rFonts w:ascii="Arial" w:cs="Arial" w:eastAsia="Arial" w:hAnsi="Arial"/>
                <w:sz w:val="14"/>
                <w:szCs w:val="14"/>
                <w:color w:val="auto"/>
              </w:rPr>
              <w:t>(14)</w:t>
            </w:r>
          </w:p>
        </w:tc>
        <w:tc>
          <w:tcPr>
            <w:tcW w:w="260" w:type="dxa"/>
            <w:vAlign w:val="bottom"/>
            <w:tcBorders>
              <w:bottom w:val="single" w:sz="8" w:color="auto"/>
            </w:tcBorders>
          </w:tcPr>
          <w:p>
            <w:pPr>
              <w:spacing w:after="0"/>
              <w:rPr>
                <w:sz w:val="14"/>
                <w:szCs w:val="14"/>
                <w:color w:val="auto"/>
              </w:rPr>
            </w:pPr>
          </w:p>
        </w:tc>
        <w:tc>
          <w:tcPr>
            <w:tcW w:w="960" w:type="dxa"/>
            <w:vAlign w:val="bottom"/>
            <w:tcBorders>
              <w:bottom w:val="single" w:sz="8" w:color="auto"/>
            </w:tcBorders>
          </w:tcPr>
          <w:p>
            <w:pPr>
              <w:jc w:val="right"/>
              <w:ind w:right="152"/>
              <w:spacing w:after="0"/>
              <w:rPr>
                <w:sz w:val="20"/>
                <w:szCs w:val="20"/>
                <w:color w:val="auto"/>
              </w:rPr>
            </w:pPr>
            <w:r>
              <w:rPr>
                <w:rFonts w:ascii="Arial" w:cs="Arial" w:eastAsia="Arial" w:hAnsi="Arial"/>
                <w:sz w:val="14"/>
                <w:szCs w:val="14"/>
                <w:color w:val="auto"/>
              </w:rPr>
              <w:t>—</w:t>
            </w:r>
          </w:p>
        </w:tc>
        <w:tc>
          <w:tcPr>
            <w:tcW w:w="260" w:type="dxa"/>
            <w:vAlign w:val="bottom"/>
            <w:tcBorders>
              <w:bottom w:val="single" w:sz="8" w:color="auto"/>
            </w:tcBorders>
          </w:tcPr>
          <w:p>
            <w:pPr>
              <w:spacing w:after="0"/>
              <w:rPr>
                <w:sz w:val="14"/>
                <w:szCs w:val="14"/>
                <w:color w:val="auto"/>
              </w:rPr>
            </w:pPr>
          </w:p>
        </w:tc>
        <w:tc>
          <w:tcPr>
            <w:tcW w:w="84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(14)</w:t>
            </w:r>
          </w:p>
        </w:tc>
        <w:tc>
          <w:tcPr>
            <w:tcW w:w="0" w:type="dxa"/>
            <w:vAlign w:val="bottom"/>
          </w:tcPr>
          <w:p>
            <w:pPr>
              <w:spacing w:after="0"/>
              <w:rPr>
                <w:sz w:val="1"/>
                <w:szCs w:val="1"/>
                <w:color w:val="auto"/>
              </w:rPr>
            </w:pPr>
          </w:p>
        </w:tc>
      </w:tr>
      <w:tr>
        <w:trPr>
          <w:trHeight w:val="125"/>
        </w:trPr>
        <w:tc>
          <w:tcPr>
            <w:tcW w:w="3260" w:type="dxa"/>
            <w:vAlign w:val="bottom"/>
            <w:gridSpan w:val="2"/>
          </w:tcPr>
          <w:p>
            <w:pPr>
              <w:spacing w:after="0" w:line="125" w:lineRule="exact"/>
              <w:rPr>
                <w:sz w:val="20"/>
                <w:szCs w:val="20"/>
                <w:color w:val="auto"/>
              </w:rPr>
            </w:pPr>
            <w:r>
              <w:rPr>
                <w:rFonts w:ascii="Arial" w:cs="Arial" w:eastAsia="Arial" w:hAnsi="Arial"/>
                <w:sz w:val="14"/>
                <w:szCs w:val="14"/>
                <w:color w:val="auto"/>
              </w:rPr>
              <w:t>Income from continuing operations</w:t>
            </w:r>
          </w:p>
        </w:tc>
        <w:tc>
          <w:tcPr>
            <w:tcW w:w="480" w:type="dxa"/>
            <w:vAlign w:val="bottom"/>
          </w:tcPr>
          <w:p>
            <w:pPr>
              <w:spacing w:after="0"/>
              <w:rPr>
                <w:sz w:val="10"/>
                <w:szCs w:val="10"/>
                <w:color w:val="auto"/>
              </w:rPr>
            </w:pPr>
          </w:p>
        </w:tc>
        <w:tc>
          <w:tcPr>
            <w:tcW w:w="660" w:type="dxa"/>
            <w:vAlign w:val="bottom"/>
          </w:tcPr>
          <w:p>
            <w:pPr>
              <w:jc w:val="right"/>
              <w:ind w:right="152"/>
              <w:spacing w:after="0" w:line="125" w:lineRule="exact"/>
              <w:rPr>
                <w:sz w:val="20"/>
                <w:szCs w:val="20"/>
                <w:color w:val="auto"/>
              </w:rPr>
            </w:pPr>
            <w:r>
              <w:rPr>
                <w:rFonts w:ascii="Arial" w:cs="Arial" w:eastAsia="Arial" w:hAnsi="Arial"/>
                <w:sz w:val="14"/>
                <w:szCs w:val="14"/>
                <w:color w:val="auto"/>
              </w:rPr>
              <w:t>970</w:t>
            </w:r>
          </w:p>
        </w:tc>
        <w:tc>
          <w:tcPr>
            <w:tcW w:w="260" w:type="dxa"/>
            <w:vAlign w:val="bottom"/>
          </w:tcPr>
          <w:p>
            <w:pPr>
              <w:spacing w:after="0"/>
              <w:rPr>
                <w:sz w:val="10"/>
                <w:szCs w:val="10"/>
                <w:color w:val="auto"/>
              </w:rPr>
            </w:pPr>
          </w:p>
        </w:tc>
        <w:tc>
          <w:tcPr>
            <w:tcW w:w="560" w:type="dxa"/>
            <w:vAlign w:val="bottom"/>
          </w:tcPr>
          <w:p>
            <w:pPr>
              <w:jc w:val="right"/>
              <w:ind w:right="152"/>
              <w:spacing w:after="0" w:line="125" w:lineRule="exact"/>
              <w:rPr>
                <w:sz w:val="20"/>
                <w:szCs w:val="20"/>
                <w:color w:val="auto"/>
              </w:rPr>
            </w:pPr>
            <w:r>
              <w:rPr>
                <w:rFonts w:ascii="Arial" w:cs="Arial" w:eastAsia="Arial" w:hAnsi="Arial"/>
                <w:sz w:val="14"/>
                <w:szCs w:val="14"/>
                <w:color w:val="auto"/>
              </w:rPr>
              <w:t>862</w:t>
            </w:r>
          </w:p>
        </w:tc>
        <w:tc>
          <w:tcPr>
            <w:tcW w:w="280" w:type="dxa"/>
            <w:vAlign w:val="bottom"/>
          </w:tcPr>
          <w:p>
            <w:pPr>
              <w:spacing w:after="0"/>
              <w:rPr>
                <w:sz w:val="10"/>
                <w:szCs w:val="10"/>
                <w:color w:val="auto"/>
              </w:rPr>
            </w:pPr>
          </w:p>
        </w:tc>
        <w:tc>
          <w:tcPr>
            <w:tcW w:w="520" w:type="dxa"/>
            <w:vAlign w:val="bottom"/>
          </w:tcPr>
          <w:p>
            <w:pPr>
              <w:jc w:val="right"/>
              <w:ind w:right="152"/>
              <w:spacing w:after="0" w:line="125" w:lineRule="exact"/>
              <w:rPr>
                <w:sz w:val="20"/>
                <w:szCs w:val="20"/>
                <w:color w:val="auto"/>
              </w:rPr>
            </w:pPr>
            <w:r>
              <w:rPr>
                <w:rFonts w:ascii="Arial" w:cs="Arial" w:eastAsia="Arial" w:hAnsi="Arial"/>
                <w:sz w:val="14"/>
                <w:szCs w:val="14"/>
                <w:color w:val="auto"/>
              </w:rPr>
              <w:t>84</w:t>
            </w:r>
          </w:p>
        </w:tc>
        <w:tc>
          <w:tcPr>
            <w:tcW w:w="260" w:type="dxa"/>
            <w:vAlign w:val="bottom"/>
          </w:tcPr>
          <w:p>
            <w:pPr>
              <w:spacing w:after="0"/>
              <w:rPr>
                <w:sz w:val="10"/>
                <w:szCs w:val="10"/>
                <w:color w:val="auto"/>
              </w:rPr>
            </w:pPr>
          </w:p>
        </w:tc>
        <w:tc>
          <w:tcPr>
            <w:tcW w:w="760" w:type="dxa"/>
            <w:vAlign w:val="bottom"/>
          </w:tcPr>
          <w:p>
            <w:pPr>
              <w:jc w:val="right"/>
              <w:ind w:right="152"/>
              <w:spacing w:after="0" w:line="125" w:lineRule="exact"/>
              <w:rPr>
                <w:sz w:val="20"/>
                <w:szCs w:val="20"/>
                <w:color w:val="auto"/>
              </w:rPr>
            </w:pPr>
            <w:r>
              <w:rPr>
                <w:rFonts w:ascii="Arial" w:cs="Arial" w:eastAsia="Arial" w:hAnsi="Arial"/>
                <w:sz w:val="14"/>
                <w:szCs w:val="14"/>
                <w:color w:val="auto"/>
              </w:rPr>
              <w:t>310</w:t>
            </w:r>
          </w:p>
        </w:tc>
        <w:tc>
          <w:tcPr>
            <w:tcW w:w="360" w:type="dxa"/>
            <w:vAlign w:val="bottom"/>
          </w:tcPr>
          <w:p>
            <w:pPr>
              <w:spacing w:after="0"/>
              <w:rPr>
                <w:sz w:val="10"/>
                <w:szCs w:val="10"/>
                <w:color w:val="auto"/>
              </w:rPr>
            </w:pPr>
          </w:p>
        </w:tc>
        <w:tc>
          <w:tcPr>
            <w:tcW w:w="560" w:type="dxa"/>
            <w:vAlign w:val="bottom"/>
          </w:tcPr>
          <w:p>
            <w:pPr>
              <w:jc w:val="right"/>
              <w:ind w:right="152"/>
              <w:spacing w:after="0" w:line="125" w:lineRule="exact"/>
              <w:rPr>
                <w:sz w:val="20"/>
                <w:szCs w:val="20"/>
                <w:color w:val="auto"/>
              </w:rPr>
            </w:pPr>
            <w:r>
              <w:rPr>
                <w:rFonts w:ascii="Arial" w:cs="Arial" w:eastAsia="Arial" w:hAnsi="Arial"/>
                <w:sz w:val="14"/>
                <w:szCs w:val="14"/>
                <w:color w:val="auto"/>
              </w:rPr>
              <w:t>986</w:t>
            </w:r>
          </w:p>
        </w:tc>
        <w:tc>
          <w:tcPr>
            <w:tcW w:w="280" w:type="dxa"/>
            <w:vAlign w:val="bottom"/>
          </w:tcPr>
          <w:p>
            <w:pPr>
              <w:spacing w:after="0"/>
              <w:rPr>
                <w:sz w:val="10"/>
                <w:szCs w:val="10"/>
                <w:color w:val="auto"/>
              </w:rPr>
            </w:pPr>
          </w:p>
        </w:tc>
        <w:tc>
          <w:tcPr>
            <w:tcW w:w="860" w:type="dxa"/>
            <w:vAlign w:val="bottom"/>
          </w:tcPr>
          <w:p>
            <w:pPr>
              <w:jc w:val="right"/>
              <w:ind w:right="152"/>
              <w:spacing w:after="0" w:line="125" w:lineRule="exact"/>
              <w:rPr>
                <w:sz w:val="20"/>
                <w:szCs w:val="20"/>
                <w:color w:val="auto"/>
              </w:rPr>
            </w:pPr>
            <w:r>
              <w:rPr>
                <w:rFonts w:ascii="Arial" w:cs="Arial" w:eastAsia="Arial" w:hAnsi="Arial"/>
                <w:sz w:val="14"/>
                <w:szCs w:val="14"/>
                <w:color w:val="auto"/>
              </w:rPr>
              <w:t>1,625</w:t>
            </w:r>
          </w:p>
        </w:tc>
        <w:tc>
          <w:tcPr>
            <w:tcW w:w="260" w:type="dxa"/>
            <w:vAlign w:val="bottom"/>
          </w:tcPr>
          <w:p>
            <w:pPr>
              <w:spacing w:after="0"/>
              <w:rPr>
                <w:sz w:val="10"/>
                <w:szCs w:val="10"/>
                <w:color w:val="auto"/>
              </w:rPr>
            </w:pPr>
          </w:p>
        </w:tc>
        <w:tc>
          <w:tcPr>
            <w:tcW w:w="960" w:type="dxa"/>
            <w:vAlign w:val="bottom"/>
          </w:tcPr>
          <w:p>
            <w:pPr>
              <w:jc w:val="right"/>
              <w:ind w:right="112"/>
              <w:spacing w:after="0" w:line="125" w:lineRule="exact"/>
              <w:rPr>
                <w:sz w:val="20"/>
                <w:szCs w:val="20"/>
                <w:color w:val="auto"/>
              </w:rPr>
            </w:pPr>
            <w:r>
              <w:rPr>
                <w:rFonts w:ascii="Arial" w:cs="Arial" w:eastAsia="Arial" w:hAnsi="Arial"/>
                <w:sz w:val="14"/>
                <w:szCs w:val="14"/>
                <w:color w:val="auto"/>
              </w:rPr>
              <w:t>(3,909)</w:t>
            </w:r>
          </w:p>
        </w:tc>
        <w:tc>
          <w:tcPr>
            <w:tcW w:w="260" w:type="dxa"/>
            <w:vAlign w:val="bottom"/>
          </w:tcPr>
          <w:p>
            <w:pPr>
              <w:spacing w:after="0"/>
              <w:rPr>
                <w:sz w:val="10"/>
                <w:szCs w:val="10"/>
                <w:color w:val="auto"/>
              </w:rPr>
            </w:pPr>
          </w:p>
        </w:tc>
        <w:tc>
          <w:tcPr>
            <w:tcW w:w="840" w:type="dxa"/>
            <w:vAlign w:val="bottom"/>
          </w:tcPr>
          <w:p>
            <w:pPr>
              <w:jc w:val="right"/>
              <w:spacing w:after="0" w:line="125" w:lineRule="exact"/>
              <w:rPr>
                <w:sz w:val="20"/>
                <w:szCs w:val="20"/>
                <w:color w:val="auto"/>
              </w:rPr>
            </w:pPr>
            <w:r>
              <w:rPr>
                <w:rFonts w:ascii="Arial" w:cs="Arial" w:eastAsia="Arial" w:hAnsi="Arial"/>
                <w:sz w:val="14"/>
                <w:szCs w:val="14"/>
                <w:b w:val="1"/>
                <w:bCs w:val="1"/>
                <w:color w:val="auto"/>
              </w:rPr>
              <w:t>928</w:t>
            </w:r>
          </w:p>
        </w:tc>
        <w:tc>
          <w:tcPr>
            <w:tcW w:w="0" w:type="dxa"/>
            <w:vAlign w:val="bottom"/>
          </w:tcPr>
          <w:p>
            <w:pPr>
              <w:spacing w:after="0"/>
              <w:rPr>
                <w:sz w:val="1"/>
                <w:szCs w:val="1"/>
                <w:color w:val="auto"/>
              </w:rPr>
            </w:pPr>
          </w:p>
        </w:tc>
      </w:tr>
      <w:tr>
        <w:trPr>
          <w:trHeight w:val="165"/>
        </w:trPr>
        <w:tc>
          <w:tcPr>
            <w:tcW w:w="3260" w:type="dxa"/>
            <w:vAlign w:val="bottom"/>
            <w:gridSpan w:val="2"/>
          </w:tcPr>
          <w:p>
            <w:pPr>
              <w:spacing w:after="0"/>
              <w:rPr>
                <w:sz w:val="20"/>
                <w:szCs w:val="20"/>
                <w:color w:val="auto"/>
              </w:rPr>
            </w:pPr>
            <w:r>
              <w:rPr>
                <w:rFonts w:ascii="Arial" w:cs="Arial" w:eastAsia="Arial" w:hAnsi="Arial"/>
                <w:sz w:val="14"/>
                <w:szCs w:val="14"/>
                <w:color w:val="auto"/>
              </w:rPr>
              <w:t>Income from discontinued operations, net of tax</w:t>
            </w:r>
          </w:p>
        </w:tc>
        <w:tc>
          <w:tcPr>
            <w:tcW w:w="480" w:type="dxa"/>
            <w:vAlign w:val="bottom"/>
          </w:tcPr>
          <w:p>
            <w:pPr>
              <w:spacing w:after="0"/>
              <w:rPr>
                <w:sz w:val="14"/>
                <w:szCs w:val="14"/>
                <w:color w:val="auto"/>
              </w:rPr>
            </w:pPr>
          </w:p>
        </w:tc>
        <w:tc>
          <w:tcPr>
            <w:tcW w:w="660" w:type="dxa"/>
            <w:vAlign w:val="bottom"/>
          </w:tcPr>
          <w:p>
            <w:pPr>
              <w:jc w:val="right"/>
              <w:ind w:right="152"/>
              <w:spacing w:after="0"/>
              <w:rPr>
                <w:sz w:val="20"/>
                <w:szCs w:val="20"/>
                <w:color w:val="auto"/>
              </w:rPr>
            </w:pPr>
            <w:r>
              <w:rPr>
                <w:rFonts w:ascii="Arial" w:cs="Arial" w:eastAsia="Arial" w:hAnsi="Arial"/>
                <w:sz w:val="14"/>
                <w:szCs w:val="14"/>
                <w:color w:val="auto"/>
              </w:rPr>
              <w:t>—</w:t>
            </w:r>
          </w:p>
        </w:tc>
        <w:tc>
          <w:tcPr>
            <w:tcW w:w="260" w:type="dxa"/>
            <w:vAlign w:val="bottom"/>
          </w:tcPr>
          <w:p>
            <w:pPr>
              <w:spacing w:after="0"/>
              <w:rPr>
                <w:sz w:val="14"/>
                <w:szCs w:val="14"/>
                <w:color w:val="auto"/>
              </w:rPr>
            </w:pPr>
          </w:p>
        </w:tc>
        <w:tc>
          <w:tcPr>
            <w:tcW w:w="560" w:type="dxa"/>
            <w:vAlign w:val="bottom"/>
          </w:tcPr>
          <w:p>
            <w:pPr>
              <w:jc w:val="right"/>
              <w:ind w:right="152"/>
              <w:spacing w:after="0"/>
              <w:rPr>
                <w:sz w:val="20"/>
                <w:szCs w:val="20"/>
                <w:color w:val="auto"/>
              </w:rPr>
            </w:pPr>
            <w:r>
              <w:rPr>
                <w:rFonts w:ascii="Arial" w:cs="Arial" w:eastAsia="Arial" w:hAnsi="Arial"/>
                <w:sz w:val="14"/>
                <w:szCs w:val="14"/>
                <w:color w:val="auto"/>
              </w:rPr>
              <w:t>—</w:t>
            </w:r>
          </w:p>
        </w:tc>
        <w:tc>
          <w:tcPr>
            <w:tcW w:w="280" w:type="dxa"/>
            <w:vAlign w:val="bottom"/>
          </w:tcPr>
          <w:p>
            <w:pPr>
              <w:spacing w:after="0"/>
              <w:rPr>
                <w:sz w:val="14"/>
                <w:szCs w:val="14"/>
                <w:color w:val="auto"/>
              </w:rPr>
            </w:pPr>
          </w:p>
        </w:tc>
        <w:tc>
          <w:tcPr>
            <w:tcW w:w="520" w:type="dxa"/>
            <w:vAlign w:val="bottom"/>
          </w:tcPr>
          <w:p>
            <w:pPr>
              <w:jc w:val="right"/>
              <w:ind w:right="152"/>
              <w:spacing w:after="0"/>
              <w:rPr>
                <w:sz w:val="20"/>
                <w:szCs w:val="20"/>
                <w:color w:val="auto"/>
              </w:rPr>
            </w:pPr>
            <w:r>
              <w:rPr>
                <w:rFonts w:ascii="Arial" w:cs="Arial" w:eastAsia="Arial" w:hAnsi="Arial"/>
                <w:sz w:val="14"/>
                <w:szCs w:val="14"/>
                <w:color w:val="auto"/>
              </w:rPr>
              <w:t>—</w:t>
            </w:r>
          </w:p>
        </w:tc>
        <w:tc>
          <w:tcPr>
            <w:tcW w:w="260" w:type="dxa"/>
            <w:vAlign w:val="bottom"/>
          </w:tcPr>
          <w:p>
            <w:pPr>
              <w:spacing w:after="0"/>
              <w:rPr>
                <w:sz w:val="14"/>
                <w:szCs w:val="14"/>
                <w:color w:val="auto"/>
              </w:rPr>
            </w:pPr>
          </w:p>
        </w:tc>
        <w:tc>
          <w:tcPr>
            <w:tcW w:w="760" w:type="dxa"/>
            <w:vAlign w:val="bottom"/>
          </w:tcPr>
          <w:p>
            <w:pPr>
              <w:jc w:val="right"/>
              <w:ind w:right="152"/>
              <w:spacing w:after="0"/>
              <w:rPr>
                <w:sz w:val="20"/>
                <w:szCs w:val="20"/>
                <w:color w:val="auto"/>
              </w:rPr>
            </w:pPr>
            <w:r>
              <w:rPr>
                <w:rFonts w:ascii="Arial" w:cs="Arial" w:eastAsia="Arial" w:hAnsi="Arial"/>
                <w:sz w:val="14"/>
                <w:szCs w:val="14"/>
                <w:color w:val="auto"/>
              </w:rPr>
              <w:t>—</w:t>
            </w:r>
          </w:p>
        </w:tc>
        <w:tc>
          <w:tcPr>
            <w:tcW w:w="360" w:type="dxa"/>
            <w:vAlign w:val="bottom"/>
          </w:tcPr>
          <w:p>
            <w:pPr>
              <w:spacing w:after="0"/>
              <w:rPr>
                <w:sz w:val="14"/>
                <w:szCs w:val="14"/>
                <w:color w:val="auto"/>
              </w:rPr>
            </w:pPr>
          </w:p>
        </w:tc>
        <w:tc>
          <w:tcPr>
            <w:tcW w:w="560" w:type="dxa"/>
            <w:vAlign w:val="bottom"/>
          </w:tcPr>
          <w:p>
            <w:pPr>
              <w:jc w:val="right"/>
              <w:ind w:right="152"/>
              <w:spacing w:after="0"/>
              <w:rPr>
                <w:sz w:val="20"/>
                <w:szCs w:val="20"/>
                <w:color w:val="auto"/>
              </w:rPr>
            </w:pPr>
            <w:r>
              <w:rPr>
                <w:rFonts w:ascii="Arial" w:cs="Arial" w:eastAsia="Arial" w:hAnsi="Arial"/>
                <w:sz w:val="14"/>
                <w:szCs w:val="14"/>
                <w:color w:val="auto"/>
              </w:rPr>
              <w:t>—</w:t>
            </w:r>
          </w:p>
        </w:tc>
        <w:tc>
          <w:tcPr>
            <w:tcW w:w="280" w:type="dxa"/>
            <w:vAlign w:val="bottom"/>
          </w:tcPr>
          <w:p>
            <w:pPr>
              <w:spacing w:after="0"/>
              <w:rPr>
                <w:sz w:val="14"/>
                <w:szCs w:val="14"/>
                <w:color w:val="auto"/>
              </w:rPr>
            </w:pPr>
          </w:p>
        </w:tc>
        <w:tc>
          <w:tcPr>
            <w:tcW w:w="860" w:type="dxa"/>
            <w:vAlign w:val="bottom"/>
          </w:tcPr>
          <w:p>
            <w:pPr>
              <w:jc w:val="right"/>
              <w:ind w:right="152"/>
              <w:spacing w:after="0"/>
              <w:rPr>
                <w:sz w:val="20"/>
                <w:szCs w:val="20"/>
                <w:color w:val="auto"/>
              </w:rPr>
            </w:pPr>
            <w:r>
              <w:rPr>
                <w:rFonts w:ascii="Arial" w:cs="Arial" w:eastAsia="Arial" w:hAnsi="Arial"/>
                <w:sz w:val="14"/>
                <w:szCs w:val="14"/>
                <w:color w:val="auto"/>
              </w:rPr>
              <w:t>42</w:t>
            </w:r>
          </w:p>
        </w:tc>
        <w:tc>
          <w:tcPr>
            <w:tcW w:w="260" w:type="dxa"/>
            <w:vAlign w:val="bottom"/>
          </w:tcPr>
          <w:p>
            <w:pPr>
              <w:spacing w:after="0"/>
              <w:rPr>
                <w:sz w:val="14"/>
                <w:szCs w:val="14"/>
                <w:color w:val="auto"/>
              </w:rPr>
            </w:pPr>
          </w:p>
        </w:tc>
        <w:tc>
          <w:tcPr>
            <w:tcW w:w="960" w:type="dxa"/>
            <w:vAlign w:val="bottom"/>
          </w:tcPr>
          <w:p>
            <w:pPr>
              <w:jc w:val="right"/>
              <w:ind w:right="152"/>
              <w:spacing w:after="0"/>
              <w:rPr>
                <w:sz w:val="20"/>
                <w:szCs w:val="20"/>
                <w:color w:val="auto"/>
              </w:rPr>
            </w:pPr>
            <w:r>
              <w:rPr>
                <w:rFonts w:ascii="Arial" w:cs="Arial" w:eastAsia="Arial" w:hAnsi="Arial"/>
                <w:sz w:val="14"/>
                <w:szCs w:val="14"/>
                <w:color w:val="auto"/>
              </w:rPr>
              <w:t>—</w:t>
            </w:r>
          </w:p>
        </w:tc>
        <w:tc>
          <w:tcPr>
            <w:tcW w:w="260" w:type="dxa"/>
            <w:vAlign w:val="bottom"/>
          </w:tcPr>
          <w:p>
            <w:pPr>
              <w:spacing w:after="0"/>
              <w:rPr>
                <w:sz w:val="14"/>
                <w:szCs w:val="14"/>
                <w:color w:val="auto"/>
              </w:rPr>
            </w:pPr>
          </w:p>
        </w:tc>
        <w:tc>
          <w:tcPr>
            <w:tcW w:w="840" w:type="dxa"/>
            <w:vAlign w:val="bottom"/>
          </w:tcPr>
          <w:p>
            <w:pPr>
              <w:jc w:val="right"/>
              <w:spacing w:after="0"/>
              <w:rPr>
                <w:sz w:val="20"/>
                <w:szCs w:val="20"/>
                <w:color w:val="auto"/>
              </w:rPr>
            </w:pPr>
            <w:r>
              <w:rPr>
                <w:rFonts w:ascii="Arial" w:cs="Arial" w:eastAsia="Arial" w:hAnsi="Arial"/>
                <w:sz w:val="14"/>
                <w:szCs w:val="14"/>
                <w:b w:val="1"/>
                <w:bCs w:val="1"/>
                <w:color w:val="auto"/>
              </w:rPr>
              <w:t>42</w:t>
            </w: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3240" w:type="dxa"/>
            <w:vAlign w:val="bottom"/>
            <w:tcBorders>
              <w:top w:val="single" w:sz="8" w:color="auto"/>
              <w:bottom w:val="single" w:sz="8" w:color="35BF85"/>
            </w:tcBorders>
          </w:tcPr>
          <w:p>
            <w:pPr>
              <w:ind w:left="200"/>
              <w:spacing w:after="0" w:line="142" w:lineRule="exact"/>
              <w:rPr>
                <w:sz w:val="20"/>
                <w:szCs w:val="20"/>
                <w:color w:val="auto"/>
              </w:rPr>
            </w:pPr>
            <w:r>
              <w:rPr>
                <w:rFonts w:ascii="Arial" w:cs="Arial" w:eastAsia="Arial" w:hAnsi="Arial"/>
                <w:sz w:val="14"/>
                <w:szCs w:val="14"/>
                <w:b w:val="1"/>
                <w:bCs w:val="1"/>
                <w:color w:val="auto"/>
              </w:rPr>
              <w:t>Net Income</w:t>
            </w:r>
          </w:p>
        </w:tc>
        <w:tc>
          <w:tcPr>
            <w:tcW w:w="480" w:type="dxa"/>
            <w:vAlign w:val="bottom"/>
            <w:tcBorders>
              <w:top w:val="single" w:sz="8" w:color="auto"/>
              <w:bottom w:val="single" w:sz="8" w:color="35BF85"/>
            </w:tcBorders>
          </w:tcPr>
          <w:p>
            <w:pPr>
              <w:ind w:left="380"/>
              <w:spacing w:after="0" w:line="142" w:lineRule="exact"/>
              <w:rPr>
                <w:sz w:val="20"/>
                <w:szCs w:val="20"/>
                <w:color w:val="auto"/>
              </w:rPr>
            </w:pPr>
            <w:r>
              <w:rPr>
                <w:rFonts w:ascii="Arial" w:cs="Arial" w:eastAsia="Arial" w:hAnsi="Arial"/>
                <w:sz w:val="14"/>
                <w:szCs w:val="14"/>
                <w:color w:val="auto"/>
              </w:rPr>
              <w:t>$</w:t>
            </w:r>
          </w:p>
        </w:tc>
        <w:tc>
          <w:tcPr>
            <w:tcW w:w="660" w:type="dxa"/>
            <w:vAlign w:val="bottom"/>
            <w:tcBorders>
              <w:top w:val="single" w:sz="8" w:color="auto"/>
              <w:bottom w:val="single" w:sz="8" w:color="35BF85"/>
            </w:tcBorders>
          </w:tcPr>
          <w:p>
            <w:pPr>
              <w:jc w:val="right"/>
              <w:ind w:right="152"/>
              <w:spacing w:after="0" w:line="142" w:lineRule="exact"/>
              <w:rPr>
                <w:sz w:val="20"/>
                <w:szCs w:val="20"/>
                <w:color w:val="auto"/>
              </w:rPr>
            </w:pPr>
            <w:r>
              <w:rPr>
                <w:rFonts w:ascii="Arial" w:cs="Arial" w:eastAsia="Arial" w:hAnsi="Arial"/>
                <w:sz w:val="14"/>
                <w:szCs w:val="14"/>
                <w:color w:val="auto"/>
              </w:rPr>
              <w:t>970</w:t>
            </w:r>
          </w:p>
        </w:tc>
        <w:tc>
          <w:tcPr>
            <w:tcW w:w="260" w:type="dxa"/>
            <w:vAlign w:val="bottom"/>
            <w:tcBorders>
              <w:top w:val="single" w:sz="8" w:color="auto"/>
              <w:bottom w:val="single" w:sz="8" w:color="35BF85"/>
            </w:tcBorders>
          </w:tcPr>
          <w:p>
            <w:pPr>
              <w:jc w:val="right"/>
              <w:spacing w:after="0" w:line="142" w:lineRule="exact"/>
              <w:rPr>
                <w:sz w:val="20"/>
                <w:szCs w:val="20"/>
                <w:color w:val="auto"/>
              </w:rPr>
            </w:pPr>
            <w:r>
              <w:rPr>
                <w:rFonts w:ascii="Arial" w:cs="Arial" w:eastAsia="Arial" w:hAnsi="Arial"/>
                <w:sz w:val="14"/>
                <w:szCs w:val="14"/>
                <w:color w:val="auto"/>
              </w:rPr>
              <w:t>$</w:t>
            </w:r>
          </w:p>
        </w:tc>
        <w:tc>
          <w:tcPr>
            <w:tcW w:w="560" w:type="dxa"/>
            <w:vAlign w:val="bottom"/>
            <w:tcBorders>
              <w:top w:val="single" w:sz="8" w:color="auto"/>
              <w:bottom w:val="single" w:sz="8" w:color="35BF85"/>
            </w:tcBorders>
          </w:tcPr>
          <w:p>
            <w:pPr>
              <w:jc w:val="right"/>
              <w:ind w:right="152"/>
              <w:spacing w:after="0" w:line="142" w:lineRule="exact"/>
              <w:rPr>
                <w:sz w:val="20"/>
                <w:szCs w:val="20"/>
                <w:color w:val="auto"/>
              </w:rPr>
            </w:pPr>
            <w:r>
              <w:rPr>
                <w:rFonts w:ascii="Arial" w:cs="Arial" w:eastAsia="Arial" w:hAnsi="Arial"/>
                <w:sz w:val="14"/>
                <w:szCs w:val="14"/>
                <w:color w:val="auto"/>
              </w:rPr>
              <w:t>862</w:t>
            </w:r>
          </w:p>
        </w:tc>
        <w:tc>
          <w:tcPr>
            <w:tcW w:w="280" w:type="dxa"/>
            <w:vAlign w:val="bottom"/>
            <w:tcBorders>
              <w:top w:val="single" w:sz="8" w:color="auto"/>
              <w:bottom w:val="single" w:sz="8" w:color="35BF85"/>
            </w:tcBorders>
          </w:tcPr>
          <w:p>
            <w:pPr>
              <w:ind w:left="180"/>
              <w:spacing w:after="0" w:line="142" w:lineRule="exact"/>
              <w:rPr>
                <w:sz w:val="20"/>
                <w:szCs w:val="20"/>
                <w:color w:val="auto"/>
              </w:rPr>
            </w:pPr>
            <w:r>
              <w:rPr>
                <w:rFonts w:ascii="Arial" w:cs="Arial" w:eastAsia="Arial" w:hAnsi="Arial"/>
                <w:sz w:val="14"/>
                <w:szCs w:val="14"/>
                <w:color w:val="auto"/>
              </w:rPr>
              <w:t>$</w:t>
            </w:r>
          </w:p>
        </w:tc>
        <w:tc>
          <w:tcPr>
            <w:tcW w:w="520" w:type="dxa"/>
            <w:vAlign w:val="bottom"/>
            <w:tcBorders>
              <w:top w:val="single" w:sz="8" w:color="auto"/>
              <w:bottom w:val="single" w:sz="8" w:color="35BF85"/>
            </w:tcBorders>
          </w:tcPr>
          <w:p>
            <w:pPr>
              <w:jc w:val="right"/>
              <w:ind w:right="152"/>
              <w:spacing w:after="0" w:line="142" w:lineRule="exact"/>
              <w:rPr>
                <w:sz w:val="20"/>
                <w:szCs w:val="20"/>
                <w:color w:val="auto"/>
              </w:rPr>
            </w:pPr>
            <w:r>
              <w:rPr>
                <w:rFonts w:ascii="Arial" w:cs="Arial" w:eastAsia="Arial" w:hAnsi="Arial"/>
                <w:sz w:val="14"/>
                <w:szCs w:val="14"/>
                <w:color w:val="auto"/>
              </w:rPr>
              <w:t>84</w:t>
            </w:r>
          </w:p>
        </w:tc>
        <w:tc>
          <w:tcPr>
            <w:tcW w:w="260" w:type="dxa"/>
            <w:vAlign w:val="bottom"/>
            <w:tcBorders>
              <w:top w:val="single" w:sz="8" w:color="auto"/>
              <w:bottom w:val="single" w:sz="8" w:color="35BF85"/>
            </w:tcBorders>
          </w:tcPr>
          <w:p>
            <w:pPr>
              <w:jc w:val="right"/>
              <w:spacing w:after="0" w:line="142" w:lineRule="exact"/>
              <w:rPr>
                <w:sz w:val="20"/>
                <w:szCs w:val="20"/>
                <w:color w:val="auto"/>
              </w:rPr>
            </w:pPr>
            <w:r>
              <w:rPr>
                <w:rFonts w:ascii="Arial" w:cs="Arial" w:eastAsia="Arial" w:hAnsi="Arial"/>
                <w:sz w:val="14"/>
                <w:szCs w:val="14"/>
                <w:color w:val="auto"/>
              </w:rPr>
              <w:t>$</w:t>
            </w:r>
          </w:p>
        </w:tc>
        <w:tc>
          <w:tcPr>
            <w:tcW w:w="760" w:type="dxa"/>
            <w:vAlign w:val="bottom"/>
            <w:tcBorders>
              <w:top w:val="single" w:sz="8" w:color="auto"/>
              <w:bottom w:val="single" w:sz="8" w:color="35BF85"/>
            </w:tcBorders>
          </w:tcPr>
          <w:p>
            <w:pPr>
              <w:jc w:val="right"/>
              <w:ind w:right="152"/>
              <w:spacing w:after="0" w:line="142" w:lineRule="exact"/>
              <w:rPr>
                <w:sz w:val="20"/>
                <w:szCs w:val="20"/>
                <w:color w:val="auto"/>
              </w:rPr>
            </w:pPr>
            <w:r>
              <w:rPr>
                <w:rFonts w:ascii="Arial" w:cs="Arial" w:eastAsia="Arial" w:hAnsi="Arial"/>
                <w:sz w:val="14"/>
                <w:szCs w:val="14"/>
                <w:color w:val="auto"/>
              </w:rPr>
              <w:t>310</w:t>
            </w:r>
          </w:p>
        </w:tc>
        <w:tc>
          <w:tcPr>
            <w:tcW w:w="360" w:type="dxa"/>
            <w:vAlign w:val="bottom"/>
            <w:tcBorders>
              <w:top w:val="single" w:sz="8" w:color="auto"/>
              <w:bottom w:val="single" w:sz="8" w:color="35BF85"/>
            </w:tcBorders>
          </w:tcPr>
          <w:p>
            <w:pPr>
              <w:ind w:left="160"/>
              <w:spacing w:after="0" w:line="142" w:lineRule="exact"/>
              <w:rPr>
                <w:sz w:val="20"/>
                <w:szCs w:val="20"/>
                <w:color w:val="auto"/>
              </w:rPr>
            </w:pPr>
            <w:r>
              <w:rPr>
                <w:rFonts w:ascii="Arial" w:cs="Arial" w:eastAsia="Arial" w:hAnsi="Arial"/>
                <w:sz w:val="14"/>
                <w:szCs w:val="14"/>
                <w:color w:val="auto"/>
              </w:rPr>
              <w:t>$</w:t>
            </w:r>
          </w:p>
        </w:tc>
        <w:tc>
          <w:tcPr>
            <w:tcW w:w="560" w:type="dxa"/>
            <w:vAlign w:val="bottom"/>
            <w:tcBorders>
              <w:top w:val="single" w:sz="8" w:color="auto"/>
              <w:bottom w:val="single" w:sz="8" w:color="35BF85"/>
            </w:tcBorders>
          </w:tcPr>
          <w:p>
            <w:pPr>
              <w:jc w:val="right"/>
              <w:ind w:right="152"/>
              <w:spacing w:after="0" w:line="142" w:lineRule="exact"/>
              <w:rPr>
                <w:sz w:val="20"/>
                <w:szCs w:val="20"/>
                <w:color w:val="auto"/>
              </w:rPr>
            </w:pPr>
            <w:r>
              <w:rPr>
                <w:rFonts w:ascii="Arial" w:cs="Arial" w:eastAsia="Arial" w:hAnsi="Arial"/>
                <w:sz w:val="14"/>
                <w:szCs w:val="14"/>
                <w:color w:val="auto"/>
              </w:rPr>
              <w:t>986</w:t>
            </w:r>
          </w:p>
        </w:tc>
        <w:tc>
          <w:tcPr>
            <w:tcW w:w="280" w:type="dxa"/>
            <w:vAlign w:val="bottom"/>
            <w:tcBorders>
              <w:top w:val="single" w:sz="8" w:color="auto"/>
              <w:bottom w:val="single" w:sz="8" w:color="35BF85"/>
            </w:tcBorders>
          </w:tcPr>
          <w:p>
            <w:pPr>
              <w:jc w:val="right"/>
              <w:spacing w:after="0" w:line="142" w:lineRule="exact"/>
              <w:rPr>
                <w:sz w:val="20"/>
                <w:szCs w:val="20"/>
                <w:color w:val="auto"/>
              </w:rPr>
            </w:pPr>
            <w:r>
              <w:rPr>
                <w:rFonts w:ascii="Arial" w:cs="Arial" w:eastAsia="Arial" w:hAnsi="Arial"/>
                <w:sz w:val="14"/>
                <w:szCs w:val="14"/>
                <w:color w:val="auto"/>
              </w:rPr>
              <w:t>$</w:t>
            </w:r>
          </w:p>
        </w:tc>
        <w:tc>
          <w:tcPr>
            <w:tcW w:w="860" w:type="dxa"/>
            <w:vAlign w:val="bottom"/>
            <w:tcBorders>
              <w:top w:val="single" w:sz="8" w:color="auto"/>
              <w:bottom w:val="single" w:sz="8" w:color="35BF85"/>
            </w:tcBorders>
          </w:tcPr>
          <w:p>
            <w:pPr>
              <w:jc w:val="right"/>
              <w:ind w:right="152"/>
              <w:spacing w:after="0" w:line="142" w:lineRule="exact"/>
              <w:rPr>
                <w:sz w:val="20"/>
                <w:szCs w:val="20"/>
                <w:color w:val="auto"/>
              </w:rPr>
            </w:pPr>
            <w:r>
              <w:rPr>
                <w:rFonts w:ascii="Arial" w:cs="Arial" w:eastAsia="Arial" w:hAnsi="Arial"/>
                <w:sz w:val="14"/>
                <w:szCs w:val="14"/>
                <w:color w:val="auto"/>
              </w:rPr>
              <w:t>1,667</w:t>
            </w:r>
          </w:p>
        </w:tc>
        <w:tc>
          <w:tcPr>
            <w:tcW w:w="260" w:type="dxa"/>
            <w:vAlign w:val="bottom"/>
            <w:tcBorders>
              <w:top w:val="single" w:sz="8" w:color="auto"/>
              <w:bottom w:val="single" w:sz="8" w:color="35BF85"/>
            </w:tcBorders>
          </w:tcPr>
          <w:p>
            <w:pPr>
              <w:jc w:val="right"/>
              <w:spacing w:after="0" w:line="142" w:lineRule="exact"/>
              <w:rPr>
                <w:sz w:val="20"/>
                <w:szCs w:val="20"/>
                <w:color w:val="auto"/>
              </w:rPr>
            </w:pPr>
            <w:r>
              <w:rPr>
                <w:rFonts w:ascii="Arial" w:cs="Arial" w:eastAsia="Arial" w:hAnsi="Arial"/>
                <w:sz w:val="14"/>
                <w:szCs w:val="14"/>
                <w:color w:val="auto"/>
              </w:rPr>
              <w:t>$</w:t>
            </w:r>
          </w:p>
        </w:tc>
        <w:tc>
          <w:tcPr>
            <w:tcW w:w="960" w:type="dxa"/>
            <w:vAlign w:val="bottom"/>
            <w:tcBorders>
              <w:top w:val="single" w:sz="8" w:color="auto"/>
              <w:bottom w:val="single" w:sz="8" w:color="35BF85"/>
            </w:tcBorders>
          </w:tcPr>
          <w:p>
            <w:pPr>
              <w:jc w:val="right"/>
              <w:ind w:right="112"/>
              <w:spacing w:after="0" w:line="142" w:lineRule="exact"/>
              <w:rPr>
                <w:sz w:val="20"/>
                <w:szCs w:val="20"/>
                <w:color w:val="auto"/>
              </w:rPr>
            </w:pPr>
            <w:r>
              <w:rPr>
                <w:rFonts w:ascii="Arial" w:cs="Arial" w:eastAsia="Arial" w:hAnsi="Arial"/>
                <w:sz w:val="14"/>
                <w:szCs w:val="14"/>
                <w:color w:val="auto"/>
              </w:rPr>
              <w:t>(3,909)</w:t>
            </w:r>
          </w:p>
        </w:tc>
        <w:tc>
          <w:tcPr>
            <w:tcW w:w="260" w:type="dxa"/>
            <w:vAlign w:val="bottom"/>
            <w:tcBorders>
              <w:top w:val="single" w:sz="8" w:color="auto"/>
              <w:bottom w:val="single" w:sz="8" w:color="35BF85"/>
            </w:tcBorders>
          </w:tcPr>
          <w:p>
            <w:pPr>
              <w:jc w:val="right"/>
              <w:spacing w:after="0" w:line="142" w:lineRule="exact"/>
              <w:rPr>
                <w:sz w:val="20"/>
                <w:szCs w:val="20"/>
                <w:color w:val="auto"/>
              </w:rPr>
            </w:pPr>
            <w:r>
              <w:rPr>
                <w:rFonts w:ascii="Arial" w:cs="Arial" w:eastAsia="Arial" w:hAnsi="Arial"/>
                <w:sz w:val="14"/>
                <w:szCs w:val="14"/>
                <w:b w:val="1"/>
                <w:bCs w:val="1"/>
                <w:color w:val="auto"/>
              </w:rPr>
              <w:t>$</w:t>
            </w:r>
          </w:p>
        </w:tc>
        <w:tc>
          <w:tcPr>
            <w:tcW w:w="840" w:type="dxa"/>
            <w:vAlign w:val="bottom"/>
            <w:tcBorders>
              <w:top w:val="single" w:sz="8" w:color="auto"/>
              <w:bottom w:val="single" w:sz="8" w:color="35BF85"/>
            </w:tcBorders>
          </w:tcPr>
          <w:p>
            <w:pPr>
              <w:jc w:val="right"/>
              <w:spacing w:after="0" w:line="142" w:lineRule="exact"/>
              <w:rPr>
                <w:sz w:val="20"/>
                <w:szCs w:val="20"/>
                <w:color w:val="auto"/>
              </w:rPr>
            </w:pPr>
            <w:r>
              <w:rPr>
                <w:rFonts w:ascii="Arial" w:cs="Arial" w:eastAsia="Arial" w:hAnsi="Arial"/>
                <w:sz w:val="14"/>
                <w:szCs w:val="14"/>
                <w:b w:val="1"/>
                <w:bCs w:val="1"/>
                <w:color w:val="auto"/>
              </w:rPr>
              <w:t>970</w:t>
            </w:r>
          </w:p>
        </w:tc>
        <w:tc>
          <w:tcPr>
            <w:tcW w:w="0" w:type="dxa"/>
            <w:vAlign w:val="bottom"/>
          </w:tcPr>
          <w:p>
            <w:pPr>
              <w:spacing w:after="0"/>
              <w:rPr>
                <w:sz w:val="1"/>
                <w:szCs w:val="1"/>
                <w:color w:val="auto"/>
              </w:rPr>
            </w:pPr>
          </w:p>
        </w:tc>
      </w:tr>
      <w:tr>
        <w:trPr>
          <w:trHeight w:val="304"/>
        </w:trPr>
        <w:tc>
          <w:tcPr>
            <w:tcW w:w="4660" w:type="dxa"/>
            <w:vAlign w:val="bottom"/>
            <w:gridSpan w:val="5"/>
          </w:tcPr>
          <w:p>
            <w:pPr>
              <w:spacing w:after="0"/>
              <w:rPr>
                <w:sz w:val="20"/>
                <w:szCs w:val="20"/>
                <w:color w:val="auto"/>
              </w:rPr>
            </w:pPr>
            <w:r>
              <w:rPr>
                <w:rFonts w:ascii="Arial" w:cs="Arial" w:eastAsia="Arial" w:hAnsi="Arial"/>
                <w:sz w:val="14"/>
                <w:szCs w:val="14"/>
                <w:b w:val="1"/>
                <w:bCs w:val="1"/>
                <w:color w:val="auto"/>
                <w:w w:val="96"/>
              </w:rPr>
              <w:t xml:space="preserve">Notes to Consolidated Financial Statements </w:t>
            </w:r>
            <w:r>
              <w:rPr>
                <w:rFonts w:ascii="Arial" w:cs="Arial" w:eastAsia="Arial" w:hAnsi="Arial"/>
                <w:sz w:val="14"/>
                <w:szCs w:val="14"/>
                <w:color w:val="auto"/>
                <w:w w:val="96"/>
              </w:rPr>
              <w:t>Comcast 2006 Annual Report</w:t>
            </w:r>
          </w:p>
        </w:tc>
        <w:tc>
          <w:tcPr>
            <w:tcW w:w="56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520" w:type="dxa"/>
            <w:vAlign w:val="bottom"/>
          </w:tcPr>
          <w:p>
            <w:pPr>
              <w:jc w:val="right"/>
              <w:ind w:right="112"/>
              <w:spacing w:after="0"/>
              <w:rPr>
                <w:sz w:val="20"/>
                <w:szCs w:val="20"/>
                <w:color w:val="auto"/>
              </w:rPr>
            </w:pPr>
            <w:r>
              <w:rPr>
                <w:rFonts w:ascii="Arial" w:cs="Arial" w:eastAsia="Arial" w:hAnsi="Arial"/>
                <w:sz w:val="14"/>
                <w:szCs w:val="14"/>
                <w:b w:val="1"/>
                <w:bCs w:val="1"/>
                <w:color w:val="auto"/>
              </w:rPr>
              <w:t>72</w:t>
            </w:r>
          </w:p>
        </w:tc>
        <w:tc>
          <w:tcPr>
            <w:tcW w:w="26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420"/>
          </w:cols>
          <w:pgMar w:left="240" w:top="459" w:right="239" w:bottom="1440" w:gutter="0" w:footer="0" w:header="0"/>
        </w:sectPr>
      </w:pPr>
    </w:p>
    <w:bookmarkStart w:id="149" w:name="page150"/>
    <w:bookmarkEnd w:id="14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223" name="Picture 2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3"/>
                    <pic:cNvPicPr>
                      <a:picLocks noChangeAspect="1" noChangeArrowheads="1"/>
                    </pic:cNvPicPr>
                  </pic:nvPicPr>
                  <pic:blipFill>
                    <a:blip r:embed="rId230">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200" w:lineRule="exact"/>
        <w:rPr>
          <w:sz w:val="20"/>
          <w:szCs w:val="20"/>
          <w:color w:val="auto"/>
        </w:rPr>
      </w:pPr>
    </w:p>
    <w:p>
      <w:pPr>
        <w:spacing w:after="0" w:line="25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Condensed Consolidating Statement of Cash Flows</w:t>
      </w:r>
    </w:p>
    <w:p>
      <w:pPr>
        <w:spacing w:after="0" w:line="18" w:lineRule="exact"/>
        <w:rPr>
          <w:sz w:val="20"/>
          <w:szCs w:val="20"/>
          <w:color w:val="auto"/>
        </w:rPr>
      </w:pPr>
    </w:p>
    <w:p>
      <w:pPr>
        <w:spacing w:after="0"/>
        <w:rPr>
          <w:sz w:val="20"/>
          <w:szCs w:val="20"/>
          <w:color w:val="auto"/>
        </w:rPr>
      </w:pPr>
      <w:r>
        <w:rPr>
          <w:rFonts w:ascii="Arial" w:cs="Arial" w:eastAsia="Arial" w:hAnsi="Arial"/>
          <w:sz w:val="18"/>
          <w:szCs w:val="18"/>
          <w:color w:val="auto"/>
        </w:rPr>
        <w:t>For the Year Ended December 31, 2006</w:t>
      </w:r>
    </w:p>
    <w:p>
      <w:pPr>
        <w:spacing w:after="0" w:line="182"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340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960" w:type="dxa"/>
            <w:vAlign w:val="bottom"/>
          </w:tcPr>
          <w:p>
            <w:pPr>
              <w:jc w:val="right"/>
              <w:ind w:right="152"/>
              <w:spacing w:after="0"/>
              <w:rPr>
                <w:sz w:val="20"/>
                <w:szCs w:val="20"/>
                <w:color w:val="auto"/>
              </w:rPr>
            </w:pPr>
            <w:r>
              <w:rPr>
                <w:rFonts w:ascii="Arial" w:cs="Arial" w:eastAsia="Arial" w:hAnsi="Arial"/>
                <w:sz w:val="14"/>
                <w:szCs w:val="14"/>
                <w:color w:val="auto"/>
              </w:rPr>
              <w:t>Elimination</w:t>
            </w:r>
          </w:p>
        </w:tc>
        <w:tc>
          <w:tcPr>
            <w:tcW w:w="1140" w:type="dxa"/>
            <w:vAlign w:val="bottom"/>
            <w:gridSpan w:val="2"/>
            <w:vMerge w:val="restart"/>
          </w:tcPr>
          <w:p>
            <w:pPr>
              <w:jc w:val="right"/>
              <w:spacing w:after="0"/>
              <w:rPr>
                <w:sz w:val="20"/>
                <w:szCs w:val="20"/>
                <w:color w:val="auto"/>
              </w:rPr>
            </w:pPr>
            <w:r>
              <w:rPr>
                <w:rFonts w:ascii="Arial" w:cs="Arial" w:eastAsia="Arial" w:hAnsi="Arial"/>
                <w:sz w:val="14"/>
                <w:szCs w:val="14"/>
                <w:b w:val="1"/>
                <w:bCs w:val="1"/>
                <w:color w:val="auto"/>
              </w:rPr>
              <w:t>Consolidated</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340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1000" w:type="dxa"/>
            <w:vAlign w:val="bottom"/>
            <w:gridSpan w:val="2"/>
          </w:tcPr>
          <w:p>
            <w:pPr>
              <w:jc w:val="right"/>
              <w:ind w:right="152"/>
              <w:spacing w:after="0" w:line="133" w:lineRule="exact"/>
              <w:rPr>
                <w:sz w:val="20"/>
                <w:szCs w:val="20"/>
                <w:color w:val="auto"/>
              </w:rPr>
            </w:pPr>
            <w:r>
              <w:rPr>
                <w:rFonts w:ascii="Arial" w:cs="Arial" w:eastAsia="Arial" w:hAnsi="Arial"/>
                <w:sz w:val="14"/>
                <w:szCs w:val="14"/>
                <w:color w:val="auto"/>
              </w:rPr>
              <w:t>Combined</w:t>
            </w:r>
          </w:p>
        </w:tc>
        <w:tc>
          <w:tcPr>
            <w:tcW w:w="38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860" w:type="dxa"/>
            <w:vAlign w:val="bottom"/>
          </w:tcPr>
          <w:p>
            <w:pPr>
              <w:jc w:val="right"/>
              <w:ind w:right="152"/>
              <w:spacing w:after="0" w:line="133" w:lineRule="exact"/>
              <w:rPr>
                <w:sz w:val="20"/>
                <w:szCs w:val="20"/>
                <w:color w:val="auto"/>
              </w:rPr>
            </w:pPr>
            <w:r>
              <w:rPr>
                <w:rFonts w:ascii="Arial" w:cs="Arial" w:eastAsia="Arial" w:hAnsi="Arial"/>
                <w:sz w:val="14"/>
                <w:szCs w:val="14"/>
                <w:color w:val="auto"/>
              </w:rPr>
              <w:t>Non-</w:t>
            </w:r>
          </w:p>
        </w:tc>
        <w:tc>
          <w:tcPr>
            <w:tcW w:w="240" w:type="dxa"/>
            <w:vAlign w:val="bottom"/>
          </w:tcPr>
          <w:p>
            <w:pPr>
              <w:spacing w:after="0"/>
              <w:rPr>
                <w:sz w:val="11"/>
                <w:szCs w:val="11"/>
                <w:color w:val="auto"/>
              </w:rPr>
            </w:pPr>
          </w:p>
        </w:tc>
        <w:tc>
          <w:tcPr>
            <w:tcW w:w="960" w:type="dxa"/>
            <w:vAlign w:val="bottom"/>
          </w:tcPr>
          <w:p>
            <w:pPr>
              <w:jc w:val="right"/>
              <w:ind w:right="152"/>
              <w:spacing w:after="0" w:line="133" w:lineRule="exact"/>
              <w:rPr>
                <w:sz w:val="20"/>
                <w:szCs w:val="20"/>
                <w:color w:val="auto"/>
              </w:rPr>
            </w:pPr>
            <w:r>
              <w:rPr>
                <w:rFonts w:ascii="Arial" w:cs="Arial" w:eastAsia="Arial" w:hAnsi="Arial"/>
                <w:sz w:val="14"/>
                <w:szCs w:val="14"/>
                <w:color w:val="auto"/>
              </w:rPr>
              <w:t>and</w:t>
            </w:r>
          </w:p>
        </w:tc>
        <w:tc>
          <w:tcPr>
            <w:tcW w:w="1140" w:type="dxa"/>
            <w:vAlign w:val="bottom"/>
            <w:gridSpan w:val="2"/>
            <w:vMerge w:val="continue"/>
          </w:tcPr>
          <w:p>
            <w:pPr>
              <w:spacing w:after="0"/>
              <w:rPr>
                <w:sz w:val="11"/>
                <w:szCs w:val="11"/>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400" w:type="dxa"/>
            <w:vAlign w:val="bottom"/>
          </w:tcPr>
          <w:p>
            <w:pPr>
              <w:spacing w:after="0"/>
              <w:rPr>
                <w:sz w:val="12"/>
                <w:szCs w:val="12"/>
                <w:color w:val="auto"/>
              </w:rPr>
            </w:pPr>
          </w:p>
        </w:tc>
        <w:tc>
          <w:tcPr>
            <w:tcW w:w="980" w:type="dxa"/>
            <w:vAlign w:val="bottom"/>
            <w:gridSpan w:val="2"/>
          </w:tcPr>
          <w:p>
            <w:pPr>
              <w:ind w:left="220"/>
              <w:spacing w:after="0" w:line="149" w:lineRule="exact"/>
              <w:rPr>
                <w:sz w:val="20"/>
                <w:szCs w:val="20"/>
                <w:color w:val="auto"/>
              </w:rPr>
            </w:pPr>
            <w:r>
              <w:rPr>
                <w:rFonts w:ascii="Arial" w:cs="Arial" w:eastAsia="Arial" w:hAnsi="Arial"/>
                <w:sz w:val="14"/>
                <w:szCs w:val="14"/>
                <w:color w:val="auto"/>
              </w:rPr>
              <w:t>Comcast</w:t>
            </w:r>
          </w:p>
        </w:tc>
        <w:tc>
          <w:tcPr>
            <w:tcW w:w="800" w:type="dxa"/>
            <w:vAlign w:val="bottom"/>
            <w:gridSpan w:val="2"/>
          </w:tcPr>
          <w:p>
            <w:pPr>
              <w:jc w:val="right"/>
              <w:ind w:right="152"/>
              <w:spacing w:after="0" w:line="149" w:lineRule="exact"/>
              <w:rPr>
                <w:sz w:val="20"/>
                <w:szCs w:val="20"/>
                <w:color w:val="auto"/>
              </w:rPr>
            </w:pPr>
            <w:r>
              <w:rPr>
                <w:rFonts w:ascii="Arial" w:cs="Arial" w:eastAsia="Arial" w:hAnsi="Arial"/>
                <w:sz w:val="14"/>
                <w:szCs w:val="14"/>
                <w:color w:val="auto"/>
              </w:rPr>
              <w:t>CCCL</w:t>
            </w:r>
          </w:p>
        </w:tc>
        <w:tc>
          <w:tcPr>
            <w:tcW w:w="800" w:type="dxa"/>
            <w:vAlign w:val="bottom"/>
            <w:gridSpan w:val="2"/>
          </w:tcPr>
          <w:p>
            <w:pPr>
              <w:ind w:left="180"/>
              <w:spacing w:after="0" w:line="149" w:lineRule="exact"/>
              <w:rPr>
                <w:sz w:val="20"/>
                <w:szCs w:val="20"/>
                <w:color w:val="auto"/>
              </w:rPr>
            </w:pPr>
            <w:r>
              <w:rPr>
                <w:rFonts w:ascii="Arial" w:cs="Arial" w:eastAsia="Arial" w:hAnsi="Arial"/>
                <w:sz w:val="14"/>
                <w:szCs w:val="14"/>
                <w:color w:val="auto"/>
              </w:rPr>
              <w:t>CCCH</w:t>
            </w:r>
          </w:p>
        </w:tc>
        <w:tc>
          <w:tcPr>
            <w:tcW w:w="260" w:type="dxa"/>
            <w:vAlign w:val="bottom"/>
          </w:tcPr>
          <w:p>
            <w:pPr>
              <w:spacing w:after="0"/>
              <w:rPr>
                <w:sz w:val="12"/>
                <w:szCs w:val="12"/>
                <w:color w:val="auto"/>
              </w:rPr>
            </w:pPr>
          </w:p>
        </w:tc>
        <w:tc>
          <w:tcPr>
            <w:tcW w:w="740" w:type="dxa"/>
            <w:vAlign w:val="bottom"/>
          </w:tcPr>
          <w:p>
            <w:pPr>
              <w:jc w:val="right"/>
              <w:ind w:right="152"/>
              <w:spacing w:after="0" w:line="149" w:lineRule="exact"/>
              <w:rPr>
                <w:sz w:val="20"/>
                <w:szCs w:val="20"/>
                <w:color w:val="auto"/>
              </w:rPr>
            </w:pPr>
            <w:r>
              <w:rPr>
                <w:rFonts w:ascii="Arial" w:cs="Arial" w:eastAsia="Arial" w:hAnsi="Arial"/>
                <w:sz w:val="14"/>
                <w:szCs w:val="14"/>
                <w:color w:val="auto"/>
                <w:w w:val="94"/>
              </w:rPr>
              <w:t>CCHMO</w:t>
            </w:r>
          </w:p>
        </w:tc>
        <w:tc>
          <w:tcPr>
            <w:tcW w:w="940" w:type="dxa"/>
            <w:vAlign w:val="bottom"/>
            <w:gridSpan w:val="2"/>
          </w:tcPr>
          <w:p>
            <w:pPr>
              <w:ind w:left="180"/>
              <w:spacing w:after="0" w:line="149" w:lineRule="exact"/>
              <w:rPr>
                <w:sz w:val="20"/>
                <w:szCs w:val="20"/>
                <w:color w:val="auto"/>
              </w:rPr>
            </w:pPr>
            <w:r>
              <w:rPr>
                <w:rFonts w:ascii="Arial" w:cs="Arial" w:eastAsia="Arial" w:hAnsi="Arial"/>
                <w:sz w:val="14"/>
                <w:szCs w:val="14"/>
                <w:color w:val="auto"/>
              </w:rPr>
              <w:t>Comcast</w:t>
            </w:r>
          </w:p>
        </w:tc>
        <w:tc>
          <w:tcPr>
            <w:tcW w:w="280" w:type="dxa"/>
            <w:vAlign w:val="bottom"/>
          </w:tcPr>
          <w:p>
            <w:pPr>
              <w:spacing w:after="0"/>
              <w:rPr>
                <w:sz w:val="12"/>
                <w:szCs w:val="12"/>
                <w:color w:val="auto"/>
              </w:rPr>
            </w:pPr>
          </w:p>
        </w:tc>
        <w:tc>
          <w:tcPr>
            <w:tcW w:w="860" w:type="dxa"/>
            <w:vAlign w:val="bottom"/>
          </w:tcPr>
          <w:p>
            <w:pPr>
              <w:jc w:val="right"/>
              <w:ind w:right="152"/>
              <w:spacing w:after="0" w:line="149" w:lineRule="exact"/>
              <w:rPr>
                <w:sz w:val="20"/>
                <w:szCs w:val="20"/>
                <w:color w:val="auto"/>
              </w:rPr>
            </w:pPr>
            <w:r>
              <w:rPr>
                <w:rFonts w:ascii="Arial" w:cs="Arial" w:eastAsia="Arial" w:hAnsi="Arial"/>
                <w:sz w:val="14"/>
                <w:szCs w:val="14"/>
                <w:color w:val="auto"/>
                <w:w w:val="98"/>
              </w:rPr>
              <w:t>Guarantor</w:t>
            </w:r>
          </w:p>
        </w:tc>
        <w:tc>
          <w:tcPr>
            <w:tcW w:w="1200" w:type="dxa"/>
            <w:vAlign w:val="bottom"/>
            <w:gridSpan w:val="2"/>
          </w:tcPr>
          <w:p>
            <w:pPr>
              <w:jc w:val="right"/>
              <w:ind w:right="152"/>
              <w:spacing w:after="0" w:line="149" w:lineRule="exact"/>
              <w:rPr>
                <w:sz w:val="20"/>
                <w:szCs w:val="20"/>
                <w:color w:val="auto"/>
              </w:rPr>
            </w:pPr>
            <w:r>
              <w:rPr>
                <w:rFonts w:ascii="Arial" w:cs="Arial" w:eastAsia="Arial" w:hAnsi="Arial"/>
                <w:sz w:val="14"/>
                <w:szCs w:val="14"/>
                <w:color w:val="auto"/>
              </w:rPr>
              <w:t>Consolidation</w:t>
            </w:r>
          </w:p>
        </w:tc>
        <w:tc>
          <w:tcPr>
            <w:tcW w:w="300" w:type="dxa"/>
            <w:vAlign w:val="bottom"/>
          </w:tcPr>
          <w:p>
            <w:pPr>
              <w:spacing w:after="0"/>
              <w:rPr>
                <w:sz w:val="12"/>
                <w:szCs w:val="12"/>
                <w:color w:val="auto"/>
              </w:rPr>
            </w:pPr>
          </w:p>
        </w:tc>
        <w:tc>
          <w:tcPr>
            <w:tcW w:w="840" w:type="dxa"/>
            <w:vAlign w:val="bottom"/>
          </w:tcPr>
          <w:p>
            <w:pPr>
              <w:jc w:val="right"/>
              <w:spacing w:after="0" w:line="149" w:lineRule="exact"/>
              <w:rPr>
                <w:sz w:val="20"/>
                <w:szCs w:val="20"/>
                <w:color w:val="auto"/>
              </w:rPr>
            </w:pPr>
            <w:r>
              <w:rPr>
                <w:rFonts w:ascii="Arial" w:cs="Arial" w:eastAsia="Arial" w:hAnsi="Arial"/>
                <w:sz w:val="14"/>
                <w:szCs w:val="14"/>
                <w:b w:val="1"/>
                <w:bCs w:val="1"/>
                <w:color w:val="auto"/>
              </w:rPr>
              <w:t>Comcast</w:t>
            </w:r>
          </w:p>
        </w:tc>
        <w:tc>
          <w:tcPr>
            <w:tcW w:w="0" w:type="dxa"/>
            <w:vAlign w:val="bottom"/>
          </w:tcPr>
          <w:p>
            <w:pPr>
              <w:spacing w:after="0"/>
              <w:rPr>
                <w:sz w:val="1"/>
                <w:szCs w:val="1"/>
                <w:color w:val="auto"/>
              </w:rPr>
            </w:pPr>
          </w:p>
        </w:tc>
      </w:tr>
      <w:tr>
        <w:trPr>
          <w:trHeight w:val="165"/>
        </w:trPr>
        <w:tc>
          <w:tcPr>
            <w:tcW w:w="3420" w:type="dxa"/>
            <w:vAlign w:val="bottom"/>
            <w:tcBorders>
              <w:bottom w:val="single" w:sz="8" w:color="auto"/>
            </w:tcBorders>
            <w:gridSpan w:val="2"/>
          </w:tcPr>
          <w:p>
            <w:pPr>
              <w:spacing w:after="0"/>
              <w:rPr>
                <w:sz w:val="20"/>
                <w:szCs w:val="20"/>
                <w:color w:val="auto"/>
              </w:rPr>
            </w:pPr>
            <w:r>
              <w:rPr>
                <w:rFonts w:ascii="Arial" w:cs="Arial" w:eastAsia="Arial" w:hAnsi="Arial"/>
                <w:sz w:val="14"/>
                <w:szCs w:val="14"/>
                <w:color w:val="auto"/>
              </w:rPr>
              <w:t>(in millions)</w:t>
            </w:r>
          </w:p>
        </w:tc>
        <w:tc>
          <w:tcPr>
            <w:tcW w:w="320" w:type="dxa"/>
            <w:vAlign w:val="bottom"/>
            <w:tcBorders>
              <w:bottom w:val="single" w:sz="8" w:color="auto"/>
            </w:tcBorders>
          </w:tcPr>
          <w:p>
            <w:pPr>
              <w:spacing w:after="0"/>
              <w:rPr>
                <w:sz w:val="14"/>
                <w:szCs w:val="14"/>
                <w:color w:val="auto"/>
              </w:rPr>
            </w:pPr>
          </w:p>
        </w:tc>
        <w:tc>
          <w:tcPr>
            <w:tcW w:w="660" w:type="dxa"/>
            <w:vAlign w:val="bottom"/>
            <w:tcBorders>
              <w:bottom w:val="single" w:sz="8" w:color="auto"/>
            </w:tcBorders>
          </w:tcPr>
          <w:p>
            <w:pPr>
              <w:jc w:val="right"/>
              <w:ind w:right="152"/>
              <w:spacing w:after="0"/>
              <w:rPr>
                <w:sz w:val="20"/>
                <w:szCs w:val="20"/>
                <w:color w:val="auto"/>
              </w:rPr>
            </w:pPr>
            <w:r>
              <w:rPr>
                <w:rFonts w:ascii="Arial" w:cs="Arial" w:eastAsia="Arial" w:hAnsi="Arial"/>
                <w:sz w:val="14"/>
                <w:szCs w:val="14"/>
                <w:color w:val="auto"/>
              </w:rPr>
              <w:t>Parent</w:t>
            </w:r>
          </w:p>
        </w:tc>
        <w:tc>
          <w:tcPr>
            <w:tcW w:w="800" w:type="dxa"/>
            <w:vAlign w:val="bottom"/>
            <w:tcBorders>
              <w:bottom w:val="single" w:sz="8" w:color="auto"/>
            </w:tcBorders>
            <w:gridSpan w:val="2"/>
          </w:tcPr>
          <w:p>
            <w:pPr>
              <w:ind w:left="180"/>
              <w:spacing w:after="0"/>
              <w:rPr>
                <w:sz w:val="20"/>
                <w:szCs w:val="20"/>
                <w:color w:val="auto"/>
              </w:rPr>
            </w:pPr>
            <w:r>
              <w:rPr>
                <w:rFonts w:ascii="Arial" w:cs="Arial" w:eastAsia="Arial" w:hAnsi="Arial"/>
                <w:sz w:val="14"/>
                <w:szCs w:val="14"/>
                <w:color w:val="auto"/>
              </w:rPr>
              <w:t>Parent</w:t>
            </w:r>
          </w:p>
        </w:tc>
        <w:tc>
          <w:tcPr>
            <w:tcW w:w="800" w:type="dxa"/>
            <w:vAlign w:val="bottom"/>
            <w:tcBorders>
              <w:bottom w:val="single" w:sz="8" w:color="auto"/>
            </w:tcBorders>
            <w:gridSpan w:val="2"/>
          </w:tcPr>
          <w:p>
            <w:pPr>
              <w:ind w:left="180"/>
              <w:spacing w:after="0"/>
              <w:rPr>
                <w:sz w:val="20"/>
                <w:szCs w:val="20"/>
                <w:color w:val="auto"/>
              </w:rPr>
            </w:pPr>
            <w:r>
              <w:rPr>
                <w:rFonts w:ascii="Arial" w:cs="Arial" w:eastAsia="Arial" w:hAnsi="Arial"/>
                <w:sz w:val="14"/>
                <w:szCs w:val="14"/>
                <w:color w:val="auto"/>
              </w:rPr>
              <w:t>Parent</w:t>
            </w:r>
          </w:p>
        </w:tc>
        <w:tc>
          <w:tcPr>
            <w:tcW w:w="260" w:type="dxa"/>
            <w:vAlign w:val="bottom"/>
            <w:tcBorders>
              <w:bottom w:val="single" w:sz="8" w:color="auto"/>
            </w:tcBorders>
          </w:tcPr>
          <w:p>
            <w:pPr>
              <w:spacing w:after="0"/>
              <w:rPr>
                <w:sz w:val="14"/>
                <w:szCs w:val="14"/>
                <w:color w:val="auto"/>
              </w:rPr>
            </w:pPr>
          </w:p>
        </w:tc>
        <w:tc>
          <w:tcPr>
            <w:tcW w:w="740" w:type="dxa"/>
            <w:vAlign w:val="bottom"/>
            <w:tcBorders>
              <w:bottom w:val="single" w:sz="8" w:color="auto"/>
            </w:tcBorders>
          </w:tcPr>
          <w:p>
            <w:pPr>
              <w:jc w:val="right"/>
              <w:ind w:right="152"/>
              <w:spacing w:after="0"/>
              <w:rPr>
                <w:sz w:val="20"/>
                <w:szCs w:val="20"/>
                <w:color w:val="auto"/>
              </w:rPr>
            </w:pPr>
            <w:r>
              <w:rPr>
                <w:rFonts w:ascii="Arial" w:cs="Arial" w:eastAsia="Arial" w:hAnsi="Arial"/>
                <w:sz w:val="14"/>
                <w:szCs w:val="14"/>
                <w:color w:val="auto"/>
              </w:rPr>
              <w:t>Parents</w:t>
            </w:r>
          </w:p>
        </w:tc>
        <w:tc>
          <w:tcPr>
            <w:tcW w:w="940" w:type="dxa"/>
            <w:vAlign w:val="bottom"/>
            <w:tcBorders>
              <w:bottom w:val="single" w:sz="8" w:color="auto"/>
            </w:tcBorders>
            <w:gridSpan w:val="2"/>
          </w:tcPr>
          <w:p>
            <w:pPr>
              <w:ind w:left="200"/>
              <w:spacing w:after="0"/>
              <w:rPr>
                <w:sz w:val="20"/>
                <w:szCs w:val="20"/>
                <w:color w:val="auto"/>
              </w:rPr>
            </w:pPr>
            <w:r>
              <w:rPr>
                <w:rFonts w:ascii="Arial" w:cs="Arial" w:eastAsia="Arial" w:hAnsi="Arial"/>
                <w:sz w:val="14"/>
                <w:szCs w:val="14"/>
                <w:color w:val="auto"/>
              </w:rPr>
              <w:t>Holdings</w:t>
            </w:r>
          </w:p>
        </w:tc>
        <w:tc>
          <w:tcPr>
            <w:tcW w:w="1140" w:type="dxa"/>
            <w:vAlign w:val="bottom"/>
            <w:tcBorders>
              <w:bottom w:val="single" w:sz="8" w:color="auto"/>
            </w:tcBorders>
            <w:gridSpan w:val="2"/>
          </w:tcPr>
          <w:p>
            <w:pPr>
              <w:jc w:val="right"/>
              <w:ind w:right="152"/>
              <w:spacing w:after="0"/>
              <w:rPr>
                <w:sz w:val="20"/>
                <w:szCs w:val="20"/>
                <w:color w:val="auto"/>
              </w:rPr>
            </w:pPr>
            <w:r>
              <w:rPr>
                <w:rFonts w:ascii="Arial" w:cs="Arial" w:eastAsia="Arial" w:hAnsi="Arial"/>
                <w:sz w:val="14"/>
                <w:szCs w:val="14"/>
                <w:color w:val="auto"/>
              </w:rPr>
              <w:t>Subsidiaries</w:t>
            </w:r>
          </w:p>
        </w:tc>
        <w:tc>
          <w:tcPr>
            <w:tcW w:w="240" w:type="dxa"/>
            <w:vAlign w:val="bottom"/>
            <w:tcBorders>
              <w:bottom w:val="single" w:sz="8" w:color="auto"/>
            </w:tcBorders>
          </w:tcPr>
          <w:p>
            <w:pPr>
              <w:spacing w:after="0"/>
              <w:rPr>
                <w:sz w:val="14"/>
                <w:szCs w:val="14"/>
                <w:color w:val="auto"/>
              </w:rPr>
            </w:pPr>
          </w:p>
        </w:tc>
        <w:tc>
          <w:tcPr>
            <w:tcW w:w="960" w:type="dxa"/>
            <w:vAlign w:val="bottom"/>
            <w:tcBorders>
              <w:bottom w:val="single" w:sz="8" w:color="auto"/>
            </w:tcBorders>
          </w:tcPr>
          <w:p>
            <w:pPr>
              <w:jc w:val="right"/>
              <w:ind w:right="152"/>
              <w:spacing w:after="0"/>
              <w:rPr>
                <w:sz w:val="20"/>
                <w:szCs w:val="20"/>
                <w:color w:val="auto"/>
              </w:rPr>
            </w:pPr>
            <w:r>
              <w:rPr>
                <w:rFonts w:ascii="Arial" w:cs="Arial" w:eastAsia="Arial" w:hAnsi="Arial"/>
                <w:sz w:val="14"/>
                <w:szCs w:val="14"/>
                <w:color w:val="auto"/>
                <w:w w:val="93"/>
              </w:rPr>
              <w:t>Adjustments</w:t>
            </w:r>
          </w:p>
        </w:tc>
        <w:tc>
          <w:tcPr>
            <w:tcW w:w="300" w:type="dxa"/>
            <w:vAlign w:val="bottom"/>
            <w:tcBorders>
              <w:bottom w:val="single" w:sz="8" w:color="auto"/>
            </w:tcBorders>
          </w:tcPr>
          <w:p>
            <w:pPr>
              <w:spacing w:after="0"/>
              <w:rPr>
                <w:sz w:val="14"/>
                <w:szCs w:val="14"/>
                <w:color w:val="auto"/>
              </w:rPr>
            </w:pPr>
          </w:p>
        </w:tc>
        <w:tc>
          <w:tcPr>
            <w:tcW w:w="84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w w:val="94"/>
              </w:rPr>
              <w:t>Corporation</w:t>
            </w:r>
          </w:p>
        </w:tc>
        <w:tc>
          <w:tcPr>
            <w:tcW w:w="0" w:type="dxa"/>
            <w:vAlign w:val="bottom"/>
          </w:tcPr>
          <w:p>
            <w:pPr>
              <w:spacing w:after="0"/>
              <w:rPr>
                <w:sz w:val="1"/>
                <w:szCs w:val="1"/>
                <w:color w:val="auto"/>
              </w:rPr>
            </w:pPr>
          </w:p>
        </w:tc>
      </w:tr>
      <w:tr>
        <w:trPr>
          <w:trHeight w:val="141"/>
        </w:trPr>
        <w:tc>
          <w:tcPr>
            <w:tcW w:w="3420" w:type="dxa"/>
            <w:vAlign w:val="bottom"/>
            <w:gridSpan w:val="2"/>
          </w:tcPr>
          <w:p>
            <w:pPr>
              <w:spacing w:after="0" w:line="141" w:lineRule="exact"/>
              <w:rPr>
                <w:sz w:val="20"/>
                <w:szCs w:val="20"/>
                <w:color w:val="auto"/>
              </w:rPr>
            </w:pPr>
            <w:r>
              <w:rPr>
                <w:rFonts w:ascii="Arial" w:cs="Arial" w:eastAsia="Arial" w:hAnsi="Arial"/>
                <w:sz w:val="14"/>
                <w:szCs w:val="14"/>
                <w:b w:val="1"/>
                <w:bCs w:val="1"/>
                <w:color w:val="auto"/>
              </w:rPr>
              <w:t>Operating Activities</w:t>
            </w:r>
          </w:p>
        </w:tc>
        <w:tc>
          <w:tcPr>
            <w:tcW w:w="32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86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960" w:type="dxa"/>
            <w:vAlign w:val="bottom"/>
          </w:tcPr>
          <w:p>
            <w:pPr>
              <w:spacing w:after="0"/>
              <w:rPr>
                <w:sz w:val="12"/>
                <w:szCs w:val="12"/>
                <w:color w:val="auto"/>
              </w:rPr>
            </w:pPr>
          </w:p>
        </w:tc>
        <w:tc>
          <w:tcPr>
            <w:tcW w:w="300" w:type="dxa"/>
            <w:vAlign w:val="bottom"/>
            <w:vMerge w:val="restart"/>
          </w:tcPr>
          <w:p>
            <w:pPr>
              <w:jc w:val="right"/>
              <w:spacing w:after="0"/>
              <w:rPr>
                <w:sz w:val="20"/>
                <w:szCs w:val="20"/>
                <w:color w:val="auto"/>
              </w:rPr>
            </w:pPr>
            <w:r>
              <w:rPr>
                <w:rFonts w:ascii="Arial" w:cs="Arial" w:eastAsia="Arial" w:hAnsi="Arial"/>
                <w:sz w:val="14"/>
                <w:szCs w:val="14"/>
                <w:b w:val="1"/>
                <w:bCs w:val="1"/>
                <w:color w:val="auto"/>
              </w:rPr>
              <w:t>$</w:t>
            </w:r>
          </w:p>
        </w:tc>
        <w:tc>
          <w:tcPr>
            <w:tcW w:w="840" w:type="dxa"/>
            <w:vAlign w:val="bottom"/>
            <w:vMerge w:val="restart"/>
          </w:tcPr>
          <w:p>
            <w:pPr>
              <w:jc w:val="right"/>
              <w:spacing w:after="0"/>
              <w:rPr>
                <w:sz w:val="20"/>
                <w:szCs w:val="20"/>
                <w:color w:val="auto"/>
              </w:rPr>
            </w:pPr>
            <w:r>
              <w:rPr>
                <w:rFonts w:ascii="Arial" w:cs="Arial" w:eastAsia="Arial" w:hAnsi="Arial"/>
                <w:sz w:val="14"/>
                <w:szCs w:val="14"/>
                <w:b w:val="1"/>
                <w:bCs w:val="1"/>
                <w:color w:val="auto"/>
              </w:rPr>
              <w:t>6,618</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400" w:type="dxa"/>
            <w:vAlign w:val="bottom"/>
            <w:tcBorders>
              <w:bottom w:val="single" w:sz="8" w:color="auto"/>
            </w:tcBorders>
          </w:tcPr>
          <w:p>
            <w:pPr>
              <w:ind w:left="200"/>
              <w:spacing w:after="0" w:line="149" w:lineRule="exact"/>
              <w:rPr>
                <w:sz w:val="20"/>
                <w:szCs w:val="20"/>
                <w:color w:val="auto"/>
              </w:rPr>
            </w:pPr>
            <w:r>
              <w:rPr>
                <w:rFonts w:ascii="Arial" w:cs="Arial" w:eastAsia="Arial" w:hAnsi="Arial"/>
                <w:sz w:val="14"/>
                <w:szCs w:val="14"/>
                <w:color w:val="auto"/>
              </w:rPr>
              <w:t>Net cash provided by (used in) operating activities</w:t>
            </w:r>
          </w:p>
        </w:tc>
        <w:tc>
          <w:tcPr>
            <w:tcW w:w="320" w:type="dxa"/>
            <w:vAlign w:val="bottom"/>
            <w:tcBorders>
              <w:bottom w:val="single" w:sz="8" w:color="auto"/>
            </w:tcBorders>
          </w:tcPr>
          <w:p>
            <w:pPr>
              <w:ind w:left="220"/>
              <w:spacing w:after="0" w:line="149" w:lineRule="exact"/>
              <w:rPr>
                <w:sz w:val="20"/>
                <w:szCs w:val="20"/>
                <w:color w:val="auto"/>
              </w:rPr>
            </w:pPr>
            <w:r>
              <w:rPr>
                <w:rFonts w:ascii="Arial" w:cs="Arial" w:eastAsia="Arial" w:hAnsi="Arial"/>
                <w:sz w:val="14"/>
                <w:szCs w:val="14"/>
                <w:color w:val="auto"/>
              </w:rPr>
              <w:t>$</w:t>
            </w:r>
          </w:p>
        </w:tc>
        <w:tc>
          <w:tcPr>
            <w:tcW w:w="660" w:type="dxa"/>
            <w:vAlign w:val="bottom"/>
            <w:tcBorders>
              <w:bottom w:val="single" w:sz="8" w:color="auto"/>
            </w:tcBorders>
          </w:tcPr>
          <w:p>
            <w:pPr>
              <w:jc w:val="right"/>
              <w:ind w:right="152"/>
              <w:spacing w:after="0" w:line="149" w:lineRule="exact"/>
              <w:rPr>
                <w:sz w:val="20"/>
                <w:szCs w:val="20"/>
                <w:color w:val="auto"/>
              </w:rPr>
            </w:pPr>
            <w:r>
              <w:rPr>
                <w:rFonts w:ascii="Arial" w:cs="Arial" w:eastAsia="Arial" w:hAnsi="Arial"/>
                <w:sz w:val="14"/>
                <w:szCs w:val="14"/>
                <w:color w:val="auto"/>
              </w:rPr>
              <w:t>90</w:t>
            </w:r>
          </w:p>
        </w:tc>
        <w:tc>
          <w:tcPr>
            <w:tcW w:w="280" w:type="dxa"/>
            <w:vAlign w:val="bottom"/>
            <w:tcBorders>
              <w:bottom w:val="single" w:sz="8" w:color="auto"/>
            </w:tcBorders>
          </w:tcPr>
          <w:p>
            <w:pPr>
              <w:ind w:left="180"/>
              <w:spacing w:after="0" w:line="149" w:lineRule="exact"/>
              <w:rPr>
                <w:sz w:val="20"/>
                <w:szCs w:val="20"/>
                <w:color w:val="auto"/>
              </w:rPr>
            </w:pPr>
            <w:r>
              <w:rPr>
                <w:rFonts w:ascii="Arial" w:cs="Arial" w:eastAsia="Arial" w:hAnsi="Arial"/>
                <w:sz w:val="14"/>
                <w:szCs w:val="14"/>
                <w:color w:val="auto"/>
              </w:rPr>
              <w:t>$</w:t>
            </w:r>
          </w:p>
        </w:tc>
        <w:tc>
          <w:tcPr>
            <w:tcW w:w="520" w:type="dxa"/>
            <w:vAlign w:val="bottom"/>
            <w:tcBorders>
              <w:bottom w:val="single" w:sz="8" w:color="auto"/>
            </w:tcBorders>
          </w:tcPr>
          <w:p>
            <w:pPr>
              <w:jc w:val="right"/>
              <w:ind w:right="112"/>
              <w:spacing w:after="0" w:line="149" w:lineRule="exact"/>
              <w:rPr>
                <w:sz w:val="20"/>
                <w:szCs w:val="20"/>
                <w:color w:val="auto"/>
              </w:rPr>
            </w:pPr>
            <w:r>
              <w:rPr>
                <w:rFonts w:ascii="Arial" w:cs="Arial" w:eastAsia="Arial" w:hAnsi="Arial"/>
                <w:sz w:val="14"/>
                <w:szCs w:val="14"/>
                <w:color w:val="auto"/>
                <w:w w:val="97"/>
              </w:rPr>
              <w:t>(240)</w:t>
            </w:r>
          </w:p>
        </w:tc>
        <w:tc>
          <w:tcPr>
            <w:tcW w:w="280" w:type="dxa"/>
            <w:vAlign w:val="bottom"/>
            <w:tcBorders>
              <w:bottom w:val="single" w:sz="8" w:color="auto"/>
            </w:tcBorders>
          </w:tcPr>
          <w:p>
            <w:pPr>
              <w:ind w:left="160"/>
              <w:spacing w:after="0" w:line="149" w:lineRule="exact"/>
              <w:rPr>
                <w:sz w:val="20"/>
                <w:szCs w:val="20"/>
                <w:color w:val="auto"/>
              </w:rPr>
            </w:pPr>
            <w:r>
              <w:rPr>
                <w:rFonts w:ascii="Arial" w:cs="Arial" w:eastAsia="Arial" w:hAnsi="Arial"/>
                <w:sz w:val="14"/>
                <w:szCs w:val="14"/>
                <w:color w:val="auto"/>
              </w:rPr>
              <w:t>$</w:t>
            </w:r>
          </w:p>
        </w:tc>
        <w:tc>
          <w:tcPr>
            <w:tcW w:w="520" w:type="dxa"/>
            <w:vAlign w:val="bottom"/>
            <w:tcBorders>
              <w:bottom w:val="single" w:sz="8" w:color="auto"/>
            </w:tcBorders>
          </w:tcPr>
          <w:p>
            <w:pPr>
              <w:jc w:val="right"/>
              <w:ind w:right="112"/>
              <w:spacing w:after="0" w:line="149" w:lineRule="exact"/>
              <w:rPr>
                <w:sz w:val="20"/>
                <w:szCs w:val="20"/>
                <w:color w:val="auto"/>
              </w:rPr>
            </w:pPr>
            <w:r>
              <w:rPr>
                <w:rFonts w:ascii="Arial" w:cs="Arial" w:eastAsia="Arial" w:hAnsi="Arial"/>
                <w:sz w:val="14"/>
                <w:szCs w:val="14"/>
                <w:color w:val="auto"/>
                <w:w w:val="97"/>
              </w:rPr>
              <w:t>(226)</w:t>
            </w:r>
          </w:p>
        </w:tc>
        <w:tc>
          <w:tcPr>
            <w:tcW w:w="260" w:type="dxa"/>
            <w:vAlign w:val="bottom"/>
            <w:tcBorders>
              <w:bottom w:val="single" w:sz="8" w:color="auto"/>
            </w:tcBorders>
          </w:tcPr>
          <w:p>
            <w:pPr>
              <w:jc w:val="right"/>
              <w:spacing w:after="0" w:line="149" w:lineRule="exact"/>
              <w:rPr>
                <w:sz w:val="20"/>
                <w:szCs w:val="20"/>
                <w:color w:val="auto"/>
              </w:rPr>
            </w:pPr>
            <w:r>
              <w:rPr>
                <w:rFonts w:ascii="Arial" w:cs="Arial" w:eastAsia="Arial" w:hAnsi="Arial"/>
                <w:sz w:val="14"/>
                <w:szCs w:val="14"/>
                <w:color w:val="auto"/>
              </w:rPr>
              <w:t>$</w:t>
            </w:r>
          </w:p>
        </w:tc>
        <w:tc>
          <w:tcPr>
            <w:tcW w:w="740" w:type="dxa"/>
            <w:vAlign w:val="bottom"/>
            <w:tcBorders>
              <w:bottom w:val="single" w:sz="8" w:color="auto"/>
            </w:tcBorders>
          </w:tcPr>
          <w:p>
            <w:pPr>
              <w:jc w:val="right"/>
              <w:ind w:right="92"/>
              <w:spacing w:after="0" w:line="149" w:lineRule="exact"/>
              <w:rPr>
                <w:sz w:val="20"/>
                <w:szCs w:val="20"/>
                <w:color w:val="auto"/>
              </w:rPr>
            </w:pPr>
            <w:r>
              <w:rPr>
                <w:rFonts w:ascii="Arial" w:cs="Arial" w:eastAsia="Arial" w:hAnsi="Arial"/>
                <w:sz w:val="14"/>
                <w:szCs w:val="14"/>
                <w:color w:val="auto"/>
              </w:rPr>
              <w:t>(224)</w:t>
            </w:r>
          </w:p>
        </w:tc>
        <w:tc>
          <w:tcPr>
            <w:tcW w:w="380" w:type="dxa"/>
            <w:vAlign w:val="bottom"/>
            <w:tcBorders>
              <w:bottom w:val="single" w:sz="8" w:color="auto"/>
            </w:tcBorders>
          </w:tcPr>
          <w:p>
            <w:pPr>
              <w:ind w:left="180"/>
              <w:spacing w:after="0" w:line="149" w:lineRule="exact"/>
              <w:rPr>
                <w:sz w:val="20"/>
                <w:szCs w:val="20"/>
                <w:color w:val="auto"/>
              </w:rPr>
            </w:pPr>
            <w:r>
              <w:rPr>
                <w:rFonts w:ascii="Arial" w:cs="Arial" w:eastAsia="Arial" w:hAnsi="Arial"/>
                <w:sz w:val="14"/>
                <w:szCs w:val="14"/>
                <w:color w:val="auto"/>
              </w:rPr>
              <w:t>$</w:t>
            </w:r>
          </w:p>
        </w:tc>
        <w:tc>
          <w:tcPr>
            <w:tcW w:w="560" w:type="dxa"/>
            <w:vAlign w:val="bottom"/>
            <w:tcBorders>
              <w:bottom w:val="single" w:sz="8" w:color="auto"/>
            </w:tcBorders>
          </w:tcPr>
          <w:p>
            <w:pPr>
              <w:jc w:val="right"/>
              <w:ind w:right="152"/>
              <w:spacing w:after="0" w:line="149" w:lineRule="exact"/>
              <w:rPr>
                <w:sz w:val="20"/>
                <w:szCs w:val="20"/>
                <w:color w:val="auto"/>
              </w:rPr>
            </w:pPr>
            <w:r>
              <w:rPr>
                <w:rFonts w:ascii="Arial" w:cs="Arial" w:eastAsia="Arial" w:hAnsi="Arial"/>
                <w:sz w:val="14"/>
                <w:szCs w:val="14"/>
                <w:color w:val="auto"/>
              </w:rPr>
              <w:t>20</w:t>
            </w:r>
          </w:p>
        </w:tc>
        <w:tc>
          <w:tcPr>
            <w:tcW w:w="280" w:type="dxa"/>
            <w:vAlign w:val="bottom"/>
            <w:tcBorders>
              <w:bottom w:val="single" w:sz="8" w:color="auto"/>
            </w:tcBorders>
          </w:tcPr>
          <w:p>
            <w:pPr>
              <w:jc w:val="right"/>
              <w:spacing w:after="0" w:line="149" w:lineRule="exact"/>
              <w:rPr>
                <w:sz w:val="20"/>
                <w:szCs w:val="20"/>
                <w:color w:val="auto"/>
              </w:rPr>
            </w:pPr>
            <w:r>
              <w:rPr>
                <w:rFonts w:ascii="Arial" w:cs="Arial" w:eastAsia="Arial" w:hAnsi="Arial"/>
                <w:sz w:val="14"/>
                <w:szCs w:val="14"/>
                <w:color w:val="auto"/>
              </w:rPr>
              <w:t>$</w:t>
            </w:r>
          </w:p>
        </w:tc>
        <w:tc>
          <w:tcPr>
            <w:tcW w:w="860" w:type="dxa"/>
            <w:vAlign w:val="bottom"/>
            <w:tcBorders>
              <w:bottom w:val="single" w:sz="8" w:color="auto"/>
            </w:tcBorders>
          </w:tcPr>
          <w:p>
            <w:pPr>
              <w:jc w:val="right"/>
              <w:ind w:right="152"/>
              <w:spacing w:after="0" w:line="149" w:lineRule="exact"/>
              <w:rPr>
                <w:sz w:val="20"/>
                <w:szCs w:val="20"/>
                <w:color w:val="auto"/>
              </w:rPr>
            </w:pPr>
            <w:r>
              <w:rPr>
                <w:rFonts w:ascii="Arial" w:cs="Arial" w:eastAsia="Arial" w:hAnsi="Arial"/>
                <w:sz w:val="14"/>
                <w:szCs w:val="14"/>
                <w:color w:val="auto"/>
              </w:rPr>
              <w:t>7,198</w:t>
            </w:r>
          </w:p>
        </w:tc>
        <w:tc>
          <w:tcPr>
            <w:tcW w:w="240" w:type="dxa"/>
            <w:vAlign w:val="bottom"/>
            <w:tcBorders>
              <w:bottom w:val="single" w:sz="8" w:color="auto"/>
            </w:tcBorders>
          </w:tcPr>
          <w:p>
            <w:pPr>
              <w:jc w:val="right"/>
              <w:spacing w:after="0" w:line="149" w:lineRule="exact"/>
              <w:rPr>
                <w:sz w:val="20"/>
                <w:szCs w:val="20"/>
                <w:color w:val="auto"/>
              </w:rPr>
            </w:pPr>
            <w:r>
              <w:rPr>
                <w:rFonts w:ascii="Arial" w:cs="Arial" w:eastAsia="Arial" w:hAnsi="Arial"/>
                <w:sz w:val="14"/>
                <w:szCs w:val="14"/>
                <w:color w:val="auto"/>
              </w:rPr>
              <w:t>$</w:t>
            </w:r>
          </w:p>
        </w:tc>
        <w:tc>
          <w:tcPr>
            <w:tcW w:w="960" w:type="dxa"/>
            <w:vAlign w:val="bottom"/>
            <w:tcBorders>
              <w:bottom w:val="single" w:sz="8" w:color="auto"/>
            </w:tcBorders>
          </w:tcPr>
          <w:p>
            <w:pPr>
              <w:jc w:val="right"/>
              <w:ind w:right="152"/>
              <w:spacing w:after="0" w:line="149" w:lineRule="exact"/>
              <w:rPr>
                <w:sz w:val="20"/>
                <w:szCs w:val="20"/>
                <w:color w:val="auto"/>
              </w:rPr>
            </w:pPr>
            <w:r>
              <w:rPr>
                <w:rFonts w:ascii="Arial" w:cs="Arial" w:eastAsia="Arial" w:hAnsi="Arial"/>
                <w:sz w:val="14"/>
                <w:szCs w:val="14"/>
                <w:color w:val="auto"/>
              </w:rPr>
              <w:t>—</w:t>
            </w:r>
          </w:p>
        </w:tc>
        <w:tc>
          <w:tcPr>
            <w:tcW w:w="300" w:type="dxa"/>
            <w:vAlign w:val="bottom"/>
            <w:tcBorders>
              <w:bottom w:val="single" w:sz="8" w:color="auto"/>
            </w:tcBorders>
            <w:vMerge w:val="continue"/>
          </w:tcPr>
          <w:p>
            <w:pPr>
              <w:spacing w:after="0"/>
              <w:rPr>
                <w:sz w:val="12"/>
                <w:szCs w:val="12"/>
                <w:color w:val="auto"/>
              </w:rPr>
            </w:pPr>
          </w:p>
        </w:tc>
        <w:tc>
          <w:tcPr>
            <w:tcW w:w="840" w:type="dxa"/>
            <w:vAlign w:val="bottom"/>
            <w:tcBorders>
              <w:bottom w:val="single" w:sz="8" w:color="auto"/>
            </w:tcBorders>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41"/>
        </w:trPr>
        <w:tc>
          <w:tcPr>
            <w:tcW w:w="20" w:type="dxa"/>
            <w:vAlign w:val="bottom"/>
          </w:tcPr>
          <w:p>
            <w:pPr>
              <w:spacing w:after="0"/>
              <w:rPr>
                <w:sz w:val="12"/>
                <w:szCs w:val="12"/>
                <w:color w:val="auto"/>
              </w:rPr>
            </w:pPr>
          </w:p>
        </w:tc>
        <w:tc>
          <w:tcPr>
            <w:tcW w:w="3400" w:type="dxa"/>
            <w:vAlign w:val="bottom"/>
          </w:tcPr>
          <w:p>
            <w:pPr>
              <w:spacing w:after="0" w:line="141" w:lineRule="exact"/>
              <w:rPr>
                <w:sz w:val="20"/>
                <w:szCs w:val="20"/>
                <w:color w:val="auto"/>
              </w:rPr>
            </w:pPr>
            <w:r>
              <w:rPr>
                <w:rFonts w:ascii="Arial" w:cs="Arial" w:eastAsia="Arial" w:hAnsi="Arial"/>
                <w:sz w:val="14"/>
                <w:szCs w:val="14"/>
                <w:b w:val="1"/>
                <w:bCs w:val="1"/>
                <w:color w:val="auto"/>
              </w:rPr>
              <w:t>Financing Activities</w:t>
            </w:r>
          </w:p>
        </w:tc>
        <w:tc>
          <w:tcPr>
            <w:tcW w:w="32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86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96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840" w:type="dxa"/>
            <w:vAlign w:val="bottom"/>
            <w:vMerge w:val="restart"/>
          </w:tcPr>
          <w:p>
            <w:pPr>
              <w:jc w:val="right"/>
              <w:spacing w:after="0"/>
              <w:rPr>
                <w:sz w:val="20"/>
                <w:szCs w:val="20"/>
                <w:color w:val="auto"/>
              </w:rPr>
            </w:pPr>
            <w:r>
              <w:rPr>
                <w:rFonts w:ascii="Arial" w:cs="Arial" w:eastAsia="Arial" w:hAnsi="Arial"/>
                <w:sz w:val="14"/>
                <w:szCs w:val="14"/>
                <w:b w:val="1"/>
                <w:bCs w:val="1"/>
                <w:color w:val="auto"/>
              </w:rPr>
              <w:t>7,497</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3400" w:type="dxa"/>
            <w:vAlign w:val="bottom"/>
          </w:tcPr>
          <w:p>
            <w:pPr>
              <w:ind w:left="200"/>
              <w:spacing w:after="0" w:line="133" w:lineRule="exact"/>
              <w:rPr>
                <w:sz w:val="20"/>
                <w:szCs w:val="20"/>
                <w:color w:val="auto"/>
              </w:rPr>
            </w:pPr>
            <w:r>
              <w:rPr>
                <w:rFonts w:ascii="Arial" w:cs="Arial" w:eastAsia="Arial" w:hAnsi="Arial"/>
                <w:sz w:val="14"/>
                <w:szCs w:val="14"/>
                <w:color w:val="auto"/>
              </w:rPr>
              <w:t>Proceeds from borrowings</w:t>
            </w:r>
          </w:p>
        </w:tc>
        <w:tc>
          <w:tcPr>
            <w:tcW w:w="320" w:type="dxa"/>
            <w:vAlign w:val="bottom"/>
          </w:tcPr>
          <w:p>
            <w:pPr>
              <w:spacing w:after="0"/>
              <w:rPr>
                <w:sz w:val="11"/>
                <w:szCs w:val="11"/>
                <w:color w:val="auto"/>
              </w:rPr>
            </w:pPr>
          </w:p>
        </w:tc>
        <w:tc>
          <w:tcPr>
            <w:tcW w:w="660" w:type="dxa"/>
            <w:vAlign w:val="bottom"/>
          </w:tcPr>
          <w:p>
            <w:pPr>
              <w:jc w:val="right"/>
              <w:ind w:right="152"/>
              <w:spacing w:after="0" w:line="133" w:lineRule="exact"/>
              <w:rPr>
                <w:sz w:val="20"/>
                <w:szCs w:val="20"/>
                <w:color w:val="auto"/>
              </w:rPr>
            </w:pPr>
            <w:r>
              <w:rPr>
                <w:rFonts w:ascii="Arial" w:cs="Arial" w:eastAsia="Arial" w:hAnsi="Arial"/>
                <w:sz w:val="14"/>
                <w:szCs w:val="14"/>
                <w:color w:val="auto"/>
              </w:rPr>
              <w:t>7,474</w:t>
            </w:r>
          </w:p>
        </w:tc>
        <w:tc>
          <w:tcPr>
            <w:tcW w:w="280" w:type="dxa"/>
            <w:vAlign w:val="bottom"/>
          </w:tcPr>
          <w:p>
            <w:pPr>
              <w:spacing w:after="0"/>
              <w:rPr>
                <w:sz w:val="11"/>
                <w:szCs w:val="11"/>
                <w:color w:val="auto"/>
              </w:rPr>
            </w:pPr>
          </w:p>
        </w:tc>
        <w:tc>
          <w:tcPr>
            <w:tcW w:w="520" w:type="dxa"/>
            <w:vAlign w:val="bottom"/>
          </w:tcPr>
          <w:p>
            <w:pPr>
              <w:jc w:val="right"/>
              <w:ind w:right="152"/>
              <w:spacing w:after="0" w:line="133" w:lineRule="exact"/>
              <w:rPr>
                <w:sz w:val="20"/>
                <w:szCs w:val="20"/>
                <w:color w:val="auto"/>
              </w:rPr>
            </w:pPr>
            <w:r>
              <w:rPr>
                <w:rFonts w:ascii="Arial" w:cs="Arial" w:eastAsia="Arial" w:hAnsi="Arial"/>
                <w:sz w:val="14"/>
                <w:szCs w:val="14"/>
                <w:color w:val="auto"/>
              </w:rPr>
              <w:t>—</w:t>
            </w:r>
          </w:p>
        </w:tc>
        <w:tc>
          <w:tcPr>
            <w:tcW w:w="280" w:type="dxa"/>
            <w:vAlign w:val="bottom"/>
          </w:tcPr>
          <w:p>
            <w:pPr>
              <w:spacing w:after="0"/>
              <w:rPr>
                <w:sz w:val="11"/>
                <w:szCs w:val="11"/>
                <w:color w:val="auto"/>
              </w:rPr>
            </w:pPr>
          </w:p>
        </w:tc>
        <w:tc>
          <w:tcPr>
            <w:tcW w:w="520" w:type="dxa"/>
            <w:vAlign w:val="bottom"/>
          </w:tcPr>
          <w:p>
            <w:pPr>
              <w:jc w:val="right"/>
              <w:ind w:right="152"/>
              <w:spacing w:after="0" w:line="133" w:lineRule="exact"/>
              <w:rPr>
                <w:sz w:val="20"/>
                <w:szCs w:val="20"/>
                <w:color w:val="auto"/>
              </w:rPr>
            </w:pPr>
            <w:r>
              <w:rPr>
                <w:rFonts w:ascii="Arial" w:cs="Arial" w:eastAsia="Arial" w:hAnsi="Arial"/>
                <w:sz w:val="14"/>
                <w:szCs w:val="14"/>
                <w:color w:val="auto"/>
              </w:rPr>
              <w:t>—</w:t>
            </w:r>
          </w:p>
        </w:tc>
        <w:tc>
          <w:tcPr>
            <w:tcW w:w="260" w:type="dxa"/>
            <w:vAlign w:val="bottom"/>
          </w:tcPr>
          <w:p>
            <w:pPr>
              <w:spacing w:after="0"/>
              <w:rPr>
                <w:sz w:val="11"/>
                <w:szCs w:val="11"/>
                <w:color w:val="auto"/>
              </w:rPr>
            </w:pPr>
          </w:p>
        </w:tc>
        <w:tc>
          <w:tcPr>
            <w:tcW w:w="740" w:type="dxa"/>
            <w:vAlign w:val="bottom"/>
          </w:tcPr>
          <w:p>
            <w:pPr>
              <w:jc w:val="right"/>
              <w:ind w:right="152"/>
              <w:spacing w:after="0" w:line="133" w:lineRule="exact"/>
              <w:rPr>
                <w:sz w:val="20"/>
                <w:szCs w:val="20"/>
                <w:color w:val="auto"/>
              </w:rPr>
            </w:pPr>
            <w:r>
              <w:rPr>
                <w:rFonts w:ascii="Arial" w:cs="Arial" w:eastAsia="Arial" w:hAnsi="Arial"/>
                <w:sz w:val="14"/>
                <w:szCs w:val="14"/>
                <w:color w:val="auto"/>
              </w:rPr>
              <w:t>—</w:t>
            </w:r>
          </w:p>
        </w:tc>
        <w:tc>
          <w:tcPr>
            <w:tcW w:w="380" w:type="dxa"/>
            <w:vAlign w:val="bottom"/>
          </w:tcPr>
          <w:p>
            <w:pPr>
              <w:spacing w:after="0"/>
              <w:rPr>
                <w:sz w:val="11"/>
                <w:szCs w:val="11"/>
                <w:color w:val="auto"/>
              </w:rPr>
            </w:pPr>
          </w:p>
        </w:tc>
        <w:tc>
          <w:tcPr>
            <w:tcW w:w="560" w:type="dxa"/>
            <w:vAlign w:val="bottom"/>
          </w:tcPr>
          <w:p>
            <w:pPr>
              <w:jc w:val="right"/>
              <w:ind w:right="152"/>
              <w:spacing w:after="0" w:line="133" w:lineRule="exact"/>
              <w:rPr>
                <w:sz w:val="20"/>
                <w:szCs w:val="20"/>
                <w:color w:val="auto"/>
              </w:rPr>
            </w:pPr>
            <w:r>
              <w:rPr>
                <w:rFonts w:ascii="Arial" w:cs="Arial" w:eastAsia="Arial" w:hAnsi="Arial"/>
                <w:sz w:val="14"/>
                <w:szCs w:val="14"/>
                <w:color w:val="auto"/>
              </w:rPr>
              <w:t>—</w:t>
            </w:r>
          </w:p>
        </w:tc>
        <w:tc>
          <w:tcPr>
            <w:tcW w:w="280" w:type="dxa"/>
            <w:vAlign w:val="bottom"/>
          </w:tcPr>
          <w:p>
            <w:pPr>
              <w:spacing w:after="0"/>
              <w:rPr>
                <w:sz w:val="11"/>
                <w:szCs w:val="11"/>
                <w:color w:val="auto"/>
              </w:rPr>
            </w:pPr>
          </w:p>
        </w:tc>
        <w:tc>
          <w:tcPr>
            <w:tcW w:w="860" w:type="dxa"/>
            <w:vAlign w:val="bottom"/>
          </w:tcPr>
          <w:p>
            <w:pPr>
              <w:jc w:val="right"/>
              <w:ind w:right="152"/>
              <w:spacing w:after="0" w:line="133" w:lineRule="exact"/>
              <w:rPr>
                <w:sz w:val="20"/>
                <w:szCs w:val="20"/>
                <w:color w:val="auto"/>
              </w:rPr>
            </w:pPr>
            <w:r>
              <w:rPr>
                <w:rFonts w:ascii="Arial" w:cs="Arial" w:eastAsia="Arial" w:hAnsi="Arial"/>
                <w:sz w:val="14"/>
                <w:szCs w:val="14"/>
                <w:color w:val="auto"/>
              </w:rPr>
              <w:t>23</w:t>
            </w:r>
          </w:p>
        </w:tc>
        <w:tc>
          <w:tcPr>
            <w:tcW w:w="240" w:type="dxa"/>
            <w:vAlign w:val="bottom"/>
          </w:tcPr>
          <w:p>
            <w:pPr>
              <w:spacing w:after="0"/>
              <w:rPr>
                <w:sz w:val="11"/>
                <w:szCs w:val="11"/>
                <w:color w:val="auto"/>
              </w:rPr>
            </w:pPr>
          </w:p>
        </w:tc>
        <w:tc>
          <w:tcPr>
            <w:tcW w:w="960" w:type="dxa"/>
            <w:vAlign w:val="bottom"/>
          </w:tcPr>
          <w:p>
            <w:pPr>
              <w:jc w:val="right"/>
              <w:ind w:right="152"/>
              <w:spacing w:after="0" w:line="133" w:lineRule="exact"/>
              <w:rPr>
                <w:sz w:val="20"/>
                <w:szCs w:val="20"/>
                <w:color w:val="auto"/>
              </w:rPr>
            </w:pPr>
            <w:r>
              <w:rPr>
                <w:rFonts w:ascii="Arial" w:cs="Arial" w:eastAsia="Arial" w:hAnsi="Arial"/>
                <w:sz w:val="14"/>
                <w:szCs w:val="14"/>
                <w:color w:val="auto"/>
              </w:rPr>
              <w:t>—</w:t>
            </w:r>
          </w:p>
        </w:tc>
        <w:tc>
          <w:tcPr>
            <w:tcW w:w="300" w:type="dxa"/>
            <w:vAlign w:val="bottom"/>
          </w:tcPr>
          <w:p>
            <w:pPr>
              <w:spacing w:after="0"/>
              <w:rPr>
                <w:sz w:val="11"/>
                <w:szCs w:val="11"/>
                <w:color w:val="auto"/>
              </w:rPr>
            </w:pPr>
          </w:p>
        </w:tc>
        <w:tc>
          <w:tcPr>
            <w:tcW w:w="840" w:type="dxa"/>
            <w:vAlign w:val="bottom"/>
            <w:vMerge w:val="continue"/>
          </w:tcPr>
          <w:p>
            <w:pPr>
              <w:spacing w:after="0"/>
              <w:rPr>
                <w:sz w:val="11"/>
                <w:szCs w:val="11"/>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400" w:type="dxa"/>
            <w:vAlign w:val="bottom"/>
          </w:tcPr>
          <w:p>
            <w:pPr>
              <w:ind w:left="200"/>
              <w:spacing w:after="0" w:line="149" w:lineRule="exact"/>
              <w:rPr>
                <w:sz w:val="20"/>
                <w:szCs w:val="20"/>
                <w:color w:val="auto"/>
              </w:rPr>
            </w:pPr>
            <w:r>
              <w:rPr>
                <w:rFonts w:ascii="Arial" w:cs="Arial" w:eastAsia="Arial" w:hAnsi="Arial"/>
                <w:sz w:val="14"/>
                <w:szCs w:val="14"/>
                <w:color w:val="auto"/>
              </w:rPr>
              <w:t>Retirements and repayments of debt</w:t>
            </w:r>
          </w:p>
        </w:tc>
        <w:tc>
          <w:tcPr>
            <w:tcW w:w="320" w:type="dxa"/>
            <w:vAlign w:val="bottom"/>
          </w:tcPr>
          <w:p>
            <w:pPr>
              <w:spacing w:after="0"/>
              <w:rPr>
                <w:sz w:val="12"/>
                <w:szCs w:val="12"/>
                <w:color w:val="auto"/>
              </w:rPr>
            </w:pPr>
          </w:p>
        </w:tc>
        <w:tc>
          <w:tcPr>
            <w:tcW w:w="660" w:type="dxa"/>
            <w:vAlign w:val="bottom"/>
          </w:tcPr>
          <w:p>
            <w:pPr>
              <w:jc w:val="right"/>
              <w:ind w:right="112"/>
              <w:spacing w:after="0" w:line="149" w:lineRule="exact"/>
              <w:rPr>
                <w:sz w:val="20"/>
                <w:szCs w:val="20"/>
                <w:color w:val="auto"/>
              </w:rPr>
            </w:pPr>
            <w:r>
              <w:rPr>
                <w:rFonts w:ascii="Arial" w:cs="Arial" w:eastAsia="Arial" w:hAnsi="Arial"/>
                <w:sz w:val="14"/>
                <w:szCs w:val="14"/>
                <w:color w:val="auto"/>
              </w:rPr>
              <w:t>(350)</w:t>
            </w:r>
          </w:p>
        </w:tc>
        <w:tc>
          <w:tcPr>
            <w:tcW w:w="280" w:type="dxa"/>
            <w:vAlign w:val="bottom"/>
          </w:tcPr>
          <w:p>
            <w:pPr>
              <w:spacing w:after="0"/>
              <w:rPr>
                <w:sz w:val="12"/>
                <w:szCs w:val="12"/>
                <w:color w:val="auto"/>
              </w:rPr>
            </w:pPr>
          </w:p>
        </w:tc>
        <w:tc>
          <w:tcPr>
            <w:tcW w:w="520" w:type="dxa"/>
            <w:vAlign w:val="bottom"/>
          </w:tcPr>
          <w:p>
            <w:pPr>
              <w:jc w:val="right"/>
              <w:ind w:right="112"/>
              <w:spacing w:after="0" w:line="149" w:lineRule="exact"/>
              <w:rPr>
                <w:sz w:val="20"/>
                <w:szCs w:val="20"/>
                <w:color w:val="auto"/>
              </w:rPr>
            </w:pPr>
            <w:r>
              <w:rPr>
                <w:rFonts w:ascii="Arial" w:cs="Arial" w:eastAsia="Arial" w:hAnsi="Arial"/>
                <w:sz w:val="14"/>
                <w:szCs w:val="14"/>
                <w:color w:val="auto"/>
                <w:w w:val="97"/>
              </w:rPr>
              <w:t>(619)</w:t>
            </w:r>
          </w:p>
        </w:tc>
        <w:tc>
          <w:tcPr>
            <w:tcW w:w="280" w:type="dxa"/>
            <w:vAlign w:val="bottom"/>
          </w:tcPr>
          <w:p>
            <w:pPr>
              <w:spacing w:after="0"/>
              <w:rPr>
                <w:sz w:val="12"/>
                <w:szCs w:val="12"/>
                <w:color w:val="auto"/>
              </w:rPr>
            </w:pPr>
          </w:p>
        </w:tc>
        <w:tc>
          <w:tcPr>
            <w:tcW w:w="520" w:type="dxa"/>
            <w:vAlign w:val="bottom"/>
          </w:tcPr>
          <w:p>
            <w:pPr>
              <w:jc w:val="right"/>
              <w:ind w:right="152"/>
              <w:spacing w:after="0" w:line="149" w:lineRule="exact"/>
              <w:rPr>
                <w:sz w:val="20"/>
                <w:szCs w:val="20"/>
                <w:color w:val="auto"/>
              </w:rPr>
            </w:pPr>
            <w:r>
              <w:rPr>
                <w:rFonts w:ascii="Arial" w:cs="Arial" w:eastAsia="Arial" w:hAnsi="Arial"/>
                <w:sz w:val="14"/>
                <w:szCs w:val="14"/>
                <w:color w:val="auto"/>
              </w:rPr>
              <w:t>—</w:t>
            </w:r>
          </w:p>
        </w:tc>
        <w:tc>
          <w:tcPr>
            <w:tcW w:w="260" w:type="dxa"/>
            <w:vAlign w:val="bottom"/>
          </w:tcPr>
          <w:p>
            <w:pPr>
              <w:spacing w:after="0"/>
              <w:rPr>
                <w:sz w:val="12"/>
                <w:szCs w:val="12"/>
                <w:color w:val="auto"/>
              </w:rPr>
            </w:pPr>
          </w:p>
        </w:tc>
        <w:tc>
          <w:tcPr>
            <w:tcW w:w="740" w:type="dxa"/>
            <w:vAlign w:val="bottom"/>
          </w:tcPr>
          <w:p>
            <w:pPr>
              <w:jc w:val="right"/>
              <w:ind w:right="92"/>
              <w:spacing w:after="0" w:line="149" w:lineRule="exact"/>
              <w:rPr>
                <w:sz w:val="20"/>
                <w:szCs w:val="20"/>
                <w:color w:val="auto"/>
              </w:rPr>
            </w:pPr>
            <w:r>
              <w:rPr>
                <w:rFonts w:ascii="Arial" w:cs="Arial" w:eastAsia="Arial" w:hAnsi="Arial"/>
                <w:sz w:val="14"/>
                <w:szCs w:val="14"/>
                <w:color w:val="auto"/>
              </w:rPr>
              <w:t>(988)</w:t>
            </w:r>
          </w:p>
        </w:tc>
        <w:tc>
          <w:tcPr>
            <w:tcW w:w="380" w:type="dxa"/>
            <w:vAlign w:val="bottom"/>
          </w:tcPr>
          <w:p>
            <w:pPr>
              <w:spacing w:after="0"/>
              <w:rPr>
                <w:sz w:val="12"/>
                <w:szCs w:val="12"/>
                <w:color w:val="auto"/>
              </w:rPr>
            </w:pPr>
          </w:p>
        </w:tc>
        <w:tc>
          <w:tcPr>
            <w:tcW w:w="560" w:type="dxa"/>
            <w:vAlign w:val="bottom"/>
          </w:tcPr>
          <w:p>
            <w:pPr>
              <w:jc w:val="right"/>
              <w:ind w:right="112"/>
              <w:spacing w:after="0" w:line="149" w:lineRule="exact"/>
              <w:rPr>
                <w:sz w:val="20"/>
                <w:szCs w:val="20"/>
                <w:color w:val="auto"/>
              </w:rPr>
            </w:pPr>
            <w:r>
              <w:rPr>
                <w:rFonts w:ascii="Arial" w:cs="Arial" w:eastAsia="Arial" w:hAnsi="Arial"/>
                <w:sz w:val="14"/>
                <w:szCs w:val="14"/>
                <w:color w:val="auto"/>
              </w:rPr>
              <w:t>(27)</w:t>
            </w:r>
          </w:p>
        </w:tc>
        <w:tc>
          <w:tcPr>
            <w:tcW w:w="280" w:type="dxa"/>
            <w:vAlign w:val="bottom"/>
          </w:tcPr>
          <w:p>
            <w:pPr>
              <w:spacing w:after="0"/>
              <w:rPr>
                <w:sz w:val="12"/>
                <w:szCs w:val="12"/>
                <w:color w:val="auto"/>
              </w:rPr>
            </w:pPr>
          </w:p>
        </w:tc>
        <w:tc>
          <w:tcPr>
            <w:tcW w:w="860" w:type="dxa"/>
            <w:vAlign w:val="bottom"/>
          </w:tcPr>
          <w:p>
            <w:pPr>
              <w:jc w:val="right"/>
              <w:ind w:right="112"/>
              <w:spacing w:after="0" w:line="149" w:lineRule="exact"/>
              <w:rPr>
                <w:sz w:val="20"/>
                <w:szCs w:val="20"/>
                <w:color w:val="auto"/>
              </w:rPr>
            </w:pPr>
            <w:r>
              <w:rPr>
                <w:rFonts w:ascii="Arial" w:cs="Arial" w:eastAsia="Arial" w:hAnsi="Arial"/>
                <w:sz w:val="14"/>
                <w:szCs w:val="14"/>
                <w:color w:val="auto"/>
              </w:rPr>
              <w:t>(55)</w:t>
            </w:r>
          </w:p>
        </w:tc>
        <w:tc>
          <w:tcPr>
            <w:tcW w:w="240" w:type="dxa"/>
            <w:vAlign w:val="bottom"/>
          </w:tcPr>
          <w:p>
            <w:pPr>
              <w:spacing w:after="0"/>
              <w:rPr>
                <w:sz w:val="12"/>
                <w:szCs w:val="12"/>
                <w:color w:val="auto"/>
              </w:rPr>
            </w:pPr>
          </w:p>
        </w:tc>
        <w:tc>
          <w:tcPr>
            <w:tcW w:w="960" w:type="dxa"/>
            <w:vAlign w:val="bottom"/>
          </w:tcPr>
          <w:p>
            <w:pPr>
              <w:jc w:val="right"/>
              <w:ind w:right="152"/>
              <w:spacing w:after="0" w:line="149" w:lineRule="exact"/>
              <w:rPr>
                <w:sz w:val="20"/>
                <w:szCs w:val="20"/>
                <w:color w:val="auto"/>
              </w:rPr>
            </w:pPr>
            <w:r>
              <w:rPr>
                <w:rFonts w:ascii="Arial" w:cs="Arial" w:eastAsia="Arial" w:hAnsi="Arial"/>
                <w:sz w:val="14"/>
                <w:szCs w:val="14"/>
                <w:color w:val="auto"/>
              </w:rPr>
              <w:t>—</w:t>
            </w:r>
          </w:p>
        </w:tc>
        <w:tc>
          <w:tcPr>
            <w:tcW w:w="300" w:type="dxa"/>
            <w:vAlign w:val="bottom"/>
          </w:tcPr>
          <w:p>
            <w:pPr>
              <w:spacing w:after="0"/>
              <w:rPr>
                <w:sz w:val="12"/>
                <w:szCs w:val="12"/>
                <w:color w:val="auto"/>
              </w:rPr>
            </w:pPr>
          </w:p>
        </w:tc>
        <w:tc>
          <w:tcPr>
            <w:tcW w:w="840" w:type="dxa"/>
            <w:vAlign w:val="bottom"/>
          </w:tcPr>
          <w:p>
            <w:pPr>
              <w:jc w:val="right"/>
              <w:spacing w:after="0" w:line="149" w:lineRule="exact"/>
              <w:rPr>
                <w:sz w:val="20"/>
                <w:szCs w:val="20"/>
                <w:color w:val="auto"/>
              </w:rPr>
            </w:pPr>
            <w:r>
              <w:rPr>
                <w:rFonts w:ascii="Arial" w:cs="Arial" w:eastAsia="Arial" w:hAnsi="Arial"/>
                <w:sz w:val="14"/>
                <w:szCs w:val="14"/>
                <w:b w:val="1"/>
                <w:bCs w:val="1"/>
                <w:color w:val="auto"/>
              </w:rPr>
              <w:t>(2,039)</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400" w:type="dxa"/>
            <w:vAlign w:val="bottom"/>
          </w:tcPr>
          <w:p>
            <w:pPr>
              <w:ind w:left="200"/>
              <w:spacing w:after="0" w:line="149" w:lineRule="exact"/>
              <w:rPr>
                <w:sz w:val="20"/>
                <w:szCs w:val="20"/>
                <w:color w:val="auto"/>
              </w:rPr>
            </w:pPr>
            <w:r>
              <w:rPr>
                <w:rFonts w:ascii="Arial" w:cs="Arial" w:eastAsia="Arial" w:hAnsi="Arial"/>
                <w:sz w:val="14"/>
                <w:szCs w:val="14"/>
                <w:color w:val="auto"/>
              </w:rPr>
              <w:t>Repurchases of common stock</w:t>
            </w:r>
          </w:p>
        </w:tc>
        <w:tc>
          <w:tcPr>
            <w:tcW w:w="320" w:type="dxa"/>
            <w:vAlign w:val="bottom"/>
          </w:tcPr>
          <w:p>
            <w:pPr>
              <w:spacing w:after="0"/>
              <w:rPr>
                <w:sz w:val="12"/>
                <w:szCs w:val="12"/>
                <w:color w:val="auto"/>
              </w:rPr>
            </w:pPr>
          </w:p>
        </w:tc>
        <w:tc>
          <w:tcPr>
            <w:tcW w:w="660" w:type="dxa"/>
            <w:vAlign w:val="bottom"/>
          </w:tcPr>
          <w:p>
            <w:pPr>
              <w:jc w:val="right"/>
              <w:ind w:right="112"/>
              <w:spacing w:after="0" w:line="149" w:lineRule="exact"/>
              <w:rPr>
                <w:sz w:val="20"/>
                <w:szCs w:val="20"/>
                <w:color w:val="auto"/>
              </w:rPr>
            </w:pPr>
            <w:r>
              <w:rPr>
                <w:rFonts w:ascii="Arial" w:cs="Arial" w:eastAsia="Arial" w:hAnsi="Arial"/>
                <w:sz w:val="14"/>
                <w:szCs w:val="14"/>
                <w:color w:val="auto"/>
              </w:rPr>
              <w:t>(2,347)</w:t>
            </w:r>
          </w:p>
        </w:tc>
        <w:tc>
          <w:tcPr>
            <w:tcW w:w="280" w:type="dxa"/>
            <w:vAlign w:val="bottom"/>
          </w:tcPr>
          <w:p>
            <w:pPr>
              <w:spacing w:after="0"/>
              <w:rPr>
                <w:sz w:val="12"/>
                <w:szCs w:val="12"/>
                <w:color w:val="auto"/>
              </w:rPr>
            </w:pPr>
          </w:p>
        </w:tc>
        <w:tc>
          <w:tcPr>
            <w:tcW w:w="520" w:type="dxa"/>
            <w:vAlign w:val="bottom"/>
          </w:tcPr>
          <w:p>
            <w:pPr>
              <w:jc w:val="right"/>
              <w:ind w:right="152"/>
              <w:spacing w:after="0" w:line="149" w:lineRule="exact"/>
              <w:rPr>
                <w:sz w:val="20"/>
                <w:szCs w:val="20"/>
                <w:color w:val="auto"/>
              </w:rPr>
            </w:pPr>
            <w:r>
              <w:rPr>
                <w:rFonts w:ascii="Arial" w:cs="Arial" w:eastAsia="Arial" w:hAnsi="Arial"/>
                <w:sz w:val="14"/>
                <w:szCs w:val="14"/>
                <w:color w:val="auto"/>
              </w:rPr>
              <w:t>—</w:t>
            </w:r>
          </w:p>
        </w:tc>
        <w:tc>
          <w:tcPr>
            <w:tcW w:w="280" w:type="dxa"/>
            <w:vAlign w:val="bottom"/>
          </w:tcPr>
          <w:p>
            <w:pPr>
              <w:spacing w:after="0"/>
              <w:rPr>
                <w:sz w:val="12"/>
                <w:szCs w:val="12"/>
                <w:color w:val="auto"/>
              </w:rPr>
            </w:pPr>
          </w:p>
        </w:tc>
        <w:tc>
          <w:tcPr>
            <w:tcW w:w="520" w:type="dxa"/>
            <w:vAlign w:val="bottom"/>
          </w:tcPr>
          <w:p>
            <w:pPr>
              <w:jc w:val="right"/>
              <w:ind w:right="152"/>
              <w:spacing w:after="0" w:line="149" w:lineRule="exact"/>
              <w:rPr>
                <w:sz w:val="20"/>
                <w:szCs w:val="20"/>
                <w:color w:val="auto"/>
              </w:rPr>
            </w:pPr>
            <w:r>
              <w:rPr>
                <w:rFonts w:ascii="Arial" w:cs="Arial" w:eastAsia="Arial" w:hAnsi="Arial"/>
                <w:sz w:val="14"/>
                <w:szCs w:val="14"/>
                <w:color w:val="auto"/>
              </w:rPr>
              <w:t>—</w:t>
            </w:r>
          </w:p>
        </w:tc>
        <w:tc>
          <w:tcPr>
            <w:tcW w:w="260" w:type="dxa"/>
            <w:vAlign w:val="bottom"/>
          </w:tcPr>
          <w:p>
            <w:pPr>
              <w:spacing w:after="0"/>
              <w:rPr>
                <w:sz w:val="12"/>
                <w:szCs w:val="12"/>
                <w:color w:val="auto"/>
              </w:rPr>
            </w:pPr>
          </w:p>
        </w:tc>
        <w:tc>
          <w:tcPr>
            <w:tcW w:w="740" w:type="dxa"/>
            <w:vAlign w:val="bottom"/>
          </w:tcPr>
          <w:p>
            <w:pPr>
              <w:jc w:val="right"/>
              <w:ind w:right="152"/>
              <w:spacing w:after="0" w:line="149" w:lineRule="exact"/>
              <w:rPr>
                <w:sz w:val="20"/>
                <w:szCs w:val="20"/>
                <w:color w:val="auto"/>
              </w:rPr>
            </w:pPr>
            <w:r>
              <w:rPr>
                <w:rFonts w:ascii="Arial" w:cs="Arial" w:eastAsia="Arial" w:hAnsi="Arial"/>
                <w:sz w:val="14"/>
                <w:szCs w:val="14"/>
                <w:color w:val="auto"/>
              </w:rPr>
              <w:t>—</w:t>
            </w:r>
          </w:p>
        </w:tc>
        <w:tc>
          <w:tcPr>
            <w:tcW w:w="380" w:type="dxa"/>
            <w:vAlign w:val="bottom"/>
          </w:tcPr>
          <w:p>
            <w:pPr>
              <w:spacing w:after="0"/>
              <w:rPr>
                <w:sz w:val="12"/>
                <w:szCs w:val="12"/>
                <w:color w:val="auto"/>
              </w:rPr>
            </w:pPr>
          </w:p>
        </w:tc>
        <w:tc>
          <w:tcPr>
            <w:tcW w:w="560" w:type="dxa"/>
            <w:vAlign w:val="bottom"/>
          </w:tcPr>
          <w:p>
            <w:pPr>
              <w:jc w:val="right"/>
              <w:ind w:right="152"/>
              <w:spacing w:after="0" w:line="149" w:lineRule="exact"/>
              <w:rPr>
                <w:sz w:val="20"/>
                <w:szCs w:val="20"/>
                <w:color w:val="auto"/>
              </w:rPr>
            </w:pPr>
            <w:r>
              <w:rPr>
                <w:rFonts w:ascii="Arial" w:cs="Arial" w:eastAsia="Arial" w:hAnsi="Arial"/>
                <w:sz w:val="14"/>
                <w:szCs w:val="14"/>
                <w:color w:val="auto"/>
              </w:rPr>
              <w:t>—</w:t>
            </w:r>
          </w:p>
        </w:tc>
        <w:tc>
          <w:tcPr>
            <w:tcW w:w="280" w:type="dxa"/>
            <w:vAlign w:val="bottom"/>
          </w:tcPr>
          <w:p>
            <w:pPr>
              <w:spacing w:after="0"/>
              <w:rPr>
                <w:sz w:val="12"/>
                <w:szCs w:val="12"/>
                <w:color w:val="auto"/>
              </w:rPr>
            </w:pPr>
          </w:p>
        </w:tc>
        <w:tc>
          <w:tcPr>
            <w:tcW w:w="860" w:type="dxa"/>
            <w:vAlign w:val="bottom"/>
          </w:tcPr>
          <w:p>
            <w:pPr>
              <w:jc w:val="right"/>
              <w:ind w:right="152"/>
              <w:spacing w:after="0" w:line="149" w:lineRule="exact"/>
              <w:rPr>
                <w:sz w:val="20"/>
                <w:szCs w:val="20"/>
                <w:color w:val="auto"/>
              </w:rPr>
            </w:pPr>
            <w:r>
              <w:rPr>
                <w:rFonts w:ascii="Arial" w:cs="Arial" w:eastAsia="Arial" w:hAnsi="Arial"/>
                <w:sz w:val="14"/>
                <w:szCs w:val="14"/>
                <w:color w:val="auto"/>
              </w:rPr>
              <w:t>—</w:t>
            </w:r>
          </w:p>
        </w:tc>
        <w:tc>
          <w:tcPr>
            <w:tcW w:w="240" w:type="dxa"/>
            <w:vAlign w:val="bottom"/>
          </w:tcPr>
          <w:p>
            <w:pPr>
              <w:spacing w:after="0"/>
              <w:rPr>
                <w:sz w:val="12"/>
                <w:szCs w:val="12"/>
                <w:color w:val="auto"/>
              </w:rPr>
            </w:pPr>
          </w:p>
        </w:tc>
        <w:tc>
          <w:tcPr>
            <w:tcW w:w="960" w:type="dxa"/>
            <w:vAlign w:val="bottom"/>
          </w:tcPr>
          <w:p>
            <w:pPr>
              <w:jc w:val="right"/>
              <w:ind w:right="152"/>
              <w:spacing w:after="0" w:line="149" w:lineRule="exact"/>
              <w:rPr>
                <w:sz w:val="20"/>
                <w:szCs w:val="20"/>
                <w:color w:val="auto"/>
              </w:rPr>
            </w:pPr>
            <w:r>
              <w:rPr>
                <w:rFonts w:ascii="Arial" w:cs="Arial" w:eastAsia="Arial" w:hAnsi="Arial"/>
                <w:sz w:val="14"/>
                <w:szCs w:val="14"/>
                <w:color w:val="auto"/>
              </w:rPr>
              <w:t>—</w:t>
            </w:r>
          </w:p>
        </w:tc>
        <w:tc>
          <w:tcPr>
            <w:tcW w:w="300" w:type="dxa"/>
            <w:vAlign w:val="bottom"/>
          </w:tcPr>
          <w:p>
            <w:pPr>
              <w:spacing w:after="0"/>
              <w:rPr>
                <w:sz w:val="12"/>
                <w:szCs w:val="12"/>
                <w:color w:val="auto"/>
              </w:rPr>
            </w:pPr>
          </w:p>
        </w:tc>
        <w:tc>
          <w:tcPr>
            <w:tcW w:w="840" w:type="dxa"/>
            <w:vAlign w:val="bottom"/>
          </w:tcPr>
          <w:p>
            <w:pPr>
              <w:jc w:val="right"/>
              <w:spacing w:after="0" w:line="149" w:lineRule="exact"/>
              <w:rPr>
                <w:sz w:val="20"/>
                <w:szCs w:val="20"/>
                <w:color w:val="auto"/>
              </w:rPr>
            </w:pPr>
            <w:r>
              <w:rPr>
                <w:rFonts w:ascii="Arial" w:cs="Arial" w:eastAsia="Arial" w:hAnsi="Arial"/>
                <w:sz w:val="14"/>
                <w:szCs w:val="14"/>
                <w:b w:val="1"/>
                <w:bCs w:val="1"/>
                <w:color w:val="auto"/>
              </w:rPr>
              <w:t>(2,347)</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400" w:type="dxa"/>
            <w:vAlign w:val="bottom"/>
          </w:tcPr>
          <w:p>
            <w:pPr>
              <w:ind w:left="200"/>
              <w:spacing w:after="0" w:line="149" w:lineRule="exact"/>
              <w:rPr>
                <w:sz w:val="20"/>
                <w:szCs w:val="20"/>
                <w:color w:val="auto"/>
              </w:rPr>
            </w:pPr>
            <w:r>
              <w:rPr>
                <w:rFonts w:ascii="Arial" w:cs="Arial" w:eastAsia="Arial" w:hAnsi="Arial"/>
                <w:sz w:val="14"/>
                <w:szCs w:val="14"/>
                <w:color w:val="auto"/>
              </w:rPr>
              <w:t>Issuances of common stock</w:t>
            </w:r>
          </w:p>
        </w:tc>
        <w:tc>
          <w:tcPr>
            <w:tcW w:w="320" w:type="dxa"/>
            <w:vAlign w:val="bottom"/>
          </w:tcPr>
          <w:p>
            <w:pPr>
              <w:spacing w:after="0"/>
              <w:rPr>
                <w:sz w:val="12"/>
                <w:szCs w:val="12"/>
                <w:color w:val="auto"/>
              </w:rPr>
            </w:pPr>
          </w:p>
        </w:tc>
        <w:tc>
          <w:tcPr>
            <w:tcW w:w="660" w:type="dxa"/>
            <w:vAlign w:val="bottom"/>
          </w:tcPr>
          <w:p>
            <w:pPr>
              <w:jc w:val="right"/>
              <w:ind w:right="152"/>
              <w:spacing w:after="0" w:line="149" w:lineRule="exact"/>
              <w:rPr>
                <w:sz w:val="20"/>
                <w:szCs w:val="20"/>
                <w:color w:val="auto"/>
              </w:rPr>
            </w:pPr>
            <w:r>
              <w:rPr>
                <w:rFonts w:ascii="Arial" w:cs="Arial" w:eastAsia="Arial" w:hAnsi="Arial"/>
                <w:sz w:val="14"/>
                <w:szCs w:val="14"/>
                <w:color w:val="auto"/>
              </w:rPr>
              <w:t>410</w:t>
            </w:r>
          </w:p>
        </w:tc>
        <w:tc>
          <w:tcPr>
            <w:tcW w:w="280" w:type="dxa"/>
            <w:vAlign w:val="bottom"/>
          </w:tcPr>
          <w:p>
            <w:pPr>
              <w:spacing w:after="0"/>
              <w:rPr>
                <w:sz w:val="12"/>
                <w:szCs w:val="12"/>
                <w:color w:val="auto"/>
              </w:rPr>
            </w:pPr>
          </w:p>
        </w:tc>
        <w:tc>
          <w:tcPr>
            <w:tcW w:w="520" w:type="dxa"/>
            <w:vAlign w:val="bottom"/>
          </w:tcPr>
          <w:p>
            <w:pPr>
              <w:jc w:val="right"/>
              <w:ind w:right="152"/>
              <w:spacing w:after="0" w:line="149" w:lineRule="exact"/>
              <w:rPr>
                <w:sz w:val="20"/>
                <w:szCs w:val="20"/>
                <w:color w:val="auto"/>
              </w:rPr>
            </w:pPr>
            <w:r>
              <w:rPr>
                <w:rFonts w:ascii="Arial" w:cs="Arial" w:eastAsia="Arial" w:hAnsi="Arial"/>
                <w:sz w:val="14"/>
                <w:szCs w:val="14"/>
                <w:color w:val="auto"/>
              </w:rPr>
              <w:t>—</w:t>
            </w:r>
          </w:p>
        </w:tc>
        <w:tc>
          <w:tcPr>
            <w:tcW w:w="280" w:type="dxa"/>
            <w:vAlign w:val="bottom"/>
          </w:tcPr>
          <w:p>
            <w:pPr>
              <w:spacing w:after="0"/>
              <w:rPr>
                <w:sz w:val="12"/>
                <w:szCs w:val="12"/>
                <w:color w:val="auto"/>
              </w:rPr>
            </w:pPr>
          </w:p>
        </w:tc>
        <w:tc>
          <w:tcPr>
            <w:tcW w:w="520" w:type="dxa"/>
            <w:vAlign w:val="bottom"/>
          </w:tcPr>
          <w:p>
            <w:pPr>
              <w:jc w:val="right"/>
              <w:ind w:right="152"/>
              <w:spacing w:after="0" w:line="149" w:lineRule="exact"/>
              <w:rPr>
                <w:sz w:val="20"/>
                <w:szCs w:val="20"/>
                <w:color w:val="auto"/>
              </w:rPr>
            </w:pPr>
            <w:r>
              <w:rPr>
                <w:rFonts w:ascii="Arial" w:cs="Arial" w:eastAsia="Arial" w:hAnsi="Arial"/>
                <w:sz w:val="14"/>
                <w:szCs w:val="14"/>
                <w:color w:val="auto"/>
              </w:rPr>
              <w:t>—</w:t>
            </w:r>
          </w:p>
        </w:tc>
        <w:tc>
          <w:tcPr>
            <w:tcW w:w="260" w:type="dxa"/>
            <w:vAlign w:val="bottom"/>
          </w:tcPr>
          <w:p>
            <w:pPr>
              <w:spacing w:after="0"/>
              <w:rPr>
                <w:sz w:val="12"/>
                <w:szCs w:val="12"/>
                <w:color w:val="auto"/>
              </w:rPr>
            </w:pPr>
          </w:p>
        </w:tc>
        <w:tc>
          <w:tcPr>
            <w:tcW w:w="740" w:type="dxa"/>
            <w:vAlign w:val="bottom"/>
          </w:tcPr>
          <w:p>
            <w:pPr>
              <w:jc w:val="right"/>
              <w:ind w:right="152"/>
              <w:spacing w:after="0" w:line="149" w:lineRule="exact"/>
              <w:rPr>
                <w:sz w:val="20"/>
                <w:szCs w:val="20"/>
                <w:color w:val="auto"/>
              </w:rPr>
            </w:pPr>
            <w:r>
              <w:rPr>
                <w:rFonts w:ascii="Arial" w:cs="Arial" w:eastAsia="Arial" w:hAnsi="Arial"/>
                <w:sz w:val="14"/>
                <w:szCs w:val="14"/>
                <w:color w:val="auto"/>
              </w:rPr>
              <w:t>—</w:t>
            </w:r>
          </w:p>
        </w:tc>
        <w:tc>
          <w:tcPr>
            <w:tcW w:w="380" w:type="dxa"/>
            <w:vAlign w:val="bottom"/>
          </w:tcPr>
          <w:p>
            <w:pPr>
              <w:spacing w:after="0"/>
              <w:rPr>
                <w:sz w:val="12"/>
                <w:szCs w:val="12"/>
                <w:color w:val="auto"/>
              </w:rPr>
            </w:pPr>
          </w:p>
        </w:tc>
        <w:tc>
          <w:tcPr>
            <w:tcW w:w="560" w:type="dxa"/>
            <w:vAlign w:val="bottom"/>
          </w:tcPr>
          <w:p>
            <w:pPr>
              <w:jc w:val="right"/>
              <w:ind w:right="152"/>
              <w:spacing w:after="0" w:line="149" w:lineRule="exact"/>
              <w:rPr>
                <w:sz w:val="20"/>
                <w:szCs w:val="20"/>
                <w:color w:val="auto"/>
              </w:rPr>
            </w:pPr>
            <w:r>
              <w:rPr>
                <w:rFonts w:ascii="Arial" w:cs="Arial" w:eastAsia="Arial" w:hAnsi="Arial"/>
                <w:sz w:val="14"/>
                <w:szCs w:val="14"/>
                <w:color w:val="auto"/>
              </w:rPr>
              <w:t>—</w:t>
            </w:r>
          </w:p>
        </w:tc>
        <w:tc>
          <w:tcPr>
            <w:tcW w:w="280" w:type="dxa"/>
            <w:vAlign w:val="bottom"/>
          </w:tcPr>
          <w:p>
            <w:pPr>
              <w:spacing w:after="0"/>
              <w:rPr>
                <w:sz w:val="12"/>
                <w:szCs w:val="12"/>
                <w:color w:val="auto"/>
              </w:rPr>
            </w:pPr>
          </w:p>
        </w:tc>
        <w:tc>
          <w:tcPr>
            <w:tcW w:w="860" w:type="dxa"/>
            <w:vAlign w:val="bottom"/>
          </w:tcPr>
          <w:p>
            <w:pPr>
              <w:jc w:val="right"/>
              <w:ind w:right="152"/>
              <w:spacing w:after="0" w:line="149" w:lineRule="exact"/>
              <w:rPr>
                <w:sz w:val="20"/>
                <w:szCs w:val="20"/>
                <w:color w:val="auto"/>
              </w:rPr>
            </w:pPr>
            <w:r>
              <w:rPr>
                <w:rFonts w:ascii="Arial" w:cs="Arial" w:eastAsia="Arial" w:hAnsi="Arial"/>
                <w:sz w:val="14"/>
                <w:szCs w:val="14"/>
                <w:color w:val="auto"/>
              </w:rPr>
              <w:t>—</w:t>
            </w:r>
          </w:p>
        </w:tc>
        <w:tc>
          <w:tcPr>
            <w:tcW w:w="240" w:type="dxa"/>
            <w:vAlign w:val="bottom"/>
          </w:tcPr>
          <w:p>
            <w:pPr>
              <w:spacing w:after="0"/>
              <w:rPr>
                <w:sz w:val="12"/>
                <w:szCs w:val="12"/>
                <w:color w:val="auto"/>
              </w:rPr>
            </w:pPr>
          </w:p>
        </w:tc>
        <w:tc>
          <w:tcPr>
            <w:tcW w:w="960" w:type="dxa"/>
            <w:vAlign w:val="bottom"/>
          </w:tcPr>
          <w:p>
            <w:pPr>
              <w:jc w:val="right"/>
              <w:ind w:right="152"/>
              <w:spacing w:after="0" w:line="149" w:lineRule="exact"/>
              <w:rPr>
                <w:sz w:val="20"/>
                <w:szCs w:val="20"/>
                <w:color w:val="auto"/>
              </w:rPr>
            </w:pPr>
            <w:r>
              <w:rPr>
                <w:rFonts w:ascii="Arial" w:cs="Arial" w:eastAsia="Arial" w:hAnsi="Arial"/>
                <w:sz w:val="14"/>
                <w:szCs w:val="14"/>
                <w:color w:val="auto"/>
              </w:rPr>
              <w:t>—</w:t>
            </w:r>
          </w:p>
        </w:tc>
        <w:tc>
          <w:tcPr>
            <w:tcW w:w="300" w:type="dxa"/>
            <w:vAlign w:val="bottom"/>
          </w:tcPr>
          <w:p>
            <w:pPr>
              <w:spacing w:after="0"/>
              <w:rPr>
                <w:sz w:val="12"/>
                <w:szCs w:val="12"/>
                <w:color w:val="auto"/>
              </w:rPr>
            </w:pPr>
          </w:p>
        </w:tc>
        <w:tc>
          <w:tcPr>
            <w:tcW w:w="840" w:type="dxa"/>
            <w:vAlign w:val="bottom"/>
          </w:tcPr>
          <w:p>
            <w:pPr>
              <w:jc w:val="right"/>
              <w:spacing w:after="0" w:line="149" w:lineRule="exact"/>
              <w:rPr>
                <w:sz w:val="20"/>
                <w:szCs w:val="20"/>
                <w:color w:val="auto"/>
              </w:rPr>
            </w:pPr>
            <w:r>
              <w:rPr>
                <w:rFonts w:ascii="Arial" w:cs="Arial" w:eastAsia="Arial" w:hAnsi="Arial"/>
                <w:sz w:val="14"/>
                <w:szCs w:val="14"/>
                <w:b w:val="1"/>
                <w:bCs w:val="1"/>
                <w:color w:val="auto"/>
              </w:rPr>
              <w:t>410</w:t>
            </w:r>
          </w:p>
        </w:tc>
        <w:tc>
          <w:tcPr>
            <w:tcW w:w="0" w:type="dxa"/>
            <w:vAlign w:val="bottom"/>
          </w:tcPr>
          <w:p>
            <w:pPr>
              <w:spacing w:after="0"/>
              <w:rPr>
                <w:sz w:val="1"/>
                <w:szCs w:val="1"/>
                <w:color w:val="auto"/>
              </w:rPr>
            </w:pPr>
          </w:p>
        </w:tc>
      </w:tr>
      <w:tr>
        <w:trPr>
          <w:trHeight w:val="165"/>
        </w:trPr>
        <w:tc>
          <w:tcPr>
            <w:tcW w:w="20" w:type="dxa"/>
            <w:vAlign w:val="bottom"/>
          </w:tcPr>
          <w:p>
            <w:pPr>
              <w:spacing w:after="0"/>
              <w:rPr>
                <w:sz w:val="14"/>
                <w:szCs w:val="14"/>
                <w:color w:val="auto"/>
              </w:rPr>
            </w:pPr>
          </w:p>
        </w:tc>
        <w:tc>
          <w:tcPr>
            <w:tcW w:w="3400" w:type="dxa"/>
            <w:vAlign w:val="bottom"/>
            <w:tcBorders>
              <w:bottom w:val="single" w:sz="8" w:color="auto"/>
            </w:tcBorders>
          </w:tcPr>
          <w:p>
            <w:pPr>
              <w:ind w:left="200"/>
              <w:spacing w:after="0"/>
              <w:rPr>
                <w:sz w:val="20"/>
                <w:szCs w:val="20"/>
                <w:color w:val="auto"/>
              </w:rPr>
            </w:pPr>
            <w:r>
              <w:rPr>
                <w:rFonts w:ascii="Arial" w:cs="Arial" w:eastAsia="Arial" w:hAnsi="Arial"/>
                <w:sz w:val="14"/>
                <w:szCs w:val="14"/>
                <w:color w:val="auto"/>
              </w:rPr>
              <w:t>Other</w:t>
            </w:r>
          </w:p>
        </w:tc>
        <w:tc>
          <w:tcPr>
            <w:tcW w:w="320" w:type="dxa"/>
            <w:vAlign w:val="bottom"/>
            <w:tcBorders>
              <w:bottom w:val="single" w:sz="8" w:color="auto"/>
            </w:tcBorders>
          </w:tcPr>
          <w:p>
            <w:pPr>
              <w:spacing w:after="0"/>
              <w:rPr>
                <w:sz w:val="14"/>
                <w:szCs w:val="14"/>
                <w:color w:val="auto"/>
              </w:rPr>
            </w:pPr>
          </w:p>
        </w:tc>
        <w:tc>
          <w:tcPr>
            <w:tcW w:w="660" w:type="dxa"/>
            <w:vAlign w:val="bottom"/>
            <w:tcBorders>
              <w:bottom w:val="single" w:sz="8" w:color="auto"/>
            </w:tcBorders>
          </w:tcPr>
          <w:p>
            <w:pPr>
              <w:jc w:val="right"/>
              <w:ind w:right="152"/>
              <w:spacing w:after="0"/>
              <w:rPr>
                <w:sz w:val="20"/>
                <w:szCs w:val="20"/>
                <w:color w:val="auto"/>
              </w:rPr>
            </w:pPr>
            <w:r>
              <w:rPr>
                <w:rFonts w:ascii="Arial" w:cs="Arial" w:eastAsia="Arial" w:hAnsi="Arial"/>
                <w:sz w:val="14"/>
                <w:szCs w:val="14"/>
                <w:color w:val="auto"/>
              </w:rPr>
              <w:t>33</w:t>
            </w:r>
          </w:p>
        </w:tc>
        <w:tc>
          <w:tcPr>
            <w:tcW w:w="280" w:type="dxa"/>
            <w:vAlign w:val="bottom"/>
            <w:tcBorders>
              <w:bottom w:val="single" w:sz="8" w:color="auto"/>
            </w:tcBorders>
          </w:tcPr>
          <w:p>
            <w:pPr>
              <w:spacing w:after="0"/>
              <w:rPr>
                <w:sz w:val="14"/>
                <w:szCs w:val="14"/>
                <w:color w:val="auto"/>
              </w:rPr>
            </w:pPr>
          </w:p>
        </w:tc>
        <w:tc>
          <w:tcPr>
            <w:tcW w:w="520" w:type="dxa"/>
            <w:vAlign w:val="bottom"/>
            <w:tcBorders>
              <w:bottom w:val="single" w:sz="8" w:color="auto"/>
            </w:tcBorders>
          </w:tcPr>
          <w:p>
            <w:pPr>
              <w:jc w:val="right"/>
              <w:ind w:right="152"/>
              <w:spacing w:after="0"/>
              <w:rPr>
                <w:sz w:val="20"/>
                <w:szCs w:val="20"/>
                <w:color w:val="auto"/>
              </w:rPr>
            </w:pPr>
            <w:r>
              <w:rPr>
                <w:rFonts w:ascii="Arial" w:cs="Arial" w:eastAsia="Arial" w:hAnsi="Arial"/>
                <w:sz w:val="14"/>
                <w:szCs w:val="14"/>
                <w:color w:val="auto"/>
              </w:rPr>
              <w:t>—</w:t>
            </w:r>
          </w:p>
        </w:tc>
        <w:tc>
          <w:tcPr>
            <w:tcW w:w="280" w:type="dxa"/>
            <w:vAlign w:val="bottom"/>
            <w:tcBorders>
              <w:bottom w:val="single" w:sz="8" w:color="auto"/>
            </w:tcBorders>
          </w:tcPr>
          <w:p>
            <w:pPr>
              <w:spacing w:after="0"/>
              <w:rPr>
                <w:sz w:val="14"/>
                <w:szCs w:val="14"/>
                <w:color w:val="auto"/>
              </w:rPr>
            </w:pPr>
          </w:p>
        </w:tc>
        <w:tc>
          <w:tcPr>
            <w:tcW w:w="520" w:type="dxa"/>
            <w:vAlign w:val="bottom"/>
            <w:tcBorders>
              <w:bottom w:val="single" w:sz="8" w:color="auto"/>
            </w:tcBorders>
          </w:tcPr>
          <w:p>
            <w:pPr>
              <w:jc w:val="right"/>
              <w:ind w:right="152"/>
              <w:spacing w:after="0"/>
              <w:rPr>
                <w:sz w:val="20"/>
                <w:szCs w:val="20"/>
                <w:color w:val="auto"/>
              </w:rPr>
            </w:pPr>
            <w:r>
              <w:rPr>
                <w:rFonts w:ascii="Arial" w:cs="Arial" w:eastAsia="Arial" w:hAnsi="Arial"/>
                <w:sz w:val="14"/>
                <w:szCs w:val="14"/>
                <w:color w:val="auto"/>
              </w:rPr>
              <w:t>—</w:t>
            </w:r>
          </w:p>
        </w:tc>
        <w:tc>
          <w:tcPr>
            <w:tcW w:w="260" w:type="dxa"/>
            <w:vAlign w:val="bottom"/>
            <w:tcBorders>
              <w:bottom w:val="single" w:sz="8" w:color="auto"/>
            </w:tcBorders>
          </w:tcPr>
          <w:p>
            <w:pPr>
              <w:spacing w:after="0"/>
              <w:rPr>
                <w:sz w:val="14"/>
                <w:szCs w:val="14"/>
                <w:color w:val="auto"/>
              </w:rPr>
            </w:pPr>
          </w:p>
        </w:tc>
        <w:tc>
          <w:tcPr>
            <w:tcW w:w="740" w:type="dxa"/>
            <w:vAlign w:val="bottom"/>
            <w:tcBorders>
              <w:bottom w:val="single" w:sz="8" w:color="auto"/>
            </w:tcBorders>
          </w:tcPr>
          <w:p>
            <w:pPr>
              <w:jc w:val="right"/>
              <w:ind w:right="152"/>
              <w:spacing w:after="0"/>
              <w:rPr>
                <w:sz w:val="20"/>
                <w:szCs w:val="20"/>
                <w:color w:val="auto"/>
              </w:rPr>
            </w:pPr>
            <w:r>
              <w:rPr>
                <w:rFonts w:ascii="Arial" w:cs="Arial" w:eastAsia="Arial" w:hAnsi="Arial"/>
                <w:sz w:val="14"/>
                <w:szCs w:val="14"/>
                <w:color w:val="auto"/>
              </w:rPr>
              <w:t>—</w:t>
            </w:r>
          </w:p>
        </w:tc>
        <w:tc>
          <w:tcPr>
            <w:tcW w:w="380" w:type="dxa"/>
            <w:vAlign w:val="bottom"/>
            <w:tcBorders>
              <w:bottom w:val="single" w:sz="8" w:color="auto"/>
            </w:tcBorders>
          </w:tcPr>
          <w:p>
            <w:pPr>
              <w:spacing w:after="0"/>
              <w:rPr>
                <w:sz w:val="14"/>
                <w:szCs w:val="14"/>
                <w:color w:val="auto"/>
              </w:rPr>
            </w:pPr>
          </w:p>
        </w:tc>
        <w:tc>
          <w:tcPr>
            <w:tcW w:w="560" w:type="dxa"/>
            <w:vAlign w:val="bottom"/>
            <w:tcBorders>
              <w:bottom w:val="single" w:sz="8" w:color="auto"/>
            </w:tcBorders>
          </w:tcPr>
          <w:p>
            <w:pPr>
              <w:jc w:val="right"/>
              <w:ind w:right="152"/>
              <w:spacing w:after="0"/>
              <w:rPr>
                <w:sz w:val="20"/>
                <w:szCs w:val="20"/>
                <w:color w:val="auto"/>
              </w:rPr>
            </w:pPr>
            <w:r>
              <w:rPr>
                <w:rFonts w:ascii="Arial" w:cs="Arial" w:eastAsia="Arial" w:hAnsi="Arial"/>
                <w:sz w:val="14"/>
                <w:szCs w:val="14"/>
                <w:color w:val="auto"/>
              </w:rPr>
              <w:t>—</w:t>
            </w:r>
          </w:p>
        </w:tc>
        <w:tc>
          <w:tcPr>
            <w:tcW w:w="280" w:type="dxa"/>
            <w:vAlign w:val="bottom"/>
            <w:tcBorders>
              <w:bottom w:val="single" w:sz="8" w:color="auto"/>
            </w:tcBorders>
          </w:tcPr>
          <w:p>
            <w:pPr>
              <w:spacing w:after="0"/>
              <w:rPr>
                <w:sz w:val="14"/>
                <w:szCs w:val="14"/>
                <w:color w:val="auto"/>
              </w:rPr>
            </w:pPr>
          </w:p>
        </w:tc>
        <w:tc>
          <w:tcPr>
            <w:tcW w:w="860" w:type="dxa"/>
            <w:vAlign w:val="bottom"/>
            <w:tcBorders>
              <w:bottom w:val="single" w:sz="8" w:color="auto"/>
            </w:tcBorders>
          </w:tcPr>
          <w:p>
            <w:pPr>
              <w:jc w:val="right"/>
              <w:ind w:right="112"/>
              <w:spacing w:after="0"/>
              <w:rPr>
                <w:sz w:val="20"/>
                <w:szCs w:val="20"/>
                <w:color w:val="auto"/>
              </w:rPr>
            </w:pPr>
            <w:r>
              <w:rPr>
                <w:rFonts w:ascii="Arial" w:cs="Arial" w:eastAsia="Arial" w:hAnsi="Arial"/>
                <w:sz w:val="14"/>
                <w:szCs w:val="14"/>
                <w:color w:val="auto"/>
              </w:rPr>
              <w:t>(8)</w:t>
            </w:r>
          </w:p>
        </w:tc>
        <w:tc>
          <w:tcPr>
            <w:tcW w:w="240" w:type="dxa"/>
            <w:vAlign w:val="bottom"/>
            <w:tcBorders>
              <w:bottom w:val="single" w:sz="8" w:color="auto"/>
            </w:tcBorders>
          </w:tcPr>
          <w:p>
            <w:pPr>
              <w:spacing w:after="0"/>
              <w:rPr>
                <w:sz w:val="14"/>
                <w:szCs w:val="14"/>
                <w:color w:val="auto"/>
              </w:rPr>
            </w:pPr>
          </w:p>
        </w:tc>
        <w:tc>
          <w:tcPr>
            <w:tcW w:w="960" w:type="dxa"/>
            <w:vAlign w:val="bottom"/>
            <w:tcBorders>
              <w:bottom w:val="single" w:sz="8" w:color="auto"/>
            </w:tcBorders>
          </w:tcPr>
          <w:p>
            <w:pPr>
              <w:jc w:val="right"/>
              <w:ind w:right="152"/>
              <w:spacing w:after="0"/>
              <w:rPr>
                <w:sz w:val="20"/>
                <w:szCs w:val="20"/>
                <w:color w:val="auto"/>
              </w:rPr>
            </w:pPr>
            <w:r>
              <w:rPr>
                <w:rFonts w:ascii="Arial" w:cs="Arial" w:eastAsia="Arial" w:hAnsi="Arial"/>
                <w:sz w:val="14"/>
                <w:szCs w:val="14"/>
                <w:color w:val="auto"/>
              </w:rPr>
              <w:t>—</w:t>
            </w:r>
          </w:p>
        </w:tc>
        <w:tc>
          <w:tcPr>
            <w:tcW w:w="300" w:type="dxa"/>
            <w:vAlign w:val="bottom"/>
            <w:tcBorders>
              <w:bottom w:val="single" w:sz="8" w:color="auto"/>
            </w:tcBorders>
          </w:tcPr>
          <w:p>
            <w:pPr>
              <w:spacing w:after="0"/>
              <w:rPr>
                <w:sz w:val="14"/>
                <w:szCs w:val="14"/>
                <w:color w:val="auto"/>
              </w:rPr>
            </w:pPr>
          </w:p>
        </w:tc>
        <w:tc>
          <w:tcPr>
            <w:tcW w:w="84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25</w:t>
            </w: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3400" w:type="dxa"/>
            <w:vAlign w:val="bottom"/>
            <w:tcBorders>
              <w:bottom w:val="single" w:sz="8" w:color="auto"/>
            </w:tcBorders>
          </w:tcPr>
          <w:p>
            <w:pPr>
              <w:ind w:left="200"/>
              <w:spacing w:after="0" w:line="142" w:lineRule="exact"/>
              <w:rPr>
                <w:sz w:val="20"/>
                <w:szCs w:val="20"/>
                <w:color w:val="auto"/>
              </w:rPr>
            </w:pPr>
            <w:r>
              <w:rPr>
                <w:rFonts w:ascii="Arial" w:cs="Arial" w:eastAsia="Arial" w:hAnsi="Arial"/>
                <w:sz w:val="14"/>
                <w:szCs w:val="14"/>
                <w:color w:val="auto"/>
              </w:rPr>
              <w:t>Net cash provided by (used in) financing activities</w:t>
            </w:r>
          </w:p>
        </w:tc>
        <w:tc>
          <w:tcPr>
            <w:tcW w:w="320" w:type="dxa"/>
            <w:vAlign w:val="bottom"/>
            <w:tcBorders>
              <w:bottom w:val="single" w:sz="8" w:color="auto"/>
            </w:tcBorders>
          </w:tcPr>
          <w:p>
            <w:pPr>
              <w:spacing w:after="0"/>
              <w:rPr>
                <w:sz w:val="12"/>
                <w:szCs w:val="12"/>
                <w:color w:val="auto"/>
              </w:rPr>
            </w:pPr>
          </w:p>
        </w:tc>
        <w:tc>
          <w:tcPr>
            <w:tcW w:w="660" w:type="dxa"/>
            <w:vAlign w:val="bottom"/>
            <w:tcBorders>
              <w:bottom w:val="single" w:sz="8" w:color="auto"/>
            </w:tcBorders>
          </w:tcPr>
          <w:p>
            <w:pPr>
              <w:jc w:val="right"/>
              <w:ind w:right="152"/>
              <w:spacing w:after="0" w:line="142" w:lineRule="exact"/>
              <w:rPr>
                <w:sz w:val="20"/>
                <w:szCs w:val="20"/>
                <w:color w:val="auto"/>
              </w:rPr>
            </w:pPr>
            <w:r>
              <w:rPr>
                <w:rFonts w:ascii="Arial" w:cs="Arial" w:eastAsia="Arial" w:hAnsi="Arial"/>
                <w:sz w:val="14"/>
                <w:szCs w:val="14"/>
                <w:color w:val="auto"/>
              </w:rPr>
              <w:t>5,220</w:t>
            </w:r>
          </w:p>
        </w:tc>
        <w:tc>
          <w:tcPr>
            <w:tcW w:w="280" w:type="dxa"/>
            <w:vAlign w:val="bottom"/>
            <w:tcBorders>
              <w:bottom w:val="single" w:sz="8" w:color="auto"/>
            </w:tcBorders>
          </w:tcPr>
          <w:p>
            <w:pPr>
              <w:spacing w:after="0"/>
              <w:rPr>
                <w:sz w:val="12"/>
                <w:szCs w:val="12"/>
                <w:color w:val="auto"/>
              </w:rPr>
            </w:pPr>
          </w:p>
        </w:tc>
        <w:tc>
          <w:tcPr>
            <w:tcW w:w="520" w:type="dxa"/>
            <w:vAlign w:val="bottom"/>
            <w:tcBorders>
              <w:bottom w:val="single" w:sz="8" w:color="auto"/>
            </w:tcBorders>
          </w:tcPr>
          <w:p>
            <w:pPr>
              <w:jc w:val="right"/>
              <w:ind w:right="112"/>
              <w:spacing w:after="0" w:line="142" w:lineRule="exact"/>
              <w:rPr>
                <w:sz w:val="20"/>
                <w:szCs w:val="20"/>
                <w:color w:val="auto"/>
              </w:rPr>
            </w:pPr>
            <w:r>
              <w:rPr>
                <w:rFonts w:ascii="Arial" w:cs="Arial" w:eastAsia="Arial" w:hAnsi="Arial"/>
                <w:sz w:val="14"/>
                <w:szCs w:val="14"/>
                <w:color w:val="auto"/>
                <w:w w:val="97"/>
              </w:rPr>
              <w:t>(619)</w:t>
            </w:r>
          </w:p>
        </w:tc>
        <w:tc>
          <w:tcPr>
            <w:tcW w:w="280" w:type="dxa"/>
            <w:vAlign w:val="bottom"/>
            <w:tcBorders>
              <w:bottom w:val="single" w:sz="8" w:color="auto"/>
            </w:tcBorders>
          </w:tcPr>
          <w:p>
            <w:pPr>
              <w:spacing w:after="0"/>
              <w:rPr>
                <w:sz w:val="12"/>
                <w:szCs w:val="12"/>
                <w:color w:val="auto"/>
              </w:rPr>
            </w:pPr>
          </w:p>
        </w:tc>
        <w:tc>
          <w:tcPr>
            <w:tcW w:w="520" w:type="dxa"/>
            <w:vAlign w:val="bottom"/>
            <w:tcBorders>
              <w:bottom w:val="single" w:sz="8" w:color="auto"/>
            </w:tcBorders>
          </w:tcPr>
          <w:p>
            <w:pPr>
              <w:jc w:val="right"/>
              <w:ind w:right="152"/>
              <w:spacing w:after="0" w:line="142" w:lineRule="exact"/>
              <w:rPr>
                <w:sz w:val="20"/>
                <w:szCs w:val="20"/>
                <w:color w:val="auto"/>
              </w:rPr>
            </w:pPr>
            <w:r>
              <w:rPr>
                <w:rFonts w:ascii="Arial" w:cs="Arial" w:eastAsia="Arial" w:hAnsi="Arial"/>
                <w:sz w:val="14"/>
                <w:szCs w:val="14"/>
                <w:color w:val="auto"/>
              </w:rPr>
              <w:t>—</w:t>
            </w:r>
          </w:p>
        </w:tc>
        <w:tc>
          <w:tcPr>
            <w:tcW w:w="260" w:type="dxa"/>
            <w:vAlign w:val="bottom"/>
            <w:tcBorders>
              <w:bottom w:val="single" w:sz="8" w:color="auto"/>
            </w:tcBorders>
          </w:tcPr>
          <w:p>
            <w:pPr>
              <w:spacing w:after="0"/>
              <w:rPr>
                <w:sz w:val="12"/>
                <w:szCs w:val="12"/>
                <w:color w:val="auto"/>
              </w:rPr>
            </w:pPr>
          </w:p>
        </w:tc>
        <w:tc>
          <w:tcPr>
            <w:tcW w:w="740" w:type="dxa"/>
            <w:vAlign w:val="bottom"/>
            <w:tcBorders>
              <w:bottom w:val="single" w:sz="8" w:color="auto"/>
            </w:tcBorders>
          </w:tcPr>
          <w:p>
            <w:pPr>
              <w:jc w:val="right"/>
              <w:ind w:right="92"/>
              <w:spacing w:after="0" w:line="142" w:lineRule="exact"/>
              <w:rPr>
                <w:sz w:val="20"/>
                <w:szCs w:val="20"/>
                <w:color w:val="auto"/>
              </w:rPr>
            </w:pPr>
            <w:r>
              <w:rPr>
                <w:rFonts w:ascii="Arial" w:cs="Arial" w:eastAsia="Arial" w:hAnsi="Arial"/>
                <w:sz w:val="14"/>
                <w:szCs w:val="14"/>
                <w:color w:val="auto"/>
              </w:rPr>
              <w:t>(988)</w:t>
            </w:r>
          </w:p>
        </w:tc>
        <w:tc>
          <w:tcPr>
            <w:tcW w:w="380" w:type="dxa"/>
            <w:vAlign w:val="bottom"/>
            <w:tcBorders>
              <w:bottom w:val="single" w:sz="8" w:color="auto"/>
            </w:tcBorders>
          </w:tcPr>
          <w:p>
            <w:pPr>
              <w:spacing w:after="0"/>
              <w:rPr>
                <w:sz w:val="12"/>
                <w:szCs w:val="12"/>
                <w:color w:val="auto"/>
              </w:rPr>
            </w:pPr>
          </w:p>
        </w:tc>
        <w:tc>
          <w:tcPr>
            <w:tcW w:w="560" w:type="dxa"/>
            <w:vAlign w:val="bottom"/>
            <w:tcBorders>
              <w:bottom w:val="single" w:sz="8" w:color="auto"/>
            </w:tcBorders>
          </w:tcPr>
          <w:p>
            <w:pPr>
              <w:jc w:val="right"/>
              <w:ind w:right="112"/>
              <w:spacing w:after="0" w:line="142" w:lineRule="exact"/>
              <w:rPr>
                <w:sz w:val="20"/>
                <w:szCs w:val="20"/>
                <w:color w:val="auto"/>
              </w:rPr>
            </w:pPr>
            <w:r>
              <w:rPr>
                <w:rFonts w:ascii="Arial" w:cs="Arial" w:eastAsia="Arial" w:hAnsi="Arial"/>
                <w:sz w:val="14"/>
                <w:szCs w:val="14"/>
                <w:color w:val="auto"/>
              </w:rPr>
              <w:t>(27)</w:t>
            </w:r>
          </w:p>
        </w:tc>
        <w:tc>
          <w:tcPr>
            <w:tcW w:w="280" w:type="dxa"/>
            <w:vAlign w:val="bottom"/>
            <w:tcBorders>
              <w:bottom w:val="single" w:sz="8" w:color="auto"/>
            </w:tcBorders>
          </w:tcPr>
          <w:p>
            <w:pPr>
              <w:spacing w:after="0"/>
              <w:rPr>
                <w:sz w:val="12"/>
                <w:szCs w:val="12"/>
                <w:color w:val="auto"/>
              </w:rPr>
            </w:pPr>
          </w:p>
        </w:tc>
        <w:tc>
          <w:tcPr>
            <w:tcW w:w="860" w:type="dxa"/>
            <w:vAlign w:val="bottom"/>
            <w:tcBorders>
              <w:bottom w:val="single" w:sz="8" w:color="auto"/>
            </w:tcBorders>
          </w:tcPr>
          <w:p>
            <w:pPr>
              <w:jc w:val="right"/>
              <w:ind w:right="112"/>
              <w:spacing w:after="0" w:line="142" w:lineRule="exact"/>
              <w:rPr>
                <w:sz w:val="20"/>
                <w:szCs w:val="20"/>
                <w:color w:val="auto"/>
              </w:rPr>
            </w:pPr>
            <w:r>
              <w:rPr>
                <w:rFonts w:ascii="Arial" w:cs="Arial" w:eastAsia="Arial" w:hAnsi="Arial"/>
                <w:sz w:val="14"/>
                <w:szCs w:val="14"/>
                <w:color w:val="auto"/>
              </w:rPr>
              <w:t>(40)</w:t>
            </w:r>
          </w:p>
        </w:tc>
        <w:tc>
          <w:tcPr>
            <w:tcW w:w="240" w:type="dxa"/>
            <w:vAlign w:val="bottom"/>
            <w:tcBorders>
              <w:bottom w:val="single" w:sz="8" w:color="auto"/>
            </w:tcBorders>
          </w:tcPr>
          <w:p>
            <w:pPr>
              <w:spacing w:after="0"/>
              <w:rPr>
                <w:sz w:val="12"/>
                <w:szCs w:val="12"/>
                <w:color w:val="auto"/>
              </w:rPr>
            </w:pPr>
          </w:p>
        </w:tc>
        <w:tc>
          <w:tcPr>
            <w:tcW w:w="960" w:type="dxa"/>
            <w:vAlign w:val="bottom"/>
            <w:tcBorders>
              <w:bottom w:val="single" w:sz="8" w:color="auto"/>
            </w:tcBorders>
          </w:tcPr>
          <w:p>
            <w:pPr>
              <w:jc w:val="right"/>
              <w:ind w:right="152"/>
              <w:spacing w:after="0" w:line="142" w:lineRule="exact"/>
              <w:rPr>
                <w:sz w:val="20"/>
                <w:szCs w:val="20"/>
                <w:color w:val="auto"/>
              </w:rPr>
            </w:pPr>
            <w:r>
              <w:rPr>
                <w:rFonts w:ascii="Arial" w:cs="Arial" w:eastAsia="Arial" w:hAnsi="Arial"/>
                <w:sz w:val="14"/>
                <w:szCs w:val="14"/>
                <w:color w:val="auto"/>
              </w:rPr>
              <w:t>—</w:t>
            </w:r>
          </w:p>
        </w:tc>
        <w:tc>
          <w:tcPr>
            <w:tcW w:w="300" w:type="dxa"/>
            <w:vAlign w:val="bottom"/>
            <w:tcBorders>
              <w:bottom w:val="single" w:sz="8" w:color="auto"/>
            </w:tcBorders>
          </w:tcPr>
          <w:p>
            <w:pPr>
              <w:spacing w:after="0"/>
              <w:rPr>
                <w:sz w:val="12"/>
                <w:szCs w:val="12"/>
                <w:color w:val="auto"/>
              </w:rPr>
            </w:pPr>
          </w:p>
        </w:tc>
        <w:tc>
          <w:tcPr>
            <w:tcW w:w="840" w:type="dxa"/>
            <w:vAlign w:val="bottom"/>
            <w:tcBorders>
              <w:bottom w:val="single" w:sz="8" w:color="auto"/>
            </w:tcBorders>
          </w:tcPr>
          <w:p>
            <w:pPr>
              <w:jc w:val="right"/>
              <w:spacing w:after="0" w:line="142" w:lineRule="exact"/>
              <w:rPr>
                <w:sz w:val="20"/>
                <w:szCs w:val="20"/>
                <w:color w:val="auto"/>
              </w:rPr>
            </w:pPr>
            <w:r>
              <w:rPr>
                <w:rFonts w:ascii="Arial" w:cs="Arial" w:eastAsia="Arial" w:hAnsi="Arial"/>
                <w:sz w:val="14"/>
                <w:szCs w:val="14"/>
                <w:b w:val="1"/>
                <w:bCs w:val="1"/>
                <w:color w:val="auto"/>
              </w:rPr>
              <w:t>3,546</w:t>
            </w:r>
          </w:p>
        </w:tc>
        <w:tc>
          <w:tcPr>
            <w:tcW w:w="0" w:type="dxa"/>
            <w:vAlign w:val="bottom"/>
          </w:tcPr>
          <w:p>
            <w:pPr>
              <w:spacing w:after="0"/>
              <w:rPr>
                <w:sz w:val="1"/>
                <w:szCs w:val="1"/>
                <w:color w:val="auto"/>
              </w:rPr>
            </w:pPr>
          </w:p>
        </w:tc>
      </w:tr>
      <w:tr>
        <w:trPr>
          <w:trHeight w:val="141"/>
        </w:trPr>
        <w:tc>
          <w:tcPr>
            <w:tcW w:w="20" w:type="dxa"/>
            <w:vAlign w:val="bottom"/>
          </w:tcPr>
          <w:p>
            <w:pPr>
              <w:spacing w:after="0"/>
              <w:rPr>
                <w:sz w:val="12"/>
                <w:szCs w:val="12"/>
                <w:color w:val="auto"/>
              </w:rPr>
            </w:pPr>
          </w:p>
        </w:tc>
        <w:tc>
          <w:tcPr>
            <w:tcW w:w="3400" w:type="dxa"/>
            <w:vAlign w:val="bottom"/>
          </w:tcPr>
          <w:p>
            <w:pPr>
              <w:spacing w:after="0" w:line="141" w:lineRule="exact"/>
              <w:rPr>
                <w:sz w:val="20"/>
                <w:szCs w:val="20"/>
                <w:color w:val="auto"/>
              </w:rPr>
            </w:pPr>
            <w:r>
              <w:rPr>
                <w:rFonts w:ascii="Arial" w:cs="Arial" w:eastAsia="Arial" w:hAnsi="Arial"/>
                <w:sz w:val="14"/>
                <w:szCs w:val="14"/>
                <w:b w:val="1"/>
                <w:bCs w:val="1"/>
                <w:color w:val="auto"/>
              </w:rPr>
              <w:t>Investing Activities</w:t>
            </w:r>
          </w:p>
        </w:tc>
        <w:tc>
          <w:tcPr>
            <w:tcW w:w="32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86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96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840" w:type="dxa"/>
            <w:vAlign w:val="bottom"/>
            <w:vMerge w:val="restart"/>
          </w:tcPr>
          <w:p>
            <w:pPr>
              <w:jc w:val="right"/>
              <w:spacing w:after="0"/>
              <w:rPr>
                <w:sz w:val="20"/>
                <w:szCs w:val="20"/>
                <w:color w:val="auto"/>
              </w:rPr>
            </w:pPr>
            <w:r>
              <w:rPr>
                <w:rFonts w:ascii="Arial" w:cs="Arial" w:eastAsia="Arial" w:hAnsi="Arial"/>
                <w:sz w:val="14"/>
                <w:szCs w:val="14"/>
                <w:b w:val="1"/>
                <w:bCs w:val="1"/>
                <w:color w:val="auto"/>
              </w:rPr>
              <w:t>—</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3400" w:type="dxa"/>
            <w:vAlign w:val="bottom"/>
          </w:tcPr>
          <w:p>
            <w:pPr>
              <w:ind w:left="200"/>
              <w:spacing w:after="0" w:line="133" w:lineRule="exact"/>
              <w:rPr>
                <w:sz w:val="20"/>
                <w:szCs w:val="20"/>
                <w:color w:val="auto"/>
              </w:rPr>
            </w:pPr>
            <w:r>
              <w:rPr>
                <w:rFonts w:ascii="Arial" w:cs="Arial" w:eastAsia="Arial" w:hAnsi="Arial"/>
                <w:sz w:val="14"/>
                <w:szCs w:val="14"/>
                <w:color w:val="auto"/>
              </w:rPr>
              <w:t>Net transactions with affiliates</w:t>
            </w:r>
          </w:p>
        </w:tc>
        <w:tc>
          <w:tcPr>
            <w:tcW w:w="320" w:type="dxa"/>
            <w:vAlign w:val="bottom"/>
          </w:tcPr>
          <w:p>
            <w:pPr>
              <w:spacing w:after="0"/>
              <w:rPr>
                <w:sz w:val="11"/>
                <w:szCs w:val="11"/>
                <w:color w:val="auto"/>
              </w:rPr>
            </w:pPr>
          </w:p>
        </w:tc>
        <w:tc>
          <w:tcPr>
            <w:tcW w:w="660" w:type="dxa"/>
            <w:vAlign w:val="bottom"/>
          </w:tcPr>
          <w:p>
            <w:pPr>
              <w:jc w:val="right"/>
              <w:ind w:right="112"/>
              <w:spacing w:after="0" w:line="133" w:lineRule="exact"/>
              <w:rPr>
                <w:sz w:val="20"/>
                <w:szCs w:val="20"/>
                <w:color w:val="auto"/>
              </w:rPr>
            </w:pPr>
            <w:r>
              <w:rPr>
                <w:rFonts w:ascii="Arial" w:cs="Arial" w:eastAsia="Arial" w:hAnsi="Arial"/>
                <w:sz w:val="14"/>
                <w:szCs w:val="14"/>
                <w:color w:val="auto"/>
              </w:rPr>
              <w:t>(5,272)</w:t>
            </w:r>
          </w:p>
        </w:tc>
        <w:tc>
          <w:tcPr>
            <w:tcW w:w="280" w:type="dxa"/>
            <w:vAlign w:val="bottom"/>
          </w:tcPr>
          <w:p>
            <w:pPr>
              <w:spacing w:after="0"/>
              <w:rPr>
                <w:sz w:val="11"/>
                <w:szCs w:val="11"/>
                <w:color w:val="auto"/>
              </w:rPr>
            </w:pPr>
          </w:p>
        </w:tc>
        <w:tc>
          <w:tcPr>
            <w:tcW w:w="520" w:type="dxa"/>
            <w:vAlign w:val="bottom"/>
          </w:tcPr>
          <w:p>
            <w:pPr>
              <w:jc w:val="right"/>
              <w:ind w:right="152"/>
              <w:spacing w:after="0" w:line="133" w:lineRule="exact"/>
              <w:rPr>
                <w:sz w:val="20"/>
                <w:szCs w:val="20"/>
                <w:color w:val="auto"/>
              </w:rPr>
            </w:pPr>
            <w:r>
              <w:rPr>
                <w:rFonts w:ascii="Arial" w:cs="Arial" w:eastAsia="Arial" w:hAnsi="Arial"/>
                <w:sz w:val="14"/>
                <w:szCs w:val="14"/>
                <w:color w:val="auto"/>
              </w:rPr>
              <w:t>859</w:t>
            </w:r>
          </w:p>
        </w:tc>
        <w:tc>
          <w:tcPr>
            <w:tcW w:w="280" w:type="dxa"/>
            <w:vAlign w:val="bottom"/>
          </w:tcPr>
          <w:p>
            <w:pPr>
              <w:spacing w:after="0"/>
              <w:rPr>
                <w:sz w:val="11"/>
                <w:szCs w:val="11"/>
                <w:color w:val="auto"/>
              </w:rPr>
            </w:pPr>
          </w:p>
        </w:tc>
        <w:tc>
          <w:tcPr>
            <w:tcW w:w="520" w:type="dxa"/>
            <w:vAlign w:val="bottom"/>
          </w:tcPr>
          <w:p>
            <w:pPr>
              <w:jc w:val="right"/>
              <w:ind w:right="152"/>
              <w:spacing w:after="0" w:line="133" w:lineRule="exact"/>
              <w:rPr>
                <w:sz w:val="20"/>
                <w:szCs w:val="20"/>
                <w:color w:val="auto"/>
              </w:rPr>
            </w:pPr>
            <w:r>
              <w:rPr>
                <w:rFonts w:ascii="Arial" w:cs="Arial" w:eastAsia="Arial" w:hAnsi="Arial"/>
                <w:sz w:val="14"/>
                <w:szCs w:val="14"/>
                <w:color w:val="auto"/>
              </w:rPr>
              <w:t>226</w:t>
            </w:r>
          </w:p>
        </w:tc>
        <w:tc>
          <w:tcPr>
            <w:tcW w:w="260" w:type="dxa"/>
            <w:vAlign w:val="bottom"/>
          </w:tcPr>
          <w:p>
            <w:pPr>
              <w:spacing w:after="0"/>
              <w:rPr>
                <w:sz w:val="11"/>
                <w:szCs w:val="11"/>
                <w:color w:val="auto"/>
              </w:rPr>
            </w:pPr>
          </w:p>
        </w:tc>
        <w:tc>
          <w:tcPr>
            <w:tcW w:w="740" w:type="dxa"/>
            <w:vAlign w:val="bottom"/>
          </w:tcPr>
          <w:p>
            <w:pPr>
              <w:jc w:val="right"/>
              <w:ind w:right="152"/>
              <w:spacing w:after="0" w:line="133" w:lineRule="exact"/>
              <w:rPr>
                <w:sz w:val="20"/>
                <w:szCs w:val="20"/>
                <w:color w:val="auto"/>
              </w:rPr>
            </w:pPr>
            <w:r>
              <w:rPr>
                <w:rFonts w:ascii="Arial" w:cs="Arial" w:eastAsia="Arial" w:hAnsi="Arial"/>
                <w:sz w:val="14"/>
                <w:szCs w:val="14"/>
                <w:color w:val="auto"/>
              </w:rPr>
              <w:t>1,212</w:t>
            </w:r>
          </w:p>
        </w:tc>
        <w:tc>
          <w:tcPr>
            <w:tcW w:w="380" w:type="dxa"/>
            <w:vAlign w:val="bottom"/>
          </w:tcPr>
          <w:p>
            <w:pPr>
              <w:spacing w:after="0"/>
              <w:rPr>
                <w:sz w:val="11"/>
                <w:szCs w:val="11"/>
                <w:color w:val="auto"/>
              </w:rPr>
            </w:pPr>
          </w:p>
        </w:tc>
        <w:tc>
          <w:tcPr>
            <w:tcW w:w="560" w:type="dxa"/>
            <w:vAlign w:val="bottom"/>
          </w:tcPr>
          <w:p>
            <w:pPr>
              <w:jc w:val="right"/>
              <w:ind w:right="112"/>
              <w:spacing w:after="0" w:line="133" w:lineRule="exact"/>
              <w:rPr>
                <w:sz w:val="20"/>
                <w:szCs w:val="20"/>
                <w:color w:val="auto"/>
              </w:rPr>
            </w:pPr>
            <w:r>
              <w:rPr>
                <w:rFonts w:ascii="Arial" w:cs="Arial" w:eastAsia="Arial" w:hAnsi="Arial"/>
                <w:sz w:val="14"/>
                <w:szCs w:val="14"/>
                <w:color w:val="auto"/>
              </w:rPr>
              <w:t>(3)</w:t>
            </w:r>
          </w:p>
        </w:tc>
        <w:tc>
          <w:tcPr>
            <w:tcW w:w="280" w:type="dxa"/>
            <w:vAlign w:val="bottom"/>
          </w:tcPr>
          <w:p>
            <w:pPr>
              <w:spacing w:after="0"/>
              <w:rPr>
                <w:sz w:val="11"/>
                <w:szCs w:val="11"/>
                <w:color w:val="auto"/>
              </w:rPr>
            </w:pPr>
          </w:p>
        </w:tc>
        <w:tc>
          <w:tcPr>
            <w:tcW w:w="860" w:type="dxa"/>
            <w:vAlign w:val="bottom"/>
          </w:tcPr>
          <w:p>
            <w:pPr>
              <w:jc w:val="right"/>
              <w:ind w:right="152"/>
              <w:spacing w:after="0" w:line="133" w:lineRule="exact"/>
              <w:rPr>
                <w:sz w:val="20"/>
                <w:szCs w:val="20"/>
                <w:color w:val="auto"/>
              </w:rPr>
            </w:pPr>
            <w:r>
              <w:rPr>
                <w:rFonts w:ascii="Arial" w:cs="Arial" w:eastAsia="Arial" w:hAnsi="Arial"/>
                <w:sz w:val="14"/>
                <w:szCs w:val="14"/>
                <w:color w:val="auto"/>
              </w:rPr>
              <w:t>2,978</w:t>
            </w:r>
          </w:p>
        </w:tc>
        <w:tc>
          <w:tcPr>
            <w:tcW w:w="240" w:type="dxa"/>
            <w:vAlign w:val="bottom"/>
          </w:tcPr>
          <w:p>
            <w:pPr>
              <w:spacing w:after="0"/>
              <w:rPr>
                <w:sz w:val="11"/>
                <w:szCs w:val="11"/>
                <w:color w:val="auto"/>
              </w:rPr>
            </w:pPr>
          </w:p>
        </w:tc>
        <w:tc>
          <w:tcPr>
            <w:tcW w:w="960" w:type="dxa"/>
            <w:vAlign w:val="bottom"/>
          </w:tcPr>
          <w:p>
            <w:pPr>
              <w:jc w:val="right"/>
              <w:ind w:right="152"/>
              <w:spacing w:after="0" w:line="133" w:lineRule="exact"/>
              <w:rPr>
                <w:sz w:val="20"/>
                <w:szCs w:val="20"/>
                <w:color w:val="auto"/>
              </w:rPr>
            </w:pPr>
            <w:r>
              <w:rPr>
                <w:rFonts w:ascii="Arial" w:cs="Arial" w:eastAsia="Arial" w:hAnsi="Arial"/>
                <w:sz w:val="14"/>
                <w:szCs w:val="14"/>
                <w:color w:val="auto"/>
              </w:rPr>
              <w:t>—</w:t>
            </w:r>
          </w:p>
        </w:tc>
        <w:tc>
          <w:tcPr>
            <w:tcW w:w="300" w:type="dxa"/>
            <w:vAlign w:val="bottom"/>
          </w:tcPr>
          <w:p>
            <w:pPr>
              <w:spacing w:after="0"/>
              <w:rPr>
                <w:sz w:val="11"/>
                <w:szCs w:val="11"/>
                <w:color w:val="auto"/>
              </w:rPr>
            </w:pPr>
          </w:p>
        </w:tc>
        <w:tc>
          <w:tcPr>
            <w:tcW w:w="840" w:type="dxa"/>
            <w:vAlign w:val="bottom"/>
            <w:vMerge w:val="continue"/>
          </w:tcPr>
          <w:p>
            <w:pPr>
              <w:spacing w:after="0"/>
              <w:rPr>
                <w:sz w:val="11"/>
                <w:szCs w:val="11"/>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400" w:type="dxa"/>
            <w:vAlign w:val="bottom"/>
          </w:tcPr>
          <w:p>
            <w:pPr>
              <w:ind w:left="200"/>
              <w:spacing w:after="0" w:line="149" w:lineRule="exact"/>
              <w:rPr>
                <w:sz w:val="20"/>
                <w:szCs w:val="20"/>
                <w:color w:val="auto"/>
              </w:rPr>
            </w:pPr>
            <w:r>
              <w:rPr>
                <w:rFonts w:ascii="Arial" w:cs="Arial" w:eastAsia="Arial" w:hAnsi="Arial"/>
                <w:sz w:val="14"/>
                <w:szCs w:val="14"/>
                <w:color w:val="auto"/>
              </w:rPr>
              <w:t>Capital expenditures</w:t>
            </w:r>
          </w:p>
        </w:tc>
        <w:tc>
          <w:tcPr>
            <w:tcW w:w="320" w:type="dxa"/>
            <w:vAlign w:val="bottom"/>
          </w:tcPr>
          <w:p>
            <w:pPr>
              <w:spacing w:after="0"/>
              <w:rPr>
                <w:sz w:val="12"/>
                <w:szCs w:val="12"/>
                <w:color w:val="auto"/>
              </w:rPr>
            </w:pPr>
          </w:p>
        </w:tc>
        <w:tc>
          <w:tcPr>
            <w:tcW w:w="660" w:type="dxa"/>
            <w:vAlign w:val="bottom"/>
          </w:tcPr>
          <w:p>
            <w:pPr>
              <w:jc w:val="right"/>
              <w:ind w:right="112"/>
              <w:spacing w:after="0" w:line="149" w:lineRule="exact"/>
              <w:rPr>
                <w:sz w:val="20"/>
                <w:szCs w:val="20"/>
                <w:color w:val="auto"/>
              </w:rPr>
            </w:pPr>
            <w:r>
              <w:rPr>
                <w:rFonts w:ascii="Arial" w:cs="Arial" w:eastAsia="Arial" w:hAnsi="Arial"/>
                <w:sz w:val="14"/>
                <w:szCs w:val="14"/>
                <w:color w:val="auto"/>
              </w:rPr>
              <w:t>(8)</w:t>
            </w:r>
          </w:p>
        </w:tc>
        <w:tc>
          <w:tcPr>
            <w:tcW w:w="280" w:type="dxa"/>
            <w:vAlign w:val="bottom"/>
          </w:tcPr>
          <w:p>
            <w:pPr>
              <w:spacing w:after="0"/>
              <w:rPr>
                <w:sz w:val="12"/>
                <w:szCs w:val="12"/>
                <w:color w:val="auto"/>
              </w:rPr>
            </w:pPr>
          </w:p>
        </w:tc>
        <w:tc>
          <w:tcPr>
            <w:tcW w:w="520" w:type="dxa"/>
            <w:vAlign w:val="bottom"/>
          </w:tcPr>
          <w:p>
            <w:pPr>
              <w:jc w:val="right"/>
              <w:ind w:right="152"/>
              <w:spacing w:after="0" w:line="149" w:lineRule="exact"/>
              <w:rPr>
                <w:sz w:val="20"/>
                <w:szCs w:val="20"/>
                <w:color w:val="auto"/>
              </w:rPr>
            </w:pPr>
            <w:r>
              <w:rPr>
                <w:rFonts w:ascii="Arial" w:cs="Arial" w:eastAsia="Arial" w:hAnsi="Arial"/>
                <w:sz w:val="14"/>
                <w:szCs w:val="14"/>
                <w:color w:val="auto"/>
              </w:rPr>
              <w:t>—</w:t>
            </w:r>
          </w:p>
        </w:tc>
        <w:tc>
          <w:tcPr>
            <w:tcW w:w="280" w:type="dxa"/>
            <w:vAlign w:val="bottom"/>
          </w:tcPr>
          <w:p>
            <w:pPr>
              <w:spacing w:after="0"/>
              <w:rPr>
                <w:sz w:val="12"/>
                <w:szCs w:val="12"/>
                <w:color w:val="auto"/>
              </w:rPr>
            </w:pPr>
          </w:p>
        </w:tc>
        <w:tc>
          <w:tcPr>
            <w:tcW w:w="520" w:type="dxa"/>
            <w:vAlign w:val="bottom"/>
          </w:tcPr>
          <w:p>
            <w:pPr>
              <w:jc w:val="right"/>
              <w:ind w:right="152"/>
              <w:spacing w:after="0" w:line="149" w:lineRule="exact"/>
              <w:rPr>
                <w:sz w:val="20"/>
                <w:szCs w:val="20"/>
                <w:color w:val="auto"/>
              </w:rPr>
            </w:pPr>
            <w:r>
              <w:rPr>
                <w:rFonts w:ascii="Arial" w:cs="Arial" w:eastAsia="Arial" w:hAnsi="Arial"/>
                <w:sz w:val="14"/>
                <w:szCs w:val="14"/>
                <w:color w:val="auto"/>
              </w:rPr>
              <w:t>—</w:t>
            </w:r>
          </w:p>
        </w:tc>
        <w:tc>
          <w:tcPr>
            <w:tcW w:w="260" w:type="dxa"/>
            <w:vAlign w:val="bottom"/>
          </w:tcPr>
          <w:p>
            <w:pPr>
              <w:spacing w:after="0"/>
              <w:rPr>
                <w:sz w:val="12"/>
                <w:szCs w:val="12"/>
                <w:color w:val="auto"/>
              </w:rPr>
            </w:pPr>
          </w:p>
        </w:tc>
        <w:tc>
          <w:tcPr>
            <w:tcW w:w="740" w:type="dxa"/>
            <w:vAlign w:val="bottom"/>
          </w:tcPr>
          <w:p>
            <w:pPr>
              <w:jc w:val="right"/>
              <w:ind w:right="152"/>
              <w:spacing w:after="0" w:line="149" w:lineRule="exact"/>
              <w:rPr>
                <w:sz w:val="20"/>
                <w:szCs w:val="20"/>
                <w:color w:val="auto"/>
              </w:rPr>
            </w:pPr>
            <w:r>
              <w:rPr>
                <w:rFonts w:ascii="Arial" w:cs="Arial" w:eastAsia="Arial" w:hAnsi="Arial"/>
                <w:sz w:val="14"/>
                <w:szCs w:val="14"/>
                <w:color w:val="auto"/>
              </w:rPr>
              <w:t>—</w:t>
            </w:r>
          </w:p>
        </w:tc>
        <w:tc>
          <w:tcPr>
            <w:tcW w:w="380" w:type="dxa"/>
            <w:vAlign w:val="bottom"/>
          </w:tcPr>
          <w:p>
            <w:pPr>
              <w:spacing w:after="0"/>
              <w:rPr>
                <w:sz w:val="12"/>
                <w:szCs w:val="12"/>
                <w:color w:val="auto"/>
              </w:rPr>
            </w:pPr>
          </w:p>
        </w:tc>
        <w:tc>
          <w:tcPr>
            <w:tcW w:w="560" w:type="dxa"/>
            <w:vAlign w:val="bottom"/>
          </w:tcPr>
          <w:p>
            <w:pPr>
              <w:jc w:val="right"/>
              <w:ind w:right="152"/>
              <w:spacing w:after="0" w:line="149" w:lineRule="exact"/>
              <w:rPr>
                <w:sz w:val="20"/>
                <w:szCs w:val="20"/>
                <w:color w:val="auto"/>
              </w:rPr>
            </w:pPr>
            <w:r>
              <w:rPr>
                <w:rFonts w:ascii="Arial" w:cs="Arial" w:eastAsia="Arial" w:hAnsi="Arial"/>
                <w:sz w:val="14"/>
                <w:szCs w:val="14"/>
                <w:color w:val="auto"/>
              </w:rPr>
              <w:t>—</w:t>
            </w:r>
          </w:p>
        </w:tc>
        <w:tc>
          <w:tcPr>
            <w:tcW w:w="280" w:type="dxa"/>
            <w:vAlign w:val="bottom"/>
          </w:tcPr>
          <w:p>
            <w:pPr>
              <w:spacing w:after="0"/>
              <w:rPr>
                <w:sz w:val="12"/>
                <w:szCs w:val="12"/>
                <w:color w:val="auto"/>
              </w:rPr>
            </w:pPr>
          </w:p>
        </w:tc>
        <w:tc>
          <w:tcPr>
            <w:tcW w:w="860" w:type="dxa"/>
            <w:vAlign w:val="bottom"/>
          </w:tcPr>
          <w:p>
            <w:pPr>
              <w:jc w:val="right"/>
              <w:ind w:right="112"/>
              <w:spacing w:after="0" w:line="149" w:lineRule="exact"/>
              <w:rPr>
                <w:sz w:val="20"/>
                <w:szCs w:val="20"/>
                <w:color w:val="auto"/>
              </w:rPr>
            </w:pPr>
            <w:r>
              <w:rPr>
                <w:rFonts w:ascii="Arial" w:cs="Arial" w:eastAsia="Arial" w:hAnsi="Arial"/>
                <w:sz w:val="14"/>
                <w:szCs w:val="14"/>
                <w:color w:val="auto"/>
              </w:rPr>
              <w:t>(4,387)</w:t>
            </w:r>
          </w:p>
        </w:tc>
        <w:tc>
          <w:tcPr>
            <w:tcW w:w="240" w:type="dxa"/>
            <w:vAlign w:val="bottom"/>
          </w:tcPr>
          <w:p>
            <w:pPr>
              <w:spacing w:after="0"/>
              <w:rPr>
                <w:sz w:val="12"/>
                <w:szCs w:val="12"/>
                <w:color w:val="auto"/>
              </w:rPr>
            </w:pPr>
          </w:p>
        </w:tc>
        <w:tc>
          <w:tcPr>
            <w:tcW w:w="960" w:type="dxa"/>
            <w:vAlign w:val="bottom"/>
          </w:tcPr>
          <w:p>
            <w:pPr>
              <w:jc w:val="right"/>
              <w:ind w:right="152"/>
              <w:spacing w:after="0" w:line="149" w:lineRule="exact"/>
              <w:rPr>
                <w:sz w:val="20"/>
                <w:szCs w:val="20"/>
                <w:color w:val="auto"/>
              </w:rPr>
            </w:pPr>
            <w:r>
              <w:rPr>
                <w:rFonts w:ascii="Arial" w:cs="Arial" w:eastAsia="Arial" w:hAnsi="Arial"/>
                <w:sz w:val="14"/>
                <w:szCs w:val="14"/>
                <w:color w:val="auto"/>
              </w:rPr>
              <w:t>—</w:t>
            </w:r>
          </w:p>
        </w:tc>
        <w:tc>
          <w:tcPr>
            <w:tcW w:w="300" w:type="dxa"/>
            <w:vAlign w:val="bottom"/>
          </w:tcPr>
          <w:p>
            <w:pPr>
              <w:spacing w:after="0"/>
              <w:rPr>
                <w:sz w:val="12"/>
                <w:szCs w:val="12"/>
                <w:color w:val="auto"/>
              </w:rPr>
            </w:pPr>
          </w:p>
        </w:tc>
        <w:tc>
          <w:tcPr>
            <w:tcW w:w="840" w:type="dxa"/>
            <w:vAlign w:val="bottom"/>
          </w:tcPr>
          <w:p>
            <w:pPr>
              <w:jc w:val="right"/>
              <w:spacing w:after="0" w:line="149" w:lineRule="exact"/>
              <w:rPr>
                <w:sz w:val="20"/>
                <w:szCs w:val="20"/>
                <w:color w:val="auto"/>
              </w:rPr>
            </w:pPr>
            <w:r>
              <w:rPr>
                <w:rFonts w:ascii="Arial" w:cs="Arial" w:eastAsia="Arial" w:hAnsi="Arial"/>
                <w:sz w:val="14"/>
                <w:szCs w:val="14"/>
                <w:b w:val="1"/>
                <w:bCs w:val="1"/>
                <w:color w:val="auto"/>
              </w:rPr>
              <w:t>(4,395)</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400" w:type="dxa"/>
            <w:vAlign w:val="bottom"/>
          </w:tcPr>
          <w:p>
            <w:pPr>
              <w:ind w:left="200"/>
              <w:spacing w:after="0" w:line="149" w:lineRule="exact"/>
              <w:rPr>
                <w:sz w:val="20"/>
                <w:szCs w:val="20"/>
                <w:color w:val="auto"/>
              </w:rPr>
            </w:pPr>
            <w:r>
              <w:rPr>
                <w:rFonts w:ascii="Arial" w:cs="Arial" w:eastAsia="Arial" w:hAnsi="Arial"/>
                <w:sz w:val="14"/>
                <w:szCs w:val="14"/>
                <w:color w:val="auto"/>
              </w:rPr>
              <w:t>Cash paid for intangible assets</w:t>
            </w:r>
          </w:p>
        </w:tc>
        <w:tc>
          <w:tcPr>
            <w:tcW w:w="320" w:type="dxa"/>
            <w:vAlign w:val="bottom"/>
          </w:tcPr>
          <w:p>
            <w:pPr>
              <w:spacing w:after="0"/>
              <w:rPr>
                <w:sz w:val="12"/>
                <w:szCs w:val="12"/>
                <w:color w:val="auto"/>
              </w:rPr>
            </w:pPr>
          </w:p>
        </w:tc>
        <w:tc>
          <w:tcPr>
            <w:tcW w:w="660" w:type="dxa"/>
            <w:vAlign w:val="bottom"/>
          </w:tcPr>
          <w:p>
            <w:pPr>
              <w:jc w:val="right"/>
              <w:ind w:right="152"/>
              <w:spacing w:after="0" w:line="149" w:lineRule="exact"/>
              <w:rPr>
                <w:sz w:val="20"/>
                <w:szCs w:val="20"/>
                <w:color w:val="auto"/>
              </w:rPr>
            </w:pPr>
            <w:r>
              <w:rPr>
                <w:rFonts w:ascii="Arial" w:cs="Arial" w:eastAsia="Arial" w:hAnsi="Arial"/>
                <w:sz w:val="14"/>
                <w:szCs w:val="14"/>
                <w:color w:val="auto"/>
              </w:rPr>
              <w:t>—</w:t>
            </w:r>
          </w:p>
        </w:tc>
        <w:tc>
          <w:tcPr>
            <w:tcW w:w="280" w:type="dxa"/>
            <w:vAlign w:val="bottom"/>
          </w:tcPr>
          <w:p>
            <w:pPr>
              <w:spacing w:after="0"/>
              <w:rPr>
                <w:sz w:val="12"/>
                <w:szCs w:val="12"/>
                <w:color w:val="auto"/>
              </w:rPr>
            </w:pPr>
          </w:p>
        </w:tc>
        <w:tc>
          <w:tcPr>
            <w:tcW w:w="520" w:type="dxa"/>
            <w:vAlign w:val="bottom"/>
          </w:tcPr>
          <w:p>
            <w:pPr>
              <w:jc w:val="right"/>
              <w:ind w:right="152"/>
              <w:spacing w:after="0" w:line="149" w:lineRule="exact"/>
              <w:rPr>
                <w:sz w:val="20"/>
                <w:szCs w:val="20"/>
                <w:color w:val="auto"/>
              </w:rPr>
            </w:pPr>
            <w:r>
              <w:rPr>
                <w:rFonts w:ascii="Arial" w:cs="Arial" w:eastAsia="Arial" w:hAnsi="Arial"/>
                <w:sz w:val="14"/>
                <w:szCs w:val="14"/>
                <w:color w:val="auto"/>
              </w:rPr>
              <w:t>—</w:t>
            </w:r>
          </w:p>
        </w:tc>
        <w:tc>
          <w:tcPr>
            <w:tcW w:w="280" w:type="dxa"/>
            <w:vAlign w:val="bottom"/>
          </w:tcPr>
          <w:p>
            <w:pPr>
              <w:spacing w:after="0"/>
              <w:rPr>
                <w:sz w:val="12"/>
                <w:szCs w:val="12"/>
                <w:color w:val="auto"/>
              </w:rPr>
            </w:pPr>
          </w:p>
        </w:tc>
        <w:tc>
          <w:tcPr>
            <w:tcW w:w="520" w:type="dxa"/>
            <w:vAlign w:val="bottom"/>
          </w:tcPr>
          <w:p>
            <w:pPr>
              <w:jc w:val="right"/>
              <w:ind w:right="152"/>
              <w:spacing w:after="0" w:line="149" w:lineRule="exact"/>
              <w:rPr>
                <w:sz w:val="20"/>
                <w:szCs w:val="20"/>
                <w:color w:val="auto"/>
              </w:rPr>
            </w:pPr>
            <w:r>
              <w:rPr>
                <w:rFonts w:ascii="Arial" w:cs="Arial" w:eastAsia="Arial" w:hAnsi="Arial"/>
                <w:sz w:val="14"/>
                <w:szCs w:val="14"/>
                <w:color w:val="auto"/>
              </w:rPr>
              <w:t>—</w:t>
            </w:r>
          </w:p>
        </w:tc>
        <w:tc>
          <w:tcPr>
            <w:tcW w:w="260" w:type="dxa"/>
            <w:vAlign w:val="bottom"/>
          </w:tcPr>
          <w:p>
            <w:pPr>
              <w:spacing w:after="0"/>
              <w:rPr>
                <w:sz w:val="12"/>
                <w:szCs w:val="12"/>
                <w:color w:val="auto"/>
              </w:rPr>
            </w:pPr>
          </w:p>
        </w:tc>
        <w:tc>
          <w:tcPr>
            <w:tcW w:w="740" w:type="dxa"/>
            <w:vAlign w:val="bottom"/>
          </w:tcPr>
          <w:p>
            <w:pPr>
              <w:jc w:val="right"/>
              <w:ind w:right="152"/>
              <w:spacing w:after="0" w:line="149" w:lineRule="exact"/>
              <w:rPr>
                <w:sz w:val="20"/>
                <w:szCs w:val="20"/>
                <w:color w:val="auto"/>
              </w:rPr>
            </w:pPr>
            <w:r>
              <w:rPr>
                <w:rFonts w:ascii="Arial" w:cs="Arial" w:eastAsia="Arial" w:hAnsi="Arial"/>
                <w:sz w:val="14"/>
                <w:szCs w:val="14"/>
                <w:color w:val="auto"/>
              </w:rPr>
              <w:t>—</w:t>
            </w:r>
          </w:p>
        </w:tc>
        <w:tc>
          <w:tcPr>
            <w:tcW w:w="380" w:type="dxa"/>
            <w:vAlign w:val="bottom"/>
          </w:tcPr>
          <w:p>
            <w:pPr>
              <w:spacing w:after="0"/>
              <w:rPr>
                <w:sz w:val="12"/>
                <w:szCs w:val="12"/>
                <w:color w:val="auto"/>
              </w:rPr>
            </w:pPr>
          </w:p>
        </w:tc>
        <w:tc>
          <w:tcPr>
            <w:tcW w:w="560" w:type="dxa"/>
            <w:vAlign w:val="bottom"/>
          </w:tcPr>
          <w:p>
            <w:pPr>
              <w:jc w:val="right"/>
              <w:ind w:right="152"/>
              <w:spacing w:after="0" w:line="149" w:lineRule="exact"/>
              <w:rPr>
                <w:sz w:val="20"/>
                <w:szCs w:val="20"/>
                <w:color w:val="auto"/>
              </w:rPr>
            </w:pPr>
            <w:r>
              <w:rPr>
                <w:rFonts w:ascii="Arial" w:cs="Arial" w:eastAsia="Arial" w:hAnsi="Arial"/>
                <w:sz w:val="14"/>
                <w:szCs w:val="14"/>
                <w:color w:val="auto"/>
              </w:rPr>
              <w:t>—</w:t>
            </w:r>
          </w:p>
        </w:tc>
        <w:tc>
          <w:tcPr>
            <w:tcW w:w="280" w:type="dxa"/>
            <w:vAlign w:val="bottom"/>
          </w:tcPr>
          <w:p>
            <w:pPr>
              <w:spacing w:after="0"/>
              <w:rPr>
                <w:sz w:val="12"/>
                <w:szCs w:val="12"/>
                <w:color w:val="auto"/>
              </w:rPr>
            </w:pPr>
          </w:p>
        </w:tc>
        <w:tc>
          <w:tcPr>
            <w:tcW w:w="860" w:type="dxa"/>
            <w:vAlign w:val="bottom"/>
          </w:tcPr>
          <w:p>
            <w:pPr>
              <w:jc w:val="right"/>
              <w:ind w:right="112"/>
              <w:spacing w:after="0" w:line="149" w:lineRule="exact"/>
              <w:rPr>
                <w:sz w:val="20"/>
                <w:szCs w:val="20"/>
                <w:color w:val="auto"/>
              </w:rPr>
            </w:pPr>
            <w:r>
              <w:rPr>
                <w:rFonts w:ascii="Arial" w:cs="Arial" w:eastAsia="Arial" w:hAnsi="Arial"/>
                <w:sz w:val="14"/>
                <w:szCs w:val="14"/>
                <w:color w:val="auto"/>
              </w:rPr>
              <w:t>(306)</w:t>
            </w:r>
          </w:p>
        </w:tc>
        <w:tc>
          <w:tcPr>
            <w:tcW w:w="240" w:type="dxa"/>
            <w:vAlign w:val="bottom"/>
          </w:tcPr>
          <w:p>
            <w:pPr>
              <w:spacing w:after="0"/>
              <w:rPr>
                <w:sz w:val="12"/>
                <w:szCs w:val="12"/>
                <w:color w:val="auto"/>
              </w:rPr>
            </w:pPr>
          </w:p>
        </w:tc>
        <w:tc>
          <w:tcPr>
            <w:tcW w:w="960" w:type="dxa"/>
            <w:vAlign w:val="bottom"/>
          </w:tcPr>
          <w:p>
            <w:pPr>
              <w:jc w:val="right"/>
              <w:ind w:right="152"/>
              <w:spacing w:after="0" w:line="149" w:lineRule="exact"/>
              <w:rPr>
                <w:sz w:val="20"/>
                <w:szCs w:val="20"/>
                <w:color w:val="auto"/>
              </w:rPr>
            </w:pPr>
            <w:r>
              <w:rPr>
                <w:rFonts w:ascii="Arial" w:cs="Arial" w:eastAsia="Arial" w:hAnsi="Arial"/>
                <w:sz w:val="14"/>
                <w:szCs w:val="14"/>
                <w:color w:val="auto"/>
              </w:rPr>
              <w:t>—</w:t>
            </w:r>
          </w:p>
        </w:tc>
        <w:tc>
          <w:tcPr>
            <w:tcW w:w="300" w:type="dxa"/>
            <w:vAlign w:val="bottom"/>
          </w:tcPr>
          <w:p>
            <w:pPr>
              <w:spacing w:after="0"/>
              <w:rPr>
                <w:sz w:val="12"/>
                <w:szCs w:val="12"/>
                <w:color w:val="auto"/>
              </w:rPr>
            </w:pPr>
          </w:p>
        </w:tc>
        <w:tc>
          <w:tcPr>
            <w:tcW w:w="840" w:type="dxa"/>
            <w:vAlign w:val="bottom"/>
          </w:tcPr>
          <w:p>
            <w:pPr>
              <w:jc w:val="right"/>
              <w:spacing w:after="0" w:line="149" w:lineRule="exact"/>
              <w:rPr>
                <w:sz w:val="20"/>
                <w:szCs w:val="20"/>
                <w:color w:val="auto"/>
              </w:rPr>
            </w:pPr>
            <w:r>
              <w:rPr>
                <w:rFonts w:ascii="Arial" w:cs="Arial" w:eastAsia="Arial" w:hAnsi="Arial"/>
                <w:sz w:val="14"/>
                <w:szCs w:val="14"/>
                <w:b w:val="1"/>
                <w:bCs w:val="1"/>
                <w:color w:val="auto"/>
              </w:rPr>
              <w:t>(306)</w:t>
            </w:r>
          </w:p>
        </w:tc>
        <w:tc>
          <w:tcPr>
            <w:tcW w:w="0" w:type="dxa"/>
            <w:vAlign w:val="bottom"/>
          </w:tcPr>
          <w:p>
            <w:pPr>
              <w:spacing w:after="0"/>
              <w:rPr>
                <w:sz w:val="1"/>
                <w:szCs w:val="1"/>
                <w:color w:val="auto"/>
              </w:rPr>
            </w:pPr>
          </w:p>
        </w:tc>
      </w:tr>
      <w:tr>
        <w:trPr>
          <w:trHeight w:val="165"/>
        </w:trPr>
        <w:tc>
          <w:tcPr>
            <w:tcW w:w="20" w:type="dxa"/>
            <w:vAlign w:val="bottom"/>
          </w:tcPr>
          <w:p>
            <w:pPr>
              <w:spacing w:after="0"/>
              <w:rPr>
                <w:sz w:val="14"/>
                <w:szCs w:val="14"/>
                <w:color w:val="auto"/>
              </w:rPr>
            </w:pPr>
          </w:p>
        </w:tc>
        <w:tc>
          <w:tcPr>
            <w:tcW w:w="3400" w:type="dxa"/>
            <w:vAlign w:val="bottom"/>
          </w:tcPr>
          <w:p>
            <w:pPr>
              <w:ind w:left="200"/>
              <w:spacing w:after="0"/>
              <w:rPr>
                <w:sz w:val="20"/>
                <w:szCs w:val="20"/>
                <w:color w:val="auto"/>
              </w:rPr>
            </w:pPr>
            <w:r>
              <w:rPr>
                <w:rFonts w:ascii="Arial" w:cs="Arial" w:eastAsia="Arial" w:hAnsi="Arial"/>
                <w:sz w:val="14"/>
                <w:szCs w:val="14"/>
                <w:color w:val="auto"/>
              </w:rPr>
              <w:t>Acquisitions, net of cash acquired</w:t>
            </w:r>
          </w:p>
        </w:tc>
        <w:tc>
          <w:tcPr>
            <w:tcW w:w="320" w:type="dxa"/>
            <w:vAlign w:val="bottom"/>
          </w:tcPr>
          <w:p>
            <w:pPr>
              <w:spacing w:after="0"/>
              <w:rPr>
                <w:sz w:val="14"/>
                <w:szCs w:val="14"/>
                <w:color w:val="auto"/>
              </w:rPr>
            </w:pPr>
          </w:p>
        </w:tc>
        <w:tc>
          <w:tcPr>
            <w:tcW w:w="660" w:type="dxa"/>
            <w:vAlign w:val="bottom"/>
          </w:tcPr>
          <w:p>
            <w:pPr>
              <w:jc w:val="right"/>
              <w:ind w:right="152"/>
              <w:spacing w:after="0"/>
              <w:rPr>
                <w:sz w:val="20"/>
                <w:szCs w:val="20"/>
                <w:color w:val="auto"/>
              </w:rPr>
            </w:pPr>
            <w:r>
              <w:rPr>
                <w:rFonts w:ascii="Arial" w:cs="Arial" w:eastAsia="Arial" w:hAnsi="Arial"/>
                <w:sz w:val="14"/>
                <w:szCs w:val="14"/>
                <w:color w:val="auto"/>
              </w:rPr>
              <w:t>—</w:t>
            </w:r>
          </w:p>
        </w:tc>
        <w:tc>
          <w:tcPr>
            <w:tcW w:w="280" w:type="dxa"/>
            <w:vAlign w:val="bottom"/>
          </w:tcPr>
          <w:p>
            <w:pPr>
              <w:spacing w:after="0"/>
              <w:rPr>
                <w:sz w:val="14"/>
                <w:szCs w:val="14"/>
                <w:color w:val="auto"/>
              </w:rPr>
            </w:pPr>
          </w:p>
        </w:tc>
        <w:tc>
          <w:tcPr>
            <w:tcW w:w="520" w:type="dxa"/>
            <w:vAlign w:val="bottom"/>
          </w:tcPr>
          <w:p>
            <w:pPr>
              <w:jc w:val="right"/>
              <w:ind w:right="152"/>
              <w:spacing w:after="0"/>
              <w:rPr>
                <w:sz w:val="20"/>
                <w:szCs w:val="20"/>
                <w:color w:val="auto"/>
              </w:rPr>
            </w:pPr>
            <w:r>
              <w:rPr>
                <w:rFonts w:ascii="Arial" w:cs="Arial" w:eastAsia="Arial" w:hAnsi="Arial"/>
                <w:sz w:val="14"/>
                <w:szCs w:val="14"/>
                <w:color w:val="auto"/>
              </w:rPr>
              <w:t>—</w:t>
            </w:r>
          </w:p>
        </w:tc>
        <w:tc>
          <w:tcPr>
            <w:tcW w:w="280" w:type="dxa"/>
            <w:vAlign w:val="bottom"/>
          </w:tcPr>
          <w:p>
            <w:pPr>
              <w:spacing w:after="0"/>
              <w:rPr>
                <w:sz w:val="14"/>
                <w:szCs w:val="14"/>
                <w:color w:val="auto"/>
              </w:rPr>
            </w:pPr>
          </w:p>
        </w:tc>
        <w:tc>
          <w:tcPr>
            <w:tcW w:w="520" w:type="dxa"/>
            <w:vAlign w:val="bottom"/>
          </w:tcPr>
          <w:p>
            <w:pPr>
              <w:jc w:val="right"/>
              <w:ind w:right="152"/>
              <w:spacing w:after="0"/>
              <w:rPr>
                <w:sz w:val="20"/>
                <w:szCs w:val="20"/>
                <w:color w:val="auto"/>
              </w:rPr>
            </w:pPr>
            <w:r>
              <w:rPr>
                <w:rFonts w:ascii="Arial" w:cs="Arial" w:eastAsia="Arial" w:hAnsi="Arial"/>
                <w:sz w:val="14"/>
                <w:szCs w:val="14"/>
                <w:color w:val="auto"/>
              </w:rPr>
              <w:t>—</w:t>
            </w:r>
          </w:p>
        </w:tc>
        <w:tc>
          <w:tcPr>
            <w:tcW w:w="260" w:type="dxa"/>
            <w:vAlign w:val="bottom"/>
          </w:tcPr>
          <w:p>
            <w:pPr>
              <w:spacing w:after="0"/>
              <w:rPr>
                <w:sz w:val="14"/>
                <w:szCs w:val="14"/>
                <w:color w:val="auto"/>
              </w:rPr>
            </w:pPr>
          </w:p>
        </w:tc>
        <w:tc>
          <w:tcPr>
            <w:tcW w:w="740" w:type="dxa"/>
            <w:vAlign w:val="bottom"/>
          </w:tcPr>
          <w:p>
            <w:pPr>
              <w:jc w:val="right"/>
              <w:ind w:right="152"/>
              <w:spacing w:after="0"/>
              <w:rPr>
                <w:sz w:val="20"/>
                <w:szCs w:val="20"/>
                <w:color w:val="auto"/>
              </w:rPr>
            </w:pPr>
            <w:r>
              <w:rPr>
                <w:rFonts w:ascii="Arial" w:cs="Arial" w:eastAsia="Arial" w:hAnsi="Arial"/>
                <w:sz w:val="14"/>
                <w:szCs w:val="14"/>
                <w:color w:val="auto"/>
              </w:rPr>
              <w:t>—</w:t>
            </w:r>
          </w:p>
        </w:tc>
        <w:tc>
          <w:tcPr>
            <w:tcW w:w="380" w:type="dxa"/>
            <w:vAlign w:val="bottom"/>
          </w:tcPr>
          <w:p>
            <w:pPr>
              <w:spacing w:after="0"/>
              <w:rPr>
                <w:sz w:val="14"/>
                <w:szCs w:val="14"/>
                <w:color w:val="auto"/>
              </w:rPr>
            </w:pPr>
          </w:p>
        </w:tc>
        <w:tc>
          <w:tcPr>
            <w:tcW w:w="560" w:type="dxa"/>
            <w:vAlign w:val="bottom"/>
          </w:tcPr>
          <w:p>
            <w:pPr>
              <w:jc w:val="right"/>
              <w:ind w:right="152"/>
              <w:spacing w:after="0"/>
              <w:rPr>
                <w:sz w:val="20"/>
                <w:szCs w:val="20"/>
                <w:color w:val="auto"/>
              </w:rPr>
            </w:pPr>
            <w:r>
              <w:rPr>
                <w:rFonts w:ascii="Arial" w:cs="Arial" w:eastAsia="Arial" w:hAnsi="Arial"/>
                <w:sz w:val="14"/>
                <w:szCs w:val="14"/>
                <w:color w:val="auto"/>
              </w:rPr>
              <w:t>—</w:t>
            </w:r>
          </w:p>
        </w:tc>
        <w:tc>
          <w:tcPr>
            <w:tcW w:w="280" w:type="dxa"/>
            <w:vAlign w:val="bottom"/>
          </w:tcPr>
          <w:p>
            <w:pPr>
              <w:spacing w:after="0"/>
              <w:rPr>
                <w:sz w:val="14"/>
                <w:szCs w:val="14"/>
                <w:color w:val="auto"/>
              </w:rPr>
            </w:pPr>
          </w:p>
        </w:tc>
        <w:tc>
          <w:tcPr>
            <w:tcW w:w="860" w:type="dxa"/>
            <w:vAlign w:val="bottom"/>
          </w:tcPr>
          <w:p>
            <w:pPr>
              <w:jc w:val="right"/>
              <w:ind w:right="112"/>
              <w:spacing w:after="0"/>
              <w:rPr>
                <w:sz w:val="20"/>
                <w:szCs w:val="20"/>
                <w:color w:val="auto"/>
              </w:rPr>
            </w:pPr>
            <w:r>
              <w:rPr>
                <w:rFonts w:ascii="Arial" w:cs="Arial" w:eastAsia="Arial" w:hAnsi="Arial"/>
                <w:sz w:val="14"/>
                <w:szCs w:val="14"/>
                <w:color w:val="auto"/>
              </w:rPr>
              <w:t>(5,110)</w:t>
            </w:r>
          </w:p>
        </w:tc>
        <w:tc>
          <w:tcPr>
            <w:tcW w:w="240" w:type="dxa"/>
            <w:vAlign w:val="bottom"/>
          </w:tcPr>
          <w:p>
            <w:pPr>
              <w:spacing w:after="0"/>
              <w:rPr>
                <w:sz w:val="14"/>
                <w:szCs w:val="14"/>
                <w:color w:val="auto"/>
              </w:rPr>
            </w:pPr>
          </w:p>
        </w:tc>
        <w:tc>
          <w:tcPr>
            <w:tcW w:w="960" w:type="dxa"/>
            <w:vAlign w:val="bottom"/>
          </w:tcPr>
          <w:p>
            <w:pPr>
              <w:jc w:val="right"/>
              <w:ind w:right="152"/>
              <w:spacing w:after="0"/>
              <w:rPr>
                <w:sz w:val="20"/>
                <w:szCs w:val="20"/>
                <w:color w:val="auto"/>
              </w:rPr>
            </w:pPr>
            <w:r>
              <w:rPr>
                <w:rFonts w:ascii="Arial" w:cs="Arial" w:eastAsia="Arial" w:hAnsi="Arial"/>
                <w:sz w:val="14"/>
                <w:szCs w:val="14"/>
                <w:color w:val="auto"/>
              </w:rPr>
              <w:t>—</w:t>
            </w:r>
          </w:p>
        </w:tc>
        <w:tc>
          <w:tcPr>
            <w:tcW w:w="300" w:type="dxa"/>
            <w:vAlign w:val="bottom"/>
          </w:tcPr>
          <w:p>
            <w:pPr>
              <w:spacing w:after="0"/>
              <w:rPr>
                <w:sz w:val="14"/>
                <w:szCs w:val="14"/>
                <w:color w:val="auto"/>
              </w:rPr>
            </w:pPr>
          </w:p>
        </w:tc>
        <w:tc>
          <w:tcPr>
            <w:tcW w:w="840" w:type="dxa"/>
            <w:vAlign w:val="bottom"/>
          </w:tcPr>
          <w:p>
            <w:pPr>
              <w:jc w:val="right"/>
              <w:spacing w:after="0"/>
              <w:rPr>
                <w:sz w:val="20"/>
                <w:szCs w:val="20"/>
                <w:color w:val="auto"/>
              </w:rPr>
            </w:pPr>
            <w:r>
              <w:rPr>
                <w:rFonts w:ascii="Arial" w:cs="Arial" w:eastAsia="Arial" w:hAnsi="Arial"/>
                <w:sz w:val="14"/>
                <w:szCs w:val="14"/>
                <w:b w:val="1"/>
                <w:bCs w:val="1"/>
                <w:color w:val="auto"/>
              </w:rPr>
              <w:t>(5,110)</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400" w:type="dxa"/>
            <w:vAlign w:val="bottom"/>
          </w:tcPr>
          <w:p>
            <w:pPr>
              <w:ind w:left="200"/>
              <w:spacing w:after="0" w:line="149" w:lineRule="exact"/>
              <w:rPr>
                <w:sz w:val="20"/>
                <w:szCs w:val="20"/>
                <w:color w:val="auto"/>
              </w:rPr>
            </w:pPr>
            <w:r>
              <w:rPr>
                <w:rFonts w:ascii="Arial" w:cs="Arial" w:eastAsia="Arial" w:hAnsi="Arial"/>
                <w:sz w:val="14"/>
                <w:szCs w:val="14"/>
                <w:color w:val="auto"/>
              </w:rPr>
              <w:t>Proceeds from sales and restructuring of</w:t>
            </w:r>
          </w:p>
        </w:tc>
        <w:tc>
          <w:tcPr>
            <w:tcW w:w="32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86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96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840" w:type="dxa"/>
            <w:vAlign w:val="bottom"/>
            <w:vMerge w:val="restart"/>
          </w:tcPr>
          <w:p>
            <w:pPr>
              <w:jc w:val="right"/>
              <w:spacing w:after="0"/>
              <w:rPr>
                <w:sz w:val="20"/>
                <w:szCs w:val="20"/>
                <w:color w:val="auto"/>
              </w:rPr>
            </w:pPr>
            <w:r>
              <w:rPr>
                <w:rFonts w:ascii="Arial" w:cs="Arial" w:eastAsia="Arial" w:hAnsi="Arial"/>
                <w:sz w:val="14"/>
                <w:szCs w:val="14"/>
                <w:b w:val="1"/>
                <w:bCs w:val="1"/>
                <w:color w:val="auto"/>
              </w:rPr>
              <w:t>2,720</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3400" w:type="dxa"/>
            <w:vAlign w:val="bottom"/>
          </w:tcPr>
          <w:p>
            <w:pPr>
              <w:ind w:left="420"/>
              <w:spacing w:after="0" w:line="133" w:lineRule="exact"/>
              <w:rPr>
                <w:sz w:val="20"/>
                <w:szCs w:val="20"/>
                <w:color w:val="auto"/>
              </w:rPr>
            </w:pPr>
            <w:r>
              <w:rPr>
                <w:rFonts w:ascii="Arial" w:cs="Arial" w:eastAsia="Arial" w:hAnsi="Arial"/>
                <w:sz w:val="14"/>
                <w:szCs w:val="14"/>
                <w:color w:val="auto"/>
              </w:rPr>
              <w:t>investments</w:t>
            </w:r>
          </w:p>
        </w:tc>
        <w:tc>
          <w:tcPr>
            <w:tcW w:w="320" w:type="dxa"/>
            <w:vAlign w:val="bottom"/>
          </w:tcPr>
          <w:p>
            <w:pPr>
              <w:spacing w:after="0"/>
              <w:rPr>
                <w:sz w:val="11"/>
                <w:szCs w:val="11"/>
                <w:color w:val="auto"/>
              </w:rPr>
            </w:pPr>
          </w:p>
        </w:tc>
        <w:tc>
          <w:tcPr>
            <w:tcW w:w="660" w:type="dxa"/>
            <w:vAlign w:val="bottom"/>
          </w:tcPr>
          <w:p>
            <w:pPr>
              <w:jc w:val="right"/>
              <w:ind w:right="152"/>
              <w:spacing w:after="0" w:line="133" w:lineRule="exact"/>
              <w:rPr>
                <w:sz w:val="20"/>
                <w:szCs w:val="20"/>
                <w:color w:val="auto"/>
              </w:rPr>
            </w:pPr>
            <w:r>
              <w:rPr>
                <w:rFonts w:ascii="Arial" w:cs="Arial" w:eastAsia="Arial" w:hAnsi="Arial"/>
                <w:sz w:val="14"/>
                <w:szCs w:val="14"/>
                <w:color w:val="auto"/>
              </w:rPr>
              <w:t>47</w:t>
            </w:r>
          </w:p>
        </w:tc>
        <w:tc>
          <w:tcPr>
            <w:tcW w:w="280" w:type="dxa"/>
            <w:vAlign w:val="bottom"/>
          </w:tcPr>
          <w:p>
            <w:pPr>
              <w:spacing w:after="0"/>
              <w:rPr>
                <w:sz w:val="11"/>
                <w:szCs w:val="11"/>
                <w:color w:val="auto"/>
              </w:rPr>
            </w:pPr>
          </w:p>
        </w:tc>
        <w:tc>
          <w:tcPr>
            <w:tcW w:w="520" w:type="dxa"/>
            <w:vAlign w:val="bottom"/>
          </w:tcPr>
          <w:p>
            <w:pPr>
              <w:jc w:val="right"/>
              <w:ind w:right="152"/>
              <w:spacing w:after="0" w:line="133" w:lineRule="exact"/>
              <w:rPr>
                <w:sz w:val="20"/>
                <w:szCs w:val="20"/>
                <w:color w:val="auto"/>
              </w:rPr>
            </w:pPr>
            <w:r>
              <w:rPr>
                <w:rFonts w:ascii="Arial" w:cs="Arial" w:eastAsia="Arial" w:hAnsi="Arial"/>
                <w:sz w:val="14"/>
                <w:szCs w:val="14"/>
                <w:color w:val="auto"/>
              </w:rPr>
              <w:t>—</w:t>
            </w:r>
          </w:p>
        </w:tc>
        <w:tc>
          <w:tcPr>
            <w:tcW w:w="280" w:type="dxa"/>
            <w:vAlign w:val="bottom"/>
          </w:tcPr>
          <w:p>
            <w:pPr>
              <w:spacing w:after="0"/>
              <w:rPr>
                <w:sz w:val="11"/>
                <w:szCs w:val="11"/>
                <w:color w:val="auto"/>
              </w:rPr>
            </w:pPr>
          </w:p>
        </w:tc>
        <w:tc>
          <w:tcPr>
            <w:tcW w:w="520" w:type="dxa"/>
            <w:vAlign w:val="bottom"/>
          </w:tcPr>
          <w:p>
            <w:pPr>
              <w:jc w:val="right"/>
              <w:ind w:right="152"/>
              <w:spacing w:after="0" w:line="133" w:lineRule="exact"/>
              <w:rPr>
                <w:sz w:val="20"/>
                <w:szCs w:val="20"/>
                <w:color w:val="auto"/>
              </w:rPr>
            </w:pPr>
            <w:r>
              <w:rPr>
                <w:rFonts w:ascii="Arial" w:cs="Arial" w:eastAsia="Arial" w:hAnsi="Arial"/>
                <w:sz w:val="14"/>
                <w:szCs w:val="14"/>
                <w:color w:val="auto"/>
              </w:rPr>
              <w:t>—</w:t>
            </w:r>
          </w:p>
        </w:tc>
        <w:tc>
          <w:tcPr>
            <w:tcW w:w="260" w:type="dxa"/>
            <w:vAlign w:val="bottom"/>
          </w:tcPr>
          <w:p>
            <w:pPr>
              <w:spacing w:after="0"/>
              <w:rPr>
                <w:sz w:val="11"/>
                <w:szCs w:val="11"/>
                <w:color w:val="auto"/>
              </w:rPr>
            </w:pPr>
          </w:p>
        </w:tc>
        <w:tc>
          <w:tcPr>
            <w:tcW w:w="740" w:type="dxa"/>
            <w:vAlign w:val="bottom"/>
          </w:tcPr>
          <w:p>
            <w:pPr>
              <w:jc w:val="right"/>
              <w:ind w:right="152"/>
              <w:spacing w:after="0" w:line="133" w:lineRule="exact"/>
              <w:rPr>
                <w:sz w:val="20"/>
                <w:szCs w:val="20"/>
                <w:color w:val="auto"/>
              </w:rPr>
            </w:pPr>
            <w:r>
              <w:rPr>
                <w:rFonts w:ascii="Arial" w:cs="Arial" w:eastAsia="Arial" w:hAnsi="Arial"/>
                <w:sz w:val="14"/>
                <w:szCs w:val="14"/>
                <w:color w:val="auto"/>
              </w:rPr>
              <w:t>—</w:t>
            </w:r>
          </w:p>
        </w:tc>
        <w:tc>
          <w:tcPr>
            <w:tcW w:w="380" w:type="dxa"/>
            <w:vAlign w:val="bottom"/>
          </w:tcPr>
          <w:p>
            <w:pPr>
              <w:spacing w:after="0"/>
              <w:rPr>
                <w:sz w:val="11"/>
                <w:szCs w:val="11"/>
                <w:color w:val="auto"/>
              </w:rPr>
            </w:pPr>
          </w:p>
        </w:tc>
        <w:tc>
          <w:tcPr>
            <w:tcW w:w="560" w:type="dxa"/>
            <w:vAlign w:val="bottom"/>
          </w:tcPr>
          <w:p>
            <w:pPr>
              <w:jc w:val="right"/>
              <w:ind w:right="152"/>
              <w:spacing w:after="0" w:line="133" w:lineRule="exact"/>
              <w:rPr>
                <w:sz w:val="20"/>
                <w:szCs w:val="20"/>
                <w:color w:val="auto"/>
              </w:rPr>
            </w:pPr>
            <w:r>
              <w:rPr>
                <w:rFonts w:ascii="Arial" w:cs="Arial" w:eastAsia="Arial" w:hAnsi="Arial"/>
                <w:sz w:val="14"/>
                <w:szCs w:val="14"/>
                <w:color w:val="auto"/>
              </w:rPr>
              <w:t>10</w:t>
            </w:r>
          </w:p>
        </w:tc>
        <w:tc>
          <w:tcPr>
            <w:tcW w:w="280" w:type="dxa"/>
            <w:vAlign w:val="bottom"/>
          </w:tcPr>
          <w:p>
            <w:pPr>
              <w:spacing w:after="0"/>
              <w:rPr>
                <w:sz w:val="11"/>
                <w:szCs w:val="11"/>
                <w:color w:val="auto"/>
              </w:rPr>
            </w:pPr>
          </w:p>
        </w:tc>
        <w:tc>
          <w:tcPr>
            <w:tcW w:w="860" w:type="dxa"/>
            <w:vAlign w:val="bottom"/>
          </w:tcPr>
          <w:p>
            <w:pPr>
              <w:jc w:val="right"/>
              <w:ind w:right="152"/>
              <w:spacing w:after="0" w:line="133" w:lineRule="exact"/>
              <w:rPr>
                <w:sz w:val="20"/>
                <w:szCs w:val="20"/>
                <w:color w:val="auto"/>
              </w:rPr>
            </w:pPr>
            <w:r>
              <w:rPr>
                <w:rFonts w:ascii="Arial" w:cs="Arial" w:eastAsia="Arial" w:hAnsi="Arial"/>
                <w:sz w:val="14"/>
                <w:szCs w:val="14"/>
                <w:color w:val="auto"/>
              </w:rPr>
              <w:t>2,663</w:t>
            </w:r>
          </w:p>
        </w:tc>
        <w:tc>
          <w:tcPr>
            <w:tcW w:w="240" w:type="dxa"/>
            <w:vAlign w:val="bottom"/>
          </w:tcPr>
          <w:p>
            <w:pPr>
              <w:spacing w:after="0"/>
              <w:rPr>
                <w:sz w:val="11"/>
                <w:szCs w:val="11"/>
                <w:color w:val="auto"/>
              </w:rPr>
            </w:pPr>
          </w:p>
        </w:tc>
        <w:tc>
          <w:tcPr>
            <w:tcW w:w="960" w:type="dxa"/>
            <w:vAlign w:val="bottom"/>
          </w:tcPr>
          <w:p>
            <w:pPr>
              <w:jc w:val="right"/>
              <w:ind w:right="152"/>
              <w:spacing w:after="0" w:line="133" w:lineRule="exact"/>
              <w:rPr>
                <w:sz w:val="20"/>
                <w:szCs w:val="20"/>
                <w:color w:val="auto"/>
              </w:rPr>
            </w:pPr>
            <w:r>
              <w:rPr>
                <w:rFonts w:ascii="Arial" w:cs="Arial" w:eastAsia="Arial" w:hAnsi="Arial"/>
                <w:sz w:val="14"/>
                <w:szCs w:val="14"/>
                <w:color w:val="auto"/>
              </w:rPr>
              <w:t>—</w:t>
            </w:r>
          </w:p>
        </w:tc>
        <w:tc>
          <w:tcPr>
            <w:tcW w:w="300" w:type="dxa"/>
            <w:vAlign w:val="bottom"/>
          </w:tcPr>
          <w:p>
            <w:pPr>
              <w:spacing w:after="0"/>
              <w:rPr>
                <w:sz w:val="11"/>
                <w:szCs w:val="11"/>
                <w:color w:val="auto"/>
              </w:rPr>
            </w:pPr>
          </w:p>
        </w:tc>
        <w:tc>
          <w:tcPr>
            <w:tcW w:w="840" w:type="dxa"/>
            <w:vAlign w:val="bottom"/>
            <w:vMerge w:val="continue"/>
          </w:tcPr>
          <w:p>
            <w:pPr>
              <w:spacing w:after="0"/>
              <w:rPr>
                <w:sz w:val="11"/>
                <w:szCs w:val="11"/>
                <w:color w:val="auto"/>
              </w:rPr>
            </w:pPr>
          </w:p>
        </w:tc>
        <w:tc>
          <w:tcPr>
            <w:tcW w:w="0" w:type="dxa"/>
            <w:vAlign w:val="bottom"/>
          </w:tcPr>
          <w:p>
            <w:pPr>
              <w:spacing w:after="0"/>
              <w:rPr>
                <w:sz w:val="1"/>
                <w:szCs w:val="1"/>
                <w:color w:val="auto"/>
              </w:rPr>
            </w:pPr>
          </w:p>
        </w:tc>
      </w:tr>
      <w:tr>
        <w:trPr>
          <w:trHeight w:val="165"/>
        </w:trPr>
        <w:tc>
          <w:tcPr>
            <w:tcW w:w="20" w:type="dxa"/>
            <w:vAlign w:val="bottom"/>
          </w:tcPr>
          <w:p>
            <w:pPr>
              <w:spacing w:after="0"/>
              <w:rPr>
                <w:sz w:val="14"/>
                <w:szCs w:val="14"/>
                <w:color w:val="auto"/>
              </w:rPr>
            </w:pPr>
          </w:p>
        </w:tc>
        <w:tc>
          <w:tcPr>
            <w:tcW w:w="3400" w:type="dxa"/>
            <w:vAlign w:val="bottom"/>
          </w:tcPr>
          <w:p>
            <w:pPr>
              <w:ind w:left="200"/>
              <w:spacing w:after="0"/>
              <w:rPr>
                <w:sz w:val="20"/>
                <w:szCs w:val="20"/>
                <w:color w:val="auto"/>
              </w:rPr>
            </w:pPr>
            <w:r>
              <w:rPr>
                <w:rFonts w:ascii="Arial" w:cs="Arial" w:eastAsia="Arial" w:hAnsi="Arial"/>
                <w:sz w:val="14"/>
                <w:szCs w:val="14"/>
                <w:color w:val="auto"/>
              </w:rPr>
              <w:t>Purchases of investments</w:t>
            </w:r>
          </w:p>
        </w:tc>
        <w:tc>
          <w:tcPr>
            <w:tcW w:w="320" w:type="dxa"/>
            <w:vAlign w:val="bottom"/>
          </w:tcPr>
          <w:p>
            <w:pPr>
              <w:spacing w:after="0"/>
              <w:rPr>
                <w:sz w:val="14"/>
                <w:szCs w:val="14"/>
                <w:color w:val="auto"/>
              </w:rPr>
            </w:pPr>
          </w:p>
        </w:tc>
        <w:tc>
          <w:tcPr>
            <w:tcW w:w="660" w:type="dxa"/>
            <w:vAlign w:val="bottom"/>
          </w:tcPr>
          <w:p>
            <w:pPr>
              <w:jc w:val="right"/>
              <w:ind w:right="152"/>
              <w:spacing w:after="0"/>
              <w:rPr>
                <w:sz w:val="20"/>
                <w:szCs w:val="20"/>
                <w:color w:val="auto"/>
              </w:rPr>
            </w:pPr>
            <w:r>
              <w:rPr>
                <w:rFonts w:ascii="Arial" w:cs="Arial" w:eastAsia="Arial" w:hAnsi="Arial"/>
                <w:sz w:val="14"/>
                <w:szCs w:val="14"/>
                <w:color w:val="auto"/>
              </w:rPr>
              <w:t>—</w:t>
            </w:r>
          </w:p>
        </w:tc>
        <w:tc>
          <w:tcPr>
            <w:tcW w:w="280" w:type="dxa"/>
            <w:vAlign w:val="bottom"/>
          </w:tcPr>
          <w:p>
            <w:pPr>
              <w:spacing w:after="0"/>
              <w:rPr>
                <w:sz w:val="14"/>
                <w:szCs w:val="14"/>
                <w:color w:val="auto"/>
              </w:rPr>
            </w:pPr>
          </w:p>
        </w:tc>
        <w:tc>
          <w:tcPr>
            <w:tcW w:w="520" w:type="dxa"/>
            <w:vAlign w:val="bottom"/>
          </w:tcPr>
          <w:p>
            <w:pPr>
              <w:jc w:val="right"/>
              <w:ind w:right="152"/>
              <w:spacing w:after="0"/>
              <w:rPr>
                <w:sz w:val="20"/>
                <w:szCs w:val="20"/>
                <w:color w:val="auto"/>
              </w:rPr>
            </w:pPr>
            <w:r>
              <w:rPr>
                <w:rFonts w:ascii="Arial" w:cs="Arial" w:eastAsia="Arial" w:hAnsi="Arial"/>
                <w:sz w:val="14"/>
                <w:szCs w:val="14"/>
                <w:color w:val="auto"/>
              </w:rPr>
              <w:t>—</w:t>
            </w:r>
          </w:p>
        </w:tc>
        <w:tc>
          <w:tcPr>
            <w:tcW w:w="280" w:type="dxa"/>
            <w:vAlign w:val="bottom"/>
          </w:tcPr>
          <w:p>
            <w:pPr>
              <w:spacing w:after="0"/>
              <w:rPr>
                <w:sz w:val="14"/>
                <w:szCs w:val="14"/>
                <w:color w:val="auto"/>
              </w:rPr>
            </w:pPr>
          </w:p>
        </w:tc>
        <w:tc>
          <w:tcPr>
            <w:tcW w:w="520" w:type="dxa"/>
            <w:vAlign w:val="bottom"/>
          </w:tcPr>
          <w:p>
            <w:pPr>
              <w:jc w:val="right"/>
              <w:ind w:right="152"/>
              <w:spacing w:after="0"/>
              <w:rPr>
                <w:sz w:val="20"/>
                <w:szCs w:val="20"/>
                <w:color w:val="auto"/>
              </w:rPr>
            </w:pPr>
            <w:r>
              <w:rPr>
                <w:rFonts w:ascii="Arial" w:cs="Arial" w:eastAsia="Arial" w:hAnsi="Arial"/>
                <w:sz w:val="14"/>
                <w:szCs w:val="14"/>
                <w:color w:val="auto"/>
              </w:rPr>
              <w:t>—</w:t>
            </w:r>
          </w:p>
        </w:tc>
        <w:tc>
          <w:tcPr>
            <w:tcW w:w="260" w:type="dxa"/>
            <w:vAlign w:val="bottom"/>
          </w:tcPr>
          <w:p>
            <w:pPr>
              <w:spacing w:after="0"/>
              <w:rPr>
                <w:sz w:val="14"/>
                <w:szCs w:val="14"/>
                <w:color w:val="auto"/>
              </w:rPr>
            </w:pPr>
          </w:p>
        </w:tc>
        <w:tc>
          <w:tcPr>
            <w:tcW w:w="740" w:type="dxa"/>
            <w:vAlign w:val="bottom"/>
          </w:tcPr>
          <w:p>
            <w:pPr>
              <w:jc w:val="right"/>
              <w:ind w:right="152"/>
              <w:spacing w:after="0"/>
              <w:rPr>
                <w:sz w:val="20"/>
                <w:szCs w:val="20"/>
                <w:color w:val="auto"/>
              </w:rPr>
            </w:pPr>
            <w:r>
              <w:rPr>
                <w:rFonts w:ascii="Arial" w:cs="Arial" w:eastAsia="Arial" w:hAnsi="Arial"/>
                <w:sz w:val="14"/>
                <w:szCs w:val="14"/>
                <w:color w:val="auto"/>
              </w:rPr>
              <w:t>—</w:t>
            </w:r>
          </w:p>
        </w:tc>
        <w:tc>
          <w:tcPr>
            <w:tcW w:w="380" w:type="dxa"/>
            <w:vAlign w:val="bottom"/>
          </w:tcPr>
          <w:p>
            <w:pPr>
              <w:spacing w:after="0"/>
              <w:rPr>
                <w:sz w:val="14"/>
                <w:szCs w:val="14"/>
                <w:color w:val="auto"/>
              </w:rPr>
            </w:pPr>
          </w:p>
        </w:tc>
        <w:tc>
          <w:tcPr>
            <w:tcW w:w="560" w:type="dxa"/>
            <w:vAlign w:val="bottom"/>
          </w:tcPr>
          <w:p>
            <w:pPr>
              <w:jc w:val="right"/>
              <w:ind w:right="152"/>
              <w:spacing w:after="0"/>
              <w:rPr>
                <w:sz w:val="20"/>
                <w:szCs w:val="20"/>
                <w:color w:val="auto"/>
              </w:rPr>
            </w:pPr>
            <w:r>
              <w:rPr>
                <w:rFonts w:ascii="Arial" w:cs="Arial" w:eastAsia="Arial" w:hAnsi="Arial"/>
                <w:sz w:val="14"/>
                <w:szCs w:val="14"/>
                <w:color w:val="auto"/>
              </w:rPr>
              <w:t>—</w:t>
            </w:r>
          </w:p>
        </w:tc>
        <w:tc>
          <w:tcPr>
            <w:tcW w:w="280" w:type="dxa"/>
            <w:vAlign w:val="bottom"/>
          </w:tcPr>
          <w:p>
            <w:pPr>
              <w:spacing w:after="0"/>
              <w:rPr>
                <w:sz w:val="14"/>
                <w:szCs w:val="14"/>
                <w:color w:val="auto"/>
              </w:rPr>
            </w:pPr>
          </w:p>
        </w:tc>
        <w:tc>
          <w:tcPr>
            <w:tcW w:w="860" w:type="dxa"/>
            <w:vAlign w:val="bottom"/>
          </w:tcPr>
          <w:p>
            <w:pPr>
              <w:jc w:val="right"/>
              <w:ind w:right="112"/>
              <w:spacing w:after="0"/>
              <w:rPr>
                <w:sz w:val="20"/>
                <w:szCs w:val="20"/>
                <w:color w:val="auto"/>
              </w:rPr>
            </w:pPr>
            <w:r>
              <w:rPr>
                <w:rFonts w:ascii="Arial" w:cs="Arial" w:eastAsia="Arial" w:hAnsi="Arial"/>
                <w:sz w:val="14"/>
                <w:szCs w:val="14"/>
                <w:color w:val="auto"/>
              </w:rPr>
              <w:t>(2,812)</w:t>
            </w:r>
          </w:p>
        </w:tc>
        <w:tc>
          <w:tcPr>
            <w:tcW w:w="240" w:type="dxa"/>
            <w:vAlign w:val="bottom"/>
          </w:tcPr>
          <w:p>
            <w:pPr>
              <w:spacing w:after="0"/>
              <w:rPr>
                <w:sz w:val="14"/>
                <w:szCs w:val="14"/>
                <w:color w:val="auto"/>
              </w:rPr>
            </w:pPr>
          </w:p>
        </w:tc>
        <w:tc>
          <w:tcPr>
            <w:tcW w:w="960" w:type="dxa"/>
            <w:vAlign w:val="bottom"/>
          </w:tcPr>
          <w:p>
            <w:pPr>
              <w:jc w:val="right"/>
              <w:ind w:right="152"/>
              <w:spacing w:after="0"/>
              <w:rPr>
                <w:sz w:val="20"/>
                <w:szCs w:val="20"/>
                <w:color w:val="auto"/>
              </w:rPr>
            </w:pPr>
            <w:r>
              <w:rPr>
                <w:rFonts w:ascii="Arial" w:cs="Arial" w:eastAsia="Arial" w:hAnsi="Arial"/>
                <w:sz w:val="14"/>
                <w:szCs w:val="14"/>
                <w:color w:val="auto"/>
              </w:rPr>
              <w:t>—</w:t>
            </w:r>
          </w:p>
        </w:tc>
        <w:tc>
          <w:tcPr>
            <w:tcW w:w="300" w:type="dxa"/>
            <w:vAlign w:val="bottom"/>
          </w:tcPr>
          <w:p>
            <w:pPr>
              <w:spacing w:after="0"/>
              <w:rPr>
                <w:sz w:val="14"/>
                <w:szCs w:val="14"/>
                <w:color w:val="auto"/>
              </w:rPr>
            </w:pPr>
          </w:p>
        </w:tc>
        <w:tc>
          <w:tcPr>
            <w:tcW w:w="840" w:type="dxa"/>
            <w:vAlign w:val="bottom"/>
          </w:tcPr>
          <w:p>
            <w:pPr>
              <w:jc w:val="right"/>
              <w:spacing w:after="0"/>
              <w:rPr>
                <w:sz w:val="20"/>
                <w:szCs w:val="20"/>
                <w:color w:val="auto"/>
              </w:rPr>
            </w:pPr>
            <w:r>
              <w:rPr>
                <w:rFonts w:ascii="Arial" w:cs="Arial" w:eastAsia="Arial" w:hAnsi="Arial"/>
                <w:sz w:val="14"/>
                <w:szCs w:val="14"/>
                <w:b w:val="1"/>
                <w:bCs w:val="1"/>
                <w:color w:val="auto"/>
              </w:rPr>
              <w:t>(2,812)</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400" w:type="dxa"/>
            <w:vAlign w:val="bottom"/>
          </w:tcPr>
          <w:p>
            <w:pPr>
              <w:ind w:left="200"/>
              <w:spacing w:after="0" w:line="149" w:lineRule="exact"/>
              <w:rPr>
                <w:sz w:val="20"/>
                <w:szCs w:val="20"/>
                <w:color w:val="auto"/>
              </w:rPr>
            </w:pPr>
            <w:r>
              <w:rPr>
                <w:rFonts w:ascii="Arial" w:cs="Arial" w:eastAsia="Arial" w:hAnsi="Arial"/>
                <w:sz w:val="14"/>
                <w:szCs w:val="14"/>
                <w:color w:val="auto"/>
              </w:rPr>
              <w:t>Proceeds from sales (purchases) of short-term</w:t>
            </w:r>
          </w:p>
        </w:tc>
        <w:tc>
          <w:tcPr>
            <w:tcW w:w="32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86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96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840" w:type="dxa"/>
            <w:vAlign w:val="bottom"/>
            <w:vMerge w:val="restart"/>
          </w:tcPr>
          <w:p>
            <w:pPr>
              <w:jc w:val="right"/>
              <w:spacing w:after="0"/>
              <w:rPr>
                <w:sz w:val="20"/>
                <w:szCs w:val="20"/>
                <w:color w:val="auto"/>
              </w:rPr>
            </w:pPr>
            <w:r>
              <w:rPr>
                <w:rFonts w:ascii="Arial" w:cs="Arial" w:eastAsia="Arial" w:hAnsi="Arial"/>
                <w:sz w:val="14"/>
                <w:szCs w:val="14"/>
                <w:b w:val="1"/>
                <w:bCs w:val="1"/>
                <w:color w:val="auto"/>
              </w:rPr>
              <w:t>33</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3400" w:type="dxa"/>
            <w:vAlign w:val="bottom"/>
          </w:tcPr>
          <w:p>
            <w:pPr>
              <w:ind w:left="420"/>
              <w:spacing w:after="0" w:line="133" w:lineRule="exact"/>
              <w:rPr>
                <w:sz w:val="20"/>
                <w:szCs w:val="20"/>
                <w:color w:val="auto"/>
              </w:rPr>
            </w:pPr>
            <w:r>
              <w:rPr>
                <w:rFonts w:ascii="Arial" w:cs="Arial" w:eastAsia="Arial" w:hAnsi="Arial"/>
                <w:sz w:val="14"/>
                <w:szCs w:val="14"/>
                <w:color w:val="auto"/>
              </w:rPr>
              <w:t>investments, net</w:t>
            </w:r>
          </w:p>
        </w:tc>
        <w:tc>
          <w:tcPr>
            <w:tcW w:w="320" w:type="dxa"/>
            <w:vAlign w:val="bottom"/>
          </w:tcPr>
          <w:p>
            <w:pPr>
              <w:spacing w:after="0"/>
              <w:rPr>
                <w:sz w:val="11"/>
                <w:szCs w:val="11"/>
                <w:color w:val="auto"/>
              </w:rPr>
            </w:pPr>
          </w:p>
        </w:tc>
        <w:tc>
          <w:tcPr>
            <w:tcW w:w="660" w:type="dxa"/>
            <w:vAlign w:val="bottom"/>
          </w:tcPr>
          <w:p>
            <w:pPr>
              <w:jc w:val="right"/>
              <w:ind w:right="152"/>
              <w:spacing w:after="0" w:line="133" w:lineRule="exact"/>
              <w:rPr>
                <w:sz w:val="20"/>
                <w:szCs w:val="20"/>
                <w:color w:val="auto"/>
              </w:rPr>
            </w:pPr>
            <w:r>
              <w:rPr>
                <w:rFonts w:ascii="Arial" w:cs="Arial" w:eastAsia="Arial" w:hAnsi="Arial"/>
                <w:sz w:val="14"/>
                <w:szCs w:val="14"/>
                <w:color w:val="auto"/>
              </w:rPr>
              <w:t>—</w:t>
            </w:r>
          </w:p>
        </w:tc>
        <w:tc>
          <w:tcPr>
            <w:tcW w:w="280" w:type="dxa"/>
            <w:vAlign w:val="bottom"/>
          </w:tcPr>
          <w:p>
            <w:pPr>
              <w:spacing w:after="0"/>
              <w:rPr>
                <w:sz w:val="11"/>
                <w:szCs w:val="11"/>
                <w:color w:val="auto"/>
              </w:rPr>
            </w:pPr>
          </w:p>
        </w:tc>
        <w:tc>
          <w:tcPr>
            <w:tcW w:w="520" w:type="dxa"/>
            <w:vAlign w:val="bottom"/>
          </w:tcPr>
          <w:p>
            <w:pPr>
              <w:jc w:val="right"/>
              <w:ind w:right="152"/>
              <w:spacing w:after="0" w:line="133" w:lineRule="exact"/>
              <w:rPr>
                <w:sz w:val="20"/>
                <w:szCs w:val="20"/>
                <w:color w:val="auto"/>
              </w:rPr>
            </w:pPr>
            <w:r>
              <w:rPr>
                <w:rFonts w:ascii="Arial" w:cs="Arial" w:eastAsia="Arial" w:hAnsi="Arial"/>
                <w:sz w:val="14"/>
                <w:szCs w:val="14"/>
                <w:color w:val="auto"/>
              </w:rPr>
              <w:t>—</w:t>
            </w:r>
          </w:p>
        </w:tc>
        <w:tc>
          <w:tcPr>
            <w:tcW w:w="280" w:type="dxa"/>
            <w:vAlign w:val="bottom"/>
          </w:tcPr>
          <w:p>
            <w:pPr>
              <w:spacing w:after="0"/>
              <w:rPr>
                <w:sz w:val="11"/>
                <w:szCs w:val="11"/>
                <w:color w:val="auto"/>
              </w:rPr>
            </w:pPr>
          </w:p>
        </w:tc>
        <w:tc>
          <w:tcPr>
            <w:tcW w:w="520" w:type="dxa"/>
            <w:vAlign w:val="bottom"/>
          </w:tcPr>
          <w:p>
            <w:pPr>
              <w:jc w:val="right"/>
              <w:ind w:right="152"/>
              <w:spacing w:after="0" w:line="133" w:lineRule="exact"/>
              <w:rPr>
                <w:sz w:val="20"/>
                <w:szCs w:val="20"/>
                <w:color w:val="auto"/>
              </w:rPr>
            </w:pPr>
            <w:r>
              <w:rPr>
                <w:rFonts w:ascii="Arial" w:cs="Arial" w:eastAsia="Arial" w:hAnsi="Arial"/>
                <w:sz w:val="14"/>
                <w:szCs w:val="14"/>
                <w:color w:val="auto"/>
              </w:rPr>
              <w:t>—</w:t>
            </w:r>
          </w:p>
        </w:tc>
        <w:tc>
          <w:tcPr>
            <w:tcW w:w="260" w:type="dxa"/>
            <w:vAlign w:val="bottom"/>
          </w:tcPr>
          <w:p>
            <w:pPr>
              <w:spacing w:after="0"/>
              <w:rPr>
                <w:sz w:val="11"/>
                <w:szCs w:val="11"/>
                <w:color w:val="auto"/>
              </w:rPr>
            </w:pPr>
          </w:p>
        </w:tc>
        <w:tc>
          <w:tcPr>
            <w:tcW w:w="740" w:type="dxa"/>
            <w:vAlign w:val="bottom"/>
          </w:tcPr>
          <w:p>
            <w:pPr>
              <w:jc w:val="right"/>
              <w:ind w:right="152"/>
              <w:spacing w:after="0" w:line="133" w:lineRule="exact"/>
              <w:rPr>
                <w:sz w:val="20"/>
                <w:szCs w:val="20"/>
                <w:color w:val="auto"/>
              </w:rPr>
            </w:pPr>
            <w:r>
              <w:rPr>
                <w:rFonts w:ascii="Arial" w:cs="Arial" w:eastAsia="Arial" w:hAnsi="Arial"/>
                <w:sz w:val="14"/>
                <w:szCs w:val="14"/>
                <w:color w:val="auto"/>
              </w:rPr>
              <w:t>—</w:t>
            </w:r>
          </w:p>
        </w:tc>
        <w:tc>
          <w:tcPr>
            <w:tcW w:w="380" w:type="dxa"/>
            <w:vAlign w:val="bottom"/>
          </w:tcPr>
          <w:p>
            <w:pPr>
              <w:spacing w:after="0"/>
              <w:rPr>
                <w:sz w:val="11"/>
                <w:szCs w:val="11"/>
                <w:color w:val="auto"/>
              </w:rPr>
            </w:pPr>
          </w:p>
        </w:tc>
        <w:tc>
          <w:tcPr>
            <w:tcW w:w="560" w:type="dxa"/>
            <w:vAlign w:val="bottom"/>
          </w:tcPr>
          <w:p>
            <w:pPr>
              <w:jc w:val="right"/>
              <w:ind w:right="152"/>
              <w:spacing w:after="0" w:line="133" w:lineRule="exact"/>
              <w:rPr>
                <w:sz w:val="20"/>
                <w:szCs w:val="20"/>
                <w:color w:val="auto"/>
              </w:rPr>
            </w:pPr>
            <w:r>
              <w:rPr>
                <w:rFonts w:ascii="Arial" w:cs="Arial" w:eastAsia="Arial" w:hAnsi="Arial"/>
                <w:sz w:val="14"/>
                <w:szCs w:val="14"/>
                <w:color w:val="auto"/>
              </w:rPr>
              <w:t>—</w:t>
            </w:r>
          </w:p>
        </w:tc>
        <w:tc>
          <w:tcPr>
            <w:tcW w:w="280" w:type="dxa"/>
            <w:vAlign w:val="bottom"/>
          </w:tcPr>
          <w:p>
            <w:pPr>
              <w:spacing w:after="0"/>
              <w:rPr>
                <w:sz w:val="11"/>
                <w:szCs w:val="11"/>
                <w:color w:val="auto"/>
              </w:rPr>
            </w:pPr>
          </w:p>
        </w:tc>
        <w:tc>
          <w:tcPr>
            <w:tcW w:w="860" w:type="dxa"/>
            <w:vAlign w:val="bottom"/>
          </w:tcPr>
          <w:p>
            <w:pPr>
              <w:jc w:val="right"/>
              <w:ind w:right="152"/>
              <w:spacing w:after="0" w:line="133" w:lineRule="exact"/>
              <w:rPr>
                <w:sz w:val="20"/>
                <w:szCs w:val="20"/>
                <w:color w:val="auto"/>
              </w:rPr>
            </w:pPr>
            <w:r>
              <w:rPr>
                <w:rFonts w:ascii="Arial" w:cs="Arial" w:eastAsia="Arial" w:hAnsi="Arial"/>
                <w:sz w:val="14"/>
                <w:szCs w:val="14"/>
                <w:color w:val="auto"/>
              </w:rPr>
              <w:t>33</w:t>
            </w:r>
          </w:p>
        </w:tc>
        <w:tc>
          <w:tcPr>
            <w:tcW w:w="240" w:type="dxa"/>
            <w:vAlign w:val="bottom"/>
          </w:tcPr>
          <w:p>
            <w:pPr>
              <w:spacing w:after="0"/>
              <w:rPr>
                <w:sz w:val="11"/>
                <w:szCs w:val="11"/>
                <w:color w:val="auto"/>
              </w:rPr>
            </w:pPr>
          </w:p>
        </w:tc>
        <w:tc>
          <w:tcPr>
            <w:tcW w:w="960" w:type="dxa"/>
            <w:vAlign w:val="bottom"/>
          </w:tcPr>
          <w:p>
            <w:pPr>
              <w:jc w:val="right"/>
              <w:ind w:right="152"/>
              <w:spacing w:after="0" w:line="133" w:lineRule="exact"/>
              <w:rPr>
                <w:sz w:val="20"/>
                <w:szCs w:val="20"/>
                <w:color w:val="auto"/>
              </w:rPr>
            </w:pPr>
            <w:r>
              <w:rPr>
                <w:rFonts w:ascii="Arial" w:cs="Arial" w:eastAsia="Arial" w:hAnsi="Arial"/>
                <w:sz w:val="14"/>
                <w:szCs w:val="14"/>
                <w:color w:val="auto"/>
              </w:rPr>
              <w:t>—</w:t>
            </w:r>
          </w:p>
        </w:tc>
        <w:tc>
          <w:tcPr>
            <w:tcW w:w="300" w:type="dxa"/>
            <w:vAlign w:val="bottom"/>
          </w:tcPr>
          <w:p>
            <w:pPr>
              <w:spacing w:after="0"/>
              <w:rPr>
                <w:sz w:val="11"/>
                <w:szCs w:val="11"/>
                <w:color w:val="auto"/>
              </w:rPr>
            </w:pPr>
          </w:p>
        </w:tc>
        <w:tc>
          <w:tcPr>
            <w:tcW w:w="840" w:type="dxa"/>
            <w:vAlign w:val="bottom"/>
            <w:vMerge w:val="continue"/>
          </w:tcPr>
          <w:p>
            <w:pPr>
              <w:spacing w:after="0"/>
              <w:rPr>
                <w:sz w:val="11"/>
                <w:szCs w:val="11"/>
                <w:color w:val="auto"/>
              </w:rPr>
            </w:pPr>
          </w:p>
        </w:tc>
        <w:tc>
          <w:tcPr>
            <w:tcW w:w="0" w:type="dxa"/>
            <w:vAlign w:val="bottom"/>
          </w:tcPr>
          <w:p>
            <w:pPr>
              <w:spacing w:after="0"/>
              <w:rPr>
                <w:sz w:val="1"/>
                <w:szCs w:val="1"/>
                <w:color w:val="auto"/>
              </w:rPr>
            </w:pPr>
          </w:p>
        </w:tc>
      </w:tr>
      <w:tr>
        <w:trPr>
          <w:trHeight w:val="165"/>
        </w:trPr>
        <w:tc>
          <w:tcPr>
            <w:tcW w:w="20" w:type="dxa"/>
            <w:vAlign w:val="bottom"/>
          </w:tcPr>
          <w:p>
            <w:pPr>
              <w:spacing w:after="0"/>
              <w:rPr>
                <w:sz w:val="14"/>
                <w:szCs w:val="14"/>
                <w:color w:val="auto"/>
              </w:rPr>
            </w:pPr>
          </w:p>
        </w:tc>
        <w:tc>
          <w:tcPr>
            <w:tcW w:w="3400" w:type="dxa"/>
            <w:vAlign w:val="bottom"/>
            <w:tcBorders>
              <w:bottom w:val="single" w:sz="8" w:color="auto"/>
            </w:tcBorders>
          </w:tcPr>
          <w:p>
            <w:pPr>
              <w:ind w:left="200"/>
              <w:spacing w:after="0"/>
              <w:rPr>
                <w:sz w:val="20"/>
                <w:szCs w:val="20"/>
                <w:color w:val="auto"/>
              </w:rPr>
            </w:pPr>
            <w:r>
              <w:rPr>
                <w:rFonts w:ascii="Arial" w:cs="Arial" w:eastAsia="Arial" w:hAnsi="Arial"/>
                <w:sz w:val="14"/>
                <w:szCs w:val="14"/>
                <w:color w:val="auto"/>
              </w:rPr>
              <w:t>Other</w:t>
            </w:r>
          </w:p>
        </w:tc>
        <w:tc>
          <w:tcPr>
            <w:tcW w:w="320" w:type="dxa"/>
            <w:vAlign w:val="bottom"/>
            <w:tcBorders>
              <w:bottom w:val="single" w:sz="8" w:color="auto"/>
            </w:tcBorders>
          </w:tcPr>
          <w:p>
            <w:pPr>
              <w:spacing w:after="0"/>
              <w:rPr>
                <w:sz w:val="14"/>
                <w:szCs w:val="14"/>
                <w:color w:val="auto"/>
              </w:rPr>
            </w:pPr>
          </w:p>
        </w:tc>
        <w:tc>
          <w:tcPr>
            <w:tcW w:w="660" w:type="dxa"/>
            <w:vAlign w:val="bottom"/>
            <w:tcBorders>
              <w:bottom w:val="single" w:sz="8" w:color="auto"/>
            </w:tcBorders>
          </w:tcPr>
          <w:p>
            <w:pPr>
              <w:jc w:val="right"/>
              <w:ind w:right="152"/>
              <w:spacing w:after="0"/>
              <w:rPr>
                <w:sz w:val="20"/>
                <w:szCs w:val="20"/>
                <w:color w:val="auto"/>
              </w:rPr>
            </w:pPr>
            <w:r>
              <w:rPr>
                <w:rFonts w:ascii="Arial" w:cs="Arial" w:eastAsia="Arial" w:hAnsi="Arial"/>
                <w:sz w:val="14"/>
                <w:szCs w:val="14"/>
                <w:color w:val="auto"/>
              </w:rPr>
              <w:t>—</w:t>
            </w:r>
          </w:p>
        </w:tc>
        <w:tc>
          <w:tcPr>
            <w:tcW w:w="280" w:type="dxa"/>
            <w:vAlign w:val="bottom"/>
            <w:tcBorders>
              <w:bottom w:val="single" w:sz="8" w:color="auto"/>
            </w:tcBorders>
          </w:tcPr>
          <w:p>
            <w:pPr>
              <w:spacing w:after="0"/>
              <w:rPr>
                <w:sz w:val="14"/>
                <w:szCs w:val="14"/>
                <w:color w:val="auto"/>
              </w:rPr>
            </w:pPr>
          </w:p>
        </w:tc>
        <w:tc>
          <w:tcPr>
            <w:tcW w:w="520" w:type="dxa"/>
            <w:vAlign w:val="bottom"/>
            <w:tcBorders>
              <w:bottom w:val="single" w:sz="8" w:color="auto"/>
            </w:tcBorders>
          </w:tcPr>
          <w:p>
            <w:pPr>
              <w:jc w:val="right"/>
              <w:ind w:right="152"/>
              <w:spacing w:after="0"/>
              <w:rPr>
                <w:sz w:val="20"/>
                <w:szCs w:val="20"/>
                <w:color w:val="auto"/>
              </w:rPr>
            </w:pPr>
            <w:r>
              <w:rPr>
                <w:rFonts w:ascii="Arial" w:cs="Arial" w:eastAsia="Arial" w:hAnsi="Arial"/>
                <w:sz w:val="14"/>
                <w:szCs w:val="14"/>
                <w:color w:val="auto"/>
              </w:rPr>
              <w:t>—</w:t>
            </w:r>
          </w:p>
        </w:tc>
        <w:tc>
          <w:tcPr>
            <w:tcW w:w="280" w:type="dxa"/>
            <w:vAlign w:val="bottom"/>
            <w:tcBorders>
              <w:bottom w:val="single" w:sz="8" w:color="auto"/>
            </w:tcBorders>
          </w:tcPr>
          <w:p>
            <w:pPr>
              <w:spacing w:after="0"/>
              <w:rPr>
                <w:sz w:val="14"/>
                <w:szCs w:val="14"/>
                <w:color w:val="auto"/>
              </w:rPr>
            </w:pPr>
          </w:p>
        </w:tc>
        <w:tc>
          <w:tcPr>
            <w:tcW w:w="520" w:type="dxa"/>
            <w:vAlign w:val="bottom"/>
            <w:tcBorders>
              <w:bottom w:val="single" w:sz="8" w:color="auto"/>
            </w:tcBorders>
          </w:tcPr>
          <w:p>
            <w:pPr>
              <w:jc w:val="right"/>
              <w:ind w:right="152"/>
              <w:spacing w:after="0"/>
              <w:rPr>
                <w:sz w:val="20"/>
                <w:szCs w:val="20"/>
                <w:color w:val="auto"/>
              </w:rPr>
            </w:pPr>
            <w:r>
              <w:rPr>
                <w:rFonts w:ascii="Arial" w:cs="Arial" w:eastAsia="Arial" w:hAnsi="Arial"/>
                <w:sz w:val="14"/>
                <w:szCs w:val="14"/>
                <w:color w:val="auto"/>
              </w:rPr>
              <w:t>—</w:t>
            </w:r>
          </w:p>
        </w:tc>
        <w:tc>
          <w:tcPr>
            <w:tcW w:w="260" w:type="dxa"/>
            <w:vAlign w:val="bottom"/>
            <w:tcBorders>
              <w:bottom w:val="single" w:sz="8" w:color="auto"/>
            </w:tcBorders>
          </w:tcPr>
          <w:p>
            <w:pPr>
              <w:spacing w:after="0"/>
              <w:rPr>
                <w:sz w:val="14"/>
                <w:szCs w:val="14"/>
                <w:color w:val="auto"/>
              </w:rPr>
            </w:pPr>
          </w:p>
        </w:tc>
        <w:tc>
          <w:tcPr>
            <w:tcW w:w="740" w:type="dxa"/>
            <w:vAlign w:val="bottom"/>
            <w:tcBorders>
              <w:bottom w:val="single" w:sz="8" w:color="auto"/>
            </w:tcBorders>
          </w:tcPr>
          <w:p>
            <w:pPr>
              <w:jc w:val="right"/>
              <w:ind w:right="152"/>
              <w:spacing w:after="0"/>
              <w:rPr>
                <w:sz w:val="20"/>
                <w:szCs w:val="20"/>
                <w:color w:val="auto"/>
              </w:rPr>
            </w:pPr>
            <w:r>
              <w:rPr>
                <w:rFonts w:ascii="Arial" w:cs="Arial" w:eastAsia="Arial" w:hAnsi="Arial"/>
                <w:sz w:val="14"/>
                <w:szCs w:val="14"/>
                <w:color w:val="auto"/>
              </w:rPr>
              <w:t>—</w:t>
            </w:r>
          </w:p>
        </w:tc>
        <w:tc>
          <w:tcPr>
            <w:tcW w:w="380" w:type="dxa"/>
            <w:vAlign w:val="bottom"/>
            <w:tcBorders>
              <w:bottom w:val="single" w:sz="8" w:color="auto"/>
            </w:tcBorders>
          </w:tcPr>
          <w:p>
            <w:pPr>
              <w:spacing w:after="0"/>
              <w:rPr>
                <w:sz w:val="14"/>
                <w:szCs w:val="14"/>
                <w:color w:val="auto"/>
              </w:rPr>
            </w:pPr>
          </w:p>
        </w:tc>
        <w:tc>
          <w:tcPr>
            <w:tcW w:w="560" w:type="dxa"/>
            <w:vAlign w:val="bottom"/>
            <w:tcBorders>
              <w:bottom w:val="single" w:sz="8" w:color="auto"/>
            </w:tcBorders>
          </w:tcPr>
          <w:p>
            <w:pPr>
              <w:jc w:val="right"/>
              <w:ind w:right="152"/>
              <w:spacing w:after="0"/>
              <w:rPr>
                <w:sz w:val="20"/>
                <w:szCs w:val="20"/>
                <w:color w:val="auto"/>
              </w:rPr>
            </w:pPr>
            <w:r>
              <w:rPr>
                <w:rFonts w:ascii="Arial" w:cs="Arial" w:eastAsia="Arial" w:hAnsi="Arial"/>
                <w:sz w:val="14"/>
                <w:szCs w:val="14"/>
                <w:color w:val="auto"/>
              </w:rPr>
              <w:t>—</w:t>
            </w:r>
          </w:p>
        </w:tc>
        <w:tc>
          <w:tcPr>
            <w:tcW w:w="280" w:type="dxa"/>
            <w:vAlign w:val="bottom"/>
            <w:tcBorders>
              <w:bottom w:val="single" w:sz="8" w:color="auto"/>
            </w:tcBorders>
          </w:tcPr>
          <w:p>
            <w:pPr>
              <w:spacing w:after="0"/>
              <w:rPr>
                <w:sz w:val="14"/>
                <w:szCs w:val="14"/>
                <w:color w:val="auto"/>
              </w:rPr>
            </w:pPr>
          </w:p>
        </w:tc>
        <w:tc>
          <w:tcPr>
            <w:tcW w:w="860" w:type="dxa"/>
            <w:vAlign w:val="bottom"/>
            <w:tcBorders>
              <w:bottom w:val="single" w:sz="8" w:color="auto"/>
            </w:tcBorders>
          </w:tcPr>
          <w:p>
            <w:pPr>
              <w:jc w:val="right"/>
              <w:ind w:right="112"/>
              <w:spacing w:after="0"/>
              <w:rPr>
                <w:sz w:val="20"/>
                <w:szCs w:val="20"/>
                <w:color w:val="auto"/>
              </w:rPr>
            </w:pPr>
            <w:r>
              <w:rPr>
                <w:rFonts w:ascii="Arial" w:cs="Arial" w:eastAsia="Arial" w:hAnsi="Arial"/>
                <w:sz w:val="14"/>
                <w:szCs w:val="14"/>
                <w:color w:val="auto"/>
              </w:rPr>
              <w:t>(2)</w:t>
            </w:r>
          </w:p>
        </w:tc>
        <w:tc>
          <w:tcPr>
            <w:tcW w:w="240" w:type="dxa"/>
            <w:vAlign w:val="bottom"/>
            <w:tcBorders>
              <w:bottom w:val="single" w:sz="8" w:color="auto"/>
            </w:tcBorders>
          </w:tcPr>
          <w:p>
            <w:pPr>
              <w:spacing w:after="0"/>
              <w:rPr>
                <w:sz w:val="14"/>
                <w:szCs w:val="14"/>
                <w:color w:val="auto"/>
              </w:rPr>
            </w:pPr>
          </w:p>
        </w:tc>
        <w:tc>
          <w:tcPr>
            <w:tcW w:w="960" w:type="dxa"/>
            <w:vAlign w:val="bottom"/>
            <w:tcBorders>
              <w:bottom w:val="single" w:sz="8" w:color="auto"/>
            </w:tcBorders>
          </w:tcPr>
          <w:p>
            <w:pPr>
              <w:jc w:val="right"/>
              <w:ind w:right="152"/>
              <w:spacing w:after="0"/>
              <w:rPr>
                <w:sz w:val="20"/>
                <w:szCs w:val="20"/>
                <w:color w:val="auto"/>
              </w:rPr>
            </w:pPr>
            <w:r>
              <w:rPr>
                <w:rFonts w:ascii="Arial" w:cs="Arial" w:eastAsia="Arial" w:hAnsi="Arial"/>
                <w:sz w:val="14"/>
                <w:szCs w:val="14"/>
                <w:color w:val="auto"/>
              </w:rPr>
              <w:t>—</w:t>
            </w:r>
          </w:p>
        </w:tc>
        <w:tc>
          <w:tcPr>
            <w:tcW w:w="300" w:type="dxa"/>
            <w:vAlign w:val="bottom"/>
            <w:tcBorders>
              <w:bottom w:val="single" w:sz="8" w:color="auto"/>
            </w:tcBorders>
          </w:tcPr>
          <w:p>
            <w:pPr>
              <w:spacing w:after="0"/>
              <w:rPr>
                <w:sz w:val="14"/>
                <w:szCs w:val="14"/>
                <w:color w:val="auto"/>
              </w:rPr>
            </w:pPr>
          </w:p>
        </w:tc>
        <w:tc>
          <w:tcPr>
            <w:tcW w:w="84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(2)</w:t>
            </w: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3400" w:type="dxa"/>
            <w:vAlign w:val="bottom"/>
            <w:tcBorders>
              <w:bottom w:val="single" w:sz="8" w:color="auto"/>
            </w:tcBorders>
          </w:tcPr>
          <w:p>
            <w:pPr>
              <w:ind w:left="200"/>
              <w:spacing w:after="0" w:line="142" w:lineRule="exact"/>
              <w:rPr>
                <w:sz w:val="20"/>
                <w:szCs w:val="20"/>
                <w:color w:val="auto"/>
              </w:rPr>
            </w:pPr>
            <w:r>
              <w:rPr>
                <w:rFonts w:ascii="Arial" w:cs="Arial" w:eastAsia="Arial" w:hAnsi="Arial"/>
                <w:sz w:val="14"/>
                <w:szCs w:val="14"/>
                <w:color w:val="auto"/>
              </w:rPr>
              <w:t>Net cash provided by (used in) investing activities</w:t>
            </w:r>
          </w:p>
        </w:tc>
        <w:tc>
          <w:tcPr>
            <w:tcW w:w="320" w:type="dxa"/>
            <w:vAlign w:val="bottom"/>
            <w:tcBorders>
              <w:bottom w:val="single" w:sz="8" w:color="auto"/>
            </w:tcBorders>
          </w:tcPr>
          <w:p>
            <w:pPr>
              <w:spacing w:after="0"/>
              <w:rPr>
                <w:sz w:val="12"/>
                <w:szCs w:val="12"/>
                <w:color w:val="auto"/>
              </w:rPr>
            </w:pPr>
          </w:p>
        </w:tc>
        <w:tc>
          <w:tcPr>
            <w:tcW w:w="660" w:type="dxa"/>
            <w:vAlign w:val="bottom"/>
            <w:tcBorders>
              <w:bottom w:val="single" w:sz="8" w:color="auto"/>
            </w:tcBorders>
          </w:tcPr>
          <w:p>
            <w:pPr>
              <w:jc w:val="right"/>
              <w:ind w:right="112"/>
              <w:spacing w:after="0" w:line="142" w:lineRule="exact"/>
              <w:rPr>
                <w:sz w:val="20"/>
                <w:szCs w:val="20"/>
                <w:color w:val="auto"/>
              </w:rPr>
            </w:pPr>
            <w:r>
              <w:rPr>
                <w:rFonts w:ascii="Arial" w:cs="Arial" w:eastAsia="Arial" w:hAnsi="Arial"/>
                <w:sz w:val="14"/>
                <w:szCs w:val="14"/>
                <w:color w:val="auto"/>
              </w:rPr>
              <w:t>(5,233)</w:t>
            </w:r>
          </w:p>
        </w:tc>
        <w:tc>
          <w:tcPr>
            <w:tcW w:w="280" w:type="dxa"/>
            <w:vAlign w:val="bottom"/>
            <w:tcBorders>
              <w:bottom w:val="single" w:sz="8" w:color="auto"/>
            </w:tcBorders>
          </w:tcPr>
          <w:p>
            <w:pPr>
              <w:spacing w:after="0"/>
              <w:rPr>
                <w:sz w:val="12"/>
                <w:szCs w:val="12"/>
                <w:color w:val="auto"/>
              </w:rPr>
            </w:pPr>
          </w:p>
        </w:tc>
        <w:tc>
          <w:tcPr>
            <w:tcW w:w="520" w:type="dxa"/>
            <w:vAlign w:val="bottom"/>
            <w:tcBorders>
              <w:bottom w:val="single" w:sz="8" w:color="auto"/>
            </w:tcBorders>
          </w:tcPr>
          <w:p>
            <w:pPr>
              <w:jc w:val="right"/>
              <w:ind w:right="152"/>
              <w:spacing w:after="0" w:line="142" w:lineRule="exact"/>
              <w:rPr>
                <w:sz w:val="20"/>
                <w:szCs w:val="20"/>
                <w:color w:val="auto"/>
              </w:rPr>
            </w:pPr>
            <w:r>
              <w:rPr>
                <w:rFonts w:ascii="Arial" w:cs="Arial" w:eastAsia="Arial" w:hAnsi="Arial"/>
                <w:sz w:val="14"/>
                <w:szCs w:val="14"/>
                <w:color w:val="auto"/>
              </w:rPr>
              <w:t>859</w:t>
            </w:r>
          </w:p>
        </w:tc>
        <w:tc>
          <w:tcPr>
            <w:tcW w:w="280" w:type="dxa"/>
            <w:vAlign w:val="bottom"/>
            <w:tcBorders>
              <w:bottom w:val="single" w:sz="8" w:color="auto"/>
            </w:tcBorders>
          </w:tcPr>
          <w:p>
            <w:pPr>
              <w:spacing w:after="0"/>
              <w:rPr>
                <w:sz w:val="12"/>
                <w:szCs w:val="12"/>
                <w:color w:val="auto"/>
              </w:rPr>
            </w:pPr>
          </w:p>
        </w:tc>
        <w:tc>
          <w:tcPr>
            <w:tcW w:w="520" w:type="dxa"/>
            <w:vAlign w:val="bottom"/>
            <w:tcBorders>
              <w:bottom w:val="single" w:sz="8" w:color="auto"/>
            </w:tcBorders>
          </w:tcPr>
          <w:p>
            <w:pPr>
              <w:jc w:val="right"/>
              <w:ind w:right="152"/>
              <w:spacing w:after="0" w:line="142" w:lineRule="exact"/>
              <w:rPr>
                <w:sz w:val="20"/>
                <w:szCs w:val="20"/>
                <w:color w:val="auto"/>
              </w:rPr>
            </w:pPr>
            <w:r>
              <w:rPr>
                <w:rFonts w:ascii="Arial" w:cs="Arial" w:eastAsia="Arial" w:hAnsi="Arial"/>
                <w:sz w:val="14"/>
                <w:szCs w:val="14"/>
                <w:color w:val="auto"/>
              </w:rPr>
              <w:t>226</w:t>
            </w:r>
          </w:p>
        </w:tc>
        <w:tc>
          <w:tcPr>
            <w:tcW w:w="260" w:type="dxa"/>
            <w:vAlign w:val="bottom"/>
            <w:tcBorders>
              <w:bottom w:val="single" w:sz="8" w:color="auto"/>
            </w:tcBorders>
          </w:tcPr>
          <w:p>
            <w:pPr>
              <w:spacing w:after="0"/>
              <w:rPr>
                <w:sz w:val="12"/>
                <w:szCs w:val="12"/>
                <w:color w:val="auto"/>
              </w:rPr>
            </w:pPr>
          </w:p>
        </w:tc>
        <w:tc>
          <w:tcPr>
            <w:tcW w:w="740" w:type="dxa"/>
            <w:vAlign w:val="bottom"/>
            <w:tcBorders>
              <w:bottom w:val="single" w:sz="8" w:color="auto"/>
            </w:tcBorders>
          </w:tcPr>
          <w:p>
            <w:pPr>
              <w:jc w:val="right"/>
              <w:ind w:right="152"/>
              <w:spacing w:after="0" w:line="142" w:lineRule="exact"/>
              <w:rPr>
                <w:sz w:val="20"/>
                <w:szCs w:val="20"/>
                <w:color w:val="auto"/>
              </w:rPr>
            </w:pPr>
            <w:r>
              <w:rPr>
                <w:rFonts w:ascii="Arial" w:cs="Arial" w:eastAsia="Arial" w:hAnsi="Arial"/>
                <w:sz w:val="14"/>
                <w:szCs w:val="14"/>
                <w:color w:val="auto"/>
              </w:rPr>
              <w:t>1,212</w:t>
            </w:r>
          </w:p>
        </w:tc>
        <w:tc>
          <w:tcPr>
            <w:tcW w:w="380" w:type="dxa"/>
            <w:vAlign w:val="bottom"/>
            <w:tcBorders>
              <w:bottom w:val="single" w:sz="8" w:color="auto"/>
            </w:tcBorders>
          </w:tcPr>
          <w:p>
            <w:pPr>
              <w:spacing w:after="0"/>
              <w:rPr>
                <w:sz w:val="12"/>
                <w:szCs w:val="12"/>
                <w:color w:val="auto"/>
              </w:rPr>
            </w:pPr>
          </w:p>
        </w:tc>
        <w:tc>
          <w:tcPr>
            <w:tcW w:w="560" w:type="dxa"/>
            <w:vAlign w:val="bottom"/>
            <w:tcBorders>
              <w:bottom w:val="single" w:sz="8" w:color="auto"/>
            </w:tcBorders>
          </w:tcPr>
          <w:p>
            <w:pPr>
              <w:jc w:val="right"/>
              <w:ind w:right="152"/>
              <w:spacing w:after="0" w:line="142" w:lineRule="exact"/>
              <w:rPr>
                <w:sz w:val="20"/>
                <w:szCs w:val="20"/>
                <w:color w:val="auto"/>
              </w:rPr>
            </w:pPr>
            <w:r>
              <w:rPr>
                <w:rFonts w:ascii="Arial" w:cs="Arial" w:eastAsia="Arial" w:hAnsi="Arial"/>
                <w:sz w:val="14"/>
                <w:szCs w:val="14"/>
                <w:color w:val="auto"/>
              </w:rPr>
              <w:t>7</w:t>
            </w:r>
          </w:p>
        </w:tc>
        <w:tc>
          <w:tcPr>
            <w:tcW w:w="280" w:type="dxa"/>
            <w:vAlign w:val="bottom"/>
            <w:tcBorders>
              <w:bottom w:val="single" w:sz="8" w:color="auto"/>
            </w:tcBorders>
          </w:tcPr>
          <w:p>
            <w:pPr>
              <w:spacing w:after="0"/>
              <w:rPr>
                <w:sz w:val="12"/>
                <w:szCs w:val="12"/>
                <w:color w:val="auto"/>
              </w:rPr>
            </w:pPr>
          </w:p>
        </w:tc>
        <w:tc>
          <w:tcPr>
            <w:tcW w:w="860" w:type="dxa"/>
            <w:vAlign w:val="bottom"/>
            <w:tcBorders>
              <w:bottom w:val="single" w:sz="8" w:color="auto"/>
            </w:tcBorders>
          </w:tcPr>
          <w:p>
            <w:pPr>
              <w:jc w:val="right"/>
              <w:ind w:right="112"/>
              <w:spacing w:after="0" w:line="142" w:lineRule="exact"/>
              <w:rPr>
                <w:sz w:val="20"/>
                <w:szCs w:val="20"/>
                <w:color w:val="auto"/>
              </w:rPr>
            </w:pPr>
            <w:r>
              <w:rPr>
                <w:rFonts w:ascii="Arial" w:cs="Arial" w:eastAsia="Arial" w:hAnsi="Arial"/>
                <w:sz w:val="14"/>
                <w:szCs w:val="14"/>
                <w:color w:val="auto"/>
              </w:rPr>
              <w:t>(6,943)</w:t>
            </w:r>
          </w:p>
        </w:tc>
        <w:tc>
          <w:tcPr>
            <w:tcW w:w="240" w:type="dxa"/>
            <w:vAlign w:val="bottom"/>
            <w:tcBorders>
              <w:bottom w:val="single" w:sz="8" w:color="auto"/>
            </w:tcBorders>
          </w:tcPr>
          <w:p>
            <w:pPr>
              <w:spacing w:after="0"/>
              <w:rPr>
                <w:sz w:val="12"/>
                <w:szCs w:val="12"/>
                <w:color w:val="auto"/>
              </w:rPr>
            </w:pPr>
          </w:p>
        </w:tc>
        <w:tc>
          <w:tcPr>
            <w:tcW w:w="960" w:type="dxa"/>
            <w:vAlign w:val="bottom"/>
            <w:tcBorders>
              <w:bottom w:val="single" w:sz="8" w:color="auto"/>
            </w:tcBorders>
          </w:tcPr>
          <w:p>
            <w:pPr>
              <w:jc w:val="right"/>
              <w:ind w:right="152"/>
              <w:spacing w:after="0" w:line="142" w:lineRule="exact"/>
              <w:rPr>
                <w:sz w:val="20"/>
                <w:szCs w:val="20"/>
                <w:color w:val="auto"/>
              </w:rPr>
            </w:pPr>
            <w:r>
              <w:rPr>
                <w:rFonts w:ascii="Arial" w:cs="Arial" w:eastAsia="Arial" w:hAnsi="Arial"/>
                <w:sz w:val="14"/>
                <w:szCs w:val="14"/>
                <w:color w:val="auto"/>
              </w:rPr>
              <w:t>—</w:t>
            </w:r>
          </w:p>
        </w:tc>
        <w:tc>
          <w:tcPr>
            <w:tcW w:w="300" w:type="dxa"/>
            <w:vAlign w:val="bottom"/>
            <w:tcBorders>
              <w:bottom w:val="single" w:sz="8" w:color="auto"/>
            </w:tcBorders>
          </w:tcPr>
          <w:p>
            <w:pPr>
              <w:spacing w:after="0"/>
              <w:rPr>
                <w:sz w:val="12"/>
                <w:szCs w:val="12"/>
                <w:color w:val="auto"/>
              </w:rPr>
            </w:pPr>
          </w:p>
        </w:tc>
        <w:tc>
          <w:tcPr>
            <w:tcW w:w="840" w:type="dxa"/>
            <w:vAlign w:val="bottom"/>
            <w:tcBorders>
              <w:bottom w:val="single" w:sz="8" w:color="auto"/>
            </w:tcBorders>
          </w:tcPr>
          <w:p>
            <w:pPr>
              <w:jc w:val="right"/>
              <w:spacing w:after="0" w:line="142" w:lineRule="exact"/>
              <w:rPr>
                <w:sz w:val="20"/>
                <w:szCs w:val="20"/>
                <w:color w:val="auto"/>
              </w:rPr>
            </w:pPr>
            <w:r>
              <w:rPr>
                <w:rFonts w:ascii="Arial" w:cs="Arial" w:eastAsia="Arial" w:hAnsi="Arial"/>
                <w:sz w:val="14"/>
                <w:szCs w:val="14"/>
                <w:b w:val="1"/>
                <w:bCs w:val="1"/>
                <w:color w:val="auto"/>
              </w:rPr>
              <w:t>(9,872)</w:t>
            </w:r>
          </w:p>
        </w:tc>
        <w:tc>
          <w:tcPr>
            <w:tcW w:w="0" w:type="dxa"/>
            <w:vAlign w:val="bottom"/>
          </w:tcPr>
          <w:p>
            <w:pPr>
              <w:spacing w:after="0"/>
              <w:rPr>
                <w:sz w:val="1"/>
                <w:szCs w:val="1"/>
                <w:color w:val="auto"/>
              </w:rPr>
            </w:pPr>
          </w:p>
        </w:tc>
      </w:tr>
      <w:tr>
        <w:trPr>
          <w:trHeight w:val="125"/>
        </w:trPr>
        <w:tc>
          <w:tcPr>
            <w:tcW w:w="20" w:type="dxa"/>
            <w:vAlign w:val="bottom"/>
          </w:tcPr>
          <w:p>
            <w:pPr>
              <w:spacing w:after="0"/>
              <w:rPr>
                <w:sz w:val="10"/>
                <w:szCs w:val="10"/>
                <w:color w:val="auto"/>
              </w:rPr>
            </w:pPr>
          </w:p>
        </w:tc>
        <w:tc>
          <w:tcPr>
            <w:tcW w:w="3400" w:type="dxa"/>
            <w:vAlign w:val="bottom"/>
          </w:tcPr>
          <w:p>
            <w:pPr>
              <w:spacing w:after="0" w:line="125" w:lineRule="exact"/>
              <w:rPr>
                <w:sz w:val="20"/>
                <w:szCs w:val="20"/>
                <w:color w:val="auto"/>
              </w:rPr>
            </w:pPr>
            <w:r>
              <w:rPr>
                <w:rFonts w:ascii="Arial" w:cs="Arial" w:eastAsia="Arial" w:hAnsi="Arial"/>
                <w:sz w:val="14"/>
                <w:szCs w:val="14"/>
                <w:color w:val="auto"/>
              </w:rPr>
              <w:t>Increase in cash and cash equivalents</w:t>
            </w:r>
          </w:p>
        </w:tc>
        <w:tc>
          <w:tcPr>
            <w:tcW w:w="320" w:type="dxa"/>
            <w:vAlign w:val="bottom"/>
          </w:tcPr>
          <w:p>
            <w:pPr>
              <w:spacing w:after="0"/>
              <w:rPr>
                <w:sz w:val="10"/>
                <w:szCs w:val="10"/>
                <w:color w:val="auto"/>
              </w:rPr>
            </w:pPr>
          </w:p>
        </w:tc>
        <w:tc>
          <w:tcPr>
            <w:tcW w:w="660" w:type="dxa"/>
            <w:vAlign w:val="bottom"/>
          </w:tcPr>
          <w:p>
            <w:pPr>
              <w:jc w:val="right"/>
              <w:ind w:right="152"/>
              <w:spacing w:after="0" w:line="125" w:lineRule="exact"/>
              <w:rPr>
                <w:sz w:val="20"/>
                <w:szCs w:val="20"/>
                <w:color w:val="auto"/>
              </w:rPr>
            </w:pPr>
            <w:r>
              <w:rPr>
                <w:rFonts w:ascii="Arial" w:cs="Arial" w:eastAsia="Arial" w:hAnsi="Arial"/>
                <w:sz w:val="14"/>
                <w:szCs w:val="14"/>
                <w:color w:val="auto"/>
              </w:rPr>
              <w:t>77</w:t>
            </w:r>
          </w:p>
        </w:tc>
        <w:tc>
          <w:tcPr>
            <w:tcW w:w="280" w:type="dxa"/>
            <w:vAlign w:val="bottom"/>
          </w:tcPr>
          <w:p>
            <w:pPr>
              <w:spacing w:after="0"/>
              <w:rPr>
                <w:sz w:val="10"/>
                <w:szCs w:val="10"/>
                <w:color w:val="auto"/>
              </w:rPr>
            </w:pPr>
          </w:p>
        </w:tc>
        <w:tc>
          <w:tcPr>
            <w:tcW w:w="520" w:type="dxa"/>
            <w:vAlign w:val="bottom"/>
          </w:tcPr>
          <w:p>
            <w:pPr>
              <w:jc w:val="right"/>
              <w:ind w:right="152"/>
              <w:spacing w:after="0" w:line="125" w:lineRule="exact"/>
              <w:rPr>
                <w:sz w:val="20"/>
                <w:szCs w:val="20"/>
                <w:color w:val="auto"/>
              </w:rPr>
            </w:pPr>
            <w:r>
              <w:rPr>
                <w:rFonts w:ascii="Arial" w:cs="Arial" w:eastAsia="Arial" w:hAnsi="Arial"/>
                <w:sz w:val="14"/>
                <w:szCs w:val="14"/>
                <w:color w:val="auto"/>
              </w:rPr>
              <w:t>—</w:t>
            </w:r>
          </w:p>
        </w:tc>
        <w:tc>
          <w:tcPr>
            <w:tcW w:w="280" w:type="dxa"/>
            <w:vAlign w:val="bottom"/>
          </w:tcPr>
          <w:p>
            <w:pPr>
              <w:spacing w:after="0"/>
              <w:rPr>
                <w:sz w:val="10"/>
                <w:szCs w:val="10"/>
                <w:color w:val="auto"/>
              </w:rPr>
            </w:pPr>
          </w:p>
        </w:tc>
        <w:tc>
          <w:tcPr>
            <w:tcW w:w="520" w:type="dxa"/>
            <w:vAlign w:val="bottom"/>
          </w:tcPr>
          <w:p>
            <w:pPr>
              <w:jc w:val="right"/>
              <w:ind w:right="152"/>
              <w:spacing w:after="0" w:line="125" w:lineRule="exact"/>
              <w:rPr>
                <w:sz w:val="20"/>
                <w:szCs w:val="20"/>
                <w:color w:val="auto"/>
              </w:rPr>
            </w:pPr>
            <w:r>
              <w:rPr>
                <w:rFonts w:ascii="Arial" w:cs="Arial" w:eastAsia="Arial" w:hAnsi="Arial"/>
                <w:sz w:val="14"/>
                <w:szCs w:val="14"/>
                <w:color w:val="auto"/>
              </w:rPr>
              <w:t>—</w:t>
            </w:r>
          </w:p>
        </w:tc>
        <w:tc>
          <w:tcPr>
            <w:tcW w:w="260" w:type="dxa"/>
            <w:vAlign w:val="bottom"/>
          </w:tcPr>
          <w:p>
            <w:pPr>
              <w:spacing w:after="0"/>
              <w:rPr>
                <w:sz w:val="10"/>
                <w:szCs w:val="10"/>
                <w:color w:val="auto"/>
              </w:rPr>
            </w:pPr>
          </w:p>
        </w:tc>
        <w:tc>
          <w:tcPr>
            <w:tcW w:w="740" w:type="dxa"/>
            <w:vAlign w:val="bottom"/>
          </w:tcPr>
          <w:p>
            <w:pPr>
              <w:jc w:val="right"/>
              <w:ind w:right="152"/>
              <w:spacing w:after="0" w:line="125" w:lineRule="exact"/>
              <w:rPr>
                <w:sz w:val="20"/>
                <w:szCs w:val="20"/>
                <w:color w:val="auto"/>
              </w:rPr>
            </w:pPr>
            <w:r>
              <w:rPr>
                <w:rFonts w:ascii="Arial" w:cs="Arial" w:eastAsia="Arial" w:hAnsi="Arial"/>
                <w:sz w:val="14"/>
                <w:szCs w:val="14"/>
                <w:color w:val="auto"/>
              </w:rPr>
              <w:t>—</w:t>
            </w:r>
          </w:p>
        </w:tc>
        <w:tc>
          <w:tcPr>
            <w:tcW w:w="380" w:type="dxa"/>
            <w:vAlign w:val="bottom"/>
          </w:tcPr>
          <w:p>
            <w:pPr>
              <w:spacing w:after="0"/>
              <w:rPr>
                <w:sz w:val="10"/>
                <w:szCs w:val="10"/>
                <w:color w:val="auto"/>
              </w:rPr>
            </w:pPr>
          </w:p>
        </w:tc>
        <w:tc>
          <w:tcPr>
            <w:tcW w:w="560" w:type="dxa"/>
            <w:vAlign w:val="bottom"/>
          </w:tcPr>
          <w:p>
            <w:pPr>
              <w:jc w:val="right"/>
              <w:ind w:right="152"/>
              <w:spacing w:after="0" w:line="125" w:lineRule="exact"/>
              <w:rPr>
                <w:sz w:val="20"/>
                <w:szCs w:val="20"/>
                <w:color w:val="auto"/>
              </w:rPr>
            </w:pPr>
            <w:r>
              <w:rPr>
                <w:rFonts w:ascii="Arial" w:cs="Arial" w:eastAsia="Arial" w:hAnsi="Arial"/>
                <w:sz w:val="14"/>
                <w:szCs w:val="14"/>
                <w:color w:val="auto"/>
              </w:rPr>
              <w:t>—</w:t>
            </w:r>
          </w:p>
        </w:tc>
        <w:tc>
          <w:tcPr>
            <w:tcW w:w="280" w:type="dxa"/>
            <w:vAlign w:val="bottom"/>
          </w:tcPr>
          <w:p>
            <w:pPr>
              <w:spacing w:after="0"/>
              <w:rPr>
                <w:sz w:val="10"/>
                <w:szCs w:val="10"/>
                <w:color w:val="auto"/>
              </w:rPr>
            </w:pPr>
          </w:p>
        </w:tc>
        <w:tc>
          <w:tcPr>
            <w:tcW w:w="860" w:type="dxa"/>
            <w:vAlign w:val="bottom"/>
          </w:tcPr>
          <w:p>
            <w:pPr>
              <w:jc w:val="right"/>
              <w:ind w:right="152"/>
              <w:spacing w:after="0" w:line="125" w:lineRule="exact"/>
              <w:rPr>
                <w:sz w:val="20"/>
                <w:szCs w:val="20"/>
                <w:color w:val="auto"/>
              </w:rPr>
            </w:pPr>
            <w:r>
              <w:rPr>
                <w:rFonts w:ascii="Arial" w:cs="Arial" w:eastAsia="Arial" w:hAnsi="Arial"/>
                <w:sz w:val="14"/>
                <w:szCs w:val="14"/>
                <w:color w:val="auto"/>
              </w:rPr>
              <w:t>215</w:t>
            </w:r>
          </w:p>
        </w:tc>
        <w:tc>
          <w:tcPr>
            <w:tcW w:w="240" w:type="dxa"/>
            <w:vAlign w:val="bottom"/>
          </w:tcPr>
          <w:p>
            <w:pPr>
              <w:spacing w:after="0"/>
              <w:rPr>
                <w:sz w:val="10"/>
                <w:szCs w:val="10"/>
                <w:color w:val="auto"/>
              </w:rPr>
            </w:pPr>
          </w:p>
        </w:tc>
        <w:tc>
          <w:tcPr>
            <w:tcW w:w="960" w:type="dxa"/>
            <w:vAlign w:val="bottom"/>
          </w:tcPr>
          <w:p>
            <w:pPr>
              <w:jc w:val="right"/>
              <w:ind w:right="152"/>
              <w:spacing w:after="0" w:line="125" w:lineRule="exact"/>
              <w:rPr>
                <w:sz w:val="20"/>
                <w:szCs w:val="20"/>
                <w:color w:val="auto"/>
              </w:rPr>
            </w:pPr>
            <w:r>
              <w:rPr>
                <w:rFonts w:ascii="Arial" w:cs="Arial" w:eastAsia="Arial" w:hAnsi="Arial"/>
                <w:sz w:val="14"/>
                <w:szCs w:val="14"/>
                <w:color w:val="auto"/>
              </w:rPr>
              <w:t>—</w:t>
            </w:r>
          </w:p>
        </w:tc>
        <w:tc>
          <w:tcPr>
            <w:tcW w:w="300" w:type="dxa"/>
            <w:vAlign w:val="bottom"/>
          </w:tcPr>
          <w:p>
            <w:pPr>
              <w:spacing w:after="0"/>
              <w:rPr>
                <w:sz w:val="10"/>
                <w:szCs w:val="10"/>
                <w:color w:val="auto"/>
              </w:rPr>
            </w:pPr>
          </w:p>
        </w:tc>
        <w:tc>
          <w:tcPr>
            <w:tcW w:w="840" w:type="dxa"/>
            <w:vAlign w:val="bottom"/>
          </w:tcPr>
          <w:p>
            <w:pPr>
              <w:jc w:val="right"/>
              <w:spacing w:after="0" w:line="125" w:lineRule="exact"/>
              <w:rPr>
                <w:sz w:val="20"/>
                <w:szCs w:val="20"/>
                <w:color w:val="auto"/>
              </w:rPr>
            </w:pPr>
            <w:r>
              <w:rPr>
                <w:rFonts w:ascii="Arial" w:cs="Arial" w:eastAsia="Arial" w:hAnsi="Arial"/>
                <w:sz w:val="14"/>
                <w:szCs w:val="14"/>
                <w:b w:val="1"/>
                <w:bCs w:val="1"/>
                <w:color w:val="auto"/>
              </w:rPr>
              <w:t>292</w:t>
            </w:r>
          </w:p>
        </w:tc>
        <w:tc>
          <w:tcPr>
            <w:tcW w:w="0" w:type="dxa"/>
            <w:vAlign w:val="bottom"/>
          </w:tcPr>
          <w:p>
            <w:pPr>
              <w:spacing w:after="0"/>
              <w:rPr>
                <w:sz w:val="1"/>
                <w:szCs w:val="1"/>
                <w:color w:val="auto"/>
              </w:rPr>
            </w:pPr>
          </w:p>
        </w:tc>
      </w:tr>
      <w:tr>
        <w:trPr>
          <w:trHeight w:val="165"/>
        </w:trPr>
        <w:tc>
          <w:tcPr>
            <w:tcW w:w="3420" w:type="dxa"/>
            <w:vAlign w:val="bottom"/>
            <w:tcBorders>
              <w:bottom w:val="single" w:sz="8" w:color="auto"/>
            </w:tcBorders>
            <w:gridSpan w:val="2"/>
          </w:tcPr>
          <w:p>
            <w:pPr>
              <w:spacing w:after="0"/>
              <w:rPr>
                <w:sz w:val="20"/>
                <w:szCs w:val="20"/>
                <w:color w:val="auto"/>
              </w:rPr>
            </w:pPr>
            <w:r>
              <w:rPr>
                <w:rFonts w:ascii="Arial" w:cs="Arial" w:eastAsia="Arial" w:hAnsi="Arial"/>
                <w:sz w:val="14"/>
                <w:szCs w:val="14"/>
                <w:color w:val="auto"/>
              </w:rPr>
              <w:t>Cash and cash equivalents, beginning of year</w:t>
            </w:r>
          </w:p>
        </w:tc>
        <w:tc>
          <w:tcPr>
            <w:tcW w:w="320" w:type="dxa"/>
            <w:vAlign w:val="bottom"/>
            <w:tcBorders>
              <w:bottom w:val="single" w:sz="8" w:color="auto"/>
            </w:tcBorders>
          </w:tcPr>
          <w:p>
            <w:pPr>
              <w:spacing w:after="0"/>
              <w:rPr>
                <w:sz w:val="14"/>
                <w:szCs w:val="14"/>
                <w:color w:val="auto"/>
              </w:rPr>
            </w:pPr>
          </w:p>
        </w:tc>
        <w:tc>
          <w:tcPr>
            <w:tcW w:w="660" w:type="dxa"/>
            <w:vAlign w:val="bottom"/>
            <w:tcBorders>
              <w:bottom w:val="single" w:sz="8" w:color="auto"/>
            </w:tcBorders>
          </w:tcPr>
          <w:p>
            <w:pPr>
              <w:jc w:val="right"/>
              <w:ind w:right="152"/>
              <w:spacing w:after="0"/>
              <w:rPr>
                <w:sz w:val="20"/>
                <w:szCs w:val="20"/>
                <w:color w:val="auto"/>
              </w:rPr>
            </w:pPr>
            <w:r>
              <w:rPr>
                <w:rFonts w:ascii="Arial" w:cs="Arial" w:eastAsia="Arial" w:hAnsi="Arial"/>
                <w:sz w:val="14"/>
                <w:szCs w:val="14"/>
                <w:color w:val="auto"/>
              </w:rPr>
              <w:t>—</w:t>
            </w:r>
          </w:p>
        </w:tc>
        <w:tc>
          <w:tcPr>
            <w:tcW w:w="280" w:type="dxa"/>
            <w:vAlign w:val="bottom"/>
            <w:tcBorders>
              <w:bottom w:val="single" w:sz="8" w:color="auto"/>
            </w:tcBorders>
          </w:tcPr>
          <w:p>
            <w:pPr>
              <w:spacing w:after="0"/>
              <w:rPr>
                <w:sz w:val="14"/>
                <w:szCs w:val="14"/>
                <w:color w:val="auto"/>
              </w:rPr>
            </w:pPr>
          </w:p>
        </w:tc>
        <w:tc>
          <w:tcPr>
            <w:tcW w:w="520" w:type="dxa"/>
            <w:vAlign w:val="bottom"/>
            <w:tcBorders>
              <w:bottom w:val="single" w:sz="8" w:color="auto"/>
            </w:tcBorders>
          </w:tcPr>
          <w:p>
            <w:pPr>
              <w:jc w:val="right"/>
              <w:ind w:right="152"/>
              <w:spacing w:after="0"/>
              <w:rPr>
                <w:sz w:val="20"/>
                <w:szCs w:val="20"/>
                <w:color w:val="auto"/>
              </w:rPr>
            </w:pPr>
            <w:r>
              <w:rPr>
                <w:rFonts w:ascii="Arial" w:cs="Arial" w:eastAsia="Arial" w:hAnsi="Arial"/>
                <w:sz w:val="14"/>
                <w:szCs w:val="14"/>
                <w:color w:val="auto"/>
              </w:rPr>
              <w:t>—</w:t>
            </w:r>
          </w:p>
        </w:tc>
        <w:tc>
          <w:tcPr>
            <w:tcW w:w="280" w:type="dxa"/>
            <w:vAlign w:val="bottom"/>
            <w:tcBorders>
              <w:bottom w:val="single" w:sz="8" w:color="auto"/>
            </w:tcBorders>
          </w:tcPr>
          <w:p>
            <w:pPr>
              <w:spacing w:after="0"/>
              <w:rPr>
                <w:sz w:val="14"/>
                <w:szCs w:val="14"/>
                <w:color w:val="auto"/>
              </w:rPr>
            </w:pPr>
          </w:p>
        </w:tc>
        <w:tc>
          <w:tcPr>
            <w:tcW w:w="520" w:type="dxa"/>
            <w:vAlign w:val="bottom"/>
            <w:tcBorders>
              <w:bottom w:val="single" w:sz="8" w:color="auto"/>
            </w:tcBorders>
          </w:tcPr>
          <w:p>
            <w:pPr>
              <w:jc w:val="right"/>
              <w:ind w:right="152"/>
              <w:spacing w:after="0"/>
              <w:rPr>
                <w:sz w:val="20"/>
                <w:szCs w:val="20"/>
                <w:color w:val="auto"/>
              </w:rPr>
            </w:pPr>
            <w:r>
              <w:rPr>
                <w:rFonts w:ascii="Arial" w:cs="Arial" w:eastAsia="Arial" w:hAnsi="Arial"/>
                <w:sz w:val="14"/>
                <w:szCs w:val="14"/>
                <w:color w:val="auto"/>
              </w:rPr>
              <w:t>—</w:t>
            </w:r>
          </w:p>
        </w:tc>
        <w:tc>
          <w:tcPr>
            <w:tcW w:w="260" w:type="dxa"/>
            <w:vAlign w:val="bottom"/>
            <w:tcBorders>
              <w:bottom w:val="single" w:sz="8" w:color="auto"/>
            </w:tcBorders>
          </w:tcPr>
          <w:p>
            <w:pPr>
              <w:spacing w:after="0"/>
              <w:rPr>
                <w:sz w:val="14"/>
                <w:szCs w:val="14"/>
                <w:color w:val="auto"/>
              </w:rPr>
            </w:pPr>
          </w:p>
        </w:tc>
        <w:tc>
          <w:tcPr>
            <w:tcW w:w="740" w:type="dxa"/>
            <w:vAlign w:val="bottom"/>
            <w:tcBorders>
              <w:bottom w:val="single" w:sz="8" w:color="auto"/>
            </w:tcBorders>
          </w:tcPr>
          <w:p>
            <w:pPr>
              <w:jc w:val="right"/>
              <w:ind w:right="152"/>
              <w:spacing w:after="0"/>
              <w:rPr>
                <w:sz w:val="20"/>
                <w:szCs w:val="20"/>
                <w:color w:val="auto"/>
              </w:rPr>
            </w:pPr>
            <w:r>
              <w:rPr>
                <w:rFonts w:ascii="Arial" w:cs="Arial" w:eastAsia="Arial" w:hAnsi="Arial"/>
                <w:sz w:val="14"/>
                <w:szCs w:val="14"/>
                <w:color w:val="auto"/>
              </w:rPr>
              <w:t>—</w:t>
            </w:r>
          </w:p>
        </w:tc>
        <w:tc>
          <w:tcPr>
            <w:tcW w:w="380" w:type="dxa"/>
            <w:vAlign w:val="bottom"/>
            <w:tcBorders>
              <w:bottom w:val="single" w:sz="8" w:color="auto"/>
            </w:tcBorders>
          </w:tcPr>
          <w:p>
            <w:pPr>
              <w:spacing w:after="0"/>
              <w:rPr>
                <w:sz w:val="14"/>
                <w:szCs w:val="14"/>
                <w:color w:val="auto"/>
              </w:rPr>
            </w:pPr>
          </w:p>
        </w:tc>
        <w:tc>
          <w:tcPr>
            <w:tcW w:w="560" w:type="dxa"/>
            <w:vAlign w:val="bottom"/>
            <w:tcBorders>
              <w:bottom w:val="single" w:sz="8" w:color="auto"/>
            </w:tcBorders>
          </w:tcPr>
          <w:p>
            <w:pPr>
              <w:jc w:val="right"/>
              <w:ind w:right="152"/>
              <w:spacing w:after="0"/>
              <w:rPr>
                <w:sz w:val="20"/>
                <w:szCs w:val="20"/>
                <w:color w:val="auto"/>
              </w:rPr>
            </w:pPr>
            <w:r>
              <w:rPr>
                <w:rFonts w:ascii="Arial" w:cs="Arial" w:eastAsia="Arial" w:hAnsi="Arial"/>
                <w:sz w:val="14"/>
                <w:szCs w:val="14"/>
                <w:color w:val="auto"/>
              </w:rPr>
              <w:t>—</w:t>
            </w:r>
          </w:p>
        </w:tc>
        <w:tc>
          <w:tcPr>
            <w:tcW w:w="280" w:type="dxa"/>
            <w:vAlign w:val="bottom"/>
            <w:tcBorders>
              <w:bottom w:val="single" w:sz="8" w:color="auto"/>
            </w:tcBorders>
          </w:tcPr>
          <w:p>
            <w:pPr>
              <w:spacing w:after="0"/>
              <w:rPr>
                <w:sz w:val="14"/>
                <w:szCs w:val="14"/>
                <w:color w:val="auto"/>
              </w:rPr>
            </w:pPr>
          </w:p>
        </w:tc>
        <w:tc>
          <w:tcPr>
            <w:tcW w:w="860" w:type="dxa"/>
            <w:vAlign w:val="bottom"/>
            <w:tcBorders>
              <w:bottom w:val="single" w:sz="8" w:color="auto"/>
            </w:tcBorders>
          </w:tcPr>
          <w:p>
            <w:pPr>
              <w:jc w:val="right"/>
              <w:ind w:right="152"/>
              <w:spacing w:after="0"/>
              <w:rPr>
                <w:sz w:val="20"/>
                <w:szCs w:val="20"/>
                <w:color w:val="auto"/>
              </w:rPr>
            </w:pPr>
            <w:r>
              <w:rPr>
                <w:rFonts w:ascii="Arial" w:cs="Arial" w:eastAsia="Arial" w:hAnsi="Arial"/>
                <w:sz w:val="14"/>
                <w:szCs w:val="14"/>
                <w:color w:val="auto"/>
              </w:rPr>
              <w:t>947</w:t>
            </w:r>
          </w:p>
        </w:tc>
        <w:tc>
          <w:tcPr>
            <w:tcW w:w="240" w:type="dxa"/>
            <w:vAlign w:val="bottom"/>
            <w:tcBorders>
              <w:bottom w:val="single" w:sz="8" w:color="auto"/>
            </w:tcBorders>
          </w:tcPr>
          <w:p>
            <w:pPr>
              <w:spacing w:after="0"/>
              <w:rPr>
                <w:sz w:val="14"/>
                <w:szCs w:val="14"/>
                <w:color w:val="auto"/>
              </w:rPr>
            </w:pPr>
          </w:p>
        </w:tc>
        <w:tc>
          <w:tcPr>
            <w:tcW w:w="960" w:type="dxa"/>
            <w:vAlign w:val="bottom"/>
            <w:tcBorders>
              <w:bottom w:val="single" w:sz="8" w:color="auto"/>
            </w:tcBorders>
          </w:tcPr>
          <w:p>
            <w:pPr>
              <w:jc w:val="right"/>
              <w:ind w:right="152"/>
              <w:spacing w:after="0"/>
              <w:rPr>
                <w:sz w:val="20"/>
                <w:szCs w:val="20"/>
                <w:color w:val="auto"/>
              </w:rPr>
            </w:pPr>
            <w:r>
              <w:rPr>
                <w:rFonts w:ascii="Arial" w:cs="Arial" w:eastAsia="Arial" w:hAnsi="Arial"/>
                <w:sz w:val="14"/>
                <w:szCs w:val="14"/>
                <w:color w:val="auto"/>
              </w:rPr>
              <w:t>—</w:t>
            </w:r>
          </w:p>
        </w:tc>
        <w:tc>
          <w:tcPr>
            <w:tcW w:w="300" w:type="dxa"/>
            <w:vAlign w:val="bottom"/>
            <w:tcBorders>
              <w:bottom w:val="single" w:sz="8" w:color="auto"/>
            </w:tcBorders>
          </w:tcPr>
          <w:p>
            <w:pPr>
              <w:spacing w:after="0"/>
              <w:rPr>
                <w:sz w:val="14"/>
                <w:szCs w:val="14"/>
                <w:color w:val="auto"/>
              </w:rPr>
            </w:pPr>
          </w:p>
        </w:tc>
        <w:tc>
          <w:tcPr>
            <w:tcW w:w="84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947</w:t>
            </w:r>
          </w:p>
        </w:tc>
        <w:tc>
          <w:tcPr>
            <w:tcW w:w="0" w:type="dxa"/>
            <w:vAlign w:val="bottom"/>
          </w:tcPr>
          <w:p>
            <w:pPr>
              <w:spacing w:after="0"/>
              <w:rPr>
                <w:sz w:val="1"/>
                <w:szCs w:val="1"/>
                <w:color w:val="auto"/>
              </w:rPr>
            </w:pPr>
          </w:p>
        </w:tc>
      </w:tr>
      <w:tr>
        <w:trPr>
          <w:trHeight w:val="142"/>
        </w:trPr>
        <w:tc>
          <w:tcPr>
            <w:tcW w:w="3420" w:type="dxa"/>
            <w:vAlign w:val="bottom"/>
            <w:gridSpan w:val="2"/>
          </w:tcPr>
          <w:p>
            <w:pPr>
              <w:spacing w:after="0" w:line="142" w:lineRule="exact"/>
              <w:rPr>
                <w:sz w:val="20"/>
                <w:szCs w:val="20"/>
                <w:color w:val="auto"/>
              </w:rPr>
            </w:pPr>
            <w:r>
              <w:rPr>
                <w:rFonts w:ascii="Arial" w:cs="Arial" w:eastAsia="Arial" w:hAnsi="Arial"/>
                <w:sz w:val="14"/>
                <w:szCs w:val="14"/>
                <w:b w:val="1"/>
                <w:bCs w:val="1"/>
                <w:color w:val="auto"/>
              </w:rPr>
              <w:t>Cash and cash equivalents, end of year</w:t>
            </w:r>
          </w:p>
        </w:tc>
        <w:tc>
          <w:tcPr>
            <w:tcW w:w="320" w:type="dxa"/>
            <w:vAlign w:val="bottom"/>
          </w:tcPr>
          <w:p>
            <w:pPr>
              <w:ind w:left="220"/>
              <w:spacing w:after="0" w:line="142" w:lineRule="exact"/>
              <w:rPr>
                <w:sz w:val="20"/>
                <w:szCs w:val="20"/>
                <w:color w:val="auto"/>
              </w:rPr>
            </w:pPr>
            <w:r>
              <w:rPr>
                <w:rFonts w:ascii="Arial" w:cs="Arial" w:eastAsia="Arial" w:hAnsi="Arial"/>
                <w:sz w:val="14"/>
                <w:szCs w:val="14"/>
                <w:b w:val="1"/>
                <w:bCs w:val="1"/>
                <w:color w:val="auto"/>
              </w:rPr>
              <w:t>$</w:t>
            </w:r>
          </w:p>
        </w:tc>
        <w:tc>
          <w:tcPr>
            <w:tcW w:w="660" w:type="dxa"/>
            <w:vAlign w:val="bottom"/>
          </w:tcPr>
          <w:p>
            <w:pPr>
              <w:jc w:val="right"/>
              <w:ind w:right="152"/>
              <w:spacing w:after="0" w:line="142" w:lineRule="exact"/>
              <w:rPr>
                <w:sz w:val="20"/>
                <w:szCs w:val="20"/>
                <w:color w:val="auto"/>
              </w:rPr>
            </w:pPr>
            <w:r>
              <w:rPr>
                <w:rFonts w:ascii="Arial" w:cs="Arial" w:eastAsia="Arial" w:hAnsi="Arial"/>
                <w:sz w:val="14"/>
                <w:szCs w:val="14"/>
                <w:b w:val="1"/>
                <w:bCs w:val="1"/>
                <w:color w:val="auto"/>
              </w:rPr>
              <w:t>77</w:t>
            </w:r>
          </w:p>
        </w:tc>
        <w:tc>
          <w:tcPr>
            <w:tcW w:w="280" w:type="dxa"/>
            <w:vAlign w:val="bottom"/>
          </w:tcPr>
          <w:p>
            <w:pPr>
              <w:ind w:left="180"/>
              <w:spacing w:after="0" w:line="142" w:lineRule="exact"/>
              <w:rPr>
                <w:sz w:val="20"/>
                <w:szCs w:val="20"/>
                <w:color w:val="auto"/>
              </w:rPr>
            </w:pPr>
            <w:r>
              <w:rPr>
                <w:rFonts w:ascii="Arial" w:cs="Arial" w:eastAsia="Arial" w:hAnsi="Arial"/>
                <w:sz w:val="14"/>
                <w:szCs w:val="14"/>
                <w:b w:val="1"/>
                <w:bCs w:val="1"/>
                <w:color w:val="auto"/>
              </w:rPr>
              <w:t>$</w:t>
            </w:r>
          </w:p>
        </w:tc>
        <w:tc>
          <w:tcPr>
            <w:tcW w:w="520" w:type="dxa"/>
            <w:vAlign w:val="bottom"/>
          </w:tcPr>
          <w:p>
            <w:pPr>
              <w:jc w:val="right"/>
              <w:ind w:right="152"/>
              <w:spacing w:after="0" w:line="142" w:lineRule="exact"/>
              <w:rPr>
                <w:sz w:val="20"/>
                <w:szCs w:val="20"/>
                <w:color w:val="auto"/>
              </w:rPr>
            </w:pPr>
            <w:r>
              <w:rPr>
                <w:rFonts w:ascii="Arial" w:cs="Arial" w:eastAsia="Arial" w:hAnsi="Arial"/>
                <w:sz w:val="14"/>
                <w:szCs w:val="14"/>
                <w:b w:val="1"/>
                <w:bCs w:val="1"/>
                <w:color w:val="auto"/>
              </w:rPr>
              <w:t>—</w:t>
            </w:r>
          </w:p>
        </w:tc>
        <w:tc>
          <w:tcPr>
            <w:tcW w:w="280" w:type="dxa"/>
            <w:vAlign w:val="bottom"/>
          </w:tcPr>
          <w:p>
            <w:pPr>
              <w:ind w:left="160"/>
              <w:spacing w:after="0" w:line="142" w:lineRule="exact"/>
              <w:rPr>
                <w:sz w:val="20"/>
                <w:szCs w:val="20"/>
                <w:color w:val="auto"/>
              </w:rPr>
            </w:pPr>
            <w:r>
              <w:rPr>
                <w:rFonts w:ascii="Arial" w:cs="Arial" w:eastAsia="Arial" w:hAnsi="Arial"/>
                <w:sz w:val="14"/>
                <w:szCs w:val="14"/>
                <w:b w:val="1"/>
                <w:bCs w:val="1"/>
                <w:color w:val="auto"/>
              </w:rPr>
              <w:t>$</w:t>
            </w:r>
          </w:p>
        </w:tc>
        <w:tc>
          <w:tcPr>
            <w:tcW w:w="520" w:type="dxa"/>
            <w:vAlign w:val="bottom"/>
          </w:tcPr>
          <w:p>
            <w:pPr>
              <w:jc w:val="right"/>
              <w:ind w:right="152"/>
              <w:spacing w:after="0" w:line="142" w:lineRule="exact"/>
              <w:rPr>
                <w:sz w:val="20"/>
                <w:szCs w:val="20"/>
                <w:color w:val="auto"/>
              </w:rPr>
            </w:pPr>
            <w:r>
              <w:rPr>
                <w:rFonts w:ascii="Arial" w:cs="Arial" w:eastAsia="Arial" w:hAnsi="Arial"/>
                <w:sz w:val="14"/>
                <w:szCs w:val="14"/>
                <w:b w:val="1"/>
                <w:bCs w:val="1"/>
                <w:color w:val="auto"/>
              </w:rPr>
              <w:t>—</w:t>
            </w:r>
          </w:p>
        </w:tc>
        <w:tc>
          <w:tcPr>
            <w:tcW w:w="260" w:type="dxa"/>
            <w:vAlign w:val="bottom"/>
          </w:tcPr>
          <w:p>
            <w:pPr>
              <w:jc w:val="right"/>
              <w:spacing w:after="0" w:line="142" w:lineRule="exact"/>
              <w:rPr>
                <w:sz w:val="20"/>
                <w:szCs w:val="20"/>
                <w:color w:val="auto"/>
              </w:rPr>
            </w:pPr>
            <w:r>
              <w:rPr>
                <w:rFonts w:ascii="Arial" w:cs="Arial" w:eastAsia="Arial" w:hAnsi="Arial"/>
                <w:sz w:val="14"/>
                <w:szCs w:val="14"/>
                <w:b w:val="1"/>
                <w:bCs w:val="1"/>
                <w:color w:val="auto"/>
              </w:rPr>
              <w:t>$</w:t>
            </w:r>
          </w:p>
        </w:tc>
        <w:tc>
          <w:tcPr>
            <w:tcW w:w="740" w:type="dxa"/>
            <w:vAlign w:val="bottom"/>
          </w:tcPr>
          <w:p>
            <w:pPr>
              <w:jc w:val="right"/>
              <w:ind w:right="152"/>
              <w:spacing w:after="0" w:line="142" w:lineRule="exact"/>
              <w:rPr>
                <w:sz w:val="20"/>
                <w:szCs w:val="20"/>
                <w:color w:val="auto"/>
              </w:rPr>
            </w:pPr>
            <w:r>
              <w:rPr>
                <w:rFonts w:ascii="Arial" w:cs="Arial" w:eastAsia="Arial" w:hAnsi="Arial"/>
                <w:sz w:val="14"/>
                <w:szCs w:val="14"/>
                <w:b w:val="1"/>
                <w:bCs w:val="1"/>
                <w:color w:val="auto"/>
              </w:rPr>
              <w:t>—</w:t>
            </w:r>
          </w:p>
        </w:tc>
        <w:tc>
          <w:tcPr>
            <w:tcW w:w="380" w:type="dxa"/>
            <w:vAlign w:val="bottom"/>
          </w:tcPr>
          <w:p>
            <w:pPr>
              <w:ind w:left="180"/>
              <w:spacing w:after="0" w:line="142" w:lineRule="exact"/>
              <w:rPr>
                <w:sz w:val="20"/>
                <w:szCs w:val="20"/>
                <w:color w:val="auto"/>
              </w:rPr>
            </w:pPr>
            <w:r>
              <w:rPr>
                <w:rFonts w:ascii="Arial" w:cs="Arial" w:eastAsia="Arial" w:hAnsi="Arial"/>
                <w:sz w:val="14"/>
                <w:szCs w:val="14"/>
                <w:b w:val="1"/>
                <w:bCs w:val="1"/>
                <w:color w:val="auto"/>
              </w:rPr>
              <w:t>$</w:t>
            </w:r>
          </w:p>
        </w:tc>
        <w:tc>
          <w:tcPr>
            <w:tcW w:w="560" w:type="dxa"/>
            <w:vAlign w:val="bottom"/>
          </w:tcPr>
          <w:p>
            <w:pPr>
              <w:jc w:val="right"/>
              <w:ind w:right="152"/>
              <w:spacing w:after="0" w:line="142" w:lineRule="exact"/>
              <w:rPr>
                <w:sz w:val="20"/>
                <w:szCs w:val="20"/>
                <w:color w:val="auto"/>
              </w:rPr>
            </w:pPr>
            <w:r>
              <w:rPr>
                <w:rFonts w:ascii="Arial" w:cs="Arial" w:eastAsia="Arial" w:hAnsi="Arial"/>
                <w:sz w:val="14"/>
                <w:szCs w:val="14"/>
                <w:b w:val="1"/>
                <w:bCs w:val="1"/>
                <w:color w:val="auto"/>
              </w:rPr>
              <w:t>—</w:t>
            </w:r>
          </w:p>
        </w:tc>
        <w:tc>
          <w:tcPr>
            <w:tcW w:w="280" w:type="dxa"/>
            <w:vAlign w:val="bottom"/>
          </w:tcPr>
          <w:p>
            <w:pPr>
              <w:jc w:val="right"/>
              <w:spacing w:after="0" w:line="142" w:lineRule="exact"/>
              <w:rPr>
                <w:sz w:val="20"/>
                <w:szCs w:val="20"/>
                <w:color w:val="auto"/>
              </w:rPr>
            </w:pPr>
            <w:r>
              <w:rPr>
                <w:rFonts w:ascii="Arial" w:cs="Arial" w:eastAsia="Arial" w:hAnsi="Arial"/>
                <w:sz w:val="14"/>
                <w:szCs w:val="14"/>
                <w:b w:val="1"/>
                <w:bCs w:val="1"/>
                <w:color w:val="auto"/>
              </w:rPr>
              <w:t>$</w:t>
            </w:r>
          </w:p>
        </w:tc>
        <w:tc>
          <w:tcPr>
            <w:tcW w:w="860" w:type="dxa"/>
            <w:vAlign w:val="bottom"/>
          </w:tcPr>
          <w:p>
            <w:pPr>
              <w:jc w:val="right"/>
              <w:ind w:right="152"/>
              <w:spacing w:after="0" w:line="142" w:lineRule="exact"/>
              <w:rPr>
                <w:sz w:val="20"/>
                <w:szCs w:val="20"/>
                <w:color w:val="auto"/>
              </w:rPr>
            </w:pPr>
            <w:r>
              <w:rPr>
                <w:rFonts w:ascii="Arial" w:cs="Arial" w:eastAsia="Arial" w:hAnsi="Arial"/>
                <w:sz w:val="14"/>
                <w:szCs w:val="14"/>
                <w:b w:val="1"/>
                <w:bCs w:val="1"/>
                <w:color w:val="auto"/>
              </w:rPr>
              <w:t>1,162</w:t>
            </w:r>
          </w:p>
        </w:tc>
        <w:tc>
          <w:tcPr>
            <w:tcW w:w="240" w:type="dxa"/>
            <w:vAlign w:val="bottom"/>
          </w:tcPr>
          <w:p>
            <w:pPr>
              <w:jc w:val="right"/>
              <w:spacing w:after="0" w:line="142" w:lineRule="exact"/>
              <w:rPr>
                <w:sz w:val="20"/>
                <w:szCs w:val="20"/>
                <w:color w:val="auto"/>
              </w:rPr>
            </w:pPr>
            <w:r>
              <w:rPr>
                <w:rFonts w:ascii="Arial" w:cs="Arial" w:eastAsia="Arial" w:hAnsi="Arial"/>
                <w:sz w:val="14"/>
                <w:szCs w:val="14"/>
                <w:b w:val="1"/>
                <w:bCs w:val="1"/>
                <w:color w:val="auto"/>
              </w:rPr>
              <w:t>$</w:t>
            </w:r>
          </w:p>
        </w:tc>
        <w:tc>
          <w:tcPr>
            <w:tcW w:w="960" w:type="dxa"/>
            <w:vAlign w:val="bottom"/>
          </w:tcPr>
          <w:p>
            <w:pPr>
              <w:jc w:val="right"/>
              <w:ind w:right="152"/>
              <w:spacing w:after="0" w:line="142" w:lineRule="exact"/>
              <w:rPr>
                <w:sz w:val="20"/>
                <w:szCs w:val="20"/>
                <w:color w:val="auto"/>
              </w:rPr>
            </w:pPr>
            <w:r>
              <w:rPr>
                <w:rFonts w:ascii="Arial" w:cs="Arial" w:eastAsia="Arial" w:hAnsi="Arial"/>
                <w:sz w:val="14"/>
                <w:szCs w:val="14"/>
                <w:b w:val="1"/>
                <w:bCs w:val="1"/>
                <w:color w:val="auto"/>
              </w:rPr>
              <w:t>—</w:t>
            </w:r>
          </w:p>
        </w:tc>
        <w:tc>
          <w:tcPr>
            <w:tcW w:w="300" w:type="dxa"/>
            <w:vAlign w:val="bottom"/>
          </w:tcPr>
          <w:p>
            <w:pPr>
              <w:jc w:val="right"/>
              <w:spacing w:after="0" w:line="142" w:lineRule="exact"/>
              <w:rPr>
                <w:sz w:val="20"/>
                <w:szCs w:val="20"/>
                <w:color w:val="auto"/>
              </w:rPr>
            </w:pPr>
            <w:r>
              <w:rPr>
                <w:rFonts w:ascii="Arial" w:cs="Arial" w:eastAsia="Arial" w:hAnsi="Arial"/>
                <w:sz w:val="14"/>
                <w:szCs w:val="14"/>
                <w:b w:val="1"/>
                <w:bCs w:val="1"/>
                <w:color w:val="auto"/>
              </w:rPr>
              <w:t>$</w:t>
            </w:r>
          </w:p>
        </w:tc>
        <w:tc>
          <w:tcPr>
            <w:tcW w:w="840" w:type="dxa"/>
            <w:vAlign w:val="bottom"/>
          </w:tcPr>
          <w:p>
            <w:pPr>
              <w:jc w:val="right"/>
              <w:spacing w:after="0" w:line="142" w:lineRule="exact"/>
              <w:rPr>
                <w:sz w:val="20"/>
                <w:szCs w:val="20"/>
                <w:color w:val="auto"/>
              </w:rPr>
            </w:pPr>
            <w:r>
              <w:rPr>
                <w:rFonts w:ascii="Arial" w:cs="Arial" w:eastAsia="Arial" w:hAnsi="Arial"/>
                <w:sz w:val="14"/>
                <w:szCs w:val="14"/>
                <w:b w:val="1"/>
                <w:bCs w:val="1"/>
                <w:color w:val="auto"/>
              </w:rPr>
              <w:t>1,239</w:t>
            </w:r>
          </w:p>
        </w:tc>
        <w:tc>
          <w:tcPr>
            <w:tcW w:w="0" w:type="dxa"/>
            <w:vAlign w:val="bottom"/>
          </w:tcPr>
          <w:p>
            <w:pPr>
              <w:spacing w:after="0"/>
              <w:rPr>
                <w:sz w:val="1"/>
                <w:szCs w:val="1"/>
                <w:color w:val="auto"/>
              </w:rPr>
            </w:pPr>
          </w:p>
        </w:tc>
      </w:tr>
      <w:tr>
        <w:trPr>
          <w:trHeight w:val="304"/>
        </w:trPr>
        <w:tc>
          <w:tcPr>
            <w:tcW w:w="20" w:type="dxa"/>
            <w:vAlign w:val="bottom"/>
          </w:tcPr>
          <w:p>
            <w:pPr>
              <w:spacing w:after="0"/>
              <w:rPr>
                <w:sz w:val="24"/>
                <w:szCs w:val="24"/>
                <w:color w:val="auto"/>
              </w:rPr>
            </w:pPr>
          </w:p>
        </w:tc>
        <w:tc>
          <w:tcPr>
            <w:tcW w:w="3400" w:type="dxa"/>
            <w:vAlign w:val="bottom"/>
            <w:tcBorders>
              <w:top w:val="single" w:sz="8" w:color="35BF85"/>
            </w:tcBorders>
          </w:tcPr>
          <w:p>
            <w:pPr>
              <w:spacing w:after="0"/>
              <w:rPr>
                <w:sz w:val="24"/>
                <w:szCs w:val="24"/>
                <w:color w:val="auto"/>
              </w:rPr>
            </w:pPr>
          </w:p>
        </w:tc>
        <w:tc>
          <w:tcPr>
            <w:tcW w:w="320" w:type="dxa"/>
            <w:vAlign w:val="bottom"/>
            <w:tcBorders>
              <w:top w:val="single" w:sz="8" w:color="35BF85"/>
            </w:tcBorders>
          </w:tcPr>
          <w:p>
            <w:pPr>
              <w:spacing w:after="0"/>
              <w:rPr>
                <w:sz w:val="24"/>
                <w:szCs w:val="24"/>
                <w:color w:val="auto"/>
              </w:rPr>
            </w:pPr>
          </w:p>
        </w:tc>
        <w:tc>
          <w:tcPr>
            <w:tcW w:w="660" w:type="dxa"/>
            <w:vAlign w:val="bottom"/>
            <w:tcBorders>
              <w:top w:val="single" w:sz="8" w:color="35BF85"/>
            </w:tcBorders>
          </w:tcPr>
          <w:p>
            <w:pPr>
              <w:spacing w:after="0"/>
              <w:rPr>
                <w:sz w:val="24"/>
                <w:szCs w:val="24"/>
                <w:color w:val="auto"/>
              </w:rPr>
            </w:pPr>
          </w:p>
        </w:tc>
        <w:tc>
          <w:tcPr>
            <w:tcW w:w="280" w:type="dxa"/>
            <w:vAlign w:val="bottom"/>
            <w:tcBorders>
              <w:top w:val="single" w:sz="8" w:color="35BF85"/>
            </w:tcBorders>
          </w:tcPr>
          <w:p>
            <w:pPr>
              <w:spacing w:after="0"/>
              <w:rPr>
                <w:sz w:val="24"/>
                <w:szCs w:val="24"/>
                <w:color w:val="auto"/>
              </w:rPr>
            </w:pPr>
          </w:p>
        </w:tc>
        <w:tc>
          <w:tcPr>
            <w:tcW w:w="520" w:type="dxa"/>
            <w:vAlign w:val="bottom"/>
            <w:tcBorders>
              <w:top w:val="single" w:sz="8" w:color="35BF85"/>
            </w:tcBorders>
          </w:tcPr>
          <w:p>
            <w:pPr>
              <w:spacing w:after="0"/>
              <w:rPr>
                <w:sz w:val="24"/>
                <w:szCs w:val="24"/>
                <w:color w:val="auto"/>
              </w:rPr>
            </w:pPr>
          </w:p>
        </w:tc>
        <w:tc>
          <w:tcPr>
            <w:tcW w:w="280" w:type="dxa"/>
            <w:vAlign w:val="bottom"/>
            <w:tcBorders>
              <w:top w:val="single" w:sz="8" w:color="35BF85"/>
            </w:tcBorders>
          </w:tcPr>
          <w:p>
            <w:pPr>
              <w:spacing w:after="0"/>
              <w:rPr>
                <w:sz w:val="24"/>
                <w:szCs w:val="24"/>
                <w:color w:val="auto"/>
              </w:rPr>
            </w:pPr>
          </w:p>
        </w:tc>
        <w:tc>
          <w:tcPr>
            <w:tcW w:w="520" w:type="dxa"/>
            <w:vAlign w:val="bottom"/>
            <w:tcBorders>
              <w:top w:val="single" w:sz="8" w:color="35BF85"/>
            </w:tcBorders>
          </w:tcPr>
          <w:p>
            <w:pPr>
              <w:jc w:val="right"/>
              <w:ind w:right="92"/>
              <w:spacing w:after="0"/>
              <w:rPr>
                <w:sz w:val="20"/>
                <w:szCs w:val="20"/>
                <w:color w:val="auto"/>
              </w:rPr>
            </w:pPr>
            <w:r>
              <w:rPr>
                <w:rFonts w:ascii="Arial" w:cs="Arial" w:eastAsia="Arial" w:hAnsi="Arial"/>
                <w:sz w:val="14"/>
                <w:szCs w:val="14"/>
                <w:b w:val="1"/>
                <w:bCs w:val="1"/>
                <w:color w:val="auto"/>
              </w:rPr>
              <w:t>73</w:t>
            </w:r>
          </w:p>
        </w:tc>
        <w:tc>
          <w:tcPr>
            <w:tcW w:w="260" w:type="dxa"/>
            <w:vAlign w:val="bottom"/>
            <w:tcBorders>
              <w:top w:val="single" w:sz="8" w:color="35BF85"/>
            </w:tcBorders>
          </w:tcPr>
          <w:p>
            <w:pPr>
              <w:spacing w:after="0"/>
              <w:rPr>
                <w:sz w:val="24"/>
                <w:szCs w:val="24"/>
                <w:color w:val="auto"/>
              </w:rPr>
            </w:pPr>
          </w:p>
        </w:tc>
        <w:tc>
          <w:tcPr>
            <w:tcW w:w="5160" w:type="dxa"/>
            <w:vAlign w:val="bottom"/>
            <w:tcBorders>
              <w:top w:val="single" w:sz="8" w:color="35BF85"/>
            </w:tcBorders>
            <w:gridSpan w:val="9"/>
          </w:tcPr>
          <w:p>
            <w:pPr>
              <w:jc w:val="right"/>
              <w:spacing w:after="0"/>
              <w:rPr>
                <w:sz w:val="20"/>
                <w:szCs w:val="20"/>
                <w:color w:val="auto"/>
              </w:rPr>
            </w:pPr>
            <w:r>
              <w:rPr>
                <w:rFonts w:ascii="Arial" w:cs="Arial" w:eastAsia="Arial" w:hAnsi="Arial"/>
                <w:sz w:val="14"/>
                <w:szCs w:val="14"/>
                <w:color w:val="auto"/>
              </w:rPr>
              <w:t xml:space="preserve">Comcast 2006 Annual Report </w:t>
            </w:r>
            <w:r>
              <w:rPr>
                <w:rFonts w:ascii="Arial" w:cs="Arial" w:eastAsia="Arial" w:hAnsi="Arial"/>
                <w:sz w:val="14"/>
                <w:szCs w:val="14"/>
                <w:b w:val="1"/>
                <w:bCs w:val="1"/>
                <w:color w:val="auto"/>
              </w:rPr>
              <w:t>Notes to Consolidated Financial Statements</w:t>
            </w:r>
          </w:p>
        </w:tc>
        <w:tc>
          <w:tcPr>
            <w:tcW w:w="0" w:type="dxa"/>
            <w:vAlign w:val="bottom"/>
          </w:tcPr>
          <w:p>
            <w:pPr>
              <w:spacing w:after="0"/>
              <w:rPr>
                <w:sz w:val="1"/>
                <w:szCs w:val="1"/>
                <w:color w:val="auto"/>
              </w:rPr>
            </w:pPr>
          </w:p>
        </w:tc>
      </w:tr>
    </w:tbl>
    <w:p>
      <w:pPr>
        <w:sectPr>
          <w:pgSz w:w="11900" w:h="16838" w:orient="portrait"/>
          <w:cols w:equalWidth="0" w:num="1">
            <w:col w:w="11420"/>
          </w:cols>
          <w:pgMar w:left="240" w:top="459" w:right="239" w:bottom="1440" w:gutter="0" w:footer="0" w:header="0"/>
        </w:sectPr>
      </w:pPr>
    </w:p>
    <w:bookmarkStart w:id="150" w:name="page151"/>
    <w:bookmarkEnd w:id="150"/>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224" name="Picture 2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4"/>
                    <pic:cNvPicPr>
                      <a:picLocks noChangeAspect="1" noChangeArrowheads="1"/>
                    </pic:cNvPicPr>
                  </pic:nvPicPr>
                  <pic:blipFill>
                    <a:blip r:embed="rId231">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200" w:lineRule="exact"/>
        <w:rPr>
          <w:sz w:val="20"/>
          <w:szCs w:val="20"/>
          <w:color w:val="auto"/>
        </w:rPr>
      </w:pPr>
    </w:p>
    <w:p>
      <w:pPr>
        <w:spacing w:after="0" w:line="25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Condensed Consolidating Statement of Cash Flows</w:t>
      </w:r>
    </w:p>
    <w:p>
      <w:pPr>
        <w:spacing w:after="0" w:line="18" w:lineRule="exact"/>
        <w:rPr>
          <w:sz w:val="20"/>
          <w:szCs w:val="20"/>
          <w:color w:val="auto"/>
        </w:rPr>
      </w:pPr>
    </w:p>
    <w:p>
      <w:pPr>
        <w:spacing w:after="0"/>
        <w:rPr>
          <w:sz w:val="20"/>
          <w:szCs w:val="20"/>
          <w:color w:val="auto"/>
        </w:rPr>
      </w:pPr>
      <w:r>
        <w:rPr>
          <w:rFonts w:ascii="Arial" w:cs="Arial" w:eastAsia="Arial" w:hAnsi="Arial"/>
          <w:sz w:val="18"/>
          <w:szCs w:val="18"/>
          <w:color w:val="auto"/>
        </w:rPr>
        <w:t>For the Year Ended December 31, 2005</w:t>
      </w:r>
    </w:p>
    <w:p>
      <w:pPr>
        <w:spacing w:after="0" w:line="182"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376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920" w:type="dxa"/>
            <w:vAlign w:val="bottom"/>
          </w:tcPr>
          <w:p>
            <w:pPr>
              <w:jc w:val="right"/>
              <w:ind w:right="112"/>
              <w:spacing w:after="0"/>
              <w:rPr>
                <w:sz w:val="20"/>
                <w:szCs w:val="20"/>
                <w:color w:val="auto"/>
              </w:rPr>
            </w:pPr>
            <w:r>
              <w:rPr>
                <w:rFonts w:ascii="Arial" w:cs="Arial" w:eastAsia="Arial" w:hAnsi="Arial"/>
                <w:sz w:val="14"/>
                <w:szCs w:val="14"/>
                <w:color w:val="auto"/>
              </w:rPr>
              <w:t>Elimination</w:t>
            </w:r>
          </w:p>
        </w:tc>
        <w:tc>
          <w:tcPr>
            <w:tcW w:w="1080" w:type="dxa"/>
            <w:vAlign w:val="bottom"/>
            <w:gridSpan w:val="2"/>
            <w:vMerge w:val="restart"/>
          </w:tcPr>
          <w:p>
            <w:pPr>
              <w:jc w:val="right"/>
              <w:spacing w:after="0"/>
              <w:rPr>
                <w:sz w:val="20"/>
                <w:szCs w:val="20"/>
                <w:color w:val="auto"/>
              </w:rPr>
            </w:pPr>
            <w:r>
              <w:rPr>
                <w:rFonts w:ascii="Arial" w:cs="Arial" w:eastAsia="Arial" w:hAnsi="Arial"/>
                <w:sz w:val="14"/>
                <w:szCs w:val="14"/>
                <w:b w:val="1"/>
                <w:bCs w:val="1"/>
                <w:color w:val="auto"/>
              </w:rPr>
              <w:t>Consolidated</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376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940" w:type="dxa"/>
            <w:vAlign w:val="bottom"/>
            <w:gridSpan w:val="2"/>
          </w:tcPr>
          <w:p>
            <w:pPr>
              <w:jc w:val="right"/>
              <w:ind w:right="112"/>
              <w:spacing w:after="0" w:line="133" w:lineRule="exact"/>
              <w:rPr>
                <w:sz w:val="20"/>
                <w:szCs w:val="20"/>
                <w:color w:val="auto"/>
              </w:rPr>
            </w:pPr>
            <w:r>
              <w:rPr>
                <w:rFonts w:ascii="Arial" w:cs="Arial" w:eastAsia="Arial" w:hAnsi="Arial"/>
                <w:sz w:val="14"/>
                <w:szCs w:val="14"/>
                <w:color w:val="auto"/>
              </w:rPr>
              <w:t>Combined</w:t>
            </w:r>
          </w:p>
        </w:tc>
        <w:tc>
          <w:tcPr>
            <w:tcW w:w="3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820" w:type="dxa"/>
            <w:vAlign w:val="bottom"/>
          </w:tcPr>
          <w:p>
            <w:pPr>
              <w:jc w:val="right"/>
              <w:ind w:right="112"/>
              <w:spacing w:after="0" w:line="133" w:lineRule="exact"/>
              <w:rPr>
                <w:sz w:val="20"/>
                <w:szCs w:val="20"/>
                <w:color w:val="auto"/>
              </w:rPr>
            </w:pPr>
            <w:r>
              <w:rPr>
                <w:rFonts w:ascii="Arial" w:cs="Arial" w:eastAsia="Arial" w:hAnsi="Arial"/>
                <w:sz w:val="14"/>
                <w:szCs w:val="14"/>
                <w:color w:val="auto"/>
              </w:rPr>
              <w:t>Non-</w:t>
            </w:r>
          </w:p>
        </w:tc>
        <w:tc>
          <w:tcPr>
            <w:tcW w:w="220" w:type="dxa"/>
            <w:vAlign w:val="bottom"/>
          </w:tcPr>
          <w:p>
            <w:pPr>
              <w:spacing w:after="0"/>
              <w:rPr>
                <w:sz w:val="11"/>
                <w:szCs w:val="11"/>
                <w:color w:val="auto"/>
              </w:rPr>
            </w:pPr>
          </w:p>
        </w:tc>
        <w:tc>
          <w:tcPr>
            <w:tcW w:w="920" w:type="dxa"/>
            <w:vAlign w:val="bottom"/>
          </w:tcPr>
          <w:p>
            <w:pPr>
              <w:jc w:val="right"/>
              <w:ind w:right="112"/>
              <w:spacing w:after="0" w:line="133" w:lineRule="exact"/>
              <w:rPr>
                <w:sz w:val="20"/>
                <w:szCs w:val="20"/>
                <w:color w:val="auto"/>
              </w:rPr>
            </w:pPr>
            <w:r>
              <w:rPr>
                <w:rFonts w:ascii="Arial" w:cs="Arial" w:eastAsia="Arial" w:hAnsi="Arial"/>
                <w:sz w:val="14"/>
                <w:szCs w:val="14"/>
                <w:color w:val="auto"/>
              </w:rPr>
              <w:t>and</w:t>
            </w:r>
          </w:p>
        </w:tc>
        <w:tc>
          <w:tcPr>
            <w:tcW w:w="1080" w:type="dxa"/>
            <w:vAlign w:val="bottom"/>
            <w:gridSpan w:val="2"/>
            <w:vMerge w:val="continue"/>
          </w:tcPr>
          <w:p>
            <w:pPr>
              <w:spacing w:after="0"/>
              <w:rPr>
                <w:sz w:val="11"/>
                <w:szCs w:val="11"/>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760" w:type="dxa"/>
            <w:vAlign w:val="bottom"/>
          </w:tcPr>
          <w:p>
            <w:pPr>
              <w:spacing w:after="0"/>
              <w:rPr>
                <w:sz w:val="12"/>
                <w:szCs w:val="12"/>
                <w:color w:val="auto"/>
              </w:rPr>
            </w:pPr>
          </w:p>
        </w:tc>
        <w:tc>
          <w:tcPr>
            <w:tcW w:w="1080" w:type="dxa"/>
            <w:vAlign w:val="bottom"/>
            <w:gridSpan w:val="2"/>
          </w:tcPr>
          <w:p>
            <w:pPr>
              <w:ind w:left="360"/>
              <w:spacing w:after="0" w:line="149" w:lineRule="exact"/>
              <w:rPr>
                <w:sz w:val="20"/>
                <w:szCs w:val="20"/>
                <w:color w:val="auto"/>
              </w:rPr>
            </w:pPr>
            <w:r>
              <w:rPr>
                <w:rFonts w:ascii="Arial" w:cs="Arial" w:eastAsia="Arial" w:hAnsi="Arial"/>
                <w:sz w:val="14"/>
                <w:szCs w:val="14"/>
                <w:color w:val="auto"/>
              </w:rPr>
              <w:t>Comcast</w:t>
            </w:r>
          </w:p>
        </w:tc>
        <w:tc>
          <w:tcPr>
            <w:tcW w:w="720" w:type="dxa"/>
            <w:vAlign w:val="bottom"/>
            <w:gridSpan w:val="2"/>
          </w:tcPr>
          <w:p>
            <w:pPr>
              <w:jc w:val="right"/>
              <w:ind w:right="92"/>
              <w:spacing w:after="0" w:line="149" w:lineRule="exact"/>
              <w:rPr>
                <w:sz w:val="20"/>
                <w:szCs w:val="20"/>
                <w:color w:val="auto"/>
              </w:rPr>
            </w:pPr>
            <w:r>
              <w:rPr>
                <w:rFonts w:ascii="Arial" w:cs="Arial" w:eastAsia="Arial" w:hAnsi="Arial"/>
                <w:sz w:val="14"/>
                <w:szCs w:val="14"/>
                <w:color w:val="auto"/>
              </w:rPr>
              <w:t>CCCL</w:t>
            </w:r>
          </w:p>
        </w:tc>
        <w:tc>
          <w:tcPr>
            <w:tcW w:w="740" w:type="dxa"/>
            <w:vAlign w:val="bottom"/>
            <w:gridSpan w:val="2"/>
          </w:tcPr>
          <w:p>
            <w:pPr>
              <w:jc w:val="right"/>
              <w:ind w:right="112"/>
              <w:spacing w:after="0" w:line="149" w:lineRule="exact"/>
              <w:rPr>
                <w:sz w:val="20"/>
                <w:szCs w:val="20"/>
                <w:color w:val="auto"/>
              </w:rPr>
            </w:pPr>
            <w:r>
              <w:rPr>
                <w:rFonts w:ascii="Arial" w:cs="Arial" w:eastAsia="Arial" w:hAnsi="Arial"/>
                <w:sz w:val="14"/>
                <w:szCs w:val="14"/>
                <w:color w:val="auto"/>
              </w:rPr>
              <w:t>CCCH</w:t>
            </w:r>
          </w:p>
        </w:tc>
        <w:tc>
          <w:tcPr>
            <w:tcW w:w="240" w:type="dxa"/>
            <w:vAlign w:val="bottom"/>
          </w:tcPr>
          <w:p>
            <w:pPr>
              <w:spacing w:after="0"/>
              <w:rPr>
                <w:sz w:val="12"/>
                <w:szCs w:val="12"/>
                <w:color w:val="auto"/>
              </w:rPr>
            </w:pPr>
          </w:p>
        </w:tc>
        <w:tc>
          <w:tcPr>
            <w:tcW w:w="700" w:type="dxa"/>
            <w:vAlign w:val="bottom"/>
          </w:tcPr>
          <w:p>
            <w:pPr>
              <w:jc w:val="right"/>
              <w:ind w:right="112"/>
              <w:spacing w:after="0" w:line="149" w:lineRule="exact"/>
              <w:rPr>
                <w:sz w:val="20"/>
                <w:szCs w:val="20"/>
                <w:color w:val="auto"/>
              </w:rPr>
            </w:pPr>
            <w:r>
              <w:rPr>
                <w:rFonts w:ascii="Arial" w:cs="Arial" w:eastAsia="Arial" w:hAnsi="Arial"/>
                <w:sz w:val="14"/>
                <w:szCs w:val="14"/>
                <w:color w:val="auto"/>
                <w:w w:val="94"/>
              </w:rPr>
              <w:t>CCHMO</w:t>
            </w:r>
          </w:p>
        </w:tc>
        <w:tc>
          <w:tcPr>
            <w:tcW w:w="880" w:type="dxa"/>
            <w:vAlign w:val="bottom"/>
            <w:gridSpan w:val="2"/>
          </w:tcPr>
          <w:p>
            <w:pPr>
              <w:ind w:left="160"/>
              <w:spacing w:after="0" w:line="149" w:lineRule="exact"/>
              <w:rPr>
                <w:sz w:val="20"/>
                <w:szCs w:val="20"/>
                <w:color w:val="auto"/>
              </w:rPr>
            </w:pPr>
            <w:r>
              <w:rPr>
                <w:rFonts w:ascii="Arial" w:cs="Arial" w:eastAsia="Arial" w:hAnsi="Arial"/>
                <w:sz w:val="14"/>
                <w:szCs w:val="14"/>
                <w:color w:val="auto"/>
              </w:rPr>
              <w:t>Comcast</w:t>
            </w:r>
          </w:p>
        </w:tc>
        <w:tc>
          <w:tcPr>
            <w:tcW w:w="240" w:type="dxa"/>
            <w:vAlign w:val="bottom"/>
          </w:tcPr>
          <w:p>
            <w:pPr>
              <w:spacing w:after="0"/>
              <w:rPr>
                <w:sz w:val="12"/>
                <w:szCs w:val="12"/>
                <w:color w:val="auto"/>
              </w:rPr>
            </w:pPr>
          </w:p>
        </w:tc>
        <w:tc>
          <w:tcPr>
            <w:tcW w:w="820" w:type="dxa"/>
            <w:vAlign w:val="bottom"/>
          </w:tcPr>
          <w:p>
            <w:pPr>
              <w:jc w:val="right"/>
              <w:ind w:right="112"/>
              <w:spacing w:after="0" w:line="149" w:lineRule="exact"/>
              <w:rPr>
                <w:sz w:val="20"/>
                <w:szCs w:val="20"/>
                <w:color w:val="auto"/>
              </w:rPr>
            </w:pPr>
            <w:r>
              <w:rPr>
                <w:rFonts w:ascii="Arial" w:cs="Arial" w:eastAsia="Arial" w:hAnsi="Arial"/>
                <w:sz w:val="14"/>
                <w:szCs w:val="14"/>
                <w:color w:val="auto"/>
                <w:w w:val="98"/>
              </w:rPr>
              <w:t>Guarantor</w:t>
            </w:r>
          </w:p>
        </w:tc>
        <w:tc>
          <w:tcPr>
            <w:tcW w:w="1140" w:type="dxa"/>
            <w:vAlign w:val="bottom"/>
            <w:gridSpan w:val="2"/>
          </w:tcPr>
          <w:p>
            <w:pPr>
              <w:jc w:val="right"/>
              <w:ind w:right="112"/>
              <w:spacing w:after="0" w:line="149" w:lineRule="exact"/>
              <w:rPr>
                <w:sz w:val="20"/>
                <w:szCs w:val="20"/>
                <w:color w:val="auto"/>
              </w:rPr>
            </w:pPr>
            <w:r>
              <w:rPr>
                <w:rFonts w:ascii="Arial" w:cs="Arial" w:eastAsia="Arial" w:hAnsi="Arial"/>
                <w:sz w:val="14"/>
                <w:szCs w:val="14"/>
                <w:color w:val="auto"/>
              </w:rPr>
              <w:t>Consolidation</w:t>
            </w:r>
          </w:p>
        </w:tc>
        <w:tc>
          <w:tcPr>
            <w:tcW w:w="240" w:type="dxa"/>
            <w:vAlign w:val="bottom"/>
          </w:tcPr>
          <w:p>
            <w:pPr>
              <w:spacing w:after="0"/>
              <w:rPr>
                <w:sz w:val="12"/>
                <w:szCs w:val="12"/>
                <w:color w:val="auto"/>
              </w:rPr>
            </w:pPr>
          </w:p>
        </w:tc>
        <w:tc>
          <w:tcPr>
            <w:tcW w:w="840" w:type="dxa"/>
            <w:vAlign w:val="bottom"/>
          </w:tcPr>
          <w:p>
            <w:pPr>
              <w:jc w:val="right"/>
              <w:spacing w:after="0" w:line="149" w:lineRule="exact"/>
              <w:rPr>
                <w:sz w:val="20"/>
                <w:szCs w:val="20"/>
                <w:color w:val="auto"/>
              </w:rPr>
            </w:pPr>
            <w:r>
              <w:rPr>
                <w:rFonts w:ascii="Arial" w:cs="Arial" w:eastAsia="Arial" w:hAnsi="Arial"/>
                <w:sz w:val="14"/>
                <w:szCs w:val="14"/>
                <w:b w:val="1"/>
                <w:bCs w:val="1"/>
                <w:color w:val="auto"/>
              </w:rPr>
              <w:t>Comcast</w:t>
            </w:r>
          </w:p>
        </w:tc>
        <w:tc>
          <w:tcPr>
            <w:tcW w:w="0" w:type="dxa"/>
            <w:vAlign w:val="bottom"/>
          </w:tcPr>
          <w:p>
            <w:pPr>
              <w:spacing w:after="0"/>
              <w:rPr>
                <w:sz w:val="1"/>
                <w:szCs w:val="1"/>
                <w:color w:val="auto"/>
              </w:rPr>
            </w:pPr>
          </w:p>
        </w:tc>
      </w:tr>
      <w:tr>
        <w:trPr>
          <w:trHeight w:val="165"/>
        </w:trPr>
        <w:tc>
          <w:tcPr>
            <w:tcW w:w="3780" w:type="dxa"/>
            <w:vAlign w:val="bottom"/>
            <w:tcBorders>
              <w:bottom w:val="single" w:sz="8" w:color="auto"/>
            </w:tcBorders>
            <w:gridSpan w:val="2"/>
          </w:tcPr>
          <w:p>
            <w:pPr>
              <w:spacing w:after="0"/>
              <w:rPr>
                <w:sz w:val="20"/>
                <w:szCs w:val="20"/>
                <w:color w:val="auto"/>
              </w:rPr>
            </w:pPr>
            <w:r>
              <w:rPr>
                <w:rFonts w:ascii="Arial" w:cs="Arial" w:eastAsia="Arial" w:hAnsi="Arial"/>
                <w:sz w:val="14"/>
                <w:szCs w:val="14"/>
                <w:color w:val="auto"/>
              </w:rPr>
              <w:t>(in millions)</w:t>
            </w:r>
          </w:p>
        </w:tc>
        <w:tc>
          <w:tcPr>
            <w:tcW w:w="460" w:type="dxa"/>
            <w:vAlign w:val="bottom"/>
            <w:tcBorders>
              <w:bottom w:val="single" w:sz="8" w:color="auto"/>
            </w:tcBorders>
          </w:tcPr>
          <w:p>
            <w:pPr>
              <w:spacing w:after="0"/>
              <w:rPr>
                <w:sz w:val="14"/>
                <w:szCs w:val="14"/>
                <w:color w:val="auto"/>
              </w:rPr>
            </w:pPr>
          </w:p>
        </w:tc>
        <w:tc>
          <w:tcPr>
            <w:tcW w:w="620" w:type="dxa"/>
            <w:vAlign w:val="bottom"/>
            <w:tcBorders>
              <w:bottom w:val="single" w:sz="8" w:color="auto"/>
            </w:tcBorders>
          </w:tcPr>
          <w:p>
            <w:pPr>
              <w:jc w:val="right"/>
              <w:ind w:right="112"/>
              <w:spacing w:after="0"/>
              <w:rPr>
                <w:sz w:val="20"/>
                <w:szCs w:val="20"/>
                <w:color w:val="auto"/>
              </w:rPr>
            </w:pPr>
            <w:r>
              <w:rPr>
                <w:rFonts w:ascii="Arial" w:cs="Arial" w:eastAsia="Arial" w:hAnsi="Arial"/>
                <w:sz w:val="14"/>
                <w:szCs w:val="14"/>
                <w:color w:val="auto"/>
              </w:rPr>
              <w:t>Parent</w:t>
            </w:r>
          </w:p>
        </w:tc>
        <w:tc>
          <w:tcPr>
            <w:tcW w:w="720" w:type="dxa"/>
            <w:vAlign w:val="bottom"/>
            <w:tcBorders>
              <w:bottom w:val="single" w:sz="8" w:color="auto"/>
            </w:tcBorders>
            <w:gridSpan w:val="2"/>
          </w:tcPr>
          <w:p>
            <w:pPr>
              <w:ind w:left="160"/>
              <w:spacing w:after="0"/>
              <w:rPr>
                <w:sz w:val="20"/>
                <w:szCs w:val="20"/>
                <w:color w:val="auto"/>
              </w:rPr>
            </w:pPr>
            <w:r>
              <w:rPr>
                <w:rFonts w:ascii="Arial" w:cs="Arial" w:eastAsia="Arial" w:hAnsi="Arial"/>
                <w:sz w:val="14"/>
                <w:szCs w:val="14"/>
                <w:color w:val="auto"/>
              </w:rPr>
              <w:t>Parent</w:t>
            </w:r>
          </w:p>
        </w:tc>
        <w:tc>
          <w:tcPr>
            <w:tcW w:w="740" w:type="dxa"/>
            <w:vAlign w:val="bottom"/>
            <w:tcBorders>
              <w:bottom w:val="single" w:sz="8" w:color="auto"/>
            </w:tcBorders>
            <w:gridSpan w:val="2"/>
          </w:tcPr>
          <w:p>
            <w:pPr>
              <w:jc w:val="right"/>
              <w:ind w:right="112"/>
              <w:spacing w:after="0"/>
              <w:rPr>
                <w:sz w:val="20"/>
                <w:szCs w:val="20"/>
                <w:color w:val="auto"/>
              </w:rPr>
            </w:pPr>
            <w:r>
              <w:rPr>
                <w:rFonts w:ascii="Arial" w:cs="Arial" w:eastAsia="Arial" w:hAnsi="Arial"/>
                <w:sz w:val="14"/>
                <w:szCs w:val="14"/>
                <w:color w:val="auto"/>
              </w:rPr>
              <w:t>Parent</w:t>
            </w:r>
          </w:p>
        </w:tc>
        <w:tc>
          <w:tcPr>
            <w:tcW w:w="240" w:type="dxa"/>
            <w:vAlign w:val="bottom"/>
            <w:tcBorders>
              <w:bottom w:val="single" w:sz="8" w:color="auto"/>
            </w:tcBorders>
          </w:tcPr>
          <w:p>
            <w:pPr>
              <w:spacing w:after="0"/>
              <w:rPr>
                <w:sz w:val="14"/>
                <w:szCs w:val="14"/>
                <w:color w:val="auto"/>
              </w:rPr>
            </w:pPr>
          </w:p>
        </w:tc>
        <w:tc>
          <w:tcPr>
            <w:tcW w:w="700" w:type="dxa"/>
            <w:vAlign w:val="bottom"/>
            <w:tcBorders>
              <w:bottom w:val="single" w:sz="8" w:color="auto"/>
            </w:tcBorders>
          </w:tcPr>
          <w:p>
            <w:pPr>
              <w:jc w:val="right"/>
              <w:ind w:right="112"/>
              <w:spacing w:after="0"/>
              <w:rPr>
                <w:sz w:val="20"/>
                <w:szCs w:val="20"/>
                <w:color w:val="auto"/>
              </w:rPr>
            </w:pPr>
            <w:r>
              <w:rPr>
                <w:rFonts w:ascii="Arial" w:cs="Arial" w:eastAsia="Arial" w:hAnsi="Arial"/>
                <w:sz w:val="14"/>
                <w:szCs w:val="14"/>
                <w:color w:val="auto"/>
              </w:rPr>
              <w:t>Parents</w:t>
            </w:r>
          </w:p>
        </w:tc>
        <w:tc>
          <w:tcPr>
            <w:tcW w:w="880" w:type="dxa"/>
            <w:vAlign w:val="bottom"/>
            <w:tcBorders>
              <w:bottom w:val="single" w:sz="8" w:color="auto"/>
            </w:tcBorders>
            <w:gridSpan w:val="2"/>
          </w:tcPr>
          <w:p>
            <w:pPr>
              <w:ind w:left="160"/>
              <w:spacing w:after="0"/>
              <w:rPr>
                <w:sz w:val="20"/>
                <w:szCs w:val="20"/>
                <w:color w:val="auto"/>
              </w:rPr>
            </w:pPr>
            <w:r>
              <w:rPr>
                <w:rFonts w:ascii="Arial" w:cs="Arial" w:eastAsia="Arial" w:hAnsi="Arial"/>
                <w:sz w:val="14"/>
                <w:szCs w:val="14"/>
                <w:color w:val="auto"/>
              </w:rPr>
              <w:t>Holdings</w:t>
            </w:r>
          </w:p>
        </w:tc>
        <w:tc>
          <w:tcPr>
            <w:tcW w:w="1060" w:type="dxa"/>
            <w:vAlign w:val="bottom"/>
            <w:tcBorders>
              <w:bottom w:val="single" w:sz="8" w:color="auto"/>
            </w:tcBorders>
            <w:gridSpan w:val="2"/>
          </w:tcPr>
          <w:p>
            <w:pPr>
              <w:jc w:val="right"/>
              <w:ind w:right="112"/>
              <w:spacing w:after="0"/>
              <w:rPr>
                <w:sz w:val="20"/>
                <w:szCs w:val="20"/>
                <w:color w:val="auto"/>
              </w:rPr>
            </w:pPr>
            <w:r>
              <w:rPr>
                <w:rFonts w:ascii="Arial" w:cs="Arial" w:eastAsia="Arial" w:hAnsi="Arial"/>
                <w:sz w:val="14"/>
                <w:szCs w:val="14"/>
                <w:color w:val="auto"/>
              </w:rPr>
              <w:t>Subsidiaries</w:t>
            </w:r>
          </w:p>
        </w:tc>
        <w:tc>
          <w:tcPr>
            <w:tcW w:w="220" w:type="dxa"/>
            <w:vAlign w:val="bottom"/>
            <w:tcBorders>
              <w:bottom w:val="single" w:sz="8" w:color="auto"/>
            </w:tcBorders>
          </w:tcPr>
          <w:p>
            <w:pPr>
              <w:spacing w:after="0"/>
              <w:rPr>
                <w:sz w:val="14"/>
                <w:szCs w:val="14"/>
                <w:color w:val="auto"/>
              </w:rPr>
            </w:pPr>
          </w:p>
        </w:tc>
        <w:tc>
          <w:tcPr>
            <w:tcW w:w="920" w:type="dxa"/>
            <w:vAlign w:val="bottom"/>
            <w:tcBorders>
              <w:bottom w:val="single" w:sz="8" w:color="auto"/>
            </w:tcBorders>
          </w:tcPr>
          <w:p>
            <w:pPr>
              <w:jc w:val="right"/>
              <w:ind w:right="112"/>
              <w:spacing w:after="0"/>
              <w:rPr>
                <w:sz w:val="20"/>
                <w:szCs w:val="20"/>
                <w:color w:val="auto"/>
              </w:rPr>
            </w:pPr>
            <w:r>
              <w:rPr>
                <w:rFonts w:ascii="Arial" w:cs="Arial" w:eastAsia="Arial" w:hAnsi="Arial"/>
                <w:sz w:val="14"/>
                <w:szCs w:val="14"/>
                <w:color w:val="auto"/>
                <w:w w:val="93"/>
              </w:rPr>
              <w:t>Adjustments</w:t>
            </w:r>
          </w:p>
        </w:tc>
        <w:tc>
          <w:tcPr>
            <w:tcW w:w="240" w:type="dxa"/>
            <w:vAlign w:val="bottom"/>
            <w:tcBorders>
              <w:bottom w:val="single" w:sz="8" w:color="auto"/>
            </w:tcBorders>
          </w:tcPr>
          <w:p>
            <w:pPr>
              <w:spacing w:after="0"/>
              <w:rPr>
                <w:sz w:val="14"/>
                <w:szCs w:val="14"/>
                <w:color w:val="auto"/>
              </w:rPr>
            </w:pPr>
          </w:p>
        </w:tc>
        <w:tc>
          <w:tcPr>
            <w:tcW w:w="84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w w:val="94"/>
              </w:rPr>
              <w:t>Corporation</w:t>
            </w:r>
          </w:p>
        </w:tc>
        <w:tc>
          <w:tcPr>
            <w:tcW w:w="0" w:type="dxa"/>
            <w:vAlign w:val="bottom"/>
          </w:tcPr>
          <w:p>
            <w:pPr>
              <w:spacing w:after="0"/>
              <w:rPr>
                <w:sz w:val="1"/>
                <w:szCs w:val="1"/>
                <w:color w:val="auto"/>
              </w:rPr>
            </w:pPr>
          </w:p>
        </w:tc>
      </w:tr>
      <w:tr>
        <w:trPr>
          <w:trHeight w:val="141"/>
        </w:trPr>
        <w:tc>
          <w:tcPr>
            <w:tcW w:w="3780" w:type="dxa"/>
            <w:vAlign w:val="bottom"/>
            <w:gridSpan w:val="2"/>
          </w:tcPr>
          <w:p>
            <w:pPr>
              <w:spacing w:after="0" w:line="141" w:lineRule="exact"/>
              <w:rPr>
                <w:sz w:val="20"/>
                <w:szCs w:val="20"/>
                <w:color w:val="auto"/>
              </w:rPr>
            </w:pPr>
            <w:r>
              <w:rPr>
                <w:rFonts w:ascii="Arial" w:cs="Arial" w:eastAsia="Arial" w:hAnsi="Arial"/>
                <w:sz w:val="14"/>
                <w:szCs w:val="14"/>
                <w:b w:val="1"/>
                <w:bCs w:val="1"/>
                <w:color w:val="auto"/>
              </w:rPr>
              <w:t>Operating Activities</w:t>
            </w:r>
          </w:p>
        </w:tc>
        <w:tc>
          <w:tcPr>
            <w:tcW w:w="46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46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46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920" w:type="dxa"/>
            <w:vAlign w:val="bottom"/>
          </w:tcPr>
          <w:p>
            <w:pPr>
              <w:spacing w:after="0"/>
              <w:rPr>
                <w:sz w:val="12"/>
                <w:szCs w:val="12"/>
                <w:color w:val="auto"/>
              </w:rPr>
            </w:pPr>
          </w:p>
        </w:tc>
        <w:tc>
          <w:tcPr>
            <w:tcW w:w="240" w:type="dxa"/>
            <w:vAlign w:val="bottom"/>
            <w:vMerge w:val="restart"/>
          </w:tcPr>
          <w:p>
            <w:pPr>
              <w:jc w:val="right"/>
              <w:spacing w:after="0"/>
              <w:rPr>
                <w:sz w:val="20"/>
                <w:szCs w:val="20"/>
                <w:color w:val="auto"/>
              </w:rPr>
            </w:pPr>
            <w:r>
              <w:rPr>
                <w:rFonts w:ascii="Arial" w:cs="Arial" w:eastAsia="Arial" w:hAnsi="Arial"/>
                <w:sz w:val="14"/>
                <w:szCs w:val="14"/>
                <w:b w:val="1"/>
                <w:bCs w:val="1"/>
                <w:color w:val="auto"/>
              </w:rPr>
              <w:t>$</w:t>
            </w:r>
          </w:p>
        </w:tc>
        <w:tc>
          <w:tcPr>
            <w:tcW w:w="840" w:type="dxa"/>
            <w:vAlign w:val="bottom"/>
            <w:vMerge w:val="restart"/>
          </w:tcPr>
          <w:p>
            <w:pPr>
              <w:jc w:val="right"/>
              <w:spacing w:after="0"/>
              <w:rPr>
                <w:sz w:val="20"/>
                <w:szCs w:val="20"/>
                <w:color w:val="auto"/>
              </w:rPr>
            </w:pPr>
            <w:r>
              <w:rPr>
                <w:rFonts w:ascii="Arial" w:cs="Arial" w:eastAsia="Arial" w:hAnsi="Arial"/>
                <w:sz w:val="14"/>
                <w:szCs w:val="14"/>
                <w:b w:val="1"/>
                <w:bCs w:val="1"/>
                <w:color w:val="auto"/>
              </w:rPr>
              <w:t>4,835</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760" w:type="dxa"/>
            <w:vAlign w:val="bottom"/>
            <w:tcBorders>
              <w:bottom w:val="single" w:sz="8" w:color="auto"/>
            </w:tcBorders>
          </w:tcPr>
          <w:p>
            <w:pPr>
              <w:ind w:left="200"/>
              <w:spacing w:after="0" w:line="149" w:lineRule="exact"/>
              <w:rPr>
                <w:sz w:val="20"/>
                <w:szCs w:val="20"/>
                <w:color w:val="auto"/>
              </w:rPr>
            </w:pPr>
            <w:r>
              <w:rPr>
                <w:rFonts w:ascii="Arial" w:cs="Arial" w:eastAsia="Arial" w:hAnsi="Arial"/>
                <w:sz w:val="14"/>
                <w:szCs w:val="14"/>
                <w:color w:val="auto"/>
              </w:rPr>
              <w:t>Net cash provided by (used in) operating activities</w:t>
            </w:r>
          </w:p>
        </w:tc>
        <w:tc>
          <w:tcPr>
            <w:tcW w:w="460" w:type="dxa"/>
            <w:vAlign w:val="bottom"/>
            <w:tcBorders>
              <w:bottom w:val="single" w:sz="8" w:color="auto"/>
            </w:tcBorders>
          </w:tcPr>
          <w:p>
            <w:pPr>
              <w:ind w:left="360"/>
              <w:spacing w:after="0" w:line="149" w:lineRule="exact"/>
              <w:rPr>
                <w:sz w:val="20"/>
                <w:szCs w:val="20"/>
                <w:color w:val="auto"/>
              </w:rPr>
            </w:pPr>
            <w:r>
              <w:rPr>
                <w:rFonts w:ascii="Arial" w:cs="Arial" w:eastAsia="Arial" w:hAnsi="Arial"/>
                <w:sz w:val="14"/>
                <w:szCs w:val="14"/>
                <w:color w:val="auto"/>
              </w:rPr>
              <w:t>$</w:t>
            </w:r>
          </w:p>
        </w:tc>
        <w:tc>
          <w:tcPr>
            <w:tcW w:w="620" w:type="dxa"/>
            <w:vAlign w:val="bottom"/>
            <w:tcBorders>
              <w:bottom w:val="single" w:sz="8" w:color="auto"/>
            </w:tcBorders>
          </w:tcPr>
          <w:p>
            <w:pPr>
              <w:jc w:val="right"/>
              <w:ind w:right="112"/>
              <w:spacing w:after="0" w:line="149" w:lineRule="exact"/>
              <w:rPr>
                <w:sz w:val="20"/>
                <w:szCs w:val="20"/>
                <w:color w:val="auto"/>
              </w:rPr>
            </w:pPr>
            <w:r>
              <w:rPr>
                <w:rFonts w:ascii="Arial" w:cs="Arial" w:eastAsia="Arial" w:hAnsi="Arial"/>
                <w:sz w:val="14"/>
                <w:szCs w:val="14"/>
                <w:color w:val="auto"/>
              </w:rPr>
              <w:t>61</w:t>
            </w:r>
          </w:p>
        </w:tc>
        <w:tc>
          <w:tcPr>
            <w:tcW w:w="260" w:type="dxa"/>
            <w:vAlign w:val="bottom"/>
            <w:tcBorders>
              <w:bottom w:val="single" w:sz="8" w:color="auto"/>
            </w:tcBorders>
          </w:tcPr>
          <w:p>
            <w:pPr>
              <w:ind w:left="140"/>
              <w:spacing w:after="0" w:line="149" w:lineRule="exact"/>
              <w:rPr>
                <w:sz w:val="20"/>
                <w:szCs w:val="20"/>
                <w:color w:val="auto"/>
              </w:rPr>
            </w:pPr>
            <w:r>
              <w:rPr>
                <w:rFonts w:ascii="Arial" w:cs="Arial" w:eastAsia="Arial" w:hAnsi="Arial"/>
                <w:sz w:val="14"/>
                <w:szCs w:val="14"/>
                <w:color w:val="auto"/>
              </w:rPr>
              <w:t>$</w:t>
            </w:r>
          </w:p>
        </w:tc>
        <w:tc>
          <w:tcPr>
            <w:tcW w:w="460" w:type="dxa"/>
            <w:vAlign w:val="bottom"/>
            <w:tcBorders>
              <w:bottom w:val="single" w:sz="8" w:color="auto"/>
            </w:tcBorders>
          </w:tcPr>
          <w:p>
            <w:pPr>
              <w:jc w:val="right"/>
              <w:ind w:right="52"/>
              <w:spacing w:after="0" w:line="149" w:lineRule="exact"/>
              <w:rPr>
                <w:sz w:val="20"/>
                <w:szCs w:val="20"/>
                <w:color w:val="auto"/>
              </w:rPr>
            </w:pPr>
            <w:r>
              <w:rPr>
                <w:rFonts w:ascii="Arial" w:cs="Arial" w:eastAsia="Arial" w:hAnsi="Arial"/>
                <w:sz w:val="14"/>
                <w:szCs w:val="14"/>
                <w:color w:val="auto"/>
                <w:w w:val="97"/>
              </w:rPr>
              <w:t>(256)</w:t>
            </w:r>
          </w:p>
        </w:tc>
        <w:tc>
          <w:tcPr>
            <w:tcW w:w="280" w:type="dxa"/>
            <w:vAlign w:val="bottom"/>
            <w:tcBorders>
              <w:bottom w:val="single" w:sz="8" w:color="auto"/>
            </w:tcBorders>
          </w:tcPr>
          <w:p>
            <w:pPr>
              <w:jc w:val="center"/>
              <w:ind w:left="32"/>
              <w:spacing w:after="0" w:line="149" w:lineRule="exact"/>
              <w:rPr>
                <w:sz w:val="20"/>
                <w:szCs w:val="20"/>
                <w:color w:val="auto"/>
              </w:rPr>
            </w:pPr>
            <w:r>
              <w:rPr>
                <w:rFonts w:ascii="Arial" w:cs="Arial" w:eastAsia="Arial" w:hAnsi="Arial"/>
                <w:sz w:val="14"/>
                <w:szCs w:val="14"/>
                <w:color w:val="auto"/>
                <w:w w:val="76"/>
              </w:rPr>
              <w:t>$</w:t>
            </w:r>
          </w:p>
        </w:tc>
        <w:tc>
          <w:tcPr>
            <w:tcW w:w="460" w:type="dxa"/>
            <w:vAlign w:val="bottom"/>
            <w:tcBorders>
              <w:bottom w:val="single" w:sz="8" w:color="auto"/>
            </w:tcBorders>
          </w:tcPr>
          <w:p>
            <w:pPr>
              <w:jc w:val="right"/>
              <w:ind w:right="72"/>
              <w:spacing w:after="0" w:line="149" w:lineRule="exact"/>
              <w:rPr>
                <w:sz w:val="20"/>
                <w:szCs w:val="20"/>
                <w:color w:val="auto"/>
              </w:rPr>
            </w:pPr>
            <w:r>
              <w:rPr>
                <w:rFonts w:ascii="Arial" w:cs="Arial" w:eastAsia="Arial" w:hAnsi="Arial"/>
                <w:sz w:val="14"/>
                <w:szCs w:val="14"/>
                <w:color w:val="auto"/>
                <w:w w:val="91"/>
              </w:rPr>
              <w:t>(204)</w:t>
            </w:r>
          </w:p>
        </w:tc>
        <w:tc>
          <w:tcPr>
            <w:tcW w:w="240" w:type="dxa"/>
            <w:vAlign w:val="bottom"/>
            <w:tcBorders>
              <w:bottom w:val="single" w:sz="8" w:color="auto"/>
            </w:tcBorders>
          </w:tcPr>
          <w:p>
            <w:pPr>
              <w:jc w:val="right"/>
              <w:spacing w:after="0" w:line="149" w:lineRule="exact"/>
              <w:rPr>
                <w:sz w:val="20"/>
                <w:szCs w:val="20"/>
                <w:color w:val="auto"/>
              </w:rPr>
            </w:pPr>
            <w:r>
              <w:rPr>
                <w:rFonts w:ascii="Arial" w:cs="Arial" w:eastAsia="Arial" w:hAnsi="Arial"/>
                <w:sz w:val="14"/>
                <w:szCs w:val="14"/>
                <w:color w:val="auto"/>
              </w:rPr>
              <w:t>$</w:t>
            </w:r>
          </w:p>
        </w:tc>
        <w:tc>
          <w:tcPr>
            <w:tcW w:w="700" w:type="dxa"/>
            <w:vAlign w:val="bottom"/>
            <w:tcBorders>
              <w:bottom w:val="single" w:sz="8" w:color="auto"/>
            </w:tcBorders>
          </w:tcPr>
          <w:p>
            <w:pPr>
              <w:jc w:val="right"/>
              <w:ind w:right="72"/>
              <w:spacing w:after="0" w:line="149" w:lineRule="exact"/>
              <w:rPr>
                <w:sz w:val="20"/>
                <w:szCs w:val="20"/>
                <w:color w:val="auto"/>
              </w:rPr>
            </w:pPr>
            <w:r>
              <w:rPr>
                <w:rFonts w:ascii="Arial" w:cs="Arial" w:eastAsia="Arial" w:hAnsi="Arial"/>
                <w:sz w:val="14"/>
                <w:szCs w:val="14"/>
                <w:color w:val="auto"/>
              </w:rPr>
              <w:t>(387)</w:t>
            </w:r>
          </w:p>
        </w:tc>
        <w:tc>
          <w:tcPr>
            <w:tcW w:w="320" w:type="dxa"/>
            <w:vAlign w:val="bottom"/>
            <w:tcBorders>
              <w:bottom w:val="single" w:sz="8" w:color="auto"/>
            </w:tcBorders>
          </w:tcPr>
          <w:p>
            <w:pPr>
              <w:ind w:left="140"/>
              <w:spacing w:after="0" w:line="149" w:lineRule="exact"/>
              <w:rPr>
                <w:sz w:val="20"/>
                <w:szCs w:val="20"/>
                <w:color w:val="auto"/>
              </w:rPr>
            </w:pPr>
            <w:r>
              <w:rPr>
                <w:rFonts w:ascii="Arial" w:cs="Arial" w:eastAsia="Arial" w:hAnsi="Arial"/>
                <w:sz w:val="14"/>
                <w:szCs w:val="14"/>
                <w:color w:val="auto"/>
              </w:rPr>
              <w:t>$</w:t>
            </w:r>
          </w:p>
        </w:tc>
        <w:tc>
          <w:tcPr>
            <w:tcW w:w="560" w:type="dxa"/>
            <w:vAlign w:val="bottom"/>
            <w:tcBorders>
              <w:bottom w:val="single" w:sz="8" w:color="auto"/>
            </w:tcBorders>
          </w:tcPr>
          <w:p>
            <w:pPr>
              <w:jc w:val="right"/>
              <w:ind w:right="72"/>
              <w:spacing w:after="0" w:line="149" w:lineRule="exact"/>
              <w:rPr>
                <w:sz w:val="20"/>
                <w:szCs w:val="20"/>
                <w:color w:val="auto"/>
              </w:rPr>
            </w:pPr>
            <w:r>
              <w:rPr>
                <w:rFonts w:ascii="Arial" w:cs="Arial" w:eastAsia="Arial" w:hAnsi="Arial"/>
                <w:sz w:val="14"/>
                <w:szCs w:val="14"/>
                <w:color w:val="auto"/>
              </w:rPr>
              <w:t>(110)</w:t>
            </w:r>
          </w:p>
        </w:tc>
        <w:tc>
          <w:tcPr>
            <w:tcW w:w="240" w:type="dxa"/>
            <w:vAlign w:val="bottom"/>
            <w:tcBorders>
              <w:bottom w:val="single" w:sz="8" w:color="auto"/>
            </w:tcBorders>
          </w:tcPr>
          <w:p>
            <w:pPr>
              <w:jc w:val="right"/>
              <w:spacing w:after="0" w:line="149" w:lineRule="exact"/>
              <w:rPr>
                <w:sz w:val="20"/>
                <w:szCs w:val="20"/>
                <w:color w:val="auto"/>
              </w:rPr>
            </w:pPr>
            <w:r>
              <w:rPr>
                <w:rFonts w:ascii="Arial" w:cs="Arial" w:eastAsia="Arial" w:hAnsi="Arial"/>
                <w:sz w:val="14"/>
                <w:szCs w:val="14"/>
                <w:color w:val="auto"/>
              </w:rPr>
              <w:t>$</w:t>
            </w:r>
          </w:p>
        </w:tc>
        <w:tc>
          <w:tcPr>
            <w:tcW w:w="820" w:type="dxa"/>
            <w:vAlign w:val="bottom"/>
            <w:tcBorders>
              <w:bottom w:val="single" w:sz="8" w:color="auto"/>
            </w:tcBorders>
          </w:tcPr>
          <w:p>
            <w:pPr>
              <w:jc w:val="right"/>
              <w:ind w:right="112"/>
              <w:spacing w:after="0" w:line="149" w:lineRule="exact"/>
              <w:rPr>
                <w:sz w:val="20"/>
                <w:szCs w:val="20"/>
                <w:color w:val="auto"/>
              </w:rPr>
            </w:pPr>
            <w:r>
              <w:rPr>
                <w:rFonts w:ascii="Arial" w:cs="Arial" w:eastAsia="Arial" w:hAnsi="Arial"/>
                <w:sz w:val="14"/>
                <w:szCs w:val="14"/>
                <w:color w:val="auto"/>
              </w:rPr>
              <w:t>5,731</w:t>
            </w:r>
          </w:p>
        </w:tc>
        <w:tc>
          <w:tcPr>
            <w:tcW w:w="220" w:type="dxa"/>
            <w:vAlign w:val="bottom"/>
            <w:tcBorders>
              <w:bottom w:val="single" w:sz="8" w:color="auto"/>
            </w:tcBorders>
          </w:tcPr>
          <w:p>
            <w:pPr>
              <w:jc w:val="right"/>
              <w:spacing w:after="0" w:line="149" w:lineRule="exact"/>
              <w:rPr>
                <w:sz w:val="20"/>
                <w:szCs w:val="20"/>
                <w:color w:val="auto"/>
              </w:rPr>
            </w:pPr>
            <w:r>
              <w:rPr>
                <w:rFonts w:ascii="Arial" w:cs="Arial" w:eastAsia="Arial" w:hAnsi="Arial"/>
                <w:sz w:val="14"/>
                <w:szCs w:val="14"/>
                <w:color w:val="auto"/>
              </w:rPr>
              <w:t>$</w:t>
            </w:r>
          </w:p>
        </w:tc>
        <w:tc>
          <w:tcPr>
            <w:tcW w:w="920" w:type="dxa"/>
            <w:vAlign w:val="bottom"/>
            <w:tcBorders>
              <w:bottom w:val="single" w:sz="8" w:color="auto"/>
            </w:tcBorders>
          </w:tcPr>
          <w:p>
            <w:pPr>
              <w:jc w:val="right"/>
              <w:ind w:right="112"/>
              <w:spacing w:after="0" w:line="149" w:lineRule="exact"/>
              <w:rPr>
                <w:sz w:val="20"/>
                <w:szCs w:val="20"/>
                <w:color w:val="auto"/>
              </w:rPr>
            </w:pPr>
            <w:r>
              <w:rPr>
                <w:rFonts w:ascii="Arial" w:cs="Arial" w:eastAsia="Arial" w:hAnsi="Arial"/>
                <w:sz w:val="14"/>
                <w:szCs w:val="14"/>
                <w:color w:val="auto"/>
              </w:rPr>
              <w:t>—</w:t>
            </w:r>
          </w:p>
        </w:tc>
        <w:tc>
          <w:tcPr>
            <w:tcW w:w="240" w:type="dxa"/>
            <w:vAlign w:val="bottom"/>
            <w:tcBorders>
              <w:bottom w:val="single" w:sz="8" w:color="auto"/>
            </w:tcBorders>
            <w:vMerge w:val="continue"/>
          </w:tcPr>
          <w:p>
            <w:pPr>
              <w:spacing w:after="0"/>
              <w:rPr>
                <w:sz w:val="12"/>
                <w:szCs w:val="12"/>
                <w:color w:val="auto"/>
              </w:rPr>
            </w:pPr>
          </w:p>
        </w:tc>
        <w:tc>
          <w:tcPr>
            <w:tcW w:w="840" w:type="dxa"/>
            <w:vAlign w:val="bottom"/>
            <w:tcBorders>
              <w:bottom w:val="single" w:sz="8" w:color="auto"/>
            </w:tcBorders>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3760" w:type="dxa"/>
            <w:vAlign w:val="bottom"/>
            <w:tcBorders>
              <w:bottom w:val="single" w:sz="8" w:color="auto"/>
            </w:tcBorders>
          </w:tcPr>
          <w:p>
            <w:pPr>
              <w:spacing w:after="0" w:line="142" w:lineRule="exact"/>
              <w:rPr>
                <w:sz w:val="20"/>
                <w:szCs w:val="20"/>
                <w:color w:val="auto"/>
              </w:rPr>
            </w:pPr>
            <w:r>
              <w:rPr>
                <w:rFonts w:ascii="Arial" w:cs="Arial" w:eastAsia="Arial" w:hAnsi="Arial"/>
                <w:sz w:val="14"/>
                <w:szCs w:val="14"/>
                <w:b w:val="1"/>
                <w:bCs w:val="1"/>
                <w:color w:val="auto"/>
              </w:rPr>
              <w:t>Financing Activities</w:t>
            </w:r>
          </w:p>
        </w:tc>
        <w:tc>
          <w:tcPr>
            <w:tcW w:w="460" w:type="dxa"/>
            <w:vAlign w:val="bottom"/>
            <w:tcBorders>
              <w:bottom w:val="single" w:sz="8" w:color="auto"/>
            </w:tcBorders>
          </w:tcPr>
          <w:p>
            <w:pPr>
              <w:spacing w:after="0"/>
              <w:rPr>
                <w:sz w:val="12"/>
                <w:szCs w:val="12"/>
                <w:color w:val="auto"/>
              </w:rPr>
            </w:pPr>
          </w:p>
        </w:tc>
        <w:tc>
          <w:tcPr>
            <w:tcW w:w="620" w:type="dxa"/>
            <w:vAlign w:val="bottom"/>
            <w:tcBorders>
              <w:bottom w:val="single" w:sz="8" w:color="auto"/>
            </w:tcBorders>
          </w:tcPr>
          <w:p>
            <w:pPr>
              <w:spacing w:after="0"/>
              <w:rPr>
                <w:sz w:val="12"/>
                <w:szCs w:val="12"/>
                <w:color w:val="auto"/>
              </w:rPr>
            </w:pPr>
          </w:p>
        </w:tc>
        <w:tc>
          <w:tcPr>
            <w:tcW w:w="260" w:type="dxa"/>
            <w:vAlign w:val="bottom"/>
            <w:tcBorders>
              <w:bottom w:val="single" w:sz="8" w:color="auto"/>
            </w:tcBorders>
          </w:tcPr>
          <w:p>
            <w:pPr>
              <w:spacing w:after="0"/>
              <w:rPr>
                <w:sz w:val="12"/>
                <w:szCs w:val="12"/>
                <w:color w:val="auto"/>
              </w:rPr>
            </w:pPr>
          </w:p>
        </w:tc>
        <w:tc>
          <w:tcPr>
            <w:tcW w:w="460" w:type="dxa"/>
            <w:vAlign w:val="bottom"/>
            <w:tcBorders>
              <w:bottom w:val="single" w:sz="8" w:color="auto"/>
            </w:tcBorders>
          </w:tcPr>
          <w:p>
            <w:pPr>
              <w:spacing w:after="0"/>
              <w:rPr>
                <w:sz w:val="12"/>
                <w:szCs w:val="12"/>
                <w:color w:val="auto"/>
              </w:rPr>
            </w:pPr>
          </w:p>
        </w:tc>
        <w:tc>
          <w:tcPr>
            <w:tcW w:w="280" w:type="dxa"/>
            <w:vAlign w:val="bottom"/>
            <w:tcBorders>
              <w:bottom w:val="single" w:sz="8" w:color="auto"/>
            </w:tcBorders>
          </w:tcPr>
          <w:p>
            <w:pPr>
              <w:spacing w:after="0"/>
              <w:rPr>
                <w:sz w:val="12"/>
                <w:szCs w:val="12"/>
                <w:color w:val="auto"/>
              </w:rPr>
            </w:pPr>
          </w:p>
        </w:tc>
        <w:tc>
          <w:tcPr>
            <w:tcW w:w="460" w:type="dxa"/>
            <w:vAlign w:val="bottom"/>
            <w:tcBorders>
              <w:bottom w:val="single" w:sz="8" w:color="auto"/>
            </w:tcBorders>
          </w:tcPr>
          <w:p>
            <w:pPr>
              <w:spacing w:after="0"/>
              <w:rPr>
                <w:sz w:val="12"/>
                <w:szCs w:val="12"/>
                <w:color w:val="auto"/>
              </w:rPr>
            </w:pPr>
          </w:p>
        </w:tc>
        <w:tc>
          <w:tcPr>
            <w:tcW w:w="240" w:type="dxa"/>
            <w:vAlign w:val="bottom"/>
            <w:tcBorders>
              <w:bottom w:val="single" w:sz="8" w:color="auto"/>
            </w:tcBorders>
          </w:tcPr>
          <w:p>
            <w:pPr>
              <w:spacing w:after="0"/>
              <w:rPr>
                <w:sz w:val="12"/>
                <w:szCs w:val="12"/>
                <w:color w:val="auto"/>
              </w:rPr>
            </w:pPr>
          </w:p>
        </w:tc>
        <w:tc>
          <w:tcPr>
            <w:tcW w:w="700" w:type="dxa"/>
            <w:vAlign w:val="bottom"/>
            <w:tcBorders>
              <w:bottom w:val="single" w:sz="8" w:color="auto"/>
            </w:tcBorders>
          </w:tcPr>
          <w:p>
            <w:pPr>
              <w:spacing w:after="0"/>
              <w:rPr>
                <w:sz w:val="12"/>
                <w:szCs w:val="12"/>
                <w:color w:val="auto"/>
              </w:rPr>
            </w:pPr>
          </w:p>
        </w:tc>
        <w:tc>
          <w:tcPr>
            <w:tcW w:w="320" w:type="dxa"/>
            <w:vAlign w:val="bottom"/>
            <w:tcBorders>
              <w:bottom w:val="single" w:sz="8" w:color="auto"/>
            </w:tcBorders>
          </w:tcPr>
          <w:p>
            <w:pPr>
              <w:spacing w:after="0"/>
              <w:rPr>
                <w:sz w:val="12"/>
                <w:szCs w:val="12"/>
                <w:color w:val="auto"/>
              </w:rPr>
            </w:pPr>
          </w:p>
        </w:tc>
        <w:tc>
          <w:tcPr>
            <w:tcW w:w="560" w:type="dxa"/>
            <w:vAlign w:val="bottom"/>
            <w:tcBorders>
              <w:bottom w:val="single" w:sz="8" w:color="auto"/>
            </w:tcBorders>
          </w:tcPr>
          <w:p>
            <w:pPr>
              <w:spacing w:after="0"/>
              <w:rPr>
                <w:sz w:val="12"/>
                <w:szCs w:val="12"/>
                <w:color w:val="auto"/>
              </w:rPr>
            </w:pPr>
          </w:p>
        </w:tc>
        <w:tc>
          <w:tcPr>
            <w:tcW w:w="240" w:type="dxa"/>
            <w:vAlign w:val="bottom"/>
            <w:tcBorders>
              <w:bottom w:val="single" w:sz="8" w:color="auto"/>
            </w:tcBorders>
          </w:tcPr>
          <w:p>
            <w:pPr>
              <w:spacing w:after="0"/>
              <w:rPr>
                <w:sz w:val="12"/>
                <w:szCs w:val="12"/>
                <w:color w:val="auto"/>
              </w:rPr>
            </w:pPr>
          </w:p>
        </w:tc>
        <w:tc>
          <w:tcPr>
            <w:tcW w:w="820" w:type="dxa"/>
            <w:vAlign w:val="bottom"/>
            <w:tcBorders>
              <w:bottom w:val="single" w:sz="8" w:color="auto"/>
            </w:tcBorders>
          </w:tcPr>
          <w:p>
            <w:pPr>
              <w:spacing w:after="0"/>
              <w:rPr>
                <w:sz w:val="12"/>
                <w:szCs w:val="12"/>
                <w:color w:val="auto"/>
              </w:rPr>
            </w:pPr>
          </w:p>
        </w:tc>
        <w:tc>
          <w:tcPr>
            <w:tcW w:w="220" w:type="dxa"/>
            <w:vAlign w:val="bottom"/>
            <w:tcBorders>
              <w:bottom w:val="single" w:sz="8" w:color="auto"/>
            </w:tcBorders>
          </w:tcPr>
          <w:p>
            <w:pPr>
              <w:spacing w:after="0"/>
              <w:rPr>
                <w:sz w:val="12"/>
                <w:szCs w:val="12"/>
                <w:color w:val="auto"/>
              </w:rPr>
            </w:pPr>
          </w:p>
        </w:tc>
        <w:tc>
          <w:tcPr>
            <w:tcW w:w="920" w:type="dxa"/>
            <w:vAlign w:val="bottom"/>
            <w:tcBorders>
              <w:bottom w:val="single" w:sz="8" w:color="auto"/>
            </w:tcBorders>
          </w:tcPr>
          <w:p>
            <w:pPr>
              <w:spacing w:after="0"/>
              <w:rPr>
                <w:sz w:val="12"/>
                <w:szCs w:val="12"/>
                <w:color w:val="auto"/>
              </w:rPr>
            </w:pPr>
          </w:p>
        </w:tc>
        <w:tc>
          <w:tcPr>
            <w:tcW w:w="240" w:type="dxa"/>
            <w:vAlign w:val="bottom"/>
            <w:tcBorders>
              <w:bottom w:val="single" w:sz="8" w:color="auto"/>
            </w:tcBorders>
          </w:tcPr>
          <w:p>
            <w:pPr>
              <w:spacing w:after="0"/>
              <w:rPr>
                <w:sz w:val="12"/>
                <w:szCs w:val="12"/>
                <w:color w:val="auto"/>
              </w:rPr>
            </w:pPr>
          </w:p>
        </w:tc>
        <w:tc>
          <w:tcPr>
            <w:tcW w:w="840" w:type="dxa"/>
            <w:vAlign w:val="bottom"/>
            <w:tcBorders>
              <w:bottom w:val="single" w:sz="8" w:color="auto"/>
            </w:tcBorders>
          </w:tcPr>
          <w:p>
            <w:pPr>
              <w:spacing w:after="0"/>
              <w:rPr>
                <w:sz w:val="12"/>
                <w:szCs w:val="12"/>
                <w:color w:val="auto"/>
              </w:rPr>
            </w:pPr>
          </w:p>
        </w:tc>
        <w:tc>
          <w:tcPr>
            <w:tcW w:w="0" w:type="dxa"/>
            <w:vAlign w:val="bottom"/>
          </w:tcPr>
          <w:p>
            <w:pPr>
              <w:spacing w:after="0"/>
              <w:rPr>
                <w:sz w:val="1"/>
                <w:szCs w:val="1"/>
                <w:color w:val="auto"/>
              </w:rPr>
            </w:pPr>
          </w:p>
        </w:tc>
      </w:tr>
      <w:tr>
        <w:trPr>
          <w:trHeight w:val="125"/>
        </w:trPr>
        <w:tc>
          <w:tcPr>
            <w:tcW w:w="20" w:type="dxa"/>
            <w:vAlign w:val="bottom"/>
          </w:tcPr>
          <w:p>
            <w:pPr>
              <w:spacing w:after="0"/>
              <w:rPr>
                <w:sz w:val="10"/>
                <w:szCs w:val="10"/>
                <w:color w:val="auto"/>
              </w:rPr>
            </w:pPr>
          </w:p>
        </w:tc>
        <w:tc>
          <w:tcPr>
            <w:tcW w:w="3760" w:type="dxa"/>
            <w:vAlign w:val="bottom"/>
          </w:tcPr>
          <w:p>
            <w:pPr>
              <w:ind w:left="200"/>
              <w:spacing w:after="0" w:line="125" w:lineRule="exact"/>
              <w:rPr>
                <w:sz w:val="20"/>
                <w:szCs w:val="20"/>
                <w:color w:val="auto"/>
              </w:rPr>
            </w:pPr>
            <w:r>
              <w:rPr>
                <w:rFonts w:ascii="Arial" w:cs="Arial" w:eastAsia="Arial" w:hAnsi="Arial"/>
                <w:sz w:val="14"/>
                <w:szCs w:val="14"/>
                <w:color w:val="auto"/>
              </w:rPr>
              <w:t>Proceeds from borrowings</w:t>
            </w:r>
          </w:p>
        </w:tc>
        <w:tc>
          <w:tcPr>
            <w:tcW w:w="460" w:type="dxa"/>
            <w:vAlign w:val="bottom"/>
          </w:tcPr>
          <w:p>
            <w:pPr>
              <w:spacing w:after="0"/>
              <w:rPr>
                <w:sz w:val="10"/>
                <w:szCs w:val="10"/>
                <w:color w:val="auto"/>
              </w:rPr>
            </w:pPr>
          </w:p>
        </w:tc>
        <w:tc>
          <w:tcPr>
            <w:tcW w:w="620" w:type="dxa"/>
            <w:vAlign w:val="bottom"/>
          </w:tcPr>
          <w:p>
            <w:pPr>
              <w:jc w:val="right"/>
              <w:ind w:right="112"/>
              <w:spacing w:after="0" w:line="125" w:lineRule="exact"/>
              <w:rPr>
                <w:sz w:val="20"/>
                <w:szCs w:val="20"/>
                <w:color w:val="auto"/>
              </w:rPr>
            </w:pPr>
            <w:r>
              <w:rPr>
                <w:rFonts w:ascii="Arial" w:cs="Arial" w:eastAsia="Arial" w:hAnsi="Arial"/>
                <w:sz w:val="14"/>
                <w:szCs w:val="14"/>
                <w:color w:val="auto"/>
              </w:rPr>
              <w:t>3,972</w:t>
            </w:r>
          </w:p>
        </w:tc>
        <w:tc>
          <w:tcPr>
            <w:tcW w:w="260" w:type="dxa"/>
            <w:vAlign w:val="bottom"/>
          </w:tcPr>
          <w:p>
            <w:pPr>
              <w:spacing w:after="0"/>
              <w:rPr>
                <w:sz w:val="10"/>
                <w:szCs w:val="10"/>
                <w:color w:val="auto"/>
              </w:rPr>
            </w:pPr>
          </w:p>
        </w:tc>
        <w:tc>
          <w:tcPr>
            <w:tcW w:w="460" w:type="dxa"/>
            <w:vAlign w:val="bottom"/>
          </w:tcPr>
          <w:p>
            <w:pPr>
              <w:jc w:val="right"/>
              <w:ind w:right="92"/>
              <w:spacing w:after="0" w:line="125" w:lineRule="exact"/>
              <w:rPr>
                <w:sz w:val="20"/>
                <w:szCs w:val="20"/>
                <w:color w:val="auto"/>
              </w:rPr>
            </w:pPr>
            <w:r>
              <w:rPr>
                <w:rFonts w:ascii="Arial" w:cs="Arial" w:eastAsia="Arial" w:hAnsi="Arial"/>
                <w:sz w:val="14"/>
                <w:szCs w:val="14"/>
                <w:color w:val="auto"/>
              </w:rPr>
              <w:t>—</w:t>
            </w:r>
          </w:p>
        </w:tc>
        <w:tc>
          <w:tcPr>
            <w:tcW w:w="280" w:type="dxa"/>
            <w:vAlign w:val="bottom"/>
          </w:tcPr>
          <w:p>
            <w:pPr>
              <w:spacing w:after="0"/>
              <w:rPr>
                <w:sz w:val="10"/>
                <w:szCs w:val="10"/>
                <w:color w:val="auto"/>
              </w:rPr>
            </w:pPr>
          </w:p>
        </w:tc>
        <w:tc>
          <w:tcPr>
            <w:tcW w:w="460" w:type="dxa"/>
            <w:vAlign w:val="bottom"/>
          </w:tcPr>
          <w:p>
            <w:pPr>
              <w:jc w:val="right"/>
              <w:ind w:right="112"/>
              <w:spacing w:after="0" w:line="125" w:lineRule="exact"/>
              <w:rPr>
                <w:sz w:val="20"/>
                <w:szCs w:val="20"/>
                <w:color w:val="auto"/>
              </w:rPr>
            </w:pPr>
            <w:r>
              <w:rPr>
                <w:rFonts w:ascii="Arial" w:cs="Arial" w:eastAsia="Arial" w:hAnsi="Arial"/>
                <w:sz w:val="14"/>
                <w:szCs w:val="14"/>
                <w:color w:val="auto"/>
              </w:rPr>
              <w:t>—</w:t>
            </w:r>
          </w:p>
        </w:tc>
        <w:tc>
          <w:tcPr>
            <w:tcW w:w="240" w:type="dxa"/>
            <w:vAlign w:val="bottom"/>
          </w:tcPr>
          <w:p>
            <w:pPr>
              <w:spacing w:after="0"/>
              <w:rPr>
                <w:sz w:val="10"/>
                <w:szCs w:val="10"/>
                <w:color w:val="auto"/>
              </w:rPr>
            </w:pPr>
          </w:p>
        </w:tc>
        <w:tc>
          <w:tcPr>
            <w:tcW w:w="700" w:type="dxa"/>
            <w:vAlign w:val="bottom"/>
          </w:tcPr>
          <w:p>
            <w:pPr>
              <w:jc w:val="right"/>
              <w:ind w:right="112"/>
              <w:spacing w:after="0" w:line="125" w:lineRule="exact"/>
              <w:rPr>
                <w:sz w:val="20"/>
                <w:szCs w:val="20"/>
                <w:color w:val="auto"/>
              </w:rPr>
            </w:pPr>
            <w:r>
              <w:rPr>
                <w:rFonts w:ascii="Arial" w:cs="Arial" w:eastAsia="Arial" w:hAnsi="Arial"/>
                <w:sz w:val="14"/>
                <w:szCs w:val="14"/>
                <w:color w:val="auto"/>
              </w:rPr>
              <w:t>—</w:t>
            </w:r>
          </w:p>
        </w:tc>
        <w:tc>
          <w:tcPr>
            <w:tcW w:w="320" w:type="dxa"/>
            <w:vAlign w:val="bottom"/>
          </w:tcPr>
          <w:p>
            <w:pPr>
              <w:spacing w:after="0"/>
              <w:rPr>
                <w:sz w:val="10"/>
                <w:szCs w:val="10"/>
                <w:color w:val="auto"/>
              </w:rPr>
            </w:pPr>
          </w:p>
        </w:tc>
        <w:tc>
          <w:tcPr>
            <w:tcW w:w="560" w:type="dxa"/>
            <w:vAlign w:val="bottom"/>
          </w:tcPr>
          <w:p>
            <w:pPr>
              <w:jc w:val="right"/>
              <w:ind w:right="132"/>
              <w:spacing w:after="0" w:line="125" w:lineRule="exact"/>
              <w:rPr>
                <w:sz w:val="20"/>
                <w:szCs w:val="20"/>
                <w:color w:val="auto"/>
              </w:rPr>
            </w:pPr>
            <w:r>
              <w:rPr>
                <w:rFonts w:ascii="Arial" w:cs="Arial" w:eastAsia="Arial" w:hAnsi="Arial"/>
                <w:sz w:val="14"/>
                <w:szCs w:val="14"/>
                <w:color w:val="auto"/>
              </w:rPr>
              <w:t>—</w:t>
            </w:r>
          </w:p>
        </w:tc>
        <w:tc>
          <w:tcPr>
            <w:tcW w:w="240" w:type="dxa"/>
            <w:vAlign w:val="bottom"/>
          </w:tcPr>
          <w:p>
            <w:pPr>
              <w:spacing w:after="0"/>
              <w:rPr>
                <w:sz w:val="10"/>
                <w:szCs w:val="10"/>
                <w:color w:val="auto"/>
              </w:rPr>
            </w:pPr>
          </w:p>
        </w:tc>
        <w:tc>
          <w:tcPr>
            <w:tcW w:w="820" w:type="dxa"/>
            <w:vAlign w:val="bottom"/>
          </w:tcPr>
          <w:p>
            <w:pPr>
              <w:jc w:val="right"/>
              <w:ind w:right="112"/>
              <w:spacing w:after="0" w:line="125" w:lineRule="exact"/>
              <w:rPr>
                <w:sz w:val="20"/>
                <w:szCs w:val="20"/>
                <w:color w:val="auto"/>
              </w:rPr>
            </w:pPr>
            <w:r>
              <w:rPr>
                <w:rFonts w:ascii="Arial" w:cs="Arial" w:eastAsia="Arial" w:hAnsi="Arial"/>
                <w:sz w:val="14"/>
                <w:szCs w:val="14"/>
                <w:color w:val="auto"/>
              </w:rPr>
              <w:t>6</w:t>
            </w:r>
          </w:p>
        </w:tc>
        <w:tc>
          <w:tcPr>
            <w:tcW w:w="220" w:type="dxa"/>
            <w:vAlign w:val="bottom"/>
          </w:tcPr>
          <w:p>
            <w:pPr>
              <w:spacing w:after="0"/>
              <w:rPr>
                <w:sz w:val="10"/>
                <w:szCs w:val="10"/>
                <w:color w:val="auto"/>
              </w:rPr>
            </w:pPr>
          </w:p>
        </w:tc>
        <w:tc>
          <w:tcPr>
            <w:tcW w:w="920" w:type="dxa"/>
            <w:vAlign w:val="bottom"/>
          </w:tcPr>
          <w:p>
            <w:pPr>
              <w:jc w:val="right"/>
              <w:ind w:right="112"/>
              <w:spacing w:after="0" w:line="125" w:lineRule="exact"/>
              <w:rPr>
                <w:sz w:val="20"/>
                <w:szCs w:val="20"/>
                <w:color w:val="auto"/>
              </w:rPr>
            </w:pPr>
            <w:r>
              <w:rPr>
                <w:rFonts w:ascii="Arial" w:cs="Arial" w:eastAsia="Arial" w:hAnsi="Arial"/>
                <w:sz w:val="14"/>
                <w:szCs w:val="14"/>
                <w:color w:val="auto"/>
              </w:rPr>
              <w:t>—</w:t>
            </w:r>
          </w:p>
        </w:tc>
        <w:tc>
          <w:tcPr>
            <w:tcW w:w="240" w:type="dxa"/>
            <w:vAlign w:val="bottom"/>
          </w:tcPr>
          <w:p>
            <w:pPr>
              <w:spacing w:after="0"/>
              <w:rPr>
                <w:sz w:val="10"/>
                <w:szCs w:val="10"/>
                <w:color w:val="auto"/>
              </w:rPr>
            </w:pPr>
          </w:p>
        </w:tc>
        <w:tc>
          <w:tcPr>
            <w:tcW w:w="840" w:type="dxa"/>
            <w:vAlign w:val="bottom"/>
          </w:tcPr>
          <w:p>
            <w:pPr>
              <w:jc w:val="right"/>
              <w:spacing w:after="0" w:line="125" w:lineRule="exact"/>
              <w:rPr>
                <w:sz w:val="20"/>
                <w:szCs w:val="20"/>
                <w:color w:val="auto"/>
              </w:rPr>
            </w:pPr>
            <w:r>
              <w:rPr>
                <w:rFonts w:ascii="Arial" w:cs="Arial" w:eastAsia="Arial" w:hAnsi="Arial"/>
                <w:sz w:val="14"/>
                <w:szCs w:val="14"/>
                <w:b w:val="1"/>
                <w:bCs w:val="1"/>
                <w:color w:val="auto"/>
              </w:rPr>
              <w:t>3,978</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760" w:type="dxa"/>
            <w:vAlign w:val="bottom"/>
          </w:tcPr>
          <w:p>
            <w:pPr>
              <w:ind w:left="200"/>
              <w:spacing w:after="0" w:line="149" w:lineRule="exact"/>
              <w:rPr>
                <w:sz w:val="20"/>
                <w:szCs w:val="20"/>
                <w:color w:val="auto"/>
              </w:rPr>
            </w:pPr>
            <w:r>
              <w:rPr>
                <w:rFonts w:ascii="Arial" w:cs="Arial" w:eastAsia="Arial" w:hAnsi="Arial"/>
                <w:sz w:val="14"/>
                <w:szCs w:val="14"/>
                <w:color w:val="auto"/>
              </w:rPr>
              <w:t>Retirements and repayments of debt</w:t>
            </w:r>
          </w:p>
        </w:tc>
        <w:tc>
          <w:tcPr>
            <w:tcW w:w="460" w:type="dxa"/>
            <w:vAlign w:val="bottom"/>
          </w:tcPr>
          <w:p>
            <w:pPr>
              <w:spacing w:after="0"/>
              <w:rPr>
                <w:sz w:val="12"/>
                <w:szCs w:val="12"/>
                <w:color w:val="auto"/>
              </w:rPr>
            </w:pPr>
          </w:p>
        </w:tc>
        <w:tc>
          <w:tcPr>
            <w:tcW w:w="620" w:type="dxa"/>
            <w:vAlign w:val="bottom"/>
          </w:tcPr>
          <w:p>
            <w:pPr>
              <w:jc w:val="right"/>
              <w:ind w:right="112"/>
              <w:spacing w:after="0" w:line="149" w:lineRule="exact"/>
              <w:rPr>
                <w:sz w:val="20"/>
                <w:szCs w:val="20"/>
                <w:color w:val="auto"/>
              </w:rPr>
            </w:pPr>
            <w:r>
              <w:rPr>
                <w:rFonts w:ascii="Arial" w:cs="Arial" w:eastAsia="Arial" w:hAnsi="Arial"/>
                <w:sz w:val="14"/>
                <w:szCs w:val="14"/>
                <w:color w:val="auto"/>
              </w:rPr>
              <w:t>—</w:t>
            </w:r>
          </w:p>
        </w:tc>
        <w:tc>
          <w:tcPr>
            <w:tcW w:w="260" w:type="dxa"/>
            <w:vAlign w:val="bottom"/>
          </w:tcPr>
          <w:p>
            <w:pPr>
              <w:spacing w:after="0"/>
              <w:rPr>
                <w:sz w:val="12"/>
                <w:szCs w:val="12"/>
                <w:color w:val="auto"/>
              </w:rPr>
            </w:pPr>
          </w:p>
        </w:tc>
        <w:tc>
          <w:tcPr>
            <w:tcW w:w="460" w:type="dxa"/>
            <w:vAlign w:val="bottom"/>
          </w:tcPr>
          <w:p>
            <w:pPr>
              <w:jc w:val="right"/>
              <w:ind w:right="52"/>
              <w:spacing w:after="0" w:line="149" w:lineRule="exact"/>
              <w:rPr>
                <w:sz w:val="20"/>
                <w:szCs w:val="20"/>
                <w:color w:val="auto"/>
              </w:rPr>
            </w:pPr>
            <w:r>
              <w:rPr>
                <w:rFonts w:ascii="Arial" w:cs="Arial" w:eastAsia="Arial" w:hAnsi="Arial"/>
                <w:sz w:val="14"/>
                <w:szCs w:val="14"/>
                <w:color w:val="auto"/>
                <w:w w:val="97"/>
              </w:rPr>
              <w:t>(700)</w:t>
            </w:r>
          </w:p>
        </w:tc>
        <w:tc>
          <w:tcPr>
            <w:tcW w:w="280" w:type="dxa"/>
            <w:vAlign w:val="bottom"/>
          </w:tcPr>
          <w:p>
            <w:pPr>
              <w:spacing w:after="0"/>
              <w:rPr>
                <w:sz w:val="12"/>
                <w:szCs w:val="12"/>
                <w:color w:val="auto"/>
              </w:rPr>
            </w:pPr>
          </w:p>
        </w:tc>
        <w:tc>
          <w:tcPr>
            <w:tcW w:w="460" w:type="dxa"/>
            <w:vAlign w:val="bottom"/>
          </w:tcPr>
          <w:p>
            <w:pPr>
              <w:jc w:val="right"/>
              <w:ind w:right="112"/>
              <w:spacing w:after="0" w:line="149" w:lineRule="exact"/>
              <w:rPr>
                <w:sz w:val="20"/>
                <w:szCs w:val="20"/>
                <w:color w:val="auto"/>
              </w:rPr>
            </w:pPr>
            <w:r>
              <w:rPr>
                <w:rFonts w:ascii="Arial" w:cs="Arial" w:eastAsia="Arial" w:hAnsi="Arial"/>
                <w:sz w:val="14"/>
                <w:szCs w:val="14"/>
                <w:color w:val="auto"/>
              </w:rPr>
              <w:t>—</w:t>
            </w:r>
          </w:p>
        </w:tc>
        <w:tc>
          <w:tcPr>
            <w:tcW w:w="240" w:type="dxa"/>
            <w:vAlign w:val="bottom"/>
          </w:tcPr>
          <w:p>
            <w:pPr>
              <w:spacing w:after="0"/>
              <w:rPr>
                <w:sz w:val="12"/>
                <w:szCs w:val="12"/>
                <w:color w:val="auto"/>
              </w:rPr>
            </w:pPr>
          </w:p>
        </w:tc>
        <w:tc>
          <w:tcPr>
            <w:tcW w:w="700" w:type="dxa"/>
            <w:vAlign w:val="bottom"/>
          </w:tcPr>
          <w:p>
            <w:pPr>
              <w:jc w:val="right"/>
              <w:ind w:right="72"/>
              <w:spacing w:after="0" w:line="149" w:lineRule="exact"/>
              <w:rPr>
                <w:sz w:val="20"/>
                <w:szCs w:val="20"/>
                <w:color w:val="auto"/>
              </w:rPr>
            </w:pPr>
            <w:r>
              <w:rPr>
                <w:rFonts w:ascii="Arial" w:cs="Arial" w:eastAsia="Arial" w:hAnsi="Arial"/>
                <w:sz w:val="14"/>
                <w:szCs w:val="14"/>
                <w:color w:val="auto"/>
              </w:rPr>
              <w:t>(1,628)</w:t>
            </w:r>
          </w:p>
        </w:tc>
        <w:tc>
          <w:tcPr>
            <w:tcW w:w="320" w:type="dxa"/>
            <w:vAlign w:val="bottom"/>
          </w:tcPr>
          <w:p>
            <w:pPr>
              <w:spacing w:after="0"/>
              <w:rPr>
                <w:sz w:val="12"/>
                <w:szCs w:val="12"/>
                <w:color w:val="auto"/>
              </w:rPr>
            </w:pPr>
          </w:p>
        </w:tc>
        <w:tc>
          <w:tcPr>
            <w:tcW w:w="560" w:type="dxa"/>
            <w:vAlign w:val="bottom"/>
          </w:tcPr>
          <w:p>
            <w:pPr>
              <w:jc w:val="right"/>
              <w:ind w:right="72"/>
              <w:spacing w:after="0" w:line="149" w:lineRule="exact"/>
              <w:rPr>
                <w:sz w:val="20"/>
                <w:szCs w:val="20"/>
                <w:color w:val="auto"/>
              </w:rPr>
            </w:pPr>
            <w:r>
              <w:rPr>
                <w:rFonts w:ascii="Arial" w:cs="Arial" w:eastAsia="Arial" w:hAnsi="Arial"/>
                <w:sz w:val="14"/>
                <w:szCs w:val="14"/>
                <w:color w:val="auto"/>
              </w:rPr>
              <w:t>(13)</w:t>
            </w:r>
          </w:p>
        </w:tc>
        <w:tc>
          <w:tcPr>
            <w:tcW w:w="240" w:type="dxa"/>
            <w:vAlign w:val="bottom"/>
          </w:tcPr>
          <w:p>
            <w:pPr>
              <w:spacing w:after="0"/>
              <w:rPr>
                <w:sz w:val="12"/>
                <w:szCs w:val="12"/>
                <w:color w:val="auto"/>
              </w:rPr>
            </w:pPr>
          </w:p>
        </w:tc>
        <w:tc>
          <w:tcPr>
            <w:tcW w:w="820" w:type="dxa"/>
            <w:vAlign w:val="bottom"/>
          </w:tcPr>
          <w:p>
            <w:pPr>
              <w:jc w:val="right"/>
              <w:ind w:right="72"/>
              <w:spacing w:after="0" w:line="149" w:lineRule="exact"/>
              <w:rPr>
                <w:sz w:val="20"/>
                <w:szCs w:val="20"/>
                <w:color w:val="auto"/>
              </w:rPr>
            </w:pPr>
            <w:r>
              <w:rPr>
                <w:rFonts w:ascii="Arial" w:cs="Arial" w:eastAsia="Arial" w:hAnsi="Arial"/>
                <w:sz w:val="14"/>
                <w:szCs w:val="14"/>
                <w:color w:val="auto"/>
              </w:rPr>
              <w:t>(365)</w:t>
            </w:r>
          </w:p>
        </w:tc>
        <w:tc>
          <w:tcPr>
            <w:tcW w:w="220" w:type="dxa"/>
            <w:vAlign w:val="bottom"/>
          </w:tcPr>
          <w:p>
            <w:pPr>
              <w:spacing w:after="0"/>
              <w:rPr>
                <w:sz w:val="12"/>
                <w:szCs w:val="12"/>
                <w:color w:val="auto"/>
              </w:rPr>
            </w:pPr>
          </w:p>
        </w:tc>
        <w:tc>
          <w:tcPr>
            <w:tcW w:w="920" w:type="dxa"/>
            <w:vAlign w:val="bottom"/>
          </w:tcPr>
          <w:p>
            <w:pPr>
              <w:jc w:val="right"/>
              <w:ind w:right="112"/>
              <w:spacing w:after="0" w:line="149" w:lineRule="exact"/>
              <w:rPr>
                <w:sz w:val="20"/>
                <w:szCs w:val="20"/>
                <w:color w:val="auto"/>
              </w:rPr>
            </w:pPr>
            <w:r>
              <w:rPr>
                <w:rFonts w:ascii="Arial" w:cs="Arial" w:eastAsia="Arial" w:hAnsi="Arial"/>
                <w:sz w:val="14"/>
                <w:szCs w:val="14"/>
                <w:color w:val="auto"/>
              </w:rPr>
              <w:t>—</w:t>
            </w:r>
          </w:p>
        </w:tc>
        <w:tc>
          <w:tcPr>
            <w:tcW w:w="240" w:type="dxa"/>
            <w:vAlign w:val="bottom"/>
          </w:tcPr>
          <w:p>
            <w:pPr>
              <w:spacing w:after="0"/>
              <w:rPr>
                <w:sz w:val="12"/>
                <w:szCs w:val="12"/>
                <w:color w:val="auto"/>
              </w:rPr>
            </w:pPr>
          </w:p>
        </w:tc>
        <w:tc>
          <w:tcPr>
            <w:tcW w:w="840" w:type="dxa"/>
            <w:vAlign w:val="bottom"/>
          </w:tcPr>
          <w:p>
            <w:pPr>
              <w:jc w:val="right"/>
              <w:spacing w:after="0" w:line="149" w:lineRule="exact"/>
              <w:rPr>
                <w:sz w:val="20"/>
                <w:szCs w:val="20"/>
                <w:color w:val="auto"/>
              </w:rPr>
            </w:pPr>
            <w:r>
              <w:rPr>
                <w:rFonts w:ascii="Arial" w:cs="Arial" w:eastAsia="Arial" w:hAnsi="Arial"/>
                <w:sz w:val="14"/>
                <w:szCs w:val="14"/>
                <w:b w:val="1"/>
                <w:bCs w:val="1"/>
                <w:color w:val="auto"/>
              </w:rPr>
              <w:t>(2,706)</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760" w:type="dxa"/>
            <w:vAlign w:val="bottom"/>
          </w:tcPr>
          <w:p>
            <w:pPr>
              <w:ind w:left="200"/>
              <w:spacing w:after="0" w:line="149" w:lineRule="exact"/>
              <w:rPr>
                <w:sz w:val="20"/>
                <w:szCs w:val="20"/>
                <w:color w:val="auto"/>
              </w:rPr>
            </w:pPr>
            <w:r>
              <w:rPr>
                <w:rFonts w:ascii="Arial" w:cs="Arial" w:eastAsia="Arial" w:hAnsi="Arial"/>
                <w:sz w:val="14"/>
                <w:szCs w:val="14"/>
                <w:color w:val="auto"/>
              </w:rPr>
              <w:t>Repurchases of common stock</w:t>
            </w:r>
          </w:p>
        </w:tc>
        <w:tc>
          <w:tcPr>
            <w:tcW w:w="460" w:type="dxa"/>
            <w:vAlign w:val="bottom"/>
          </w:tcPr>
          <w:p>
            <w:pPr>
              <w:spacing w:after="0"/>
              <w:rPr>
                <w:sz w:val="12"/>
                <w:szCs w:val="12"/>
                <w:color w:val="auto"/>
              </w:rPr>
            </w:pPr>
          </w:p>
        </w:tc>
        <w:tc>
          <w:tcPr>
            <w:tcW w:w="620" w:type="dxa"/>
            <w:vAlign w:val="bottom"/>
          </w:tcPr>
          <w:p>
            <w:pPr>
              <w:jc w:val="right"/>
              <w:ind w:right="72"/>
              <w:spacing w:after="0" w:line="149" w:lineRule="exact"/>
              <w:rPr>
                <w:sz w:val="20"/>
                <w:szCs w:val="20"/>
                <w:color w:val="auto"/>
              </w:rPr>
            </w:pPr>
            <w:r>
              <w:rPr>
                <w:rFonts w:ascii="Arial" w:cs="Arial" w:eastAsia="Arial" w:hAnsi="Arial"/>
                <w:sz w:val="14"/>
                <w:szCs w:val="14"/>
                <w:color w:val="auto"/>
              </w:rPr>
              <w:t>(2,313)</w:t>
            </w:r>
          </w:p>
        </w:tc>
        <w:tc>
          <w:tcPr>
            <w:tcW w:w="260" w:type="dxa"/>
            <w:vAlign w:val="bottom"/>
          </w:tcPr>
          <w:p>
            <w:pPr>
              <w:spacing w:after="0"/>
              <w:rPr>
                <w:sz w:val="12"/>
                <w:szCs w:val="12"/>
                <w:color w:val="auto"/>
              </w:rPr>
            </w:pPr>
          </w:p>
        </w:tc>
        <w:tc>
          <w:tcPr>
            <w:tcW w:w="460" w:type="dxa"/>
            <w:vAlign w:val="bottom"/>
          </w:tcPr>
          <w:p>
            <w:pPr>
              <w:jc w:val="right"/>
              <w:ind w:right="92"/>
              <w:spacing w:after="0" w:line="149" w:lineRule="exact"/>
              <w:rPr>
                <w:sz w:val="20"/>
                <w:szCs w:val="20"/>
                <w:color w:val="auto"/>
              </w:rPr>
            </w:pPr>
            <w:r>
              <w:rPr>
                <w:rFonts w:ascii="Arial" w:cs="Arial" w:eastAsia="Arial" w:hAnsi="Arial"/>
                <w:sz w:val="14"/>
                <w:szCs w:val="14"/>
                <w:color w:val="auto"/>
              </w:rPr>
              <w:t>—</w:t>
            </w:r>
          </w:p>
        </w:tc>
        <w:tc>
          <w:tcPr>
            <w:tcW w:w="280" w:type="dxa"/>
            <w:vAlign w:val="bottom"/>
          </w:tcPr>
          <w:p>
            <w:pPr>
              <w:spacing w:after="0"/>
              <w:rPr>
                <w:sz w:val="12"/>
                <w:szCs w:val="12"/>
                <w:color w:val="auto"/>
              </w:rPr>
            </w:pPr>
          </w:p>
        </w:tc>
        <w:tc>
          <w:tcPr>
            <w:tcW w:w="460" w:type="dxa"/>
            <w:vAlign w:val="bottom"/>
          </w:tcPr>
          <w:p>
            <w:pPr>
              <w:jc w:val="right"/>
              <w:ind w:right="112"/>
              <w:spacing w:after="0" w:line="149" w:lineRule="exact"/>
              <w:rPr>
                <w:sz w:val="20"/>
                <w:szCs w:val="20"/>
                <w:color w:val="auto"/>
              </w:rPr>
            </w:pPr>
            <w:r>
              <w:rPr>
                <w:rFonts w:ascii="Arial" w:cs="Arial" w:eastAsia="Arial" w:hAnsi="Arial"/>
                <w:sz w:val="14"/>
                <w:szCs w:val="14"/>
                <w:color w:val="auto"/>
              </w:rPr>
              <w:t>—</w:t>
            </w:r>
          </w:p>
        </w:tc>
        <w:tc>
          <w:tcPr>
            <w:tcW w:w="240" w:type="dxa"/>
            <w:vAlign w:val="bottom"/>
          </w:tcPr>
          <w:p>
            <w:pPr>
              <w:spacing w:after="0"/>
              <w:rPr>
                <w:sz w:val="12"/>
                <w:szCs w:val="12"/>
                <w:color w:val="auto"/>
              </w:rPr>
            </w:pPr>
          </w:p>
        </w:tc>
        <w:tc>
          <w:tcPr>
            <w:tcW w:w="700" w:type="dxa"/>
            <w:vAlign w:val="bottom"/>
          </w:tcPr>
          <w:p>
            <w:pPr>
              <w:jc w:val="right"/>
              <w:ind w:right="112"/>
              <w:spacing w:after="0" w:line="149" w:lineRule="exact"/>
              <w:rPr>
                <w:sz w:val="20"/>
                <w:szCs w:val="20"/>
                <w:color w:val="auto"/>
              </w:rPr>
            </w:pPr>
            <w:r>
              <w:rPr>
                <w:rFonts w:ascii="Arial" w:cs="Arial" w:eastAsia="Arial" w:hAnsi="Arial"/>
                <w:sz w:val="14"/>
                <w:szCs w:val="14"/>
                <w:color w:val="auto"/>
              </w:rPr>
              <w:t>—</w:t>
            </w:r>
          </w:p>
        </w:tc>
        <w:tc>
          <w:tcPr>
            <w:tcW w:w="320" w:type="dxa"/>
            <w:vAlign w:val="bottom"/>
          </w:tcPr>
          <w:p>
            <w:pPr>
              <w:spacing w:after="0"/>
              <w:rPr>
                <w:sz w:val="12"/>
                <w:szCs w:val="12"/>
                <w:color w:val="auto"/>
              </w:rPr>
            </w:pPr>
          </w:p>
        </w:tc>
        <w:tc>
          <w:tcPr>
            <w:tcW w:w="560" w:type="dxa"/>
            <w:vAlign w:val="bottom"/>
          </w:tcPr>
          <w:p>
            <w:pPr>
              <w:jc w:val="right"/>
              <w:ind w:right="132"/>
              <w:spacing w:after="0" w:line="149" w:lineRule="exact"/>
              <w:rPr>
                <w:sz w:val="20"/>
                <w:szCs w:val="20"/>
                <w:color w:val="auto"/>
              </w:rPr>
            </w:pPr>
            <w:r>
              <w:rPr>
                <w:rFonts w:ascii="Arial" w:cs="Arial" w:eastAsia="Arial" w:hAnsi="Arial"/>
                <w:sz w:val="14"/>
                <w:szCs w:val="14"/>
                <w:color w:val="auto"/>
              </w:rPr>
              <w:t>—</w:t>
            </w:r>
          </w:p>
        </w:tc>
        <w:tc>
          <w:tcPr>
            <w:tcW w:w="240" w:type="dxa"/>
            <w:vAlign w:val="bottom"/>
          </w:tcPr>
          <w:p>
            <w:pPr>
              <w:spacing w:after="0"/>
              <w:rPr>
                <w:sz w:val="12"/>
                <w:szCs w:val="12"/>
                <w:color w:val="auto"/>
              </w:rPr>
            </w:pPr>
          </w:p>
        </w:tc>
        <w:tc>
          <w:tcPr>
            <w:tcW w:w="820" w:type="dxa"/>
            <w:vAlign w:val="bottom"/>
          </w:tcPr>
          <w:p>
            <w:pPr>
              <w:jc w:val="right"/>
              <w:ind w:right="112"/>
              <w:spacing w:after="0" w:line="149" w:lineRule="exact"/>
              <w:rPr>
                <w:sz w:val="20"/>
                <w:szCs w:val="20"/>
                <w:color w:val="auto"/>
              </w:rPr>
            </w:pPr>
            <w:r>
              <w:rPr>
                <w:rFonts w:ascii="Arial" w:cs="Arial" w:eastAsia="Arial" w:hAnsi="Arial"/>
                <w:sz w:val="14"/>
                <w:szCs w:val="14"/>
                <w:color w:val="auto"/>
              </w:rPr>
              <w:t>—</w:t>
            </w:r>
          </w:p>
        </w:tc>
        <w:tc>
          <w:tcPr>
            <w:tcW w:w="220" w:type="dxa"/>
            <w:vAlign w:val="bottom"/>
          </w:tcPr>
          <w:p>
            <w:pPr>
              <w:spacing w:after="0"/>
              <w:rPr>
                <w:sz w:val="12"/>
                <w:szCs w:val="12"/>
                <w:color w:val="auto"/>
              </w:rPr>
            </w:pPr>
          </w:p>
        </w:tc>
        <w:tc>
          <w:tcPr>
            <w:tcW w:w="920" w:type="dxa"/>
            <w:vAlign w:val="bottom"/>
          </w:tcPr>
          <w:p>
            <w:pPr>
              <w:jc w:val="right"/>
              <w:ind w:right="112"/>
              <w:spacing w:after="0" w:line="149" w:lineRule="exact"/>
              <w:rPr>
                <w:sz w:val="20"/>
                <w:szCs w:val="20"/>
                <w:color w:val="auto"/>
              </w:rPr>
            </w:pPr>
            <w:r>
              <w:rPr>
                <w:rFonts w:ascii="Arial" w:cs="Arial" w:eastAsia="Arial" w:hAnsi="Arial"/>
                <w:sz w:val="14"/>
                <w:szCs w:val="14"/>
                <w:color w:val="auto"/>
              </w:rPr>
              <w:t>—</w:t>
            </w:r>
          </w:p>
        </w:tc>
        <w:tc>
          <w:tcPr>
            <w:tcW w:w="240" w:type="dxa"/>
            <w:vAlign w:val="bottom"/>
          </w:tcPr>
          <w:p>
            <w:pPr>
              <w:spacing w:after="0"/>
              <w:rPr>
                <w:sz w:val="12"/>
                <w:szCs w:val="12"/>
                <w:color w:val="auto"/>
              </w:rPr>
            </w:pPr>
          </w:p>
        </w:tc>
        <w:tc>
          <w:tcPr>
            <w:tcW w:w="840" w:type="dxa"/>
            <w:vAlign w:val="bottom"/>
          </w:tcPr>
          <w:p>
            <w:pPr>
              <w:jc w:val="right"/>
              <w:spacing w:after="0" w:line="149" w:lineRule="exact"/>
              <w:rPr>
                <w:sz w:val="20"/>
                <w:szCs w:val="20"/>
                <w:color w:val="auto"/>
              </w:rPr>
            </w:pPr>
            <w:r>
              <w:rPr>
                <w:rFonts w:ascii="Arial" w:cs="Arial" w:eastAsia="Arial" w:hAnsi="Arial"/>
                <w:sz w:val="14"/>
                <w:szCs w:val="14"/>
                <w:b w:val="1"/>
                <w:bCs w:val="1"/>
                <w:color w:val="auto"/>
              </w:rPr>
              <w:t>(2,313)</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760" w:type="dxa"/>
            <w:vAlign w:val="bottom"/>
          </w:tcPr>
          <w:p>
            <w:pPr>
              <w:ind w:left="200"/>
              <w:spacing w:after="0" w:line="149" w:lineRule="exact"/>
              <w:rPr>
                <w:sz w:val="20"/>
                <w:szCs w:val="20"/>
                <w:color w:val="auto"/>
              </w:rPr>
            </w:pPr>
            <w:r>
              <w:rPr>
                <w:rFonts w:ascii="Arial" w:cs="Arial" w:eastAsia="Arial" w:hAnsi="Arial"/>
                <w:sz w:val="14"/>
                <w:szCs w:val="14"/>
                <w:color w:val="auto"/>
              </w:rPr>
              <w:t>Issuances of common stock</w:t>
            </w:r>
          </w:p>
        </w:tc>
        <w:tc>
          <w:tcPr>
            <w:tcW w:w="460" w:type="dxa"/>
            <w:vAlign w:val="bottom"/>
          </w:tcPr>
          <w:p>
            <w:pPr>
              <w:spacing w:after="0"/>
              <w:rPr>
                <w:sz w:val="12"/>
                <w:szCs w:val="12"/>
                <w:color w:val="auto"/>
              </w:rPr>
            </w:pPr>
          </w:p>
        </w:tc>
        <w:tc>
          <w:tcPr>
            <w:tcW w:w="620" w:type="dxa"/>
            <w:vAlign w:val="bottom"/>
          </w:tcPr>
          <w:p>
            <w:pPr>
              <w:jc w:val="right"/>
              <w:ind w:right="112"/>
              <w:spacing w:after="0" w:line="149" w:lineRule="exact"/>
              <w:rPr>
                <w:sz w:val="20"/>
                <w:szCs w:val="20"/>
                <w:color w:val="auto"/>
              </w:rPr>
            </w:pPr>
            <w:r>
              <w:rPr>
                <w:rFonts w:ascii="Arial" w:cs="Arial" w:eastAsia="Arial" w:hAnsi="Arial"/>
                <w:sz w:val="14"/>
                <w:szCs w:val="14"/>
                <w:color w:val="auto"/>
              </w:rPr>
              <w:t>93</w:t>
            </w:r>
          </w:p>
        </w:tc>
        <w:tc>
          <w:tcPr>
            <w:tcW w:w="260" w:type="dxa"/>
            <w:vAlign w:val="bottom"/>
          </w:tcPr>
          <w:p>
            <w:pPr>
              <w:spacing w:after="0"/>
              <w:rPr>
                <w:sz w:val="12"/>
                <w:szCs w:val="12"/>
                <w:color w:val="auto"/>
              </w:rPr>
            </w:pPr>
          </w:p>
        </w:tc>
        <w:tc>
          <w:tcPr>
            <w:tcW w:w="460" w:type="dxa"/>
            <w:vAlign w:val="bottom"/>
          </w:tcPr>
          <w:p>
            <w:pPr>
              <w:jc w:val="right"/>
              <w:ind w:right="92"/>
              <w:spacing w:after="0" w:line="149" w:lineRule="exact"/>
              <w:rPr>
                <w:sz w:val="20"/>
                <w:szCs w:val="20"/>
                <w:color w:val="auto"/>
              </w:rPr>
            </w:pPr>
            <w:r>
              <w:rPr>
                <w:rFonts w:ascii="Arial" w:cs="Arial" w:eastAsia="Arial" w:hAnsi="Arial"/>
                <w:sz w:val="14"/>
                <w:szCs w:val="14"/>
                <w:color w:val="auto"/>
              </w:rPr>
              <w:t>—</w:t>
            </w:r>
          </w:p>
        </w:tc>
        <w:tc>
          <w:tcPr>
            <w:tcW w:w="280" w:type="dxa"/>
            <w:vAlign w:val="bottom"/>
          </w:tcPr>
          <w:p>
            <w:pPr>
              <w:spacing w:after="0"/>
              <w:rPr>
                <w:sz w:val="12"/>
                <w:szCs w:val="12"/>
                <w:color w:val="auto"/>
              </w:rPr>
            </w:pPr>
          </w:p>
        </w:tc>
        <w:tc>
          <w:tcPr>
            <w:tcW w:w="460" w:type="dxa"/>
            <w:vAlign w:val="bottom"/>
          </w:tcPr>
          <w:p>
            <w:pPr>
              <w:jc w:val="right"/>
              <w:ind w:right="112"/>
              <w:spacing w:after="0" w:line="149" w:lineRule="exact"/>
              <w:rPr>
                <w:sz w:val="20"/>
                <w:szCs w:val="20"/>
                <w:color w:val="auto"/>
              </w:rPr>
            </w:pPr>
            <w:r>
              <w:rPr>
                <w:rFonts w:ascii="Arial" w:cs="Arial" w:eastAsia="Arial" w:hAnsi="Arial"/>
                <w:sz w:val="14"/>
                <w:szCs w:val="14"/>
                <w:color w:val="auto"/>
              </w:rPr>
              <w:t>—</w:t>
            </w:r>
          </w:p>
        </w:tc>
        <w:tc>
          <w:tcPr>
            <w:tcW w:w="240" w:type="dxa"/>
            <w:vAlign w:val="bottom"/>
          </w:tcPr>
          <w:p>
            <w:pPr>
              <w:spacing w:after="0"/>
              <w:rPr>
                <w:sz w:val="12"/>
                <w:szCs w:val="12"/>
                <w:color w:val="auto"/>
              </w:rPr>
            </w:pPr>
          </w:p>
        </w:tc>
        <w:tc>
          <w:tcPr>
            <w:tcW w:w="700" w:type="dxa"/>
            <w:vAlign w:val="bottom"/>
          </w:tcPr>
          <w:p>
            <w:pPr>
              <w:jc w:val="right"/>
              <w:ind w:right="112"/>
              <w:spacing w:after="0" w:line="149" w:lineRule="exact"/>
              <w:rPr>
                <w:sz w:val="20"/>
                <w:szCs w:val="20"/>
                <w:color w:val="auto"/>
              </w:rPr>
            </w:pPr>
            <w:r>
              <w:rPr>
                <w:rFonts w:ascii="Arial" w:cs="Arial" w:eastAsia="Arial" w:hAnsi="Arial"/>
                <w:sz w:val="14"/>
                <w:szCs w:val="14"/>
                <w:color w:val="auto"/>
              </w:rPr>
              <w:t>—</w:t>
            </w:r>
          </w:p>
        </w:tc>
        <w:tc>
          <w:tcPr>
            <w:tcW w:w="320" w:type="dxa"/>
            <w:vAlign w:val="bottom"/>
          </w:tcPr>
          <w:p>
            <w:pPr>
              <w:spacing w:after="0"/>
              <w:rPr>
                <w:sz w:val="12"/>
                <w:szCs w:val="12"/>
                <w:color w:val="auto"/>
              </w:rPr>
            </w:pPr>
          </w:p>
        </w:tc>
        <w:tc>
          <w:tcPr>
            <w:tcW w:w="560" w:type="dxa"/>
            <w:vAlign w:val="bottom"/>
          </w:tcPr>
          <w:p>
            <w:pPr>
              <w:jc w:val="right"/>
              <w:ind w:right="132"/>
              <w:spacing w:after="0" w:line="149" w:lineRule="exact"/>
              <w:rPr>
                <w:sz w:val="20"/>
                <w:szCs w:val="20"/>
                <w:color w:val="auto"/>
              </w:rPr>
            </w:pPr>
            <w:r>
              <w:rPr>
                <w:rFonts w:ascii="Arial" w:cs="Arial" w:eastAsia="Arial" w:hAnsi="Arial"/>
                <w:sz w:val="14"/>
                <w:szCs w:val="14"/>
                <w:color w:val="auto"/>
              </w:rPr>
              <w:t>—</w:t>
            </w:r>
          </w:p>
        </w:tc>
        <w:tc>
          <w:tcPr>
            <w:tcW w:w="240" w:type="dxa"/>
            <w:vAlign w:val="bottom"/>
          </w:tcPr>
          <w:p>
            <w:pPr>
              <w:spacing w:after="0"/>
              <w:rPr>
                <w:sz w:val="12"/>
                <w:szCs w:val="12"/>
                <w:color w:val="auto"/>
              </w:rPr>
            </w:pPr>
          </w:p>
        </w:tc>
        <w:tc>
          <w:tcPr>
            <w:tcW w:w="820" w:type="dxa"/>
            <w:vAlign w:val="bottom"/>
          </w:tcPr>
          <w:p>
            <w:pPr>
              <w:jc w:val="right"/>
              <w:ind w:right="112"/>
              <w:spacing w:after="0" w:line="149" w:lineRule="exact"/>
              <w:rPr>
                <w:sz w:val="20"/>
                <w:szCs w:val="20"/>
                <w:color w:val="auto"/>
              </w:rPr>
            </w:pPr>
            <w:r>
              <w:rPr>
                <w:rFonts w:ascii="Arial" w:cs="Arial" w:eastAsia="Arial" w:hAnsi="Arial"/>
                <w:sz w:val="14"/>
                <w:szCs w:val="14"/>
                <w:color w:val="auto"/>
              </w:rPr>
              <w:t>—</w:t>
            </w:r>
          </w:p>
        </w:tc>
        <w:tc>
          <w:tcPr>
            <w:tcW w:w="220" w:type="dxa"/>
            <w:vAlign w:val="bottom"/>
          </w:tcPr>
          <w:p>
            <w:pPr>
              <w:spacing w:after="0"/>
              <w:rPr>
                <w:sz w:val="12"/>
                <w:szCs w:val="12"/>
                <w:color w:val="auto"/>
              </w:rPr>
            </w:pPr>
          </w:p>
        </w:tc>
        <w:tc>
          <w:tcPr>
            <w:tcW w:w="920" w:type="dxa"/>
            <w:vAlign w:val="bottom"/>
          </w:tcPr>
          <w:p>
            <w:pPr>
              <w:jc w:val="right"/>
              <w:ind w:right="112"/>
              <w:spacing w:after="0" w:line="149" w:lineRule="exact"/>
              <w:rPr>
                <w:sz w:val="20"/>
                <w:szCs w:val="20"/>
                <w:color w:val="auto"/>
              </w:rPr>
            </w:pPr>
            <w:r>
              <w:rPr>
                <w:rFonts w:ascii="Arial" w:cs="Arial" w:eastAsia="Arial" w:hAnsi="Arial"/>
                <w:sz w:val="14"/>
                <w:szCs w:val="14"/>
                <w:color w:val="auto"/>
              </w:rPr>
              <w:t>—</w:t>
            </w:r>
          </w:p>
        </w:tc>
        <w:tc>
          <w:tcPr>
            <w:tcW w:w="240" w:type="dxa"/>
            <w:vAlign w:val="bottom"/>
          </w:tcPr>
          <w:p>
            <w:pPr>
              <w:spacing w:after="0"/>
              <w:rPr>
                <w:sz w:val="12"/>
                <w:szCs w:val="12"/>
                <w:color w:val="auto"/>
              </w:rPr>
            </w:pPr>
          </w:p>
        </w:tc>
        <w:tc>
          <w:tcPr>
            <w:tcW w:w="840" w:type="dxa"/>
            <w:vAlign w:val="bottom"/>
          </w:tcPr>
          <w:p>
            <w:pPr>
              <w:jc w:val="right"/>
              <w:spacing w:after="0" w:line="149" w:lineRule="exact"/>
              <w:rPr>
                <w:sz w:val="20"/>
                <w:szCs w:val="20"/>
                <w:color w:val="auto"/>
              </w:rPr>
            </w:pPr>
            <w:r>
              <w:rPr>
                <w:rFonts w:ascii="Arial" w:cs="Arial" w:eastAsia="Arial" w:hAnsi="Arial"/>
                <w:sz w:val="14"/>
                <w:szCs w:val="14"/>
                <w:b w:val="1"/>
                <w:bCs w:val="1"/>
                <w:color w:val="auto"/>
              </w:rPr>
              <w:t>93</w:t>
            </w:r>
          </w:p>
        </w:tc>
        <w:tc>
          <w:tcPr>
            <w:tcW w:w="0" w:type="dxa"/>
            <w:vAlign w:val="bottom"/>
          </w:tcPr>
          <w:p>
            <w:pPr>
              <w:spacing w:after="0"/>
              <w:rPr>
                <w:sz w:val="1"/>
                <w:szCs w:val="1"/>
                <w:color w:val="auto"/>
              </w:rPr>
            </w:pPr>
          </w:p>
        </w:tc>
      </w:tr>
      <w:tr>
        <w:trPr>
          <w:trHeight w:val="165"/>
        </w:trPr>
        <w:tc>
          <w:tcPr>
            <w:tcW w:w="20" w:type="dxa"/>
            <w:vAlign w:val="bottom"/>
          </w:tcPr>
          <w:p>
            <w:pPr>
              <w:spacing w:after="0"/>
              <w:rPr>
                <w:sz w:val="14"/>
                <w:szCs w:val="14"/>
                <w:color w:val="auto"/>
              </w:rPr>
            </w:pPr>
          </w:p>
        </w:tc>
        <w:tc>
          <w:tcPr>
            <w:tcW w:w="3760" w:type="dxa"/>
            <w:vAlign w:val="bottom"/>
            <w:tcBorders>
              <w:bottom w:val="single" w:sz="8" w:color="auto"/>
            </w:tcBorders>
          </w:tcPr>
          <w:p>
            <w:pPr>
              <w:ind w:left="200"/>
              <w:spacing w:after="0"/>
              <w:rPr>
                <w:sz w:val="20"/>
                <w:szCs w:val="20"/>
                <w:color w:val="auto"/>
              </w:rPr>
            </w:pPr>
            <w:r>
              <w:rPr>
                <w:rFonts w:ascii="Arial" w:cs="Arial" w:eastAsia="Arial" w:hAnsi="Arial"/>
                <w:sz w:val="14"/>
                <w:szCs w:val="14"/>
                <w:color w:val="auto"/>
              </w:rPr>
              <w:t>Other</w:t>
            </w:r>
          </w:p>
        </w:tc>
        <w:tc>
          <w:tcPr>
            <w:tcW w:w="460" w:type="dxa"/>
            <w:vAlign w:val="bottom"/>
            <w:tcBorders>
              <w:bottom w:val="single" w:sz="8" w:color="auto"/>
            </w:tcBorders>
          </w:tcPr>
          <w:p>
            <w:pPr>
              <w:spacing w:after="0"/>
              <w:rPr>
                <w:sz w:val="14"/>
                <w:szCs w:val="14"/>
                <w:color w:val="auto"/>
              </w:rPr>
            </w:pPr>
          </w:p>
        </w:tc>
        <w:tc>
          <w:tcPr>
            <w:tcW w:w="620" w:type="dxa"/>
            <w:vAlign w:val="bottom"/>
            <w:tcBorders>
              <w:bottom w:val="single" w:sz="8" w:color="auto"/>
            </w:tcBorders>
          </w:tcPr>
          <w:p>
            <w:pPr>
              <w:jc w:val="right"/>
              <w:ind w:right="112"/>
              <w:spacing w:after="0"/>
              <w:rPr>
                <w:sz w:val="20"/>
                <w:szCs w:val="20"/>
                <w:color w:val="auto"/>
              </w:rPr>
            </w:pPr>
            <w:r>
              <w:rPr>
                <w:rFonts w:ascii="Arial" w:cs="Arial" w:eastAsia="Arial" w:hAnsi="Arial"/>
                <w:sz w:val="14"/>
                <w:szCs w:val="14"/>
                <w:color w:val="auto"/>
              </w:rPr>
              <w:t>—</w:t>
            </w:r>
          </w:p>
        </w:tc>
        <w:tc>
          <w:tcPr>
            <w:tcW w:w="260" w:type="dxa"/>
            <w:vAlign w:val="bottom"/>
            <w:tcBorders>
              <w:bottom w:val="single" w:sz="8" w:color="auto"/>
            </w:tcBorders>
          </w:tcPr>
          <w:p>
            <w:pPr>
              <w:spacing w:after="0"/>
              <w:rPr>
                <w:sz w:val="14"/>
                <w:szCs w:val="14"/>
                <w:color w:val="auto"/>
              </w:rPr>
            </w:pPr>
          </w:p>
        </w:tc>
        <w:tc>
          <w:tcPr>
            <w:tcW w:w="460" w:type="dxa"/>
            <w:vAlign w:val="bottom"/>
            <w:tcBorders>
              <w:bottom w:val="single" w:sz="8" w:color="auto"/>
            </w:tcBorders>
          </w:tcPr>
          <w:p>
            <w:pPr>
              <w:jc w:val="right"/>
              <w:ind w:right="92"/>
              <w:spacing w:after="0"/>
              <w:rPr>
                <w:sz w:val="20"/>
                <w:szCs w:val="20"/>
                <w:color w:val="auto"/>
              </w:rPr>
            </w:pPr>
            <w:r>
              <w:rPr>
                <w:rFonts w:ascii="Arial" w:cs="Arial" w:eastAsia="Arial" w:hAnsi="Arial"/>
                <w:sz w:val="14"/>
                <w:szCs w:val="14"/>
                <w:color w:val="auto"/>
              </w:rPr>
              <w:t>—</w:t>
            </w:r>
          </w:p>
        </w:tc>
        <w:tc>
          <w:tcPr>
            <w:tcW w:w="280" w:type="dxa"/>
            <w:vAlign w:val="bottom"/>
            <w:tcBorders>
              <w:bottom w:val="single" w:sz="8" w:color="auto"/>
            </w:tcBorders>
          </w:tcPr>
          <w:p>
            <w:pPr>
              <w:spacing w:after="0"/>
              <w:rPr>
                <w:sz w:val="14"/>
                <w:szCs w:val="14"/>
                <w:color w:val="auto"/>
              </w:rPr>
            </w:pPr>
          </w:p>
        </w:tc>
        <w:tc>
          <w:tcPr>
            <w:tcW w:w="460" w:type="dxa"/>
            <w:vAlign w:val="bottom"/>
            <w:tcBorders>
              <w:bottom w:val="single" w:sz="8" w:color="auto"/>
            </w:tcBorders>
          </w:tcPr>
          <w:p>
            <w:pPr>
              <w:jc w:val="right"/>
              <w:ind w:right="112"/>
              <w:spacing w:after="0"/>
              <w:rPr>
                <w:sz w:val="20"/>
                <w:szCs w:val="20"/>
                <w:color w:val="auto"/>
              </w:rPr>
            </w:pPr>
            <w:r>
              <w:rPr>
                <w:rFonts w:ascii="Arial" w:cs="Arial" w:eastAsia="Arial" w:hAnsi="Arial"/>
                <w:sz w:val="14"/>
                <w:szCs w:val="14"/>
                <w:color w:val="auto"/>
              </w:rPr>
              <w:t>—</w:t>
            </w:r>
          </w:p>
        </w:tc>
        <w:tc>
          <w:tcPr>
            <w:tcW w:w="240" w:type="dxa"/>
            <w:vAlign w:val="bottom"/>
            <w:tcBorders>
              <w:bottom w:val="single" w:sz="8" w:color="auto"/>
            </w:tcBorders>
          </w:tcPr>
          <w:p>
            <w:pPr>
              <w:spacing w:after="0"/>
              <w:rPr>
                <w:sz w:val="14"/>
                <w:szCs w:val="14"/>
                <w:color w:val="auto"/>
              </w:rPr>
            </w:pPr>
          </w:p>
        </w:tc>
        <w:tc>
          <w:tcPr>
            <w:tcW w:w="700" w:type="dxa"/>
            <w:vAlign w:val="bottom"/>
            <w:tcBorders>
              <w:bottom w:val="single" w:sz="8" w:color="auto"/>
            </w:tcBorders>
          </w:tcPr>
          <w:p>
            <w:pPr>
              <w:jc w:val="right"/>
              <w:ind w:right="112"/>
              <w:spacing w:after="0"/>
              <w:rPr>
                <w:sz w:val="20"/>
                <w:szCs w:val="20"/>
                <w:color w:val="auto"/>
              </w:rPr>
            </w:pPr>
            <w:r>
              <w:rPr>
                <w:rFonts w:ascii="Arial" w:cs="Arial" w:eastAsia="Arial" w:hAnsi="Arial"/>
                <w:sz w:val="14"/>
                <w:szCs w:val="14"/>
                <w:color w:val="auto"/>
              </w:rPr>
              <w:t>—</w:t>
            </w:r>
          </w:p>
        </w:tc>
        <w:tc>
          <w:tcPr>
            <w:tcW w:w="320" w:type="dxa"/>
            <w:vAlign w:val="bottom"/>
            <w:tcBorders>
              <w:bottom w:val="single" w:sz="8" w:color="auto"/>
            </w:tcBorders>
          </w:tcPr>
          <w:p>
            <w:pPr>
              <w:spacing w:after="0"/>
              <w:rPr>
                <w:sz w:val="14"/>
                <w:szCs w:val="14"/>
                <w:color w:val="auto"/>
              </w:rPr>
            </w:pPr>
          </w:p>
        </w:tc>
        <w:tc>
          <w:tcPr>
            <w:tcW w:w="560" w:type="dxa"/>
            <w:vAlign w:val="bottom"/>
            <w:tcBorders>
              <w:bottom w:val="single" w:sz="8" w:color="auto"/>
            </w:tcBorders>
          </w:tcPr>
          <w:p>
            <w:pPr>
              <w:jc w:val="right"/>
              <w:ind w:right="132"/>
              <w:spacing w:after="0"/>
              <w:rPr>
                <w:sz w:val="20"/>
                <w:szCs w:val="20"/>
                <w:color w:val="auto"/>
              </w:rPr>
            </w:pPr>
            <w:r>
              <w:rPr>
                <w:rFonts w:ascii="Arial" w:cs="Arial" w:eastAsia="Arial" w:hAnsi="Arial"/>
                <w:sz w:val="14"/>
                <w:szCs w:val="14"/>
                <w:color w:val="auto"/>
              </w:rPr>
              <w:t>—</w:t>
            </w:r>
          </w:p>
        </w:tc>
        <w:tc>
          <w:tcPr>
            <w:tcW w:w="240" w:type="dxa"/>
            <w:vAlign w:val="bottom"/>
            <w:tcBorders>
              <w:bottom w:val="single" w:sz="8" w:color="auto"/>
            </w:tcBorders>
          </w:tcPr>
          <w:p>
            <w:pPr>
              <w:spacing w:after="0"/>
              <w:rPr>
                <w:sz w:val="14"/>
                <w:szCs w:val="14"/>
                <w:color w:val="auto"/>
              </w:rPr>
            </w:pPr>
          </w:p>
        </w:tc>
        <w:tc>
          <w:tcPr>
            <w:tcW w:w="820" w:type="dxa"/>
            <w:vAlign w:val="bottom"/>
            <w:tcBorders>
              <w:bottom w:val="single" w:sz="8" w:color="auto"/>
            </w:tcBorders>
          </w:tcPr>
          <w:p>
            <w:pPr>
              <w:jc w:val="right"/>
              <w:ind w:right="112"/>
              <w:spacing w:after="0"/>
              <w:rPr>
                <w:sz w:val="20"/>
                <w:szCs w:val="20"/>
                <w:color w:val="auto"/>
              </w:rPr>
            </w:pPr>
            <w:r>
              <w:rPr>
                <w:rFonts w:ascii="Arial" w:cs="Arial" w:eastAsia="Arial" w:hAnsi="Arial"/>
                <w:sz w:val="14"/>
                <w:szCs w:val="14"/>
                <w:color w:val="auto"/>
              </w:rPr>
              <w:t>15</w:t>
            </w:r>
          </w:p>
        </w:tc>
        <w:tc>
          <w:tcPr>
            <w:tcW w:w="220" w:type="dxa"/>
            <w:vAlign w:val="bottom"/>
            <w:tcBorders>
              <w:bottom w:val="single" w:sz="8" w:color="auto"/>
            </w:tcBorders>
          </w:tcPr>
          <w:p>
            <w:pPr>
              <w:spacing w:after="0"/>
              <w:rPr>
                <w:sz w:val="14"/>
                <w:szCs w:val="14"/>
                <w:color w:val="auto"/>
              </w:rPr>
            </w:pPr>
          </w:p>
        </w:tc>
        <w:tc>
          <w:tcPr>
            <w:tcW w:w="920" w:type="dxa"/>
            <w:vAlign w:val="bottom"/>
            <w:tcBorders>
              <w:bottom w:val="single" w:sz="8" w:color="auto"/>
            </w:tcBorders>
          </w:tcPr>
          <w:p>
            <w:pPr>
              <w:jc w:val="right"/>
              <w:ind w:right="112"/>
              <w:spacing w:after="0"/>
              <w:rPr>
                <w:sz w:val="20"/>
                <w:szCs w:val="20"/>
                <w:color w:val="auto"/>
              </w:rPr>
            </w:pPr>
            <w:r>
              <w:rPr>
                <w:rFonts w:ascii="Arial" w:cs="Arial" w:eastAsia="Arial" w:hAnsi="Arial"/>
                <w:sz w:val="14"/>
                <w:szCs w:val="14"/>
                <w:color w:val="auto"/>
              </w:rPr>
              <w:t>—</w:t>
            </w:r>
          </w:p>
        </w:tc>
        <w:tc>
          <w:tcPr>
            <w:tcW w:w="240" w:type="dxa"/>
            <w:vAlign w:val="bottom"/>
            <w:tcBorders>
              <w:bottom w:val="single" w:sz="8" w:color="auto"/>
            </w:tcBorders>
          </w:tcPr>
          <w:p>
            <w:pPr>
              <w:spacing w:after="0"/>
              <w:rPr>
                <w:sz w:val="14"/>
                <w:szCs w:val="14"/>
                <w:color w:val="auto"/>
              </w:rPr>
            </w:pPr>
          </w:p>
        </w:tc>
        <w:tc>
          <w:tcPr>
            <w:tcW w:w="84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15</w:t>
            </w: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3760" w:type="dxa"/>
            <w:vAlign w:val="bottom"/>
            <w:tcBorders>
              <w:bottom w:val="single" w:sz="8" w:color="auto"/>
            </w:tcBorders>
          </w:tcPr>
          <w:p>
            <w:pPr>
              <w:ind w:left="200"/>
              <w:spacing w:after="0" w:line="142" w:lineRule="exact"/>
              <w:rPr>
                <w:sz w:val="20"/>
                <w:szCs w:val="20"/>
                <w:color w:val="auto"/>
              </w:rPr>
            </w:pPr>
            <w:r>
              <w:rPr>
                <w:rFonts w:ascii="Arial" w:cs="Arial" w:eastAsia="Arial" w:hAnsi="Arial"/>
                <w:sz w:val="14"/>
                <w:szCs w:val="14"/>
                <w:color w:val="auto"/>
              </w:rPr>
              <w:t>Net cash provided by (used in) financing activities</w:t>
            </w:r>
          </w:p>
        </w:tc>
        <w:tc>
          <w:tcPr>
            <w:tcW w:w="460" w:type="dxa"/>
            <w:vAlign w:val="bottom"/>
            <w:tcBorders>
              <w:bottom w:val="single" w:sz="8" w:color="auto"/>
            </w:tcBorders>
          </w:tcPr>
          <w:p>
            <w:pPr>
              <w:spacing w:after="0"/>
              <w:rPr>
                <w:sz w:val="12"/>
                <w:szCs w:val="12"/>
                <w:color w:val="auto"/>
              </w:rPr>
            </w:pPr>
          </w:p>
        </w:tc>
        <w:tc>
          <w:tcPr>
            <w:tcW w:w="620" w:type="dxa"/>
            <w:vAlign w:val="bottom"/>
            <w:tcBorders>
              <w:bottom w:val="single" w:sz="8" w:color="auto"/>
            </w:tcBorders>
          </w:tcPr>
          <w:p>
            <w:pPr>
              <w:jc w:val="right"/>
              <w:ind w:right="112"/>
              <w:spacing w:after="0" w:line="142" w:lineRule="exact"/>
              <w:rPr>
                <w:sz w:val="20"/>
                <w:szCs w:val="20"/>
                <w:color w:val="auto"/>
              </w:rPr>
            </w:pPr>
            <w:r>
              <w:rPr>
                <w:rFonts w:ascii="Arial" w:cs="Arial" w:eastAsia="Arial" w:hAnsi="Arial"/>
                <w:sz w:val="14"/>
                <w:szCs w:val="14"/>
                <w:color w:val="auto"/>
              </w:rPr>
              <w:t>1,752</w:t>
            </w:r>
          </w:p>
        </w:tc>
        <w:tc>
          <w:tcPr>
            <w:tcW w:w="260" w:type="dxa"/>
            <w:vAlign w:val="bottom"/>
            <w:tcBorders>
              <w:bottom w:val="single" w:sz="8" w:color="auto"/>
            </w:tcBorders>
          </w:tcPr>
          <w:p>
            <w:pPr>
              <w:spacing w:after="0"/>
              <w:rPr>
                <w:sz w:val="12"/>
                <w:szCs w:val="12"/>
                <w:color w:val="auto"/>
              </w:rPr>
            </w:pPr>
          </w:p>
        </w:tc>
        <w:tc>
          <w:tcPr>
            <w:tcW w:w="460" w:type="dxa"/>
            <w:vAlign w:val="bottom"/>
            <w:tcBorders>
              <w:bottom w:val="single" w:sz="8" w:color="auto"/>
            </w:tcBorders>
          </w:tcPr>
          <w:p>
            <w:pPr>
              <w:jc w:val="right"/>
              <w:ind w:right="52"/>
              <w:spacing w:after="0" w:line="142" w:lineRule="exact"/>
              <w:rPr>
                <w:sz w:val="20"/>
                <w:szCs w:val="20"/>
                <w:color w:val="auto"/>
              </w:rPr>
            </w:pPr>
            <w:r>
              <w:rPr>
                <w:rFonts w:ascii="Arial" w:cs="Arial" w:eastAsia="Arial" w:hAnsi="Arial"/>
                <w:sz w:val="14"/>
                <w:szCs w:val="14"/>
                <w:color w:val="auto"/>
                <w:w w:val="97"/>
              </w:rPr>
              <w:t>(700)</w:t>
            </w:r>
          </w:p>
        </w:tc>
        <w:tc>
          <w:tcPr>
            <w:tcW w:w="280" w:type="dxa"/>
            <w:vAlign w:val="bottom"/>
            <w:tcBorders>
              <w:bottom w:val="single" w:sz="8" w:color="auto"/>
            </w:tcBorders>
          </w:tcPr>
          <w:p>
            <w:pPr>
              <w:spacing w:after="0"/>
              <w:rPr>
                <w:sz w:val="12"/>
                <w:szCs w:val="12"/>
                <w:color w:val="auto"/>
              </w:rPr>
            </w:pPr>
          </w:p>
        </w:tc>
        <w:tc>
          <w:tcPr>
            <w:tcW w:w="460" w:type="dxa"/>
            <w:vAlign w:val="bottom"/>
            <w:tcBorders>
              <w:bottom w:val="single" w:sz="8" w:color="auto"/>
            </w:tcBorders>
          </w:tcPr>
          <w:p>
            <w:pPr>
              <w:jc w:val="right"/>
              <w:ind w:right="112"/>
              <w:spacing w:after="0" w:line="142" w:lineRule="exact"/>
              <w:rPr>
                <w:sz w:val="20"/>
                <w:szCs w:val="20"/>
                <w:color w:val="auto"/>
              </w:rPr>
            </w:pPr>
            <w:r>
              <w:rPr>
                <w:rFonts w:ascii="Arial" w:cs="Arial" w:eastAsia="Arial" w:hAnsi="Arial"/>
                <w:sz w:val="14"/>
                <w:szCs w:val="14"/>
                <w:color w:val="auto"/>
              </w:rPr>
              <w:t>—</w:t>
            </w:r>
          </w:p>
        </w:tc>
        <w:tc>
          <w:tcPr>
            <w:tcW w:w="240" w:type="dxa"/>
            <w:vAlign w:val="bottom"/>
            <w:tcBorders>
              <w:bottom w:val="single" w:sz="8" w:color="auto"/>
            </w:tcBorders>
          </w:tcPr>
          <w:p>
            <w:pPr>
              <w:spacing w:after="0"/>
              <w:rPr>
                <w:sz w:val="12"/>
                <w:szCs w:val="12"/>
                <w:color w:val="auto"/>
              </w:rPr>
            </w:pPr>
          </w:p>
        </w:tc>
        <w:tc>
          <w:tcPr>
            <w:tcW w:w="700" w:type="dxa"/>
            <w:vAlign w:val="bottom"/>
            <w:tcBorders>
              <w:bottom w:val="single" w:sz="8" w:color="auto"/>
            </w:tcBorders>
          </w:tcPr>
          <w:p>
            <w:pPr>
              <w:jc w:val="right"/>
              <w:ind w:right="72"/>
              <w:spacing w:after="0" w:line="142" w:lineRule="exact"/>
              <w:rPr>
                <w:sz w:val="20"/>
                <w:szCs w:val="20"/>
                <w:color w:val="auto"/>
              </w:rPr>
            </w:pPr>
            <w:r>
              <w:rPr>
                <w:rFonts w:ascii="Arial" w:cs="Arial" w:eastAsia="Arial" w:hAnsi="Arial"/>
                <w:sz w:val="14"/>
                <w:szCs w:val="14"/>
                <w:color w:val="auto"/>
              </w:rPr>
              <w:t>(1,628)</w:t>
            </w:r>
          </w:p>
        </w:tc>
        <w:tc>
          <w:tcPr>
            <w:tcW w:w="320" w:type="dxa"/>
            <w:vAlign w:val="bottom"/>
            <w:tcBorders>
              <w:bottom w:val="single" w:sz="8" w:color="auto"/>
            </w:tcBorders>
          </w:tcPr>
          <w:p>
            <w:pPr>
              <w:spacing w:after="0"/>
              <w:rPr>
                <w:sz w:val="12"/>
                <w:szCs w:val="12"/>
                <w:color w:val="auto"/>
              </w:rPr>
            </w:pPr>
          </w:p>
        </w:tc>
        <w:tc>
          <w:tcPr>
            <w:tcW w:w="560" w:type="dxa"/>
            <w:vAlign w:val="bottom"/>
            <w:tcBorders>
              <w:bottom w:val="single" w:sz="8" w:color="auto"/>
            </w:tcBorders>
          </w:tcPr>
          <w:p>
            <w:pPr>
              <w:jc w:val="right"/>
              <w:ind w:right="72"/>
              <w:spacing w:after="0" w:line="142" w:lineRule="exact"/>
              <w:rPr>
                <w:sz w:val="20"/>
                <w:szCs w:val="20"/>
                <w:color w:val="auto"/>
              </w:rPr>
            </w:pPr>
            <w:r>
              <w:rPr>
                <w:rFonts w:ascii="Arial" w:cs="Arial" w:eastAsia="Arial" w:hAnsi="Arial"/>
                <w:sz w:val="14"/>
                <w:szCs w:val="14"/>
                <w:color w:val="auto"/>
              </w:rPr>
              <w:t>(13)</w:t>
            </w:r>
          </w:p>
        </w:tc>
        <w:tc>
          <w:tcPr>
            <w:tcW w:w="240" w:type="dxa"/>
            <w:vAlign w:val="bottom"/>
            <w:tcBorders>
              <w:bottom w:val="single" w:sz="8" w:color="auto"/>
            </w:tcBorders>
          </w:tcPr>
          <w:p>
            <w:pPr>
              <w:spacing w:after="0"/>
              <w:rPr>
                <w:sz w:val="12"/>
                <w:szCs w:val="12"/>
                <w:color w:val="auto"/>
              </w:rPr>
            </w:pPr>
          </w:p>
        </w:tc>
        <w:tc>
          <w:tcPr>
            <w:tcW w:w="820" w:type="dxa"/>
            <w:vAlign w:val="bottom"/>
            <w:tcBorders>
              <w:bottom w:val="single" w:sz="8" w:color="auto"/>
            </w:tcBorders>
          </w:tcPr>
          <w:p>
            <w:pPr>
              <w:jc w:val="right"/>
              <w:ind w:right="72"/>
              <w:spacing w:after="0" w:line="142" w:lineRule="exact"/>
              <w:rPr>
                <w:sz w:val="20"/>
                <w:szCs w:val="20"/>
                <w:color w:val="auto"/>
              </w:rPr>
            </w:pPr>
            <w:r>
              <w:rPr>
                <w:rFonts w:ascii="Arial" w:cs="Arial" w:eastAsia="Arial" w:hAnsi="Arial"/>
                <w:sz w:val="14"/>
                <w:szCs w:val="14"/>
                <w:color w:val="auto"/>
              </w:rPr>
              <w:t>(344)</w:t>
            </w:r>
          </w:p>
        </w:tc>
        <w:tc>
          <w:tcPr>
            <w:tcW w:w="220" w:type="dxa"/>
            <w:vAlign w:val="bottom"/>
            <w:tcBorders>
              <w:bottom w:val="single" w:sz="8" w:color="auto"/>
            </w:tcBorders>
          </w:tcPr>
          <w:p>
            <w:pPr>
              <w:spacing w:after="0"/>
              <w:rPr>
                <w:sz w:val="12"/>
                <w:szCs w:val="12"/>
                <w:color w:val="auto"/>
              </w:rPr>
            </w:pPr>
          </w:p>
        </w:tc>
        <w:tc>
          <w:tcPr>
            <w:tcW w:w="920" w:type="dxa"/>
            <w:vAlign w:val="bottom"/>
            <w:tcBorders>
              <w:bottom w:val="single" w:sz="8" w:color="auto"/>
            </w:tcBorders>
          </w:tcPr>
          <w:p>
            <w:pPr>
              <w:jc w:val="right"/>
              <w:ind w:right="112"/>
              <w:spacing w:after="0" w:line="142" w:lineRule="exact"/>
              <w:rPr>
                <w:sz w:val="20"/>
                <w:szCs w:val="20"/>
                <w:color w:val="auto"/>
              </w:rPr>
            </w:pPr>
            <w:r>
              <w:rPr>
                <w:rFonts w:ascii="Arial" w:cs="Arial" w:eastAsia="Arial" w:hAnsi="Arial"/>
                <w:sz w:val="14"/>
                <w:szCs w:val="14"/>
                <w:color w:val="auto"/>
              </w:rPr>
              <w:t>—</w:t>
            </w:r>
          </w:p>
        </w:tc>
        <w:tc>
          <w:tcPr>
            <w:tcW w:w="240" w:type="dxa"/>
            <w:vAlign w:val="bottom"/>
            <w:tcBorders>
              <w:bottom w:val="single" w:sz="8" w:color="auto"/>
            </w:tcBorders>
          </w:tcPr>
          <w:p>
            <w:pPr>
              <w:spacing w:after="0"/>
              <w:rPr>
                <w:sz w:val="12"/>
                <w:szCs w:val="12"/>
                <w:color w:val="auto"/>
              </w:rPr>
            </w:pPr>
          </w:p>
        </w:tc>
        <w:tc>
          <w:tcPr>
            <w:tcW w:w="840" w:type="dxa"/>
            <w:vAlign w:val="bottom"/>
            <w:tcBorders>
              <w:bottom w:val="single" w:sz="8" w:color="auto"/>
            </w:tcBorders>
          </w:tcPr>
          <w:p>
            <w:pPr>
              <w:jc w:val="right"/>
              <w:spacing w:after="0" w:line="142" w:lineRule="exact"/>
              <w:rPr>
                <w:sz w:val="20"/>
                <w:szCs w:val="20"/>
                <w:color w:val="auto"/>
              </w:rPr>
            </w:pPr>
            <w:r>
              <w:rPr>
                <w:rFonts w:ascii="Arial" w:cs="Arial" w:eastAsia="Arial" w:hAnsi="Arial"/>
                <w:sz w:val="14"/>
                <w:szCs w:val="14"/>
                <w:b w:val="1"/>
                <w:bCs w:val="1"/>
                <w:color w:val="auto"/>
              </w:rPr>
              <w:t>(933)</w:t>
            </w:r>
          </w:p>
        </w:tc>
        <w:tc>
          <w:tcPr>
            <w:tcW w:w="0" w:type="dxa"/>
            <w:vAlign w:val="bottom"/>
          </w:tcPr>
          <w:p>
            <w:pPr>
              <w:spacing w:after="0"/>
              <w:rPr>
                <w:sz w:val="1"/>
                <w:szCs w:val="1"/>
                <w:color w:val="auto"/>
              </w:rPr>
            </w:pPr>
          </w:p>
        </w:tc>
      </w:tr>
      <w:tr>
        <w:trPr>
          <w:trHeight w:val="141"/>
        </w:trPr>
        <w:tc>
          <w:tcPr>
            <w:tcW w:w="20" w:type="dxa"/>
            <w:vAlign w:val="bottom"/>
          </w:tcPr>
          <w:p>
            <w:pPr>
              <w:spacing w:after="0"/>
              <w:rPr>
                <w:sz w:val="12"/>
                <w:szCs w:val="12"/>
                <w:color w:val="auto"/>
              </w:rPr>
            </w:pPr>
          </w:p>
        </w:tc>
        <w:tc>
          <w:tcPr>
            <w:tcW w:w="3760" w:type="dxa"/>
            <w:vAlign w:val="bottom"/>
          </w:tcPr>
          <w:p>
            <w:pPr>
              <w:spacing w:after="0" w:line="141" w:lineRule="exact"/>
              <w:rPr>
                <w:sz w:val="20"/>
                <w:szCs w:val="20"/>
                <w:color w:val="auto"/>
              </w:rPr>
            </w:pPr>
            <w:r>
              <w:rPr>
                <w:rFonts w:ascii="Arial" w:cs="Arial" w:eastAsia="Arial" w:hAnsi="Arial"/>
                <w:sz w:val="14"/>
                <w:szCs w:val="14"/>
                <w:b w:val="1"/>
                <w:bCs w:val="1"/>
                <w:color w:val="auto"/>
              </w:rPr>
              <w:t>Investing Activities</w:t>
            </w:r>
          </w:p>
        </w:tc>
        <w:tc>
          <w:tcPr>
            <w:tcW w:w="46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46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46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92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840" w:type="dxa"/>
            <w:vAlign w:val="bottom"/>
            <w:vMerge w:val="restart"/>
          </w:tcPr>
          <w:p>
            <w:pPr>
              <w:jc w:val="right"/>
              <w:spacing w:after="0"/>
              <w:rPr>
                <w:sz w:val="20"/>
                <w:szCs w:val="20"/>
                <w:color w:val="auto"/>
              </w:rPr>
            </w:pPr>
            <w:r>
              <w:rPr>
                <w:rFonts w:ascii="Arial" w:cs="Arial" w:eastAsia="Arial" w:hAnsi="Arial"/>
                <w:sz w:val="14"/>
                <w:szCs w:val="14"/>
                <w:b w:val="1"/>
                <w:bCs w:val="1"/>
                <w:color w:val="auto"/>
              </w:rPr>
              <w:t>—</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3760" w:type="dxa"/>
            <w:vAlign w:val="bottom"/>
          </w:tcPr>
          <w:p>
            <w:pPr>
              <w:ind w:left="200"/>
              <w:spacing w:after="0" w:line="133" w:lineRule="exact"/>
              <w:rPr>
                <w:sz w:val="20"/>
                <w:szCs w:val="20"/>
                <w:color w:val="auto"/>
              </w:rPr>
            </w:pPr>
            <w:r>
              <w:rPr>
                <w:rFonts w:ascii="Arial" w:cs="Arial" w:eastAsia="Arial" w:hAnsi="Arial"/>
                <w:sz w:val="14"/>
                <w:szCs w:val="14"/>
                <w:color w:val="auto"/>
              </w:rPr>
              <w:t>Net transactions with affiliates</w:t>
            </w:r>
          </w:p>
        </w:tc>
        <w:tc>
          <w:tcPr>
            <w:tcW w:w="460" w:type="dxa"/>
            <w:vAlign w:val="bottom"/>
          </w:tcPr>
          <w:p>
            <w:pPr>
              <w:spacing w:after="0"/>
              <w:rPr>
                <w:sz w:val="11"/>
                <w:szCs w:val="11"/>
                <w:color w:val="auto"/>
              </w:rPr>
            </w:pPr>
          </w:p>
        </w:tc>
        <w:tc>
          <w:tcPr>
            <w:tcW w:w="620" w:type="dxa"/>
            <w:vAlign w:val="bottom"/>
          </w:tcPr>
          <w:p>
            <w:pPr>
              <w:jc w:val="right"/>
              <w:ind w:right="72"/>
              <w:spacing w:after="0" w:line="133" w:lineRule="exact"/>
              <w:rPr>
                <w:sz w:val="20"/>
                <w:szCs w:val="20"/>
                <w:color w:val="auto"/>
              </w:rPr>
            </w:pPr>
            <w:r>
              <w:rPr>
                <w:rFonts w:ascii="Arial" w:cs="Arial" w:eastAsia="Arial" w:hAnsi="Arial"/>
                <w:sz w:val="14"/>
                <w:szCs w:val="14"/>
                <w:color w:val="auto"/>
              </w:rPr>
              <w:t>(1,813)</w:t>
            </w:r>
          </w:p>
        </w:tc>
        <w:tc>
          <w:tcPr>
            <w:tcW w:w="260" w:type="dxa"/>
            <w:vAlign w:val="bottom"/>
          </w:tcPr>
          <w:p>
            <w:pPr>
              <w:spacing w:after="0"/>
              <w:rPr>
                <w:sz w:val="11"/>
                <w:szCs w:val="11"/>
                <w:color w:val="auto"/>
              </w:rPr>
            </w:pPr>
          </w:p>
        </w:tc>
        <w:tc>
          <w:tcPr>
            <w:tcW w:w="460" w:type="dxa"/>
            <w:vAlign w:val="bottom"/>
          </w:tcPr>
          <w:p>
            <w:pPr>
              <w:jc w:val="right"/>
              <w:ind w:right="92"/>
              <w:spacing w:after="0" w:line="133" w:lineRule="exact"/>
              <w:rPr>
                <w:sz w:val="20"/>
                <w:szCs w:val="20"/>
                <w:color w:val="auto"/>
              </w:rPr>
            </w:pPr>
            <w:r>
              <w:rPr>
                <w:rFonts w:ascii="Arial" w:cs="Arial" w:eastAsia="Arial" w:hAnsi="Arial"/>
                <w:sz w:val="14"/>
                <w:szCs w:val="14"/>
                <w:color w:val="auto"/>
              </w:rPr>
              <w:t>956</w:t>
            </w:r>
          </w:p>
        </w:tc>
        <w:tc>
          <w:tcPr>
            <w:tcW w:w="280" w:type="dxa"/>
            <w:vAlign w:val="bottom"/>
          </w:tcPr>
          <w:p>
            <w:pPr>
              <w:spacing w:after="0"/>
              <w:rPr>
                <w:sz w:val="11"/>
                <w:szCs w:val="11"/>
                <w:color w:val="auto"/>
              </w:rPr>
            </w:pPr>
          </w:p>
        </w:tc>
        <w:tc>
          <w:tcPr>
            <w:tcW w:w="460" w:type="dxa"/>
            <w:vAlign w:val="bottom"/>
          </w:tcPr>
          <w:p>
            <w:pPr>
              <w:jc w:val="right"/>
              <w:ind w:right="112"/>
              <w:spacing w:after="0" w:line="133" w:lineRule="exact"/>
              <w:rPr>
                <w:sz w:val="20"/>
                <w:szCs w:val="20"/>
                <w:color w:val="auto"/>
              </w:rPr>
            </w:pPr>
            <w:r>
              <w:rPr>
                <w:rFonts w:ascii="Arial" w:cs="Arial" w:eastAsia="Arial" w:hAnsi="Arial"/>
                <w:sz w:val="14"/>
                <w:szCs w:val="14"/>
                <w:color w:val="auto"/>
              </w:rPr>
              <w:t>204</w:t>
            </w:r>
          </w:p>
        </w:tc>
        <w:tc>
          <w:tcPr>
            <w:tcW w:w="240" w:type="dxa"/>
            <w:vAlign w:val="bottom"/>
          </w:tcPr>
          <w:p>
            <w:pPr>
              <w:spacing w:after="0"/>
              <w:rPr>
                <w:sz w:val="11"/>
                <w:szCs w:val="11"/>
                <w:color w:val="auto"/>
              </w:rPr>
            </w:pPr>
          </w:p>
        </w:tc>
        <w:tc>
          <w:tcPr>
            <w:tcW w:w="700" w:type="dxa"/>
            <w:vAlign w:val="bottom"/>
          </w:tcPr>
          <w:p>
            <w:pPr>
              <w:jc w:val="right"/>
              <w:ind w:right="112"/>
              <w:spacing w:after="0" w:line="133" w:lineRule="exact"/>
              <w:rPr>
                <w:sz w:val="20"/>
                <w:szCs w:val="20"/>
                <w:color w:val="auto"/>
              </w:rPr>
            </w:pPr>
            <w:r>
              <w:rPr>
                <w:rFonts w:ascii="Arial" w:cs="Arial" w:eastAsia="Arial" w:hAnsi="Arial"/>
                <w:sz w:val="14"/>
                <w:szCs w:val="14"/>
                <w:color w:val="auto"/>
              </w:rPr>
              <w:t>2,015</w:t>
            </w:r>
          </w:p>
        </w:tc>
        <w:tc>
          <w:tcPr>
            <w:tcW w:w="320" w:type="dxa"/>
            <w:vAlign w:val="bottom"/>
          </w:tcPr>
          <w:p>
            <w:pPr>
              <w:spacing w:after="0"/>
              <w:rPr>
                <w:sz w:val="11"/>
                <w:szCs w:val="11"/>
                <w:color w:val="auto"/>
              </w:rPr>
            </w:pPr>
          </w:p>
        </w:tc>
        <w:tc>
          <w:tcPr>
            <w:tcW w:w="560" w:type="dxa"/>
            <w:vAlign w:val="bottom"/>
          </w:tcPr>
          <w:p>
            <w:pPr>
              <w:jc w:val="right"/>
              <w:ind w:right="132"/>
              <w:spacing w:after="0" w:line="133" w:lineRule="exact"/>
              <w:rPr>
                <w:sz w:val="20"/>
                <w:szCs w:val="20"/>
                <w:color w:val="auto"/>
              </w:rPr>
            </w:pPr>
            <w:r>
              <w:rPr>
                <w:rFonts w:ascii="Arial" w:cs="Arial" w:eastAsia="Arial" w:hAnsi="Arial"/>
                <w:sz w:val="14"/>
                <w:szCs w:val="14"/>
                <w:color w:val="auto"/>
              </w:rPr>
              <w:t>123</w:t>
            </w:r>
          </w:p>
        </w:tc>
        <w:tc>
          <w:tcPr>
            <w:tcW w:w="240" w:type="dxa"/>
            <w:vAlign w:val="bottom"/>
          </w:tcPr>
          <w:p>
            <w:pPr>
              <w:spacing w:after="0"/>
              <w:rPr>
                <w:sz w:val="11"/>
                <w:szCs w:val="11"/>
                <w:color w:val="auto"/>
              </w:rPr>
            </w:pPr>
          </w:p>
        </w:tc>
        <w:tc>
          <w:tcPr>
            <w:tcW w:w="820" w:type="dxa"/>
            <w:vAlign w:val="bottom"/>
          </w:tcPr>
          <w:p>
            <w:pPr>
              <w:jc w:val="right"/>
              <w:ind w:right="72"/>
              <w:spacing w:after="0" w:line="133" w:lineRule="exact"/>
              <w:rPr>
                <w:sz w:val="20"/>
                <w:szCs w:val="20"/>
                <w:color w:val="auto"/>
              </w:rPr>
            </w:pPr>
            <w:r>
              <w:rPr>
                <w:rFonts w:ascii="Arial" w:cs="Arial" w:eastAsia="Arial" w:hAnsi="Arial"/>
                <w:sz w:val="14"/>
                <w:szCs w:val="14"/>
                <w:color w:val="auto"/>
              </w:rPr>
              <w:t>(1,485)</w:t>
            </w:r>
          </w:p>
        </w:tc>
        <w:tc>
          <w:tcPr>
            <w:tcW w:w="220" w:type="dxa"/>
            <w:vAlign w:val="bottom"/>
          </w:tcPr>
          <w:p>
            <w:pPr>
              <w:spacing w:after="0"/>
              <w:rPr>
                <w:sz w:val="11"/>
                <w:szCs w:val="11"/>
                <w:color w:val="auto"/>
              </w:rPr>
            </w:pPr>
          </w:p>
        </w:tc>
        <w:tc>
          <w:tcPr>
            <w:tcW w:w="920" w:type="dxa"/>
            <w:vAlign w:val="bottom"/>
          </w:tcPr>
          <w:p>
            <w:pPr>
              <w:jc w:val="right"/>
              <w:ind w:right="112"/>
              <w:spacing w:after="0" w:line="133" w:lineRule="exact"/>
              <w:rPr>
                <w:sz w:val="20"/>
                <w:szCs w:val="20"/>
                <w:color w:val="auto"/>
              </w:rPr>
            </w:pPr>
            <w:r>
              <w:rPr>
                <w:rFonts w:ascii="Arial" w:cs="Arial" w:eastAsia="Arial" w:hAnsi="Arial"/>
                <w:sz w:val="14"/>
                <w:szCs w:val="14"/>
                <w:color w:val="auto"/>
              </w:rPr>
              <w:t>—</w:t>
            </w:r>
          </w:p>
        </w:tc>
        <w:tc>
          <w:tcPr>
            <w:tcW w:w="240" w:type="dxa"/>
            <w:vAlign w:val="bottom"/>
          </w:tcPr>
          <w:p>
            <w:pPr>
              <w:spacing w:after="0"/>
              <w:rPr>
                <w:sz w:val="11"/>
                <w:szCs w:val="11"/>
                <w:color w:val="auto"/>
              </w:rPr>
            </w:pPr>
          </w:p>
        </w:tc>
        <w:tc>
          <w:tcPr>
            <w:tcW w:w="840" w:type="dxa"/>
            <w:vAlign w:val="bottom"/>
            <w:vMerge w:val="continue"/>
          </w:tcPr>
          <w:p>
            <w:pPr>
              <w:spacing w:after="0"/>
              <w:rPr>
                <w:sz w:val="11"/>
                <w:szCs w:val="11"/>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760" w:type="dxa"/>
            <w:vAlign w:val="bottom"/>
          </w:tcPr>
          <w:p>
            <w:pPr>
              <w:ind w:left="200"/>
              <w:spacing w:after="0" w:line="149" w:lineRule="exact"/>
              <w:rPr>
                <w:sz w:val="20"/>
                <w:szCs w:val="20"/>
                <w:color w:val="auto"/>
              </w:rPr>
            </w:pPr>
            <w:r>
              <w:rPr>
                <w:rFonts w:ascii="Arial" w:cs="Arial" w:eastAsia="Arial" w:hAnsi="Arial"/>
                <w:sz w:val="14"/>
                <w:szCs w:val="14"/>
                <w:color w:val="auto"/>
              </w:rPr>
              <w:t>Capital expenditures</w:t>
            </w:r>
          </w:p>
        </w:tc>
        <w:tc>
          <w:tcPr>
            <w:tcW w:w="460" w:type="dxa"/>
            <w:vAlign w:val="bottom"/>
          </w:tcPr>
          <w:p>
            <w:pPr>
              <w:spacing w:after="0"/>
              <w:rPr>
                <w:sz w:val="12"/>
                <w:szCs w:val="12"/>
                <w:color w:val="auto"/>
              </w:rPr>
            </w:pPr>
          </w:p>
        </w:tc>
        <w:tc>
          <w:tcPr>
            <w:tcW w:w="620" w:type="dxa"/>
            <w:vAlign w:val="bottom"/>
          </w:tcPr>
          <w:p>
            <w:pPr>
              <w:jc w:val="right"/>
              <w:ind w:right="112"/>
              <w:spacing w:after="0" w:line="149" w:lineRule="exact"/>
              <w:rPr>
                <w:sz w:val="20"/>
                <w:szCs w:val="20"/>
                <w:color w:val="auto"/>
              </w:rPr>
            </w:pPr>
            <w:r>
              <w:rPr>
                <w:rFonts w:ascii="Arial" w:cs="Arial" w:eastAsia="Arial" w:hAnsi="Arial"/>
                <w:sz w:val="14"/>
                <w:szCs w:val="14"/>
                <w:color w:val="auto"/>
              </w:rPr>
              <w:t>—</w:t>
            </w:r>
          </w:p>
        </w:tc>
        <w:tc>
          <w:tcPr>
            <w:tcW w:w="260" w:type="dxa"/>
            <w:vAlign w:val="bottom"/>
          </w:tcPr>
          <w:p>
            <w:pPr>
              <w:spacing w:after="0"/>
              <w:rPr>
                <w:sz w:val="12"/>
                <w:szCs w:val="12"/>
                <w:color w:val="auto"/>
              </w:rPr>
            </w:pPr>
          </w:p>
        </w:tc>
        <w:tc>
          <w:tcPr>
            <w:tcW w:w="460" w:type="dxa"/>
            <w:vAlign w:val="bottom"/>
          </w:tcPr>
          <w:p>
            <w:pPr>
              <w:jc w:val="right"/>
              <w:ind w:right="92"/>
              <w:spacing w:after="0" w:line="149" w:lineRule="exact"/>
              <w:rPr>
                <w:sz w:val="20"/>
                <w:szCs w:val="20"/>
                <w:color w:val="auto"/>
              </w:rPr>
            </w:pPr>
            <w:r>
              <w:rPr>
                <w:rFonts w:ascii="Arial" w:cs="Arial" w:eastAsia="Arial" w:hAnsi="Arial"/>
                <w:sz w:val="14"/>
                <w:szCs w:val="14"/>
                <w:color w:val="auto"/>
              </w:rPr>
              <w:t>—</w:t>
            </w:r>
          </w:p>
        </w:tc>
        <w:tc>
          <w:tcPr>
            <w:tcW w:w="280" w:type="dxa"/>
            <w:vAlign w:val="bottom"/>
          </w:tcPr>
          <w:p>
            <w:pPr>
              <w:spacing w:after="0"/>
              <w:rPr>
                <w:sz w:val="12"/>
                <w:szCs w:val="12"/>
                <w:color w:val="auto"/>
              </w:rPr>
            </w:pPr>
          </w:p>
        </w:tc>
        <w:tc>
          <w:tcPr>
            <w:tcW w:w="460" w:type="dxa"/>
            <w:vAlign w:val="bottom"/>
          </w:tcPr>
          <w:p>
            <w:pPr>
              <w:jc w:val="right"/>
              <w:ind w:right="112"/>
              <w:spacing w:after="0" w:line="149" w:lineRule="exact"/>
              <w:rPr>
                <w:sz w:val="20"/>
                <w:szCs w:val="20"/>
                <w:color w:val="auto"/>
              </w:rPr>
            </w:pPr>
            <w:r>
              <w:rPr>
                <w:rFonts w:ascii="Arial" w:cs="Arial" w:eastAsia="Arial" w:hAnsi="Arial"/>
                <w:sz w:val="14"/>
                <w:szCs w:val="14"/>
                <w:color w:val="auto"/>
              </w:rPr>
              <w:t>—</w:t>
            </w:r>
          </w:p>
        </w:tc>
        <w:tc>
          <w:tcPr>
            <w:tcW w:w="240" w:type="dxa"/>
            <w:vAlign w:val="bottom"/>
          </w:tcPr>
          <w:p>
            <w:pPr>
              <w:spacing w:after="0"/>
              <w:rPr>
                <w:sz w:val="12"/>
                <w:szCs w:val="12"/>
                <w:color w:val="auto"/>
              </w:rPr>
            </w:pPr>
          </w:p>
        </w:tc>
        <w:tc>
          <w:tcPr>
            <w:tcW w:w="700" w:type="dxa"/>
            <w:vAlign w:val="bottom"/>
          </w:tcPr>
          <w:p>
            <w:pPr>
              <w:jc w:val="right"/>
              <w:ind w:right="112"/>
              <w:spacing w:after="0" w:line="149" w:lineRule="exact"/>
              <w:rPr>
                <w:sz w:val="20"/>
                <w:szCs w:val="20"/>
                <w:color w:val="auto"/>
              </w:rPr>
            </w:pPr>
            <w:r>
              <w:rPr>
                <w:rFonts w:ascii="Arial" w:cs="Arial" w:eastAsia="Arial" w:hAnsi="Arial"/>
                <w:sz w:val="14"/>
                <w:szCs w:val="14"/>
                <w:color w:val="auto"/>
              </w:rPr>
              <w:t>—</w:t>
            </w:r>
          </w:p>
        </w:tc>
        <w:tc>
          <w:tcPr>
            <w:tcW w:w="320" w:type="dxa"/>
            <w:vAlign w:val="bottom"/>
          </w:tcPr>
          <w:p>
            <w:pPr>
              <w:spacing w:after="0"/>
              <w:rPr>
                <w:sz w:val="12"/>
                <w:szCs w:val="12"/>
                <w:color w:val="auto"/>
              </w:rPr>
            </w:pPr>
          </w:p>
        </w:tc>
        <w:tc>
          <w:tcPr>
            <w:tcW w:w="560" w:type="dxa"/>
            <w:vAlign w:val="bottom"/>
          </w:tcPr>
          <w:p>
            <w:pPr>
              <w:jc w:val="right"/>
              <w:ind w:right="132"/>
              <w:spacing w:after="0" w:line="149" w:lineRule="exact"/>
              <w:rPr>
                <w:sz w:val="20"/>
                <w:szCs w:val="20"/>
                <w:color w:val="auto"/>
              </w:rPr>
            </w:pPr>
            <w:r>
              <w:rPr>
                <w:rFonts w:ascii="Arial" w:cs="Arial" w:eastAsia="Arial" w:hAnsi="Arial"/>
                <w:sz w:val="14"/>
                <w:szCs w:val="14"/>
                <w:color w:val="auto"/>
              </w:rPr>
              <w:t>—</w:t>
            </w:r>
          </w:p>
        </w:tc>
        <w:tc>
          <w:tcPr>
            <w:tcW w:w="240" w:type="dxa"/>
            <w:vAlign w:val="bottom"/>
          </w:tcPr>
          <w:p>
            <w:pPr>
              <w:spacing w:after="0"/>
              <w:rPr>
                <w:sz w:val="12"/>
                <w:szCs w:val="12"/>
                <w:color w:val="auto"/>
              </w:rPr>
            </w:pPr>
          </w:p>
        </w:tc>
        <w:tc>
          <w:tcPr>
            <w:tcW w:w="820" w:type="dxa"/>
            <w:vAlign w:val="bottom"/>
          </w:tcPr>
          <w:p>
            <w:pPr>
              <w:jc w:val="right"/>
              <w:ind w:right="72"/>
              <w:spacing w:after="0" w:line="149" w:lineRule="exact"/>
              <w:rPr>
                <w:sz w:val="20"/>
                <w:szCs w:val="20"/>
                <w:color w:val="auto"/>
              </w:rPr>
            </w:pPr>
            <w:r>
              <w:rPr>
                <w:rFonts w:ascii="Arial" w:cs="Arial" w:eastAsia="Arial" w:hAnsi="Arial"/>
                <w:sz w:val="14"/>
                <w:szCs w:val="14"/>
                <w:color w:val="auto"/>
              </w:rPr>
              <w:t>(3,621)</w:t>
            </w:r>
          </w:p>
        </w:tc>
        <w:tc>
          <w:tcPr>
            <w:tcW w:w="220" w:type="dxa"/>
            <w:vAlign w:val="bottom"/>
          </w:tcPr>
          <w:p>
            <w:pPr>
              <w:spacing w:after="0"/>
              <w:rPr>
                <w:sz w:val="12"/>
                <w:szCs w:val="12"/>
                <w:color w:val="auto"/>
              </w:rPr>
            </w:pPr>
          </w:p>
        </w:tc>
        <w:tc>
          <w:tcPr>
            <w:tcW w:w="920" w:type="dxa"/>
            <w:vAlign w:val="bottom"/>
          </w:tcPr>
          <w:p>
            <w:pPr>
              <w:jc w:val="right"/>
              <w:ind w:right="112"/>
              <w:spacing w:after="0" w:line="149" w:lineRule="exact"/>
              <w:rPr>
                <w:sz w:val="20"/>
                <w:szCs w:val="20"/>
                <w:color w:val="auto"/>
              </w:rPr>
            </w:pPr>
            <w:r>
              <w:rPr>
                <w:rFonts w:ascii="Arial" w:cs="Arial" w:eastAsia="Arial" w:hAnsi="Arial"/>
                <w:sz w:val="14"/>
                <w:szCs w:val="14"/>
                <w:color w:val="auto"/>
              </w:rPr>
              <w:t>—</w:t>
            </w:r>
          </w:p>
        </w:tc>
        <w:tc>
          <w:tcPr>
            <w:tcW w:w="240" w:type="dxa"/>
            <w:vAlign w:val="bottom"/>
          </w:tcPr>
          <w:p>
            <w:pPr>
              <w:spacing w:after="0"/>
              <w:rPr>
                <w:sz w:val="12"/>
                <w:szCs w:val="12"/>
                <w:color w:val="auto"/>
              </w:rPr>
            </w:pPr>
          </w:p>
        </w:tc>
        <w:tc>
          <w:tcPr>
            <w:tcW w:w="840" w:type="dxa"/>
            <w:vAlign w:val="bottom"/>
          </w:tcPr>
          <w:p>
            <w:pPr>
              <w:jc w:val="right"/>
              <w:spacing w:after="0" w:line="149" w:lineRule="exact"/>
              <w:rPr>
                <w:sz w:val="20"/>
                <w:szCs w:val="20"/>
                <w:color w:val="auto"/>
              </w:rPr>
            </w:pPr>
            <w:r>
              <w:rPr>
                <w:rFonts w:ascii="Arial" w:cs="Arial" w:eastAsia="Arial" w:hAnsi="Arial"/>
                <w:sz w:val="14"/>
                <w:szCs w:val="14"/>
                <w:b w:val="1"/>
                <w:bCs w:val="1"/>
                <w:color w:val="auto"/>
              </w:rPr>
              <w:t>(3,621)</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760" w:type="dxa"/>
            <w:vAlign w:val="bottom"/>
          </w:tcPr>
          <w:p>
            <w:pPr>
              <w:ind w:left="200"/>
              <w:spacing w:after="0" w:line="149" w:lineRule="exact"/>
              <w:rPr>
                <w:sz w:val="20"/>
                <w:szCs w:val="20"/>
                <w:color w:val="auto"/>
              </w:rPr>
            </w:pPr>
            <w:r>
              <w:rPr>
                <w:rFonts w:ascii="Arial" w:cs="Arial" w:eastAsia="Arial" w:hAnsi="Arial"/>
                <w:sz w:val="14"/>
                <w:szCs w:val="14"/>
                <w:color w:val="auto"/>
              </w:rPr>
              <w:t>Cash paid for intangible assets</w:t>
            </w:r>
          </w:p>
        </w:tc>
        <w:tc>
          <w:tcPr>
            <w:tcW w:w="460" w:type="dxa"/>
            <w:vAlign w:val="bottom"/>
          </w:tcPr>
          <w:p>
            <w:pPr>
              <w:spacing w:after="0"/>
              <w:rPr>
                <w:sz w:val="12"/>
                <w:szCs w:val="12"/>
                <w:color w:val="auto"/>
              </w:rPr>
            </w:pPr>
          </w:p>
        </w:tc>
        <w:tc>
          <w:tcPr>
            <w:tcW w:w="620" w:type="dxa"/>
            <w:vAlign w:val="bottom"/>
          </w:tcPr>
          <w:p>
            <w:pPr>
              <w:jc w:val="right"/>
              <w:ind w:right="112"/>
              <w:spacing w:after="0" w:line="149" w:lineRule="exact"/>
              <w:rPr>
                <w:sz w:val="20"/>
                <w:szCs w:val="20"/>
                <w:color w:val="auto"/>
              </w:rPr>
            </w:pPr>
            <w:r>
              <w:rPr>
                <w:rFonts w:ascii="Arial" w:cs="Arial" w:eastAsia="Arial" w:hAnsi="Arial"/>
                <w:sz w:val="14"/>
                <w:szCs w:val="14"/>
                <w:color w:val="auto"/>
              </w:rPr>
              <w:t>—</w:t>
            </w:r>
          </w:p>
        </w:tc>
        <w:tc>
          <w:tcPr>
            <w:tcW w:w="260" w:type="dxa"/>
            <w:vAlign w:val="bottom"/>
          </w:tcPr>
          <w:p>
            <w:pPr>
              <w:spacing w:after="0"/>
              <w:rPr>
                <w:sz w:val="12"/>
                <w:szCs w:val="12"/>
                <w:color w:val="auto"/>
              </w:rPr>
            </w:pPr>
          </w:p>
        </w:tc>
        <w:tc>
          <w:tcPr>
            <w:tcW w:w="460" w:type="dxa"/>
            <w:vAlign w:val="bottom"/>
          </w:tcPr>
          <w:p>
            <w:pPr>
              <w:jc w:val="right"/>
              <w:ind w:right="92"/>
              <w:spacing w:after="0" w:line="149" w:lineRule="exact"/>
              <w:rPr>
                <w:sz w:val="20"/>
                <w:szCs w:val="20"/>
                <w:color w:val="auto"/>
              </w:rPr>
            </w:pPr>
            <w:r>
              <w:rPr>
                <w:rFonts w:ascii="Arial" w:cs="Arial" w:eastAsia="Arial" w:hAnsi="Arial"/>
                <w:sz w:val="14"/>
                <w:szCs w:val="14"/>
                <w:color w:val="auto"/>
              </w:rPr>
              <w:t>—</w:t>
            </w:r>
          </w:p>
        </w:tc>
        <w:tc>
          <w:tcPr>
            <w:tcW w:w="280" w:type="dxa"/>
            <w:vAlign w:val="bottom"/>
          </w:tcPr>
          <w:p>
            <w:pPr>
              <w:spacing w:after="0"/>
              <w:rPr>
                <w:sz w:val="12"/>
                <w:szCs w:val="12"/>
                <w:color w:val="auto"/>
              </w:rPr>
            </w:pPr>
          </w:p>
        </w:tc>
        <w:tc>
          <w:tcPr>
            <w:tcW w:w="460" w:type="dxa"/>
            <w:vAlign w:val="bottom"/>
          </w:tcPr>
          <w:p>
            <w:pPr>
              <w:jc w:val="right"/>
              <w:ind w:right="112"/>
              <w:spacing w:after="0" w:line="149" w:lineRule="exact"/>
              <w:rPr>
                <w:sz w:val="20"/>
                <w:szCs w:val="20"/>
                <w:color w:val="auto"/>
              </w:rPr>
            </w:pPr>
            <w:r>
              <w:rPr>
                <w:rFonts w:ascii="Arial" w:cs="Arial" w:eastAsia="Arial" w:hAnsi="Arial"/>
                <w:sz w:val="14"/>
                <w:szCs w:val="14"/>
                <w:color w:val="auto"/>
              </w:rPr>
              <w:t>—</w:t>
            </w:r>
          </w:p>
        </w:tc>
        <w:tc>
          <w:tcPr>
            <w:tcW w:w="240" w:type="dxa"/>
            <w:vAlign w:val="bottom"/>
          </w:tcPr>
          <w:p>
            <w:pPr>
              <w:spacing w:after="0"/>
              <w:rPr>
                <w:sz w:val="12"/>
                <w:szCs w:val="12"/>
                <w:color w:val="auto"/>
              </w:rPr>
            </w:pPr>
          </w:p>
        </w:tc>
        <w:tc>
          <w:tcPr>
            <w:tcW w:w="700" w:type="dxa"/>
            <w:vAlign w:val="bottom"/>
          </w:tcPr>
          <w:p>
            <w:pPr>
              <w:jc w:val="right"/>
              <w:ind w:right="112"/>
              <w:spacing w:after="0" w:line="149" w:lineRule="exact"/>
              <w:rPr>
                <w:sz w:val="20"/>
                <w:szCs w:val="20"/>
                <w:color w:val="auto"/>
              </w:rPr>
            </w:pPr>
            <w:r>
              <w:rPr>
                <w:rFonts w:ascii="Arial" w:cs="Arial" w:eastAsia="Arial" w:hAnsi="Arial"/>
                <w:sz w:val="14"/>
                <w:szCs w:val="14"/>
                <w:color w:val="auto"/>
              </w:rPr>
              <w:t>—</w:t>
            </w:r>
          </w:p>
        </w:tc>
        <w:tc>
          <w:tcPr>
            <w:tcW w:w="320" w:type="dxa"/>
            <w:vAlign w:val="bottom"/>
          </w:tcPr>
          <w:p>
            <w:pPr>
              <w:spacing w:after="0"/>
              <w:rPr>
                <w:sz w:val="12"/>
                <w:szCs w:val="12"/>
                <w:color w:val="auto"/>
              </w:rPr>
            </w:pPr>
          </w:p>
        </w:tc>
        <w:tc>
          <w:tcPr>
            <w:tcW w:w="560" w:type="dxa"/>
            <w:vAlign w:val="bottom"/>
          </w:tcPr>
          <w:p>
            <w:pPr>
              <w:jc w:val="right"/>
              <w:ind w:right="132"/>
              <w:spacing w:after="0" w:line="149" w:lineRule="exact"/>
              <w:rPr>
                <w:sz w:val="20"/>
                <w:szCs w:val="20"/>
                <w:color w:val="auto"/>
              </w:rPr>
            </w:pPr>
            <w:r>
              <w:rPr>
                <w:rFonts w:ascii="Arial" w:cs="Arial" w:eastAsia="Arial" w:hAnsi="Arial"/>
                <w:sz w:val="14"/>
                <w:szCs w:val="14"/>
                <w:color w:val="auto"/>
              </w:rPr>
              <w:t>—</w:t>
            </w:r>
          </w:p>
        </w:tc>
        <w:tc>
          <w:tcPr>
            <w:tcW w:w="240" w:type="dxa"/>
            <w:vAlign w:val="bottom"/>
          </w:tcPr>
          <w:p>
            <w:pPr>
              <w:spacing w:after="0"/>
              <w:rPr>
                <w:sz w:val="12"/>
                <w:szCs w:val="12"/>
                <w:color w:val="auto"/>
              </w:rPr>
            </w:pPr>
          </w:p>
        </w:tc>
        <w:tc>
          <w:tcPr>
            <w:tcW w:w="820" w:type="dxa"/>
            <w:vAlign w:val="bottom"/>
          </w:tcPr>
          <w:p>
            <w:pPr>
              <w:jc w:val="right"/>
              <w:ind w:right="72"/>
              <w:spacing w:after="0" w:line="149" w:lineRule="exact"/>
              <w:rPr>
                <w:sz w:val="20"/>
                <w:szCs w:val="20"/>
                <w:color w:val="auto"/>
              </w:rPr>
            </w:pPr>
            <w:r>
              <w:rPr>
                <w:rFonts w:ascii="Arial" w:cs="Arial" w:eastAsia="Arial" w:hAnsi="Arial"/>
                <w:sz w:val="14"/>
                <w:szCs w:val="14"/>
                <w:color w:val="auto"/>
              </w:rPr>
              <w:t>(281)</w:t>
            </w:r>
          </w:p>
        </w:tc>
        <w:tc>
          <w:tcPr>
            <w:tcW w:w="220" w:type="dxa"/>
            <w:vAlign w:val="bottom"/>
          </w:tcPr>
          <w:p>
            <w:pPr>
              <w:spacing w:after="0"/>
              <w:rPr>
                <w:sz w:val="12"/>
                <w:szCs w:val="12"/>
                <w:color w:val="auto"/>
              </w:rPr>
            </w:pPr>
          </w:p>
        </w:tc>
        <w:tc>
          <w:tcPr>
            <w:tcW w:w="920" w:type="dxa"/>
            <w:vAlign w:val="bottom"/>
          </w:tcPr>
          <w:p>
            <w:pPr>
              <w:jc w:val="right"/>
              <w:ind w:right="112"/>
              <w:spacing w:after="0" w:line="149" w:lineRule="exact"/>
              <w:rPr>
                <w:sz w:val="20"/>
                <w:szCs w:val="20"/>
                <w:color w:val="auto"/>
              </w:rPr>
            </w:pPr>
            <w:r>
              <w:rPr>
                <w:rFonts w:ascii="Arial" w:cs="Arial" w:eastAsia="Arial" w:hAnsi="Arial"/>
                <w:sz w:val="14"/>
                <w:szCs w:val="14"/>
                <w:color w:val="auto"/>
              </w:rPr>
              <w:t>—</w:t>
            </w:r>
          </w:p>
        </w:tc>
        <w:tc>
          <w:tcPr>
            <w:tcW w:w="240" w:type="dxa"/>
            <w:vAlign w:val="bottom"/>
          </w:tcPr>
          <w:p>
            <w:pPr>
              <w:spacing w:after="0"/>
              <w:rPr>
                <w:sz w:val="12"/>
                <w:szCs w:val="12"/>
                <w:color w:val="auto"/>
              </w:rPr>
            </w:pPr>
          </w:p>
        </w:tc>
        <w:tc>
          <w:tcPr>
            <w:tcW w:w="840" w:type="dxa"/>
            <w:vAlign w:val="bottom"/>
          </w:tcPr>
          <w:p>
            <w:pPr>
              <w:jc w:val="right"/>
              <w:spacing w:after="0" w:line="149" w:lineRule="exact"/>
              <w:rPr>
                <w:sz w:val="20"/>
                <w:szCs w:val="20"/>
                <w:color w:val="auto"/>
              </w:rPr>
            </w:pPr>
            <w:r>
              <w:rPr>
                <w:rFonts w:ascii="Arial" w:cs="Arial" w:eastAsia="Arial" w:hAnsi="Arial"/>
                <w:sz w:val="14"/>
                <w:szCs w:val="14"/>
                <w:b w:val="1"/>
                <w:bCs w:val="1"/>
                <w:color w:val="auto"/>
              </w:rPr>
              <w:t>(281)</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760" w:type="dxa"/>
            <w:vAlign w:val="bottom"/>
          </w:tcPr>
          <w:p>
            <w:pPr>
              <w:ind w:left="200"/>
              <w:spacing w:after="0" w:line="149" w:lineRule="exact"/>
              <w:rPr>
                <w:sz w:val="20"/>
                <w:szCs w:val="20"/>
                <w:color w:val="auto"/>
              </w:rPr>
            </w:pPr>
            <w:r>
              <w:rPr>
                <w:rFonts w:ascii="Arial" w:cs="Arial" w:eastAsia="Arial" w:hAnsi="Arial"/>
                <w:sz w:val="14"/>
                <w:szCs w:val="14"/>
                <w:color w:val="auto"/>
              </w:rPr>
              <w:t>Acquisitions, net of cash acquired</w:t>
            </w:r>
          </w:p>
        </w:tc>
        <w:tc>
          <w:tcPr>
            <w:tcW w:w="460" w:type="dxa"/>
            <w:vAlign w:val="bottom"/>
          </w:tcPr>
          <w:p>
            <w:pPr>
              <w:spacing w:after="0"/>
              <w:rPr>
                <w:sz w:val="12"/>
                <w:szCs w:val="12"/>
                <w:color w:val="auto"/>
              </w:rPr>
            </w:pPr>
          </w:p>
        </w:tc>
        <w:tc>
          <w:tcPr>
            <w:tcW w:w="620" w:type="dxa"/>
            <w:vAlign w:val="bottom"/>
          </w:tcPr>
          <w:p>
            <w:pPr>
              <w:jc w:val="right"/>
              <w:ind w:right="112"/>
              <w:spacing w:after="0" w:line="149" w:lineRule="exact"/>
              <w:rPr>
                <w:sz w:val="20"/>
                <w:szCs w:val="20"/>
                <w:color w:val="auto"/>
              </w:rPr>
            </w:pPr>
            <w:r>
              <w:rPr>
                <w:rFonts w:ascii="Arial" w:cs="Arial" w:eastAsia="Arial" w:hAnsi="Arial"/>
                <w:sz w:val="14"/>
                <w:szCs w:val="14"/>
                <w:color w:val="auto"/>
              </w:rPr>
              <w:t>—</w:t>
            </w:r>
          </w:p>
        </w:tc>
        <w:tc>
          <w:tcPr>
            <w:tcW w:w="260" w:type="dxa"/>
            <w:vAlign w:val="bottom"/>
          </w:tcPr>
          <w:p>
            <w:pPr>
              <w:spacing w:after="0"/>
              <w:rPr>
                <w:sz w:val="12"/>
                <w:szCs w:val="12"/>
                <w:color w:val="auto"/>
              </w:rPr>
            </w:pPr>
          </w:p>
        </w:tc>
        <w:tc>
          <w:tcPr>
            <w:tcW w:w="460" w:type="dxa"/>
            <w:vAlign w:val="bottom"/>
          </w:tcPr>
          <w:p>
            <w:pPr>
              <w:jc w:val="right"/>
              <w:ind w:right="92"/>
              <w:spacing w:after="0" w:line="149" w:lineRule="exact"/>
              <w:rPr>
                <w:sz w:val="20"/>
                <w:szCs w:val="20"/>
                <w:color w:val="auto"/>
              </w:rPr>
            </w:pPr>
            <w:r>
              <w:rPr>
                <w:rFonts w:ascii="Arial" w:cs="Arial" w:eastAsia="Arial" w:hAnsi="Arial"/>
                <w:sz w:val="14"/>
                <w:szCs w:val="14"/>
                <w:color w:val="auto"/>
              </w:rPr>
              <w:t>—</w:t>
            </w:r>
          </w:p>
        </w:tc>
        <w:tc>
          <w:tcPr>
            <w:tcW w:w="280" w:type="dxa"/>
            <w:vAlign w:val="bottom"/>
          </w:tcPr>
          <w:p>
            <w:pPr>
              <w:spacing w:after="0"/>
              <w:rPr>
                <w:sz w:val="12"/>
                <w:szCs w:val="12"/>
                <w:color w:val="auto"/>
              </w:rPr>
            </w:pPr>
          </w:p>
        </w:tc>
        <w:tc>
          <w:tcPr>
            <w:tcW w:w="460" w:type="dxa"/>
            <w:vAlign w:val="bottom"/>
          </w:tcPr>
          <w:p>
            <w:pPr>
              <w:jc w:val="right"/>
              <w:ind w:right="112"/>
              <w:spacing w:after="0" w:line="149" w:lineRule="exact"/>
              <w:rPr>
                <w:sz w:val="20"/>
                <w:szCs w:val="20"/>
                <w:color w:val="auto"/>
              </w:rPr>
            </w:pPr>
            <w:r>
              <w:rPr>
                <w:rFonts w:ascii="Arial" w:cs="Arial" w:eastAsia="Arial" w:hAnsi="Arial"/>
                <w:sz w:val="14"/>
                <w:szCs w:val="14"/>
                <w:color w:val="auto"/>
              </w:rPr>
              <w:t>—</w:t>
            </w:r>
          </w:p>
        </w:tc>
        <w:tc>
          <w:tcPr>
            <w:tcW w:w="240" w:type="dxa"/>
            <w:vAlign w:val="bottom"/>
          </w:tcPr>
          <w:p>
            <w:pPr>
              <w:spacing w:after="0"/>
              <w:rPr>
                <w:sz w:val="12"/>
                <w:szCs w:val="12"/>
                <w:color w:val="auto"/>
              </w:rPr>
            </w:pPr>
          </w:p>
        </w:tc>
        <w:tc>
          <w:tcPr>
            <w:tcW w:w="700" w:type="dxa"/>
            <w:vAlign w:val="bottom"/>
          </w:tcPr>
          <w:p>
            <w:pPr>
              <w:jc w:val="right"/>
              <w:ind w:right="112"/>
              <w:spacing w:after="0" w:line="149" w:lineRule="exact"/>
              <w:rPr>
                <w:sz w:val="20"/>
                <w:szCs w:val="20"/>
                <w:color w:val="auto"/>
              </w:rPr>
            </w:pPr>
            <w:r>
              <w:rPr>
                <w:rFonts w:ascii="Arial" w:cs="Arial" w:eastAsia="Arial" w:hAnsi="Arial"/>
                <w:sz w:val="14"/>
                <w:szCs w:val="14"/>
                <w:color w:val="auto"/>
              </w:rPr>
              <w:t>—</w:t>
            </w:r>
          </w:p>
        </w:tc>
        <w:tc>
          <w:tcPr>
            <w:tcW w:w="320" w:type="dxa"/>
            <w:vAlign w:val="bottom"/>
          </w:tcPr>
          <w:p>
            <w:pPr>
              <w:spacing w:after="0"/>
              <w:rPr>
                <w:sz w:val="12"/>
                <w:szCs w:val="12"/>
                <w:color w:val="auto"/>
              </w:rPr>
            </w:pPr>
          </w:p>
        </w:tc>
        <w:tc>
          <w:tcPr>
            <w:tcW w:w="560" w:type="dxa"/>
            <w:vAlign w:val="bottom"/>
          </w:tcPr>
          <w:p>
            <w:pPr>
              <w:jc w:val="right"/>
              <w:ind w:right="132"/>
              <w:spacing w:after="0" w:line="149" w:lineRule="exact"/>
              <w:rPr>
                <w:sz w:val="20"/>
                <w:szCs w:val="20"/>
                <w:color w:val="auto"/>
              </w:rPr>
            </w:pPr>
            <w:r>
              <w:rPr>
                <w:rFonts w:ascii="Arial" w:cs="Arial" w:eastAsia="Arial" w:hAnsi="Arial"/>
                <w:sz w:val="14"/>
                <w:szCs w:val="14"/>
                <w:color w:val="auto"/>
              </w:rPr>
              <w:t>—</w:t>
            </w:r>
          </w:p>
        </w:tc>
        <w:tc>
          <w:tcPr>
            <w:tcW w:w="240" w:type="dxa"/>
            <w:vAlign w:val="bottom"/>
          </w:tcPr>
          <w:p>
            <w:pPr>
              <w:spacing w:after="0"/>
              <w:rPr>
                <w:sz w:val="12"/>
                <w:szCs w:val="12"/>
                <w:color w:val="auto"/>
              </w:rPr>
            </w:pPr>
          </w:p>
        </w:tc>
        <w:tc>
          <w:tcPr>
            <w:tcW w:w="820" w:type="dxa"/>
            <w:vAlign w:val="bottom"/>
          </w:tcPr>
          <w:p>
            <w:pPr>
              <w:jc w:val="right"/>
              <w:ind w:right="72"/>
              <w:spacing w:after="0" w:line="149" w:lineRule="exact"/>
              <w:rPr>
                <w:sz w:val="20"/>
                <w:szCs w:val="20"/>
                <w:color w:val="auto"/>
              </w:rPr>
            </w:pPr>
            <w:r>
              <w:rPr>
                <w:rFonts w:ascii="Arial" w:cs="Arial" w:eastAsia="Arial" w:hAnsi="Arial"/>
                <w:sz w:val="14"/>
                <w:szCs w:val="14"/>
                <w:color w:val="auto"/>
              </w:rPr>
              <w:t>(199)</w:t>
            </w:r>
          </w:p>
        </w:tc>
        <w:tc>
          <w:tcPr>
            <w:tcW w:w="220" w:type="dxa"/>
            <w:vAlign w:val="bottom"/>
          </w:tcPr>
          <w:p>
            <w:pPr>
              <w:spacing w:after="0"/>
              <w:rPr>
                <w:sz w:val="12"/>
                <w:szCs w:val="12"/>
                <w:color w:val="auto"/>
              </w:rPr>
            </w:pPr>
          </w:p>
        </w:tc>
        <w:tc>
          <w:tcPr>
            <w:tcW w:w="920" w:type="dxa"/>
            <w:vAlign w:val="bottom"/>
          </w:tcPr>
          <w:p>
            <w:pPr>
              <w:jc w:val="right"/>
              <w:ind w:right="112"/>
              <w:spacing w:after="0" w:line="149" w:lineRule="exact"/>
              <w:rPr>
                <w:sz w:val="20"/>
                <w:szCs w:val="20"/>
                <w:color w:val="auto"/>
              </w:rPr>
            </w:pPr>
            <w:r>
              <w:rPr>
                <w:rFonts w:ascii="Arial" w:cs="Arial" w:eastAsia="Arial" w:hAnsi="Arial"/>
                <w:sz w:val="14"/>
                <w:szCs w:val="14"/>
                <w:color w:val="auto"/>
              </w:rPr>
              <w:t>—</w:t>
            </w:r>
          </w:p>
        </w:tc>
        <w:tc>
          <w:tcPr>
            <w:tcW w:w="240" w:type="dxa"/>
            <w:vAlign w:val="bottom"/>
          </w:tcPr>
          <w:p>
            <w:pPr>
              <w:spacing w:after="0"/>
              <w:rPr>
                <w:sz w:val="12"/>
                <w:szCs w:val="12"/>
                <w:color w:val="auto"/>
              </w:rPr>
            </w:pPr>
          </w:p>
        </w:tc>
        <w:tc>
          <w:tcPr>
            <w:tcW w:w="840" w:type="dxa"/>
            <w:vAlign w:val="bottom"/>
          </w:tcPr>
          <w:p>
            <w:pPr>
              <w:jc w:val="right"/>
              <w:spacing w:after="0" w:line="149" w:lineRule="exact"/>
              <w:rPr>
                <w:sz w:val="20"/>
                <w:szCs w:val="20"/>
                <w:color w:val="auto"/>
              </w:rPr>
            </w:pPr>
            <w:r>
              <w:rPr>
                <w:rFonts w:ascii="Arial" w:cs="Arial" w:eastAsia="Arial" w:hAnsi="Arial"/>
                <w:sz w:val="14"/>
                <w:szCs w:val="14"/>
                <w:b w:val="1"/>
                <w:bCs w:val="1"/>
                <w:color w:val="auto"/>
              </w:rPr>
              <w:t>(199)</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760" w:type="dxa"/>
            <w:vAlign w:val="bottom"/>
          </w:tcPr>
          <w:p>
            <w:pPr>
              <w:ind w:left="200"/>
              <w:spacing w:after="0" w:line="149" w:lineRule="exact"/>
              <w:rPr>
                <w:sz w:val="20"/>
                <w:szCs w:val="20"/>
                <w:color w:val="auto"/>
              </w:rPr>
            </w:pPr>
            <w:r>
              <w:rPr>
                <w:rFonts w:ascii="Arial" w:cs="Arial" w:eastAsia="Arial" w:hAnsi="Arial"/>
                <w:sz w:val="14"/>
                <w:szCs w:val="14"/>
                <w:color w:val="auto"/>
              </w:rPr>
              <w:t>Proceeds from sales and restructuring of investments</w:t>
            </w:r>
          </w:p>
        </w:tc>
        <w:tc>
          <w:tcPr>
            <w:tcW w:w="460" w:type="dxa"/>
            <w:vAlign w:val="bottom"/>
          </w:tcPr>
          <w:p>
            <w:pPr>
              <w:spacing w:after="0"/>
              <w:rPr>
                <w:sz w:val="12"/>
                <w:szCs w:val="12"/>
                <w:color w:val="auto"/>
              </w:rPr>
            </w:pPr>
          </w:p>
        </w:tc>
        <w:tc>
          <w:tcPr>
            <w:tcW w:w="620" w:type="dxa"/>
            <w:vAlign w:val="bottom"/>
          </w:tcPr>
          <w:p>
            <w:pPr>
              <w:jc w:val="right"/>
              <w:ind w:right="112"/>
              <w:spacing w:after="0" w:line="149" w:lineRule="exact"/>
              <w:rPr>
                <w:sz w:val="20"/>
                <w:szCs w:val="20"/>
                <w:color w:val="auto"/>
              </w:rPr>
            </w:pPr>
            <w:r>
              <w:rPr>
                <w:rFonts w:ascii="Arial" w:cs="Arial" w:eastAsia="Arial" w:hAnsi="Arial"/>
                <w:sz w:val="14"/>
                <w:szCs w:val="14"/>
                <w:color w:val="auto"/>
              </w:rPr>
              <w:t>—</w:t>
            </w:r>
          </w:p>
        </w:tc>
        <w:tc>
          <w:tcPr>
            <w:tcW w:w="260" w:type="dxa"/>
            <w:vAlign w:val="bottom"/>
          </w:tcPr>
          <w:p>
            <w:pPr>
              <w:spacing w:after="0"/>
              <w:rPr>
                <w:sz w:val="12"/>
                <w:szCs w:val="12"/>
                <w:color w:val="auto"/>
              </w:rPr>
            </w:pPr>
          </w:p>
        </w:tc>
        <w:tc>
          <w:tcPr>
            <w:tcW w:w="460" w:type="dxa"/>
            <w:vAlign w:val="bottom"/>
          </w:tcPr>
          <w:p>
            <w:pPr>
              <w:jc w:val="right"/>
              <w:ind w:right="92"/>
              <w:spacing w:after="0" w:line="149" w:lineRule="exact"/>
              <w:rPr>
                <w:sz w:val="20"/>
                <w:szCs w:val="20"/>
                <w:color w:val="auto"/>
              </w:rPr>
            </w:pPr>
            <w:r>
              <w:rPr>
                <w:rFonts w:ascii="Arial" w:cs="Arial" w:eastAsia="Arial" w:hAnsi="Arial"/>
                <w:sz w:val="14"/>
                <w:szCs w:val="14"/>
                <w:color w:val="auto"/>
              </w:rPr>
              <w:t>—</w:t>
            </w:r>
          </w:p>
        </w:tc>
        <w:tc>
          <w:tcPr>
            <w:tcW w:w="280" w:type="dxa"/>
            <w:vAlign w:val="bottom"/>
          </w:tcPr>
          <w:p>
            <w:pPr>
              <w:spacing w:after="0"/>
              <w:rPr>
                <w:sz w:val="12"/>
                <w:szCs w:val="12"/>
                <w:color w:val="auto"/>
              </w:rPr>
            </w:pPr>
          </w:p>
        </w:tc>
        <w:tc>
          <w:tcPr>
            <w:tcW w:w="460" w:type="dxa"/>
            <w:vAlign w:val="bottom"/>
          </w:tcPr>
          <w:p>
            <w:pPr>
              <w:jc w:val="right"/>
              <w:ind w:right="112"/>
              <w:spacing w:after="0" w:line="149" w:lineRule="exact"/>
              <w:rPr>
                <w:sz w:val="20"/>
                <w:szCs w:val="20"/>
                <w:color w:val="auto"/>
              </w:rPr>
            </w:pPr>
            <w:r>
              <w:rPr>
                <w:rFonts w:ascii="Arial" w:cs="Arial" w:eastAsia="Arial" w:hAnsi="Arial"/>
                <w:sz w:val="14"/>
                <w:szCs w:val="14"/>
                <w:color w:val="auto"/>
              </w:rPr>
              <w:t>—</w:t>
            </w:r>
          </w:p>
        </w:tc>
        <w:tc>
          <w:tcPr>
            <w:tcW w:w="240" w:type="dxa"/>
            <w:vAlign w:val="bottom"/>
          </w:tcPr>
          <w:p>
            <w:pPr>
              <w:spacing w:after="0"/>
              <w:rPr>
                <w:sz w:val="12"/>
                <w:szCs w:val="12"/>
                <w:color w:val="auto"/>
              </w:rPr>
            </w:pPr>
          </w:p>
        </w:tc>
        <w:tc>
          <w:tcPr>
            <w:tcW w:w="700" w:type="dxa"/>
            <w:vAlign w:val="bottom"/>
          </w:tcPr>
          <w:p>
            <w:pPr>
              <w:jc w:val="right"/>
              <w:ind w:right="112"/>
              <w:spacing w:after="0" w:line="149" w:lineRule="exact"/>
              <w:rPr>
                <w:sz w:val="20"/>
                <w:szCs w:val="20"/>
                <w:color w:val="auto"/>
              </w:rPr>
            </w:pPr>
            <w:r>
              <w:rPr>
                <w:rFonts w:ascii="Arial" w:cs="Arial" w:eastAsia="Arial" w:hAnsi="Arial"/>
                <w:sz w:val="14"/>
                <w:szCs w:val="14"/>
                <w:color w:val="auto"/>
              </w:rPr>
              <w:t>—</w:t>
            </w:r>
          </w:p>
        </w:tc>
        <w:tc>
          <w:tcPr>
            <w:tcW w:w="320" w:type="dxa"/>
            <w:vAlign w:val="bottom"/>
          </w:tcPr>
          <w:p>
            <w:pPr>
              <w:spacing w:after="0"/>
              <w:rPr>
                <w:sz w:val="12"/>
                <w:szCs w:val="12"/>
                <w:color w:val="auto"/>
              </w:rPr>
            </w:pPr>
          </w:p>
        </w:tc>
        <w:tc>
          <w:tcPr>
            <w:tcW w:w="560" w:type="dxa"/>
            <w:vAlign w:val="bottom"/>
          </w:tcPr>
          <w:p>
            <w:pPr>
              <w:jc w:val="right"/>
              <w:ind w:right="132"/>
              <w:spacing w:after="0" w:line="149" w:lineRule="exact"/>
              <w:rPr>
                <w:sz w:val="20"/>
                <w:szCs w:val="20"/>
                <w:color w:val="auto"/>
              </w:rPr>
            </w:pPr>
            <w:r>
              <w:rPr>
                <w:rFonts w:ascii="Arial" w:cs="Arial" w:eastAsia="Arial" w:hAnsi="Arial"/>
                <w:sz w:val="14"/>
                <w:szCs w:val="14"/>
                <w:color w:val="auto"/>
              </w:rPr>
              <w:t>—</w:t>
            </w:r>
          </w:p>
        </w:tc>
        <w:tc>
          <w:tcPr>
            <w:tcW w:w="240" w:type="dxa"/>
            <w:vAlign w:val="bottom"/>
          </w:tcPr>
          <w:p>
            <w:pPr>
              <w:spacing w:after="0"/>
              <w:rPr>
                <w:sz w:val="12"/>
                <w:szCs w:val="12"/>
                <w:color w:val="auto"/>
              </w:rPr>
            </w:pPr>
          </w:p>
        </w:tc>
        <w:tc>
          <w:tcPr>
            <w:tcW w:w="820" w:type="dxa"/>
            <w:vAlign w:val="bottom"/>
          </w:tcPr>
          <w:p>
            <w:pPr>
              <w:jc w:val="right"/>
              <w:ind w:right="112"/>
              <w:spacing w:after="0" w:line="149" w:lineRule="exact"/>
              <w:rPr>
                <w:sz w:val="20"/>
                <w:szCs w:val="20"/>
                <w:color w:val="auto"/>
              </w:rPr>
            </w:pPr>
            <w:r>
              <w:rPr>
                <w:rFonts w:ascii="Arial" w:cs="Arial" w:eastAsia="Arial" w:hAnsi="Arial"/>
                <w:sz w:val="14"/>
                <w:szCs w:val="14"/>
                <w:color w:val="auto"/>
              </w:rPr>
              <w:t>861</w:t>
            </w:r>
          </w:p>
        </w:tc>
        <w:tc>
          <w:tcPr>
            <w:tcW w:w="220" w:type="dxa"/>
            <w:vAlign w:val="bottom"/>
          </w:tcPr>
          <w:p>
            <w:pPr>
              <w:spacing w:after="0"/>
              <w:rPr>
                <w:sz w:val="12"/>
                <w:szCs w:val="12"/>
                <w:color w:val="auto"/>
              </w:rPr>
            </w:pPr>
          </w:p>
        </w:tc>
        <w:tc>
          <w:tcPr>
            <w:tcW w:w="920" w:type="dxa"/>
            <w:vAlign w:val="bottom"/>
          </w:tcPr>
          <w:p>
            <w:pPr>
              <w:jc w:val="right"/>
              <w:ind w:right="112"/>
              <w:spacing w:after="0" w:line="149" w:lineRule="exact"/>
              <w:rPr>
                <w:sz w:val="20"/>
                <w:szCs w:val="20"/>
                <w:color w:val="auto"/>
              </w:rPr>
            </w:pPr>
            <w:r>
              <w:rPr>
                <w:rFonts w:ascii="Arial" w:cs="Arial" w:eastAsia="Arial" w:hAnsi="Arial"/>
                <w:sz w:val="14"/>
                <w:szCs w:val="14"/>
                <w:color w:val="auto"/>
              </w:rPr>
              <w:t>—</w:t>
            </w:r>
          </w:p>
        </w:tc>
        <w:tc>
          <w:tcPr>
            <w:tcW w:w="240" w:type="dxa"/>
            <w:vAlign w:val="bottom"/>
          </w:tcPr>
          <w:p>
            <w:pPr>
              <w:spacing w:after="0"/>
              <w:rPr>
                <w:sz w:val="12"/>
                <w:szCs w:val="12"/>
                <w:color w:val="auto"/>
              </w:rPr>
            </w:pPr>
          </w:p>
        </w:tc>
        <w:tc>
          <w:tcPr>
            <w:tcW w:w="840" w:type="dxa"/>
            <w:vAlign w:val="bottom"/>
          </w:tcPr>
          <w:p>
            <w:pPr>
              <w:jc w:val="right"/>
              <w:spacing w:after="0" w:line="149" w:lineRule="exact"/>
              <w:rPr>
                <w:sz w:val="20"/>
                <w:szCs w:val="20"/>
                <w:color w:val="auto"/>
              </w:rPr>
            </w:pPr>
            <w:r>
              <w:rPr>
                <w:rFonts w:ascii="Arial" w:cs="Arial" w:eastAsia="Arial" w:hAnsi="Arial"/>
                <w:sz w:val="14"/>
                <w:szCs w:val="14"/>
                <w:b w:val="1"/>
                <w:bCs w:val="1"/>
                <w:color w:val="auto"/>
              </w:rPr>
              <w:t>861</w:t>
            </w:r>
          </w:p>
        </w:tc>
        <w:tc>
          <w:tcPr>
            <w:tcW w:w="0" w:type="dxa"/>
            <w:vAlign w:val="bottom"/>
          </w:tcPr>
          <w:p>
            <w:pPr>
              <w:spacing w:after="0"/>
              <w:rPr>
                <w:sz w:val="1"/>
                <w:szCs w:val="1"/>
                <w:color w:val="auto"/>
              </w:rPr>
            </w:pPr>
          </w:p>
        </w:tc>
      </w:tr>
      <w:tr>
        <w:trPr>
          <w:trHeight w:val="165"/>
        </w:trPr>
        <w:tc>
          <w:tcPr>
            <w:tcW w:w="20" w:type="dxa"/>
            <w:vAlign w:val="bottom"/>
          </w:tcPr>
          <w:p>
            <w:pPr>
              <w:spacing w:after="0"/>
              <w:rPr>
                <w:sz w:val="14"/>
                <w:szCs w:val="14"/>
                <w:color w:val="auto"/>
              </w:rPr>
            </w:pPr>
          </w:p>
        </w:tc>
        <w:tc>
          <w:tcPr>
            <w:tcW w:w="3760" w:type="dxa"/>
            <w:vAlign w:val="bottom"/>
          </w:tcPr>
          <w:p>
            <w:pPr>
              <w:ind w:left="200"/>
              <w:spacing w:after="0"/>
              <w:rPr>
                <w:sz w:val="20"/>
                <w:szCs w:val="20"/>
                <w:color w:val="auto"/>
              </w:rPr>
            </w:pPr>
            <w:r>
              <w:rPr>
                <w:rFonts w:ascii="Arial" w:cs="Arial" w:eastAsia="Arial" w:hAnsi="Arial"/>
                <w:sz w:val="14"/>
                <w:szCs w:val="14"/>
                <w:color w:val="auto"/>
              </w:rPr>
              <w:t>Purchases of investments</w:t>
            </w:r>
          </w:p>
        </w:tc>
        <w:tc>
          <w:tcPr>
            <w:tcW w:w="460" w:type="dxa"/>
            <w:vAlign w:val="bottom"/>
          </w:tcPr>
          <w:p>
            <w:pPr>
              <w:spacing w:after="0"/>
              <w:rPr>
                <w:sz w:val="14"/>
                <w:szCs w:val="14"/>
                <w:color w:val="auto"/>
              </w:rPr>
            </w:pPr>
          </w:p>
        </w:tc>
        <w:tc>
          <w:tcPr>
            <w:tcW w:w="620" w:type="dxa"/>
            <w:vAlign w:val="bottom"/>
          </w:tcPr>
          <w:p>
            <w:pPr>
              <w:jc w:val="right"/>
              <w:ind w:right="112"/>
              <w:spacing w:after="0"/>
              <w:rPr>
                <w:sz w:val="20"/>
                <w:szCs w:val="20"/>
                <w:color w:val="auto"/>
              </w:rPr>
            </w:pPr>
            <w:r>
              <w:rPr>
                <w:rFonts w:ascii="Arial" w:cs="Arial" w:eastAsia="Arial" w:hAnsi="Arial"/>
                <w:sz w:val="14"/>
                <w:szCs w:val="14"/>
                <w:color w:val="auto"/>
              </w:rPr>
              <w:t>—</w:t>
            </w:r>
          </w:p>
        </w:tc>
        <w:tc>
          <w:tcPr>
            <w:tcW w:w="260" w:type="dxa"/>
            <w:vAlign w:val="bottom"/>
          </w:tcPr>
          <w:p>
            <w:pPr>
              <w:spacing w:after="0"/>
              <w:rPr>
                <w:sz w:val="14"/>
                <w:szCs w:val="14"/>
                <w:color w:val="auto"/>
              </w:rPr>
            </w:pPr>
          </w:p>
        </w:tc>
        <w:tc>
          <w:tcPr>
            <w:tcW w:w="460" w:type="dxa"/>
            <w:vAlign w:val="bottom"/>
          </w:tcPr>
          <w:p>
            <w:pPr>
              <w:jc w:val="right"/>
              <w:ind w:right="92"/>
              <w:spacing w:after="0"/>
              <w:rPr>
                <w:sz w:val="20"/>
                <w:szCs w:val="20"/>
                <w:color w:val="auto"/>
              </w:rPr>
            </w:pPr>
            <w:r>
              <w:rPr>
                <w:rFonts w:ascii="Arial" w:cs="Arial" w:eastAsia="Arial" w:hAnsi="Arial"/>
                <w:sz w:val="14"/>
                <w:szCs w:val="14"/>
                <w:color w:val="auto"/>
              </w:rPr>
              <w:t>—</w:t>
            </w:r>
          </w:p>
        </w:tc>
        <w:tc>
          <w:tcPr>
            <w:tcW w:w="280" w:type="dxa"/>
            <w:vAlign w:val="bottom"/>
          </w:tcPr>
          <w:p>
            <w:pPr>
              <w:spacing w:after="0"/>
              <w:rPr>
                <w:sz w:val="14"/>
                <w:szCs w:val="14"/>
                <w:color w:val="auto"/>
              </w:rPr>
            </w:pPr>
          </w:p>
        </w:tc>
        <w:tc>
          <w:tcPr>
            <w:tcW w:w="460" w:type="dxa"/>
            <w:vAlign w:val="bottom"/>
          </w:tcPr>
          <w:p>
            <w:pPr>
              <w:jc w:val="right"/>
              <w:ind w:right="112"/>
              <w:spacing w:after="0"/>
              <w:rPr>
                <w:sz w:val="20"/>
                <w:szCs w:val="20"/>
                <w:color w:val="auto"/>
              </w:rPr>
            </w:pPr>
            <w:r>
              <w:rPr>
                <w:rFonts w:ascii="Arial" w:cs="Arial" w:eastAsia="Arial" w:hAnsi="Arial"/>
                <w:sz w:val="14"/>
                <w:szCs w:val="14"/>
                <w:color w:val="auto"/>
              </w:rPr>
              <w:t>—</w:t>
            </w:r>
          </w:p>
        </w:tc>
        <w:tc>
          <w:tcPr>
            <w:tcW w:w="240" w:type="dxa"/>
            <w:vAlign w:val="bottom"/>
          </w:tcPr>
          <w:p>
            <w:pPr>
              <w:spacing w:after="0"/>
              <w:rPr>
                <w:sz w:val="14"/>
                <w:szCs w:val="14"/>
                <w:color w:val="auto"/>
              </w:rPr>
            </w:pPr>
          </w:p>
        </w:tc>
        <w:tc>
          <w:tcPr>
            <w:tcW w:w="700" w:type="dxa"/>
            <w:vAlign w:val="bottom"/>
          </w:tcPr>
          <w:p>
            <w:pPr>
              <w:jc w:val="right"/>
              <w:ind w:right="112"/>
              <w:spacing w:after="0"/>
              <w:rPr>
                <w:sz w:val="20"/>
                <w:szCs w:val="20"/>
                <w:color w:val="auto"/>
              </w:rPr>
            </w:pPr>
            <w:r>
              <w:rPr>
                <w:rFonts w:ascii="Arial" w:cs="Arial" w:eastAsia="Arial" w:hAnsi="Arial"/>
                <w:sz w:val="14"/>
                <w:szCs w:val="14"/>
                <w:color w:val="auto"/>
              </w:rPr>
              <w:t>—</w:t>
            </w:r>
          </w:p>
        </w:tc>
        <w:tc>
          <w:tcPr>
            <w:tcW w:w="320" w:type="dxa"/>
            <w:vAlign w:val="bottom"/>
          </w:tcPr>
          <w:p>
            <w:pPr>
              <w:spacing w:after="0"/>
              <w:rPr>
                <w:sz w:val="14"/>
                <w:szCs w:val="14"/>
                <w:color w:val="auto"/>
              </w:rPr>
            </w:pPr>
          </w:p>
        </w:tc>
        <w:tc>
          <w:tcPr>
            <w:tcW w:w="560" w:type="dxa"/>
            <w:vAlign w:val="bottom"/>
          </w:tcPr>
          <w:p>
            <w:pPr>
              <w:jc w:val="right"/>
              <w:ind w:right="132"/>
              <w:spacing w:after="0"/>
              <w:rPr>
                <w:sz w:val="20"/>
                <w:szCs w:val="20"/>
                <w:color w:val="auto"/>
              </w:rPr>
            </w:pPr>
            <w:r>
              <w:rPr>
                <w:rFonts w:ascii="Arial" w:cs="Arial" w:eastAsia="Arial" w:hAnsi="Arial"/>
                <w:sz w:val="14"/>
                <w:szCs w:val="14"/>
                <w:color w:val="auto"/>
              </w:rPr>
              <w:t>—</w:t>
            </w:r>
          </w:p>
        </w:tc>
        <w:tc>
          <w:tcPr>
            <w:tcW w:w="240" w:type="dxa"/>
            <w:vAlign w:val="bottom"/>
          </w:tcPr>
          <w:p>
            <w:pPr>
              <w:spacing w:after="0"/>
              <w:rPr>
                <w:sz w:val="14"/>
                <w:szCs w:val="14"/>
                <w:color w:val="auto"/>
              </w:rPr>
            </w:pPr>
          </w:p>
        </w:tc>
        <w:tc>
          <w:tcPr>
            <w:tcW w:w="820" w:type="dxa"/>
            <w:vAlign w:val="bottom"/>
          </w:tcPr>
          <w:p>
            <w:pPr>
              <w:jc w:val="right"/>
              <w:ind w:right="72"/>
              <w:spacing w:after="0"/>
              <w:rPr>
                <w:sz w:val="20"/>
                <w:szCs w:val="20"/>
                <w:color w:val="auto"/>
              </w:rPr>
            </w:pPr>
            <w:r>
              <w:rPr>
                <w:rFonts w:ascii="Arial" w:cs="Arial" w:eastAsia="Arial" w:hAnsi="Arial"/>
                <w:sz w:val="14"/>
                <w:szCs w:val="14"/>
                <w:color w:val="auto"/>
              </w:rPr>
              <w:t>(306)</w:t>
            </w:r>
          </w:p>
        </w:tc>
        <w:tc>
          <w:tcPr>
            <w:tcW w:w="220" w:type="dxa"/>
            <w:vAlign w:val="bottom"/>
          </w:tcPr>
          <w:p>
            <w:pPr>
              <w:spacing w:after="0"/>
              <w:rPr>
                <w:sz w:val="14"/>
                <w:szCs w:val="14"/>
                <w:color w:val="auto"/>
              </w:rPr>
            </w:pPr>
          </w:p>
        </w:tc>
        <w:tc>
          <w:tcPr>
            <w:tcW w:w="920" w:type="dxa"/>
            <w:vAlign w:val="bottom"/>
          </w:tcPr>
          <w:p>
            <w:pPr>
              <w:jc w:val="right"/>
              <w:ind w:right="112"/>
              <w:spacing w:after="0"/>
              <w:rPr>
                <w:sz w:val="20"/>
                <w:szCs w:val="20"/>
                <w:color w:val="auto"/>
              </w:rPr>
            </w:pPr>
            <w:r>
              <w:rPr>
                <w:rFonts w:ascii="Arial" w:cs="Arial" w:eastAsia="Arial" w:hAnsi="Arial"/>
                <w:sz w:val="14"/>
                <w:szCs w:val="14"/>
                <w:color w:val="auto"/>
              </w:rPr>
              <w:t>—</w:t>
            </w:r>
          </w:p>
        </w:tc>
        <w:tc>
          <w:tcPr>
            <w:tcW w:w="240" w:type="dxa"/>
            <w:vAlign w:val="bottom"/>
          </w:tcPr>
          <w:p>
            <w:pPr>
              <w:spacing w:after="0"/>
              <w:rPr>
                <w:sz w:val="14"/>
                <w:szCs w:val="14"/>
                <w:color w:val="auto"/>
              </w:rPr>
            </w:pPr>
          </w:p>
        </w:tc>
        <w:tc>
          <w:tcPr>
            <w:tcW w:w="840" w:type="dxa"/>
            <w:vAlign w:val="bottom"/>
          </w:tcPr>
          <w:p>
            <w:pPr>
              <w:jc w:val="right"/>
              <w:spacing w:after="0"/>
              <w:rPr>
                <w:sz w:val="20"/>
                <w:szCs w:val="20"/>
                <w:color w:val="auto"/>
              </w:rPr>
            </w:pPr>
            <w:r>
              <w:rPr>
                <w:rFonts w:ascii="Arial" w:cs="Arial" w:eastAsia="Arial" w:hAnsi="Arial"/>
                <w:sz w:val="14"/>
                <w:szCs w:val="14"/>
                <w:b w:val="1"/>
                <w:bCs w:val="1"/>
                <w:color w:val="auto"/>
              </w:rPr>
              <w:t>(306)</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760" w:type="dxa"/>
            <w:vAlign w:val="bottom"/>
          </w:tcPr>
          <w:p>
            <w:pPr>
              <w:ind w:left="200"/>
              <w:spacing w:after="0" w:line="149" w:lineRule="exact"/>
              <w:rPr>
                <w:sz w:val="20"/>
                <w:szCs w:val="20"/>
                <w:color w:val="auto"/>
              </w:rPr>
            </w:pPr>
            <w:r>
              <w:rPr>
                <w:rFonts w:ascii="Arial" w:cs="Arial" w:eastAsia="Arial" w:hAnsi="Arial"/>
                <w:sz w:val="14"/>
                <w:szCs w:val="14"/>
                <w:color w:val="auto"/>
              </w:rPr>
              <w:t>Proceeds from sales (purchases) of short-term</w:t>
            </w:r>
          </w:p>
        </w:tc>
        <w:tc>
          <w:tcPr>
            <w:tcW w:w="46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46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46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92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840" w:type="dxa"/>
            <w:vAlign w:val="bottom"/>
            <w:vMerge w:val="restart"/>
          </w:tcPr>
          <w:p>
            <w:pPr>
              <w:jc w:val="right"/>
              <w:spacing w:after="0"/>
              <w:rPr>
                <w:sz w:val="20"/>
                <w:szCs w:val="20"/>
                <w:color w:val="auto"/>
              </w:rPr>
            </w:pPr>
            <w:r>
              <w:rPr>
                <w:rFonts w:ascii="Arial" w:cs="Arial" w:eastAsia="Arial" w:hAnsi="Arial"/>
                <w:sz w:val="14"/>
                <w:szCs w:val="14"/>
                <w:b w:val="1"/>
                <w:bCs w:val="1"/>
                <w:color w:val="auto"/>
              </w:rPr>
              <w:t>(86)</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3760" w:type="dxa"/>
            <w:vAlign w:val="bottom"/>
          </w:tcPr>
          <w:p>
            <w:pPr>
              <w:ind w:left="420"/>
              <w:spacing w:after="0" w:line="133" w:lineRule="exact"/>
              <w:rPr>
                <w:sz w:val="20"/>
                <w:szCs w:val="20"/>
                <w:color w:val="auto"/>
              </w:rPr>
            </w:pPr>
            <w:r>
              <w:rPr>
                <w:rFonts w:ascii="Arial" w:cs="Arial" w:eastAsia="Arial" w:hAnsi="Arial"/>
                <w:sz w:val="14"/>
                <w:szCs w:val="14"/>
                <w:color w:val="auto"/>
              </w:rPr>
              <w:t>investments, net</w:t>
            </w:r>
          </w:p>
        </w:tc>
        <w:tc>
          <w:tcPr>
            <w:tcW w:w="460" w:type="dxa"/>
            <w:vAlign w:val="bottom"/>
          </w:tcPr>
          <w:p>
            <w:pPr>
              <w:spacing w:after="0"/>
              <w:rPr>
                <w:sz w:val="11"/>
                <w:szCs w:val="11"/>
                <w:color w:val="auto"/>
              </w:rPr>
            </w:pPr>
          </w:p>
        </w:tc>
        <w:tc>
          <w:tcPr>
            <w:tcW w:w="620" w:type="dxa"/>
            <w:vAlign w:val="bottom"/>
          </w:tcPr>
          <w:p>
            <w:pPr>
              <w:jc w:val="right"/>
              <w:ind w:right="112"/>
              <w:spacing w:after="0" w:line="133" w:lineRule="exact"/>
              <w:rPr>
                <w:sz w:val="20"/>
                <w:szCs w:val="20"/>
                <w:color w:val="auto"/>
              </w:rPr>
            </w:pPr>
            <w:r>
              <w:rPr>
                <w:rFonts w:ascii="Arial" w:cs="Arial" w:eastAsia="Arial" w:hAnsi="Arial"/>
                <w:sz w:val="14"/>
                <w:szCs w:val="14"/>
                <w:color w:val="auto"/>
              </w:rPr>
              <w:t>—</w:t>
            </w:r>
          </w:p>
        </w:tc>
        <w:tc>
          <w:tcPr>
            <w:tcW w:w="260" w:type="dxa"/>
            <w:vAlign w:val="bottom"/>
          </w:tcPr>
          <w:p>
            <w:pPr>
              <w:spacing w:after="0"/>
              <w:rPr>
                <w:sz w:val="11"/>
                <w:szCs w:val="11"/>
                <w:color w:val="auto"/>
              </w:rPr>
            </w:pPr>
          </w:p>
        </w:tc>
        <w:tc>
          <w:tcPr>
            <w:tcW w:w="460" w:type="dxa"/>
            <w:vAlign w:val="bottom"/>
          </w:tcPr>
          <w:p>
            <w:pPr>
              <w:jc w:val="right"/>
              <w:ind w:right="92"/>
              <w:spacing w:after="0" w:line="133" w:lineRule="exact"/>
              <w:rPr>
                <w:sz w:val="20"/>
                <w:szCs w:val="20"/>
                <w:color w:val="auto"/>
              </w:rPr>
            </w:pPr>
            <w:r>
              <w:rPr>
                <w:rFonts w:ascii="Arial" w:cs="Arial" w:eastAsia="Arial" w:hAnsi="Arial"/>
                <w:sz w:val="14"/>
                <w:szCs w:val="14"/>
                <w:color w:val="auto"/>
              </w:rPr>
              <w:t>—</w:t>
            </w:r>
          </w:p>
        </w:tc>
        <w:tc>
          <w:tcPr>
            <w:tcW w:w="280" w:type="dxa"/>
            <w:vAlign w:val="bottom"/>
          </w:tcPr>
          <w:p>
            <w:pPr>
              <w:spacing w:after="0"/>
              <w:rPr>
                <w:sz w:val="11"/>
                <w:szCs w:val="11"/>
                <w:color w:val="auto"/>
              </w:rPr>
            </w:pPr>
          </w:p>
        </w:tc>
        <w:tc>
          <w:tcPr>
            <w:tcW w:w="460" w:type="dxa"/>
            <w:vAlign w:val="bottom"/>
          </w:tcPr>
          <w:p>
            <w:pPr>
              <w:jc w:val="right"/>
              <w:ind w:right="112"/>
              <w:spacing w:after="0" w:line="133" w:lineRule="exact"/>
              <w:rPr>
                <w:sz w:val="20"/>
                <w:szCs w:val="20"/>
                <w:color w:val="auto"/>
              </w:rPr>
            </w:pPr>
            <w:r>
              <w:rPr>
                <w:rFonts w:ascii="Arial" w:cs="Arial" w:eastAsia="Arial" w:hAnsi="Arial"/>
                <w:sz w:val="14"/>
                <w:szCs w:val="14"/>
                <w:color w:val="auto"/>
              </w:rPr>
              <w:t>—</w:t>
            </w:r>
          </w:p>
        </w:tc>
        <w:tc>
          <w:tcPr>
            <w:tcW w:w="240" w:type="dxa"/>
            <w:vAlign w:val="bottom"/>
          </w:tcPr>
          <w:p>
            <w:pPr>
              <w:spacing w:after="0"/>
              <w:rPr>
                <w:sz w:val="11"/>
                <w:szCs w:val="11"/>
                <w:color w:val="auto"/>
              </w:rPr>
            </w:pPr>
          </w:p>
        </w:tc>
        <w:tc>
          <w:tcPr>
            <w:tcW w:w="700" w:type="dxa"/>
            <w:vAlign w:val="bottom"/>
          </w:tcPr>
          <w:p>
            <w:pPr>
              <w:jc w:val="right"/>
              <w:ind w:right="112"/>
              <w:spacing w:after="0" w:line="133" w:lineRule="exact"/>
              <w:rPr>
                <w:sz w:val="20"/>
                <w:szCs w:val="20"/>
                <w:color w:val="auto"/>
              </w:rPr>
            </w:pPr>
            <w:r>
              <w:rPr>
                <w:rFonts w:ascii="Arial" w:cs="Arial" w:eastAsia="Arial" w:hAnsi="Arial"/>
                <w:sz w:val="14"/>
                <w:szCs w:val="14"/>
                <w:color w:val="auto"/>
              </w:rPr>
              <w:t>—</w:t>
            </w:r>
          </w:p>
        </w:tc>
        <w:tc>
          <w:tcPr>
            <w:tcW w:w="320" w:type="dxa"/>
            <w:vAlign w:val="bottom"/>
          </w:tcPr>
          <w:p>
            <w:pPr>
              <w:spacing w:after="0"/>
              <w:rPr>
                <w:sz w:val="11"/>
                <w:szCs w:val="11"/>
                <w:color w:val="auto"/>
              </w:rPr>
            </w:pPr>
          </w:p>
        </w:tc>
        <w:tc>
          <w:tcPr>
            <w:tcW w:w="560" w:type="dxa"/>
            <w:vAlign w:val="bottom"/>
          </w:tcPr>
          <w:p>
            <w:pPr>
              <w:jc w:val="right"/>
              <w:ind w:right="132"/>
              <w:spacing w:after="0" w:line="133" w:lineRule="exact"/>
              <w:rPr>
                <w:sz w:val="20"/>
                <w:szCs w:val="20"/>
                <w:color w:val="auto"/>
              </w:rPr>
            </w:pPr>
            <w:r>
              <w:rPr>
                <w:rFonts w:ascii="Arial" w:cs="Arial" w:eastAsia="Arial" w:hAnsi="Arial"/>
                <w:sz w:val="14"/>
                <w:szCs w:val="14"/>
                <w:color w:val="auto"/>
              </w:rPr>
              <w:t>—</w:t>
            </w:r>
          </w:p>
        </w:tc>
        <w:tc>
          <w:tcPr>
            <w:tcW w:w="240" w:type="dxa"/>
            <w:vAlign w:val="bottom"/>
          </w:tcPr>
          <w:p>
            <w:pPr>
              <w:spacing w:after="0"/>
              <w:rPr>
                <w:sz w:val="11"/>
                <w:szCs w:val="11"/>
                <w:color w:val="auto"/>
              </w:rPr>
            </w:pPr>
          </w:p>
        </w:tc>
        <w:tc>
          <w:tcPr>
            <w:tcW w:w="820" w:type="dxa"/>
            <w:vAlign w:val="bottom"/>
          </w:tcPr>
          <w:p>
            <w:pPr>
              <w:jc w:val="right"/>
              <w:ind w:right="72"/>
              <w:spacing w:after="0" w:line="133" w:lineRule="exact"/>
              <w:rPr>
                <w:sz w:val="20"/>
                <w:szCs w:val="20"/>
                <w:color w:val="auto"/>
              </w:rPr>
            </w:pPr>
            <w:r>
              <w:rPr>
                <w:rFonts w:ascii="Arial" w:cs="Arial" w:eastAsia="Arial" w:hAnsi="Arial"/>
                <w:sz w:val="14"/>
                <w:szCs w:val="14"/>
                <w:color w:val="auto"/>
              </w:rPr>
              <w:t>(86)</w:t>
            </w:r>
          </w:p>
        </w:tc>
        <w:tc>
          <w:tcPr>
            <w:tcW w:w="220" w:type="dxa"/>
            <w:vAlign w:val="bottom"/>
          </w:tcPr>
          <w:p>
            <w:pPr>
              <w:spacing w:after="0"/>
              <w:rPr>
                <w:sz w:val="11"/>
                <w:szCs w:val="11"/>
                <w:color w:val="auto"/>
              </w:rPr>
            </w:pPr>
          </w:p>
        </w:tc>
        <w:tc>
          <w:tcPr>
            <w:tcW w:w="920" w:type="dxa"/>
            <w:vAlign w:val="bottom"/>
          </w:tcPr>
          <w:p>
            <w:pPr>
              <w:jc w:val="right"/>
              <w:ind w:right="112"/>
              <w:spacing w:after="0" w:line="133" w:lineRule="exact"/>
              <w:rPr>
                <w:sz w:val="20"/>
                <w:szCs w:val="20"/>
                <w:color w:val="auto"/>
              </w:rPr>
            </w:pPr>
            <w:r>
              <w:rPr>
                <w:rFonts w:ascii="Arial" w:cs="Arial" w:eastAsia="Arial" w:hAnsi="Arial"/>
                <w:sz w:val="14"/>
                <w:szCs w:val="14"/>
                <w:color w:val="auto"/>
              </w:rPr>
              <w:t>—</w:t>
            </w:r>
          </w:p>
        </w:tc>
        <w:tc>
          <w:tcPr>
            <w:tcW w:w="240" w:type="dxa"/>
            <w:vAlign w:val="bottom"/>
          </w:tcPr>
          <w:p>
            <w:pPr>
              <w:spacing w:after="0"/>
              <w:rPr>
                <w:sz w:val="11"/>
                <w:szCs w:val="11"/>
                <w:color w:val="auto"/>
              </w:rPr>
            </w:pPr>
          </w:p>
        </w:tc>
        <w:tc>
          <w:tcPr>
            <w:tcW w:w="840" w:type="dxa"/>
            <w:vAlign w:val="bottom"/>
            <w:vMerge w:val="continue"/>
          </w:tcPr>
          <w:p>
            <w:pPr>
              <w:spacing w:after="0"/>
              <w:rPr>
                <w:sz w:val="11"/>
                <w:szCs w:val="11"/>
                <w:color w:val="auto"/>
              </w:rPr>
            </w:pPr>
          </w:p>
        </w:tc>
        <w:tc>
          <w:tcPr>
            <w:tcW w:w="0" w:type="dxa"/>
            <w:vAlign w:val="bottom"/>
          </w:tcPr>
          <w:p>
            <w:pPr>
              <w:spacing w:after="0"/>
              <w:rPr>
                <w:sz w:val="1"/>
                <w:szCs w:val="1"/>
                <w:color w:val="auto"/>
              </w:rPr>
            </w:pPr>
          </w:p>
        </w:tc>
      </w:tr>
      <w:tr>
        <w:trPr>
          <w:trHeight w:val="165"/>
        </w:trPr>
        <w:tc>
          <w:tcPr>
            <w:tcW w:w="20" w:type="dxa"/>
            <w:vAlign w:val="bottom"/>
          </w:tcPr>
          <w:p>
            <w:pPr>
              <w:spacing w:after="0"/>
              <w:rPr>
                <w:sz w:val="14"/>
                <w:szCs w:val="14"/>
                <w:color w:val="auto"/>
              </w:rPr>
            </w:pPr>
          </w:p>
        </w:tc>
        <w:tc>
          <w:tcPr>
            <w:tcW w:w="3760" w:type="dxa"/>
            <w:vAlign w:val="bottom"/>
            <w:tcBorders>
              <w:bottom w:val="single" w:sz="8" w:color="auto"/>
            </w:tcBorders>
          </w:tcPr>
          <w:p>
            <w:pPr>
              <w:ind w:left="200"/>
              <w:spacing w:after="0"/>
              <w:rPr>
                <w:sz w:val="20"/>
                <w:szCs w:val="20"/>
                <w:color w:val="auto"/>
              </w:rPr>
            </w:pPr>
            <w:r>
              <w:rPr>
                <w:rFonts w:ascii="Arial" w:cs="Arial" w:eastAsia="Arial" w:hAnsi="Arial"/>
                <w:sz w:val="14"/>
                <w:szCs w:val="14"/>
                <w:color w:val="auto"/>
              </w:rPr>
              <w:t>Other</w:t>
            </w:r>
          </w:p>
        </w:tc>
        <w:tc>
          <w:tcPr>
            <w:tcW w:w="460" w:type="dxa"/>
            <w:vAlign w:val="bottom"/>
            <w:tcBorders>
              <w:bottom w:val="single" w:sz="8" w:color="auto"/>
            </w:tcBorders>
          </w:tcPr>
          <w:p>
            <w:pPr>
              <w:spacing w:after="0"/>
              <w:rPr>
                <w:sz w:val="14"/>
                <w:szCs w:val="14"/>
                <w:color w:val="auto"/>
              </w:rPr>
            </w:pPr>
          </w:p>
        </w:tc>
        <w:tc>
          <w:tcPr>
            <w:tcW w:w="620" w:type="dxa"/>
            <w:vAlign w:val="bottom"/>
            <w:tcBorders>
              <w:bottom w:val="single" w:sz="8" w:color="auto"/>
            </w:tcBorders>
          </w:tcPr>
          <w:p>
            <w:pPr>
              <w:jc w:val="right"/>
              <w:ind w:right="112"/>
              <w:spacing w:after="0"/>
              <w:rPr>
                <w:sz w:val="20"/>
                <w:szCs w:val="20"/>
                <w:color w:val="auto"/>
              </w:rPr>
            </w:pPr>
            <w:r>
              <w:rPr>
                <w:rFonts w:ascii="Arial" w:cs="Arial" w:eastAsia="Arial" w:hAnsi="Arial"/>
                <w:sz w:val="14"/>
                <w:szCs w:val="14"/>
                <w:color w:val="auto"/>
              </w:rPr>
              <w:t>—</w:t>
            </w:r>
          </w:p>
        </w:tc>
        <w:tc>
          <w:tcPr>
            <w:tcW w:w="260" w:type="dxa"/>
            <w:vAlign w:val="bottom"/>
            <w:tcBorders>
              <w:bottom w:val="single" w:sz="8" w:color="auto"/>
            </w:tcBorders>
          </w:tcPr>
          <w:p>
            <w:pPr>
              <w:spacing w:after="0"/>
              <w:rPr>
                <w:sz w:val="14"/>
                <w:szCs w:val="14"/>
                <w:color w:val="auto"/>
              </w:rPr>
            </w:pPr>
          </w:p>
        </w:tc>
        <w:tc>
          <w:tcPr>
            <w:tcW w:w="460" w:type="dxa"/>
            <w:vAlign w:val="bottom"/>
            <w:tcBorders>
              <w:bottom w:val="single" w:sz="8" w:color="auto"/>
            </w:tcBorders>
          </w:tcPr>
          <w:p>
            <w:pPr>
              <w:jc w:val="right"/>
              <w:ind w:right="92"/>
              <w:spacing w:after="0"/>
              <w:rPr>
                <w:sz w:val="20"/>
                <w:szCs w:val="20"/>
                <w:color w:val="auto"/>
              </w:rPr>
            </w:pPr>
            <w:r>
              <w:rPr>
                <w:rFonts w:ascii="Arial" w:cs="Arial" w:eastAsia="Arial" w:hAnsi="Arial"/>
                <w:sz w:val="14"/>
                <w:szCs w:val="14"/>
                <w:color w:val="auto"/>
              </w:rPr>
              <w:t>—</w:t>
            </w:r>
          </w:p>
        </w:tc>
        <w:tc>
          <w:tcPr>
            <w:tcW w:w="280" w:type="dxa"/>
            <w:vAlign w:val="bottom"/>
            <w:tcBorders>
              <w:bottom w:val="single" w:sz="8" w:color="auto"/>
            </w:tcBorders>
          </w:tcPr>
          <w:p>
            <w:pPr>
              <w:spacing w:after="0"/>
              <w:rPr>
                <w:sz w:val="14"/>
                <w:szCs w:val="14"/>
                <w:color w:val="auto"/>
              </w:rPr>
            </w:pPr>
          </w:p>
        </w:tc>
        <w:tc>
          <w:tcPr>
            <w:tcW w:w="460" w:type="dxa"/>
            <w:vAlign w:val="bottom"/>
            <w:tcBorders>
              <w:bottom w:val="single" w:sz="8" w:color="auto"/>
            </w:tcBorders>
          </w:tcPr>
          <w:p>
            <w:pPr>
              <w:jc w:val="right"/>
              <w:ind w:right="112"/>
              <w:spacing w:after="0"/>
              <w:rPr>
                <w:sz w:val="20"/>
                <w:szCs w:val="20"/>
                <w:color w:val="auto"/>
              </w:rPr>
            </w:pPr>
            <w:r>
              <w:rPr>
                <w:rFonts w:ascii="Arial" w:cs="Arial" w:eastAsia="Arial" w:hAnsi="Arial"/>
                <w:sz w:val="14"/>
                <w:szCs w:val="14"/>
                <w:color w:val="auto"/>
              </w:rPr>
              <w:t>—</w:t>
            </w:r>
          </w:p>
        </w:tc>
        <w:tc>
          <w:tcPr>
            <w:tcW w:w="240" w:type="dxa"/>
            <w:vAlign w:val="bottom"/>
            <w:tcBorders>
              <w:bottom w:val="single" w:sz="8" w:color="auto"/>
            </w:tcBorders>
          </w:tcPr>
          <w:p>
            <w:pPr>
              <w:spacing w:after="0"/>
              <w:rPr>
                <w:sz w:val="14"/>
                <w:szCs w:val="14"/>
                <w:color w:val="auto"/>
              </w:rPr>
            </w:pPr>
          </w:p>
        </w:tc>
        <w:tc>
          <w:tcPr>
            <w:tcW w:w="700" w:type="dxa"/>
            <w:vAlign w:val="bottom"/>
            <w:tcBorders>
              <w:bottom w:val="single" w:sz="8" w:color="auto"/>
            </w:tcBorders>
          </w:tcPr>
          <w:p>
            <w:pPr>
              <w:jc w:val="right"/>
              <w:ind w:right="112"/>
              <w:spacing w:after="0"/>
              <w:rPr>
                <w:sz w:val="20"/>
                <w:szCs w:val="20"/>
                <w:color w:val="auto"/>
              </w:rPr>
            </w:pPr>
            <w:r>
              <w:rPr>
                <w:rFonts w:ascii="Arial" w:cs="Arial" w:eastAsia="Arial" w:hAnsi="Arial"/>
                <w:sz w:val="14"/>
                <w:szCs w:val="14"/>
                <w:color w:val="auto"/>
              </w:rPr>
              <w:t>—</w:t>
            </w:r>
          </w:p>
        </w:tc>
        <w:tc>
          <w:tcPr>
            <w:tcW w:w="320" w:type="dxa"/>
            <w:vAlign w:val="bottom"/>
            <w:tcBorders>
              <w:bottom w:val="single" w:sz="8" w:color="auto"/>
            </w:tcBorders>
          </w:tcPr>
          <w:p>
            <w:pPr>
              <w:spacing w:after="0"/>
              <w:rPr>
                <w:sz w:val="14"/>
                <w:szCs w:val="14"/>
                <w:color w:val="auto"/>
              </w:rPr>
            </w:pPr>
          </w:p>
        </w:tc>
        <w:tc>
          <w:tcPr>
            <w:tcW w:w="560" w:type="dxa"/>
            <w:vAlign w:val="bottom"/>
            <w:tcBorders>
              <w:bottom w:val="single" w:sz="8" w:color="auto"/>
            </w:tcBorders>
          </w:tcPr>
          <w:p>
            <w:pPr>
              <w:jc w:val="right"/>
              <w:ind w:right="132"/>
              <w:spacing w:after="0"/>
              <w:rPr>
                <w:sz w:val="20"/>
                <w:szCs w:val="20"/>
                <w:color w:val="auto"/>
              </w:rPr>
            </w:pPr>
            <w:r>
              <w:rPr>
                <w:rFonts w:ascii="Arial" w:cs="Arial" w:eastAsia="Arial" w:hAnsi="Arial"/>
                <w:sz w:val="14"/>
                <w:szCs w:val="14"/>
                <w:color w:val="auto"/>
              </w:rPr>
              <w:t>—</w:t>
            </w:r>
          </w:p>
        </w:tc>
        <w:tc>
          <w:tcPr>
            <w:tcW w:w="240" w:type="dxa"/>
            <w:vAlign w:val="bottom"/>
            <w:tcBorders>
              <w:bottom w:val="single" w:sz="8" w:color="auto"/>
            </w:tcBorders>
          </w:tcPr>
          <w:p>
            <w:pPr>
              <w:spacing w:after="0"/>
              <w:rPr>
                <w:sz w:val="14"/>
                <w:szCs w:val="14"/>
                <w:color w:val="auto"/>
              </w:rPr>
            </w:pPr>
          </w:p>
        </w:tc>
        <w:tc>
          <w:tcPr>
            <w:tcW w:w="820" w:type="dxa"/>
            <w:vAlign w:val="bottom"/>
            <w:tcBorders>
              <w:bottom w:val="single" w:sz="8" w:color="auto"/>
            </w:tcBorders>
          </w:tcPr>
          <w:p>
            <w:pPr>
              <w:jc w:val="right"/>
              <w:ind w:right="72"/>
              <w:spacing w:after="0"/>
              <w:rPr>
                <w:sz w:val="20"/>
                <w:szCs w:val="20"/>
                <w:color w:val="auto"/>
              </w:rPr>
            </w:pPr>
            <w:r>
              <w:rPr>
                <w:rFonts w:ascii="Arial" w:cs="Arial" w:eastAsia="Arial" w:hAnsi="Arial"/>
                <w:sz w:val="14"/>
                <w:szCs w:val="14"/>
                <w:color w:val="auto"/>
              </w:rPr>
              <w:t>(116)</w:t>
            </w:r>
          </w:p>
        </w:tc>
        <w:tc>
          <w:tcPr>
            <w:tcW w:w="220" w:type="dxa"/>
            <w:vAlign w:val="bottom"/>
            <w:tcBorders>
              <w:bottom w:val="single" w:sz="8" w:color="auto"/>
            </w:tcBorders>
          </w:tcPr>
          <w:p>
            <w:pPr>
              <w:spacing w:after="0"/>
              <w:rPr>
                <w:sz w:val="14"/>
                <w:szCs w:val="14"/>
                <w:color w:val="auto"/>
              </w:rPr>
            </w:pPr>
          </w:p>
        </w:tc>
        <w:tc>
          <w:tcPr>
            <w:tcW w:w="920" w:type="dxa"/>
            <w:vAlign w:val="bottom"/>
            <w:tcBorders>
              <w:bottom w:val="single" w:sz="8" w:color="auto"/>
            </w:tcBorders>
          </w:tcPr>
          <w:p>
            <w:pPr>
              <w:jc w:val="right"/>
              <w:ind w:right="112"/>
              <w:spacing w:after="0"/>
              <w:rPr>
                <w:sz w:val="20"/>
                <w:szCs w:val="20"/>
                <w:color w:val="auto"/>
              </w:rPr>
            </w:pPr>
            <w:r>
              <w:rPr>
                <w:rFonts w:ascii="Arial" w:cs="Arial" w:eastAsia="Arial" w:hAnsi="Arial"/>
                <w:sz w:val="14"/>
                <w:szCs w:val="14"/>
                <w:color w:val="auto"/>
              </w:rPr>
              <w:t>—</w:t>
            </w:r>
          </w:p>
        </w:tc>
        <w:tc>
          <w:tcPr>
            <w:tcW w:w="240" w:type="dxa"/>
            <w:vAlign w:val="bottom"/>
            <w:tcBorders>
              <w:bottom w:val="single" w:sz="8" w:color="auto"/>
            </w:tcBorders>
          </w:tcPr>
          <w:p>
            <w:pPr>
              <w:spacing w:after="0"/>
              <w:rPr>
                <w:sz w:val="14"/>
                <w:szCs w:val="14"/>
                <w:color w:val="auto"/>
              </w:rPr>
            </w:pPr>
          </w:p>
        </w:tc>
        <w:tc>
          <w:tcPr>
            <w:tcW w:w="84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(116)</w:t>
            </w: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3760" w:type="dxa"/>
            <w:vAlign w:val="bottom"/>
            <w:tcBorders>
              <w:bottom w:val="single" w:sz="8" w:color="auto"/>
            </w:tcBorders>
          </w:tcPr>
          <w:p>
            <w:pPr>
              <w:ind w:left="200"/>
              <w:spacing w:after="0" w:line="142" w:lineRule="exact"/>
              <w:rPr>
                <w:sz w:val="20"/>
                <w:szCs w:val="20"/>
                <w:color w:val="auto"/>
              </w:rPr>
            </w:pPr>
            <w:r>
              <w:rPr>
                <w:rFonts w:ascii="Arial" w:cs="Arial" w:eastAsia="Arial" w:hAnsi="Arial"/>
                <w:sz w:val="14"/>
                <w:szCs w:val="14"/>
                <w:color w:val="auto"/>
              </w:rPr>
              <w:t>Net cash provided by (used in) investing activities</w:t>
            </w:r>
          </w:p>
        </w:tc>
        <w:tc>
          <w:tcPr>
            <w:tcW w:w="460" w:type="dxa"/>
            <w:vAlign w:val="bottom"/>
            <w:tcBorders>
              <w:bottom w:val="single" w:sz="8" w:color="auto"/>
            </w:tcBorders>
          </w:tcPr>
          <w:p>
            <w:pPr>
              <w:spacing w:after="0"/>
              <w:rPr>
                <w:sz w:val="12"/>
                <w:szCs w:val="12"/>
                <w:color w:val="auto"/>
              </w:rPr>
            </w:pPr>
          </w:p>
        </w:tc>
        <w:tc>
          <w:tcPr>
            <w:tcW w:w="620" w:type="dxa"/>
            <w:vAlign w:val="bottom"/>
            <w:tcBorders>
              <w:bottom w:val="single" w:sz="8" w:color="auto"/>
            </w:tcBorders>
          </w:tcPr>
          <w:p>
            <w:pPr>
              <w:jc w:val="right"/>
              <w:ind w:right="72"/>
              <w:spacing w:after="0" w:line="142" w:lineRule="exact"/>
              <w:rPr>
                <w:sz w:val="20"/>
                <w:szCs w:val="20"/>
                <w:color w:val="auto"/>
              </w:rPr>
            </w:pPr>
            <w:r>
              <w:rPr>
                <w:rFonts w:ascii="Arial" w:cs="Arial" w:eastAsia="Arial" w:hAnsi="Arial"/>
                <w:sz w:val="14"/>
                <w:szCs w:val="14"/>
                <w:color w:val="auto"/>
              </w:rPr>
              <w:t>(1,813)</w:t>
            </w:r>
          </w:p>
        </w:tc>
        <w:tc>
          <w:tcPr>
            <w:tcW w:w="260" w:type="dxa"/>
            <w:vAlign w:val="bottom"/>
            <w:tcBorders>
              <w:bottom w:val="single" w:sz="8" w:color="auto"/>
            </w:tcBorders>
          </w:tcPr>
          <w:p>
            <w:pPr>
              <w:spacing w:after="0"/>
              <w:rPr>
                <w:sz w:val="12"/>
                <w:szCs w:val="12"/>
                <w:color w:val="auto"/>
              </w:rPr>
            </w:pPr>
          </w:p>
        </w:tc>
        <w:tc>
          <w:tcPr>
            <w:tcW w:w="460" w:type="dxa"/>
            <w:vAlign w:val="bottom"/>
            <w:tcBorders>
              <w:bottom w:val="single" w:sz="8" w:color="auto"/>
            </w:tcBorders>
          </w:tcPr>
          <w:p>
            <w:pPr>
              <w:jc w:val="right"/>
              <w:ind w:right="92"/>
              <w:spacing w:after="0" w:line="142" w:lineRule="exact"/>
              <w:rPr>
                <w:sz w:val="20"/>
                <w:szCs w:val="20"/>
                <w:color w:val="auto"/>
              </w:rPr>
            </w:pPr>
            <w:r>
              <w:rPr>
                <w:rFonts w:ascii="Arial" w:cs="Arial" w:eastAsia="Arial" w:hAnsi="Arial"/>
                <w:sz w:val="14"/>
                <w:szCs w:val="14"/>
                <w:color w:val="auto"/>
              </w:rPr>
              <w:t>956</w:t>
            </w:r>
          </w:p>
        </w:tc>
        <w:tc>
          <w:tcPr>
            <w:tcW w:w="280" w:type="dxa"/>
            <w:vAlign w:val="bottom"/>
            <w:tcBorders>
              <w:bottom w:val="single" w:sz="8" w:color="auto"/>
            </w:tcBorders>
          </w:tcPr>
          <w:p>
            <w:pPr>
              <w:spacing w:after="0"/>
              <w:rPr>
                <w:sz w:val="12"/>
                <w:szCs w:val="12"/>
                <w:color w:val="auto"/>
              </w:rPr>
            </w:pPr>
          </w:p>
        </w:tc>
        <w:tc>
          <w:tcPr>
            <w:tcW w:w="460" w:type="dxa"/>
            <w:vAlign w:val="bottom"/>
            <w:tcBorders>
              <w:bottom w:val="single" w:sz="8" w:color="auto"/>
            </w:tcBorders>
          </w:tcPr>
          <w:p>
            <w:pPr>
              <w:jc w:val="right"/>
              <w:ind w:right="112"/>
              <w:spacing w:after="0" w:line="142" w:lineRule="exact"/>
              <w:rPr>
                <w:sz w:val="20"/>
                <w:szCs w:val="20"/>
                <w:color w:val="auto"/>
              </w:rPr>
            </w:pPr>
            <w:r>
              <w:rPr>
                <w:rFonts w:ascii="Arial" w:cs="Arial" w:eastAsia="Arial" w:hAnsi="Arial"/>
                <w:sz w:val="14"/>
                <w:szCs w:val="14"/>
                <w:color w:val="auto"/>
              </w:rPr>
              <w:t>204</w:t>
            </w:r>
          </w:p>
        </w:tc>
        <w:tc>
          <w:tcPr>
            <w:tcW w:w="240" w:type="dxa"/>
            <w:vAlign w:val="bottom"/>
            <w:tcBorders>
              <w:bottom w:val="single" w:sz="8" w:color="auto"/>
            </w:tcBorders>
          </w:tcPr>
          <w:p>
            <w:pPr>
              <w:spacing w:after="0"/>
              <w:rPr>
                <w:sz w:val="12"/>
                <w:szCs w:val="12"/>
                <w:color w:val="auto"/>
              </w:rPr>
            </w:pPr>
          </w:p>
        </w:tc>
        <w:tc>
          <w:tcPr>
            <w:tcW w:w="700" w:type="dxa"/>
            <w:vAlign w:val="bottom"/>
            <w:tcBorders>
              <w:bottom w:val="single" w:sz="8" w:color="auto"/>
            </w:tcBorders>
          </w:tcPr>
          <w:p>
            <w:pPr>
              <w:jc w:val="right"/>
              <w:ind w:right="112"/>
              <w:spacing w:after="0" w:line="142" w:lineRule="exact"/>
              <w:rPr>
                <w:sz w:val="20"/>
                <w:szCs w:val="20"/>
                <w:color w:val="auto"/>
              </w:rPr>
            </w:pPr>
            <w:r>
              <w:rPr>
                <w:rFonts w:ascii="Arial" w:cs="Arial" w:eastAsia="Arial" w:hAnsi="Arial"/>
                <w:sz w:val="14"/>
                <w:szCs w:val="14"/>
                <w:color w:val="auto"/>
              </w:rPr>
              <w:t>2,015</w:t>
            </w:r>
          </w:p>
        </w:tc>
        <w:tc>
          <w:tcPr>
            <w:tcW w:w="320" w:type="dxa"/>
            <w:vAlign w:val="bottom"/>
            <w:tcBorders>
              <w:bottom w:val="single" w:sz="8" w:color="auto"/>
            </w:tcBorders>
          </w:tcPr>
          <w:p>
            <w:pPr>
              <w:spacing w:after="0"/>
              <w:rPr>
                <w:sz w:val="12"/>
                <w:szCs w:val="12"/>
                <w:color w:val="auto"/>
              </w:rPr>
            </w:pPr>
          </w:p>
        </w:tc>
        <w:tc>
          <w:tcPr>
            <w:tcW w:w="560" w:type="dxa"/>
            <w:vAlign w:val="bottom"/>
            <w:tcBorders>
              <w:bottom w:val="single" w:sz="8" w:color="auto"/>
            </w:tcBorders>
          </w:tcPr>
          <w:p>
            <w:pPr>
              <w:jc w:val="right"/>
              <w:ind w:right="132"/>
              <w:spacing w:after="0" w:line="142" w:lineRule="exact"/>
              <w:rPr>
                <w:sz w:val="20"/>
                <w:szCs w:val="20"/>
                <w:color w:val="auto"/>
              </w:rPr>
            </w:pPr>
            <w:r>
              <w:rPr>
                <w:rFonts w:ascii="Arial" w:cs="Arial" w:eastAsia="Arial" w:hAnsi="Arial"/>
                <w:sz w:val="14"/>
                <w:szCs w:val="14"/>
                <w:color w:val="auto"/>
              </w:rPr>
              <w:t>123</w:t>
            </w:r>
          </w:p>
        </w:tc>
        <w:tc>
          <w:tcPr>
            <w:tcW w:w="240" w:type="dxa"/>
            <w:vAlign w:val="bottom"/>
            <w:tcBorders>
              <w:bottom w:val="single" w:sz="8" w:color="auto"/>
            </w:tcBorders>
          </w:tcPr>
          <w:p>
            <w:pPr>
              <w:spacing w:after="0"/>
              <w:rPr>
                <w:sz w:val="12"/>
                <w:szCs w:val="12"/>
                <w:color w:val="auto"/>
              </w:rPr>
            </w:pPr>
          </w:p>
        </w:tc>
        <w:tc>
          <w:tcPr>
            <w:tcW w:w="820" w:type="dxa"/>
            <w:vAlign w:val="bottom"/>
            <w:tcBorders>
              <w:bottom w:val="single" w:sz="8" w:color="auto"/>
            </w:tcBorders>
          </w:tcPr>
          <w:p>
            <w:pPr>
              <w:jc w:val="right"/>
              <w:ind w:right="72"/>
              <w:spacing w:after="0" w:line="142" w:lineRule="exact"/>
              <w:rPr>
                <w:sz w:val="20"/>
                <w:szCs w:val="20"/>
                <w:color w:val="auto"/>
              </w:rPr>
            </w:pPr>
            <w:r>
              <w:rPr>
                <w:rFonts w:ascii="Arial" w:cs="Arial" w:eastAsia="Arial" w:hAnsi="Arial"/>
                <w:sz w:val="14"/>
                <w:szCs w:val="14"/>
                <w:color w:val="auto"/>
              </w:rPr>
              <w:t>(5,233)</w:t>
            </w:r>
          </w:p>
        </w:tc>
        <w:tc>
          <w:tcPr>
            <w:tcW w:w="220" w:type="dxa"/>
            <w:vAlign w:val="bottom"/>
            <w:tcBorders>
              <w:bottom w:val="single" w:sz="8" w:color="auto"/>
            </w:tcBorders>
          </w:tcPr>
          <w:p>
            <w:pPr>
              <w:spacing w:after="0"/>
              <w:rPr>
                <w:sz w:val="12"/>
                <w:szCs w:val="12"/>
                <w:color w:val="auto"/>
              </w:rPr>
            </w:pPr>
          </w:p>
        </w:tc>
        <w:tc>
          <w:tcPr>
            <w:tcW w:w="920" w:type="dxa"/>
            <w:vAlign w:val="bottom"/>
            <w:tcBorders>
              <w:bottom w:val="single" w:sz="8" w:color="auto"/>
            </w:tcBorders>
          </w:tcPr>
          <w:p>
            <w:pPr>
              <w:jc w:val="right"/>
              <w:ind w:right="112"/>
              <w:spacing w:after="0" w:line="142" w:lineRule="exact"/>
              <w:rPr>
                <w:sz w:val="20"/>
                <w:szCs w:val="20"/>
                <w:color w:val="auto"/>
              </w:rPr>
            </w:pPr>
            <w:r>
              <w:rPr>
                <w:rFonts w:ascii="Arial" w:cs="Arial" w:eastAsia="Arial" w:hAnsi="Arial"/>
                <w:sz w:val="14"/>
                <w:szCs w:val="14"/>
                <w:color w:val="auto"/>
              </w:rPr>
              <w:t>—</w:t>
            </w:r>
          </w:p>
        </w:tc>
        <w:tc>
          <w:tcPr>
            <w:tcW w:w="240" w:type="dxa"/>
            <w:vAlign w:val="bottom"/>
            <w:tcBorders>
              <w:bottom w:val="single" w:sz="8" w:color="auto"/>
            </w:tcBorders>
          </w:tcPr>
          <w:p>
            <w:pPr>
              <w:spacing w:after="0"/>
              <w:rPr>
                <w:sz w:val="12"/>
                <w:szCs w:val="12"/>
                <w:color w:val="auto"/>
              </w:rPr>
            </w:pPr>
          </w:p>
        </w:tc>
        <w:tc>
          <w:tcPr>
            <w:tcW w:w="840" w:type="dxa"/>
            <w:vAlign w:val="bottom"/>
            <w:tcBorders>
              <w:bottom w:val="single" w:sz="8" w:color="auto"/>
            </w:tcBorders>
          </w:tcPr>
          <w:p>
            <w:pPr>
              <w:jc w:val="right"/>
              <w:spacing w:after="0" w:line="142" w:lineRule="exact"/>
              <w:rPr>
                <w:sz w:val="20"/>
                <w:szCs w:val="20"/>
                <w:color w:val="auto"/>
              </w:rPr>
            </w:pPr>
            <w:r>
              <w:rPr>
                <w:rFonts w:ascii="Arial" w:cs="Arial" w:eastAsia="Arial" w:hAnsi="Arial"/>
                <w:sz w:val="14"/>
                <w:szCs w:val="14"/>
                <w:b w:val="1"/>
                <w:bCs w:val="1"/>
                <w:color w:val="auto"/>
              </w:rPr>
              <w:t>(3,748)</w:t>
            </w:r>
          </w:p>
        </w:tc>
        <w:tc>
          <w:tcPr>
            <w:tcW w:w="0" w:type="dxa"/>
            <w:vAlign w:val="bottom"/>
          </w:tcPr>
          <w:p>
            <w:pPr>
              <w:spacing w:after="0"/>
              <w:rPr>
                <w:sz w:val="1"/>
                <w:szCs w:val="1"/>
                <w:color w:val="auto"/>
              </w:rPr>
            </w:pPr>
          </w:p>
        </w:tc>
      </w:tr>
      <w:tr>
        <w:trPr>
          <w:trHeight w:val="125"/>
        </w:trPr>
        <w:tc>
          <w:tcPr>
            <w:tcW w:w="20" w:type="dxa"/>
            <w:vAlign w:val="bottom"/>
          </w:tcPr>
          <w:p>
            <w:pPr>
              <w:spacing w:after="0"/>
              <w:rPr>
                <w:sz w:val="10"/>
                <w:szCs w:val="10"/>
                <w:color w:val="auto"/>
              </w:rPr>
            </w:pPr>
          </w:p>
        </w:tc>
        <w:tc>
          <w:tcPr>
            <w:tcW w:w="3760" w:type="dxa"/>
            <w:vAlign w:val="bottom"/>
          </w:tcPr>
          <w:p>
            <w:pPr>
              <w:spacing w:after="0" w:line="125" w:lineRule="exact"/>
              <w:rPr>
                <w:sz w:val="20"/>
                <w:szCs w:val="20"/>
                <w:color w:val="auto"/>
              </w:rPr>
            </w:pPr>
            <w:r>
              <w:rPr>
                <w:rFonts w:ascii="Arial" w:cs="Arial" w:eastAsia="Arial" w:hAnsi="Arial"/>
                <w:sz w:val="14"/>
                <w:szCs w:val="14"/>
                <w:color w:val="auto"/>
              </w:rPr>
              <w:t>Increase in cash and cash equivalents</w:t>
            </w:r>
          </w:p>
        </w:tc>
        <w:tc>
          <w:tcPr>
            <w:tcW w:w="460" w:type="dxa"/>
            <w:vAlign w:val="bottom"/>
          </w:tcPr>
          <w:p>
            <w:pPr>
              <w:spacing w:after="0"/>
              <w:rPr>
                <w:sz w:val="10"/>
                <w:szCs w:val="10"/>
                <w:color w:val="auto"/>
              </w:rPr>
            </w:pPr>
          </w:p>
        </w:tc>
        <w:tc>
          <w:tcPr>
            <w:tcW w:w="620" w:type="dxa"/>
            <w:vAlign w:val="bottom"/>
          </w:tcPr>
          <w:p>
            <w:pPr>
              <w:jc w:val="right"/>
              <w:ind w:right="112"/>
              <w:spacing w:after="0" w:line="125" w:lineRule="exact"/>
              <w:rPr>
                <w:sz w:val="20"/>
                <w:szCs w:val="20"/>
                <w:color w:val="auto"/>
              </w:rPr>
            </w:pPr>
            <w:r>
              <w:rPr>
                <w:rFonts w:ascii="Arial" w:cs="Arial" w:eastAsia="Arial" w:hAnsi="Arial"/>
                <w:sz w:val="14"/>
                <w:szCs w:val="14"/>
                <w:color w:val="auto"/>
              </w:rPr>
              <w:t>—</w:t>
            </w:r>
          </w:p>
        </w:tc>
        <w:tc>
          <w:tcPr>
            <w:tcW w:w="260" w:type="dxa"/>
            <w:vAlign w:val="bottom"/>
          </w:tcPr>
          <w:p>
            <w:pPr>
              <w:spacing w:after="0"/>
              <w:rPr>
                <w:sz w:val="10"/>
                <w:szCs w:val="10"/>
                <w:color w:val="auto"/>
              </w:rPr>
            </w:pPr>
          </w:p>
        </w:tc>
        <w:tc>
          <w:tcPr>
            <w:tcW w:w="460" w:type="dxa"/>
            <w:vAlign w:val="bottom"/>
          </w:tcPr>
          <w:p>
            <w:pPr>
              <w:jc w:val="right"/>
              <w:ind w:right="92"/>
              <w:spacing w:after="0" w:line="125" w:lineRule="exact"/>
              <w:rPr>
                <w:sz w:val="20"/>
                <w:szCs w:val="20"/>
                <w:color w:val="auto"/>
              </w:rPr>
            </w:pPr>
            <w:r>
              <w:rPr>
                <w:rFonts w:ascii="Arial" w:cs="Arial" w:eastAsia="Arial" w:hAnsi="Arial"/>
                <w:sz w:val="14"/>
                <w:szCs w:val="14"/>
                <w:color w:val="auto"/>
              </w:rPr>
              <w:t>—</w:t>
            </w:r>
          </w:p>
        </w:tc>
        <w:tc>
          <w:tcPr>
            <w:tcW w:w="280" w:type="dxa"/>
            <w:vAlign w:val="bottom"/>
          </w:tcPr>
          <w:p>
            <w:pPr>
              <w:spacing w:after="0"/>
              <w:rPr>
                <w:sz w:val="10"/>
                <w:szCs w:val="10"/>
                <w:color w:val="auto"/>
              </w:rPr>
            </w:pPr>
          </w:p>
        </w:tc>
        <w:tc>
          <w:tcPr>
            <w:tcW w:w="460" w:type="dxa"/>
            <w:vAlign w:val="bottom"/>
          </w:tcPr>
          <w:p>
            <w:pPr>
              <w:jc w:val="right"/>
              <w:ind w:right="112"/>
              <w:spacing w:after="0" w:line="125" w:lineRule="exact"/>
              <w:rPr>
                <w:sz w:val="20"/>
                <w:szCs w:val="20"/>
                <w:color w:val="auto"/>
              </w:rPr>
            </w:pPr>
            <w:r>
              <w:rPr>
                <w:rFonts w:ascii="Arial" w:cs="Arial" w:eastAsia="Arial" w:hAnsi="Arial"/>
                <w:sz w:val="14"/>
                <w:szCs w:val="14"/>
                <w:color w:val="auto"/>
              </w:rPr>
              <w:t>—</w:t>
            </w:r>
          </w:p>
        </w:tc>
        <w:tc>
          <w:tcPr>
            <w:tcW w:w="240" w:type="dxa"/>
            <w:vAlign w:val="bottom"/>
          </w:tcPr>
          <w:p>
            <w:pPr>
              <w:spacing w:after="0"/>
              <w:rPr>
                <w:sz w:val="10"/>
                <w:szCs w:val="10"/>
                <w:color w:val="auto"/>
              </w:rPr>
            </w:pPr>
          </w:p>
        </w:tc>
        <w:tc>
          <w:tcPr>
            <w:tcW w:w="700" w:type="dxa"/>
            <w:vAlign w:val="bottom"/>
          </w:tcPr>
          <w:p>
            <w:pPr>
              <w:jc w:val="right"/>
              <w:ind w:right="112"/>
              <w:spacing w:after="0" w:line="125" w:lineRule="exact"/>
              <w:rPr>
                <w:sz w:val="20"/>
                <w:szCs w:val="20"/>
                <w:color w:val="auto"/>
              </w:rPr>
            </w:pPr>
            <w:r>
              <w:rPr>
                <w:rFonts w:ascii="Arial" w:cs="Arial" w:eastAsia="Arial" w:hAnsi="Arial"/>
                <w:sz w:val="14"/>
                <w:szCs w:val="14"/>
                <w:color w:val="auto"/>
              </w:rPr>
              <w:t>—</w:t>
            </w:r>
          </w:p>
        </w:tc>
        <w:tc>
          <w:tcPr>
            <w:tcW w:w="320" w:type="dxa"/>
            <w:vAlign w:val="bottom"/>
          </w:tcPr>
          <w:p>
            <w:pPr>
              <w:spacing w:after="0"/>
              <w:rPr>
                <w:sz w:val="10"/>
                <w:szCs w:val="10"/>
                <w:color w:val="auto"/>
              </w:rPr>
            </w:pPr>
          </w:p>
        </w:tc>
        <w:tc>
          <w:tcPr>
            <w:tcW w:w="560" w:type="dxa"/>
            <w:vAlign w:val="bottom"/>
          </w:tcPr>
          <w:p>
            <w:pPr>
              <w:jc w:val="right"/>
              <w:ind w:right="132"/>
              <w:spacing w:after="0" w:line="125" w:lineRule="exact"/>
              <w:rPr>
                <w:sz w:val="20"/>
                <w:szCs w:val="20"/>
                <w:color w:val="auto"/>
              </w:rPr>
            </w:pPr>
            <w:r>
              <w:rPr>
                <w:rFonts w:ascii="Arial" w:cs="Arial" w:eastAsia="Arial" w:hAnsi="Arial"/>
                <w:sz w:val="14"/>
                <w:szCs w:val="14"/>
                <w:color w:val="auto"/>
              </w:rPr>
              <w:t>—</w:t>
            </w:r>
          </w:p>
        </w:tc>
        <w:tc>
          <w:tcPr>
            <w:tcW w:w="240" w:type="dxa"/>
            <w:vAlign w:val="bottom"/>
          </w:tcPr>
          <w:p>
            <w:pPr>
              <w:spacing w:after="0"/>
              <w:rPr>
                <w:sz w:val="10"/>
                <w:szCs w:val="10"/>
                <w:color w:val="auto"/>
              </w:rPr>
            </w:pPr>
          </w:p>
        </w:tc>
        <w:tc>
          <w:tcPr>
            <w:tcW w:w="820" w:type="dxa"/>
            <w:vAlign w:val="bottom"/>
          </w:tcPr>
          <w:p>
            <w:pPr>
              <w:jc w:val="right"/>
              <w:ind w:right="112"/>
              <w:spacing w:after="0" w:line="125" w:lineRule="exact"/>
              <w:rPr>
                <w:sz w:val="20"/>
                <w:szCs w:val="20"/>
                <w:color w:val="auto"/>
              </w:rPr>
            </w:pPr>
            <w:r>
              <w:rPr>
                <w:rFonts w:ascii="Arial" w:cs="Arial" w:eastAsia="Arial" w:hAnsi="Arial"/>
                <w:sz w:val="14"/>
                <w:szCs w:val="14"/>
                <w:color w:val="auto"/>
              </w:rPr>
              <w:t>154</w:t>
            </w:r>
          </w:p>
        </w:tc>
        <w:tc>
          <w:tcPr>
            <w:tcW w:w="220" w:type="dxa"/>
            <w:vAlign w:val="bottom"/>
          </w:tcPr>
          <w:p>
            <w:pPr>
              <w:spacing w:after="0"/>
              <w:rPr>
                <w:sz w:val="10"/>
                <w:szCs w:val="10"/>
                <w:color w:val="auto"/>
              </w:rPr>
            </w:pPr>
          </w:p>
        </w:tc>
        <w:tc>
          <w:tcPr>
            <w:tcW w:w="920" w:type="dxa"/>
            <w:vAlign w:val="bottom"/>
          </w:tcPr>
          <w:p>
            <w:pPr>
              <w:jc w:val="right"/>
              <w:ind w:right="112"/>
              <w:spacing w:after="0" w:line="125" w:lineRule="exact"/>
              <w:rPr>
                <w:sz w:val="20"/>
                <w:szCs w:val="20"/>
                <w:color w:val="auto"/>
              </w:rPr>
            </w:pPr>
            <w:r>
              <w:rPr>
                <w:rFonts w:ascii="Arial" w:cs="Arial" w:eastAsia="Arial" w:hAnsi="Arial"/>
                <w:sz w:val="14"/>
                <w:szCs w:val="14"/>
                <w:color w:val="auto"/>
              </w:rPr>
              <w:t>—</w:t>
            </w:r>
          </w:p>
        </w:tc>
        <w:tc>
          <w:tcPr>
            <w:tcW w:w="240" w:type="dxa"/>
            <w:vAlign w:val="bottom"/>
          </w:tcPr>
          <w:p>
            <w:pPr>
              <w:spacing w:after="0"/>
              <w:rPr>
                <w:sz w:val="10"/>
                <w:szCs w:val="10"/>
                <w:color w:val="auto"/>
              </w:rPr>
            </w:pPr>
          </w:p>
        </w:tc>
        <w:tc>
          <w:tcPr>
            <w:tcW w:w="840" w:type="dxa"/>
            <w:vAlign w:val="bottom"/>
          </w:tcPr>
          <w:p>
            <w:pPr>
              <w:jc w:val="right"/>
              <w:spacing w:after="0" w:line="125" w:lineRule="exact"/>
              <w:rPr>
                <w:sz w:val="20"/>
                <w:szCs w:val="20"/>
                <w:color w:val="auto"/>
              </w:rPr>
            </w:pPr>
            <w:r>
              <w:rPr>
                <w:rFonts w:ascii="Arial" w:cs="Arial" w:eastAsia="Arial" w:hAnsi="Arial"/>
                <w:sz w:val="14"/>
                <w:szCs w:val="14"/>
                <w:b w:val="1"/>
                <w:bCs w:val="1"/>
                <w:color w:val="auto"/>
              </w:rPr>
              <w:t>154</w:t>
            </w:r>
          </w:p>
        </w:tc>
        <w:tc>
          <w:tcPr>
            <w:tcW w:w="0" w:type="dxa"/>
            <w:vAlign w:val="bottom"/>
          </w:tcPr>
          <w:p>
            <w:pPr>
              <w:spacing w:after="0"/>
              <w:rPr>
                <w:sz w:val="1"/>
                <w:szCs w:val="1"/>
                <w:color w:val="auto"/>
              </w:rPr>
            </w:pPr>
          </w:p>
        </w:tc>
      </w:tr>
      <w:tr>
        <w:trPr>
          <w:trHeight w:val="165"/>
        </w:trPr>
        <w:tc>
          <w:tcPr>
            <w:tcW w:w="3780" w:type="dxa"/>
            <w:vAlign w:val="bottom"/>
            <w:tcBorders>
              <w:bottom w:val="single" w:sz="8" w:color="auto"/>
            </w:tcBorders>
            <w:gridSpan w:val="2"/>
          </w:tcPr>
          <w:p>
            <w:pPr>
              <w:spacing w:after="0"/>
              <w:rPr>
                <w:sz w:val="20"/>
                <w:szCs w:val="20"/>
                <w:color w:val="auto"/>
              </w:rPr>
            </w:pPr>
            <w:r>
              <w:rPr>
                <w:rFonts w:ascii="Arial" w:cs="Arial" w:eastAsia="Arial" w:hAnsi="Arial"/>
                <w:sz w:val="14"/>
                <w:szCs w:val="14"/>
                <w:color w:val="auto"/>
              </w:rPr>
              <w:t>Cash and cash equivalents, beginning of year</w:t>
            </w:r>
          </w:p>
        </w:tc>
        <w:tc>
          <w:tcPr>
            <w:tcW w:w="460" w:type="dxa"/>
            <w:vAlign w:val="bottom"/>
            <w:tcBorders>
              <w:bottom w:val="single" w:sz="8" w:color="auto"/>
            </w:tcBorders>
          </w:tcPr>
          <w:p>
            <w:pPr>
              <w:spacing w:after="0"/>
              <w:rPr>
                <w:sz w:val="14"/>
                <w:szCs w:val="14"/>
                <w:color w:val="auto"/>
              </w:rPr>
            </w:pPr>
          </w:p>
        </w:tc>
        <w:tc>
          <w:tcPr>
            <w:tcW w:w="620" w:type="dxa"/>
            <w:vAlign w:val="bottom"/>
            <w:tcBorders>
              <w:bottom w:val="single" w:sz="8" w:color="auto"/>
            </w:tcBorders>
          </w:tcPr>
          <w:p>
            <w:pPr>
              <w:jc w:val="right"/>
              <w:ind w:right="112"/>
              <w:spacing w:after="0"/>
              <w:rPr>
                <w:sz w:val="20"/>
                <w:szCs w:val="20"/>
                <w:color w:val="auto"/>
              </w:rPr>
            </w:pPr>
            <w:r>
              <w:rPr>
                <w:rFonts w:ascii="Arial" w:cs="Arial" w:eastAsia="Arial" w:hAnsi="Arial"/>
                <w:sz w:val="14"/>
                <w:szCs w:val="14"/>
                <w:color w:val="auto"/>
              </w:rPr>
              <w:t>—</w:t>
            </w:r>
          </w:p>
        </w:tc>
        <w:tc>
          <w:tcPr>
            <w:tcW w:w="260" w:type="dxa"/>
            <w:vAlign w:val="bottom"/>
            <w:tcBorders>
              <w:bottom w:val="single" w:sz="8" w:color="auto"/>
            </w:tcBorders>
          </w:tcPr>
          <w:p>
            <w:pPr>
              <w:spacing w:after="0"/>
              <w:rPr>
                <w:sz w:val="14"/>
                <w:szCs w:val="14"/>
                <w:color w:val="auto"/>
              </w:rPr>
            </w:pPr>
          </w:p>
        </w:tc>
        <w:tc>
          <w:tcPr>
            <w:tcW w:w="460" w:type="dxa"/>
            <w:vAlign w:val="bottom"/>
            <w:tcBorders>
              <w:bottom w:val="single" w:sz="8" w:color="auto"/>
            </w:tcBorders>
          </w:tcPr>
          <w:p>
            <w:pPr>
              <w:jc w:val="right"/>
              <w:ind w:right="92"/>
              <w:spacing w:after="0"/>
              <w:rPr>
                <w:sz w:val="20"/>
                <w:szCs w:val="20"/>
                <w:color w:val="auto"/>
              </w:rPr>
            </w:pPr>
            <w:r>
              <w:rPr>
                <w:rFonts w:ascii="Arial" w:cs="Arial" w:eastAsia="Arial" w:hAnsi="Arial"/>
                <w:sz w:val="14"/>
                <w:szCs w:val="14"/>
                <w:color w:val="auto"/>
              </w:rPr>
              <w:t>—</w:t>
            </w:r>
          </w:p>
        </w:tc>
        <w:tc>
          <w:tcPr>
            <w:tcW w:w="280" w:type="dxa"/>
            <w:vAlign w:val="bottom"/>
            <w:tcBorders>
              <w:bottom w:val="single" w:sz="8" w:color="auto"/>
            </w:tcBorders>
          </w:tcPr>
          <w:p>
            <w:pPr>
              <w:spacing w:after="0"/>
              <w:rPr>
                <w:sz w:val="14"/>
                <w:szCs w:val="14"/>
                <w:color w:val="auto"/>
              </w:rPr>
            </w:pPr>
          </w:p>
        </w:tc>
        <w:tc>
          <w:tcPr>
            <w:tcW w:w="460" w:type="dxa"/>
            <w:vAlign w:val="bottom"/>
            <w:tcBorders>
              <w:bottom w:val="single" w:sz="8" w:color="auto"/>
            </w:tcBorders>
          </w:tcPr>
          <w:p>
            <w:pPr>
              <w:jc w:val="right"/>
              <w:ind w:right="112"/>
              <w:spacing w:after="0"/>
              <w:rPr>
                <w:sz w:val="20"/>
                <w:szCs w:val="20"/>
                <w:color w:val="auto"/>
              </w:rPr>
            </w:pPr>
            <w:r>
              <w:rPr>
                <w:rFonts w:ascii="Arial" w:cs="Arial" w:eastAsia="Arial" w:hAnsi="Arial"/>
                <w:sz w:val="14"/>
                <w:szCs w:val="14"/>
                <w:color w:val="auto"/>
              </w:rPr>
              <w:t>—</w:t>
            </w:r>
          </w:p>
        </w:tc>
        <w:tc>
          <w:tcPr>
            <w:tcW w:w="240" w:type="dxa"/>
            <w:vAlign w:val="bottom"/>
            <w:tcBorders>
              <w:bottom w:val="single" w:sz="8" w:color="auto"/>
            </w:tcBorders>
          </w:tcPr>
          <w:p>
            <w:pPr>
              <w:spacing w:after="0"/>
              <w:rPr>
                <w:sz w:val="14"/>
                <w:szCs w:val="14"/>
                <w:color w:val="auto"/>
              </w:rPr>
            </w:pPr>
          </w:p>
        </w:tc>
        <w:tc>
          <w:tcPr>
            <w:tcW w:w="700" w:type="dxa"/>
            <w:vAlign w:val="bottom"/>
            <w:tcBorders>
              <w:bottom w:val="single" w:sz="8" w:color="auto"/>
            </w:tcBorders>
          </w:tcPr>
          <w:p>
            <w:pPr>
              <w:jc w:val="right"/>
              <w:ind w:right="112"/>
              <w:spacing w:after="0"/>
              <w:rPr>
                <w:sz w:val="20"/>
                <w:szCs w:val="20"/>
                <w:color w:val="auto"/>
              </w:rPr>
            </w:pPr>
            <w:r>
              <w:rPr>
                <w:rFonts w:ascii="Arial" w:cs="Arial" w:eastAsia="Arial" w:hAnsi="Arial"/>
                <w:sz w:val="14"/>
                <w:szCs w:val="14"/>
                <w:color w:val="auto"/>
              </w:rPr>
              <w:t>—</w:t>
            </w:r>
          </w:p>
        </w:tc>
        <w:tc>
          <w:tcPr>
            <w:tcW w:w="320" w:type="dxa"/>
            <w:vAlign w:val="bottom"/>
            <w:tcBorders>
              <w:bottom w:val="single" w:sz="8" w:color="auto"/>
            </w:tcBorders>
          </w:tcPr>
          <w:p>
            <w:pPr>
              <w:spacing w:after="0"/>
              <w:rPr>
                <w:sz w:val="14"/>
                <w:szCs w:val="14"/>
                <w:color w:val="auto"/>
              </w:rPr>
            </w:pPr>
          </w:p>
        </w:tc>
        <w:tc>
          <w:tcPr>
            <w:tcW w:w="560" w:type="dxa"/>
            <w:vAlign w:val="bottom"/>
            <w:tcBorders>
              <w:bottom w:val="single" w:sz="8" w:color="auto"/>
            </w:tcBorders>
          </w:tcPr>
          <w:p>
            <w:pPr>
              <w:jc w:val="right"/>
              <w:ind w:right="132"/>
              <w:spacing w:after="0"/>
              <w:rPr>
                <w:sz w:val="20"/>
                <w:szCs w:val="20"/>
                <w:color w:val="auto"/>
              </w:rPr>
            </w:pPr>
            <w:r>
              <w:rPr>
                <w:rFonts w:ascii="Arial" w:cs="Arial" w:eastAsia="Arial" w:hAnsi="Arial"/>
                <w:sz w:val="14"/>
                <w:szCs w:val="14"/>
                <w:color w:val="auto"/>
              </w:rPr>
              <w:t>—</w:t>
            </w:r>
          </w:p>
        </w:tc>
        <w:tc>
          <w:tcPr>
            <w:tcW w:w="240" w:type="dxa"/>
            <w:vAlign w:val="bottom"/>
            <w:tcBorders>
              <w:bottom w:val="single" w:sz="8" w:color="auto"/>
            </w:tcBorders>
          </w:tcPr>
          <w:p>
            <w:pPr>
              <w:spacing w:after="0"/>
              <w:rPr>
                <w:sz w:val="14"/>
                <w:szCs w:val="14"/>
                <w:color w:val="auto"/>
              </w:rPr>
            </w:pPr>
          </w:p>
        </w:tc>
        <w:tc>
          <w:tcPr>
            <w:tcW w:w="820" w:type="dxa"/>
            <w:vAlign w:val="bottom"/>
            <w:tcBorders>
              <w:bottom w:val="single" w:sz="8" w:color="auto"/>
            </w:tcBorders>
          </w:tcPr>
          <w:p>
            <w:pPr>
              <w:jc w:val="right"/>
              <w:ind w:right="112"/>
              <w:spacing w:after="0"/>
              <w:rPr>
                <w:sz w:val="20"/>
                <w:szCs w:val="20"/>
                <w:color w:val="auto"/>
              </w:rPr>
            </w:pPr>
            <w:r>
              <w:rPr>
                <w:rFonts w:ascii="Arial" w:cs="Arial" w:eastAsia="Arial" w:hAnsi="Arial"/>
                <w:sz w:val="14"/>
                <w:szCs w:val="14"/>
                <w:color w:val="auto"/>
              </w:rPr>
              <w:t>793</w:t>
            </w:r>
          </w:p>
        </w:tc>
        <w:tc>
          <w:tcPr>
            <w:tcW w:w="220" w:type="dxa"/>
            <w:vAlign w:val="bottom"/>
            <w:tcBorders>
              <w:bottom w:val="single" w:sz="8" w:color="auto"/>
            </w:tcBorders>
          </w:tcPr>
          <w:p>
            <w:pPr>
              <w:spacing w:after="0"/>
              <w:rPr>
                <w:sz w:val="14"/>
                <w:szCs w:val="14"/>
                <w:color w:val="auto"/>
              </w:rPr>
            </w:pPr>
          </w:p>
        </w:tc>
        <w:tc>
          <w:tcPr>
            <w:tcW w:w="920" w:type="dxa"/>
            <w:vAlign w:val="bottom"/>
            <w:tcBorders>
              <w:bottom w:val="single" w:sz="8" w:color="auto"/>
            </w:tcBorders>
          </w:tcPr>
          <w:p>
            <w:pPr>
              <w:jc w:val="right"/>
              <w:ind w:right="112"/>
              <w:spacing w:after="0"/>
              <w:rPr>
                <w:sz w:val="20"/>
                <w:szCs w:val="20"/>
                <w:color w:val="auto"/>
              </w:rPr>
            </w:pPr>
            <w:r>
              <w:rPr>
                <w:rFonts w:ascii="Arial" w:cs="Arial" w:eastAsia="Arial" w:hAnsi="Arial"/>
                <w:sz w:val="14"/>
                <w:szCs w:val="14"/>
                <w:color w:val="auto"/>
              </w:rPr>
              <w:t>—</w:t>
            </w:r>
          </w:p>
        </w:tc>
        <w:tc>
          <w:tcPr>
            <w:tcW w:w="240" w:type="dxa"/>
            <w:vAlign w:val="bottom"/>
            <w:tcBorders>
              <w:bottom w:val="single" w:sz="8" w:color="auto"/>
            </w:tcBorders>
          </w:tcPr>
          <w:p>
            <w:pPr>
              <w:spacing w:after="0"/>
              <w:rPr>
                <w:sz w:val="14"/>
                <w:szCs w:val="14"/>
                <w:color w:val="auto"/>
              </w:rPr>
            </w:pPr>
          </w:p>
        </w:tc>
        <w:tc>
          <w:tcPr>
            <w:tcW w:w="84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793</w:t>
            </w:r>
          </w:p>
        </w:tc>
        <w:tc>
          <w:tcPr>
            <w:tcW w:w="0" w:type="dxa"/>
            <w:vAlign w:val="bottom"/>
          </w:tcPr>
          <w:p>
            <w:pPr>
              <w:spacing w:after="0"/>
              <w:rPr>
                <w:sz w:val="1"/>
                <w:szCs w:val="1"/>
                <w:color w:val="auto"/>
              </w:rPr>
            </w:pPr>
          </w:p>
        </w:tc>
      </w:tr>
      <w:tr>
        <w:trPr>
          <w:trHeight w:val="142"/>
        </w:trPr>
        <w:tc>
          <w:tcPr>
            <w:tcW w:w="3780" w:type="dxa"/>
            <w:vAlign w:val="bottom"/>
            <w:tcBorders>
              <w:bottom w:val="single" w:sz="8" w:color="35BF85"/>
            </w:tcBorders>
            <w:gridSpan w:val="2"/>
          </w:tcPr>
          <w:p>
            <w:pPr>
              <w:spacing w:after="0" w:line="142" w:lineRule="exact"/>
              <w:rPr>
                <w:sz w:val="20"/>
                <w:szCs w:val="20"/>
                <w:color w:val="auto"/>
              </w:rPr>
            </w:pPr>
            <w:r>
              <w:rPr>
                <w:rFonts w:ascii="Arial" w:cs="Arial" w:eastAsia="Arial" w:hAnsi="Arial"/>
                <w:sz w:val="14"/>
                <w:szCs w:val="14"/>
                <w:b w:val="1"/>
                <w:bCs w:val="1"/>
                <w:color w:val="auto"/>
              </w:rPr>
              <w:t>Cash and cash equivalents, end of year</w:t>
            </w:r>
          </w:p>
        </w:tc>
        <w:tc>
          <w:tcPr>
            <w:tcW w:w="460" w:type="dxa"/>
            <w:vAlign w:val="bottom"/>
            <w:tcBorders>
              <w:bottom w:val="single" w:sz="8" w:color="35BF85"/>
            </w:tcBorders>
          </w:tcPr>
          <w:p>
            <w:pPr>
              <w:ind w:left="360"/>
              <w:spacing w:after="0" w:line="142" w:lineRule="exact"/>
              <w:rPr>
                <w:sz w:val="20"/>
                <w:szCs w:val="20"/>
                <w:color w:val="auto"/>
              </w:rPr>
            </w:pPr>
            <w:r>
              <w:rPr>
                <w:rFonts w:ascii="Arial" w:cs="Arial" w:eastAsia="Arial" w:hAnsi="Arial"/>
                <w:sz w:val="14"/>
                <w:szCs w:val="14"/>
                <w:b w:val="1"/>
                <w:bCs w:val="1"/>
                <w:color w:val="auto"/>
              </w:rPr>
              <w:t>$</w:t>
            </w:r>
          </w:p>
        </w:tc>
        <w:tc>
          <w:tcPr>
            <w:tcW w:w="620" w:type="dxa"/>
            <w:vAlign w:val="bottom"/>
            <w:tcBorders>
              <w:bottom w:val="single" w:sz="8" w:color="35BF85"/>
            </w:tcBorders>
          </w:tcPr>
          <w:p>
            <w:pPr>
              <w:jc w:val="right"/>
              <w:ind w:right="112"/>
              <w:spacing w:after="0" w:line="142" w:lineRule="exact"/>
              <w:rPr>
                <w:sz w:val="20"/>
                <w:szCs w:val="20"/>
                <w:color w:val="auto"/>
              </w:rPr>
            </w:pPr>
            <w:r>
              <w:rPr>
                <w:rFonts w:ascii="Arial" w:cs="Arial" w:eastAsia="Arial" w:hAnsi="Arial"/>
                <w:sz w:val="14"/>
                <w:szCs w:val="14"/>
                <w:b w:val="1"/>
                <w:bCs w:val="1"/>
                <w:color w:val="auto"/>
              </w:rPr>
              <w:t>—</w:t>
            </w:r>
          </w:p>
        </w:tc>
        <w:tc>
          <w:tcPr>
            <w:tcW w:w="260" w:type="dxa"/>
            <w:vAlign w:val="bottom"/>
            <w:tcBorders>
              <w:bottom w:val="single" w:sz="8" w:color="35BF85"/>
            </w:tcBorders>
          </w:tcPr>
          <w:p>
            <w:pPr>
              <w:ind w:left="140"/>
              <w:spacing w:after="0" w:line="142" w:lineRule="exact"/>
              <w:rPr>
                <w:sz w:val="20"/>
                <w:szCs w:val="20"/>
                <w:color w:val="auto"/>
              </w:rPr>
            </w:pPr>
            <w:r>
              <w:rPr>
                <w:rFonts w:ascii="Arial" w:cs="Arial" w:eastAsia="Arial" w:hAnsi="Arial"/>
                <w:sz w:val="14"/>
                <w:szCs w:val="14"/>
                <w:b w:val="1"/>
                <w:bCs w:val="1"/>
                <w:color w:val="auto"/>
              </w:rPr>
              <w:t>$</w:t>
            </w:r>
          </w:p>
        </w:tc>
        <w:tc>
          <w:tcPr>
            <w:tcW w:w="460" w:type="dxa"/>
            <w:vAlign w:val="bottom"/>
            <w:tcBorders>
              <w:bottom w:val="single" w:sz="8" w:color="35BF85"/>
            </w:tcBorders>
          </w:tcPr>
          <w:p>
            <w:pPr>
              <w:jc w:val="right"/>
              <w:ind w:right="92"/>
              <w:spacing w:after="0" w:line="142" w:lineRule="exact"/>
              <w:rPr>
                <w:sz w:val="20"/>
                <w:szCs w:val="20"/>
                <w:color w:val="auto"/>
              </w:rPr>
            </w:pPr>
            <w:r>
              <w:rPr>
                <w:rFonts w:ascii="Arial" w:cs="Arial" w:eastAsia="Arial" w:hAnsi="Arial"/>
                <w:sz w:val="14"/>
                <w:szCs w:val="14"/>
                <w:b w:val="1"/>
                <w:bCs w:val="1"/>
                <w:color w:val="auto"/>
              </w:rPr>
              <w:t>—</w:t>
            </w:r>
          </w:p>
        </w:tc>
        <w:tc>
          <w:tcPr>
            <w:tcW w:w="280" w:type="dxa"/>
            <w:vAlign w:val="bottom"/>
            <w:tcBorders>
              <w:bottom w:val="single" w:sz="8" w:color="35BF85"/>
            </w:tcBorders>
          </w:tcPr>
          <w:p>
            <w:pPr>
              <w:jc w:val="center"/>
              <w:ind w:left="32"/>
              <w:spacing w:after="0" w:line="142" w:lineRule="exact"/>
              <w:rPr>
                <w:sz w:val="20"/>
                <w:szCs w:val="20"/>
                <w:color w:val="auto"/>
              </w:rPr>
            </w:pPr>
            <w:r>
              <w:rPr>
                <w:rFonts w:ascii="Arial" w:cs="Arial" w:eastAsia="Arial" w:hAnsi="Arial"/>
                <w:sz w:val="14"/>
                <w:szCs w:val="14"/>
                <w:b w:val="1"/>
                <w:bCs w:val="1"/>
                <w:color w:val="auto"/>
                <w:w w:val="76"/>
              </w:rPr>
              <w:t>$</w:t>
            </w:r>
          </w:p>
        </w:tc>
        <w:tc>
          <w:tcPr>
            <w:tcW w:w="460" w:type="dxa"/>
            <w:vAlign w:val="bottom"/>
            <w:tcBorders>
              <w:bottom w:val="single" w:sz="8" w:color="35BF85"/>
            </w:tcBorders>
          </w:tcPr>
          <w:p>
            <w:pPr>
              <w:jc w:val="right"/>
              <w:ind w:right="112"/>
              <w:spacing w:after="0" w:line="142" w:lineRule="exact"/>
              <w:rPr>
                <w:sz w:val="20"/>
                <w:szCs w:val="20"/>
                <w:color w:val="auto"/>
              </w:rPr>
            </w:pPr>
            <w:r>
              <w:rPr>
                <w:rFonts w:ascii="Arial" w:cs="Arial" w:eastAsia="Arial" w:hAnsi="Arial"/>
                <w:sz w:val="14"/>
                <w:szCs w:val="14"/>
                <w:b w:val="1"/>
                <w:bCs w:val="1"/>
                <w:color w:val="auto"/>
              </w:rPr>
              <w:t>—</w:t>
            </w:r>
          </w:p>
        </w:tc>
        <w:tc>
          <w:tcPr>
            <w:tcW w:w="240" w:type="dxa"/>
            <w:vAlign w:val="bottom"/>
            <w:tcBorders>
              <w:bottom w:val="single" w:sz="8" w:color="35BF85"/>
            </w:tcBorders>
          </w:tcPr>
          <w:p>
            <w:pPr>
              <w:jc w:val="right"/>
              <w:spacing w:after="0" w:line="142" w:lineRule="exact"/>
              <w:rPr>
                <w:sz w:val="20"/>
                <w:szCs w:val="20"/>
                <w:color w:val="auto"/>
              </w:rPr>
            </w:pPr>
            <w:r>
              <w:rPr>
                <w:rFonts w:ascii="Arial" w:cs="Arial" w:eastAsia="Arial" w:hAnsi="Arial"/>
                <w:sz w:val="14"/>
                <w:szCs w:val="14"/>
                <w:b w:val="1"/>
                <w:bCs w:val="1"/>
                <w:color w:val="auto"/>
              </w:rPr>
              <w:t>$</w:t>
            </w:r>
          </w:p>
        </w:tc>
        <w:tc>
          <w:tcPr>
            <w:tcW w:w="700" w:type="dxa"/>
            <w:vAlign w:val="bottom"/>
            <w:tcBorders>
              <w:bottom w:val="single" w:sz="8" w:color="35BF85"/>
            </w:tcBorders>
          </w:tcPr>
          <w:p>
            <w:pPr>
              <w:jc w:val="right"/>
              <w:ind w:right="112"/>
              <w:spacing w:after="0" w:line="142" w:lineRule="exact"/>
              <w:rPr>
                <w:sz w:val="20"/>
                <w:szCs w:val="20"/>
                <w:color w:val="auto"/>
              </w:rPr>
            </w:pPr>
            <w:r>
              <w:rPr>
                <w:rFonts w:ascii="Arial" w:cs="Arial" w:eastAsia="Arial" w:hAnsi="Arial"/>
                <w:sz w:val="14"/>
                <w:szCs w:val="14"/>
                <w:b w:val="1"/>
                <w:bCs w:val="1"/>
                <w:color w:val="auto"/>
              </w:rPr>
              <w:t>—</w:t>
            </w:r>
          </w:p>
        </w:tc>
        <w:tc>
          <w:tcPr>
            <w:tcW w:w="320" w:type="dxa"/>
            <w:vAlign w:val="bottom"/>
            <w:tcBorders>
              <w:bottom w:val="single" w:sz="8" w:color="35BF85"/>
            </w:tcBorders>
          </w:tcPr>
          <w:p>
            <w:pPr>
              <w:ind w:left="140"/>
              <w:spacing w:after="0" w:line="142" w:lineRule="exact"/>
              <w:rPr>
                <w:sz w:val="20"/>
                <w:szCs w:val="20"/>
                <w:color w:val="auto"/>
              </w:rPr>
            </w:pPr>
            <w:r>
              <w:rPr>
                <w:rFonts w:ascii="Arial" w:cs="Arial" w:eastAsia="Arial" w:hAnsi="Arial"/>
                <w:sz w:val="14"/>
                <w:szCs w:val="14"/>
                <w:b w:val="1"/>
                <w:bCs w:val="1"/>
                <w:color w:val="auto"/>
              </w:rPr>
              <w:t>$</w:t>
            </w:r>
          </w:p>
        </w:tc>
        <w:tc>
          <w:tcPr>
            <w:tcW w:w="560" w:type="dxa"/>
            <w:vAlign w:val="bottom"/>
            <w:tcBorders>
              <w:bottom w:val="single" w:sz="8" w:color="35BF85"/>
            </w:tcBorders>
          </w:tcPr>
          <w:p>
            <w:pPr>
              <w:jc w:val="right"/>
              <w:ind w:right="132"/>
              <w:spacing w:after="0" w:line="142" w:lineRule="exact"/>
              <w:rPr>
                <w:sz w:val="20"/>
                <w:szCs w:val="20"/>
                <w:color w:val="auto"/>
              </w:rPr>
            </w:pPr>
            <w:r>
              <w:rPr>
                <w:rFonts w:ascii="Arial" w:cs="Arial" w:eastAsia="Arial" w:hAnsi="Arial"/>
                <w:sz w:val="14"/>
                <w:szCs w:val="14"/>
                <w:b w:val="1"/>
                <w:bCs w:val="1"/>
                <w:color w:val="auto"/>
              </w:rPr>
              <w:t>—</w:t>
            </w:r>
          </w:p>
        </w:tc>
        <w:tc>
          <w:tcPr>
            <w:tcW w:w="240" w:type="dxa"/>
            <w:vAlign w:val="bottom"/>
            <w:tcBorders>
              <w:bottom w:val="single" w:sz="8" w:color="35BF85"/>
            </w:tcBorders>
          </w:tcPr>
          <w:p>
            <w:pPr>
              <w:jc w:val="right"/>
              <w:spacing w:after="0" w:line="142" w:lineRule="exact"/>
              <w:rPr>
                <w:sz w:val="20"/>
                <w:szCs w:val="20"/>
                <w:color w:val="auto"/>
              </w:rPr>
            </w:pPr>
            <w:r>
              <w:rPr>
                <w:rFonts w:ascii="Arial" w:cs="Arial" w:eastAsia="Arial" w:hAnsi="Arial"/>
                <w:sz w:val="14"/>
                <w:szCs w:val="14"/>
                <w:b w:val="1"/>
                <w:bCs w:val="1"/>
                <w:color w:val="auto"/>
              </w:rPr>
              <w:t>$</w:t>
            </w:r>
          </w:p>
        </w:tc>
        <w:tc>
          <w:tcPr>
            <w:tcW w:w="820" w:type="dxa"/>
            <w:vAlign w:val="bottom"/>
            <w:tcBorders>
              <w:bottom w:val="single" w:sz="8" w:color="35BF85"/>
            </w:tcBorders>
          </w:tcPr>
          <w:p>
            <w:pPr>
              <w:jc w:val="right"/>
              <w:ind w:right="112"/>
              <w:spacing w:after="0" w:line="142" w:lineRule="exact"/>
              <w:rPr>
                <w:sz w:val="20"/>
                <w:szCs w:val="20"/>
                <w:color w:val="auto"/>
              </w:rPr>
            </w:pPr>
            <w:r>
              <w:rPr>
                <w:rFonts w:ascii="Arial" w:cs="Arial" w:eastAsia="Arial" w:hAnsi="Arial"/>
                <w:sz w:val="14"/>
                <w:szCs w:val="14"/>
                <w:b w:val="1"/>
                <w:bCs w:val="1"/>
                <w:color w:val="auto"/>
              </w:rPr>
              <w:t>947</w:t>
            </w:r>
          </w:p>
        </w:tc>
        <w:tc>
          <w:tcPr>
            <w:tcW w:w="220" w:type="dxa"/>
            <w:vAlign w:val="bottom"/>
            <w:tcBorders>
              <w:bottom w:val="single" w:sz="8" w:color="35BF85"/>
            </w:tcBorders>
          </w:tcPr>
          <w:p>
            <w:pPr>
              <w:jc w:val="right"/>
              <w:spacing w:after="0" w:line="142" w:lineRule="exact"/>
              <w:rPr>
                <w:sz w:val="20"/>
                <w:szCs w:val="20"/>
                <w:color w:val="auto"/>
              </w:rPr>
            </w:pPr>
            <w:r>
              <w:rPr>
                <w:rFonts w:ascii="Arial" w:cs="Arial" w:eastAsia="Arial" w:hAnsi="Arial"/>
                <w:sz w:val="14"/>
                <w:szCs w:val="14"/>
                <w:b w:val="1"/>
                <w:bCs w:val="1"/>
                <w:color w:val="auto"/>
              </w:rPr>
              <w:t>$</w:t>
            </w:r>
          </w:p>
        </w:tc>
        <w:tc>
          <w:tcPr>
            <w:tcW w:w="920" w:type="dxa"/>
            <w:vAlign w:val="bottom"/>
            <w:tcBorders>
              <w:bottom w:val="single" w:sz="8" w:color="35BF85"/>
            </w:tcBorders>
          </w:tcPr>
          <w:p>
            <w:pPr>
              <w:jc w:val="right"/>
              <w:ind w:right="112"/>
              <w:spacing w:after="0" w:line="142" w:lineRule="exact"/>
              <w:rPr>
                <w:sz w:val="20"/>
                <w:szCs w:val="20"/>
                <w:color w:val="auto"/>
              </w:rPr>
            </w:pPr>
            <w:r>
              <w:rPr>
                <w:rFonts w:ascii="Arial" w:cs="Arial" w:eastAsia="Arial" w:hAnsi="Arial"/>
                <w:sz w:val="14"/>
                <w:szCs w:val="14"/>
                <w:b w:val="1"/>
                <w:bCs w:val="1"/>
                <w:color w:val="auto"/>
              </w:rPr>
              <w:t>—</w:t>
            </w:r>
          </w:p>
        </w:tc>
        <w:tc>
          <w:tcPr>
            <w:tcW w:w="240" w:type="dxa"/>
            <w:vAlign w:val="bottom"/>
            <w:tcBorders>
              <w:bottom w:val="single" w:sz="8" w:color="35BF85"/>
            </w:tcBorders>
          </w:tcPr>
          <w:p>
            <w:pPr>
              <w:jc w:val="right"/>
              <w:spacing w:after="0" w:line="142" w:lineRule="exact"/>
              <w:rPr>
                <w:sz w:val="20"/>
                <w:szCs w:val="20"/>
                <w:color w:val="auto"/>
              </w:rPr>
            </w:pPr>
            <w:r>
              <w:rPr>
                <w:rFonts w:ascii="Arial" w:cs="Arial" w:eastAsia="Arial" w:hAnsi="Arial"/>
                <w:sz w:val="14"/>
                <w:szCs w:val="14"/>
                <w:b w:val="1"/>
                <w:bCs w:val="1"/>
                <w:color w:val="auto"/>
              </w:rPr>
              <w:t>$</w:t>
            </w:r>
          </w:p>
        </w:tc>
        <w:tc>
          <w:tcPr>
            <w:tcW w:w="840" w:type="dxa"/>
            <w:vAlign w:val="bottom"/>
            <w:tcBorders>
              <w:bottom w:val="single" w:sz="8" w:color="35BF85"/>
            </w:tcBorders>
          </w:tcPr>
          <w:p>
            <w:pPr>
              <w:jc w:val="right"/>
              <w:spacing w:after="0" w:line="142" w:lineRule="exact"/>
              <w:rPr>
                <w:sz w:val="20"/>
                <w:szCs w:val="20"/>
                <w:color w:val="auto"/>
              </w:rPr>
            </w:pPr>
            <w:r>
              <w:rPr>
                <w:rFonts w:ascii="Arial" w:cs="Arial" w:eastAsia="Arial" w:hAnsi="Arial"/>
                <w:sz w:val="14"/>
                <w:szCs w:val="14"/>
                <w:b w:val="1"/>
                <w:bCs w:val="1"/>
                <w:color w:val="auto"/>
              </w:rPr>
              <w:t>947</w:t>
            </w:r>
          </w:p>
        </w:tc>
        <w:tc>
          <w:tcPr>
            <w:tcW w:w="0" w:type="dxa"/>
            <w:vAlign w:val="bottom"/>
          </w:tcPr>
          <w:p>
            <w:pPr>
              <w:spacing w:after="0"/>
              <w:rPr>
                <w:sz w:val="1"/>
                <w:szCs w:val="1"/>
                <w:color w:val="auto"/>
              </w:rPr>
            </w:pPr>
          </w:p>
        </w:tc>
      </w:tr>
      <w:tr>
        <w:trPr>
          <w:trHeight w:val="304"/>
        </w:trPr>
        <w:tc>
          <w:tcPr>
            <w:tcW w:w="4860" w:type="dxa"/>
            <w:vAlign w:val="bottom"/>
            <w:gridSpan w:val="4"/>
          </w:tcPr>
          <w:p>
            <w:pPr>
              <w:spacing w:after="0"/>
              <w:rPr>
                <w:sz w:val="20"/>
                <w:szCs w:val="20"/>
                <w:color w:val="auto"/>
              </w:rPr>
            </w:pPr>
            <w:r>
              <w:rPr>
                <w:rFonts w:ascii="Arial" w:cs="Arial" w:eastAsia="Arial" w:hAnsi="Arial"/>
                <w:sz w:val="14"/>
                <w:szCs w:val="14"/>
                <w:b w:val="1"/>
                <w:bCs w:val="1"/>
                <w:color w:val="auto"/>
              </w:rPr>
              <w:t xml:space="preserve">Notes to Consolidated Financial Statements </w:t>
            </w:r>
            <w:r>
              <w:rPr>
                <w:rFonts w:ascii="Arial" w:cs="Arial" w:eastAsia="Arial" w:hAnsi="Arial"/>
                <w:sz w:val="14"/>
                <w:szCs w:val="14"/>
                <w:color w:val="auto"/>
              </w:rPr>
              <w:t>Comcast 2006 Annual Report</w:t>
            </w:r>
          </w:p>
        </w:tc>
        <w:tc>
          <w:tcPr>
            <w:tcW w:w="26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280" w:type="dxa"/>
            <w:vAlign w:val="bottom"/>
          </w:tcPr>
          <w:p>
            <w:pPr>
              <w:jc w:val="center"/>
              <w:ind w:left="32"/>
              <w:spacing w:after="0"/>
              <w:rPr>
                <w:sz w:val="20"/>
                <w:szCs w:val="20"/>
                <w:color w:val="auto"/>
              </w:rPr>
            </w:pPr>
            <w:r>
              <w:rPr>
                <w:rFonts w:ascii="Arial" w:cs="Arial" w:eastAsia="Arial" w:hAnsi="Arial"/>
                <w:sz w:val="14"/>
                <w:szCs w:val="14"/>
                <w:b w:val="1"/>
                <w:bCs w:val="1"/>
                <w:color w:val="auto"/>
                <w:w w:val="89"/>
              </w:rPr>
              <w:t>74</w:t>
            </w:r>
          </w:p>
        </w:tc>
        <w:tc>
          <w:tcPr>
            <w:tcW w:w="46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420"/>
          </w:cols>
          <w:pgMar w:left="240" w:top="459" w:right="239" w:bottom="1440" w:gutter="0" w:footer="0" w:header="0"/>
        </w:sectPr>
      </w:pPr>
    </w:p>
    <w:bookmarkStart w:id="151" w:name="page152"/>
    <w:bookmarkEnd w:id="15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225" name="Picture 2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5"/>
                    <pic:cNvPicPr>
                      <a:picLocks noChangeAspect="1" noChangeArrowheads="1"/>
                    </pic:cNvPicPr>
                  </pic:nvPicPr>
                  <pic:blipFill>
                    <a:blip r:embed="rId232">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200" w:lineRule="exact"/>
        <w:rPr>
          <w:sz w:val="20"/>
          <w:szCs w:val="20"/>
          <w:color w:val="auto"/>
        </w:rPr>
      </w:pPr>
    </w:p>
    <w:p>
      <w:pPr>
        <w:spacing w:after="0" w:line="25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Condensed Consolidating Statement of Cash Flows</w:t>
      </w:r>
    </w:p>
    <w:p>
      <w:pPr>
        <w:spacing w:after="0" w:line="18" w:lineRule="exact"/>
        <w:rPr>
          <w:sz w:val="20"/>
          <w:szCs w:val="20"/>
          <w:color w:val="auto"/>
        </w:rPr>
      </w:pPr>
    </w:p>
    <w:p>
      <w:pPr>
        <w:spacing w:after="0"/>
        <w:rPr>
          <w:sz w:val="20"/>
          <w:szCs w:val="20"/>
          <w:color w:val="auto"/>
        </w:rPr>
      </w:pPr>
      <w:r>
        <w:rPr>
          <w:rFonts w:ascii="Arial" w:cs="Arial" w:eastAsia="Arial" w:hAnsi="Arial"/>
          <w:sz w:val="18"/>
          <w:szCs w:val="18"/>
          <w:color w:val="auto"/>
        </w:rPr>
        <w:t>For the Year Ended December 31, 2004</w:t>
      </w:r>
    </w:p>
    <w:p>
      <w:pPr>
        <w:spacing w:after="0" w:line="182"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340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960" w:type="dxa"/>
            <w:vAlign w:val="bottom"/>
          </w:tcPr>
          <w:p>
            <w:pPr>
              <w:jc w:val="right"/>
              <w:ind w:right="152"/>
              <w:spacing w:after="0"/>
              <w:rPr>
                <w:sz w:val="20"/>
                <w:szCs w:val="20"/>
                <w:color w:val="auto"/>
              </w:rPr>
            </w:pPr>
            <w:r>
              <w:rPr>
                <w:rFonts w:ascii="Arial" w:cs="Arial" w:eastAsia="Arial" w:hAnsi="Arial"/>
                <w:sz w:val="14"/>
                <w:szCs w:val="14"/>
                <w:color w:val="auto"/>
              </w:rPr>
              <w:t>Elimination</w:t>
            </w:r>
          </w:p>
        </w:tc>
        <w:tc>
          <w:tcPr>
            <w:tcW w:w="1140" w:type="dxa"/>
            <w:vAlign w:val="bottom"/>
            <w:gridSpan w:val="2"/>
            <w:vMerge w:val="restart"/>
          </w:tcPr>
          <w:p>
            <w:pPr>
              <w:jc w:val="right"/>
              <w:spacing w:after="0"/>
              <w:rPr>
                <w:sz w:val="20"/>
                <w:szCs w:val="20"/>
                <w:color w:val="auto"/>
              </w:rPr>
            </w:pPr>
            <w:r>
              <w:rPr>
                <w:rFonts w:ascii="Arial" w:cs="Arial" w:eastAsia="Arial" w:hAnsi="Arial"/>
                <w:sz w:val="14"/>
                <w:szCs w:val="14"/>
                <w:b w:val="1"/>
                <w:bCs w:val="1"/>
                <w:color w:val="auto"/>
              </w:rPr>
              <w:t>Consolidated</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340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1000" w:type="dxa"/>
            <w:vAlign w:val="bottom"/>
            <w:gridSpan w:val="2"/>
          </w:tcPr>
          <w:p>
            <w:pPr>
              <w:jc w:val="right"/>
              <w:ind w:right="152"/>
              <w:spacing w:after="0" w:line="133" w:lineRule="exact"/>
              <w:rPr>
                <w:sz w:val="20"/>
                <w:szCs w:val="20"/>
                <w:color w:val="auto"/>
              </w:rPr>
            </w:pPr>
            <w:r>
              <w:rPr>
                <w:rFonts w:ascii="Arial" w:cs="Arial" w:eastAsia="Arial" w:hAnsi="Arial"/>
                <w:sz w:val="14"/>
                <w:szCs w:val="14"/>
                <w:color w:val="auto"/>
              </w:rPr>
              <w:t>Combined</w:t>
            </w:r>
          </w:p>
        </w:tc>
        <w:tc>
          <w:tcPr>
            <w:tcW w:w="42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860" w:type="dxa"/>
            <w:vAlign w:val="bottom"/>
          </w:tcPr>
          <w:p>
            <w:pPr>
              <w:jc w:val="right"/>
              <w:ind w:right="152"/>
              <w:spacing w:after="0" w:line="133" w:lineRule="exact"/>
              <w:rPr>
                <w:sz w:val="20"/>
                <w:szCs w:val="20"/>
                <w:color w:val="auto"/>
              </w:rPr>
            </w:pPr>
            <w:r>
              <w:rPr>
                <w:rFonts w:ascii="Arial" w:cs="Arial" w:eastAsia="Arial" w:hAnsi="Arial"/>
                <w:sz w:val="14"/>
                <w:szCs w:val="14"/>
                <w:color w:val="auto"/>
              </w:rPr>
              <w:t>Non-</w:t>
            </w:r>
          </w:p>
        </w:tc>
        <w:tc>
          <w:tcPr>
            <w:tcW w:w="240" w:type="dxa"/>
            <w:vAlign w:val="bottom"/>
          </w:tcPr>
          <w:p>
            <w:pPr>
              <w:spacing w:after="0"/>
              <w:rPr>
                <w:sz w:val="11"/>
                <w:szCs w:val="11"/>
                <w:color w:val="auto"/>
              </w:rPr>
            </w:pPr>
          </w:p>
        </w:tc>
        <w:tc>
          <w:tcPr>
            <w:tcW w:w="960" w:type="dxa"/>
            <w:vAlign w:val="bottom"/>
          </w:tcPr>
          <w:p>
            <w:pPr>
              <w:jc w:val="right"/>
              <w:ind w:right="152"/>
              <w:spacing w:after="0" w:line="133" w:lineRule="exact"/>
              <w:rPr>
                <w:sz w:val="20"/>
                <w:szCs w:val="20"/>
                <w:color w:val="auto"/>
              </w:rPr>
            </w:pPr>
            <w:r>
              <w:rPr>
                <w:rFonts w:ascii="Arial" w:cs="Arial" w:eastAsia="Arial" w:hAnsi="Arial"/>
                <w:sz w:val="14"/>
                <w:szCs w:val="14"/>
                <w:color w:val="auto"/>
              </w:rPr>
              <w:t>and</w:t>
            </w:r>
          </w:p>
        </w:tc>
        <w:tc>
          <w:tcPr>
            <w:tcW w:w="1140" w:type="dxa"/>
            <w:vAlign w:val="bottom"/>
            <w:gridSpan w:val="2"/>
            <w:vMerge w:val="continue"/>
          </w:tcPr>
          <w:p>
            <w:pPr>
              <w:spacing w:after="0"/>
              <w:rPr>
                <w:sz w:val="11"/>
                <w:szCs w:val="11"/>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400" w:type="dxa"/>
            <w:vAlign w:val="bottom"/>
          </w:tcPr>
          <w:p>
            <w:pPr>
              <w:spacing w:after="0"/>
              <w:rPr>
                <w:sz w:val="12"/>
                <w:szCs w:val="12"/>
                <w:color w:val="auto"/>
              </w:rPr>
            </w:pPr>
          </w:p>
        </w:tc>
        <w:tc>
          <w:tcPr>
            <w:tcW w:w="980" w:type="dxa"/>
            <w:vAlign w:val="bottom"/>
            <w:gridSpan w:val="2"/>
          </w:tcPr>
          <w:p>
            <w:pPr>
              <w:ind w:left="220"/>
              <w:spacing w:after="0" w:line="149" w:lineRule="exact"/>
              <w:rPr>
                <w:sz w:val="20"/>
                <w:szCs w:val="20"/>
                <w:color w:val="auto"/>
              </w:rPr>
            </w:pPr>
            <w:r>
              <w:rPr>
                <w:rFonts w:ascii="Arial" w:cs="Arial" w:eastAsia="Arial" w:hAnsi="Arial"/>
                <w:sz w:val="14"/>
                <w:szCs w:val="14"/>
                <w:color w:val="auto"/>
              </w:rPr>
              <w:t>Comcast</w:t>
            </w:r>
          </w:p>
        </w:tc>
        <w:tc>
          <w:tcPr>
            <w:tcW w:w="800" w:type="dxa"/>
            <w:vAlign w:val="bottom"/>
            <w:gridSpan w:val="2"/>
          </w:tcPr>
          <w:p>
            <w:pPr>
              <w:jc w:val="right"/>
              <w:ind w:right="152"/>
              <w:spacing w:after="0" w:line="149" w:lineRule="exact"/>
              <w:rPr>
                <w:sz w:val="20"/>
                <w:szCs w:val="20"/>
                <w:color w:val="auto"/>
              </w:rPr>
            </w:pPr>
            <w:r>
              <w:rPr>
                <w:rFonts w:ascii="Arial" w:cs="Arial" w:eastAsia="Arial" w:hAnsi="Arial"/>
                <w:sz w:val="14"/>
                <w:szCs w:val="14"/>
                <w:color w:val="auto"/>
              </w:rPr>
              <w:t>CCCL</w:t>
            </w:r>
          </w:p>
        </w:tc>
        <w:tc>
          <w:tcPr>
            <w:tcW w:w="800" w:type="dxa"/>
            <w:vAlign w:val="bottom"/>
            <w:gridSpan w:val="2"/>
          </w:tcPr>
          <w:p>
            <w:pPr>
              <w:ind w:left="180"/>
              <w:spacing w:after="0" w:line="149" w:lineRule="exact"/>
              <w:rPr>
                <w:sz w:val="20"/>
                <w:szCs w:val="20"/>
                <w:color w:val="auto"/>
              </w:rPr>
            </w:pPr>
            <w:r>
              <w:rPr>
                <w:rFonts w:ascii="Arial" w:cs="Arial" w:eastAsia="Arial" w:hAnsi="Arial"/>
                <w:sz w:val="14"/>
                <w:szCs w:val="14"/>
                <w:color w:val="auto"/>
              </w:rPr>
              <w:t>CCCH</w:t>
            </w:r>
          </w:p>
        </w:tc>
        <w:tc>
          <w:tcPr>
            <w:tcW w:w="260" w:type="dxa"/>
            <w:vAlign w:val="bottom"/>
          </w:tcPr>
          <w:p>
            <w:pPr>
              <w:spacing w:after="0"/>
              <w:rPr>
                <w:sz w:val="12"/>
                <w:szCs w:val="12"/>
                <w:color w:val="auto"/>
              </w:rPr>
            </w:pPr>
          </w:p>
        </w:tc>
        <w:tc>
          <w:tcPr>
            <w:tcW w:w="740" w:type="dxa"/>
            <w:vAlign w:val="bottom"/>
          </w:tcPr>
          <w:p>
            <w:pPr>
              <w:jc w:val="right"/>
              <w:ind w:right="152"/>
              <w:spacing w:after="0" w:line="149" w:lineRule="exact"/>
              <w:rPr>
                <w:sz w:val="20"/>
                <w:szCs w:val="20"/>
                <w:color w:val="auto"/>
              </w:rPr>
            </w:pPr>
            <w:r>
              <w:rPr>
                <w:rFonts w:ascii="Arial" w:cs="Arial" w:eastAsia="Arial" w:hAnsi="Arial"/>
                <w:sz w:val="14"/>
                <w:szCs w:val="14"/>
                <w:color w:val="auto"/>
                <w:w w:val="94"/>
              </w:rPr>
              <w:t>CCHMO</w:t>
            </w:r>
          </w:p>
        </w:tc>
        <w:tc>
          <w:tcPr>
            <w:tcW w:w="940" w:type="dxa"/>
            <w:vAlign w:val="bottom"/>
            <w:gridSpan w:val="2"/>
          </w:tcPr>
          <w:p>
            <w:pPr>
              <w:ind w:left="180"/>
              <w:spacing w:after="0" w:line="149" w:lineRule="exact"/>
              <w:rPr>
                <w:sz w:val="20"/>
                <w:szCs w:val="20"/>
                <w:color w:val="auto"/>
              </w:rPr>
            </w:pPr>
            <w:r>
              <w:rPr>
                <w:rFonts w:ascii="Arial" w:cs="Arial" w:eastAsia="Arial" w:hAnsi="Arial"/>
                <w:sz w:val="14"/>
                <w:szCs w:val="14"/>
                <w:color w:val="auto"/>
              </w:rPr>
              <w:t>Comcast</w:t>
            </w:r>
          </w:p>
        </w:tc>
        <w:tc>
          <w:tcPr>
            <w:tcW w:w="280" w:type="dxa"/>
            <w:vAlign w:val="bottom"/>
          </w:tcPr>
          <w:p>
            <w:pPr>
              <w:spacing w:after="0"/>
              <w:rPr>
                <w:sz w:val="12"/>
                <w:szCs w:val="12"/>
                <w:color w:val="auto"/>
              </w:rPr>
            </w:pPr>
          </w:p>
        </w:tc>
        <w:tc>
          <w:tcPr>
            <w:tcW w:w="860" w:type="dxa"/>
            <w:vAlign w:val="bottom"/>
          </w:tcPr>
          <w:p>
            <w:pPr>
              <w:jc w:val="right"/>
              <w:ind w:right="152"/>
              <w:spacing w:after="0" w:line="149" w:lineRule="exact"/>
              <w:rPr>
                <w:sz w:val="20"/>
                <w:szCs w:val="20"/>
                <w:color w:val="auto"/>
              </w:rPr>
            </w:pPr>
            <w:r>
              <w:rPr>
                <w:rFonts w:ascii="Arial" w:cs="Arial" w:eastAsia="Arial" w:hAnsi="Arial"/>
                <w:sz w:val="14"/>
                <w:szCs w:val="14"/>
                <w:color w:val="auto"/>
                <w:w w:val="98"/>
              </w:rPr>
              <w:t>Guarantor</w:t>
            </w:r>
          </w:p>
        </w:tc>
        <w:tc>
          <w:tcPr>
            <w:tcW w:w="1200" w:type="dxa"/>
            <w:vAlign w:val="bottom"/>
            <w:gridSpan w:val="2"/>
          </w:tcPr>
          <w:p>
            <w:pPr>
              <w:jc w:val="right"/>
              <w:ind w:right="152"/>
              <w:spacing w:after="0" w:line="149" w:lineRule="exact"/>
              <w:rPr>
                <w:sz w:val="20"/>
                <w:szCs w:val="20"/>
                <w:color w:val="auto"/>
              </w:rPr>
            </w:pPr>
            <w:r>
              <w:rPr>
                <w:rFonts w:ascii="Arial" w:cs="Arial" w:eastAsia="Arial" w:hAnsi="Arial"/>
                <w:sz w:val="14"/>
                <w:szCs w:val="14"/>
                <w:color w:val="auto"/>
              </w:rPr>
              <w:t>Consolidation</w:t>
            </w:r>
          </w:p>
        </w:tc>
        <w:tc>
          <w:tcPr>
            <w:tcW w:w="300" w:type="dxa"/>
            <w:vAlign w:val="bottom"/>
          </w:tcPr>
          <w:p>
            <w:pPr>
              <w:spacing w:after="0"/>
              <w:rPr>
                <w:sz w:val="12"/>
                <w:szCs w:val="12"/>
                <w:color w:val="auto"/>
              </w:rPr>
            </w:pPr>
          </w:p>
        </w:tc>
        <w:tc>
          <w:tcPr>
            <w:tcW w:w="840" w:type="dxa"/>
            <w:vAlign w:val="bottom"/>
          </w:tcPr>
          <w:p>
            <w:pPr>
              <w:jc w:val="right"/>
              <w:spacing w:after="0" w:line="149" w:lineRule="exact"/>
              <w:rPr>
                <w:sz w:val="20"/>
                <w:szCs w:val="20"/>
                <w:color w:val="auto"/>
              </w:rPr>
            </w:pPr>
            <w:r>
              <w:rPr>
                <w:rFonts w:ascii="Arial" w:cs="Arial" w:eastAsia="Arial" w:hAnsi="Arial"/>
                <w:sz w:val="14"/>
                <w:szCs w:val="14"/>
                <w:b w:val="1"/>
                <w:bCs w:val="1"/>
                <w:color w:val="auto"/>
              </w:rPr>
              <w:t>Comcast</w:t>
            </w:r>
          </w:p>
        </w:tc>
        <w:tc>
          <w:tcPr>
            <w:tcW w:w="0" w:type="dxa"/>
            <w:vAlign w:val="bottom"/>
          </w:tcPr>
          <w:p>
            <w:pPr>
              <w:spacing w:after="0"/>
              <w:rPr>
                <w:sz w:val="1"/>
                <w:szCs w:val="1"/>
                <w:color w:val="auto"/>
              </w:rPr>
            </w:pPr>
          </w:p>
        </w:tc>
      </w:tr>
      <w:tr>
        <w:trPr>
          <w:trHeight w:val="165"/>
        </w:trPr>
        <w:tc>
          <w:tcPr>
            <w:tcW w:w="3420" w:type="dxa"/>
            <w:vAlign w:val="bottom"/>
            <w:tcBorders>
              <w:bottom w:val="single" w:sz="8" w:color="auto"/>
            </w:tcBorders>
            <w:gridSpan w:val="2"/>
          </w:tcPr>
          <w:p>
            <w:pPr>
              <w:spacing w:after="0"/>
              <w:rPr>
                <w:sz w:val="20"/>
                <w:szCs w:val="20"/>
                <w:color w:val="auto"/>
              </w:rPr>
            </w:pPr>
            <w:r>
              <w:rPr>
                <w:rFonts w:ascii="Arial" w:cs="Arial" w:eastAsia="Arial" w:hAnsi="Arial"/>
                <w:sz w:val="14"/>
                <w:szCs w:val="14"/>
                <w:color w:val="auto"/>
              </w:rPr>
              <w:t>(in millions)</w:t>
            </w:r>
          </w:p>
        </w:tc>
        <w:tc>
          <w:tcPr>
            <w:tcW w:w="320" w:type="dxa"/>
            <w:vAlign w:val="bottom"/>
            <w:tcBorders>
              <w:bottom w:val="single" w:sz="8" w:color="auto"/>
            </w:tcBorders>
          </w:tcPr>
          <w:p>
            <w:pPr>
              <w:spacing w:after="0"/>
              <w:rPr>
                <w:sz w:val="14"/>
                <w:szCs w:val="14"/>
                <w:color w:val="auto"/>
              </w:rPr>
            </w:pPr>
          </w:p>
        </w:tc>
        <w:tc>
          <w:tcPr>
            <w:tcW w:w="660" w:type="dxa"/>
            <w:vAlign w:val="bottom"/>
            <w:tcBorders>
              <w:bottom w:val="single" w:sz="8" w:color="auto"/>
            </w:tcBorders>
          </w:tcPr>
          <w:p>
            <w:pPr>
              <w:jc w:val="right"/>
              <w:ind w:right="152"/>
              <w:spacing w:after="0"/>
              <w:rPr>
                <w:sz w:val="20"/>
                <w:szCs w:val="20"/>
                <w:color w:val="auto"/>
              </w:rPr>
            </w:pPr>
            <w:r>
              <w:rPr>
                <w:rFonts w:ascii="Arial" w:cs="Arial" w:eastAsia="Arial" w:hAnsi="Arial"/>
                <w:sz w:val="14"/>
                <w:szCs w:val="14"/>
                <w:color w:val="auto"/>
              </w:rPr>
              <w:t>Parent</w:t>
            </w:r>
          </w:p>
        </w:tc>
        <w:tc>
          <w:tcPr>
            <w:tcW w:w="800" w:type="dxa"/>
            <w:vAlign w:val="bottom"/>
            <w:tcBorders>
              <w:bottom w:val="single" w:sz="8" w:color="auto"/>
            </w:tcBorders>
            <w:gridSpan w:val="2"/>
          </w:tcPr>
          <w:p>
            <w:pPr>
              <w:ind w:left="180"/>
              <w:spacing w:after="0"/>
              <w:rPr>
                <w:sz w:val="20"/>
                <w:szCs w:val="20"/>
                <w:color w:val="auto"/>
              </w:rPr>
            </w:pPr>
            <w:r>
              <w:rPr>
                <w:rFonts w:ascii="Arial" w:cs="Arial" w:eastAsia="Arial" w:hAnsi="Arial"/>
                <w:sz w:val="14"/>
                <w:szCs w:val="14"/>
                <w:color w:val="auto"/>
              </w:rPr>
              <w:t>Parent</w:t>
            </w:r>
          </w:p>
        </w:tc>
        <w:tc>
          <w:tcPr>
            <w:tcW w:w="800" w:type="dxa"/>
            <w:vAlign w:val="bottom"/>
            <w:tcBorders>
              <w:bottom w:val="single" w:sz="8" w:color="auto"/>
            </w:tcBorders>
            <w:gridSpan w:val="2"/>
          </w:tcPr>
          <w:p>
            <w:pPr>
              <w:ind w:left="180"/>
              <w:spacing w:after="0"/>
              <w:rPr>
                <w:sz w:val="20"/>
                <w:szCs w:val="20"/>
                <w:color w:val="auto"/>
              </w:rPr>
            </w:pPr>
            <w:r>
              <w:rPr>
                <w:rFonts w:ascii="Arial" w:cs="Arial" w:eastAsia="Arial" w:hAnsi="Arial"/>
                <w:sz w:val="14"/>
                <w:szCs w:val="14"/>
                <w:color w:val="auto"/>
              </w:rPr>
              <w:t>Parent</w:t>
            </w:r>
          </w:p>
        </w:tc>
        <w:tc>
          <w:tcPr>
            <w:tcW w:w="260" w:type="dxa"/>
            <w:vAlign w:val="bottom"/>
            <w:tcBorders>
              <w:bottom w:val="single" w:sz="8" w:color="auto"/>
            </w:tcBorders>
          </w:tcPr>
          <w:p>
            <w:pPr>
              <w:spacing w:after="0"/>
              <w:rPr>
                <w:sz w:val="14"/>
                <w:szCs w:val="14"/>
                <w:color w:val="auto"/>
              </w:rPr>
            </w:pPr>
          </w:p>
        </w:tc>
        <w:tc>
          <w:tcPr>
            <w:tcW w:w="740" w:type="dxa"/>
            <w:vAlign w:val="bottom"/>
            <w:tcBorders>
              <w:bottom w:val="single" w:sz="8" w:color="auto"/>
            </w:tcBorders>
          </w:tcPr>
          <w:p>
            <w:pPr>
              <w:jc w:val="right"/>
              <w:ind w:right="152"/>
              <w:spacing w:after="0"/>
              <w:rPr>
                <w:sz w:val="20"/>
                <w:szCs w:val="20"/>
                <w:color w:val="auto"/>
              </w:rPr>
            </w:pPr>
            <w:r>
              <w:rPr>
                <w:rFonts w:ascii="Arial" w:cs="Arial" w:eastAsia="Arial" w:hAnsi="Arial"/>
                <w:sz w:val="14"/>
                <w:szCs w:val="14"/>
                <w:color w:val="auto"/>
              </w:rPr>
              <w:t>Parents</w:t>
            </w:r>
          </w:p>
        </w:tc>
        <w:tc>
          <w:tcPr>
            <w:tcW w:w="940" w:type="dxa"/>
            <w:vAlign w:val="bottom"/>
            <w:tcBorders>
              <w:bottom w:val="single" w:sz="8" w:color="auto"/>
            </w:tcBorders>
            <w:gridSpan w:val="2"/>
          </w:tcPr>
          <w:p>
            <w:pPr>
              <w:ind w:left="200"/>
              <w:spacing w:after="0"/>
              <w:rPr>
                <w:sz w:val="20"/>
                <w:szCs w:val="20"/>
                <w:color w:val="auto"/>
              </w:rPr>
            </w:pPr>
            <w:r>
              <w:rPr>
                <w:rFonts w:ascii="Arial" w:cs="Arial" w:eastAsia="Arial" w:hAnsi="Arial"/>
                <w:sz w:val="14"/>
                <w:szCs w:val="14"/>
                <w:color w:val="auto"/>
              </w:rPr>
              <w:t>Holdings</w:t>
            </w:r>
          </w:p>
        </w:tc>
        <w:tc>
          <w:tcPr>
            <w:tcW w:w="1140" w:type="dxa"/>
            <w:vAlign w:val="bottom"/>
            <w:tcBorders>
              <w:bottom w:val="single" w:sz="8" w:color="auto"/>
            </w:tcBorders>
            <w:gridSpan w:val="2"/>
          </w:tcPr>
          <w:p>
            <w:pPr>
              <w:jc w:val="right"/>
              <w:ind w:right="152"/>
              <w:spacing w:after="0"/>
              <w:rPr>
                <w:sz w:val="20"/>
                <w:szCs w:val="20"/>
                <w:color w:val="auto"/>
              </w:rPr>
            </w:pPr>
            <w:r>
              <w:rPr>
                <w:rFonts w:ascii="Arial" w:cs="Arial" w:eastAsia="Arial" w:hAnsi="Arial"/>
                <w:sz w:val="14"/>
                <w:szCs w:val="14"/>
                <w:color w:val="auto"/>
              </w:rPr>
              <w:t>Subsidiaries</w:t>
            </w:r>
          </w:p>
        </w:tc>
        <w:tc>
          <w:tcPr>
            <w:tcW w:w="240" w:type="dxa"/>
            <w:vAlign w:val="bottom"/>
            <w:tcBorders>
              <w:bottom w:val="single" w:sz="8" w:color="auto"/>
            </w:tcBorders>
          </w:tcPr>
          <w:p>
            <w:pPr>
              <w:spacing w:after="0"/>
              <w:rPr>
                <w:sz w:val="14"/>
                <w:szCs w:val="14"/>
                <w:color w:val="auto"/>
              </w:rPr>
            </w:pPr>
          </w:p>
        </w:tc>
        <w:tc>
          <w:tcPr>
            <w:tcW w:w="960" w:type="dxa"/>
            <w:vAlign w:val="bottom"/>
            <w:tcBorders>
              <w:bottom w:val="single" w:sz="8" w:color="auto"/>
            </w:tcBorders>
          </w:tcPr>
          <w:p>
            <w:pPr>
              <w:jc w:val="right"/>
              <w:ind w:right="152"/>
              <w:spacing w:after="0"/>
              <w:rPr>
                <w:sz w:val="20"/>
                <w:szCs w:val="20"/>
                <w:color w:val="auto"/>
              </w:rPr>
            </w:pPr>
            <w:r>
              <w:rPr>
                <w:rFonts w:ascii="Arial" w:cs="Arial" w:eastAsia="Arial" w:hAnsi="Arial"/>
                <w:sz w:val="14"/>
                <w:szCs w:val="14"/>
                <w:color w:val="auto"/>
                <w:w w:val="93"/>
              </w:rPr>
              <w:t>Adjustments</w:t>
            </w:r>
          </w:p>
        </w:tc>
        <w:tc>
          <w:tcPr>
            <w:tcW w:w="300" w:type="dxa"/>
            <w:vAlign w:val="bottom"/>
            <w:tcBorders>
              <w:bottom w:val="single" w:sz="8" w:color="auto"/>
            </w:tcBorders>
          </w:tcPr>
          <w:p>
            <w:pPr>
              <w:spacing w:after="0"/>
              <w:rPr>
                <w:sz w:val="14"/>
                <w:szCs w:val="14"/>
                <w:color w:val="auto"/>
              </w:rPr>
            </w:pPr>
          </w:p>
        </w:tc>
        <w:tc>
          <w:tcPr>
            <w:tcW w:w="84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w w:val="94"/>
              </w:rPr>
              <w:t>Corporation</w:t>
            </w:r>
          </w:p>
        </w:tc>
        <w:tc>
          <w:tcPr>
            <w:tcW w:w="0" w:type="dxa"/>
            <w:vAlign w:val="bottom"/>
          </w:tcPr>
          <w:p>
            <w:pPr>
              <w:spacing w:after="0"/>
              <w:rPr>
                <w:sz w:val="1"/>
                <w:szCs w:val="1"/>
                <w:color w:val="auto"/>
              </w:rPr>
            </w:pPr>
          </w:p>
        </w:tc>
      </w:tr>
      <w:tr>
        <w:trPr>
          <w:trHeight w:val="141"/>
        </w:trPr>
        <w:tc>
          <w:tcPr>
            <w:tcW w:w="3420" w:type="dxa"/>
            <w:vAlign w:val="bottom"/>
            <w:gridSpan w:val="2"/>
          </w:tcPr>
          <w:p>
            <w:pPr>
              <w:spacing w:after="0" w:line="141" w:lineRule="exact"/>
              <w:rPr>
                <w:sz w:val="20"/>
                <w:szCs w:val="20"/>
                <w:color w:val="auto"/>
              </w:rPr>
            </w:pPr>
            <w:r>
              <w:rPr>
                <w:rFonts w:ascii="Arial" w:cs="Arial" w:eastAsia="Arial" w:hAnsi="Arial"/>
                <w:sz w:val="14"/>
                <w:szCs w:val="14"/>
                <w:b w:val="1"/>
                <w:bCs w:val="1"/>
                <w:color w:val="auto"/>
              </w:rPr>
              <w:t>Operating Activities</w:t>
            </w:r>
          </w:p>
        </w:tc>
        <w:tc>
          <w:tcPr>
            <w:tcW w:w="32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42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86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960" w:type="dxa"/>
            <w:vAlign w:val="bottom"/>
          </w:tcPr>
          <w:p>
            <w:pPr>
              <w:spacing w:after="0"/>
              <w:rPr>
                <w:sz w:val="12"/>
                <w:szCs w:val="12"/>
                <w:color w:val="auto"/>
              </w:rPr>
            </w:pPr>
          </w:p>
        </w:tc>
        <w:tc>
          <w:tcPr>
            <w:tcW w:w="300" w:type="dxa"/>
            <w:vAlign w:val="bottom"/>
            <w:vMerge w:val="restart"/>
          </w:tcPr>
          <w:p>
            <w:pPr>
              <w:jc w:val="right"/>
              <w:spacing w:after="0"/>
              <w:rPr>
                <w:sz w:val="20"/>
                <w:szCs w:val="20"/>
                <w:color w:val="auto"/>
              </w:rPr>
            </w:pPr>
            <w:r>
              <w:rPr>
                <w:rFonts w:ascii="Arial" w:cs="Arial" w:eastAsia="Arial" w:hAnsi="Arial"/>
                <w:sz w:val="14"/>
                <w:szCs w:val="14"/>
                <w:b w:val="1"/>
                <w:bCs w:val="1"/>
                <w:color w:val="auto"/>
              </w:rPr>
              <w:t>$</w:t>
            </w:r>
          </w:p>
        </w:tc>
        <w:tc>
          <w:tcPr>
            <w:tcW w:w="840" w:type="dxa"/>
            <w:vAlign w:val="bottom"/>
            <w:vMerge w:val="restart"/>
          </w:tcPr>
          <w:p>
            <w:pPr>
              <w:jc w:val="right"/>
              <w:spacing w:after="0"/>
              <w:rPr>
                <w:sz w:val="20"/>
                <w:szCs w:val="20"/>
                <w:color w:val="auto"/>
              </w:rPr>
            </w:pPr>
            <w:r>
              <w:rPr>
                <w:rFonts w:ascii="Arial" w:cs="Arial" w:eastAsia="Arial" w:hAnsi="Arial"/>
                <w:sz w:val="14"/>
                <w:szCs w:val="14"/>
                <w:b w:val="1"/>
                <w:bCs w:val="1"/>
                <w:color w:val="auto"/>
              </w:rPr>
              <w:t>6,082</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400" w:type="dxa"/>
            <w:vAlign w:val="bottom"/>
            <w:tcBorders>
              <w:bottom w:val="single" w:sz="8" w:color="auto"/>
            </w:tcBorders>
          </w:tcPr>
          <w:p>
            <w:pPr>
              <w:ind w:left="200"/>
              <w:spacing w:after="0" w:line="149" w:lineRule="exact"/>
              <w:rPr>
                <w:sz w:val="20"/>
                <w:szCs w:val="20"/>
                <w:color w:val="auto"/>
              </w:rPr>
            </w:pPr>
            <w:r>
              <w:rPr>
                <w:rFonts w:ascii="Arial" w:cs="Arial" w:eastAsia="Arial" w:hAnsi="Arial"/>
                <w:sz w:val="14"/>
                <w:szCs w:val="14"/>
                <w:color w:val="auto"/>
              </w:rPr>
              <w:t>Net cash provided by (used in) operating activities</w:t>
            </w:r>
          </w:p>
        </w:tc>
        <w:tc>
          <w:tcPr>
            <w:tcW w:w="320" w:type="dxa"/>
            <w:vAlign w:val="bottom"/>
            <w:tcBorders>
              <w:bottom w:val="single" w:sz="8" w:color="auto"/>
            </w:tcBorders>
          </w:tcPr>
          <w:p>
            <w:pPr>
              <w:ind w:left="220"/>
              <w:spacing w:after="0" w:line="149" w:lineRule="exact"/>
              <w:rPr>
                <w:sz w:val="20"/>
                <w:szCs w:val="20"/>
                <w:color w:val="auto"/>
              </w:rPr>
            </w:pPr>
            <w:r>
              <w:rPr>
                <w:rFonts w:ascii="Arial" w:cs="Arial" w:eastAsia="Arial" w:hAnsi="Arial"/>
                <w:sz w:val="14"/>
                <w:szCs w:val="14"/>
                <w:color w:val="auto"/>
              </w:rPr>
              <w:t>$</w:t>
            </w:r>
          </w:p>
        </w:tc>
        <w:tc>
          <w:tcPr>
            <w:tcW w:w="660" w:type="dxa"/>
            <w:vAlign w:val="bottom"/>
            <w:tcBorders>
              <w:bottom w:val="single" w:sz="8" w:color="auto"/>
            </w:tcBorders>
          </w:tcPr>
          <w:p>
            <w:pPr>
              <w:jc w:val="right"/>
              <w:ind w:right="152"/>
              <w:spacing w:after="0" w:line="149" w:lineRule="exact"/>
              <w:rPr>
                <w:sz w:val="20"/>
                <w:szCs w:val="20"/>
                <w:color w:val="auto"/>
              </w:rPr>
            </w:pPr>
            <w:r>
              <w:rPr>
                <w:rFonts w:ascii="Arial" w:cs="Arial" w:eastAsia="Arial" w:hAnsi="Arial"/>
                <w:sz w:val="14"/>
                <w:szCs w:val="14"/>
                <w:color w:val="auto"/>
              </w:rPr>
              <w:t>482</w:t>
            </w:r>
          </w:p>
        </w:tc>
        <w:tc>
          <w:tcPr>
            <w:tcW w:w="280" w:type="dxa"/>
            <w:vAlign w:val="bottom"/>
            <w:tcBorders>
              <w:bottom w:val="single" w:sz="8" w:color="auto"/>
            </w:tcBorders>
          </w:tcPr>
          <w:p>
            <w:pPr>
              <w:ind w:left="180"/>
              <w:spacing w:after="0" w:line="149" w:lineRule="exact"/>
              <w:rPr>
                <w:sz w:val="20"/>
                <w:szCs w:val="20"/>
                <w:color w:val="auto"/>
              </w:rPr>
            </w:pPr>
            <w:r>
              <w:rPr>
                <w:rFonts w:ascii="Arial" w:cs="Arial" w:eastAsia="Arial" w:hAnsi="Arial"/>
                <w:sz w:val="14"/>
                <w:szCs w:val="14"/>
                <w:color w:val="auto"/>
              </w:rPr>
              <w:t>$</w:t>
            </w:r>
          </w:p>
        </w:tc>
        <w:tc>
          <w:tcPr>
            <w:tcW w:w="520" w:type="dxa"/>
            <w:vAlign w:val="bottom"/>
            <w:tcBorders>
              <w:bottom w:val="single" w:sz="8" w:color="auto"/>
            </w:tcBorders>
          </w:tcPr>
          <w:p>
            <w:pPr>
              <w:jc w:val="right"/>
              <w:ind w:right="112"/>
              <w:spacing w:after="0" w:line="149" w:lineRule="exact"/>
              <w:rPr>
                <w:sz w:val="20"/>
                <w:szCs w:val="20"/>
                <w:color w:val="auto"/>
              </w:rPr>
            </w:pPr>
            <w:r>
              <w:rPr>
                <w:rFonts w:ascii="Arial" w:cs="Arial" w:eastAsia="Arial" w:hAnsi="Arial"/>
                <w:sz w:val="14"/>
                <w:szCs w:val="14"/>
                <w:color w:val="auto"/>
                <w:w w:val="97"/>
              </w:rPr>
              <w:t>(143)</w:t>
            </w:r>
          </w:p>
        </w:tc>
        <w:tc>
          <w:tcPr>
            <w:tcW w:w="280" w:type="dxa"/>
            <w:vAlign w:val="bottom"/>
            <w:tcBorders>
              <w:bottom w:val="single" w:sz="8" w:color="auto"/>
            </w:tcBorders>
          </w:tcPr>
          <w:p>
            <w:pPr>
              <w:ind w:left="160"/>
              <w:spacing w:after="0" w:line="149" w:lineRule="exact"/>
              <w:rPr>
                <w:sz w:val="20"/>
                <w:szCs w:val="20"/>
                <w:color w:val="auto"/>
              </w:rPr>
            </w:pPr>
            <w:r>
              <w:rPr>
                <w:rFonts w:ascii="Arial" w:cs="Arial" w:eastAsia="Arial" w:hAnsi="Arial"/>
                <w:sz w:val="14"/>
                <w:szCs w:val="14"/>
                <w:color w:val="auto"/>
              </w:rPr>
              <w:t>$</w:t>
            </w:r>
          </w:p>
        </w:tc>
        <w:tc>
          <w:tcPr>
            <w:tcW w:w="520" w:type="dxa"/>
            <w:vAlign w:val="bottom"/>
            <w:tcBorders>
              <w:bottom w:val="single" w:sz="8" w:color="auto"/>
            </w:tcBorders>
          </w:tcPr>
          <w:p>
            <w:pPr>
              <w:jc w:val="right"/>
              <w:ind w:right="112"/>
              <w:spacing w:after="0" w:line="149" w:lineRule="exact"/>
              <w:rPr>
                <w:sz w:val="20"/>
                <w:szCs w:val="20"/>
                <w:color w:val="auto"/>
              </w:rPr>
            </w:pPr>
            <w:r>
              <w:rPr>
                <w:rFonts w:ascii="Arial" w:cs="Arial" w:eastAsia="Arial" w:hAnsi="Arial"/>
                <w:sz w:val="14"/>
                <w:szCs w:val="14"/>
                <w:color w:val="auto"/>
                <w:w w:val="97"/>
              </w:rPr>
              <w:t>(155)</w:t>
            </w:r>
          </w:p>
        </w:tc>
        <w:tc>
          <w:tcPr>
            <w:tcW w:w="260" w:type="dxa"/>
            <w:vAlign w:val="bottom"/>
            <w:tcBorders>
              <w:bottom w:val="single" w:sz="8" w:color="auto"/>
            </w:tcBorders>
          </w:tcPr>
          <w:p>
            <w:pPr>
              <w:jc w:val="right"/>
              <w:spacing w:after="0" w:line="149" w:lineRule="exact"/>
              <w:rPr>
                <w:sz w:val="20"/>
                <w:szCs w:val="20"/>
                <w:color w:val="auto"/>
              </w:rPr>
            </w:pPr>
            <w:r>
              <w:rPr>
                <w:rFonts w:ascii="Arial" w:cs="Arial" w:eastAsia="Arial" w:hAnsi="Arial"/>
                <w:sz w:val="14"/>
                <w:szCs w:val="14"/>
                <w:color w:val="auto"/>
              </w:rPr>
              <w:t>$</w:t>
            </w:r>
          </w:p>
        </w:tc>
        <w:tc>
          <w:tcPr>
            <w:tcW w:w="740" w:type="dxa"/>
            <w:vAlign w:val="bottom"/>
            <w:tcBorders>
              <w:bottom w:val="single" w:sz="8" w:color="auto"/>
            </w:tcBorders>
          </w:tcPr>
          <w:p>
            <w:pPr>
              <w:jc w:val="right"/>
              <w:ind w:right="92"/>
              <w:spacing w:after="0" w:line="149" w:lineRule="exact"/>
              <w:rPr>
                <w:sz w:val="20"/>
                <w:szCs w:val="20"/>
                <w:color w:val="auto"/>
              </w:rPr>
            </w:pPr>
            <w:r>
              <w:rPr>
                <w:rFonts w:ascii="Arial" w:cs="Arial" w:eastAsia="Arial" w:hAnsi="Arial"/>
                <w:sz w:val="14"/>
                <w:szCs w:val="14"/>
                <w:color w:val="auto"/>
              </w:rPr>
              <w:t>(478)</w:t>
            </w:r>
          </w:p>
        </w:tc>
        <w:tc>
          <w:tcPr>
            <w:tcW w:w="420" w:type="dxa"/>
            <w:vAlign w:val="bottom"/>
            <w:tcBorders>
              <w:bottom w:val="single" w:sz="8" w:color="auto"/>
            </w:tcBorders>
          </w:tcPr>
          <w:p>
            <w:pPr>
              <w:ind w:left="180"/>
              <w:spacing w:after="0" w:line="149" w:lineRule="exact"/>
              <w:rPr>
                <w:sz w:val="20"/>
                <w:szCs w:val="20"/>
                <w:color w:val="auto"/>
              </w:rPr>
            </w:pPr>
            <w:r>
              <w:rPr>
                <w:rFonts w:ascii="Arial" w:cs="Arial" w:eastAsia="Arial" w:hAnsi="Arial"/>
                <w:sz w:val="14"/>
                <w:szCs w:val="14"/>
                <w:color w:val="auto"/>
              </w:rPr>
              <w:t>$</w:t>
            </w:r>
          </w:p>
        </w:tc>
        <w:tc>
          <w:tcPr>
            <w:tcW w:w="520" w:type="dxa"/>
            <w:vAlign w:val="bottom"/>
            <w:tcBorders>
              <w:bottom w:val="single" w:sz="8" w:color="auto"/>
            </w:tcBorders>
          </w:tcPr>
          <w:p>
            <w:pPr>
              <w:jc w:val="right"/>
              <w:ind w:right="152"/>
              <w:spacing w:after="0" w:line="149" w:lineRule="exact"/>
              <w:rPr>
                <w:sz w:val="20"/>
                <w:szCs w:val="20"/>
                <w:color w:val="auto"/>
              </w:rPr>
            </w:pPr>
            <w:r>
              <w:rPr>
                <w:rFonts w:ascii="Arial" w:cs="Arial" w:eastAsia="Arial" w:hAnsi="Arial"/>
                <w:sz w:val="14"/>
                <w:szCs w:val="14"/>
                <w:color w:val="auto"/>
              </w:rPr>
              <w:t>8</w:t>
            </w:r>
          </w:p>
        </w:tc>
        <w:tc>
          <w:tcPr>
            <w:tcW w:w="280" w:type="dxa"/>
            <w:vAlign w:val="bottom"/>
            <w:tcBorders>
              <w:bottom w:val="single" w:sz="8" w:color="auto"/>
            </w:tcBorders>
          </w:tcPr>
          <w:p>
            <w:pPr>
              <w:jc w:val="right"/>
              <w:spacing w:after="0" w:line="149" w:lineRule="exact"/>
              <w:rPr>
                <w:sz w:val="20"/>
                <w:szCs w:val="20"/>
                <w:color w:val="auto"/>
              </w:rPr>
            </w:pPr>
            <w:r>
              <w:rPr>
                <w:rFonts w:ascii="Arial" w:cs="Arial" w:eastAsia="Arial" w:hAnsi="Arial"/>
                <w:sz w:val="14"/>
                <w:szCs w:val="14"/>
                <w:color w:val="auto"/>
              </w:rPr>
              <w:t>$</w:t>
            </w:r>
          </w:p>
        </w:tc>
        <w:tc>
          <w:tcPr>
            <w:tcW w:w="860" w:type="dxa"/>
            <w:vAlign w:val="bottom"/>
            <w:tcBorders>
              <w:bottom w:val="single" w:sz="8" w:color="auto"/>
            </w:tcBorders>
          </w:tcPr>
          <w:p>
            <w:pPr>
              <w:jc w:val="right"/>
              <w:ind w:right="152"/>
              <w:spacing w:after="0" w:line="149" w:lineRule="exact"/>
              <w:rPr>
                <w:sz w:val="20"/>
                <w:szCs w:val="20"/>
                <w:color w:val="auto"/>
              </w:rPr>
            </w:pPr>
            <w:r>
              <w:rPr>
                <w:rFonts w:ascii="Arial" w:cs="Arial" w:eastAsia="Arial" w:hAnsi="Arial"/>
                <w:sz w:val="14"/>
                <w:szCs w:val="14"/>
                <w:color w:val="auto"/>
              </w:rPr>
              <w:t>6,368</w:t>
            </w:r>
          </w:p>
        </w:tc>
        <w:tc>
          <w:tcPr>
            <w:tcW w:w="240" w:type="dxa"/>
            <w:vAlign w:val="bottom"/>
            <w:tcBorders>
              <w:bottom w:val="single" w:sz="8" w:color="auto"/>
            </w:tcBorders>
          </w:tcPr>
          <w:p>
            <w:pPr>
              <w:jc w:val="right"/>
              <w:spacing w:after="0" w:line="149" w:lineRule="exact"/>
              <w:rPr>
                <w:sz w:val="20"/>
                <w:szCs w:val="20"/>
                <w:color w:val="auto"/>
              </w:rPr>
            </w:pPr>
            <w:r>
              <w:rPr>
                <w:rFonts w:ascii="Arial" w:cs="Arial" w:eastAsia="Arial" w:hAnsi="Arial"/>
                <w:sz w:val="14"/>
                <w:szCs w:val="14"/>
                <w:color w:val="auto"/>
              </w:rPr>
              <w:t>$</w:t>
            </w:r>
          </w:p>
        </w:tc>
        <w:tc>
          <w:tcPr>
            <w:tcW w:w="960" w:type="dxa"/>
            <w:vAlign w:val="bottom"/>
            <w:tcBorders>
              <w:bottom w:val="single" w:sz="8" w:color="auto"/>
            </w:tcBorders>
          </w:tcPr>
          <w:p>
            <w:pPr>
              <w:jc w:val="right"/>
              <w:ind w:right="152"/>
              <w:spacing w:after="0" w:line="149" w:lineRule="exact"/>
              <w:rPr>
                <w:sz w:val="20"/>
                <w:szCs w:val="20"/>
                <w:color w:val="auto"/>
              </w:rPr>
            </w:pPr>
            <w:r>
              <w:rPr>
                <w:rFonts w:ascii="Arial" w:cs="Arial" w:eastAsia="Arial" w:hAnsi="Arial"/>
                <w:sz w:val="14"/>
                <w:szCs w:val="14"/>
                <w:color w:val="auto"/>
              </w:rPr>
              <w:t>—</w:t>
            </w:r>
          </w:p>
        </w:tc>
        <w:tc>
          <w:tcPr>
            <w:tcW w:w="300" w:type="dxa"/>
            <w:vAlign w:val="bottom"/>
            <w:tcBorders>
              <w:bottom w:val="single" w:sz="8" w:color="auto"/>
            </w:tcBorders>
            <w:vMerge w:val="continue"/>
          </w:tcPr>
          <w:p>
            <w:pPr>
              <w:spacing w:after="0"/>
              <w:rPr>
                <w:sz w:val="12"/>
                <w:szCs w:val="12"/>
                <w:color w:val="auto"/>
              </w:rPr>
            </w:pPr>
          </w:p>
        </w:tc>
        <w:tc>
          <w:tcPr>
            <w:tcW w:w="840" w:type="dxa"/>
            <w:vAlign w:val="bottom"/>
            <w:tcBorders>
              <w:bottom w:val="single" w:sz="8" w:color="auto"/>
            </w:tcBorders>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41"/>
        </w:trPr>
        <w:tc>
          <w:tcPr>
            <w:tcW w:w="20" w:type="dxa"/>
            <w:vAlign w:val="bottom"/>
          </w:tcPr>
          <w:p>
            <w:pPr>
              <w:spacing w:after="0"/>
              <w:rPr>
                <w:sz w:val="12"/>
                <w:szCs w:val="12"/>
                <w:color w:val="auto"/>
              </w:rPr>
            </w:pPr>
          </w:p>
        </w:tc>
        <w:tc>
          <w:tcPr>
            <w:tcW w:w="3400" w:type="dxa"/>
            <w:vAlign w:val="bottom"/>
          </w:tcPr>
          <w:p>
            <w:pPr>
              <w:spacing w:after="0" w:line="141" w:lineRule="exact"/>
              <w:rPr>
                <w:sz w:val="20"/>
                <w:szCs w:val="20"/>
                <w:color w:val="auto"/>
              </w:rPr>
            </w:pPr>
            <w:r>
              <w:rPr>
                <w:rFonts w:ascii="Arial" w:cs="Arial" w:eastAsia="Arial" w:hAnsi="Arial"/>
                <w:sz w:val="14"/>
                <w:szCs w:val="14"/>
                <w:b w:val="1"/>
                <w:bCs w:val="1"/>
                <w:color w:val="auto"/>
              </w:rPr>
              <w:t>Financing Activities</w:t>
            </w:r>
          </w:p>
        </w:tc>
        <w:tc>
          <w:tcPr>
            <w:tcW w:w="32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42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86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96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840" w:type="dxa"/>
            <w:vAlign w:val="bottom"/>
            <w:vMerge w:val="restart"/>
          </w:tcPr>
          <w:p>
            <w:pPr>
              <w:jc w:val="right"/>
              <w:spacing w:after="0"/>
              <w:rPr>
                <w:sz w:val="20"/>
                <w:szCs w:val="20"/>
                <w:color w:val="auto"/>
              </w:rPr>
            </w:pPr>
            <w:r>
              <w:rPr>
                <w:rFonts w:ascii="Arial" w:cs="Arial" w:eastAsia="Arial" w:hAnsi="Arial"/>
                <w:sz w:val="14"/>
                <w:szCs w:val="14"/>
                <w:b w:val="1"/>
                <w:bCs w:val="1"/>
                <w:color w:val="auto"/>
              </w:rPr>
              <w:t>1,030</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3400" w:type="dxa"/>
            <w:vAlign w:val="bottom"/>
          </w:tcPr>
          <w:p>
            <w:pPr>
              <w:ind w:left="200"/>
              <w:spacing w:after="0" w:line="133" w:lineRule="exact"/>
              <w:rPr>
                <w:sz w:val="20"/>
                <w:szCs w:val="20"/>
                <w:color w:val="auto"/>
              </w:rPr>
            </w:pPr>
            <w:r>
              <w:rPr>
                <w:rFonts w:ascii="Arial" w:cs="Arial" w:eastAsia="Arial" w:hAnsi="Arial"/>
                <w:sz w:val="14"/>
                <w:szCs w:val="14"/>
                <w:color w:val="auto"/>
              </w:rPr>
              <w:t>Proceeds from borrowings</w:t>
            </w:r>
          </w:p>
        </w:tc>
        <w:tc>
          <w:tcPr>
            <w:tcW w:w="320" w:type="dxa"/>
            <w:vAlign w:val="bottom"/>
          </w:tcPr>
          <w:p>
            <w:pPr>
              <w:spacing w:after="0"/>
              <w:rPr>
                <w:sz w:val="11"/>
                <w:szCs w:val="11"/>
                <w:color w:val="auto"/>
              </w:rPr>
            </w:pPr>
          </w:p>
        </w:tc>
        <w:tc>
          <w:tcPr>
            <w:tcW w:w="660" w:type="dxa"/>
            <w:vAlign w:val="bottom"/>
          </w:tcPr>
          <w:p>
            <w:pPr>
              <w:jc w:val="right"/>
              <w:ind w:right="152"/>
              <w:spacing w:after="0" w:line="133" w:lineRule="exact"/>
              <w:rPr>
                <w:sz w:val="20"/>
                <w:szCs w:val="20"/>
                <w:color w:val="auto"/>
              </w:rPr>
            </w:pPr>
            <w:r>
              <w:rPr>
                <w:rFonts w:ascii="Arial" w:cs="Arial" w:eastAsia="Arial" w:hAnsi="Arial"/>
                <w:sz w:val="14"/>
                <w:szCs w:val="14"/>
                <w:color w:val="auto"/>
              </w:rPr>
              <w:t>620</w:t>
            </w:r>
          </w:p>
        </w:tc>
        <w:tc>
          <w:tcPr>
            <w:tcW w:w="280" w:type="dxa"/>
            <w:vAlign w:val="bottom"/>
          </w:tcPr>
          <w:p>
            <w:pPr>
              <w:spacing w:after="0"/>
              <w:rPr>
                <w:sz w:val="11"/>
                <w:szCs w:val="11"/>
                <w:color w:val="auto"/>
              </w:rPr>
            </w:pPr>
          </w:p>
        </w:tc>
        <w:tc>
          <w:tcPr>
            <w:tcW w:w="520" w:type="dxa"/>
            <w:vAlign w:val="bottom"/>
          </w:tcPr>
          <w:p>
            <w:pPr>
              <w:jc w:val="right"/>
              <w:ind w:right="152"/>
              <w:spacing w:after="0" w:line="133" w:lineRule="exact"/>
              <w:rPr>
                <w:sz w:val="20"/>
                <w:szCs w:val="20"/>
                <w:color w:val="auto"/>
              </w:rPr>
            </w:pPr>
            <w:r>
              <w:rPr>
                <w:rFonts w:ascii="Arial" w:cs="Arial" w:eastAsia="Arial" w:hAnsi="Arial"/>
                <w:sz w:val="14"/>
                <w:szCs w:val="14"/>
                <w:color w:val="auto"/>
              </w:rPr>
              <w:t>—</w:t>
            </w:r>
          </w:p>
        </w:tc>
        <w:tc>
          <w:tcPr>
            <w:tcW w:w="280" w:type="dxa"/>
            <w:vAlign w:val="bottom"/>
          </w:tcPr>
          <w:p>
            <w:pPr>
              <w:spacing w:after="0"/>
              <w:rPr>
                <w:sz w:val="11"/>
                <w:szCs w:val="11"/>
                <w:color w:val="auto"/>
              </w:rPr>
            </w:pPr>
          </w:p>
        </w:tc>
        <w:tc>
          <w:tcPr>
            <w:tcW w:w="520" w:type="dxa"/>
            <w:vAlign w:val="bottom"/>
          </w:tcPr>
          <w:p>
            <w:pPr>
              <w:jc w:val="right"/>
              <w:ind w:right="152"/>
              <w:spacing w:after="0" w:line="133" w:lineRule="exact"/>
              <w:rPr>
                <w:sz w:val="20"/>
                <w:szCs w:val="20"/>
                <w:color w:val="auto"/>
              </w:rPr>
            </w:pPr>
            <w:r>
              <w:rPr>
                <w:rFonts w:ascii="Arial" w:cs="Arial" w:eastAsia="Arial" w:hAnsi="Arial"/>
                <w:sz w:val="14"/>
                <w:szCs w:val="14"/>
                <w:color w:val="auto"/>
              </w:rPr>
              <w:t>400</w:t>
            </w:r>
          </w:p>
        </w:tc>
        <w:tc>
          <w:tcPr>
            <w:tcW w:w="260" w:type="dxa"/>
            <w:vAlign w:val="bottom"/>
          </w:tcPr>
          <w:p>
            <w:pPr>
              <w:spacing w:after="0"/>
              <w:rPr>
                <w:sz w:val="11"/>
                <w:szCs w:val="11"/>
                <w:color w:val="auto"/>
              </w:rPr>
            </w:pPr>
          </w:p>
        </w:tc>
        <w:tc>
          <w:tcPr>
            <w:tcW w:w="740" w:type="dxa"/>
            <w:vAlign w:val="bottom"/>
          </w:tcPr>
          <w:p>
            <w:pPr>
              <w:jc w:val="right"/>
              <w:ind w:right="152"/>
              <w:spacing w:after="0" w:line="133" w:lineRule="exact"/>
              <w:rPr>
                <w:sz w:val="20"/>
                <w:szCs w:val="20"/>
                <w:color w:val="auto"/>
              </w:rPr>
            </w:pPr>
            <w:r>
              <w:rPr>
                <w:rFonts w:ascii="Arial" w:cs="Arial" w:eastAsia="Arial" w:hAnsi="Arial"/>
                <w:sz w:val="14"/>
                <w:szCs w:val="14"/>
                <w:color w:val="auto"/>
              </w:rPr>
              <w:t>—</w:t>
            </w:r>
          </w:p>
        </w:tc>
        <w:tc>
          <w:tcPr>
            <w:tcW w:w="420" w:type="dxa"/>
            <w:vAlign w:val="bottom"/>
          </w:tcPr>
          <w:p>
            <w:pPr>
              <w:spacing w:after="0"/>
              <w:rPr>
                <w:sz w:val="11"/>
                <w:szCs w:val="11"/>
                <w:color w:val="auto"/>
              </w:rPr>
            </w:pPr>
          </w:p>
        </w:tc>
        <w:tc>
          <w:tcPr>
            <w:tcW w:w="520" w:type="dxa"/>
            <w:vAlign w:val="bottom"/>
          </w:tcPr>
          <w:p>
            <w:pPr>
              <w:jc w:val="right"/>
              <w:ind w:right="152"/>
              <w:spacing w:after="0" w:line="133" w:lineRule="exact"/>
              <w:rPr>
                <w:sz w:val="20"/>
                <w:szCs w:val="20"/>
                <w:color w:val="auto"/>
              </w:rPr>
            </w:pPr>
            <w:r>
              <w:rPr>
                <w:rFonts w:ascii="Arial" w:cs="Arial" w:eastAsia="Arial" w:hAnsi="Arial"/>
                <w:sz w:val="14"/>
                <w:szCs w:val="14"/>
                <w:color w:val="auto"/>
              </w:rPr>
              <w:t>—</w:t>
            </w:r>
          </w:p>
        </w:tc>
        <w:tc>
          <w:tcPr>
            <w:tcW w:w="280" w:type="dxa"/>
            <w:vAlign w:val="bottom"/>
          </w:tcPr>
          <w:p>
            <w:pPr>
              <w:spacing w:after="0"/>
              <w:rPr>
                <w:sz w:val="11"/>
                <w:szCs w:val="11"/>
                <w:color w:val="auto"/>
              </w:rPr>
            </w:pPr>
          </w:p>
        </w:tc>
        <w:tc>
          <w:tcPr>
            <w:tcW w:w="860" w:type="dxa"/>
            <w:vAlign w:val="bottom"/>
          </w:tcPr>
          <w:p>
            <w:pPr>
              <w:jc w:val="right"/>
              <w:ind w:right="152"/>
              <w:spacing w:after="0" w:line="133" w:lineRule="exact"/>
              <w:rPr>
                <w:sz w:val="20"/>
                <w:szCs w:val="20"/>
                <w:color w:val="auto"/>
              </w:rPr>
            </w:pPr>
            <w:r>
              <w:rPr>
                <w:rFonts w:ascii="Arial" w:cs="Arial" w:eastAsia="Arial" w:hAnsi="Arial"/>
                <w:sz w:val="14"/>
                <w:szCs w:val="14"/>
                <w:color w:val="auto"/>
              </w:rPr>
              <w:t>10</w:t>
            </w:r>
          </w:p>
        </w:tc>
        <w:tc>
          <w:tcPr>
            <w:tcW w:w="240" w:type="dxa"/>
            <w:vAlign w:val="bottom"/>
          </w:tcPr>
          <w:p>
            <w:pPr>
              <w:spacing w:after="0"/>
              <w:rPr>
                <w:sz w:val="11"/>
                <w:szCs w:val="11"/>
                <w:color w:val="auto"/>
              </w:rPr>
            </w:pPr>
          </w:p>
        </w:tc>
        <w:tc>
          <w:tcPr>
            <w:tcW w:w="960" w:type="dxa"/>
            <w:vAlign w:val="bottom"/>
          </w:tcPr>
          <w:p>
            <w:pPr>
              <w:jc w:val="right"/>
              <w:ind w:right="152"/>
              <w:spacing w:after="0" w:line="133" w:lineRule="exact"/>
              <w:rPr>
                <w:sz w:val="20"/>
                <w:szCs w:val="20"/>
                <w:color w:val="auto"/>
              </w:rPr>
            </w:pPr>
            <w:r>
              <w:rPr>
                <w:rFonts w:ascii="Arial" w:cs="Arial" w:eastAsia="Arial" w:hAnsi="Arial"/>
                <w:sz w:val="14"/>
                <w:szCs w:val="14"/>
                <w:color w:val="auto"/>
              </w:rPr>
              <w:t>—</w:t>
            </w:r>
          </w:p>
        </w:tc>
        <w:tc>
          <w:tcPr>
            <w:tcW w:w="300" w:type="dxa"/>
            <w:vAlign w:val="bottom"/>
          </w:tcPr>
          <w:p>
            <w:pPr>
              <w:spacing w:after="0"/>
              <w:rPr>
                <w:sz w:val="11"/>
                <w:szCs w:val="11"/>
                <w:color w:val="auto"/>
              </w:rPr>
            </w:pPr>
          </w:p>
        </w:tc>
        <w:tc>
          <w:tcPr>
            <w:tcW w:w="840" w:type="dxa"/>
            <w:vAlign w:val="bottom"/>
            <w:vMerge w:val="continue"/>
          </w:tcPr>
          <w:p>
            <w:pPr>
              <w:spacing w:after="0"/>
              <w:rPr>
                <w:sz w:val="11"/>
                <w:szCs w:val="11"/>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400" w:type="dxa"/>
            <w:vAlign w:val="bottom"/>
          </w:tcPr>
          <w:p>
            <w:pPr>
              <w:ind w:left="200"/>
              <w:spacing w:after="0" w:line="149" w:lineRule="exact"/>
              <w:rPr>
                <w:sz w:val="20"/>
                <w:szCs w:val="20"/>
                <w:color w:val="auto"/>
              </w:rPr>
            </w:pPr>
            <w:r>
              <w:rPr>
                <w:rFonts w:ascii="Arial" w:cs="Arial" w:eastAsia="Arial" w:hAnsi="Arial"/>
                <w:sz w:val="14"/>
                <w:szCs w:val="14"/>
                <w:color w:val="auto"/>
              </w:rPr>
              <w:t>Retirements and repayments of debt</w:t>
            </w:r>
          </w:p>
        </w:tc>
        <w:tc>
          <w:tcPr>
            <w:tcW w:w="320" w:type="dxa"/>
            <w:vAlign w:val="bottom"/>
          </w:tcPr>
          <w:p>
            <w:pPr>
              <w:spacing w:after="0"/>
              <w:rPr>
                <w:sz w:val="12"/>
                <w:szCs w:val="12"/>
                <w:color w:val="auto"/>
              </w:rPr>
            </w:pPr>
          </w:p>
        </w:tc>
        <w:tc>
          <w:tcPr>
            <w:tcW w:w="660" w:type="dxa"/>
            <w:vAlign w:val="bottom"/>
          </w:tcPr>
          <w:p>
            <w:pPr>
              <w:jc w:val="right"/>
              <w:ind w:right="112"/>
              <w:spacing w:after="0" w:line="149" w:lineRule="exact"/>
              <w:rPr>
                <w:sz w:val="20"/>
                <w:szCs w:val="20"/>
                <w:color w:val="auto"/>
              </w:rPr>
            </w:pPr>
            <w:r>
              <w:rPr>
                <w:rFonts w:ascii="Arial" w:cs="Arial" w:eastAsia="Arial" w:hAnsi="Arial"/>
                <w:sz w:val="14"/>
                <w:szCs w:val="14"/>
                <w:color w:val="auto"/>
              </w:rPr>
              <w:t>(300)</w:t>
            </w:r>
          </w:p>
        </w:tc>
        <w:tc>
          <w:tcPr>
            <w:tcW w:w="280" w:type="dxa"/>
            <w:vAlign w:val="bottom"/>
          </w:tcPr>
          <w:p>
            <w:pPr>
              <w:spacing w:after="0"/>
              <w:rPr>
                <w:sz w:val="12"/>
                <w:szCs w:val="12"/>
                <w:color w:val="auto"/>
              </w:rPr>
            </w:pPr>
          </w:p>
        </w:tc>
        <w:tc>
          <w:tcPr>
            <w:tcW w:w="520" w:type="dxa"/>
            <w:vAlign w:val="bottom"/>
          </w:tcPr>
          <w:p>
            <w:pPr>
              <w:jc w:val="right"/>
              <w:ind w:right="112"/>
              <w:spacing w:after="0" w:line="149" w:lineRule="exact"/>
              <w:rPr>
                <w:sz w:val="20"/>
                <w:szCs w:val="20"/>
                <w:color w:val="auto"/>
              </w:rPr>
            </w:pPr>
            <w:r>
              <w:rPr>
                <w:rFonts w:ascii="Arial" w:cs="Arial" w:eastAsia="Arial" w:hAnsi="Arial"/>
                <w:sz w:val="14"/>
                <w:szCs w:val="14"/>
                <w:color w:val="auto"/>
                <w:w w:val="97"/>
              </w:rPr>
              <w:t>(561)</w:t>
            </w:r>
          </w:p>
        </w:tc>
        <w:tc>
          <w:tcPr>
            <w:tcW w:w="280" w:type="dxa"/>
            <w:vAlign w:val="bottom"/>
          </w:tcPr>
          <w:p>
            <w:pPr>
              <w:spacing w:after="0"/>
              <w:rPr>
                <w:sz w:val="12"/>
                <w:szCs w:val="12"/>
                <w:color w:val="auto"/>
              </w:rPr>
            </w:pPr>
          </w:p>
        </w:tc>
        <w:tc>
          <w:tcPr>
            <w:tcW w:w="520" w:type="dxa"/>
            <w:vAlign w:val="bottom"/>
          </w:tcPr>
          <w:p>
            <w:pPr>
              <w:jc w:val="right"/>
              <w:ind w:right="112"/>
              <w:spacing w:after="0" w:line="149" w:lineRule="exact"/>
              <w:rPr>
                <w:sz w:val="20"/>
                <w:szCs w:val="20"/>
                <w:color w:val="auto"/>
              </w:rPr>
            </w:pPr>
            <w:r>
              <w:rPr>
                <w:rFonts w:ascii="Arial" w:cs="Arial" w:eastAsia="Arial" w:hAnsi="Arial"/>
                <w:sz w:val="14"/>
                <w:szCs w:val="14"/>
                <w:color w:val="auto"/>
                <w:w w:val="97"/>
              </w:rPr>
              <w:t>(400)</w:t>
            </w:r>
          </w:p>
        </w:tc>
        <w:tc>
          <w:tcPr>
            <w:tcW w:w="260" w:type="dxa"/>
            <w:vAlign w:val="bottom"/>
          </w:tcPr>
          <w:p>
            <w:pPr>
              <w:spacing w:after="0"/>
              <w:rPr>
                <w:sz w:val="12"/>
                <w:szCs w:val="12"/>
                <w:color w:val="auto"/>
              </w:rPr>
            </w:pPr>
          </w:p>
        </w:tc>
        <w:tc>
          <w:tcPr>
            <w:tcW w:w="740" w:type="dxa"/>
            <w:vAlign w:val="bottom"/>
          </w:tcPr>
          <w:p>
            <w:pPr>
              <w:jc w:val="right"/>
              <w:ind w:right="92"/>
              <w:spacing w:after="0" w:line="149" w:lineRule="exact"/>
              <w:rPr>
                <w:sz w:val="20"/>
                <w:szCs w:val="20"/>
                <w:color w:val="auto"/>
              </w:rPr>
            </w:pPr>
            <w:r>
              <w:rPr>
                <w:rFonts w:ascii="Arial" w:cs="Arial" w:eastAsia="Arial" w:hAnsi="Arial"/>
                <w:sz w:val="14"/>
                <w:szCs w:val="14"/>
                <w:color w:val="auto"/>
              </w:rPr>
              <w:t>(306)</w:t>
            </w:r>
          </w:p>
        </w:tc>
        <w:tc>
          <w:tcPr>
            <w:tcW w:w="420" w:type="dxa"/>
            <w:vAlign w:val="bottom"/>
          </w:tcPr>
          <w:p>
            <w:pPr>
              <w:spacing w:after="0"/>
              <w:rPr>
                <w:sz w:val="12"/>
                <w:szCs w:val="12"/>
                <w:color w:val="auto"/>
              </w:rPr>
            </w:pPr>
          </w:p>
        </w:tc>
        <w:tc>
          <w:tcPr>
            <w:tcW w:w="520" w:type="dxa"/>
            <w:vAlign w:val="bottom"/>
          </w:tcPr>
          <w:p>
            <w:pPr>
              <w:jc w:val="right"/>
              <w:ind w:right="152"/>
              <w:spacing w:after="0" w:line="149" w:lineRule="exact"/>
              <w:rPr>
                <w:sz w:val="20"/>
                <w:szCs w:val="20"/>
                <w:color w:val="auto"/>
              </w:rPr>
            </w:pPr>
            <w:r>
              <w:rPr>
                <w:rFonts w:ascii="Arial" w:cs="Arial" w:eastAsia="Arial" w:hAnsi="Arial"/>
                <w:sz w:val="14"/>
                <w:szCs w:val="14"/>
                <w:color w:val="auto"/>
              </w:rPr>
              <w:t>—</w:t>
            </w:r>
          </w:p>
        </w:tc>
        <w:tc>
          <w:tcPr>
            <w:tcW w:w="280" w:type="dxa"/>
            <w:vAlign w:val="bottom"/>
          </w:tcPr>
          <w:p>
            <w:pPr>
              <w:spacing w:after="0"/>
              <w:rPr>
                <w:sz w:val="12"/>
                <w:szCs w:val="12"/>
                <w:color w:val="auto"/>
              </w:rPr>
            </w:pPr>
          </w:p>
        </w:tc>
        <w:tc>
          <w:tcPr>
            <w:tcW w:w="860" w:type="dxa"/>
            <w:vAlign w:val="bottom"/>
          </w:tcPr>
          <w:p>
            <w:pPr>
              <w:jc w:val="right"/>
              <w:ind w:right="112"/>
              <w:spacing w:after="0" w:line="149" w:lineRule="exact"/>
              <w:rPr>
                <w:sz w:val="20"/>
                <w:szCs w:val="20"/>
                <w:color w:val="auto"/>
              </w:rPr>
            </w:pPr>
            <w:r>
              <w:rPr>
                <w:rFonts w:ascii="Arial" w:cs="Arial" w:eastAsia="Arial" w:hAnsi="Arial"/>
                <w:sz w:val="14"/>
                <w:szCs w:val="14"/>
                <w:color w:val="auto"/>
              </w:rPr>
              <w:t>(756)</w:t>
            </w:r>
          </w:p>
        </w:tc>
        <w:tc>
          <w:tcPr>
            <w:tcW w:w="240" w:type="dxa"/>
            <w:vAlign w:val="bottom"/>
          </w:tcPr>
          <w:p>
            <w:pPr>
              <w:spacing w:after="0"/>
              <w:rPr>
                <w:sz w:val="12"/>
                <w:szCs w:val="12"/>
                <w:color w:val="auto"/>
              </w:rPr>
            </w:pPr>
          </w:p>
        </w:tc>
        <w:tc>
          <w:tcPr>
            <w:tcW w:w="960" w:type="dxa"/>
            <w:vAlign w:val="bottom"/>
          </w:tcPr>
          <w:p>
            <w:pPr>
              <w:jc w:val="right"/>
              <w:ind w:right="152"/>
              <w:spacing w:after="0" w:line="149" w:lineRule="exact"/>
              <w:rPr>
                <w:sz w:val="20"/>
                <w:szCs w:val="20"/>
                <w:color w:val="auto"/>
              </w:rPr>
            </w:pPr>
            <w:r>
              <w:rPr>
                <w:rFonts w:ascii="Arial" w:cs="Arial" w:eastAsia="Arial" w:hAnsi="Arial"/>
                <w:sz w:val="14"/>
                <w:szCs w:val="14"/>
                <w:color w:val="auto"/>
              </w:rPr>
              <w:t>—</w:t>
            </w:r>
          </w:p>
        </w:tc>
        <w:tc>
          <w:tcPr>
            <w:tcW w:w="300" w:type="dxa"/>
            <w:vAlign w:val="bottom"/>
          </w:tcPr>
          <w:p>
            <w:pPr>
              <w:spacing w:after="0"/>
              <w:rPr>
                <w:sz w:val="12"/>
                <w:szCs w:val="12"/>
                <w:color w:val="auto"/>
              </w:rPr>
            </w:pPr>
          </w:p>
        </w:tc>
        <w:tc>
          <w:tcPr>
            <w:tcW w:w="840" w:type="dxa"/>
            <w:vAlign w:val="bottom"/>
          </w:tcPr>
          <w:p>
            <w:pPr>
              <w:jc w:val="right"/>
              <w:spacing w:after="0" w:line="149" w:lineRule="exact"/>
              <w:rPr>
                <w:sz w:val="20"/>
                <w:szCs w:val="20"/>
                <w:color w:val="auto"/>
              </w:rPr>
            </w:pPr>
            <w:r>
              <w:rPr>
                <w:rFonts w:ascii="Arial" w:cs="Arial" w:eastAsia="Arial" w:hAnsi="Arial"/>
                <w:sz w:val="14"/>
                <w:szCs w:val="14"/>
                <w:b w:val="1"/>
                <w:bCs w:val="1"/>
                <w:color w:val="auto"/>
              </w:rPr>
              <w:t>(2,323)</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400" w:type="dxa"/>
            <w:vAlign w:val="bottom"/>
          </w:tcPr>
          <w:p>
            <w:pPr>
              <w:ind w:left="200"/>
              <w:spacing w:after="0" w:line="149" w:lineRule="exact"/>
              <w:rPr>
                <w:sz w:val="20"/>
                <w:szCs w:val="20"/>
                <w:color w:val="auto"/>
              </w:rPr>
            </w:pPr>
            <w:r>
              <w:rPr>
                <w:rFonts w:ascii="Arial" w:cs="Arial" w:eastAsia="Arial" w:hAnsi="Arial"/>
                <w:sz w:val="14"/>
                <w:szCs w:val="14"/>
                <w:color w:val="auto"/>
              </w:rPr>
              <w:t>Repurchases of common stock</w:t>
            </w:r>
          </w:p>
        </w:tc>
        <w:tc>
          <w:tcPr>
            <w:tcW w:w="320" w:type="dxa"/>
            <w:vAlign w:val="bottom"/>
          </w:tcPr>
          <w:p>
            <w:pPr>
              <w:spacing w:after="0"/>
              <w:rPr>
                <w:sz w:val="12"/>
                <w:szCs w:val="12"/>
                <w:color w:val="auto"/>
              </w:rPr>
            </w:pPr>
          </w:p>
        </w:tc>
        <w:tc>
          <w:tcPr>
            <w:tcW w:w="660" w:type="dxa"/>
            <w:vAlign w:val="bottom"/>
          </w:tcPr>
          <w:p>
            <w:pPr>
              <w:jc w:val="right"/>
              <w:ind w:right="112"/>
              <w:spacing w:after="0" w:line="149" w:lineRule="exact"/>
              <w:rPr>
                <w:sz w:val="20"/>
                <w:szCs w:val="20"/>
                <w:color w:val="auto"/>
              </w:rPr>
            </w:pPr>
            <w:r>
              <w:rPr>
                <w:rFonts w:ascii="Arial" w:cs="Arial" w:eastAsia="Arial" w:hAnsi="Arial"/>
                <w:sz w:val="14"/>
                <w:szCs w:val="14"/>
                <w:color w:val="auto"/>
              </w:rPr>
              <w:t>(1,361)</w:t>
            </w:r>
          </w:p>
        </w:tc>
        <w:tc>
          <w:tcPr>
            <w:tcW w:w="280" w:type="dxa"/>
            <w:vAlign w:val="bottom"/>
          </w:tcPr>
          <w:p>
            <w:pPr>
              <w:spacing w:after="0"/>
              <w:rPr>
                <w:sz w:val="12"/>
                <w:szCs w:val="12"/>
                <w:color w:val="auto"/>
              </w:rPr>
            </w:pPr>
          </w:p>
        </w:tc>
        <w:tc>
          <w:tcPr>
            <w:tcW w:w="520" w:type="dxa"/>
            <w:vAlign w:val="bottom"/>
          </w:tcPr>
          <w:p>
            <w:pPr>
              <w:jc w:val="right"/>
              <w:ind w:right="152"/>
              <w:spacing w:after="0" w:line="149" w:lineRule="exact"/>
              <w:rPr>
                <w:sz w:val="20"/>
                <w:szCs w:val="20"/>
                <w:color w:val="auto"/>
              </w:rPr>
            </w:pPr>
            <w:r>
              <w:rPr>
                <w:rFonts w:ascii="Arial" w:cs="Arial" w:eastAsia="Arial" w:hAnsi="Arial"/>
                <w:sz w:val="14"/>
                <w:szCs w:val="14"/>
                <w:color w:val="auto"/>
              </w:rPr>
              <w:t>—</w:t>
            </w:r>
          </w:p>
        </w:tc>
        <w:tc>
          <w:tcPr>
            <w:tcW w:w="280" w:type="dxa"/>
            <w:vAlign w:val="bottom"/>
          </w:tcPr>
          <w:p>
            <w:pPr>
              <w:spacing w:after="0"/>
              <w:rPr>
                <w:sz w:val="12"/>
                <w:szCs w:val="12"/>
                <w:color w:val="auto"/>
              </w:rPr>
            </w:pPr>
          </w:p>
        </w:tc>
        <w:tc>
          <w:tcPr>
            <w:tcW w:w="520" w:type="dxa"/>
            <w:vAlign w:val="bottom"/>
          </w:tcPr>
          <w:p>
            <w:pPr>
              <w:jc w:val="right"/>
              <w:ind w:right="152"/>
              <w:spacing w:after="0" w:line="149" w:lineRule="exact"/>
              <w:rPr>
                <w:sz w:val="20"/>
                <w:szCs w:val="20"/>
                <w:color w:val="auto"/>
              </w:rPr>
            </w:pPr>
            <w:r>
              <w:rPr>
                <w:rFonts w:ascii="Arial" w:cs="Arial" w:eastAsia="Arial" w:hAnsi="Arial"/>
                <w:sz w:val="14"/>
                <w:szCs w:val="14"/>
                <w:color w:val="auto"/>
              </w:rPr>
              <w:t>—</w:t>
            </w:r>
          </w:p>
        </w:tc>
        <w:tc>
          <w:tcPr>
            <w:tcW w:w="260" w:type="dxa"/>
            <w:vAlign w:val="bottom"/>
          </w:tcPr>
          <w:p>
            <w:pPr>
              <w:spacing w:after="0"/>
              <w:rPr>
                <w:sz w:val="12"/>
                <w:szCs w:val="12"/>
                <w:color w:val="auto"/>
              </w:rPr>
            </w:pPr>
          </w:p>
        </w:tc>
        <w:tc>
          <w:tcPr>
            <w:tcW w:w="740" w:type="dxa"/>
            <w:vAlign w:val="bottom"/>
          </w:tcPr>
          <w:p>
            <w:pPr>
              <w:jc w:val="right"/>
              <w:ind w:right="152"/>
              <w:spacing w:after="0" w:line="149" w:lineRule="exact"/>
              <w:rPr>
                <w:sz w:val="20"/>
                <w:szCs w:val="20"/>
                <w:color w:val="auto"/>
              </w:rPr>
            </w:pPr>
            <w:r>
              <w:rPr>
                <w:rFonts w:ascii="Arial" w:cs="Arial" w:eastAsia="Arial" w:hAnsi="Arial"/>
                <w:sz w:val="14"/>
                <w:szCs w:val="14"/>
                <w:color w:val="auto"/>
              </w:rPr>
              <w:t>—</w:t>
            </w:r>
          </w:p>
        </w:tc>
        <w:tc>
          <w:tcPr>
            <w:tcW w:w="420" w:type="dxa"/>
            <w:vAlign w:val="bottom"/>
          </w:tcPr>
          <w:p>
            <w:pPr>
              <w:spacing w:after="0"/>
              <w:rPr>
                <w:sz w:val="12"/>
                <w:szCs w:val="12"/>
                <w:color w:val="auto"/>
              </w:rPr>
            </w:pPr>
          </w:p>
        </w:tc>
        <w:tc>
          <w:tcPr>
            <w:tcW w:w="520" w:type="dxa"/>
            <w:vAlign w:val="bottom"/>
          </w:tcPr>
          <w:p>
            <w:pPr>
              <w:jc w:val="right"/>
              <w:ind w:right="152"/>
              <w:spacing w:after="0" w:line="149" w:lineRule="exact"/>
              <w:rPr>
                <w:sz w:val="20"/>
                <w:szCs w:val="20"/>
                <w:color w:val="auto"/>
              </w:rPr>
            </w:pPr>
            <w:r>
              <w:rPr>
                <w:rFonts w:ascii="Arial" w:cs="Arial" w:eastAsia="Arial" w:hAnsi="Arial"/>
                <w:sz w:val="14"/>
                <w:szCs w:val="14"/>
                <w:color w:val="auto"/>
              </w:rPr>
              <w:t>—</w:t>
            </w:r>
          </w:p>
        </w:tc>
        <w:tc>
          <w:tcPr>
            <w:tcW w:w="280" w:type="dxa"/>
            <w:vAlign w:val="bottom"/>
          </w:tcPr>
          <w:p>
            <w:pPr>
              <w:spacing w:after="0"/>
              <w:rPr>
                <w:sz w:val="12"/>
                <w:szCs w:val="12"/>
                <w:color w:val="auto"/>
              </w:rPr>
            </w:pPr>
          </w:p>
        </w:tc>
        <w:tc>
          <w:tcPr>
            <w:tcW w:w="860" w:type="dxa"/>
            <w:vAlign w:val="bottom"/>
          </w:tcPr>
          <w:p>
            <w:pPr>
              <w:jc w:val="right"/>
              <w:ind w:right="152"/>
              <w:spacing w:after="0" w:line="149" w:lineRule="exact"/>
              <w:rPr>
                <w:sz w:val="20"/>
                <w:szCs w:val="20"/>
                <w:color w:val="auto"/>
              </w:rPr>
            </w:pPr>
            <w:r>
              <w:rPr>
                <w:rFonts w:ascii="Arial" w:cs="Arial" w:eastAsia="Arial" w:hAnsi="Arial"/>
                <w:sz w:val="14"/>
                <w:szCs w:val="14"/>
                <w:color w:val="auto"/>
              </w:rPr>
              <w:t>—</w:t>
            </w:r>
          </w:p>
        </w:tc>
        <w:tc>
          <w:tcPr>
            <w:tcW w:w="240" w:type="dxa"/>
            <w:vAlign w:val="bottom"/>
          </w:tcPr>
          <w:p>
            <w:pPr>
              <w:spacing w:after="0"/>
              <w:rPr>
                <w:sz w:val="12"/>
                <w:szCs w:val="12"/>
                <w:color w:val="auto"/>
              </w:rPr>
            </w:pPr>
          </w:p>
        </w:tc>
        <w:tc>
          <w:tcPr>
            <w:tcW w:w="960" w:type="dxa"/>
            <w:vAlign w:val="bottom"/>
          </w:tcPr>
          <w:p>
            <w:pPr>
              <w:jc w:val="right"/>
              <w:ind w:right="152"/>
              <w:spacing w:after="0" w:line="149" w:lineRule="exact"/>
              <w:rPr>
                <w:sz w:val="20"/>
                <w:szCs w:val="20"/>
                <w:color w:val="auto"/>
              </w:rPr>
            </w:pPr>
            <w:r>
              <w:rPr>
                <w:rFonts w:ascii="Arial" w:cs="Arial" w:eastAsia="Arial" w:hAnsi="Arial"/>
                <w:sz w:val="14"/>
                <w:szCs w:val="14"/>
                <w:color w:val="auto"/>
              </w:rPr>
              <w:t>—</w:t>
            </w:r>
          </w:p>
        </w:tc>
        <w:tc>
          <w:tcPr>
            <w:tcW w:w="300" w:type="dxa"/>
            <w:vAlign w:val="bottom"/>
          </w:tcPr>
          <w:p>
            <w:pPr>
              <w:spacing w:after="0"/>
              <w:rPr>
                <w:sz w:val="12"/>
                <w:szCs w:val="12"/>
                <w:color w:val="auto"/>
              </w:rPr>
            </w:pPr>
          </w:p>
        </w:tc>
        <w:tc>
          <w:tcPr>
            <w:tcW w:w="840" w:type="dxa"/>
            <w:vAlign w:val="bottom"/>
          </w:tcPr>
          <w:p>
            <w:pPr>
              <w:jc w:val="right"/>
              <w:spacing w:after="0" w:line="149" w:lineRule="exact"/>
              <w:rPr>
                <w:sz w:val="20"/>
                <w:szCs w:val="20"/>
                <w:color w:val="auto"/>
              </w:rPr>
            </w:pPr>
            <w:r>
              <w:rPr>
                <w:rFonts w:ascii="Arial" w:cs="Arial" w:eastAsia="Arial" w:hAnsi="Arial"/>
                <w:sz w:val="14"/>
                <w:szCs w:val="14"/>
                <w:b w:val="1"/>
                <w:bCs w:val="1"/>
                <w:color w:val="auto"/>
              </w:rPr>
              <w:t>(1,361)</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400" w:type="dxa"/>
            <w:vAlign w:val="bottom"/>
          </w:tcPr>
          <w:p>
            <w:pPr>
              <w:ind w:left="200"/>
              <w:spacing w:after="0" w:line="149" w:lineRule="exact"/>
              <w:rPr>
                <w:sz w:val="20"/>
                <w:szCs w:val="20"/>
                <w:color w:val="auto"/>
              </w:rPr>
            </w:pPr>
            <w:r>
              <w:rPr>
                <w:rFonts w:ascii="Arial" w:cs="Arial" w:eastAsia="Arial" w:hAnsi="Arial"/>
                <w:sz w:val="14"/>
                <w:szCs w:val="14"/>
                <w:color w:val="auto"/>
              </w:rPr>
              <w:t>Issuances of common stock</w:t>
            </w:r>
          </w:p>
        </w:tc>
        <w:tc>
          <w:tcPr>
            <w:tcW w:w="320" w:type="dxa"/>
            <w:vAlign w:val="bottom"/>
          </w:tcPr>
          <w:p>
            <w:pPr>
              <w:spacing w:after="0"/>
              <w:rPr>
                <w:sz w:val="12"/>
                <w:szCs w:val="12"/>
                <w:color w:val="auto"/>
              </w:rPr>
            </w:pPr>
          </w:p>
        </w:tc>
        <w:tc>
          <w:tcPr>
            <w:tcW w:w="660" w:type="dxa"/>
            <w:vAlign w:val="bottom"/>
          </w:tcPr>
          <w:p>
            <w:pPr>
              <w:jc w:val="right"/>
              <w:ind w:right="152"/>
              <w:spacing w:after="0" w:line="149" w:lineRule="exact"/>
              <w:rPr>
                <w:sz w:val="20"/>
                <w:szCs w:val="20"/>
                <w:color w:val="auto"/>
              </w:rPr>
            </w:pPr>
            <w:r>
              <w:rPr>
                <w:rFonts w:ascii="Arial" w:cs="Arial" w:eastAsia="Arial" w:hAnsi="Arial"/>
                <w:sz w:val="14"/>
                <w:szCs w:val="14"/>
                <w:color w:val="auto"/>
              </w:rPr>
              <w:t>113</w:t>
            </w:r>
          </w:p>
        </w:tc>
        <w:tc>
          <w:tcPr>
            <w:tcW w:w="280" w:type="dxa"/>
            <w:vAlign w:val="bottom"/>
          </w:tcPr>
          <w:p>
            <w:pPr>
              <w:spacing w:after="0"/>
              <w:rPr>
                <w:sz w:val="12"/>
                <w:szCs w:val="12"/>
                <w:color w:val="auto"/>
              </w:rPr>
            </w:pPr>
          </w:p>
        </w:tc>
        <w:tc>
          <w:tcPr>
            <w:tcW w:w="520" w:type="dxa"/>
            <w:vAlign w:val="bottom"/>
          </w:tcPr>
          <w:p>
            <w:pPr>
              <w:jc w:val="right"/>
              <w:ind w:right="152"/>
              <w:spacing w:after="0" w:line="149" w:lineRule="exact"/>
              <w:rPr>
                <w:sz w:val="20"/>
                <w:szCs w:val="20"/>
                <w:color w:val="auto"/>
              </w:rPr>
            </w:pPr>
            <w:r>
              <w:rPr>
                <w:rFonts w:ascii="Arial" w:cs="Arial" w:eastAsia="Arial" w:hAnsi="Arial"/>
                <w:sz w:val="14"/>
                <w:szCs w:val="14"/>
                <w:color w:val="auto"/>
              </w:rPr>
              <w:t>—</w:t>
            </w:r>
          </w:p>
        </w:tc>
        <w:tc>
          <w:tcPr>
            <w:tcW w:w="280" w:type="dxa"/>
            <w:vAlign w:val="bottom"/>
          </w:tcPr>
          <w:p>
            <w:pPr>
              <w:spacing w:after="0"/>
              <w:rPr>
                <w:sz w:val="12"/>
                <w:szCs w:val="12"/>
                <w:color w:val="auto"/>
              </w:rPr>
            </w:pPr>
          </w:p>
        </w:tc>
        <w:tc>
          <w:tcPr>
            <w:tcW w:w="520" w:type="dxa"/>
            <w:vAlign w:val="bottom"/>
          </w:tcPr>
          <w:p>
            <w:pPr>
              <w:jc w:val="right"/>
              <w:ind w:right="152"/>
              <w:spacing w:after="0" w:line="149" w:lineRule="exact"/>
              <w:rPr>
                <w:sz w:val="20"/>
                <w:szCs w:val="20"/>
                <w:color w:val="auto"/>
              </w:rPr>
            </w:pPr>
            <w:r>
              <w:rPr>
                <w:rFonts w:ascii="Arial" w:cs="Arial" w:eastAsia="Arial" w:hAnsi="Arial"/>
                <w:sz w:val="14"/>
                <w:szCs w:val="14"/>
                <w:color w:val="auto"/>
              </w:rPr>
              <w:t>—</w:t>
            </w:r>
          </w:p>
        </w:tc>
        <w:tc>
          <w:tcPr>
            <w:tcW w:w="260" w:type="dxa"/>
            <w:vAlign w:val="bottom"/>
          </w:tcPr>
          <w:p>
            <w:pPr>
              <w:spacing w:after="0"/>
              <w:rPr>
                <w:sz w:val="12"/>
                <w:szCs w:val="12"/>
                <w:color w:val="auto"/>
              </w:rPr>
            </w:pPr>
          </w:p>
        </w:tc>
        <w:tc>
          <w:tcPr>
            <w:tcW w:w="740" w:type="dxa"/>
            <w:vAlign w:val="bottom"/>
          </w:tcPr>
          <w:p>
            <w:pPr>
              <w:jc w:val="right"/>
              <w:ind w:right="152"/>
              <w:spacing w:after="0" w:line="149" w:lineRule="exact"/>
              <w:rPr>
                <w:sz w:val="20"/>
                <w:szCs w:val="20"/>
                <w:color w:val="auto"/>
              </w:rPr>
            </w:pPr>
            <w:r>
              <w:rPr>
                <w:rFonts w:ascii="Arial" w:cs="Arial" w:eastAsia="Arial" w:hAnsi="Arial"/>
                <w:sz w:val="14"/>
                <w:szCs w:val="14"/>
                <w:color w:val="auto"/>
              </w:rPr>
              <w:t>—</w:t>
            </w:r>
          </w:p>
        </w:tc>
        <w:tc>
          <w:tcPr>
            <w:tcW w:w="420" w:type="dxa"/>
            <w:vAlign w:val="bottom"/>
          </w:tcPr>
          <w:p>
            <w:pPr>
              <w:spacing w:after="0"/>
              <w:rPr>
                <w:sz w:val="12"/>
                <w:szCs w:val="12"/>
                <w:color w:val="auto"/>
              </w:rPr>
            </w:pPr>
          </w:p>
        </w:tc>
        <w:tc>
          <w:tcPr>
            <w:tcW w:w="520" w:type="dxa"/>
            <w:vAlign w:val="bottom"/>
          </w:tcPr>
          <w:p>
            <w:pPr>
              <w:jc w:val="right"/>
              <w:ind w:right="152"/>
              <w:spacing w:after="0" w:line="149" w:lineRule="exact"/>
              <w:rPr>
                <w:sz w:val="20"/>
                <w:szCs w:val="20"/>
                <w:color w:val="auto"/>
              </w:rPr>
            </w:pPr>
            <w:r>
              <w:rPr>
                <w:rFonts w:ascii="Arial" w:cs="Arial" w:eastAsia="Arial" w:hAnsi="Arial"/>
                <w:sz w:val="14"/>
                <w:szCs w:val="14"/>
                <w:color w:val="auto"/>
              </w:rPr>
              <w:t>—</w:t>
            </w:r>
          </w:p>
        </w:tc>
        <w:tc>
          <w:tcPr>
            <w:tcW w:w="280" w:type="dxa"/>
            <w:vAlign w:val="bottom"/>
          </w:tcPr>
          <w:p>
            <w:pPr>
              <w:spacing w:after="0"/>
              <w:rPr>
                <w:sz w:val="12"/>
                <w:szCs w:val="12"/>
                <w:color w:val="auto"/>
              </w:rPr>
            </w:pPr>
          </w:p>
        </w:tc>
        <w:tc>
          <w:tcPr>
            <w:tcW w:w="860" w:type="dxa"/>
            <w:vAlign w:val="bottom"/>
          </w:tcPr>
          <w:p>
            <w:pPr>
              <w:jc w:val="right"/>
              <w:ind w:right="152"/>
              <w:spacing w:after="0" w:line="149" w:lineRule="exact"/>
              <w:rPr>
                <w:sz w:val="20"/>
                <w:szCs w:val="20"/>
                <w:color w:val="auto"/>
              </w:rPr>
            </w:pPr>
            <w:r>
              <w:rPr>
                <w:rFonts w:ascii="Arial" w:cs="Arial" w:eastAsia="Arial" w:hAnsi="Arial"/>
                <w:sz w:val="14"/>
                <w:szCs w:val="14"/>
                <w:color w:val="auto"/>
              </w:rPr>
              <w:t>—</w:t>
            </w:r>
          </w:p>
        </w:tc>
        <w:tc>
          <w:tcPr>
            <w:tcW w:w="240" w:type="dxa"/>
            <w:vAlign w:val="bottom"/>
          </w:tcPr>
          <w:p>
            <w:pPr>
              <w:spacing w:after="0"/>
              <w:rPr>
                <w:sz w:val="12"/>
                <w:szCs w:val="12"/>
                <w:color w:val="auto"/>
              </w:rPr>
            </w:pPr>
          </w:p>
        </w:tc>
        <w:tc>
          <w:tcPr>
            <w:tcW w:w="960" w:type="dxa"/>
            <w:vAlign w:val="bottom"/>
          </w:tcPr>
          <w:p>
            <w:pPr>
              <w:jc w:val="right"/>
              <w:ind w:right="152"/>
              <w:spacing w:after="0" w:line="149" w:lineRule="exact"/>
              <w:rPr>
                <w:sz w:val="20"/>
                <w:szCs w:val="20"/>
                <w:color w:val="auto"/>
              </w:rPr>
            </w:pPr>
            <w:r>
              <w:rPr>
                <w:rFonts w:ascii="Arial" w:cs="Arial" w:eastAsia="Arial" w:hAnsi="Arial"/>
                <w:sz w:val="14"/>
                <w:szCs w:val="14"/>
                <w:color w:val="auto"/>
              </w:rPr>
              <w:t>—</w:t>
            </w:r>
          </w:p>
        </w:tc>
        <w:tc>
          <w:tcPr>
            <w:tcW w:w="300" w:type="dxa"/>
            <w:vAlign w:val="bottom"/>
          </w:tcPr>
          <w:p>
            <w:pPr>
              <w:spacing w:after="0"/>
              <w:rPr>
                <w:sz w:val="12"/>
                <w:szCs w:val="12"/>
                <w:color w:val="auto"/>
              </w:rPr>
            </w:pPr>
          </w:p>
        </w:tc>
        <w:tc>
          <w:tcPr>
            <w:tcW w:w="840" w:type="dxa"/>
            <w:vAlign w:val="bottom"/>
          </w:tcPr>
          <w:p>
            <w:pPr>
              <w:jc w:val="right"/>
              <w:spacing w:after="0" w:line="149" w:lineRule="exact"/>
              <w:rPr>
                <w:sz w:val="20"/>
                <w:szCs w:val="20"/>
                <w:color w:val="auto"/>
              </w:rPr>
            </w:pPr>
            <w:r>
              <w:rPr>
                <w:rFonts w:ascii="Arial" w:cs="Arial" w:eastAsia="Arial" w:hAnsi="Arial"/>
                <w:sz w:val="14"/>
                <w:szCs w:val="14"/>
                <w:b w:val="1"/>
                <w:bCs w:val="1"/>
                <w:color w:val="auto"/>
              </w:rPr>
              <w:t>113</w:t>
            </w:r>
          </w:p>
        </w:tc>
        <w:tc>
          <w:tcPr>
            <w:tcW w:w="0" w:type="dxa"/>
            <w:vAlign w:val="bottom"/>
          </w:tcPr>
          <w:p>
            <w:pPr>
              <w:spacing w:after="0"/>
              <w:rPr>
                <w:sz w:val="1"/>
                <w:szCs w:val="1"/>
                <w:color w:val="auto"/>
              </w:rPr>
            </w:pPr>
          </w:p>
        </w:tc>
      </w:tr>
      <w:tr>
        <w:trPr>
          <w:trHeight w:val="165"/>
        </w:trPr>
        <w:tc>
          <w:tcPr>
            <w:tcW w:w="20" w:type="dxa"/>
            <w:vAlign w:val="bottom"/>
          </w:tcPr>
          <w:p>
            <w:pPr>
              <w:spacing w:after="0"/>
              <w:rPr>
                <w:sz w:val="14"/>
                <w:szCs w:val="14"/>
                <w:color w:val="auto"/>
              </w:rPr>
            </w:pPr>
          </w:p>
        </w:tc>
        <w:tc>
          <w:tcPr>
            <w:tcW w:w="3400" w:type="dxa"/>
            <w:vAlign w:val="bottom"/>
            <w:tcBorders>
              <w:bottom w:val="single" w:sz="8" w:color="auto"/>
            </w:tcBorders>
          </w:tcPr>
          <w:p>
            <w:pPr>
              <w:ind w:left="200"/>
              <w:spacing w:after="0"/>
              <w:rPr>
                <w:sz w:val="20"/>
                <w:szCs w:val="20"/>
                <w:color w:val="auto"/>
              </w:rPr>
            </w:pPr>
            <w:r>
              <w:rPr>
                <w:rFonts w:ascii="Arial" w:cs="Arial" w:eastAsia="Arial" w:hAnsi="Arial"/>
                <w:sz w:val="14"/>
                <w:szCs w:val="14"/>
                <w:color w:val="auto"/>
              </w:rPr>
              <w:t>Other</w:t>
            </w:r>
          </w:p>
        </w:tc>
        <w:tc>
          <w:tcPr>
            <w:tcW w:w="320" w:type="dxa"/>
            <w:vAlign w:val="bottom"/>
            <w:tcBorders>
              <w:bottom w:val="single" w:sz="8" w:color="auto"/>
            </w:tcBorders>
          </w:tcPr>
          <w:p>
            <w:pPr>
              <w:spacing w:after="0"/>
              <w:rPr>
                <w:sz w:val="14"/>
                <w:szCs w:val="14"/>
                <w:color w:val="auto"/>
              </w:rPr>
            </w:pPr>
          </w:p>
        </w:tc>
        <w:tc>
          <w:tcPr>
            <w:tcW w:w="660" w:type="dxa"/>
            <w:vAlign w:val="bottom"/>
            <w:tcBorders>
              <w:bottom w:val="single" w:sz="8" w:color="auto"/>
            </w:tcBorders>
          </w:tcPr>
          <w:p>
            <w:pPr>
              <w:jc w:val="right"/>
              <w:ind w:right="152"/>
              <w:spacing w:after="0"/>
              <w:rPr>
                <w:sz w:val="20"/>
                <w:szCs w:val="20"/>
                <w:color w:val="auto"/>
              </w:rPr>
            </w:pPr>
            <w:r>
              <w:rPr>
                <w:rFonts w:ascii="Arial" w:cs="Arial" w:eastAsia="Arial" w:hAnsi="Arial"/>
                <w:sz w:val="14"/>
                <w:szCs w:val="14"/>
                <w:color w:val="auto"/>
              </w:rPr>
              <w:t>8</w:t>
            </w:r>
          </w:p>
        </w:tc>
        <w:tc>
          <w:tcPr>
            <w:tcW w:w="280" w:type="dxa"/>
            <w:vAlign w:val="bottom"/>
            <w:tcBorders>
              <w:bottom w:val="single" w:sz="8" w:color="auto"/>
            </w:tcBorders>
          </w:tcPr>
          <w:p>
            <w:pPr>
              <w:spacing w:after="0"/>
              <w:rPr>
                <w:sz w:val="14"/>
                <w:szCs w:val="14"/>
                <w:color w:val="auto"/>
              </w:rPr>
            </w:pPr>
          </w:p>
        </w:tc>
        <w:tc>
          <w:tcPr>
            <w:tcW w:w="520" w:type="dxa"/>
            <w:vAlign w:val="bottom"/>
            <w:tcBorders>
              <w:bottom w:val="single" w:sz="8" w:color="auto"/>
            </w:tcBorders>
          </w:tcPr>
          <w:p>
            <w:pPr>
              <w:jc w:val="right"/>
              <w:ind w:right="152"/>
              <w:spacing w:after="0"/>
              <w:rPr>
                <w:sz w:val="20"/>
                <w:szCs w:val="20"/>
                <w:color w:val="auto"/>
              </w:rPr>
            </w:pPr>
            <w:r>
              <w:rPr>
                <w:rFonts w:ascii="Arial" w:cs="Arial" w:eastAsia="Arial" w:hAnsi="Arial"/>
                <w:sz w:val="14"/>
                <w:szCs w:val="14"/>
                <w:color w:val="auto"/>
              </w:rPr>
              <w:t>—</w:t>
            </w:r>
          </w:p>
        </w:tc>
        <w:tc>
          <w:tcPr>
            <w:tcW w:w="280" w:type="dxa"/>
            <w:vAlign w:val="bottom"/>
            <w:tcBorders>
              <w:bottom w:val="single" w:sz="8" w:color="auto"/>
            </w:tcBorders>
          </w:tcPr>
          <w:p>
            <w:pPr>
              <w:spacing w:after="0"/>
              <w:rPr>
                <w:sz w:val="14"/>
                <w:szCs w:val="14"/>
                <w:color w:val="auto"/>
              </w:rPr>
            </w:pPr>
          </w:p>
        </w:tc>
        <w:tc>
          <w:tcPr>
            <w:tcW w:w="520" w:type="dxa"/>
            <w:vAlign w:val="bottom"/>
            <w:tcBorders>
              <w:bottom w:val="single" w:sz="8" w:color="auto"/>
            </w:tcBorders>
          </w:tcPr>
          <w:p>
            <w:pPr>
              <w:jc w:val="right"/>
              <w:ind w:right="152"/>
              <w:spacing w:after="0"/>
              <w:rPr>
                <w:sz w:val="20"/>
                <w:szCs w:val="20"/>
                <w:color w:val="auto"/>
              </w:rPr>
            </w:pPr>
            <w:r>
              <w:rPr>
                <w:rFonts w:ascii="Arial" w:cs="Arial" w:eastAsia="Arial" w:hAnsi="Arial"/>
                <w:sz w:val="14"/>
                <w:szCs w:val="14"/>
                <w:color w:val="auto"/>
              </w:rPr>
              <w:t>—</w:t>
            </w:r>
          </w:p>
        </w:tc>
        <w:tc>
          <w:tcPr>
            <w:tcW w:w="260" w:type="dxa"/>
            <w:vAlign w:val="bottom"/>
            <w:tcBorders>
              <w:bottom w:val="single" w:sz="8" w:color="auto"/>
            </w:tcBorders>
          </w:tcPr>
          <w:p>
            <w:pPr>
              <w:spacing w:after="0"/>
              <w:rPr>
                <w:sz w:val="14"/>
                <w:szCs w:val="14"/>
                <w:color w:val="auto"/>
              </w:rPr>
            </w:pPr>
          </w:p>
        </w:tc>
        <w:tc>
          <w:tcPr>
            <w:tcW w:w="740" w:type="dxa"/>
            <w:vAlign w:val="bottom"/>
            <w:tcBorders>
              <w:bottom w:val="single" w:sz="8" w:color="auto"/>
            </w:tcBorders>
          </w:tcPr>
          <w:p>
            <w:pPr>
              <w:jc w:val="right"/>
              <w:ind w:right="152"/>
              <w:spacing w:after="0"/>
              <w:rPr>
                <w:sz w:val="20"/>
                <w:szCs w:val="20"/>
                <w:color w:val="auto"/>
              </w:rPr>
            </w:pPr>
            <w:r>
              <w:rPr>
                <w:rFonts w:ascii="Arial" w:cs="Arial" w:eastAsia="Arial" w:hAnsi="Arial"/>
                <w:sz w:val="14"/>
                <w:szCs w:val="14"/>
                <w:color w:val="auto"/>
              </w:rPr>
              <w:t>—</w:t>
            </w:r>
          </w:p>
        </w:tc>
        <w:tc>
          <w:tcPr>
            <w:tcW w:w="420" w:type="dxa"/>
            <w:vAlign w:val="bottom"/>
            <w:tcBorders>
              <w:bottom w:val="single" w:sz="8" w:color="auto"/>
            </w:tcBorders>
          </w:tcPr>
          <w:p>
            <w:pPr>
              <w:spacing w:after="0"/>
              <w:rPr>
                <w:sz w:val="14"/>
                <w:szCs w:val="14"/>
                <w:color w:val="auto"/>
              </w:rPr>
            </w:pPr>
          </w:p>
        </w:tc>
        <w:tc>
          <w:tcPr>
            <w:tcW w:w="520" w:type="dxa"/>
            <w:vAlign w:val="bottom"/>
            <w:tcBorders>
              <w:bottom w:val="single" w:sz="8" w:color="auto"/>
            </w:tcBorders>
          </w:tcPr>
          <w:p>
            <w:pPr>
              <w:jc w:val="right"/>
              <w:ind w:right="152"/>
              <w:spacing w:after="0"/>
              <w:rPr>
                <w:sz w:val="20"/>
                <w:szCs w:val="20"/>
                <w:color w:val="auto"/>
              </w:rPr>
            </w:pPr>
            <w:r>
              <w:rPr>
                <w:rFonts w:ascii="Arial" w:cs="Arial" w:eastAsia="Arial" w:hAnsi="Arial"/>
                <w:sz w:val="14"/>
                <w:szCs w:val="14"/>
                <w:color w:val="auto"/>
              </w:rPr>
              <w:t>—</w:t>
            </w:r>
          </w:p>
        </w:tc>
        <w:tc>
          <w:tcPr>
            <w:tcW w:w="280" w:type="dxa"/>
            <w:vAlign w:val="bottom"/>
            <w:tcBorders>
              <w:bottom w:val="single" w:sz="8" w:color="auto"/>
            </w:tcBorders>
          </w:tcPr>
          <w:p>
            <w:pPr>
              <w:spacing w:after="0"/>
              <w:rPr>
                <w:sz w:val="14"/>
                <w:szCs w:val="14"/>
                <w:color w:val="auto"/>
              </w:rPr>
            </w:pPr>
          </w:p>
        </w:tc>
        <w:tc>
          <w:tcPr>
            <w:tcW w:w="860" w:type="dxa"/>
            <w:vAlign w:val="bottom"/>
            <w:tcBorders>
              <w:bottom w:val="single" w:sz="8" w:color="auto"/>
            </w:tcBorders>
          </w:tcPr>
          <w:p>
            <w:pPr>
              <w:jc w:val="right"/>
              <w:ind w:right="152"/>
              <w:spacing w:after="0"/>
              <w:rPr>
                <w:sz w:val="20"/>
                <w:szCs w:val="20"/>
                <w:color w:val="auto"/>
              </w:rPr>
            </w:pPr>
            <w:r>
              <w:rPr>
                <w:rFonts w:ascii="Arial" w:cs="Arial" w:eastAsia="Arial" w:hAnsi="Arial"/>
                <w:sz w:val="14"/>
                <w:szCs w:val="14"/>
                <w:color w:val="auto"/>
              </w:rPr>
              <w:t>17</w:t>
            </w:r>
          </w:p>
        </w:tc>
        <w:tc>
          <w:tcPr>
            <w:tcW w:w="240" w:type="dxa"/>
            <w:vAlign w:val="bottom"/>
            <w:tcBorders>
              <w:bottom w:val="single" w:sz="8" w:color="auto"/>
            </w:tcBorders>
          </w:tcPr>
          <w:p>
            <w:pPr>
              <w:spacing w:after="0"/>
              <w:rPr>
                <w:sz w:val="14"/>
                <w:szCs w:val="14"/>
                <w:color w:val="auto"/>
              </w:rPr>
            </w:pPr>
          </w:p>
        </w:tc>
        <w:tc>
          <w:tcPr>
            <w:tcW w:w="960" w:type="dxa"/>
            <w:vAlign w:val="bottom"/>
            <w:tcBorders>
              <w:bottom w:val="single" w:sz="8" w:color="auto"/>
            </w:tcBorders>
          </w:tcPr>
          <w:p>
            <w:pPr>
              <w:jc w:val="right"/>
              <w:ind w:right="152"/>
              <w:spacing w:after="0"/>
              <w:rPr>
                <w:sz w:val="20"/>
                <w:szCs w:val="20"/>
                <w:color w:val="auto"/>
              </w:rPr>
            </w:pPr>
            <w:r>
              <w:rPr>
                <w:rFonts w:ascii="Arial" w:cs="Arial" w:eastAsia="Arial" w:hAnsi="Arial"/>
                <w:sz w:val="14"/>
                <w:szCs w:val="14"/>
                <w:color w:val="auto"/>
              </w:rPr>
              <w:t>—</w:t>
            </w:r>
          </w:p>
        </w:tc>
        <w:tc>
          <w:tcPr>
            <w:tcW w:w="300" w:type="dxa"/>
            <w:vAlign w:val="bottom"/>
            <w:tcBorders>
              <w:bottom w:val="single" w:sz="8" w:color="auto"/>
            </w:tcBorders>
          </w:tcPr>
          <w:p>
            <w:pPr>
              <w:spacing w:after="0"/>
              <w:rPr>
                <w:sz w:val="14"/>
                <w:szCs w:val="14"/>
                <w:color w:val="auto"/>
              </w:rPr>
            </w:pPr>
          </w:p>
        </w:tc>
        <w:tc>
          <w:tcPr>
            <w:tcW w:w="84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25</w:t>
            </w: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3400" w:type="dxa"/>
            <w:vAlign w:val="bottom"/>
            <w:tcBorders>
              <w:bottom w:val="single" w:sz="8" w:color="auto"/>
            </w:tcBorders>
          </w:tcPr>
          <w:p>
            <w:pPr>
              <w:ind w:left="200"/>
              <w:spacing w:after="0" w:line="142" w:lineRule="exact"/>
              <w:rPr>
                <w:sz w:val="20"/>
                <w:szCs w:val="20"/>
                <w:color w:val="auto"/>
              </w:rPr>
            </w:pPr>
            <w:r>
              <w:rPr>
                <w:rFonts w:ascii="Arial" w:cs="Arial" w:eastAsia="Arial" w:hAnsi="Arial"/>
                <w:sz w:val="14"/>
                <w:szCs w:val="14"/>
                <w:color w:val="auto"/>
              </w:rPr>
              <w:t>Net cash provided by (used in) financing activities</w:t>
            </w:r>
          </w:p>
        </w:tc>
        <w:tc>
          <w:tcPr>
            <w:tcW w:w="320" w:type="dxa"/>
            <w:vAlign w:val="bottom"/>
            <w:tcBorders>
              <w:bottom w:val="single" w:sz="8" w:color="auto"/>
            </w:tcBorders>
          </w:tcPr>
          <w:p>
            <w:pPr>
              <w:spacing w:after="0"/>
              <w:rPr>
                <w:sz w:val="12"/>
                <w:szCs w:val="12"/>
                <w:color w:val="auto"/>
              </w:rPr>
            </w:pPr>
          </w:p>
        </w:tc>
        <w:tc>
          <w:tcPr>
            <w:tcW w:w="660" w:type="dxa"/>
            <w:vAlign w:val="bottom"/>
            <w:tcBorders>
              <w:bottom w:val="single" w:sz="8" w:color="auto"/>
            </w:tcBorders>
          </w:tcPr>
          <w:p>
            <w:pPr>
              <w:jc w:val="right"/>
              <w:ind w:right="112"/>
              <w:spacing w:after="0" w:line="142" w:lineRule="exact"/>
              <w:rPr>
                <w:sz w:val="20"/>
                <w:szCs w:val="20"/>
                <w:color w:val="auto"/>
              </w:rPr>
            </w:pPr>
            <w:r>
              <w:rPr>
                <w:rFonts w:ascii="Arial" w:cs="Arial" w:eastAsia="Arial" w:hAnsi="Arial"/>
                <w:sz w:val="14"/>
                <w:szCs w:val="14"/>
                <w:color w:val="auto"/>
              </w:rPr>
              <w:t>(920)</w:t>
            </w:r>
          </w:p>
        </w:tc>
        <w:tc>
          <w:tcPr>
            <w:tcW w:w="280" w:type="dxa"/>
            <w:vAlign w:val="bottom"/>
            <w:tcBorders>
              <w:bottom w:val="single" w:sz="8" w:color="auto"/>
            </w:tcBorders>
          </w:tcPr>
          <w:p>
            <w:pPr>
              <w:spacing w:after="0"/>
              <w:rPr>
                <w:sz w:val="12"/>
                <w:szCs w:val="12"/>
                <w:color w:val="auto"/>
              </w:rPr>
            </w:pPr>
          </w:p>
        </w:tc>
        <w:tc>
          <w:tcPr>
            <w:tcW w:w="520" w:type="dxa"/>
            <w:vAlign w:val="bottom"/>
            <w:tcBorders>
              <w:bottom w:val="single" w:sz="8" w:color="auto"/>
            </w:tcBorders>
          </w:tcPr>
          <w:p>
            <w:pPr>
              <w:jc w:val="right"/>
              <w:ind w:right="112"/>
              <w:spacing w:after="0" w:line="142" w:lineRule="exact"/>
              <w:rPr>
                <w:sz w:val="20"/>
                <w:szCs w:val="20"/>
                <w:color w:val="auto"/>
              </w:rPr>
            </w:pPr>
            <w:r>
              <w:rPr>
                <w:rFonts w:ascii="Arial" w:cs="Arial" w:eastAsia="Arial" w:hAnsi="Arial"/>
                <w:sz w:val="14"/>
                <w:szCs w:val="14"/>
                <w:color w:val="auto"/>
                <w:w w:val="97"/>
              </w:rPr>
              <w:t>(561)</w:t>
            </w:r>
          </w:p>
        </w:tc>
        <w:tc>
          <w:tcPr>
            <w:tcW w:w="280" w:type="dxa"/>
            <w:vAlign w:val="bottom"/>
            <w:tcBorders>
              <w:bottom w:val="single" w:sz="8" w:color="auto"/>
            </w:tcBorders>
          </w:tcPr>
          <w:p>
            <w:pPr>
              <w:spacing w:after="0"/>
              <w:rPr>
                <w:sz w:val="12"/>
                <w:szCs w:val="12"/>
                <w:color w:val="auto"/>
              </w:rPr>
            </w:pPr>
          </w:p>
        </w:tc>
        <w:tc>
          <w:tcPr>
            <w:tcW w:w="520" w:type="dxa"/>
            <w:vAlign w:val="bottom"/>
            <w:tcBorders>
              <w:bottom w:val="single" w:sz="8" w:color="auto"/>
            </w:tcBorders>
          </w:tcPr>
          <w:p>
            <w:pPr>
              <w:jc w:val="right"/>
              <w:ind w:right="152"/>
              <w:spacing w:after="0" w:line="142" w:lineRule="exact"/>
              <w:rPr>
                <w:sz w:val="20"/>
                <w:szCs w:val="20"/>
                <w:color w:val="auto"/>
              </w:rPr>
            </w:pPr>
            <w:r>
              <w:rPr>
                <w:rFonts w:ascii="Arial" w:cs="Arial" w:eastAsia="Arial" w:hAnsi="Arial"/>
                <w:sz w:val="14"/>
                <w:szCs w:val="14"/>
                <w:color w:val="auto"/>
              </w:rPr>
              <w:t>—</w:t>
            </w:r>
          </w:p>
        </w:tc>
        <w:tc>
          <w:tcPr>
            <w:tcW w:w="260" w:type="dxa"/>
            <w:vAlign w:val="bottom"/>
            <w:tcBorders>
              <w:bottom w:val="single" w:sz="8" w:color="auto"/>
            </w:tcBorders>
          </w:tcPr>
          <w:p>
            <w:pPr>
              <w:spacing w:after="0"/>
              <w:rPr>
                <w:sz w:val="12"/>
                <w:szCs w:val="12"/>
                <w:color w:val="auto"/>
              </w:rPr>
            </w:pPr>
          </w:p>
        </w:tc>
        <w:tc>
          <w:tcPr>
            <w:tcW w:w="740" w:type="dxa"/>
            <w:vAlign w:val="bottom"/>
            <w:tcBorders>
              <w:bottom w:val="single" w:sz="8" w:color="auto"/>
            </w:tcBorders>
          </w:tcPr>
          <w:p>
            <w:pPr>
              <w:jc w:val="right"/>
              <w:ind w:right="92"/>
              <w:spacing w:after="0" w:line="142" w:lineRule="exact"/>
              <w:rPr>
                <w:sz w:val="20"/>
                <w:szCs w:val="20"/>
                <w:color w:val="auto"/>
              </w:rPr>
            </w:pPr>
            <w:r>
              <w:rPr>
                <w:rFonts w:ascii="Arial" w:cs="Arial" w:eastAsia="Arial" w:hAnsi="Arial"/>
                <w:sz w:val="14"/>
                <w:szCs w:val="14"/>
                <w:color w:val="auto"/>
              </w:rPr>
              <w:t>(306)</w:t>
            </w:r>
          </w:p>
        </w:tc>
        <w:tc>
          <w:tcPr>
            <w:tcW w:w="420" w:type="dxa"/>
            <w:vAlign w:val="bottom"/>
            <w:tcBorders>
              <w:bottom w:val="single" w:sz="8" w:color="auto"/>
            </w:tcBorders>
          </w:tcPr>
          <w:p>
            <w:pPr>
              <w:spacing w:after="0"/>
              <w:rPr>
                <w:sz w:val="12"/>
                <w:szCs w:val="12"/>
                <w:color w:val="auto"/>
              </w:rPr>
            </w:pPr>
          </w:p>
        </w:tc>
        <w:tc>
          <w:tcPr>
            <w:tcW w:w="520" w:type="dxa"/>
            <w:vAlign w:val="bottom"/>
            <w:tcBorders>
              <w:bottom w:val="single" w:sz="8" w:color="auto"/>
            </w:tcBorders>
          </w:tcPr>
          <w:p>
            <w:pPr>
              <w:jc w:val="right"/>
              <w:ind w:right="152"/>
              <w:spacing w:after="0" w:line="142" w:lineRule="exact"/>
              <w:rPr>
                <w:sz w:val="20"/>
                <w:szCs w:val="20"/>
                <w:color w:val="auto"/>
              </w:rPr>
            </w:pPr>
            <w:r>
              <w:rPr>
                <w:rFonts w:ascii="Arial" w:cs="Arial" w:eastAsia="Arial" w:hAnsi="Arial"/>
                <w:sz w:val="14"/>
                <w:szCs w:val="14"/>
                <w:color w:val="auto"/>
              </w:rPr>
              <w:t>—</w:t>
            </w:r>
          </w:p>
        </w:tc>
        <w:tc>
          <w:tcPr>
            <w:tcW w:w="280" w:type="dxa"/>
            <w:vAlign w:val="bottom"/>
            <w:tcBorders>
              <w:bottom w:val="single" w:sz="8" w:color="auto"/>
            </w:tcBorders>
          </w:tcPr>
          <w:p>
            <w:pPr>
              <w:spacing w:after="0"/>
              <w:rPr>
                <w:sz w:val="12"/>
                <w:szCs w:val="12"/>
                <w:color w:val="auto"/>
              </w:rPr>
            </w:pPr>
          </w:p>
        </w:tc>
        <w:tc>
          <w:tcPr>
            <w:tcW w:w="860" w:type="dxa"/>
            <w:vAlign w:val="bottom"/>
            <w:tcBorders>
              <w:bottom w:val="single" w:sz="8" w:color="auto"/>
            </w:tcBorders>
          </w:tcPr>
          <w:p>
            <w:pPr>
              <w:jc w:val="right"/>
              <w:ind w:right="112"/>
              <w:spacing w:after="0" w:line="142" w:lineRule="exact"/>
              <w:rPr>
                <w:sz w:val="20"/>
                <w:szCs w:val="20"/>
                <w:color w:val="auto"/>
              </w:rPr>
            </w:pPr>
            <w:r>
              <w:rPr>
                <w:rFonts w:ascii="Arial" w:cs="Arial" w:eastAsia="Arial" w:hAnsi="Arial"/>
                <w:sz w:val="14"/>
                <w:szCs w:val="14"/>
                <w:color w:val="auto"/>
              </w:rPr>
              <w:t>(729)</w:t>
            </w:r>
          </w:p>
        </w:tc>
        <w:tc>
          <w:tcPr>
            <w:tcW w:w="240" w:type="dxa"/>
            <w:vAlign w:val="bottom"/>
            <w:tcBorders>
              <w:bottom w:val="single" w:sz="8" w:color="auto"/>
            </w:tcBorders>
          </w:tcPr>
          <w:p>
            <w:pPr>
              <w:spacing w:after="0"/>
              <w:rPr>
                <w:sz w:val="12"/>
                <w:szCs w:val="12"/>
                <w:color w:val="auto"/>
              </w:rPr>
            </w:pPr>
          </w:p>
        </w:tc>
        <w:tc>
          <w:tcPr>
            <w:tcW w:w="960" w:type="dxa"/>
            <w:vAlign w:val="bottom"/>
            <w:tcBorders>
              <w:bottom w:val="single" w:sz="8" w:color="auto"/>
            </w:tcBorders>
          </w:tcPr>
          <w:p>
            <w:pPr>
              <w:jc w:val="right"/>
              <w:ind w:right="152"/>
              <w:spacing w:after="0" w:line="142" w:lineRule="exact"/>
              <w:rPr>
                <w:sz w:val="20"/>
                <w:szCs w:val="20"/>
                <w:color w:val="auto"/>
              </w:rPr>
            </w:pPr>
            <w:r>
              <w:rPr>
                <w:rFonts w:ascii="Arial" w:cs="Arial" w:eastAsia="Arial" w:hAnsi="Arial"/>
                <w:sz w:val="14"/>
                <w:szCs w:val="14"/>
                <w:color w:val="auto"/>
              </w:rPr>
              <w:t>—</w:t>
            </w:r>
          </w:p>
        </w:tc>
        <w:tc>
          <w:tcPr>
            <w:tcW w:w="300" w:type="dxa"/>
            <w:vAlign w:val="bottom"/>
            <w:tcBorders>
              <w:bottom w:val="single" w:sz="8" w:color="auto"/>
            </w:tcBorders>
          </w:tcPr>
          <w:p>
            <w:pPr>
              <w:spacing w:after="0"/>
              <w:rPr>
                <w:sz w:val="12"/>
                <w:szCs w:val="12"/>
                <w:color w:val="auto"/>
              </w:rPr>
            </w:pPr>
          </w:p>
        </w:tc>
        <w:tc>
          <w:tcPr>
            <w:tcW w:w="840" w:type="dxa"/>
            <w:vAlign w:val="bottom"/>
            <w:tcBorders>
              <w:bottom w:val="single" w:sz="8" w:color="auto"/>
            </w:tcBorders>
          </w:tcPr>
          <w:p>
            <w:pPr>
              <w:jc w:val="right"/>
              <w:spacing w:after="0" w:line="142" w:lineRule="exact"/>
              <w:rPr>
                <w:sz w:val="20"/>
                <w:szCs w:val="20"/>
                <w:color w:val="auto"/>
              </w:rPr>
            </w:pPr>
            <w:r>
              <w:rPr>
                <w:rFonts w:ascii="Arial" w:cs="Arial" w:eastAsia="Arial" w:hAnsi="Arial"/>
                <w:sz w:val="14"/>
                <w:szCs w:val="14"/>
                <w:b w:val="1"/>
                <w:bCs w:val="1"/>
                <w:color w:val="auto"/>
              </w:rPr>
              <w:t>(2,516)</w:t>
            </w:r>
          </w:p>
        </w:tc>
        <w:tc>
          <w:tcPr>
            <w:tcW w:w="0" w:type="dxa"/>
            <w:vAlign w:val="bottom"/>
          </w:tcPr>
          <w:p>
            <w:pPr>
              <w:spacing w:after="0"/>
              <w:rPr>
                <w:sz w:val="1"/>
                <w:szCs w:val="1"/>
                <w:color w:val="auto"/>
              </w:rPr>
            </w:pPr>
          </w:p>
        </w:tc>
      </w:tr>
      <w:tr>
        <w:trPr>
          <w:trHeight w:val="141"/>
        </w:trPr>
        <w:tc>
          <w:tcPr>
            <w:tcW w:w="20" w:type="dxa"/>
            <w:vAlign w:val="bottom"/>
          </w:tcPr>
          <w:p>
            <w:pPr>
              <w:spacing w:after="0"/>
              <w:rPr>
                <w:sz w:val="12"/>
                <w:szCs w:val="12"/>
                <w:color w:val="auto"/>
              </w:rPr>
            </w:pPr>
          </w:p>
        </w:tc>
        <w:tc>
          <w:tcPr>
            <w:tcW w:w="3400" w:type="dxa"/>
            <w:vAlign w:val="bottom"/>
          </w:tcPr>
          <w:p>
            <w:pPr>
              <w:spacing w:after="0" w:line="141" w:lineRule="exact"/>
              <w:rPr>
                <w:sz w:val="20"/>
                <w:szCs w:val="20"/>
                <w:color w:val="auto"/>
              </w:rPr>
            </w:pPr>
            <w:r>
              <w:rPr>
                <w:rFonts w:ascii="Arial" w:cs="Arial" w:eastAsia="Arial" w:hAnsi="Arial"/>
                <w:sz w:val="14"/>
                <w:szCs w:val="14"/>
                <w:b w:val="1"/>
                <w:bCs w:val="1"/>
                <w:color w:val="auto"/>
              </w:rPr>
              <w:t>Investing Activities</w:t>
            </w:r>
          </w:p>
        </w:tc>
        <w:tc>
          <w:tcPr>
            <w:tcW w:w="32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42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86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96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840" w:type="dxa"/>
            <w:vAlign w:val="bottom"/>
            <w:vMerge w:val="restart"/>
          </w:tcPr>
          <w:p>
            <w:pPr>
              <w:jc w:val="right"/>
              <w:spacing w:after="0"/>
              <w:rPr>
                <w:sz w:val="20"/>
                <w:szCs w:val="20"/>
                <w:color w:val="auto"/>
              </w:rPr>
            </w:pPr>
            <w:r>
              <w:rPr>
                <w:rFonts w:ascii="Arial" w:cs="Arial" w:eastAsia="Arial" w:hAnsi="Arial"/>
                <w:sz w:val="14"/>
                <w:szCs w:val="14"/>
                <w:b w:val="1"/>
                <w:bCs w:val="1"/>
                <w:color w:val="auto"/>
              </w:rPr>
              <w:t>—</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3400" w:type="dxa"/>
            <w:vAlign w:val="bottom"/>
          </w:tcPr>
          <w:p>
            <w:pPr>
              <w:ind w:left="200"/>
              <w:spacing w:after="0" w:line="133" w:lineRule="exact"/>
              <w:rPr>
                <w:sz w:val="20"/>
                <w:szCs w:val="20"/>
                <w:color w:val="auto"/>
              </w:rPr>
            </w:pPr>
            <w:r>
              <w:rPr>
                <w:rFonts w:ascii="Arial" w:cs="Arial" w:eastAsia="Arial" w:hAnsi="Arial"/>
                <w:sz w:val="14"/>
                <w:szCs w:val="14"/>
                <w:color w:val="auto"/>
              </w:rPr>
              <w:t>Net transactions with affiliates</w:t>
            </w:r>
          </w:p>
        </w:tc>
        <w:tc>
          <w:tcPr>
            <w:tcW w:w="320" w:type="dxa"/>
            <w:vAlign w:val="bottom"/>
          </w:tcPr>
          <w:p>
            <w:pPr>
              <w:spacing w:after="0"/>
              <w:rPr>
                <w:sz w:val="11"/>
                <w:szCs w:val="11"/>
                <w:color w:val="auto"/>
              </w:rPr>
            </w:pPr>
          </w:p>
        </w:tc>
        <w:tc>
          <w:tcPr>
            <w:tcW w:w="660" w:type="dxa"/>
            <w:vAlign w:val="bottom"/>
          </w:tcPr>
          <w:p>
            <w:pPr>
              <w:jc w:val="right"/>
              <w:ind w:right="152"/>
              <w:spacing w:after="0" w:line="133" w:lineRule="exact"/>
              <w:rPr>
                <w:sz w:val="20"/>
                <w:szCs w:val="20"/>
                <w:color w:val="auto"/>
              </w:rPr>
            </w:pPr>
            <w:r>
              <w:rPr>
                <w:rFonts w:ascii="Arial" w:cs="Arial" w:eastAsia="Arial" w:hAnsi="Arial"/>
                <w:sz w:val="14"/>
                <w:szCs w:val="14"/>
                <w:color w:val="auto"/>
              </w:rPr>
              <w:t>438</w:t>
            </w:r>
          </w:p>
        </w:tc>
        <w:tc>
          <w:tcPr>
            <w:tcW w:w="280" w:type="dxa"/>
            <w:vAlign w:val="bottom"/>
          </w:tcPr>
          <w:p>
            <w:pPr>
              <w:spacing w:after="0"/>
              <w:rPr>
                <w:sz w:val="11"/>
                <w:szCs w:val="11"/>
                <w:color w:val="auto"/>
              </w:rPr>
            </w:pPr>
          </w:p>
        </w:tc>
        <w:tc>
          <w:tcPr>
            <w:tcW w:w="520" w:type="dxa"/>
            <w:vAlign w:val="bottom"/>
          </w:tcPr>
          <w:p>
            <w:pPr>
              <w:jc w:val="right"/>
              <w:ind w:right="152"/>
              <w:spacing w:after="0" w:line="133" w:lineRule="exact"/>
              <w:rPr>
                <w:sz w:val="20"/>
                <w:szCs w:val="20"/>
                <w:color w:val="auto"/>
              </w:rPr>
            </w:pPr>
            <w:r>
              <w:rPr>
                <w:rFonts w:ascii="Arial" w:cs="Arial" w:eastAsia="Arial" w:hAnsi="Arial"/>
                <w:sz w:val="14"/>
                <w:szCs w:val="14"/>
                <w:color w:val="auto"/>
              </w:rPr>
              <w:t>704</w:t>
            </w:r>
          </w:p>
        </w:tc>
        <w:tc>
          <w:tcPr>
            <w:tcW w:w="280" w:type="dxa"/>
            <w:vAlign w:val="bottom"/>
          </w:tcPr>
          <w:p>
            <w:pPr>
              <w:spacing w:after="0"/>
              <w:rPr>
                <w:sz w:val="11"/>
                <w:szCs w:val="11"/>
                <w:color w:val="auto"/>
              </w:rPr>
            </w:pPr>
          </w:p>
        </w:tc>
        <w:tc>
          <w:tcPr>
            <w:tcW w:w="520" w:type="dxa"/>
            <w:vAlign w:val="bottom"/>
          </w:tcPr>
          <w:p>
            <w:pPr>
              <w:jc w:val="right"/>
              <w:ind w:right="152"/>
              <w:spacing w:after="0" w:line="133" w:lineRule="exact"/>
              <w:rPr>
                <w:sz w:val="20"/>
                <w:szCs w:val="20"/>
                <w:color w:val="auto"/>
              </w:rPr>
            </w:pPr>
            <w:r>
              <w:rPr>
                <w:rFonts w:ascii="Arial" w:cs="Arial" w:eastAsia="Arial" w:hAnsi="Arial"/>
                <w:sz w:val="14"/>
                <w:szCs w:val="14"/>
                <w:color w:val="auto"/>
              </w:rPr>
              <w:t>155</w:t>
            </w:r>
          </w:p>
        </w:tc>
        <w:tc>
          <w:tcPr>
            <w:tcW w:w="260" w:type="dxa"/>
            <w:vAlign w:val="bottom"/>
          </w:tcPr>
          <w:p>
            <w:pPr>
              <w:spacing w:after="0"/>
              <w:rPr>
                <w:sz w:val="11"/>
                <w:szCs w:val="11"/>
                <w:color w:val="auto"/>
              </w:rPr>
            </w:pPr>
          </w:p>
        </w:tc>
        <w:tc>
          <w:tcPr>
            <w:tcW w:w="740" w:type="dxa"/>
            <w:vAlign w:val="bottom"/>
          </w:tcPr>
          <w:p>
            <w:pPr>
              <w:jc w:val="right"/>
              <w:ind w:right="152"/>
              <w:spacing w:after="0" w:line="133" w:lineRule="exact"/>
              <w:rPr>
                <w:sz w:val="20"/>
                <w:szCs w:val="20"/>
                <w:color w:val="auto"/>
              </w:rPr>
            </w:pPr>
            <w:r>
              <w:rPr>
                <w:rFonts w:ascii="Arial" w:cs="Arial" w:eastAsia="Arial" w:hAnsi="Arial"/>
                <w:sz w:val="14"/>
                <w:szCs w:val="14"/>
                <w:color w:val="auto"/>
              </w:rPr>
              <w:t>784</w:t>
            </w:r>
          </w:p>
        </w:tc>
        <w:tc>
          <w:tcPr>
            <w:tcW w:w="420" w:type="dxa"/>
            <w:vAlign w:val="bottom"/>
          </w:tcPr>
          <w:p>
            <w:pPr>
              <w:spacing w:after="0"/>
              <w:rPr>
                <w:sz w:val="11"/>
                <w:szCs w:val="11"/>
                <w:color w:val="auto"/>
              </w:rPr>
            </w:pPr>
          </w:p>
        </w:tc>
        <w:tc>
          <w:tcPr>
            <w:tcW w:w="520" w:type="dxa"/>
            <w:vAlign w:val="bottom"/>
          </w:tcPr>
          <w:p>
            <w:pPr>
              <w:jc w:val="right"/>
              <w:ind w:right="112"/>
              <w:spacing w:after="0" w:line="133" w:lineRule="exact"/>
              <w:rPr>
                <w:sz w:val="20"/>
                <w:szCs w:val="20"/>
                <w:color w:val="auto"/>
              </w:rPr>
            </w:pPr>
            <w:r>
              <w:rPr>
                <w:rFonts w:ascii="Arial" w:cs="Arial" w:eastAsia="Arial" w:hAnsi="Arial"/>
                <w:sz w:val="14"/>
                <w:szCs w:val="14"/>
                <w:color w:val="auto"/>
              </w:rPr>
              <w:t>(8)</w:t>
            </w:r>
          </w:p>
        </w:tc>
        <w:tc>
          <w:tcPr>
            <w:tcW w:w="280" w:type="dxa"/>
            <w:vAlign w:val="bottom"/>
          </w:tcPr>
          <w:p>
            <w:pPr>
              <w:spacing w:after="0"/>
              <w:rPr>
                <w:sz w:val="11"/>
                <w:szCs w:val="11"/>
                <w:color w:val="auto"/>
              </w:rPr>
            </w:pPr>
          </w:p>
        </w:tc>
        <w:tc>
          <w:tcPr>
            <w:tcW w:w="860" w:type="dxa"/>
            <w:vAlign w:val="bottom"/>
          </w:tcPr>
          <w:p>
            <w:pPr>
              <w:jc w:val="right"/>
              <w:ind w:right="112"/>
              <w:spacing w:after="0" w:line="133" w:lineRule="exact"/>
              <w:rPr>
                <w:sz w:val="20"/>
                <w:szCs w:val="20"/>
                <w:color w:val="auto"/>
              </w:rPr>
            </w:pPr>
            <w:r>
              <w:rPr>
                <w:rFonts w:ascii="Arial" w:cs="Arial" w:eastAsia="Arial" w:hAnsi="Arial"/>
                <w:sz w:val="14"/>
                <w:szCs w:val="14"/>
                <w:color w:val="auto"/>
              </w:rPr>
              <w:t>(2,073)</w:t>
            </w:r>
          </w:p>
        </w:tc>
        <w:tc>
          <w:tcPr>
            <w:tcW w:w="240" w:type="dxa"/>
            <w:vAlign w:val="bottom"/>
          </w:tcPr>
          <w:p>
            <w:pPr>
              <w:spacing w:after="0"/>
              <w:rPr>
                <w:sz w:val="11"/>
                <w:szCs w:val="11"/>
                <w:color w:val="auto"/>
              </w:rPr>
            </w:pPr>
          </w:p>
        </w:tc>
        <w:tc>
          <w:tcPr>
            <w:tcW w:w="960" w:type="dxa"/>
            <w:vAlign w:val="bottom"/>
          </w:tcPr>
          <w:p>
            <w:pPr>
              <w:jc w:val="right"/>
              <w:ind w:right="152"/>
              <w:spacing w:after="0" w:line="133" w:lineRule="exact"/>
              <w:rPr>
                <w:sz w:val="20"/>
                <w:szCs w:val="20"/>
                <w:color w:val="auto"/>
              </w:rPr>
            </w:pPr>
            <w:r>
              <w:rPr>
                <w:rFonts w:ascii="Arial" w:cs="Arial" w:eastAsia="Arial" w:hAnsi="Arial"/>
                <w:sz w:val="14"/>
                <w:szCs w:val="14"/>
                <w:color w:val="auto"/>
              </w:rPr>
              <w:t>—</w:t>
            </w:r>
          </w:p>
        </w:tc>
        <w:tc>
          <w:tcPr>
            <w:tcW w:w="300" w:type="dxa"/>
            <w:vAlign w:val="bottom"/>
          </w:tcPr>
          <w:p>
            <w:pPr>
              <w:spacing w:after="0"/>
              <w:rPr>
                <w:sz w:val="11"/>
                <w:szCs w:val="11"/>
                <w:color w:val="auto"/>
              </w:rPr>
            </w:pPr>
          </w:p>
        </w:tc>
        <w:tc>
          <w:tcPr>
            <w:tcW w:w="840" w:type="dxa"/>
            <w:vAlign w:val="bottom"/>
            <w:vMerge w:val="continue"/>
          </w:tcPr>
          <w:p>
            <w:pPr>
              <w:spacing w:after="0"/>
              <w:rPr>
                <w:sz w:val="11"/>
                <w:szCs w:val="11"/>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400" w:type="dxa"/>
            <w:vAlign w:val="bottom"/>
          </w:tcPr>
          <w:p>
            <w:pPr>
              <w:ind w:left="200"/>
              <w:spacing w:after="0" w:line="149" w:lineRule="exact"/>
              <w:rPr>
                <w:sz w:val="20"/>
                <w:szCs w:val="20"/>
                <w:color w:val="auto"/>
              </w:rPr>
            </w:pPr>
            <w:r>
              <w:rPr>
                <w:rFonts w:ascii="Arial" w:cs="Arial" w:eastAsia="Arial" w:hAnsi="Arial"/>
                <w:sz w:val="14"/>
                <w:szCs w:val="14"/>
                <w:color w:val="auto"/>
              </w:rPr>
              <w:t>Capital expenditures</w:t>
            </w:r>
          </w:p>
        </w:tc>
        <w:tc>
          <w:tcPr>
            <w:tcW w:w="320" w:type="dxa"/>
            <w:vAlign w:val="bottom"/>
          </w:tcPr>
          <w:p>
            <w:pPr>
              <w:spacing w:after="0"/>
              <w:rPr>
                <w:sz w:val="12"/>
                <w:szCs w:val="12"/>
                <w:color w:val="auto"/>
              </w:rPr>
            </w:pPr>
          </w:p>
        </w:tc>
        <w:tc>
          <w:tcPr>
            <w:tcW w:w="660" w:type="dxa"/>
            <w:vAlign w:val="bottom"/>
          </w:tcPr>
          <w:p>
            <w:pPr>
              <w:jc w:val="right"/>
              <w:ind w:right="152"/>
              <w:spacing w:after="0" w:line="149" w:lineRule="exact"/>
              <w:rPr>
                <w:sz w:val="20"/>
                <w:szCs w:val="20"/>
                <w:color w:val="auto"/>
              </w:rPr>
            </w:pPr>
            <w:r>
              <w:rPr>
                <w:rFonts w:ascii="Arial" w:cs="Arial" w:eastAsia="Arial" w:hAnsi="Arial"/>
                <w:sz w:val="14"/>
                <w:szCs w:val="14"/>
                <w:color w:val="auto"/>
              </w:rPr>
              <w:t>—</w:t>
            </w:r>
          </w:p>
        </w:tc>
        <w:tc>
          <w:tcPr>
            <w:tcW w:w="280" w:type="dxa"/>
            <w:vAlign w:val="bottom"/>
          </w:tcPr>
          <w:p>
            <w:pPr>
              <w:spacing w:after="0"/>
              <w:rPr>
                <w:sz w:val="12"/>
                <w:szCs w:val="12"/>
                <w:color w:val="auto"/>
              </w:rPr>
            </w:pPr>
          </w:p>
        </w:tc>
        <w:tc>
          <w:tcPr>
            <w:tcW w:w="520" w:type="dxa"/>
            <w:vAlign w:val="bottom"/>
          </w:tcPr>
          <w:p>
            <w:pPr>
              <w:jc w:val="right"/>
              <w:ind w:right="152"/>
              <w:spacing w:after="0" w:line="149" w:lineRule="exact"/>
              <w:rPr>
                <w:sz w:val="20"/>
                <w:szCs w:val="20"/>
                <w:color w:val="auto"/>
              </w:rPr>
            </w:pPr>
            <w:r>
              <w:rPr>
                <w:rFonts w:ascii="Arial" w:cs="Arial" w:eastAsia="Arial" w:hAnsi="Arial"/>
                <w:sz w:val="14"/>
                <w:szCs w:val="14"/>
                <w:color w:val="auto"/>
              </w:rPr>
              <w:t>—</w:t>
            </w:r>
          </w:p>
        </w:tc>
        <w:tc>
          <w:tcPr>
            <w:tcW w:w="280" w:type="dxa"/>
            <w:vAlign w:val="bottom"/>
          </w:tcPr>
          <w:p>
            <w:pPr>
              <w:spacing w:after="0"/>
              <w:rPr>
                <w:sz w:val="12"/>
                <w:szCs w:val="12"/>
                <w:color w:val="auto"/>
              </w:rPr>
            </w:pPr>
          </w:p>
        </w:tc>
        <w:tc>
          <w:tcPr>
            <w:tcW w:w="520" w:type="dxa"/>
            <w:vAlign w:val="bottom"/>
          </w:tcPr>
          <w:p>
            <w:pPr>
              <w:jc w:val="right"/>
              <w:ind w:right="152"/>
              <w:spacing w:after="0" w:line="149" w:lineRule="exact"/>
              <w:rPr>
                <w:sz w:val="20"/>
                <w:szCs w:val="20"/>
                <w:color w:val="auto"/>
              </w:rPr>
            </w:pPr>
            <w:r>
              <w:rPr>
                <w:rFonts w:ascii="Arial" w:cs="Arial" w:eastAsia="Arial" w:hAnsi="Arial"/>
                <w:sz w:val="14"/>
                <w:szCs w:val="14"/>
                <w:color w:val="auto"/>
              </w:rPr>
              <w:t>—</w:t>
            </w:r>
          </w:p>
        </w:tc>
        <w:tc>
          <w:tcPr>
            <w:tcW w:w="260" w:type="dxa"/>
            <w:vAlign w:val="bottom"/>
          </w:tcPr>
          <w:p>
            <w:pPr>
              <w:spacing w:after="0"/>
              <w:rPr>
                <w:sz w:val="12"/>
                <w:szCs w:val="12"/>
                <w:color w:val="auto"/>
              </w:rPr>
            </w:pPr>
          </w:p>
        </w:tc>
        <w:tc>
          <w:tcPr>
            <w:tcW w:w="740" w:type="dxa"/>
            <w:vAlign w:val="bottom"/>
          </w:tcPr>
          <w:p>
            <w:pPr>
              <w:jc w:val="right"/>
              <w:ind w:right="152"/>
              <w:spacing w:after="0" w:line="149" w:lineRule="exact"/>
              <w:rPr>
                <w:sz w:val="20"/>
                <w:szCs w:val="20"/>
                <w:color w:val="auto"/>
              </w:rPr>
            </w:pPr>
            <w:r>
              <w:rPr>
                <w:rFonts w:ascii="Arial" w:cs="Arial" w:eastAsia="Arial" w:hAnsi="Arial"/>
                <w:sz w:val="14"/>
                <w:szCs w:val="14"/>
                <w:color w:val="auto"/>
              </w:rPr>
              <w:t>—</w:t>
            </w:r>
          </w:p>
        </w:tc>
        <w:tc>
          <w:tcPr>
            <w:tcW w:w="420" w:type="dxa"/>
            <w:vAlign w:val="bottom"/>
          </w:tcPr>
          <w:p>
            <w:pPr>
              <w:spacing w:after="0"/>
              <w:rPr>
                <w:sz w:val="12"/>
                <w:szCs w:val="12"/>
                <w:color w:val="auto"/>
              </w:rPr>
            </w:pPr>
          </w:p>
        </w:tc>
        <w:tc>
          <w:tcPr>
            <w:tcW w:w="520" w:type="dxa"/>
            <w:vAlign w:val="bottom"/>
          </w:tcPr>
          <w:p>
            <w:pPr>
              <w:jc w:val="right"/>
              <w:ind w:right="152"/>
              <w:spacing w:after="0" w:line="149" w:lineRule="exact"/>
              <w:rPr>
                <w:sz w:val="20"/>
                <w:szCs w:val="20"/>
                <w:color w:val="auto"/>
              </w:rPr>
            </w:pPr>
            <w:r>
              <w:rPr>
                <w:rFonts w:ascii="Arial" w:cs="Arial" w:eastAsia="Arial" w:hAnsi="Arial"/>
                <w:sz w:val="14"/>
                <w:szCs w:val="14"/>
                <w:color w:val="auto"/>
              </w:rPr>
              <w:t>—</w:t>
            </w:r>
          </w:p>
        </w:tc>
        <w:tc>
          <w:tcPr>
            <w:tcW w:w="280" w:type="dxa"/>
            <w:vAlign w:val="bottom"/>
          </w:tcPr>
          <w:p>
            <w:pPr>
              <w:spacing w:after="0"/>
              <w:rPr>
                <w:sz w:val="12"/>
                <w:szCs w:val="12"/>
                <w:color w:val="auto"/>
              </w:rPr>
            </w:pPr>
          </w:p>
        </w:tc>
        <w:tc>
          <w:tcPr>
            <w:tcW w:w="860" w:type="dxa"/>
            <w:vAlign w:val="bottom"/>
          </w:tcPr>
          <w:p>
            <w:pPr>
              <w:jc w:val="right"/>
              <w:ind w:right="112"/>
              <w:spacing w:after="0" w:line="149" w:lineRule="exact"/>
              <w:rPr>
                <w:sz w:val="20"/>
                <w:szCs w:val="20"/>
                <w:color w:val="auto"/>
              </w:rPr>
            </w:pPr>
            <w:r>
              <w:rPr>
                <w:rFonts w:ascii="Arial" w:cs="Arial" w:eastAsia="Arial" w:hAnsi="Arial"/>
                <w:sz w:val="14"/>
                <w:szCs w:val="14"/>
                <w:color w:val="auto"/>
              </w:rPr>
              <w:t>(3,660)</w:t>
            </w:r>
          </w:p>
        </w:tc>
        <w:tc>
          <w:tcPr>
            <w:tcW w:w="240" w:type="dxa"/>
            <w:vAlign w:val="bottom"/>
          </w:tcPr>
          <w:p>
            <w:pPr>
              <w:spacing w:after="0"/>
              <w:rPr>
                <w:sz w:val="12"/>
                <w:szCs w:val="12"/>
                <w:color w:val="auto"/>
              </w:rPr>
            </w:pPr>
          </w:p>
        </w:tc>
        <w:tc>
          <w:tcPr>
            <w:tcW w:w="960" w:type="dxa"/>
            <w:vAlign w:val="bottom"/>
          </w:tcPr>
          <w:p>
            <w:pPr>
              <w:jc w:val="right"/>
              <w:ind w:right="152"/>
              <w:spacing w:after="0" w:line="149" w:lineRule="exact"/>
              <w:rPr>
                <w:sz w:val="20"/>
                <w:szCs w:val="20"/>
                <w:color w:val="auto"/>
              </w:rPr>
            </w:pPr>
            <w:r>
              <w:rPr>
                <w:rFonts w:ascii="Arial" w:cs="Arial" w:eastAsia="Arial" w:hAnsi="Arial"/>
                <w:sz w:val="14"/>
                <w:szCs w:val="14"/>
                <w:color w:val="auto"/>
              </w:rPr>
              <w:t>—</w:t>
            </w:r>
          </w:p>
        </w:tc>
        <w:tc>
          <w:tcPr>
            <w:tcW w:w="300" w:type="dxa"/>
            <w:vAlign w:val="bottom"/>
          </w:tcPr>
          <w:p>
            <w:pPr>
              <w:spacing w:after="0"/>
              <w:rPr>
                <w:sz w:val="12"/>
                <w:szCs w:val="12"/>
                <w:color w:val="auto"/>
              </w:rPr>
            </w:pPr>
          </w:p>
        </w:tc>
        <w:tc>
          <w:tcPr>
            <w:tcW w:w="840" w:type="dxa"/>
            <w:vAlign w:val="bottom"/>
          </w:tcPr>
          <w:p>
            <w:pPr>
              <w:jc w:val="right"/>
              <w:spacing w:after="0" w:line="149" w:lineRule="exact"/>
              <w:rPr>
                <w:sz w:val="20"/>
                <w:szCs w:val="20"/>
                <w:color w:val="auto"/>
              </w:rPr>
            </w:pPr>
            <w:r>
              <w:rPr>
                <w:rFonts w:ascii="Arial" w:cs="Arial" w:eastAsia="Arial" w:hAnsi="Arial"/>
                <w:sz w:val="14"/>
                <w:szCs w:val="14"/>
                <w:b w:val="1"/>
                <w:bCs w:val="1"/>
                <w:color w:val="auto"/>
              </w:rPr>
              <w:t>(3,660)</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400" w:type="dxa"/>
            <w:vAlign w:val="bottom"/>
          </w:tcPr>
          <w:p>
            <w:pPr>
              <w:ind w:left="200"/>
              <w:spacing w:after="0" w:line="149" w:lineRule="exact"/>
              <w:rPr>
                <w:sz w:val="20"/>
                <w:szCs w:val="20"/>
                <w:color w:val="auto"/>
              </w:rPr>
            </w:pPr>
            <w:r>
              <w:rPr>
                <w:rFonts w:ascii="Arial" w:cs="Arial" w:eastAsia="Arial" w:hAnsi="Arial"/>
                <w:sz w:val="14"/>
                <w:szCs w:val="14"/>
                <w:color w:val="auto"/>
              </w:rPr>
              <w:t>Cash paid for intangible assets</w:t>
            </w:r>
          </w:p>
        </w:tc>
        <w:tc>
          <w:tcPr>
            <w:tcW w:w="320" w:type="dxa"/>
            <w:vAlign w:val="bottom"/>
          </w:tcPr>
          <w:p>
            <w:pPr>
              <w:spacing w:after="0"/>
              <w:rPr>
                <w:sz w:val="12"/>
                <w:szCs w:val="12"/>
                <w:color w:val="auto"/>
              </w:rPr>
            </w:pPr>
          </w:p>
        </w:tc>
        <w:tc>
          <w:tcPr>
            <w:tcW w:w="660" w:type="dxa"/>
            <w:vAlign w:val="bottom"/>
          </w:tcPr>
          <w:p>
            <w:pPr>
              <w:jc w:val="right"/>
              <w:ind w:right="152"/>
              <w:spacing w:after="0" w:line="149" w:lineRule="exact"/>
              <w:rPr>
                <w:sz w:val="20"/>
                <w:szCs w:val="20"/>
                <w:color w:val="auto"/>
              </w:rPr>
            </w:pPr>
            <w:r>
              <w:rPr>
                <w:rFonts w:ascii="Arial" w:cs="Arial" w:eastAsia="Arial" w:hAnsi="Arial"/>
                <w:sz w:val="14"/>
                <w:szCs w:val="14"/>
                <w:color w:val="auto"/>
              </w:rPr>
              <w:t>—</w:t>
            </w:r>
          </w:p>
        </w:tc>
        <w:tc>
          <w:tcPr>
            <w:tcW w:w="280" w:type="dxa"/>
            <w:vAlign w:val="bottom"/>
          </w:tcPr>
          <w:p>
            <w:pPr>
              <w:spacing w:after="0"/>
              <w:rPr>
                <w:sz w:val="12"/>
                <w:szCs w:val="12"/>
                <w:color w:val="auto"/>
              </w:rPr>
            </w:pPr>
          </w:p>
        </w:tc>
        <w:tc>
          <w:tcPr>
            <w:tcW w:w="520" w:type="dxa"/>
            <w:vAlign w:val="bottom"/>
          </w:tcPr>
          <w:p>
            <w:pPr>
              <w:jc w:val="right"/>
              <w:ind w:right="152"/>
              <w:spacing w:after="0" w:line="149" w:lineRule="exact"/>
              <w:rPr>
                <w:sz w:val="20"/>
                <w:szCs w:val="20"/>
                <w:color w:val="auto"/>
              </w:rPr>
            </w:pPr>
            <w:r>
              <w:rPr>
                <w:rFonts w:ascii="Arial" w:cs="Arial" w:eastAsia="Arial" w:hAnsi="Arial"/>
                <w:sz w:val="14"/>
                <w:szCs w:val="14"/>
                <w:color w:val="auto"/>
              </w:rPr>
              <w:t>—</w:t>
            </w:r>
          </w:p>
        </w:tc>
        <w:tc>
          <w:tcPr>
            <w:tcW w:w="280" w:type="dxa"/>
            <w:vAlign w:val="bottom"/>
          </w:tcPr>
          <w:p>
            <w:pPr>
              <w:spacing w:after="0"/>
              <w:rPr>
                <w:sz w:val="12"/>
                <w:szCs w:val="12"/>
                <w:color w:val="auto"/>
              </w:rPr>
            </w:pPr>
          </w:p>
        </w:tc>
        <w:tc>
          <w:tcPr>
            <w:tcW w:w="520" w:type="dxa"/>
            <w:vAlign w:val="bottom"/>
          </w:tcPr>
          <w:p>
            <w:pPr>
              <w:jc w:val="right"/>
              <w:ind w:right="152"/>
              <w:spacing w:after="0" w:line="149" w:lineRule="exact"/>
              <w:rPr>
                <w:sz w:val="20"/>
                <w:szCs w:val="20"/>
                <w:color w:val="auto"/>
              </w:rPr>
            </w:pPr>
            <w:r>
              <w:rPr>
                <w:rFonts w:ascii="Arial" w:cs="Arial" w:eastAsia="Arial" w:hAnsi="Arial"/>
                <w:sz w:val="14"/>
                <w:szCs w:val="14"/>
                <w:color w:val="auto"/>
              </w:rPr>
              <w:t>—</w:t>
            </w:r>
          </w:p>
        </w:tc>
        <w:tc>
          <w:tcPr>
            <w:tcW w:w="260" w:type="dxa"/>
            <w:vAlign w:val="bottom"/>
          </w:tcPr>
          <w:p>
            <w:pPr>
              <w:spacing w:after="0"/>
              <w:rPr>
                <w:sz w:val="12"/>
                <w:szCs w:val="12"/>
                <w:color w:val="auto"/>
              </w:rPr>
            </w:pPr>
          </w:p>
        </w:tc>
        <w:tc>
          <w:tcPr>
            <w:tcW w:w="740" w:type="dxa"/>
            <w:vAlign w:val="bottom"/>
          </w:tcPr>
          <w:p>
            <w:pPr>
              <w:jc w:val="right"/>
              <w:ind w:right="152"/>
              <w:spacing w:after="0" w:line="149" w:lineRule="exact"/>
              <w:rPr>
                <w:sz w:val="20"/>
                <w:szCs w:val="20"/>
                <w:color w:val="auto"/>
              </w:rPr>
            </w:pPr>
            <w:r>
              <w:rPr>
                <w:rFonts w:ascii="Arial" w:cs="Arial" w:eastAsia="Arial" w:hAnsi="Arial"/>
                <w:sz w:val="14"/>
                <w:szCs w:val="14"/>
                <w:color w:val="auto"/>
              </w:rPr>
              <w:t>—</w:t>
            </w:r>
          </w:p>
        </w:tc>
        <w:tc>
          <w:tcPr>
            <w:tcW w:w="420" w:type="dxa"/>
            <w:vAlign w:val="bottom"/>
          </w:tcPr>
          <w:p>
            <w:pPr>
              <w:spacing w:after="0"/>
              <w:rPr>
                <w:sz w:val="12"/>
                <w:szCs w:val="12"/>
                <w:color w:val="auto"/>
              </w:rPr>
            </w:pPr>
          </w:p>
        </w:tc>
        <w:tc>
          <w:tcPr>
            <w:tcW w:w="520" w:type="dxa"/>
            <w:vAlign w:val="bottom"/>
          </w:tcPr>
          <w:p>
            <w:pPr>
              <w:jc w:val="right"/>
              <w:ind w:right="152"/>
              <w:spacing w:after="0" w:line="149" w:lineRule="exact"/>
              <w:rPr>
                <w:sz w:val="20"/>
                <w:szCs w:val="20"/>
                <w:color w:val="auto"/>
              </w:rPr>
            </w:pPr>
            <w:r>
              <w:rPr>
                <w:rFonts w:ascii="Arial" w:cs="Arial" w:eastAsia="Arial" w:hAnsi="Arial"/>
                <w:sz w:val="14"/>
                <w:szCs w:val="14"/>
                <w:color w:val="auto"/>
              </w:rPr>
              <w:t>—</w:t>
            </w:r>
          </w:p>
        </w:tc>
        <w:tc>
          <w:tcPr>
            <w:tcW w:w="280" w:type="dxa"/>
            <w:vAlign w:val="bottom"/>
          </w:tcPr>
          <w:p>
            <w:pPr>
              <w:spacing w:after="0"/>
              <w:rPr>
                <w:sz w:val="12"/>
                <w:szCs w:val="12"/>
                <w:color w:val="auto"/>
              </w:rPr>
            </w:pPr>
          </w:p>
        </w:tc>
        <w:tc>
          <w:tcPr>
            <w:tcW w:w="860" w:type="dxa"/>
            <w:vAlign w:val="bottom"/>
          </w:tcPr>
          <w:p>
            <w:pPr>
              <w:jc w:val="right"/>
              <w:ind w:right="112"/>
              <w:spacing w:after="0" w:line="149" w:lineRule="exact"/>
              <w:rPr>
                <w:sz w:val="20"/>
                <w:szCs w:val="20"/>
                <w:color w:val="auto"/>
              </w:rPr>
            </w:pPr>
            <w:r>
              <w:rPr>
                <w:rFonts w:ascii="Arial" w:cs="Arial" w:eastAsia="Arial" w:hAnsi="Arial"/>
                <w:sz w:val="14"/>
                <w:szCs w:val="14"/>
                <w:color w:val="auto"/>
              </w:rPr>
              <w:t>(615)</w:t>
            </w:r>
          </w:p>
        </w:tc>
        <w:tc>
          <w:tcPr>
            <w:tcW w:w="240" w:type="dxa"/>
            <w:vAlign w:val="bottom"/>
          </w:tcPr>
          <w:p>
            <w:pPr>
              <w:spacing w:after="0"/>
              <w:rPr>
                <w:sz w:val="12"/>
                <w:szCs w:val="12"/>
                <w:color w:val="auto"/>
              </w:rPr>
            </w:pPr>
          </w:p>
        </w:tc>
        <w:tc>
          <w:tcPr>
            <w:tcW w:w="960" w:type="dxa"/>
            <w:vAlign w:val="bottom"/>
          </w:tcPr>
          <w:p>
            <w:pPr>
              <w:jc w:val="right"/>
              <w:ind w:right="152"/>
              <w:spacing w:after="0" w:line="149" w:lineRule="exact"/>
              <w:rPr>
                <w:sz w:val="20"/>
                <w:szCs w:val="20"/>
                <w:color w:val="auto"/>
              </w:rPr>
            </w:pPr>
            <w:r>
              <w:rPr>
                <w:rFonts w:ascii="Arial" w:cs="Arial" w:eastAsia="Arial" w:hAnsi="Arial"/>
                <w:sz w:val="14"/>
                <w:szCs w:val="14"/>
                <w:color w:val="auto"/>
              </w:rPr>
              <w:t>—</w:t>
            </w:r>
          </w:p>
        </w:tc>
        <w:tc>
          <w:tcPr>
            <w:tcW w:w="300" w:type="dxa"/>
            <w:vAlign w:val="bottom"/>
          </w:tcPr>
          <w:p>
            <w:pPr>
              <w:spacing w:after="0"/>
              <w:rPr>
                <w:sz w:val="12"/>
                <w:szCs w:val="12"/>
                <w:color w:val="auto"/>
              </w:rPr>
            </w:pPr>
          </w:p>
        </w:tc>
        <w:tc>
          <w:tcPr>
            <w:tcW w:w="840" w:type="dxa"/>
            <w:vAlign w:val="bottom"/>
          </w:tcPr>
          <w:p>
            <w:pPr>
              <w:jc w:val="right"/>
              <w:spacing w:after="0" w:line="149" w:lineRule="exact"/>
              <w:rPr>
                <w:sz w:val="20"/>
                <w:szCs w:val="20"/>
                <w:color w:val="auto"/>
              </w:rPr>
            </w:pPr>
            <w:r>
              <w:rPr>
                <w:rFonts w:ascii="Arial" w:cs="Arial" w:eastAsia="Arial" w:hAnsi="Arial"/>
                <w:sz w:val="14"/>
                <w:szCs w:val="14"/>
                <w:b w:val="1"/>
                <w:bCs w:val="1"/>
                <w:color w:val="auto"/>
              </w:rPr>
              <w:t>(615)</w:t>
            </w:r>
          </w:p>
        </w:tc>
        <w:tc>
          <w:tcPr>
            <w:tcW w:w="0" w:type="dxa"/>
            <w:vAlign w:val="bottom"/>
          </w:tcPr>
          <w:p>
            <w:pPr>
              <w:spacing w:after="0"/>
              <w:rPr>
                <w:sz w:val="1"/>
                <w:szCs w:val="1"/>
                <w:color w:val="auto"/>
              </w:rPr>
            </w:pPr>
          </w:p>
        </w:tc>
      </w:tr>
      <w:tr>
        <w:trPr>
          <w:trHeight w:val="165"/>
        </w:trPr>
        <w:tc>
          <w:tcPr>
            <w:tcW w:w="20" w:type="dxa"/>
            <w:vAlign w:val="bottom"/>
          </w:tcPr>
          <w:p>
            <w:pPr>
              <w:spacing w:after="0"/>
              <w:rPr>
                <w:sz w:val="14"/>
                <w:szCs w:val="14"/>
                <w:color w:val="auto"/>
              </w:rPr>
            </w:pPr>
          </w:p>
        </w:tc>
        <w:tc>
          <w:tcPr>
            <w:tcW w:w="3400" w:type="dxa"/>
            <w:vAlign w:val="bottom"/>
          </w:tcPr>
          <w:p>
            <w:pPr>
              <w:ind w:left="200"/>
              <w:spacing w:after="0"/>
              <w:rPr>
                <w:sz w:val="20"/>
                <w:szCs w:val="20"/>
                <w:color w:val="auto"/>
              </w:rPr>
            </w:pPr>
            <w:r>
              <w:rPr>
                <w:rFonts w:ascii="Arial" w:cs="Arial" w:eastAsia="Arial" w:hAnsi="Arial"/>
                <w:sz w:val="14"/>
                <w:szCs w:val="14"/>
                <w:color w:val="auto"/>
              </w:rPr>
              <w:t>Acquisitions, net of cash acquired</w:t>
            </w:r>
          </w:p>
        </w:tc>
        <w:tc>
          <w:tcPr>
            <w:tcW w:w="320" w:type="dxa"/>
            <w:vAlign w:val="bottom"/>
          </w:tcPr>
          <w:p>
            <w:pPr>
              <w:spacing w:after="0"/>
              <w:rPr>
                <w:sz w:val="14"/>
                <w:szCs w:val="14"/>
                <w:color w:val="auto"/>
              </w:rPr>
            </w:pPr>
          </w:p>
        </w:tc>
        <w:tc>
          <w:tcPr>
            <w:tcW w:w="660" w:type="dxa"/>
            <w:vAlign w:val="bottom"/>
          </w:tcPr>
          <w:p>
            <w:pPr>
              <w:jc w:val="right"/>
              <w:ind w:right="152"/>
              <w:spacing w:after="0"/>
              <w:rPr>
                <w:sz w:val="20"/>
                <w:szCs w:val="20"/>
                <w:color w:val="auto"/>
              </w:rPr>
            </w:pPr>
            <w:r>
              <w:rPr>
                <w:rFonts w:ascii="Arial" w:cs="Arial" w:eastAsia="Arial" w:hAnsi="Arial"/>
                <w:sz w:val="14"/>
                <w:szCs w:val="14"/>
                <w:color w:val="auto"/>
              </w:rPr>
              <w:t>—</w:t>
            </w:r>
          </w:p>
        </w:tc>
        <w:tc>
          <w:tcPr>
            <w:tcW w:w="280" w:type="dxa"/>
            <w:vAlign w:val="bottom"/>
          </w:tcPr>
          <w:p>
            <w:pPr>
              <w:spacing w:after="0"/>
              <w:rPr>
                <w:sz w:val="14"/>
                <w:szCs w:val="14"/>
                <w:color w:val="auto"/>
              </w:rPr>
            </w:pPr>
          </w:p>
        </w:tc>
        <w:tc>
          <w:tcPr>
            <w:tcW w:w="520" w:type="dxa"/>
            <w:vAlign w:val="bottom"/>
          </w:tcPr>
          <w:p>
            <w:pPr>
              <w:jc w:val="right"/>
              <w:ind w:right="152"/>
              <w:spacing w:after="0"/>
              <w:rPr>
                <w:sz w:val="20"/>
                <w:szCs w:val="20"/>
                <w:color w:val="auto"/>
              </w:rPr>
            </w:pPr>
            <w:r>
              <w:rPr>
                <w:rFonts w:ascii="Arial" w:cs="Arial" w:eastAsia="Arial" w:hAnsi="Arial"/>
                <w:sz w:val="14"/>
                <w:szCs w:val="14"/>
                <w:color w:val="auto"/>
              </w:rPr>
              <w:t>—</w:t>
            </w:r>
          </w:p>
        </w:tc>
        <w:tc>
          <w:tcPr>
            <w:tcW w:w="280" w:type="dxa"/>
            <w:vAlign w:val="bottom"/>
          </w:tcPr>
          <w:p>
            <w:pPr>
              <w:spacing w:after="0"/>
              <w:rPr>
                <w:sz w:val="14"/>
                <w:szCs w:val="14"/>
                <w:color w:val="auto"/>
              </w:rPr>
            </w:pPr>
          </w:p>
        </w:tc>
        <w:tc>
          <w:tcPr>
            <w:tcW w:w="520" w:type="dxa"/>
            <w:vAlign w:val="bottom"/>
          </w:tcPr>
          <w:p>
            <w:pPr>
              <w:jc w:val="right"/>
              <w:ind w:right="152"/>
              <w:spacing w:after="0"/>
              <w:rPr>
                <w:sz w:val="20"/>
                <w:szCs w:val="20"/>
                <w:color w:val="auto"/>
              </w:rPr>
            </w:pPr>
            <w:r>
              <w:rPr>
                <w:rFonts w:ascii="Arial" w:cs="Arial" w:eastAsia="Arial" w:hAnsi="Arial"/>
                <w:sz w:val="14"/>
                <w:szCs w:val="14"/>
                <w:color w:val="auto"/>
              </w:rPr>
              <w:t>—</w:t>
            </w:r>
          </w:p>
        </w:tc>
        <w:tc>
          <w:tcPr>
            <w:tcW w:w="260" w:type="dxa"/>
            <w:vAlign w:val="bottom"/>
          </w:tcPr>
          <w:p>
            <w:pPr>
              <w:spacing w:after="0"/>
              <w:rPr>
                <w:sz w:val="14"/>
                <w:szCs w:val="14"/>
                <w:color w:val="auto"/>
              </w:rPr>
            </w:pPr>
          </w:p>
        </w:tc>
        <w:tc>
          <w:tcPr>
            <w:tcW w:w="740" w:type="dxa"/>
            <w:vAlign w:val="bottom"/>
          </w:tcPr>
          <w:p>
            <w:pPr>
              <w:jc w:val="right"/>
              <w:ind w:right="152"/>
              <w:spacing w:after="0"/>
              <w:rPr>
                <w:sz w:val="20"/>
                <w:szCs w:val="20"/>
                <w:color w:val="auto"/>
              </w:rPr>
            </w:pPr>
            <w:r>
              <w:rPr>
                <w:rFonts w:ascii="Arial" w:cs="Arial" w:eastAsia="Arial" w:hAnsi="Arial"/>
                <w:sz w:val="14"/>
                <w:szCs w:val="14"/>
                <w:color w:val="auto"/>
              </w:rPr>
              <w:t>—</w:t>
            </w:r>
          </w:p>
        </w:tc>
        <w:tc>
          <w:tcPr>
            <w:tcW w:w="420" w:type="dxa"/>
            <w:vAlign w:val="bottom"/>
          </w:tcPr>
          <w:p>
            <w:pPr>
              <w:spacing w:after="0"/>
              <w:rPr>
                <w:sz w:val="14"/>
                <w:szCs w:val="14"/>
                <w:color w:val="auto"/>
              </w:rPr>
            </w:pPr>
          </w:p>
        </w:tc>
        <w:tc>
          <w:tcPr>
            <w:tcW w:w="520" w:type="dxa"/>
            <w:vAlign w:val="bottom"/>
          </w:tcPr>
          <w:p>
            <w:pPr>
              <w:jc w:val="right"/>
              <w:ind w:right="152"/>
              <w:spacing w:after="0"/>
              <w:rPr>
                <w:sz w:val="20"/>
                <w:szCs w:val="20"/>
                <w:color w:val="auto"/>
              </w:rPr>
            </w:pPr>
            <w:r>
              <w:rPr>
                <w:rFonts w:ascii="Arial" w:cs="Arial" w:eastAsia="Arial" w:hAnsi="Arial"/>
                <w:sz w:val="14"/>
                <w:szCs w:val="14"/>
                <w:color w:val="auto"/>
              </w:rPr>
              <w:t>—</w:t>
            </w:r>
          </w:p>
        </w:tc>
        <w:tc>
          <w:tcPr>
            <w:tcW w:w="280" w:type="dxa"/>
            <w:vAlign w:val="bottom"/>
          </w:tcPr>
          <w:p>
            <w:pPr>
              <w:spacing w:after="0"/>
              <w:rPr>
                <w:sz w:val="14"/>
                <w:szCs w:val="14"/>
                <w:color w:val="auto"/>
              </w:rPr>
            </w:pPr>
          </w:p>
        </w:tc>
        <w:tc>
          <w:tcPr>
            <w:tcW w:w="860" w:type="dxa"/>
            <w:vAlign w:val="bottom"/>
          </w:tcPr>
          <w:p>
            <w:pPr>
              <w:jc w:val="right"/>
              <w:ind w:right="112"/>
              <w:spacing w:after="0"/>
              <w:rPr>
                <w:sz w:val="20"/>
                <w:szCs w:val="20"/>
                <w:color w:val="auto"/>
              </w:rPr>
            </w:pPr>
            <w:r>
              <w:rPr>
                <w:rFonts w:ascii="Arial" w:cs="Arial" w:eastAsia="Arial" w:hAnsi="Arial"/>
                <w:sz w:val="14"/>
                <w:szCs w:val="14"/>
                <w:color w:val="auto"/>
              </w:rPr>
              <w:t>(296)</w:t>
            </w:r>
          </w:p>
        </w:tc>
        <w:tc>
          <w:tcPr>
            <w:tcW w:w="240" w:type="dxa"/>
            <w:vAlign w:val="bottom"/>
          </w:tcPr>
          <w:p>
            <w:pPr>
              <w:spacing w:after="0"/>
              <w:rPr>
                <w:sz w:val="14"/>
                <w:szCs w:val="14"/>
                <w:color w:val="auto"/>
              </w:rPr>
            </w:pPr>
          </w:p>
        </w:tc>
        <w:tc>
          <w:tcPr>
            <w:tcW w:w="960" w:type="dxa"/>
            <w:vAlign w:val="bottom"/>
          </w:tcPr>
          <w:p>
            <w:pPr>
              <w:jc w:val="right"/>
              <w:ind w:right="152"/>
              <w:spacing w:after="0"/>
              <w:rPr>
                <w:sz w:val="20"/>
                <w:szCs w:val="20"/>
                <w:color w:val="auto"/>
              </w:rPr>
            </w:pPr>
            <w:r>
              <w:rPr>
                <w:rFonts w:ascii="Arial" w:cs="Arial" w:eastAsia="Arial" w:hAnsi="Arial"/>
                <w:sz w:val="14"/>
                <w:szCs w:val="14"/>
                <w:color w:val="auto"/>
              </w:rPr>
              <w:t>—</w:t>
            </w:r>
          </w:p>
        </w:tc>
        <w:tc>
          <w:tcPr>
            <w:tcW w:w="300" w:type="dxa"/>
            <w:vAlign w:val="bottom"/>
          </w:tcPr>
          <w:p>
            <w:pPr>
              <w:spacing w:after="0"/>
              <w:rPr>
                <w:sz w:val="14"/>
                <w:szCs w:val="14"/>
                <w:color w:val="auto"/>
              </w:rPr>
            </w:pPr>
          </w:p>
        </w:tc>
        <w:tc>
          <w:tcPr>
            <w:tcW w:w="840" w:type="dxa"/>
            <w:vAlign w:val="bottom"/>
          </w:tcPr>
          <w:p>
            <w:pPr>
              <w:jc w:val="right"/>
              <w:spacing w:after="0"/>
              <w:rPr>
                <w:sz w:val="20"/>
                <w:szCs w:val="20"/>
                <w:color w:val="auto"/>
              </w:rPr>
            </w:pPr>
            <w:r>
              <w:rPr>
                <w:rFonts w:ascii="Arial" w:cs="Arial" w:eastAsia="Arial" w:hAnsi="Arial"/>
                <w:sz w:val="14"/>
                <w:szCs w:val="14"/>
                <w:b w:val="1"/>
                <w:bCs w:val="1"/>
                <w:color w:val="auto"/>
              </w:rPr>
              <w:t>(296)</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400" w:type="dxa"/>
            <w:vAlign w:val="bottom"/>
          </w:tcPr>
          <w:p>
            <w:pPr>
              <w:ind w:left="200"/>
              <w:spacing w:after="0" w:line="149" w:lineRule="exact"/>
              <w:rPr>
                <w:sz w:val="20"/>
                <w:szCs w:val="20"/>
                <w:color w:val="auto"/>
              </w:rPr>
            </w:pPr>
            <w:r>
              <w:rPr>
                <w:rFonts w:ascii="Arial" w:cs="Arial" w:eastAsia="Arial" w:hAnsi="Arial"/>
                <w:sz w:val="14"/>
                <w:szCs w:val="14"/>
                <w:color w:val="auto"/>
              </w:rPr>
              <w:t>Proceeds from sales and restructuring of</w:t>
            </w:r>
          </w:p>
        </w:tc>
        <w:tc>
          <w:tcPr>
            <w:tcW w:w="32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42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86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96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840" w:type="dxa"/>
            <w:vAlign w:val="bottom"/>
            <w:vMerge w:val="restart"/>
          </w:tcPr>
          <w:p>
            <w:pPr>
              <w:jc w:val="right"/>
              <w:spacing w:after="0"/>
              <w:rPr>
                <w:sz w:val="20"/>
                <w:szCs w:val="20"/>
                <w:color w:val="auto"/>
              </w:rPr>
            </w:pPr>
            <w:r>
              <w:rPr>
                <w:rFonts w:ascii="Arial" w:cs="Arial" w:eastAsia="Arial" w:hAnsi="Arial"/>
                <w:sz w:val="14"/>
                <w:szCs w:val="14"/>
                <w:b w:val="1"/>
                <w:bCs w:val="1"/>
                <w:color w:val="auto"/>
              </w:rPr>
              <w:t>228</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3400" w:type="dxa"/>
            <w:vAlign w:val="bottom"/>
          </w:tcPr>
          <w:p>
            <w:pPr>
              <w:ind w:left="420"/>
              <w:spacing w:after="0" w:line="133" w:lineRule="exact"/>
              <w:rPr>
                <w:sz w:val="20"/>
                <w:szCs w:val="20"/>
                <w:color w:val="auto"/>
              </w:rPr>
            </w:pPr>
            <w:r>
              <w:rPr>
                <w:rFonts w:ascii="Arial" w:cs="Arial" w:eastAsia="Arial" w:hAnsi="Arial"/>
                <w:sz w:val="14"/>
                <w:szCs w:val="14"/>
                <w:color w:val="auto"/>
              </w:rPr>
              <w:t>investments</w:t>
            </w:r>
          </w:p>
        </w:tc>
        <w:tc>
          <w:tcPr>
            <w:tcW w:w="320" w:type="dxa"/>
            <w:vAlign w:val="bottom"/>
          </w:tcPr>
          <w:p>
            <w:pPr>
              <w:spacing w:after="0"/>
              <w:rPr>
                <w:sz w:val="11"/>
                <w:szCs w:val="11"/>
                <w:color w:val="auto"/>
              </w:rPr>
            </w:pPr>
          </w:p>
        </w:tc>
        <w:tc>
          <w:tcPr>
            <w:tcW w:w="660" w:type="dxa"/>
            <w:vAlign w:val="bottom"/>
          </w:tcPr>
          <w:p>
            <w:pPr>
              <w:jc w:val="right"/>
              <w:ind w:right="152"/>
              <w:spacing w:after="0" w:line="133" w:lineRule="exact"/>
              <w:rPr>
                <w:sz w:val="20"/>
                <w:szCs w:val="20"/>
                <w:color w:val="auto"/>
              </w:rPr>
            </w:pPr>
            <w:r>
              <w:rPr>
                <w:rFonts w:ascii="Arial" w:cs="Arial" w:eastAsia="Arial" w:hAnsi="Arial"/>
                <w:sz w:val="14"/>
                <w:szCs w:val="14"/>
                <w:color w:val="auto"/>
              </w:rPr>
              <w:t>—</w:t>
            </w:r>
          </w:p>
        </w:tc>
        <w:tc>
          <w:tcPr>
            <w:tcW w:w="280" w:type="dxa"/>
            <w:vAlign w:val="bottom"/>
          </w:tcPr>
          <w:p>
            <w:pPr>
              <w:spacing w:after="0"/>
              <w:rPr>
                <w:sz w:val="11"/>
                <w:szCs w:val="11"/>
                <w:color w:val="auto"/>
              </w:rPr>
            </w:pPr>
          </w:p>
        </w:tc>
        <w:tc>
          <w:tcPr>
            <w:tcW w:w="520" w:type="dxa"/>
            <w:vAlign w:val="bottom"/>
          </w:tcPr>
          <w:p>
            <w:pPr>
              <w:jc w:val="right"/>
              <w:ind w:right="152"/>
              <w:spacing w:after="0" w:line="133" w:lineRule="exact"/>
              <w:rPr>
                <w:sz w:val="20"/>
                <w:szCs w:val="20"/>
                <w:color w:val="auto"/>
              </w:rPr>
            </w:pPr>
            <w:r>
              <w:rPr>
                <w:rFonts w:ascii="Arial" w:cs="Arial" w:eastAsia="Arial" w:hAnsi="Arial"/>
                <w:sz w:val="14"/>
                <w:szCs w:val="14"/>
                <w:color w:val="auto"/>
              </w:rPr>
              <w:t>—</w:t>
            </w:r>
          </w:p>
        </w:tc>
        <w:tc>
          <w:tcPr>
            <w:tcW w:w="280" w:type="dxa"/>
            <w:vAlign w:val="bottom"/>
          </w:tcPr>
          <w:p>
            <w:pPr>
              <w:spacing w:after="0"/>
              <w:rPr>
                <w:sz w:val="11"/>
                <w:szCs w:val="11"/>
                <w:color w:val="auto"/>
              </w:rPr>
            </w:pPr>
          </w:p>
        </w:tc>
        <w:tc>
          <w:tcPr>
            <w:tcW w:w="520" w:type="dxa"/>
            <w:vAlign w:val="bottom"/>
          </w:tcPr>
          <w:p>
            <w:pPr>
              <w:jc w:val="right"/>
              <w:ind w:right="152"/>
              <w:spacing w:after="0" w:line="133" w:lineRule="exact"/>
              <w:rPr>
                <w:sz w:val="20"/>
                <w:szCs w:val="20"/>
                <w:color w:val="auto"/>
              </w:rPr>
            </w:pPr>
            <w:r>
              <w:rPr>
                <w:rFonts w:ascii="Arial" w:cs="Arial" w:eastAsia="Arial" w:hAnsi="Arial"/>
                <w:sz w:val="14"/>
                <w:szCs w:val="14"/>
                <w:color w:val="auto"/>
              </w:rPr>
              <w:t>—</w:t>
            </w:r>
          </w:p>
        </w:tc>
        <w:tc>
          <w:tcPr>
            <w:tcW w:w="260" w:type="dxa"/>
            <w:vAlign w:val="bottom"/>
          </w:tcPr>
          <w:p>
            <w:pPr>
              <w:spacing w:after="0"/>
              <w:rPr>
                <w:sz w:val="11"/>
                <w:szCs w:val="11"/>
                <w:color w:val="auto"/>
              </w:rPr>
            </w:pPr>
          </w:p>
        </w:tc>
        <w:tc>
          <w:tcPr>
            <w:tcW w:w="740" w:type="dxa"/>
            <w:vAlign w:val="bottom"/>
          </w:tcPr>
          <w:p>
            <w:pPr>
              <w:jc w:val="right"/>
              <w:ind w:right="152"/>
              <w:spacing w:after="0" w:line="133" w:lineRule="exact"/>
              <w:rPr>
                <w:sz w:val="20"/>
                <w:szCs w:val="20"/>
                <w:color w:val="auto"/>
              </w:rPr>
            </w:pPr>
            <w:r>
              <w:rPr>
                <w:rFonts w:ascii="Arial" w:cs="Arial" w:eastAsia="Arial" w:hAnsi="Arial"/>
                <w:sz w:val="14"/>
                <w:szCs w:val="14"/>
                <w:color w:val="auto"/>
              </w:rPr>
              <w:t>—</w:t>
            </w:r>
          </w:p>
        </w:tc>
        <w:tc>
          <w:tcPr>
            <w:tcW w:w="420" w:type="dxa"/>
            <w:vAlign w:val="bottom"/>
          </w:tcPr>
          <w:p>
            <w:pPr>
              <w:spacing w:after="0"/>
              <w:rPr>
                <w:sz w:val="11"/>
                <w:szCs w:val="11"/>
                <w:color w:val="auto"/>
              </w:rPr>
            </w:pPr>
          </w:p>
        </w:tc>
        <w:tc>
          <w:tcPr>
            <w:tcW w:w="520" w:type="dxa"/>
            <w:vAlign w:val="bottom"/>
          </w:tcPr>
          <w:p>
            <w:pPr>
              <w:jc w:val="right"/>
              <w:ind w:right="152"/>
              <w:spacing w:after="0" w:line="133" w:lineRule="exact"/>
              <w:rPr>
                <w:sz w:val="20"/>
                <w:szCs w:val="20"/>
                <w:color w:val="auto"/>
              </w:rPr>
            </w:pPr>
            <w:r>
              <w:rPr>
                <w:rFonts w:ascii="Arial" w:cs="Arial" w:eastAsia="Arial" w:hAnsi="Arial"/>
                <w:sz w:val="14"/>
                <w:szCs w:val="14"/>
                <w:color w:val="auto"/>
              </w:rPr>
              <w:t>—</w:t>
            </w:r>
          </w:p>
        </w:tc>
        <w:tc>
          <w:tcPr>
            <w:tcW w:w="280" w:type="dxa"/>
            <w:vAlign w:val="bottom"/>
          </w:tcPr>
          <w:p>
            <w:pPr>
              <w:spacing w:after="0"/>
              <w:rPr>
                <w:sz w:val="11"/>
                <w:szCs w:val="11"/>
                <w:color w:val="auto"/>
              </w:rPr>
            </w:pPr>
          </w:p>
        </w:tc>
        <w:tc>
          <w:tcPr>
            <w:tcW w:w="860" w:type="dxa"/>
            <w:vAlign w:val="bottom"/>
          </w:tcPr>
          <w:p>
            <w:pPr>
              <w:jc w:val="right"/>
              <w:ind w:right="152"/>
              <w:spacing w:after="0" w:line="133" w:lineRule="exact"/>
              <w:rPr>
                <w:sz w:val="20"/>
                <w:szCs w:val="20"/>
                <w:color w:val="auto"/>
              </w:rPr>
            </w:pPr>
            <w:r>
              <w:rPr>
                <w:rFonts w:ascii="Arial" w:cs="Arial" w:eastAsia="Arial" w:hAnsi="Arial"/>
                <w:sz w:val="14"/>
                <w:szCs w:val="14"/>
                <w:color w:val="auto"/>
              </w:rPr>
              <w:t>228</w:t>
            </w:r>
          </w:p>
        </w:tc>
        <w:tc>
          <w:tcPr>
            <w:tcW w:w="240" w:type="dxa"/>
            <w:vAlign w:val="bottom"/>
          </w:tcPr>
          <w:p>
            <w:pPr>
              <w:spacing w:after="0"/>
              <w:rPr>
                <w:sz w:val="11"/>
                <w:szCs w:val="11"/>
                <w:color w:val="auto"/>
              </w:rPr>
            </w:pPr>
          </w:p>
        </w:tc>
        <w:tc>
          <w:tcPr>
            <w:tcW w:w="960" w:type="dxa"/>
            <w:vAlign w:val="bottom"/>
          </w:tcPr>
          <w:p>
            <w:pPr>
              <w:jc w:val="right"/>
              <w:ind w:right="152"/>
              <w:spacing w:after="0" w:line="133" w:lineRule="exact"/>
              <w:rPr>
                <w:sz w:val="20"/>
                <w:szCs w:val="20"/>
                <w:color w:val="auto"/>
              </w:rPr>
            </w:pPr>
            <w:r>
              <w:rPr>
                <w:rFonts w:ascii="Arial" w:cs="Arial" w:eastAsia="Arial" w:hAnsi="Arial"/>
                <w:sz w:val="14"/>
                <w:szCs w:val="14"/>
                <w:color w:val="auto"/>
              </w:rPr>
              <w:t>—</w:t>
            </w:r>
          </w:p>
        </w:tc>
        <w:tc>
          <w:tcPr>
            <w:tcW w:w="300" w:type="dxa"/>
            <w:vAlign w:val="bottom"/>
          </w:tcPr>
          <w:p>
            <w:pPr>
              <w:spacing w:after="0"/>
              <w:rPr>
                <w:sz w:val="11"/>
                <w:szCs w:val="11"/>
                <w:color w:val="auto"/>
              </w:rPr>
            </w:pPr>
          </w:p>
        </w:tc>
        <w:tc>
          <w:tcPr>
            <w:tcW w:w="840" w:type="dxa"/>
            <w:vAlign w:val="bottom"/>
            <w:vMerge w:val="continue"/>
          </w:tcPr>
          <w:p>
            <w:pPr>
              <w:spacing w:after="0"/>
              <w:rPr>
                <w:sz w:val="11"/>
                <w:szCs w:val="11"/>
                <w:color w:val="auto"/>
              </w:rPr>
            </w:pPr>
          </w:p>
        </w:tc>
        <w:tc>
          <w:tcPr>
            <w:tcW w:w="0" w:type="dxa"/>
            <w:vAlign w:val="bottom"/>
          </w:tcPr>
          <w:p>
            <w:pPr>
              <w:spacing w:after="0"/>
              <w:rPr>
                <w:sz w:val="1"/>
                <w:szCs w:val="1"/>
                <w:color w:val="auto"/>
              </w:rPr>
            </w:pPr>
          </w:p>
        </w:tc>
      </w:tr>
      <w:tr>
        <w:trPr>
          <w:trHeight w:val="165"/>
        </w:trPr>
        <w:tc>
          <w:tcPr>
            <w:tcW w:w="20" w:type="dxa"/>
            <w:vAlign w:val="bottom"/>
          </w:tcPr>
          <w:p>
            <w:pPr>
              <w:spacing w:after="0"/>
              <w:rPr>
                <w:sz w:val="14"/>
                <w:szCs w:val="14"/>
                <w:color w:val="auto"/>
              </w:rPr>
            </w:pPr>
          </w:p>
        </w:tc>
        <w:tc>
          <w:tcPr>
            <w:tcW w:w="3400" w:type="dxa"/>
            <w:vAlign w:val="bottom"/>
          </w:tcPr>
          <w:p>
            <w:pPr>
              <w:ind w:left="200"/>
              <w:spacing w:after="0"/>
              <w:rPr>
                <w:sz w:val="20"/>
                <w:szCs w:val="20"/>
                <w:color w:val="auto"/>
              </w:rPr>
            </w:pPr>
            <w:r>
              <w:rPr>
                <w:rFonts w:ascii="Arial" w:cs="Arial" w:eastAsia="Arial" w:hAnsi="Arial"/>
                <w:sz w:val="14"/>
                <w:szCs w:val="14"/>
                <w:color w:val="auto"/>
              </w:rPr>
              <w:t>Purchases of investments</w:t>
            </w:r>
          </w:p>
        </w:tc>
        <w:tc>
          <w:tcPr>
            <w:tcW w:w="320" w:type="dxa"/>
            <w:vAlign w:val="bottom"/>
          </w:tcPr>
          <w:p>
            <w:pPr>
              <w:spacing w:after="0"/>
              <w:rPr>
                <w:sz w:val="14"/>
                <w:szCs w:val="14"/>
                <w:color w:val="auto"/>
              </w:rPr>
            </w:pPr>
          </w:p>
        </w:tc>
        <w:tc>
          <w:tcPr>
            <w:tcW w:w="660" w:type="dxa"/>
            <w:vAlign w:val="bottom"/>
          </w:tcPr>
          <w:p>
            <w:pPr>
              <w:jc w:val="right"/>
              <w:ind w:right="152"/>
              <w:spacing w:after="0"/>
              <w:rPr>
                <w:sz w:val="20"/>
                <w:szCs w:val="20"/>
                <w:color w:val="auto"/>
              </w:rPr>
            </w:pPr>
            <w:r>
              <w:rPr>
                <w:rFonts w:ascii="Arial" w:cs="Arial" w:eastAsia="Arial" w:hAnsi="Arial"/>
                <w:sz w:val="14"/>
                <w:szCs w:val="14"/>
                <w:color w:val="auto"/>
              </w:rPr>
              <w:t>—</w:t>
            </w:r>
          </w:p>
        </w:tc>
        <w:tc>
          <w:tcPr>
            <w:tcW w:w="280" w:type="dxa"/>
            <w:vAlign w:val="bottom"/>
          </w:tcPr>
          <w:p>
            <w:pPr>
              <w:spacing w:after="0"/>
              <w:rPr>
                <w:sz w:val="14"/>
                <w:szCs w:val="14"/>
                <w:color w:val="auto"/>
              </w:rPr>
            </w:pPr>
          </w:p>
        </w:tc>
        <w:tc>
          <w:tcPr>
            <w:tcW w:w="520" w:type="dxa"/>
            <w:vAlign w:val="bottom"/>
          </w:tcPr>
          <w:p>
            <w:pPr>
              <w:jc w:val="right"/>
              <w:ind w:right="152"/>
              <w:spacing w:after="0"/>
              <w:rPr>
                <w:sz w:val="20"/>
                <w:szCs w:val="20"/>
                <w:color w:val="auto"/>
              </w:rPr>
            </w:pPr>
            <w:r>
              <w:rPr>
                <w:rFonts w:ascii="Arial" w:cs="Arial" w:eastAsia="Arial" w:hAnsi="Arial"/>
                <w:sz w:val="14"/>
                <w:szCs w:val="14"/>
                <w:color w:val="auto"/>
              </w:rPr>
              <w:t>—</w:t>
            </w:r>
          </w:p>
        </w:tc>
        <w:tc>
          <w:tcPr>
            <w:tcW w:w="280" w:type="dxa"/>
            <w:vAlign w:val="bottom"/>
          </w:tcPr>
          <w:p>
            <w:pPr>
              <w:spacing w:after="0"/>
              <w:rPr>
                <w:sz w:val="14"/>
                <w:szCs w:val="14"/>
                <w:color w:val="auto"/>
              </w:rPr>
            </w:pPr>
          </w:p>
        </w:tc>
        <w:tc>
          <w:tcPr>
            <w:tcW w:w="520" w:type="dxa"/>
            <w:vAlign w:val="bottom"/>
          </w:tcPr>
          <w:p>
            <w:pPr>
              <w:jc w:val="right"/>
              <w:ind w:right="152"/>
              <w:spacing w:after="0"/>
              <w:rPr>
                <w:sz w:val="20"/>
                <w:szCs w:val="20"/>
                <w:color w:val="auto"/>
              </w:rPr>
            </w:pPr>
            <w:r>
              <w:rPr>
                <w:rFonts w:ascii="Arial" w:cs="Arial" w:eastAsia="Arial" w:hAnsi="Arial"/>
                <w:sz w:val="14"/>
                <w:szCs w:val="14"/>
                <w:color w:val="auto"/>
              </w:rPr>
              <w:t>—</w:t>
            </w:r>
          </w:p>
        </w:tc>
        <w:tc>
          <w:tcPr>
            <w:tcW w:w="260" w:type="dxa"/>
            <w:vAlign w:val="bottom"/>
          </w:tcPr>
          <w:p>
            <w:pPr>
              <w:spacing w:after="0"/>
              <w:rPr>
                <w:sz w:val="14"/>
                <w:szCs w:val="14"/>
                <w:color w:val="auto"/>
              </w:rPr>
            </w:pPr>
          </w:p>
        </w:tc>
        <w:tc>
          <w:tcPr>
            <w:tcW w:w="740" w:type="dxa"/>
            <w:vAlign w:val="bottom"/>
          </w:tcPr>
          <w:p>
            <w:pPr>
              <w:jc w:val="right"/>
              <w:ind w:right="152"/>
              <w:spacing w:after="0"/>
              <w:rPr>
                <w:sz w:val="20"/>
                <w:szCs w:val="20"/>
                <w:color w:val="auto"/>
              </w:rPr>
            </w:pPr>
            <w:r>
              <w:rPr>
                <w:rFonts w:ascii="Arial" w:cs="Arial" w:eastAsia="Arial" w:hAnsi="Arial"/>
                <w:sz w:val="14"/>
                <w:szCs w:val="14"/>
                <w:color w:val="auto"/>
              </w:rPr>
              <w:t>—</w:t>
            </w:r>
          </w:p>
        </w:tc>
        <w:tc>
          <w:tcPr>
            <w:tcW w:w="420" w:type="dxa"/>
            <w:vAlign w:val="bottom"/>
          </w:tcPr>
          <w:p>
            <w:pPr>
              <w:spacing w:after="0"/>
              <w:rPr>
                <w:sz w:val="14"/>
                <w:szCs w:val="14"/>
                <w:color w:val="auto"/>
              </w:rPr>
            </w:pPr>
          </w:p>
        </w:tc>
        <w:tc>
          <w:tcPr>
            <w:tcW w:w="520" w:type="dxa"/>
            <w:vAlign w:val="bottom"/>
          </w:tcPr>
          <w:p>
            <w:pPr>
              <w:jc w:val="right"/>
              <w:ind w:right="152"/>
              <w:spacing w:after="0"/>
              <w:rPr>
                <w:sz w:val="20"/>
                <w:szCs w:val="20"/>
                <w:color w:val="auto"/>
              </w:rPr>
            </w:pPr>
            <w:r>
              <w:rPr>
                <w:rFonts w:ascii="Arial" w:cs="Arial" w:eastAsia="Arial" w:hAnsi="Arial"/>
                <w:sz w:val="14"/>
                <w:szCs w:val="14"/>
                <w:color w:val="auto"/>
              </w:rPr>
              <w:t>—</w:t>
            </w:r>
          </w:p>
        </w:tc>
        <w:tc>
          <w:tcPr>
            <w:tcW w:w="280" w:type="dxa"/>
            <w:vAlign w:val="bottom"/>
          </w:tcPr>
          <w:p>
            <w:pPr>
              <w:spacing w:after="0"/>
              <w:rPr>
                <w:sz w:val="14"/>
                <w:szCs w:val="14"/>
                <w:color w:val="auto"/>
              </w:rPr>
            </w:pPr>
          </w:p>
        </w:tc>
        <w:tc>
          <w:tcPr>
            <w:tcW w:w="860" w:type="dxa"/>
            <w:vAlign w:val="bottom"/>
          </w:tcPr>
          <w:p>
            <w:pPr>
              <w:jc w:val="right"/>
              <w:ind w:right="112"/>
              <w:spacing w:after="0"/>
              <w:rPr>
                <w:sz w:val="20"/>
                <w:szCs w:val="20"/>
                <w:color w:val="auto"/>
              </w:rPr>
            </w:pPr>
            <w:r>
              <w:rPr>
                <w:rFonts w:ascii="Arial" w:cs="Arial" w:eastAsia="Arial" w:hAnsi="Arial"/>
                <w:sz w:val="14"/>
                <w:szCs w:val="14"/>
                <w:color w:val="auto"/>
              </w:rPr>
              <w:t>(156)</w:t>
            </w:r>
          </w:p>
        </w:tc>
        <w:tc>
          <w:tcPr>
            <w:tcW w:w="240" w:type="dxa"/>
            <w:vAlign w:val="bottom"/>
          </w:tcPr>
          <w:p>
            <w:pPr>
              <w:spacing w:after="0"/>
              <w:rPr>
                <w:sz w:val="14"/>
                <w:szCs w:val="14"/>
                <w:color w:val="auto"/>
              </w:rPr>
            </w:pPr>
          </w:p>
        </w:tc>
        <w:tc>
          <w:tcPr>
            <w:tcW w:w="960" w:type="dxa"/>
            <w:vAlign w:val="bottom"/>
          </w:tcPr>
          <w:p>
            <w:pPr>
              <w:jc w:val="right"/>
              <w:ind w:right="152"/>
              <w:spacing w:after="0"/>
              <w:rPr>
                <w:sz w:val="20"/>
                <w:szCs w:val="20"/>
                <w:color w:val="auto"/>
              </w:rPr>
            </w:pPr>
            <w:r>
              <w:rPr>
                <w:rFonts w:ascii="Arial" w:cs="Arial" w:eastAsia="Arial" w:hAnsi="Arial"/>
                <w:sz w:val="14"/>
                <w:szCs w:val="14"/>
                <w:color w:val="auto"/>
              </w:rPr>
              <w:t>—</w:t>
            </w:r>
          </w:p>
        </w:tc>
        <w:tc>
          <w:tcPr>
            <w:tcW w:w="300" w:type="dxa"/>
            <w:vAlign w:val="bottom"/>
          </w:tcPr>
          <w:p>
            <w:pPr>
              <w:spacing w:after="0"/>
              <w:rPr>
                <w:sz w:val="14"/>
                <w:szCs w:val="14"/>
                <w:color w:val="auto"/>
              </w:rPr>
            </w:pPr>
          </w:p>
        </w:tc>
        <w:tc>
          <w:tcPr>
            <w:tcW w:w="840" w:type="dxa"/>
            <w:vAlign w:val="bottom"/>
          </w:tcPr>
          <w:p>
            <w:pPr>
              <w:jc w:val="right"/>
              <w:spacing w:after="0"/>
              <w:rPr>
                <w:sz w:val="20"/>
                <w:szCs w:val="20"/>
                <w:color w:val="auto"/>
              </w:rPr>
            </w:pPr>
            <w:r>
              <w:rPr>
                <w:rFonts w:ascii="Arial" w:cs="Arial" w:eastAsia="Arial" w:hAnsi="Arial"/>
                <w:sz w:val="14"/>
                <w:szCs w:val="14"/>
                <w:b w:val="1"/>
                <w:bCs w:val="1"/>
                <w:color w:val="auto"/>
              </w:rPr>
              <w:t>(156)</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400" w:type="dxa"/>
            <w:vAlign w:val="bottom"/>
          </w:tcPr>
          <w:p>
            <w:pPr>
              <w:ind w:left="200"/>
              <w:spacing w:after="0" w:line="149" w:lineRule="exact"/>
              <w:rPr>
                <w:sz w:val="20"/>
                <w:szCs w:val="20"/>
                <w:color w:val="auto"/>
              </w:rPr>
            </w:pPr>
            <w:r>
              <w:rPr>
                <w:rFonts w:ascii="Arial" w:cs="Arial" w:eastAsia="Arial" w:hAnsi="Arial"/>
                <w:sz w:val="14"/>
                <w:szCs w:val="14"/>
                <w:color w:val="auto"/>
              </w:rPr>
              <w:t>Proceeds from sales (purchases) of short-term</w:t>
            </w:r>
          </w:p>
        </w:tc>
        <w:tc>
          <w:tcPr>
            <w:tcW w:w="32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42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86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96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840" w:type="dxa"/>
            <w:vAlign w:val="bottom"/>
            <w:vMerge w:val="restart"/>
          </w:tcPr>
          <w:p>
            <w:pPr>
              <w:jc w:val="right"/>
              <w:spacing w:after="0"/>
              <w:rPr>
                <w:sz w:val="20"/>
                <w:szCs w:val="20"/>
                <w:color w:val="auto"/>
              </w:rPr>
            </w:pPr>
            <w:r>
              <w:rPr>
                <w:rFonts w:ascii="Arial" w:cs="Arial" w:eastAsia="Arial" w:hAnsi="Arial"/>
                <w:sz w:val="14"/>
                <w:szCs w:val="14"/>
                <w:b w:val="1"/>
                <w:bCs w:val="1"/>
                <w:color w:val="auto"/>
              </w:rPr>
              <w:t>(13)</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400" w:type="dxa"/>
            <w:vAlign w:val="bottom"/>
          </w:tcPr>
          <w:p>
            <w:pPr>
              <w:ind w:left="420"/>
              <w:spacing w:after="0" w:line="149" w:lineRule="exact"/>
              <w:rPr>
                <w:sz w:val="20"/>
                <w:szCs w:val="20"/>
                <w:color w:val="auto"/>
              </w:rPr>
            </w:pPr>
            <w:r>
              <w:rPr>
                <w:rFonts w:ascii="Arial" w:cs="Arial" w:eastAsia="Arial" w:hAnsi="Arial"/>
                <w:sz w:val="14"/>
                <w:szCs w:val="14"/>
                <w:color w:val="auto"/>
              </w:rPr>
              <w:t>investments, net</w:t>
            </w:r>
          </w:p>
        </w:tc>
        <w:tc>
          <w:tcPr>
            <w:tcW w:w="320" w:type="dxa"/>
            <w:vAlign w:val="bottom"/>
          </w:tcPr>
          <w:p>
            <w:pPr>
              <w:spacing w:after="0"/>
              <w:rPr>
                <w:sz w:val="12"/>
                <w:szCs w:val="12"/>
                <w:color w:val="auto"/>
              </w:rPr>
            </w:pPr>
          </w:p>
        </w:tc>
        <w:tc>
          <w:tcPr>
            <w:tcW w:w="660" w:type="dxa"/>
            <w:vAlign w:val="bottom"/>
          </w:tcPr>
          <w:p>
            <w:pPr>
              <w:jc w:val="right"/>
              <w:ind w:right="152"/>
              <w:spacing w:after="0" w:line="149" w:lineRule="exact"/>
              <w:rPr>
                <w:sz w:val="20"/>
                <w:szCs w:val="20"/>
                <w:color w:val="auto"/>
              </w:rPr>
            </w:pPr>
            <w:r>
              <w:rPr>
                <w:rFonts w:ascii="Arial" w:cs="Arial" w:eastAsia="Arial" w:hAnsi="Arial"/>
                <w:sz w:val="14"/>
                <w:szCs w:val="14"/>
                <w:color w:val="auto"/>
              </w:rPr>
              <w:t>—</w:t>
            </w:r>
          </w:p>
        </w:tc>
        <w:tc>
          <w:tcPr>
            <w:tcW w:w="280" w:type="dxa"/>
            <w:vAlign w:val="bottom"/>
          </w:tcPr>
          <w:p>
            <w:pPr>
              <w:spacing w:after="0"/>
              <w:rPr>
                <w:sz w:val="12"/>
                <w:szCs w:val="12"/>
                <w:color w:val="auto"/>
              </w:rPr>
            </w:pPr>
          </w:p>
        </w:tc>
        <w:tc>
          <w:tcPr>
            <w:tcW w:w="520" w:type="dxa"/>
            <w:vAlign w:val="bottom"/>
          </w:tcPr>
          <w:p>
            <w:pPr>
              <w:jc w:val="right"/>
              <w:ind w:right="152"/>
              <w:spacing w:after="0" w:line="149" w:lineRule="exact"/>
              <w:rPr>
                <w:sz w:val="20"/>
                <w:szCs w:val="20"/>
                <w:color w:val="auto"/>
              </w:rPr>
            </w:pPr>
            <w:r>
              <w:rPr>
                <w:rFonts w:ascii="Arial" w:cs="Arial" w:eastAsia="Arial" w:hAnsi="Arial"/>
                <w:sz w:val="14"/>
                <w:szCs w:val="14"/>
                <w:color w:val="auto"/>
              </w:rPr>
              <w:t>—</w:t>
            </w:r>
          </w:p>
        </w:tc>
        <w:tc>
          <w:tcPr>
            <w:tcW w:w="280" w:type="dxa"/>
            <w:vAlign w:val="bottom"/>
          </w:tcPr>
          <w:p>
            <w:pPr>
              <w:spacing w:after="0"/>
              <w:rPr>
                <w:sz w:val="12"/>
                <w:szCs w:val="12"/>
                <w:color w:val="auto"/>
              </w:rPr>
            </w:pPr>
          </w:p>
        </w:tc>
        <w:tc>
          <w:tcPr>
            <w:tcW w:w="520" w:type="dxa"/>
            <w:vAlign w:val="bottom"/>
          </w:tcPr>
          <w:p>
            <w:pPr>
              <w:jc w:val="right"/>
              <w:ind w:right="152"/>
              <w:spacing w:after="0" w:line="149" w:lineRule="exact"/>
              <w:rPr>
                <w:sz w:val="20"/>
                <w:szCs w:val="20"/>
                <w:color w:val="auto"/>
              </w:rPr>
            </w:pPr>
            <w:r>
              <w:rPr>
                <w:rFonts w:ascii="Arial" w:cs="Arial" w:eastAsia="Arial" w:hAnsi="Arial"/>
                <w:sz w:val="14"/>
                <w:szCs w:val="14"/>
                <w:color w:val="auto"/>
              </w:rPr>
              <w:t>—</w:t>
            </w:r>
          </w:p>
        </w:tc>
        <w:tc>
          <w:tcPr>
            <w:tcW w:w="260" w:type="dxa"/>
            <w:vAlign w:val="bottom"/>
          </w:tcPr>
          <w:p>
            <w:pPr>
              <w:spacing w:after="0"/>
              <w:rPr>
                <w:sz w:val="12"/>
                <w:szCs w:val="12"/>
                <w:color w:val="auto"/>
              </w:rPr>
            </w:pPr>
          </w:p>
        </w:tc>
        <w:tc>
          <w:tcPr>
            <w:tcW w:w="740" w:type="dxa"/>
            <w:vAlign w:val="bottom"/>
          </w:tcPr>
          <w:p>
            <w:pPr>
              <w:jc w:val="right"/>
              <w:ind w:right="152"/>
              <w:spacing w:after="0" w:line="149" w:lineRule="exact"/>
              <w:rPr>
                <w:sz w:val="20"/>
                <w:szCs w:val="20"/>
                <w:color w:val="auto"/>
              </w:rPr>
            </w:pPr>
            <w:r>
              <w:rPr>
                <w:rFonts w:ascii="Arial" w:cs="Arial" w:eastAsia="Arial" w:hAnsi="Arial"/>
                <w:sz w:val="14"/>
                <w:szCs w:val="14"/>
                <w:color w:val="auto"/>
              </w:rPr>
              <w:t>—</w:t>
            </w:r>
          </w:p>
        </w:tc>
        <w:tc>
          <w:tcPr>
            <w:tcW w:w="420" w:type="dxa"/>
            <w:vAlign w:val="bottom"/>
          </w:tcPr>
          <w:p>
            <w:pPr>
              <w:spacing w:after="0"/>
              <w:rPr>
                <w:sz w:val="12"/>
                <w:szCs w:val="12"/>
                <w:color w:val="auto"/>
              </w:rPr>
            </w:pPr>
          </w:p>
        </w:tc>
        <w:tc>
          <w:tcPr>
            <w:tcW w:w="520" w:type="dxa"/>
            <w:vAlign w:val="bottom"/>
          </w:tcPr>
          <w:p>
            <w:pPr>
              <w:jc w:val="right"/>
              <w:ind w:right="152"/>
              <w:spacing w:after="0" w:line="149" w:lineRule="exact"/>
              <w:rPr>
                <w:sz w:val="20"/>
                <w:szCs w:val="20"/>
                <w:color w:val="auto"/>
              </w:rPr>
            </w:pPr>
            <w:r>
              <w:rPr>
                <w:rFonts w:ascii="Arial" w:cs="Arial" w:eastAsia="Arial" w:hAnsi="Arial"/>
                <w:sz w:val="14"/>
                <w:szCs w:val="14"/>
                <w:color w:val="auto"/>
              </w:rPr>
              <w:t>—</w:t>
            </w:r>
          </w:p>
        </w:tc>
        <w:tc>
          <w:tcPr>
            <w:tcW w:w="280" w:type="dxa"/>
            <w:vAlign w:val="bottom"/>
          </w:tcPr>
          <w:p>
            <w:pPr>
              <w:spacing w:after="0"/>
              <w:rPr>
                <w:sz w:val="12"/>
                <w:szCs w:val="12"/>
                <w:color w:val="auto"/>
              </w:rPr>
            </w:pPr>
          </w:p>
        </w:tc>
        <w:tc>
          <w:tcPr>
            <w:tcW w:w="860" w:type="dxa"/>
            <w:vAlign w:val="bottom"/>
          </w:tcPr>
          <w:p>
            <w:pPr>
              <w:jc w:val="right"/>
              <w:ind w:right="112"/>
              <w:spacing w:after="0" w:line="149" w:lineRule="exact"/>
              <w:rPr>
                <w:sz w:val="20"/>
                <w:szCs w:val="20"/>
                <w:color w:val="auto"/>
              </w:rPr>
            </w:pPr>
            <w:r>
              <w:rPr>
                <w:rFonts w:ascii="Arial" w:cs="Arial" w:eastAsia="Arial" w:hAnsi="Arial"/>
                <w:sz w:val="14"/>
                <w:szCs w:val="14"/>
                <w:color w:val="auto"/>
              </w:rPr>
              <w:t>(13)</w:t>
            </w:r>
          </w:p>
        </w:tc>
        <w:tc>
          <w:tcPr>
            <w:tcW w:w="240" w:type="dxa"/>
            <w:vAlign w:val="bottom"/>
          </w:tcPr>
          <w:p>
            <w:pPr>
              <w:spacing w:after="0"/>
              <w:rPr>
                <w:sz w:val="12"/>
                <w:szCs w:val="12"/>
                <w:color w:val="auto"/>
              </w:rPr>
            </w:pPr>
          </w:p>
        </w:tc>
        <w:tc>
          <w:tcPr>
            <w:tcW w:w="960" w:type="dxa"/>
            <w:vAlign w:val="bottom"/>
          </w:tcPr>
          <w:p>
            <w:pPr>
              <w:jc w:val="right"/>
              <w:ind w:right="152"/>
              <w:spacing w:after="0" w:line="149" w:lineRule="exact"/>
              <w:rPr>
                <w:sz w:val="20"/>
                <w:szCs w:val="20"/>
                <w:color w:val="auto"/>
              </w:rPr>
            </w:pPr>
            <w:r>
              <w:rPr>
                <w:rFonts w:ascii="Arial" w:cs="Arial" w:eastAsia="Arial" w:hAnsi="Arial"/>
                <w:sz w:val="14"/>
                <w:szCs w:val="14"/>
                <w:color w:val="auto"/>
              </w:rPr>
              <w:t>—</w:t>
            </w:r>
          </w:p>
        </w:tc>
        <w:tc>
          <w:tcPr>
            <w:tcW w:w="300" w:type="dxa"/>
            <w:vAlign w:val="bottom"/>
          </w:tcPr>
          <w:p>
            <w:pPr>
              <w:spacing w:after="0"/>
              <w:rPr>
                <w:sz w:val="12"/>
                <w:szCs w:val="12"/>
                <w:color w:val="auto"/>
              </w:rPr>
            </w:pPr>
          </w:p>
        </w:tc>
        <w:tc>
          <w:tcPr>
            <w:tcW w:w="840" w:type="dxa"/>
            <w:vAlign w:val="bottom"/>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400" w:type="dxa"/>
            <w:vAlign w:val="bottom"/>
          </w:tcPr>
          <w:p>
            <w:pPr>
              <w:ind w:left="200"/>
              <w:spacing w:after="0" w:line="149" w:lineRule="exact"/>
              <w:rPr>
                <w:sz w:val="20"/>
                <w:szCs w:val="20"/>
                <w:color w:val="auto"/>
              </w:rPr>
            </w:pPr>
            <w:r>
              <w:rPr>
                <w:rFonts w:ascii="Arial" w:cs="Arial" w:eastAsia="Arial" w:hAnsi="Arial"/>
                <w:sz w:val="14"/>
                <w:szCs w:val="14"/>
                <w:color w:val="auto"/>
              </w:rPr>
              <w:t>Proceeds from settlement of contract of acquired</w:t>
            </w:r>
          </w:p>
        </w:tc>
        <w:tc>
          <w:tcPr>
            <w:tcW w:w="32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42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86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96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840" w:type="dxa"/>
            <w:vAlign w:val="bottom"/>
            <w:vMerge w:val="restart"/>
          </w:tcPr>
          <w:p>
            <w:pPr>
              <w:jc w:val="right"/>
              <w:spacing w:after="0"/>
              <w:rPr>
                <w:sz w:val="20"/>
                <w:szCs w:val="20"/>
                <w:color w:val="auto"/>
              </w:rPr>
            </w:pPr>
            <w:r>
              <w:rPr>
                <w:rFonts w:ascii="Arial" w:cs="Arial" w:eastAsia="Arial" w:hAnsi="Arial"/>
                <w:sz w:val="14"/>
                <w:szCs w:val="14"/>
                <w:b w:val="1"/>
                <w:bCs w:val="1"/>
                <w:color w:val="auto"/>
              </w:rPr>
              <w:t>26</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3400" w:type="dxa"/>
            <w:vAlign w:val="bottom"/>
          </w:tcPr>
          <w:p>
            <w:pPr>
              <w:ind w:left="420"/>
              <w:spacing w:after="0" w:line="133" w:lineRule="exact"/>
              <w:rPr>
                <w:sz w:val="20"/>
                <w:szCs w:val="20"/>
                <w:color w:val="auto"/>
              </w:rPr>
            </w:pPr>
            <w:r>
              <w:rPr>
                <w:rFonts w:ascii="Arial" w:cs="Arial" w:eastAsia="Arial" w:hAnsi="Arial"/>
                <w:sz w:val="14"/>
                <w:szCs w:val="14"/>
                <w:color w:val="auto"/>
              </w:rPr>
              <w:t>company</w:t>
            </w:r>
          </w:p>
        </w:tc>
        <w:tc>
          <w:tcPr>
            <w:tcW w:w="320" w:type="dxa"/>
            <w:vAlign w:val="bottom"/>
          </w:tcPr>
          <w:p>
            <w:pPr>
              <w:spacing w:after="0"/>
              <w:rPr>
                <w:sz w:val="11"/>
                <w:szCs w:val="11"/>
                <w:color w:val="auto"/>
              </w:rPr>
            </w:pPr>
          </w:p>
        </w:tc>
        <w:tc>
          <w:tcPr>
            <w:tcW w:w="660" w:type="dxa"/>
            <w:vAlign w:val="bottom"/>
          </w:tcPr>
          <w:p>
            <w:pPr>
              <w:jc w:val="right"/>
              <w:ind w:right="152"/>
              <w:spacing w:after="0" w:line="133" w:lineRule="exact"/>
              <w:rPr>
                <w:sz w:val="20"/>
                <w:szCs w:val="20"/>
                <w:color w:val="auto"/>
              </w:rPr>
            </w:pPr>
            <w:r>
              <w:rPr>
                <w:rFonts w:ascii="Arial" w:cs="Arial" w:eastAsia="Arial" w:hAnsi="Arial"/>
                <w:sz w:val="14"/>
                <w:szCs w:val="14"/>
                <w:color w:val="auto"/>
              </w:rPr>
              <w:t>—</w:t>
            </w:r>
          </w:p>
        </w:tc>
        <w:tc>
          <w:tcPr>
            <w:tcW w:w="280" w:type="dxa"/>
            <w:vAlign w:val="bottom"/>
          </w:tcPr>
          <w:p>
            <w:pPr>
              <w:spacing w:after="0"/>
              <w:rPr>
                <w:sz w:val="11"/>
                <w:szCs w:val="11"/>
                <w:color w:val="auto"/>
              </w:rPr>
            </w:pPr>
          </w:p>
        </w:tc>
        <w:tc>
          <w:tcPr>
            <w:tcW w:w="520" w:type="dxa"/>
            <w:vAlign w:val="bottom"/>
          </w:tcPr>
          <w:p>
            <w:pPr>
              <w:jc w:val="right"/>
              <w:ind w:right="152"/>
              <w:spacing w:after="0" w:line="133" w:lineRule="exact"/>
              <w:rPr>
                <w:sz w:val="20"/>
                <w:szCs w:val="20"/>
                <w:color w:val="auto"/>
              </w:rPr>
            </w:pPr>
            <w:r>
              <w:rPr>
                <w:rFonts w:ascii="Arial" w:cs="Arial" w:eastAsia="Arial" w:hAnsi="Arial"/>
                <w:sz w:val="14"/>
                <w:szCs w:val="14"/>
                <w:color w:val="auto"/>
              </w:rPr>
              <w:t>—</w:t>
            </w:r>
          </w:p>
        </w:tc>
        <w:tc>
          <w:tcPr>
            <w:tcW w:w="280" w:type="dxa"/>
            <w:vAlign w:val="bottom"/>
          </w:tcPr>
          <w:p>
            <w:pPr>
              <w:spacing w:after="0"/>
              <w:rPr>
                <w:sz w:val="11"/>
                <w:szCs w:val="11"/>
                <w:color w:val="auto"/>
              </w:rPr>
            </w:pPr>
          </w:p>
        </w:tc>
        <w:tc>
          <w:tcPr>
            <w:tcW w:w="520" w:type="dxa"/>
            <w:vAlign w:val="bottom"/>
          </w:tcPr>
          <w:p>
            <w:pPr>
              <w:jc w:val="right"/>
              <w:ind w:right="152"/>
              <w:spacing w:after="0" w:line="133" w:lineRule="exact"/>
              <w:rPr>
                <w:sz w:val="20"/>
                <w:szCs w:val="20"/>
                <w:color w:val="auto"/>
              </w:rPr>
            </w:pPr>
            <w:r>
              <w:rPr>
                <w:rFonts w:ascii="Arial" w:cs="Arial" w:eastAsia="Arial" w:hAnsi="Arial"/>
                <w:sz w:val="14"/>
                <w:szCs w:val="14"/>
                <w:color w:val="auto"/>
              </w:rPr>
              <w:t>—</w:t>
            </w:r>
          </w:p>
        </w:tc>
        <w:tc>
          <w:tcPr>
            <w:tcW w:w="260" w:type="dxa"/>
            <w:vAlign w:val="bottom"/>
          </w:tcPr>
          <w:p>
            <w:pPr>
              <w:spacing w:after="0"/>
              <w:rPr>
                <w:sz w:val="11"/>
                <w:szCs w:val="11"/>
                <w:color w:val="auto"/>
              </w:rPr>
            </w:pPr>
          </w:p>
        </w:tc>
        <w:tc>
          <w:tcPr>
            <w:tcW w:w="740" w:type="dxa"/>
            <w:vAlign w:val="bottom"/>
          </w:tcPr>
          <w:p>
            <w:pPr>
              <w:jc w:val="right"/>
              <w:ind w:right="152"/>
              <w:spacing w:after="0" w:line="133" w:lineRule="exact"/>
              <w:rPr>
                <w:sz w:val="20"/>
                <w:szCs w:val="20"/>
                <w:color w:val="auto"/>
              </w:rPr>
            </w:pPr>
            <w:r>
              <w:rPr>
                <w:rFonts w:ascii="Arial" w:cs="Arial" w:eastAsia="Arial" w:hAnsi="Arial"/>
                <w:sz w:val="14"/>
                <w:szCs w:val="14"/>
                <w:color w:val="auto"/>
              </w:rPr>
              <w:t>—</w:t>
            </w:r>
          </w:p>
        </w:tc>
        <w:tc>
          <w:tcPr>
            <w:tcW w:w="420" w:type="dxa"/>
            <w:vAlign w:val="bottom"/>
          </w:tcPr>
          <w:p>
            <w:pPr>
              <w:spacing w:after="0"/>
              <w:rPr>
                <w:sz w:val="11"/>
                <w:szCs w:val="11"/>
                <w:color w:val="auto"/>
              </w:rPr>
            </w:pPr>
          </w:p>
        </w:tc>
        <w:tc>
          <w:tcPr>
            <w:tcW w:w="520" w:type="dxa"/>
            <w:vAlign w:val="bottom"/>
          </w:tcPr>
          <w:p>
            <w:pPr>
              <w:jc w:val="right"/>
              <w:ind w:right="152"/>
              <w:spacing w:after="0" w:line="133" w:lineRule="exact"/>
              <w:rPr>
                <w:sz w:val="20"/>
                <w:szCs w:val="20"/>
                <w:color w:val="auto"/>
              </w:rPr>
            </w:pPr>
            <w:r>
              <w:rPr>
                <w:rFonts w:ascii="Arial" w:cs="Arial" w:eastAsia="Arial" w:hAnsi="Arial"/>
                <w:sz w:val="14"/>
                <w:szCs w:val="14"/>
                <w:color w:val="auto"/>
              </w:rPr>
              <w:t>—</w:t>
            </w:r>
          </w:p>
        </w:tc>
        <w:tc>
          <w:tcPr>
            <w:tcW w:w="280" w:type="dxa"/>
            <w:vAlign w:val="bottom"/>
          </w:tcPr>
          <w:p>
            <w:pPr>
              <w:spacing w:after="0"/>
              <w:rPr>
                <w:sz w:val="11"/>
                <w:szCs w:val="11"/>
                <w:color w:val="auto"/>
              </w:rPr>
            </w:pPr>
          </w:p>
        </w:tc>
        <w:tc>
          <w:tcPr>
            <w:tcW w:w="860" w:type="dxa"/>
            <w:vAlign w:val="bottom"/>
          </w:tcPr>
          <w:p>
            <w:pPr>
              <w:jc w:val="right"/>
              <w:ind w:right="152"/>
              <w:spacing w:after="0" w:line="133" w:lineRule="exact"/>
              <w:rPr>
                <w:sz w:val="20"/>
                <w:szCs w:val="20"/>
                <w:color w:val="auto"/>
              </w:rPr>
            </w:pPr>
            <w:r>
              <w:rPr>
                <w:rFonts w:ascii="Arial" w:cs="Arial" w:eastAsia="Arial" w:hAnsi="Arial"/>
                <w:sz w:val="14"/>
                <w:szCs w:val="14"/>
                <w:color w:val="auto"/>
              </w:rPr>
              <w:t>26</w:t>
            </w:r>
          </w:p>
        </w:tc>
        <w:tc>
          <w:tcPr>
            <w:tcW w:w="240" w:type="dxa"/>
            <w:vAlign w:val="bottom"/>
          </w:tcPr>
          <w:p>
            <w:pPr>
              <w:spacing w:after="0"/>
              <w:rPr>
                <w:sz w:val="11"/>
                <w:szCs w:val="11"/>
                <w:color w:val="auto"/>
              </w:rPr>
            </w:pPr>
          </w:p>
        </w:tc>
        <w:tc>
          <w:tcPr>
            <w:tcW w:w="960" w:type="dxa"/>
            <w:vAlign w:val="bottom"/>
          </w:tcPr>
          <w:p>
            <w:pPr>
              <w:jc w:val="right"/>
              <w:ind w:right="152"/>
              <w:spacing w:after="0" w:line="133" w:lineRule="exact"/>
              <w:rPr>
                <w:sz w:val="20"/>
                <w:szCs w:val="20"/>
                <w:color w:val="auto"/>
              </w:rPr>
            </w:pPr>
            <w:r>
              <w:rPr>
                <w:rFonts w:ascii="Arial" w:cs="Arial" w:eastAsia="Arial" w:hAnsi="Arial"/>
                <w:sz w:val="14"/>
                <w:szCs w:val="14"/>
                <w:color w:val="auto"/>
              </w:rPr>
              <w:t>—</w:t>
            </w:r>
          </w:p>
        </w:tc>
        <w:tc>
          <w:tcPr>
            <w:tcW w:w="300" w:type="dxa"/>
            <w:vAlign w:val="bottom"/>
          </w:tcPr>
          <w:p>
            <w:pPr>
              <w:spacing w:after="0"/>
              <w:rPr>
                <w:sz w:val="11"/>
                <w:szCs w:val="11"/>
                <w:color w:val="auto"/>
              </w:rPr>
            </w:pPr>
          </w:p>
        </w:tc>
        <w:tc>
          <w:tcPr>
            <w:tcW w:w="840" w:type="dxa"/>
            <w:vAlign w:val="bottom"/>
            <w:vMerge w:val="continue"/>
          </w:tcPr>
          <w:p>
            <w:pPr>
              <w:spacing w:after="0"/>
              <w:rPr>
                <w:sz w:val="11"/>
                <w:szCs w:val="11"/>
                <w:color w:val="auto"/>
              </w:rPr>
            </w:pPr>
          </w:p>
        </w:tc>
        <w:tc>
          <w:tcPr>
            <w:tcW w:w="0" w:type="dxa"/>
            <w:vAlign w:val="bottom"/>
          </w:tcPr>
          <w:p>
            <w:pPr>
              <w:spacing w:after="0"/>
              <w:rPr>
                <w:sz w:val="1"/>
                <w:szCs w:val="1"/>
                <w:color w:val="auto"/>
              </w:rPr>
            </w:pPr>
          </w:p>
        </w:tc>
      </w:tr>
      <w:tr>
        <w:trPr>
          <w:trHeight w:val="165"/>
        </w:trPr>
        <w:tc>
          <w:tcPr>
            <w:tcW w:w="20" w:type="dxa"/>
            <w:vAlign w:val="bottom"/>
          </w:tcPr>
          <w:p>
            <w:pPr>
              <w:spacing w:after="0"/>
              <w:rPr>
                <w:sz w:val="14"/>
                <w:szCs w:val="14"/>
                <w:color w:val="auto"/>
              </w:rPr>
            </w:pPr>
          </w:p>
        </w:tc>
        <w:tc>
          <w:tcPr>
            <w:tcW w:w="3400" w:type="dxa"/>
            <w:vAlign w:val="bottom"/>
            <w:tcBorders>
              <w:bottom w:val="single" w:sz="8" w:color="auto"/>
            </w:tcBorders>
          </w:tcPr>
          <w:p>
            <w:pPr>
              <w:ind w:left="200"/>
              <w:spacing w:after="0"/>
              <w:rPr>
                <w:sz w:val="20"/>
                <w:szCs w:val="20"/>
                <w:color w:val="auto"/>
              </w:rPr>
            </w:pPr>
            <w:r>
              <w:rPr>
                <w:rFonts w:ascii="Arial" w:cs="Arial" w:eastAsia="Arial" w:hAnsi="Arial"/>
                <w:sz w:val="14"/>
                <w:szCs w:val="14"/>
                <w:color w:val="auto"/>
              </w:rPr>
              <w:t>Other</w:t>
            </w:r>
          </w:p>
        </w:tc>
        <w:tc>
          <w:tcPr>
            <w:tcW w:w="320" w:type="dxa"/>
            <w:vAlign w:val="bottom"/>
            <w:tcBorders>
              <w:bottom w:val="single" w:sz="8" w:color="auto"/>
            </w:tcBorders>
          </w:tcPr>
          <w:p>
            <w:pPr>
              <w:spacing w:after="0"/>
              <w:rPr>
                <w:sz w:val="14"/>
                <w:szCs w:val="14"/>
                <w:color w:val="auto"/>
              </w:rPr>
            </w:pPr>
          </w:p>
        </w:tc>
        <w:tc>
          <w:tcPr>
            <w:tcW w:w="660" w:type="dxa"/>
            <w:vAlign w:val="bottom"/>
            <w:tcBorders>
              <w:bottom w:val="single" w:sz="8" w:color="auto"/>
            </w:tcBorders>
          </w:tcPr>
          <w:p>
            <w:pPr>
              <w:jc w:val="right"/>
              <w:ind w:right="152"/>
              <w:spacing w:after="0"/>
              <w:rPr>
                <w:sz w:val="20"/>
                <w:szCs w:val="20"/>
                <w:color w:val="auto"/>
              </w:rPr>
            </w:pPr>
            <w:r>
              <w:rPr>
                <w:rFonts w:ascii="Arial" w:cs="Arial" w:eastAsia="Arial" w:hAnsi="Arial"/>
                <w:sz w:val="14"/>
                <w:szCs w:val="14"/>
                <w:color w:val="auto"/>
              </w:rPr>
              <w:t>—</w:t>
            </w:r>
          </w:p>
        </w:tc>
        <w:tc>
          <w:tcPr>
            <w:tcW w:w="280" w:type="dxa"/>
            <w:vAlign w:val="bottom"/>
            <w:tcBorders>
              <w:bottom w:val="single" w:sz="8" w:color="auto"/>
            </w:tcBorders>
          </w:tcPr>
          <w:p>
            <w:pPr>
              <w:spacing w:after="0"/>
              <w:rPr>
                <w:sz w:val="14"/>
                <w:szCs w:val="14"/>
                <w:color w:val="auto"/>
              </w:rPr>
            </w:pPr>
          </w:p>
        </w:tc>
        <w:tc>
          <w:tcPr>
            <w:tcW w:w="520" w:type="dxa"/>
            <w:vAlign w:val="bottom"/>
            <w:tcBorders>
              <w:bottom w:val="single" w:sz="8" w:color="auto"/>
            </w:tcBorders>
          </w:tcPr>
          <w:p>
            <w:pPr>
              <w:jc w:val="right"/>
              <w:ind w:right="152"/>
              <w:spacing w:after="0"/>
              <w:rPr>
                <w:sz w:val="20"/>
                <w:szCs w:val="20"/>
                <w:color w:val="auto"/>
              </w:rPr>
            </w:pPr>
            <w:r>
              <w:rPr>
                <w:rFonts w:ascii="Arial" w:cs="Arial" w:eastAsia="Arial" w:hAnsi="Arial"/>
                <w:sz w:val="14"/>
                <w:szCs w:val="14"/>
                <w:color w:val="auto"/>
              </w:rPr>
              <w:t>—</w:t>
            </w:r>
          </w:p>
        </w:tc>
        <w:tc>
          <w:tcPr>
            <w:tcW w:w="280" w:type="dxa"/>
            <w:vAlign w:val="bottom"/>
            <w:tcBorders>
              <w:bottom w:val="single" w:sz="8" w:color="auto"/>
            </w:tcBorders>
          </w:tcPr>
          <w:p>
            <w:pPr>
              <w:spacing w:after="0"/>
              <w:rPr>
                <w:sz w:val="14"/>
                <w:szCs w:val="14"/>
                <w:color w:val="auto"/>
              </w:rPr>
            </w:pPr>
          </w:p>
        </w:tc>
        <w:tc>
          <w:tcPr>
            <w:tcW w:w="520" w:type="dxa"/>
            <w:vAlign w:val="bottom"/>
            <w:tcBorders>
              <w:bottom w:val="single" w:sz="8" w:color="auto"/>
            </w:tcBorders>
          </w:tcPr>
          <w:p>
            <w:pPr>
              <w:jc w:val="right"/>
              <w:ind w:right="152"/>
              <w:spacing w:after="0"/>
              <w:rPr>
                <w:sz w:val="20"/>
                <w:szCs w:val="20"/>
                <w:color w:val="auto"/>
              </w:rPr>
            </w:pPr>
            <w:r>
              <w:rPr>
                <w:rFonts w:ascii="Arial" w:cs="Arial" w:eastAsia="Arial" w:hAnsi="Arial"/>
                <w:sz w:val="14"/>
                <w:szCs w:val="14"/>
                <w:color w:val="auto"/>
              </w:rPr>
              <w:t>—</w:t>
            </w:r>
          </w:p>
        </w:tc>
        <w:tc>
          <w:tcPr>
            <w:tcW w:w="260" w:type="dxa"/>
            <w:vAlign w:val="bottom"/>
            <w:tcBorders>
              <w:bottom w:val="single" w:sz="8" w:color="auto"/>
            </w:tcBorders>
          </w:tcPr>
          <w:p>
            <w:pPr>
              <w:spacing w:after="0"/>
              <w:rPr>
                <w:sz w:val="14"/>
                <w:szCs w:val="14"/>
                <w:color w:val="auto"/>
              </w:rPr>
            </w:pPr>
          </w:p>
        </w:tc>
        <w:tc>
          <w:tcPr>
            <w:tcW w:w="740" w:type="dxa"/>
            <w:vAlign w:val="bottom"/>
            <w:tcBorders>
              <w:bottom w:val="single" w:sz="8" w:color="auto"/>
            </w:tcBorders>
          </w:tcPr>
          <w:p>
            <w:pPr>
              <w:jc w:val="right"/>
              <w:ind w:right="152"/>
              <w:spacing w:after="0"/>
              <w:rPr>
                <w:sz w:val="20"/>
                <w:szCs w:val="20"/>
                <w:color w:val="auto"/>
              </w:rPr>
            </w:pPr>
            <w:r>
              <w:rPr>
                <w:rFonts w:ascii="Arial" w:cs="Arial" w:eastAsia="Arial" w:hAnsi="Arial"/>
                <w:sz w:val="14"/>
                <w:szCs w:val="14"/>
                <w:color w:val="auto"/>
              </w:rPr>
              <w:t>—</w:t>
            </w:r>
          </w:p>
        </w:tc>
        <w:tc>
          <w:tcPr>
            <w:tcW w:w="420" w:type="dxa"/>
            <w:vAlign w:val="bottom"/>
            <w:tcBorders>
              <w:bottom w:val="single" w:sz="8" w:color="auto"/>
            </w:tcBorders>
          </w:tcPr>
          <w:p>
            <w:pPr>
              <w:spacing w:after="0"/>
              <w:rPr>
                <w:sz w:val="14"/>
                <w:szCs w:val="14"/>
                <w:color w:val="auto"/>
              </w:rPr>
            </w:pPr>
          </w:p>
        </w:tc>
        <w:tc>
          <w:tcPr>
            <w:tcW w:w="520" w:type="dxa"/>
            <w:vAlign w:val="bottom"/>
            <w:tcBorders>
              <w:bottom w:val="single" w:sz="8" w:color="auto"/>
            </w:tcBorders>
          </w:tcPr>
          <w:p>
            <w:pPr>
              <w:jc w:val="right"/>
              <w:ind w:right="152"/>
              <w:spacing w:after="0"/>
              <w:rPr>
                <w:sz w:val="20"/>
                <w:szCs w:val="20"/>
                <w:color w:val="auto"/>
              </w:rPr>
            </w:pPr>
            <w:r>
              <w:rPr>
                <w:rFonts w:ascii="Arial" w:cs="Arial" w:eastAsia="Arial" w:hAnsi="Arial"/>
                <w:sz w:val="14"/>
                <w:szCs w:val="14"/>
                <w:color w:val="auto"/>
              </w:rPr>
              <w:t>—</w:t>
            </w:r>
          </w:p>
        </w:tc>
        <w:tc>
          <w:tcPr>
            <w:tcW w:w="280" w:type="dxa"/>
            <w:vAlign w:val="bottom"/>
            <w:tcBorders>
              <w:bottom w:val="single" w:sz="8" w:color="auto"/>
            </w:tcBorders>
          </w:tcPr>
          <w:p>
            <w:pPr>
              <w:spacing w:after="0"/>
              <w:rPr>
                <w:sz w:val="14"/>
                <w:szCs w:val="14"/>
                <w:color w:val="auto"/>
              </w:rPr>
            </w:pPr>
          </w:p>
        </w:tc>
        <w:tc>
          <w:tcPr>
            <w:tcW w:w="860" w:type="dxa"/>
            <w:vAlign w:val="bottom"/>
            <w:tcBorders>
              <w:bottom w:val="single" w:sz="8" w:color="auto"/>
            </w:tcBorders>
          </w:tcPr>
          <w:p>
            <w:pPr>
              <w:jc w:val="right"/>
              <w:ind w:right="112"/>
              <w:spacing w:after="0"/>
              <w:rPr>
                <w:sz w:val="20"/>
                <w:szCs w:val="20"/>
                <w:color w:val="auto"/>
              </w:rPr>
            </w:pPr>
            <w:r>
              <w:rPr>
                <w:rFonts w:ascii="Arial" w:cs="Arial" w:eastAsia="Arial" w:hAnsi="Arial"/>
                <w:sz w:val="14"/>
                <w:szCs w:val="14"/>
                <w:color w:val="auto"/>
              </w:rPr>
              <w:t>(26)</w:t>
            </w:r>
          </w:p>
        </w:tc>
        <w:tc>
          <w:tcPr>
            <w:tcW w:w="240" w:type="dxa"/>
            <w:vAlign w:val="bottom"/>
            <w:tcBorders>
              <w:bottom w:val="single" w:sz="8" w:color="auto"/>
            </w:tcBorders>
          </w:tcPr>
          <w:p>
            <w:pPr>
              <w:spacing w:after="0"/>
              <w:rPr>
                <w:sz w:val="14"/>
                <w:szCs w:val="14"/>
                <w:color w:val="auto"/>
              </w:rPr>
            </w:pPr>
          </w:p>
        </w:tc>
        <w:tc>
          <w:tcPr>
            <w:tcW w:w="960" w:type="dxa"/>
            <w:vAlign w:val="bottom"/>
            <w:tcBorders>
              <w:bottom w:val="single" w:sz="8" w:color="auto"/>
            </w:tcBorders>
          </w:tcPr>
          <w:p>
            <w:pPr>
              <w:jc w:val="right"/>
              <w:ind w:right="152"/>
              <w:spacing w:after="0"/>
              <w:rPr>
                <w:sz w:val="20"/>
                <w:szCs w:val="20"/>
                <w:color w:val="auto"/>
              </w:rPr>
            </w:pPr>
            <w:r>
              <w:rPr>
                <w:rFonts w:ascii="Arial" w:cs="Arial" w:eastAsia="Arial" w:hAnsi="Arial"/>
                <w:sz w:val="14"/>
                <w:szCs w:val="14"/>
                <w:color w:val="auto"/>
              </w:rPr>
              <w:t>—</w:t>
            </w:r>
          </w:p>
        </w:tc>
        <w:tc>
          <w:tcPr>
            <w:tcW w:w="300" w:type="dxa"/>
            <w:vAlign w:val="bottom"/>
            <w:tcBorders>
              <w:bottom w:val="single" w:sz="8" w:color="auto"/>
            </w:tcBorders>
          </w:tcPr>
          <w:p>
            <w:pPr>
              <w:spacing w:after="0"/>
              <w:rPr>
                <w:sz w:val="14"/>
                <w:szCs w:val="14"/>
                <w:color w:val="auto"/>
              </w:rPr>
            </w:pPr>
          </w:p>
        </w:tc>
        <w:tc>
          <w:tcPr>
            <w:tcW w:w="84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(26)</w:t>
            </w: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3400" w:type="dxa"/>
            <w:vAlign w:val="bottom"/>
            <w:tcBorders>
              <w:bottom w:val="single" w:sz="8" w:color="auto"/>
            </w:tcBorders>
          </w:tcPr>
          <w:p>
            <w:pPr>
              <w:ind w:left="200"/>
              <w:spacing w:after="0" w:line="142" w:lineRule="exact"/>
              <w:rPr>
                <w:sz w:val="20"/>
                <w:szCs w:val="20"/>
                <w:color w:val="auto"/>
              </w:rPr>
            </w:pPr>
            <w:r>
              <w:rPr>
                <w:rFonts w:ascii="Arial" w:cs="Arial" w:eastAsia="Arial" w:hAnsi="Arial"/>
                <w:sz w:val="14"/>
                <w:szCs w:val="14"/>
                <w:color w:val="auto"/>
              </w:rPr>
              <w:t>Net cash provided by (used in) investing activities</w:t>
            </w:r>
          </w:p>
        </w:tc>
        <w:tc>
          <w:tcPr>
            <w:tcW w:w="320" w:type="dxa"/>
            <w:vAlign w:val="bottom"/>
            <w:tcBorders>
              <w:bottom w:val="single" w:sz="8" w:color="auto"/>
            </w:tcBorders>
          </w:tcPr>
          <w:p>
            <w:pPr>
              <w:spacing w:after="0"/>
              <w:rPr>
                <w:sz w:val="12"/>
                <w:szCs w:val="12"/>
                <w:color w:val="auto"/>
              </w:rPr>
            </w:pPr>
          </w:p>
        </w:tc>
        <w:tc>
          <w:tcPr>
            <w:tcW w:w="660" w:type="dxa"/>
            <w:vAlign w:val="bottom"/>
            <w:tcBorders>
              <w:bottom w:val="single" w:sz="8" w:color="auto"/>
            </w:tcBorders>
          </w:tcPr>
          <w:p>
            <w:pPr>
              <w:jc w:val="right"/>
              <w:ind w:right="152"/>
              <w:spacing w:after="0" w:line="142" w:lineRule="exact"/>
              <w:rPr>
                <w:sz w:val="20"/>
                <w:szCs w:val="20"/>
                <w:color w:val="auto"/>
              </w:rPr>
            </w:pPr>
            <w:r>
              <w:rPr>
                <w:rFonts w:ascii="Arial" w:cs="Arial" w:eastAsia="Arial" w:hAnsi="Arial"/>
                <w:sz w:val="14"/>
                <w:szCs w:val="14"/>
                <w:color w:val="auto"/>
              </w:rPr>
              <w:t>438</w:t>
            </w:r>
          </w:p>
        </w:tc>
        <w:tc>
          <w:tcPr>
            <w:tcW w:w="280" w:type="dxa"/>
            <w:vAlign w:val="bottom"/>
            <w:tcBorders>
              <w:bottom w:val="single" w:sz="8" w:color="auto"/>
            </w:tcBorders>
          </w:tcPr>
          <w:p>
            <w:pPr>
              <w:spacing w:after="0"/>
              <w:rPr>
                <w:sz w:val="12"/>
                <w:szCs w:val="12"/>
                <w:color w:val="auto"/>
              </w:rPr>
            </w:pPr>
          </w:p>
        </w:tc>
        <w:tc>
          <w:tcPr>
            <w:tcW w:w="520" w:type="dxa"/>
            <w:vAlign w:val="bottom"/>
            <w:tcBorders>
              <w:bottom w:val="single" w:sz="8" w:color="auto"/>
            </w:tcBorders>
          </w:tcPr>
          <w:p>
            <w:pPr>
              <w:jc w:val="right"/>
              <w:ind w:right="152"/>
              <w:spacing w:after="0" w:line="142" w:lineRule="exact"/>
              <w:rPr>
                <w:sz w:val="20"/>
                <w:szCs w:val="20"/>
                <w:color w:val="auto"/>
              </w:rPr>
            </w:pPr>
            <w:r>
              <w:rPr>
                <w:rFonts w:ascii="Arial" w:cs="Arial" w:eastAsia="Arial" w:hAnsi="Arial"/>
                <w:sz w:val="14"/>
                <w:szCs w:val="14"/>
                <w:color w:val="auto"/>
              </w:rPr>
              <w:t>704</w:t>
            </w:r>
          </w:p>
        </w:tc>
        <w:tc>
          <w:tcPr>
            <w:tcW w:w="280" w:type="dxa"/>
            <w:vAlign w:val="bottom"/>
            <w:tcBorders>
              <w:bottom w:val="single" w:sz="8" w:color="auto"/>
            </w:tcBorders>
          </w:tcPr>
          <w:p>
            <w:pPr>
              <w:spacing w:after="0"/>
              <w:rPr>
                <w:sz w:val="12"/>
                <w:szCs w:val="12"/>
                <w:color w:val="auto"/>
              </w:rPr>
            </w:pPr>
          </w:p>
        </w:tc>
        <w:tc>
          <w:tcPr>
            <w:tcW w:w="520" w:type="dxa"/>
            <w:vAlign w:val="bottom"/>
            <w:tcBorders>
              <w:bottom w:val="single" w:sz="8" w:color="auto"/>
            </w:tcBorders>
          </w:tcPr>
          <w:p>
            <w:pPr>
              <w:jc w:val="right"/>
              <w:ind w:right="152"/>
              <w:spacing w:after="0" w:line="142" w:lineRule="exact"/>
              <w:rPr>
                <w:sz w:val="20"/>
                <w:szCs w:val="20"/>
                <w:color w:val="auto"/>
              </w:rPr>
            </w:pPr>
            <w:r>
              <w:rPr>
                <w:rFonts w:ascii="Arial" w:cs="Arial" w:eastAsia="Arial" w:hAnsi="Arial"/>
                <w:sz w:val="14"/>
                <w:szCs w:val="14"/>
                <w:color w:val="auto"/>
              </w:rPr>
              <w:t>155</w:t>
            </w:r>
          </w:p>
        </w:tc>
        <w:tc>
          <w:tcPr>
            <w:tcW w:w="260" w:type="dxa"/>
            <w:vAlign w:val="bottom"/>
            <w:tcBorders>
              <w:bottom w:val="single" w:sz="8" w:color="auto"/>
            </w:tcBorders>
          </w:tcPr>
          <w:p>
            <w:pPr>
              <w:spacing w:after="0"/>
              <w:rPr>
                <w:sz w:val="12"/>
                <w:szCs w:val="12"/>
                <w:color w:val="auto"/>
              </w:rPr>
            </w:pPr>
          </w:p>
        </w:tc>
        <w:tc>
          <w:tcPr>
            <w:tcW w:w="740" w:type="dxa"/>
            <w:vAlign w:val="bottom"/>
            <w:tcBorders>
              <w:bottom w:val="single" w:sz="8" w:color="auto"/>
            </w:tcBorders>
          </w:tcPr>
          <w:p>
            <w:pPr>
              <w:jc w:val="right"/>
              <w:ind w:right="152"/>
              <w:spacing w:after="0" w:line="142" w:lineRule="exact"/>
              <w:rPr>
                <w:sz w:val="20"/>
                <w:szCs w:val="20"/>
                <w:color w:val="auto"/>
              </w:rPr>
            </w:pPr>
            <w:r>
              <w:rPr>
                <w:rFonts w:ascii="Arial" w:cs="Arial" w:eastAsia="Arial" w:hAnsi="Arial"/>
                <w:sz w:val="14"/>
                <w:szCs w:val="14"/>
                <w:color w:val="auto"/>
              </w:rPr>
              <w:t>784</w:t>
            </w:r>
          </w:p>
        </w:tc>
        <w:tc>
          <w:tcPr>
            <w:tcW w:w="420" w:type="dxa"/>
            <w:vAlign w:val="bottom"/>
            <w:tcBorders>
              <w:bottom w:val="single" w:sz="8" w:color="auto"/>
            </w:tcBorders>
          </w:tcPr>
          <w:p>
            <w:pPr>
              <w:spacing w:after="0"/>
              <w:rPr>
                <w:sz w:val="12"/>
                <w:szCs w:val="12"/>
                <w:color w:val="auto"/>
              </w:rPr>
            </w:pPr>
          </w:p>
        </w:tc>
        <w:tc>
          <w:tcPr>
            <w:tcW w:w="520" w:type="dxa"/>
            <w:vAlign w:val="bottom"/>
            <w:tcBorders>
              <w:bottom w:val="single" w:sz="8" w:color="auto"/>
            </w:tcBorders>
          </w:tcPr>
          <w:p>
            <w:pPr>
              <w:jc w:val="right"/>
              <w:ind w:right="112"/>
              <w:spacing w:after="0" w:line="142" w:lineRule="exact"/>
              <w:rPr>
                <w:sz w:val="20"/>
                <w:szCs w:val="20"/>
                <w:color w:val="auto"/>
              </w:rPr>
            </w:pPr>
            <w:r>
              <w:rPr>
                <w:rFonts w:ascii="Arial" w:cs="Arial" w:eastAsia="Arial" w:hAnsi="Arial"/>
                <w:sz w:val="14"/>
                <w:szCs w:val="14"/>
                <w:color w:val="auto"/>
              </w:rPr>
              <w:t>(8)</w:t>
            </w:r>
          </w:p>
        </w:tc>
        <w:tc>
          <w:tcPr>
            <w:tcW w:w="280" w:type="dxa"/>
            <w:vAlign w:val="bottom"/>
            <w:tcBorders>
              <w:bottom w:val="single" w:sz="8" w:color="auto"/>
            </w:tcBorders>
          </w:tcPr>
          <w:p>
            <w:pPr>
              <w:spacing w:after="0"/>
              <w:rPr>
                <w:sz w:val="12"/>
                <w:szCs w:val="12"/>
                <w:color w:val="auto"/>
              </w:rPr>
            </w:pPr>
          </w:p>
        </w:tc>
        <w:tc>
          <w:tcPr>
            <w:tcW w:w="860" w:type="dxa"/>
            <w:vAlign w:val="bottom"/>
            <w:tcBorders>
              <w:bottom w:val="single" w:sz="8" w:color="auto"/>
            </w:tcBorders>
          </w:tcPr>
          <w:p>
            <w:pPr>
              <w:jc w:val="right"/>
              <w:ind w:right="112"/>
              <w:spacing w:after="0" w:line="142" w:lineRule="exact"/>
              <w:rPr>
                <w:sz w:val="20"/>
                <w:szCs w:val="20"/>
                <w:color w:val="auto"/>
              </w:rPr>
            </w:pPr>
            <w:r>
              <w:rPr>
                <w:rFonts w:ascii="Arial" w:cs="Arial" w:eastAsia="Arial" w:hAnsi="Arial"/>
                <w:sz w:val="14"/>
                <w:szCs w:val="14"/>
                <w:color w:val="auto"/>
              </w:rPr>
              <w:t>(6,585)</w:t>
            </w:r>
          </w:p>
        </w:tc>
        <w:tc>
          <w:tcPr>
            <w:tcW w:w="240" w:type="dxa"/>
            <w:vAlign w:val="bottom"/>
            <w:tcBorders>
              <w:bottom w:val="single" w:sz="8" w:color="auto"/>
            </w:tcBorders>
          </w:tcPr>
          <w:p>
            <w:pPr>
              <w:spacing w:after="0"/>
              <w:rPr>
                <w:sz w:val="12"/>
                <w:szCs w:val="12"/>
                <w:color w:val="auto"/>
              </w:rPr>
            </w:pPr>
          </w:p>
        </w:tc>
        <w:tc>
          <w:tcPr>
            <w:tcW w:w="960" w:type="dxa"/>
            <w:vAlign w:val="bottom"/>
            <w:tcBorders>
              <w:bottom w:val="single" w:sz="8" w:color="auto"/>
            </w:tcBorders>
          </w:tcPr>
          <w:p>
            <w:pPr>
              <w:jc w:val="right"/>
              <w:ind w:right="152"/>
              <w:spacing w:after="0" w:line="142" w:lineRule="exact"/>
              <w:rPr>
                <w:sz w:val="20"/>
                <w:szCs w:val="20"/>
                <w:color w:val="auto"/>
              </w:rPr>
            </w:pPr>
            <w:r>
              <w:rPr>
                <w:rFonts w:ascii="Arial" w:cs="Arial" w:eastAsia="Arial" w:hAnsi="Arial"/>
                <w:sz w:val="14"/>
                <w:szCs w:val="14"/>
                <w:color w:val="auto"/>
              </w:rPr>
              <w:t>—</w:t>
            </w:r>
          </w:p>
        </w:tc>
        <w:tc>
          <w:tcPr>
            <w:tcW w:w="300" w:type="dxa"/>
            <w:vAlign w:val="bottom"/>
            <w:tcBorders>
              <w:bottom w:val="single" w:sz="8" w:color="auto"/>
            </w:tcBorders>
          </w:tcPr>
          <w:p>
            <w:pPr>
              <w:spacing w:after="0"/>
              <w:rPr>
                <w:sz w:val="12"/>
                <w:szCs w:val="12"/>
                <w:color w:val="auto"/>
              </w:rPr>
            </w:pPr>
          </w:p>
        </w:tc>
        <w:tc>
          <w:tcPr>
            <w:tcW w:w="840" w:type="dxa"/>
            <w:vAlign w:val="bottom"/>
            <w:tcBorders>
              <w:bottom w:val="single" w:sz="8" w:color="auto"/>
            </w:tcBorders>
          </w:tcPr>
          <w:p>
            <w:pPr>
              <w:jc w:val="right"/>
              <w:spacing w:after="0" w:line="142" w:lineRule="exact"/>
              <w:rPr>
                <w:sz w:val="20"/>
                <w:szCs w:val="20"/>
                <w:color w:val="auto"/>
              </w:rPr>
            </w:pPr>
            <w:r>
              <w:rPr>
                <w:rFonts w:ascii="Arial" w:cs="Arial" w:eastAsia="Arial" w:hAnsi="Arial"/>
                <w:sz w:val="14"/>
                <w:szCs w:val="14"/>
                <w:b w:val="1"/>
                <w:bCs w:val="1"/>
                <w:color w:val="auto"/>
              </w:rPr>
              <w:t>(4,512)</w:t>
            </w:r>
          </w:p>
        </w:tc>
        <w:tc>
          <w:tcPr>
            <w:tcW w:w="0" w:type="dxa"/>
            <w:vAlign w:val="bottom"/>
          </w:tcPr>
          <w:p>
            <w:pPr>
              <w:spacing w:after="0"/>
              <w:rPr>
                <w:sz w:val="1"/>
                <w:szCs w:val="1"/>
                <w:color w:val="auto"/>
              </w:rPr>
            </w:pPr>
          </w:p>
        </w:tc>
      </w:tr>
      <w:tr>
        <w:trPr>
          <w:trHeight w:val="125"/>
        </w:trPr>
        <w:tc>
          <w:tcPr>
            <w:tcW w:w="20" w:type="dxa"/>
            <w:vAlign w:val="bottom"/>
          </w:tcPr>
          <w:p>
            <w:pPr>
              <w:spacing w:after="0"/>
              <w:rPr>
                <w:sz w:val="10"/>
                <w:szCs w:val="10"/>
                <w:color w:val="auto"/>
              </w:rPr>
            </w:pPr>
          </w:p>
        </w:tc>
        <w:tc>
          <w:tcPr>
            <w:tcW w:w="3400" w:type="dxa"/>
            <w:vAlign w:val="bottom"/>
          </w:tcPr>
          <w:p>
            <w:pPr>
              <w:spacing w:after="0" w:line="125" w:lineRule="exact"/>
              <w:rPr>
                <w:sz w:val="20"/>
                <w:szCs w:val="20"/>
                <w:color w:val="auto"/>
              </w:rPr>
            </w:pPr>
            <w:r>
              <w:rPr>
                <w:rFonts w:ascii="Arial" w:cs="Arial" w:eastAsia="Arial" w:hAnsi="Arial"/>
                <w:sz w:val="14"/>
                <w:szCs w:val="14"/>
                <w:color w:val="auto"/>
              </w:rPr>
              <w:t>Decrease in cash and cash equivalents</w:t>
            </w:r>
          </w:p>
        </w:tc>
        <w:tc>
          <w:tcPr>
            <w:tcW w:w="320" w:type="dxa"/>
            <w:vAlign w:val="bottom"/>
          </w:tcPr>
          <w:p>
            <w:pPr>
              <w:spacing w:after="0"/>
              <w:rPr>
                <w:sz w:val="10"/>
                <w:szCs w:val="10"/>
                <w:color w:val="auto"/>
              </w:rPr>
            </w:pPr>
          </w:p>
        </w:tc>
        <w:tc>
          <w:tcPr>
            <w:tcW w:w="660" w:type="dxa"/>
            <w:vAlign w:val="bottom"/>
          </w:tcPr>
          <w:p>
            <w:pPr>
              <w:jc w:val="right"/>
              <w:ind w:right="152"/>
              <w:spacing w:after="0" w:line="125" w:lineRule="exact"/>
              <w:rPr>
                <w:sz w:val="20"/>
                <w:szCs w:val="20"/>
                <w:color w:val="auto"/>
              </w:rPr>
            </w:pPr>
            <w:r>
              <w:rPr>
                <w:rFonts w:ascii="Arial" w:cs="Arial" w:eastAsia="Arial" w:hAnsi="Arial"/>
                <w:sz w:val="14"/>
                <w:szCs w:val="14"/>
                <w:color w:val="auto"/>
              </w:rPr>
              <w:t>—</w:t>
            </w:r>
          </w:p>
        </w:tc>
        <w:tc>
          <w:tcPr>
            <w:tcW w:w="280" w:type="dxa"/>
            <w:vAlign w:val="bottom"/>
          </w:tcPr>
          <w:p>
            <w:pPr>
              <w:spacing w:after="0"/>
              <w:rPr>
                <w:sz w:val="10"/>
                <w:szCs w:val="10"/>
                <w:color w:val="auto"/>
              </w:rPr>
            </w:pPr>
          </w:p>
        </w:tc>
        <w:tc>
          <w:tcPr>
            <w:tcW w:w="520" w:type="dxa"/>
            <w:vAlign w:val="bottom"/>
          </w:tcPr>
          <w:p>
            <w:pPr>
              <w:jc w:val="right"/>
              <w:ind w:right="152"/>
              <w:spacing w:after="0" w:line="125" w:lineRule="exact"/>
              <w:rPr>
                <w:sz w:val="20"/>
                <w:szCs w:val="20"/>
                <w:color w:val="auto"/>
              </w:rPr>
            </w:pPr>
            <w:r>
              <w:rPr>
                <w:rFonts w:ascii="Arial" w:cs="Arial" w:eastAsia="Arial" w:hAnsi="Arial"/>
                <w:sz w:val="14"/>
                <w:szCs w:val="14"/>
                <w:color w:val="auto"/>
              </w:rPr>
              <w:t>—</w:t>
            </w:r>
          </w:p>
        </w:tc>
        <w:tc>
          <w:tcPr>
            <w:tcW w:w="280" w:type="dxa"/>
            <w:vAlign w:val="bottom"/>
          </w:tcPr>
          <w:p>
            <w:pPr>
              <w:spacing w:after="0"/>
              <w:rPr>
                <w:sz w:val="10"/>
                <w:szCs w:val="10"/>
                <w:color w:val="auto"/>
              </w:rPr>
            </w:pPr>
          </w:p>
        </w:tc>
        <w:tc>
          <w:tcPr>
            <w:tcW w:w="520" w:type="dxa"/>
            <w:vAlign w:val="bottom"/>
          </w:tcPr>
          <w:p>
            <w:pPr>
              <w:jc w:val="right"/>
              <w:ind w:right="152"/>
              <w:spacing w:after="0" w:line="125" w:lineRule="exact"/>
              <w:rPr>
                <w:sz w:val="20"/>
                <w:szCs w:val="20"/>
                <w:color w:val="auto"/>
              </w:rPr>
            </w:pPr>
            <w:r>
              <w:rPr>
                <w:rFonts w:ascii="Arial" w:cs="Arial" w:eastAsia="Arial" w:hAnsi="Arial"/>
                <w:sz w:val="14"/>
                <w:szCs w:val="14"/>
                <w:color w:val="auto"/>
              </w:rPr>
              <w:t>—</w:t>
            </w:r>
          </w:p>
        </w:tc>
        <w:tc>
          <w:tcPr>
            <w:tcW w:w="260" w:type="dxa"/>
            <w:vAlign w:val="bottom"/>
          </w:tcPr>
          <w:p>
            <w:pPr>
              <w:spacing w:after="0"/>
              <w:rPr>
                <w:sz w:val="10"/>
                <w:szCs w:val="10"/>
                <w:color w:val="auto"/>
              </w:rPr>
            </w:pPr>
          </w:p>
        </w:tc>
        <w:tc>
          <w:tcPr>
            <w:tcW w:w="740" w:type="dxa"/>
            <w:vAlign w:val="bottom"/>
          </w:tcPr>
          <w:p>
            <w:pPr>
              <w:jc w:val="right"/>
              <w:ind w:right="152"/>
              <w:spacing w:after="0" w:line="125" w:lineRule="exact"/>
              <w:rPr>
                <w:sz w:val="20"/>
                <w:szCs w:val="20"/>
                <w:color w:val="auto"/>
              </w:rPr>
            </w:pPr>
            <w:r>
              <w:rPr>
                <w:rFonts w:ascii="Arial" w:cs="Arial" w:eastAsia="Arial" w:hAnsi="Arial"/>
                <w:sz w:val="14"/>
                <w:szCs w:val="14"/>
                <w:color w:val="auto"/>
              </w:rPr>
              <w:t>—</w:t>
            </w:r>
          </w:p>
        </w:tc>
        <w:tc>
          <w:tcPr>
            <w:tcW w:w="420" w:type="dxa"/>
            <w:vAlign w:val="bottom"/>
          </w:tcPr>
          <w:p>
            <w:pPr>
              <w:spacing w:after="0"/>
              <w:rPr>
                <w:sz w:val="10"/>
                <w:szCs w:val="10"/>
                <w:color w:val="auto"/>
              </w:rPr>
            </w:pPr>
          </w:p>
        </w:tc>
        <w:tc>
          <w:tcPr>
            <w:tcW w:w="520" w:type="dxa"/>
            <w:vAlign w:val="bottom"/>
          </w:tcPr>
          <w:p>
            <w:pPr>
              <w:jc w:val="right"/>
              <w:ind w:right="152"/>
              <w:spacing w:after="0" w:line="125" w:lineRule="exact"/>
              <w:rPr>
                <w:sz w:val="20"/>
                <w:szCs w:val="20"/>
                <w:color w:val="auto"/>
              </w:rPr>
            </w:pPr>
            <w:r>
              <w:rPr>
                <w:rFonts w:ascii="Arial" w:cs="Arial" w:eastAsia="Arial" w:hAnsi="Arial"/>
                <w:sz w:val="14"/>
                <w:szCs w:val="14"/>
                <w:color w:val="auto"/>
              </w:rPr>
              <w:t>—</w:t>
            </w:r>
          </w:p>
        </w:tc>
        <w:tc>
          <w:tcPr>
            <w:tcW w:w="280" w:type="dxa"/>
            <w:vAlign w:val="bottom"/>
          </w:tcPr>
          <w:p>
            <w:pPr>
              <w:spacing w:after="0"/>
              <w:rPr>
                <w:sz w:val="10"/>
                <w:szCs w:val="10"/>
                <w:color w:val="auto"/>
              </w:rPr>
            </w:pPr>
          </w:p>
        </w:tc>
        <w:tc>
          <w:tcPr>
            <w:tcW w:w="860" w:type="dxa"/>
            <w:vAlign w:val="bottom"/>
          </w:tcPr>
          <w:p>
            <w:pPr>
              <w:jc w:val="right"/>
              <w:ind w:right="112"/>
              <w:spacing w:after="0" w:line="125" w:lineRule="exact"/>
              <w:rPr>
                <w:sz w:val="20"/>
                <w:szCs w:val="20"/>
                <w:color w:val="auto"/>
              </w:rPr>
            </w:pPr>
            <w:r>
              <w:rPr>
                <w:rFonts w:ascii="Arial" w:cs="Arial" w:eastAsia="Arial" w:hAnsi="Arial"/>
                <w:sz w:val="14"/>
                <w:szCs w:val="14"/>
                <w:color w:val="auto"/>
              </w:rPr>
              <w:t>(946)</w:t>
            </w:r>
          </w:p>
        </w:tc>
        <w:tc>
          <w:tcPr>
            <w:tcW w:w="240" w:type="dxa"/>
            <w:vAlign w:val="bottom"/>
          </w:tcPr>
          <w:p>
            <w:pPr>
              <w:spacing w:after="0"/>
              <w:rPr>
                <w:sz w:val="10"/>
                <w:szCs w:val="10"/>
                <w:color w:val="auto"/>
              </w:rPr>
            </w:pPr>
          </w:p>
        </w:tc>
        <w:tc>
          <w:tcPr>
            <w:tcW w:w="960" w:type="dxa"/>
            <w:vAlign w:val="bottom"/>
          </w:tcPr>
          <w:p>
            <w:pPr>
              <w:jc w:val="right"/>
              <w:ind w:right="152"/>
              <w:spacing w:after="0" w:line="125" w:lineRule="exact"/>
              <w:rPr>
                <w:sz w:val="20"/>
                <w:szCs w:val="20"/>
                <w:color w:val="auto"/>
              </w:rPr>
            </w:pPr>
            <w:r>
              <w:rPr>
                <w:rFonts w:ascii="Arial" w:cs="Arial" w:eastAsia="Arial" w:hAnsi="Arial"/>
                <w:sz w:val="14"/>
                <w:szCs w:val="14"/>
                <w:color w:val="auto"/>
              </w:rPr>
              <w:t>—</w:t>
            </w:r>
          </w:p>
        </w:tc>
        <w:tc>
          <w:tcPr>
            <w:tcW w:w="300" w:type="dxa"/>
            <w:vAlign w:val="bottom"/>
          </w:tcPr>
          <w:p>
            <w:pPr>
              <w:spacing w:after="0"/>
              <w:rPr>
                <w:sz w:val="10"/>
                <w:szCs w:val="10"/>
                <w:color w:val="auto"/>
              </w:rPr>
            </w:pPr>
          </w:p>
        </w:tc>
        <w:tc>
          <w:tcPr>
            <w:tcW w:w="840" w:type="dxa"/>
            <w:vAlign w:val="bottom"/>
          </w:tcPr>
          <w:p>
            <w:pPr>
              <w:jc w:val="right"/>
              <w:spacing w:after="0" w:line="125" w:lineRule="exact"/>
              <w:rPr>
                <w:sz w:val="20"/>
                <w:szCs w:val="20"/>
                <w:color w:val="auto"/>
              </w:rPr>
            </w:pPr>
            <w:r>
              <w:rPr>
                <w:rFonts w:ascii="Arial" w:cs="Arial" w:eastAsia="Arial" w:hAnsi="Arial"/>
                <w:sz w:val="14"/>
                <w:szCs w:val="14"/>
                <w:b w:val="1"/>
                <w:bCs w:val="1"/>
                <w:color w:val="auto"/>
              </w:rPr>
              <w:t>(946)</w:t>
            </w:r>
          </w:p>
        </w:tc>
        <w:tc>
          <w:tcPr>
            <w:tcW w:w="0" w:type="dxa"/>
            <w:vAlign w:val="bottom"/>
          </w:tcPr>
          <w:p>
            <w:pPr>
              <w:spacing w:after="0"/>
              <w:rPr>
                <w:sz w:val="1"/>
                <w:szCs w:val="1"/>
                <w:color w:val="auto"/>
              </w:rPr>
            </w:pPr>
          </w:p>
        </w:tc>
      </w:tr>
      <w:tr>
        <w:trPr>
          <w:trHeight w:val="165"/>
        </w:trPr>
        <w:tc>
          <w:tcPr>
            <w:tcW w:w="3420" w:type="dxa"/>
            <w:vAlign w:val="bottom"/>
            <w:tcBorders>
              <w:bottom w:val="single" w:sz="8" w:color="auto"/>
            </w:tcBorders>
            <w:gridSpan w:val="2"/>
          </w:tcPr>
          <w:p>
            <w:pPr>
              <w:spacing w:after="0"/>
              <w:rPr>
                <w:sz w:val="20"/>
                <w:szCs w:val="20"/>
                <w:color w:val="auto"/>
              </w:rPr>
            </w:pPr>
            <w:r>
              <w:rPr>
                <w:rFonts w:ascii="Arial" w:cs="Arial" w:eastAsia="Arial" w:hAnsi="Arial"/>
                <w:sz w:val="14"/>
                <w:szCs w:val="14"/>
                <w:color w:val="auto"/>
              </w:rPr>
              <w:t>Cash and cash equivalents, beginning of year</w:t>
            </w:r>
          </w:p>
        </w:tc>
        <w:tc>
          <w:tcPr>
            <w:tcW w:w="320" w:type="dxa"/>
            <w:vAlign w:val="bottom"/>
            <w:tcBorders>
              <w:bottom w:val="single" w:sz="8" w:color="auto"/>
            </w:tcBorders>
          </w:tcPr>
          <w:p>
            <w:pPr>
              <w:spacing w:after="0"/>
              <w:rPr>
                <w:sz w:val="14"/>
                <w:szCs w:val="14"/>
                <w:color w:val="auto"/>
              </w:rPr>
            </w:pPr>
          </w:p>
        </w:tc>
        <w:tc>
          <w:tcPr>
            <w:tcW w:w="660" w:type="dxa"/>
            <w:vAlign w:val="bottom"/>
            <w:tcBorders>
              <w:bottom w:val="single" w:sz="8" w:color="auto"/>
            </w:tcBorders>
          </w:tcPr>
          <w:p>
            <w:pPr>
              <w:jc w:val="right"/>
              <w:ind w:right="152"/>
              <w:spacing w:after="0"/>
              <w:rPr>
                <w:sz w:val="20"/>
                <w:szCs w:val="20"/>
                <w:color w:val="auto"/>
              </w:rPr>
            </w:pPr>
            <w:r>
              <w:rPr>
                <w:rFonts w:ascii="Arial" w:cs="Arial" w:eastAsia="Arial" w:hAnsi="Arial"/>
                <w:sz w:val="14"/>
                <w:szCs w:val="14"/>
                <w:color w:val="auto"/>
              </w:rPr>
              <w:t>—</w:t>
            </w:r>
          </w:p>
        </w:tc>
        <w:tc>
          <w:tcPr>
            <w:tcW w:w="280" w:type="dxa"/>
            <w:vAlign w:val="bottom"/>
            <w:tcBorders>
              <w:bottom w:val="single" w:sz="8" w:color="auto"/>
            </w:tcBorders>
          </w:tcPr>
          <w:p>
            <w:pPr>
              <w:spacing w:after="0"/>
              <w:rPr>
                <w:sz w:val="14"/>
                <w:szCs w:val="14"/>
                <w:color w:val="auto"/>
              </w:rPr>
            </w:pPr>
          </w:p>
        </w:tc>
        <w:tc>
          <w:tcPr>
            <w:tcW w:w="520" w:type="dxa"/>
            <w:vAlign w:val="bottom"/>
            <w:tcBorders>
              <w:bottom w:val="single" w:sz="8" w:color="auto"/>
            </w:tcBorders>
          </w:tcPr>
          <w:p>
            <w:pPr>
              <w:jc w:val="right"/>
              <w:ind w:right="152"/>
              <w:spacing w:after="0"/>
              <w:rPr>
                <w:sz w:val="20"/>
                <w:szCs w:val="20"/>
                <w:color w:val="auto"/>
              </w:rPr>
            </w:pPr>
            <w:r>
              <w:rPr>
                <w:rFonts w:ascii="Arial" w:cs="Arial" w:eastAsia="Arial" w:hAnsi="Arial"/>
                <w:sz w:val="14"/>
                <w:szCs w:val="14"/>
                <w:color w:val="auto"/>
              </w:rPr>
              <w:t>—</w:t>
            </w:r>
          </w:p>
        </w:tc>
        <w:tc>
          <w:tcPr>
            <w:tcW w:w="280" w:type="dxa"/>
            <w:vAlign w:val="bottom"/>
            <w:tcBorders>
              <w:bottom w:val="single" w:sz="8" w:color="auto"/>
            </w:tcBorders>
          </w:tcPr>
          <w:p>
            <w:pPr>
              <w:spacing w:after="0"/>
              <w:rPr>
                <w:sz w:val="14"/>
                <w:szCs w:val="14"/>
                <w:color w:val="auto"/>
              </w:rPr>
            </w:pPr>
          </w:p>
        </w:tc>
        <w:tc>
          <w:tcPr>
            <w:tcW w:w="520" w:type="dxa"/>
            <w:vAlign w:val="bottom"/>
            <w:tcBorders>
              <w:bottom w:val="single" w:sz="8" w:color="auto"/>
            </w:tcBorders>
          </w:tcPr>
          <w:p>
            <w:pPr>
              <w:jc w:val="right"/>
              <w:ind w:right="152"/>
              <w:spacing w:after="0"/>
              <w:rPr>
                <w:sz w:val="20"/>
                <w:szCs w:val="20"/>
                <w:color w:val="auto"/>
              </w:rPr>
            </w:pPr>
            <w:r>
              <w:rPr>
                <w:rFonts w:ascii="Arial" w:cs="Arial" w:eastAsia="Arial" w:hAnsi="Arial"/>
                <w:sz w:val="14"/>
                <w:szCs w:val="14"/>
                <w:color w:val="auto"/>
              </w:rPr>
              <w:t>—</w:t>
            </w:r>
          </w:p>
        </w:tc>
        <w:tc>
          <w:tcPr>
            <w:tcW w:w="260" w:type="dxa"/>
            <w:vAlign w:val="bottom"/>
            <w:tcBorders>
              <w:bottom w:val="single" w:sz="8" w:color="auto"/>
            </w:tcBorders>
          </w:tcPr>
          <w:p>
            <w:pPr>
              <w:spacing w:after="0"/>
              <w:rPr>
                <w:sz w:val="14"/>
                <w:szCs w:val="14"/>
                <w:color w:val="auto"/>
              </w:rPr>
            </w:pPr>
          </w:p>
        </w:tc>
        <w:tc>
          <w:tcPr>
            <w:tcW w:w="740" w:type="dxa"/>
            <w:vAlign w:val="bottom"/>
            <w:tcBorders>
              <w:bottom w:val="single" w:sz="8" w:color="auto"/>
            </w:tcBorders>
          </w:tcPr>
          <w:p>
            <w:pPr>
              <w:jc w:val="right"/>
              <w:ind w:right="152"/>
              <w:spacing w:after="0"/>
              <w:rPr>
                <w:sz w:val="20"/>
                <w:szCs w:val="20"/>
                <w:color w:val="auto"/>
              </w:rPr>
            </w:pPr>
            <w:r>
              <w:rPr>
                <w:rFonts w:ascii="Arial" w:cs="Arial" w:eastAsia="Arial" w:hAnsi="Arial"/>
                <w:sz w:val="14"/>
                <w:szCs w:val="14"/>
                <w:color w:val="auto"/>
              </w:rPr>
              <w:t>—</w:t>
            </w:r>
          </w:p>
        </w:tc>
        <w:tc>
          <w:tcPr>
            <w:tcW w:w="420" w:type="dxa"/>
            <w:vAlign w:val="bottom"/>
            <w:tcBorders>
              <w:bottom w:val="single" w:sz="8" w:color="auto"/>
            </w:tcBorders>
          </w:tcPr>
          <w:p>
            <w:pPr>
              <w:spacing w:after="0"/>
              <w:rPr>
                <w:sz w:val="14"/>
                <w:szCs w:val="14"/>
                <w:color w:val="auto"/>
              </w:rPr>
            </w:pPr>
          </w:p>
        </w:tc>
        <w:tc>
          <w:tcPr>
            <w:tcW w:w="520" w:type="dxa"/>
            <w:vAlign w:val="bottom"/>
            <w:tcBorders>
              <w:bottom w:val="single" w:sz="8" w:color="auto"/>
            </w:tcBorders>
          </w:tcPr>
          <w:p>
            <w:pPr>
              <w:jc w:val="right"/>
              <w:ind w:right="152"/>
              <w:spacing w:after="0"/>
              <w:rPr>
                <w:sz w:val="20"/>
                <w:szCs w:val="20"/>
                <w:color w:val="auto"/>
              </w:rPr>
            </w:pPr>
            <w:r>
              <w:rPr>
                <w:rFonts w:ascii="Arial" w:cs="Arial" w:eastAsia="Arial" w:hAnsi="Arial"/>
                <w:sz w:val="14"/>
                <w:szCs w:val="14"/>
                <w:color w:val="auto"/>
              </w:rPr>
              <w:t>—</w:t>
            </w:r>
          </w:p>
        </w:tc>
        <w:tc>
          <w:tcPr>
            <w:tcW w:w="280" w:type="dxa"/>
            <w:vAlign w:val="bottom"/>
            <w:tcBorders>
              <w:bottom w:val="single" w:sz="8" w:color="auto"/>
            </w:tcBorders>
          </w:tcPr>
          <w:p>
            <w:pPr>
              <w:spacing w:after="0"/>
              <w:rPr>
                <w:sz w:val="14"/>
                <w:szCs w:val="14"/>
                <w:color w:val="auto"/>
              </w:rPr>
            </w:pPr>
          </w:p>
        </w:tc>
        <w:tc>
          <w:tcPr>
            <w:tcW w:w="860" w:type="dxa"/>
            <w:vAlign w:val="bottom"/>
            <w:tcBorders>
              <w:bottom w:val="single" w:sz="8" w:color="auto"/>
            </w:tcBorders>
          </w:tcPr>
          <w:p>
            <w:pPr>
              <w:jc w:val="right"/>
              <w:ind w:right="152"/>
              <w:spacing w:after="0"/>
              <w:rPr>
                <w:sz w:val="20"/>
                <w:szCs w:val="20"/>
                <w:color w:val="auto"/>
              </w:rPr>
            </w:pPr>
            <w:r>
              <w:rPr>
                <w:rFonts w:ascii="Arial" w:cs="Arial" w:eastAsia="Arial" w:hAnsi="Arial"/>
                <w:sz w:val="14"/>
                <w:szCs w:val="14"/>
                <w:color w:val="auto"/>
              </w:rPr>
              <w:t>1,739</w:t>
            </w:r>
          </w:p>
        </w:tc>
        <w:tc>
          <w:tcPr>
            <w:tcW w:w="240" w:type="dxa"/>
            <w:vAlign w:val="bottom"/>
            <w:tcBorders>
              <w:bottom w:val="single" w:sz="8" w:color="auto"/>
            </w:tcBorders>
          </w:tcPr>
          <w:p>
            <w:pPr>
              <w:spacing w:after="0"/>
              <w:rPr>
                <w:sz w:val="14"/>
                <w:szCs w:val="14"/>
                <w:color w:val="auto"/>
              </w:rPr>
            </w:pPr>
          </w:p>
        </w:tc>
        <w:tc>
          <w:tcPr>
            <w:tcW w:w="960" w:type="dxa"/>
            <w:vAlign w:val="bottom"/>
            <w:tcBorders>
              <w:bottom w:val="single" w:sz="8" w:color="auto"/>
            </w:tcBorders>
          </w:tcPr>
          <w:p>
            <w:pPr>
              <w:jc w:val="right"/>
              <w:ind w:right="152"/>
              <w:spacing w:after="0"/>
              <w:rPr>
                <w:sz w:val="20"/>
                <w:szCs w:val="20"/>
                <w:color w:val="auto"/>
              </w:rPr>
            </w:pPr>
            <w:r>
              <w:rPr>
                <w:rFonts w:ascii="Arial" w:cs="Arial" w:eastAsia="Arial" w:hAnsi="Arial"/>
                <w:sz w:val="14"/>
                <w:szCs w:val="14"/>
                <w:color w:val="auto"/>
              </w:rPr>
              <w:t>—</w:t>
            </w:r>
          </w:p>
        </w:tc>
        <w:tc>
          <w:tcPr>
            <w:tcW w:w="300" w:type="dxa"/>
            <w:vAlign w:val="bottom"/>
            <w:tcBorders>
              <w:bottom w:val="single" w:sz="8" w:color="auto"/>
            </w:tcBorders>
          </w:tcPr>
          <w:p>
            <w:pPr>
              <w:spacing w:after="0"/>
              <w:rPr>
                <w:sz w:val="14"/>
                <w:szCs w:val="14"/>
                <w:color w:val="auto"/>
              </w:rPr>
            </w:pPr>
          </w:p>
        </w:tc>
        <w:tc>
          <w:tcPr>
            <w:tcW w:w="84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1,739</w:t>
            </w:r>
          </w:p>
        </w:tc>
        <w:tc>
          <w:tcPr>
            <w:tcW w:w="0" w:type="dxa"/>
            <w:vAlign w:val="bottom"/>
          </w:tcPr>
          <w:p>
            <w:pPr>
              <w:spacing w:after="0"/>
              <w:rPr>
                <w:sz w:val="1"/>
                <w:szCs w:val="1"/>
                <w:color w:val="auto"/>
              </w:rPr>
            </w:pPr>
          </w:p>
        </w:tc>
      </w:tr>
      <w:tr>
        <w:trPr>
          <w:trHeight w:val="142"/>
        </w:trPr>
        <w:tc>
          <w:tcPr>
            <w:tcW w:w="3420" w:type="dxa"/>
            <w:vAlign w:val="bottom"/>
            <w:gridSpan w:val="2"/>
          </w:tcPr>
          <w:p>
            <w:pPr>
              <w:spacing w:after="0" w:line="142" w:lineRule="exact"/>
              <w:rPr>
                <w:sz w:val="20"/>
                <w:szCs w:val="20"/>
                <w:color w:val="auto"/>
              </w:rPr>
            </w:pPr>
            <w:r>
              <w:rPr>
                <w:rFonts w:ascii="Arial" w:cs="Arial" w:eastAsia="Arial" w:hAnsi="Arial"/>
                <w:sz w:val="14"/>
                <w:szCs w:val="14"/>
                <w:b w:val="1"/>
                <w:bCs w:val="1"/>
                <w:color w:val="auto"/>
              </w:rPr>
              <w:t>Cash and cash equivalents, end of year</w:t>
            </w:r>
          </w:p>
        </w:tc>
        <w:tc>
          <w:tcPr>
            <w:tcW w:w="320" w:type="dxa"/>
            <w:vAlign w:val="bottom"/>
          </w:tcPr>
          <w:p>
            <w:pPr>
              <w:ind w:left="220"/>
              <w:spacing w:after="0" w:line="142" w:lineRule="exact"/>
              <w:rPr>
                <w:sz w:val="20"/>
                <w:szCs w:val="20"/>
                <w:color w:val="auto"/>
              </w:rPr>
            </w:pPr>
            <w:r>
              <w:rPr>
                <w:rFonts w:ascii="Arial" w:cs="Arial" w:eastAsia="Arial" w:hAnsi="Arial"/>
                <w:sz w:val="14"/>
                <w:szCs w:val="14"/>
                <w:b w:val="1"/>
                <w:bCs w:val="1"/>
                <w:color w:val="auto"/>
              </w:rPr>
              <w:t>$</w:t>
            </w:r>
          </w:p>
        </w:tc>
        <w:tc>
          <w:tcPr>
            <w:tcW w:w="660" w:type="dxa"/>
            <w:vAlign w:val="bottom"/>
          </w:tcPr>
          <w:p>
            <w:pPr>
              <w:jc w:val="right"/>
              <w:ind w:right="152"/>
              <w:spacing w:after="0" w:line="142" w:lineRule="exact"/>
              <w:rPr>
                <w:sz w:val="20"/>
                <w:szCs w:val="20"/>
                <w:color w:val="auto"/>
              </w:rPr>
            </w:pPr>
            <w:r>
              <w:rPr>
                <w:rFonts w:ascii="Arial" w:cs="Arial" w:eastAsia="Arial" w:hAnsi="Arial"/>
                <w:sz w:val="14"/>
                <w:szCs w:val="14"/>
                <w:b w:val="1"/>
                <w:bCs w:val="1"/>
                <w:color w:val="auto"/>
              </w:rPr>
              <w:t>—</w:t>
            </w:r>
          </w:p>
        </w:tc>
        <w:tc>
          <w:tcPr>
            <w:tcW w:w="280" w:type="dxa"/>
            <w:vAlign w:val="bottom"/>
          </w:tcPr>
          <w:p>
            <w:pPr>
              <w:ind w:left="180"/>
              <w:spacing w:after="0" w:line="142" w:lineRule="exact"/>
              <w:rPr>
                <w:sz w:val="20"/>
                <w:szCs w:val="20"/>
                <w:color w:val="auto"/>
              </w:rPr>
            </w:pPr>
            <w:r>
              <w:rPr>
                <w:rFonts w:ascii="Arial" w:cs="Arial" w:eastAsia="Arial" w:hAnsi="Arial"/>
                <w:sz w:val="14"/>
                <w:szCs w:val="14"/>
                <w:b w:val="1"/>
                <w:bCs w:val="1"/>
                <w:color w:val="auto"/>
              </w:rPr>
              <w:t>$</w:t>
            </w:r>
          </w:p>
        </w:tc>
        <w:tc>
          <w:tcPr>
            <w:tcW w:w="520" w:type="dxa"/>
            <w:vAlign w:val="bottom"/>
          </w:tcPr>
          <w:p>
            <w:pPr>
              <w:jc w:val="right"/>
              <w:ind w:right="152"/>
              <w:spacing w:after="0" w:line="142" w:lineRule="exact"/>
              <w:rPr>
                <w:sz w:val="20"/>
                <w:szCs w:val="20"/>
                <w:color w:val="auto"/>
              </w:rPr>
            </w:pPr>
            <w:r>
              <w:rPr>
                <w:rFonts w:ascii="Arial" w:cs="Arial" w:eastAsia="Arial" w:hAnsi="Arial"/>
                <w:sz w:val="14"/>
                <w:szCs w:val="14"/>
                <w:b w:val="1"/>
                <w:bCs w:val="1"/>
                <w:color w:val="auto"/>
              </w:rPr>
              <w:t>—</w:t>
            </w:r>
          </w:p>
        </w:tc>
        <w:tc>
          <w:tcPr>
            <w:tcW w:w="280" w:type="dxa"/>
            <w:vAlign w:val="bottom"/>
          </w:tcPr>
          <w:p>
            <w:pPr>
              <w:ind w:left="160"/>
              <w:spacing w:after="0" w:line="142" w:lineRule="exact"/>
              <w:rPr>
                <w:sz w:val="20"/>
                <w:szCs w:val="20"/>
                <w:color w:val="auto"/>
              </w:rPr>
            </w:pPr>
            <w:r>
              <w:rPr>
                <w:rFonts w:ascii="Arial" w:cs="Arial" w:eastAsia="Arial" w:hAnsi="Arial"/>
                <w:sz w:val="14"/>
                <w:szCs w:val="14"/>
                <w:b w:val="1"/>
                <w:bCs w:val="1"/>
                <w:color w:val="auto"/>
              </w:rPr>
              <w:t>$</w:t>
            </w:r>
          </w:p>
        </w:tc>
        <w:tc>
          <w:tcPr>
            <w:tcW w:w="520" w:type="dxa"/>
            <w:vAlign w:val="bottom"/>
          </w:tcPr>
          <w:p>
            <w:pPr>
              <w:jc w:val="right"/>
              <w:ind w:right="152"/>
              <w:spacing w:after="0" w:line="142" w:lineRule="exact"/>
              <w:rPr>
                <w:sz w:val="20"/>
                <w:szCs w:val="20"/>
                <w:color w:val="auto"/>
              </w:rPr>
            </w:pPr>
            <w:r>
              <w:rPr>
                <w:rFonts w:ascii="Arial" w:cs="Arial" w:eastAsia="Arial" w:hAnsi="Arial"/>
                <w:sz w:val="14"/>
                <w:szCs w:val="14"/>
                <w:b w:val="1"/>
                <w:bCs w:val="1"/>
                <w:color w:val="auto"/>
              </w:rPr>
              <w:t>—</w:t>
            </w:r>
          </w:p>
        </w:tc>
        <w:tc>
          <w:tcPr>
            <w:tcW w:w="260" w:type="dxa"/>
            <w:vAlign w:val="bottom"/>
          </w:tcPr>
          <w:p>
            <w:pPr>
              <w:jc w:val="right"/>
              <w:spacing w:after="0" w:line="142" w:lineRule="exact"/>
              <w:rPr>
                <w:sz w:val="20"/>
                <w:szCs w:val="20"/>
                <w:color w:val="auto"/>
              </w:rPr>
            </w:pPr>
            <w:r>
              <w:rPr>
                <w:rFonts w:ascii="Arial" w:cs="Arial" w:eastAsia="Arial" w:hAnsi="Arial"/>
                <w:sz w:val="14"/>
                <w:szCs w:val="14"/>
                <w:b w:val="1"/>
                <w:bCs w:val="1"/>
                <w:color w:val="auto"/>
              </w:rPr>
              <w:t>$</w:t>
            </w:r>
          </w:p>
        </w:tc>
        <w:tc>
          <w:tcPr>
            <w:tcW w:w="740" w:type="dxa"/>
            <w:vAlign w:val="bottom"/>
          </w:tcPr>
          <w:p>
            <w:pPr>
              <w:jc w:val="right"/>
              <w:ind w:right="152"/>
              <w:spacing w:after="0" w:line="142" w:lineRule="exact"/>
              <w:rPr>
                <w:sz w:val="20"/>
                <w:szCs w:val="20"/>
                <w:color w:val="auto"/>
              </w:rPr>
            </w:pPr>
            <w:r>
              <w:rPr>
                <w:rFonts w:ascii="Arial" w:cs="Arial" w:eastAsia="Arial" w:hAnsi="Arial"/>
                <w:sz w:val="14"/>
                <w:szCs w:val="14"/>
                <w:b w:val="1"/>
                <w:bCs w:val="1"/>
                <w:color w:val="auto"/>
              </w:rPr>
              <w:t>—</w:t>
            </w:r>
          </w:p>
        </w:tc>
        <w:tc>
          <w:tcPr>
            <w:tcW w:w="420" w:type="dxa"/>
            <w:vAlign w:val="bottom"/>
          </w:tcPr>
          <w:p>
            <w:pPr>
              <w:ind w:left="180"/>
              <w:spacing w:after="0" w:line="142" w:lineRule="exact"/>
              <w:rPr>
                <w:sz w:val="20"/>
                <w:szCs w:val="20"/>
                <w:color w:val="auto"/>
              </w:rPr>
            </w:pPr>
            <w:r>
              <w:rPr>
                <w:rFonts w:ascii="Arial" w:cs="Arial" w:eastAsia="Arial" w:hAnsi="Arial"/>
                <w:sz w:val="14"/>
                <w:szCs w:val="14"/>
                <w:b w:val="1"/>
                <w:bCs w:val="1"/>
                <w:color w:val="auto"/>
              </w:rPr>
              <w:t>$</w:t>
            </w:r>
          </w:p>
        </w:tc>
        <w:tc>
          <w:tcPr>
            <w:tcW w:w="520" w:type="dxa"/>
            <w:vAlign w:val="bottom"/>
          </w:tcPr>
          <w:p>
            <w:pPr>
              <w:jc w:val="right"/>
              <w:ind w:right="152"/>
              <w:spacing w:after="0" w:line="142" w:lineRule="exact"/>
              <w:rPr>
                <w:sz w:val="20"/>
                <w:szCs w:val="20"/>
                <w:color w:val="auto"/>
              </w:rPr>
            </w:pPr>
            <w:r>
              <w:rPr>
                <w:rFonts w:ascii="Arial" w:cs="Arial" w:eastAsia="Arial" w:hAnsi="Arial"/>
                <w:sz w:val="14"/>
                <w:szCs w:val="14"/>
                <w:b w:val="1"/>
                <w:bCs w:val="1"/>
                <w:color w:val="auto"/>
              </w:rPr>
              <w:t>—</w:t>
            </w:r>
          </w:p>
        </w:tc>
        <w:tc>
          <w:tcPr>
            <w:tcW w:w="280" w:type="dxa"/>
            <w:vAlign w:val="bottom"/>
          </w:tcPr>
          <w:p>
            <w:pPr>
              <w:jc w:val="right"/>
              <w:spacing w:after="0" w:line="142" w:lineRule="exact"/>
              <w:rPr>
                <w:sz w:val="20"/>
                <w:szCs w:val="20"/>
                <w:color w:val="auto"/>
              </w:rPr>
            </w:pPr>
            <w:r>
              <w:rPr>
                <w:rFonts w:ascii="Arial" w:cs="Arial" w:eastAsia="Arial" w:hAnsi="Arial"/>
                <w:sz w:val="14"/>
                <w:szCs w:val="14"/>
                <w:b w:val="1"/>
                <w:bCs w:val="1"/>
                <w:color w:val="auto"/>
              </w:rPr>
              <w:t>$</w:t>
            </w:r>
          </w:p>
        </w:tc>
        <w:tc>
          <w:tcPr>
            <w:tcW w:w="860" w:type="dxa"/>
            <w:vAlign w:val="bottom"/>
          </w:tcPr>
          <w:p>
            <w:pPr>
              <w:jc w:val="right"/>
              <w:ind w:right="152"/>
              <w:spacing w:after="0" w:line="142" w:lineRule="exact"/>
              <w:rPr>
                <w:sz w:val="20"/>
                <w:szCs w:val="20"/>
                <w:color w:val="auto"/>
              </w:rPr>
            </w:pPr>
            <w:r>
              <w:rPr>
                <w:rFonts w:ascii="Arial" w:cs="Arial" w:eastAsia="Arial" w:hAnsi="Arial"/>
                <w:sz w:val="14"/>
                <w:szCs w:val="14"/>
                <w:b w:val="1"/>
                <w:bCs w:val="1"/>
                <w:color w:val="auto"/>
              </w:rPr>
              <w:t>793</w:t>
            </w:r>
          </w:p>
        </w:tc>
        <w:tc>
          <w:tcPr>
            <w:tcW w:w="240" w:type="dxa"/>
            <w:vAlign w:val="bottom"/>
          </w:tcPr>
          <w:p>
            <w:pPr>
              <w:jc w:val="right"/>
              <w:spacing w:after="0" w:line="142" w:lineRule="exact"/>
              <w:rPr>
                <w:sz w:val="20"/>
                <w:szCs w:val="20"/>
                <w:color w:val="auto"/>
              </w:rPr>
            </w:pPr>
            <w:r>
              <w:rPr>
                <w:rFonts w:ascii="Arial" w:cs="Arial" w:eastAsia="Arial" w:hAnsi="Arial"/>
                <w:sz w:val="14"/>
                <w:szCs w:val="14"/>
                <w:b w:val="1"/>
                <w:bCs w:val="1"/>
                <w:color w:val="auto"/>
              </w:rPr>
              <w:t>$</w:t>
            </w:r>
          </w:p>
        </w:tc>
        <w:tc>
          <w:tcPr>
            <w:tcW w:w="960" w:type="dxa"/>
            <w:vAlign w:val="bottom"/>
          </w:tcPr>
          <w:p>
            <w:pPr>
              <w:jc w:val="right"/>
              <w:ind w:right="152"/>
              <w:spacing w:after="0" w:line="142" w:lineRule="exact"/>
              <w:rPr>
                <w:sz w:val="20"/>
                <w:szCs w:val="20"/>
                <w:color w:val="auto"/>
              </w:rPr>
            </w:pPr>
            <w:r>
              <w:rPr>
                <w:rFonts w:ascii="Arial" w:cs="Arial" w:eastAsia="Arial" w:hAnsi="Arial"/>
                <w:sz w:val="14"/>
                <w:szCs w:val="14"/>
                <w:b w:val="1"/>
                <w:bCs w:val="1"/>
                <w:color w:val="auto"/>
              </w:rPr>
              <w:t>—</w:t>
            </w:r>
          </w:p>
        </w:tc>
        <w:tc>
          <w:tcPr>
            <w:tcW w:w="300" w:type="dxa"/>
            <w:vAlign w:val="bottom"/>
          </w:tcPr>
          <w:p>
            <w:pPr>
              <w:jc w:val="right"/>
              <w:spacing w:after="0" w:line="142" w:lineRule="exact"/>
              <w:rPr>
                <w:sz w:val="20"/>
                <w:szCs w:val="20"/>
                <w:color w:val="auto"/>
              </w:rPr>
            </w:pPr>
            <w:r>
              <w:rPr>
                <w:rFonts w:ascii="Arial" w:cs="Arial" w:eastAsia="Arial" w:hAnsi="Arial"/>
                <w:sz w:val="14"/>
                <w:szCs w:val="14"/>
                <w:b w:val="1"/>
                <w:bCs w:val="1"/>
                <w:color w:val="auto"/>
              </w:rPr>
              <w:t>$</w:t>
            </w:r>
          </w:p>
        </w:tc>
        <w:tc>
          <w:tcPr>
            <w:tcW w:w="840" w:type="dxa"/>
            <w:vAlign w:val="bottom"/>
          </w:tcPr>
          <w:p>
            <w:pPr>
              <w:jc w:val="right"/>
              <w:spacing w:after="0" w:line="142" w:lineRule="exact"/>
              <w:rPr>
                <w:sz w:val="20"/>
                <w:szCs w:val="20"/>
                <w:color w:val="auto"/>
              </w:rPr>
            </w:pPr>
            <w:r>
              <w:rPr>
                <w:rFonts w:ascii="Arial" w:cs="Arial" w:eastAsia="Arial" w:hAnsi="Arial"/>
                <w:sz w:val="14"/>
                <w:szCs w:val="14"/>
                <w:b w:val="1"/>
                <w:bCs w:val="1"/>
                <w:color w:val="auto"/>
              </w:rPr>
              <w:t>793</w:t>
            </w:r>
          </w:p>
        </w:tc>
        <w:tc>
          <w:tcPr>
            <w:tcW w:w="0" w:type="dxa"/>
            <w:vAlign w:val="bottom"/>
          </w:tcPr>
          <w:p>
            <w:pPr>
              <w:spacing w:after="0"/>
              <w:rPr>
                <w:sz w:val="1"/>
                <w:szCs w:val="1"/>
                <w:color w:val="auto"/>
              </w:rPr>
            </w:pPr>
          </w:p>
        </w:tc>
      </w:tr>
      <w:tr>
        <w:trPr>
          <w:trHeight w:val="304"/>
        </w:trPr>
        <w:tc>
          <w:tcPr>
            <w:tcW w:w="20" w:type="dxa"/>
            <w:vAlign w:val="bottom"/>
          </w:tcPr>
          <w:p>
            <w:pPr>
              <w:spacing w:after="0"/>
              <w:rPr>
                <w:sz w:val="24"/>
                <w:szCs w:val="24"/>
                <w:color w:val="auto"/>
              </w:rPr>
            </w:pPr>
          </w:p>
        </w:tc>
        <w:tc>
          <w:tcPr>
            <w:tcW w:w="3400" w:type="dxa"/>
            <w:vAlign w:val="bottom"/>
            <w:tcBorders>
              <w:top w:val="single" w:sz="8" w:color="35BF85"/>
            </w:tcBorders>
          </w:tcPr>
          <w:p>
            <w:pPr>
              <w:spacing w:after="0"/>
              <w:rPr>
                <w:sz w:val="24"/>
                <w:szCs w:val="24"/>
                <w:color w:val="auto"/>
              </w:rPr>
            </w:pPr>
          </w:p>
        </w:tc>
        <w:tc>
          <w:tcPr>
            <w:tcW w:w="320" w:type="dxa"/>
            <w:vAlign w:val="bottom"/>
            <w:tcBorders>
              <w:top w:val="single" w:sz="8" w:color="35BF85"/>
            </w:tcBorders>
          </w:tcPr>
          <w:p>
            <w:pPr>
              <w:spacing w:after="0"/>
              <w:rPr>
                <w:sz w:val="24"/>
                <w:szCs w:val="24"/>
                <w:color w:val="auto"/>
              </w:rPr>
            </w:pPr>
          </w:p>
        </w:tc>
        <w:tc>
          <w:tcPr>
            <w:tcW w:w="660" w:type="dxa"/>
            <w:vAlign w:val="bottom"/>
            <w:tcBorders>
              <w:top w:val="single" w:sz="8" w:color="35BF85"/>
            </w:tcBorders>
          </w:tcPr>
          <w:p>
            <w:pPr>
              <w:spacing w:after="0"/>
              <w:rPr>
                <w:sz w:val="24"/>
                <w:szCs w:val="24"/>
                <w:color w:val="auto"/>
              </w:rPr>
            </w:pPr>
          </w:p>
        </w:tc>
        <w:tc>
          <w:tcPr>
            <w:tcW w:w="280" w:type="dxa"/>
            <w:vAlign w:val="bottom"/>
            <w:tcBorders>
              <w:top w:val="single" w:sz="8" w:color="35BF85"/>
            </w:tcBorders>
          </w:tcPr>
          <w:p>
            <w:pPr>
              <w:spacing w:after="0"/>
              <w:rPr>
                <w:sz w:val="24"/>
                <w:szCs w:val="24"/>
                <w:color w:val="auto"/>
              </w:rPr>
            </w:pPr>
          </w:p>
        </w:tc>
        <w:tc>
          <w:tcPr>
            <w:tcW w:w="520" w:type="dxa"/>
            <w:vAlign w:val="bottom"/>
            <w:tcBorders>
              <w:top w:val="single" w:sz="8" w:color="35BF85"/>
            </w:tcBorders>
          </w:tcPr>
          <w:p>
            <w:pPr>
              <w:spacing w:after="0"/>
              <w:rPr>
                <w:sz w:val="24"/>
                <w:szCs w:val="24"/>
                <w:color w:val="auto"/>
              </w:rPr>
            </w:pPr>
          </w:p>
        </w:tc>
        <w:tc>
          <w:tcPr>
            <w:tcW w:w="280" w:type="dxa"/>
            <w:vAlign w:val="bottom"/>
            <w:tcBorders>
              <w:top w:val="single" w:sz="8" w:color="35BF85"/>
            </w:tcBorders>
          </w:tcPr>
          <w:p>
            <w:pPr>
              <w:spacing w:after="0"/>
              <w:rPr>
                <w:sz w:val="24"/>
                <w:szCs w:val="24"/>
                <w:color w:val="auto"/>
              </w:rPr>
            </w:pPr>
          </w:p>
        </w:tc>
        <w:tc>
          <w:tcPr>
            <w:tcW w:w="520" w:type="dxa"/>
            <w:vAlign w:val="bottom"/>
            <w:tcBorders>
              <w:top w:val="single" w:sz="8" w:color="35BF85"/>
            </w:tcBorders>
          </w:tcPr>
          <w:p>
            <w:pPr>
              <w:jc w:val="right"/>
              <w:ind w:right="92"/>
              <w:spacing w:after="0"/>
              <w:rPr>
                <w:sz w:val="20"/>
                <w:szCs w:val="20"/>
                <w:color w:val="auto"/>
              </w:rPr>
            </w:pPr>
            <w:r>
              <w:rPr>
                <w:rFonts w:ascii="Arial" w:cs="Arial" w:eastAsia="Arial" w:hAnsi="Arial"/>
                <w:sz w:val="14"/>
                <w:szCs w:val="14"/>
                <w:b w:val="1"/>
                <w:bCs w:val="1"/>
                <w:color w:val="auto"/>
              </w:rPr>
              <w:t>75</w:t>
            </w:r>
          </w:p>
        </w:tc>
        <w:tc>
          <w:tcPr>
            <w:tcW w:w="260" w:type="dxa"/>
            <w:vAlign w:val="bottom"/>
            <w:tcBorders>
              <w:top w:val="single" w:sz="8" w:color="35BF85"/>
            </w:tcBorders>
          </w:tcPr>
          <w:p>
            <w:pPr>
              <w:spacing w:after="0"/>
              <w:rPr>
                <w:sz w:val="24"/>
                <w:szCs w:val="24"/>
                <w:color w:val="auto"/>
              </w:rPr>
            </w:pPr>
          </w:p>
        </w:tc>
        <w:tc>
          <w:tcPr>
            <w:tcW w:w="5160" w:type="dxa"/>
            <w:vAlign w:val="bottom"/>
            <w:tcBorders>
              <w:top w:val="single" w:sz="8" w:color="35BF85"/>
            </w:tcBorders>
            <w:gridSpan w:val="9"/>
          </w:tcPr>
          <w:p>
            <w:pPr>
              <w:jc w:val="right"/>
              <w:spacing w:after="0"/>
              <w:rPr>
                <w:sz w:val="20"/>
                <w:szCs w:val="20"/>
                <w:color w:val="auto"/>
              </w:rPr>
            </w:pPr>
            <w:r>
              <w:rPr>
                <w:rFonts w:ascii="Arial" w:cs="Arial" w:eastAsia="Arial" w:hAnsi="Arial"/>
                <w:sz w:val="14"/>
                <w:szCs w:val="14"/>
                <w:color w:val="auto"/>
              </w:rPr>
              <w:t xml:space="preserve">Comcast 2006 Annual Report </w:t>
            </w:r>
            <w:r>
              <w:rPr>
                <w:rFonts w:ascii="Arial" w:cs="Arial" w:eastAsia="Arial" w:hAnsi="Arial"/>
                <w:sz w:val="14"/>
                <w:szCs w:val="14"/>
                <w:b w:val="1"/>
                <w:bCs w:val="1"/>
                <w:color w:val="auto"/>
              </w:rPr>
              <w:t>Notes to Consolidated Financial Statements</w:t>
            </w:r>
          </w:p>
        </w:tc>
        <w:tc>
          <w:tcPr>
            <w:tcW w:w="0" w:type="dxa"/>
            <w:vAlign w:val="bottom"/>
          </w:tcPr>
          <w:p>
            <w:pPr>
              <w:spacing w:after="0"/>
              <w:rPr>
                <w:sz w:val="1"/>
                <w:szCs w:val="1"/>
                <w:color w:val="auto"/>
              </w:rPr>
            </w:pPr>
          </w:p>
        </w:tc>
      </w:tr>
    </w:tbl>
    <w:p>
      <w:pPr>
        <w:sectPr>
          <w:pgSz w:w="11900" w:h="16838" w:orient="portrait"/>
          <w:cols w:equalWidth="0" w:num="1">
            <w:col w:w="11420"/>
          </w:cols>
          <w:pgMar w:left="240" w:top="459" w:right="239" w:bottom="1440" w:gutter="0" w:footer="0" w:header="0"/>
        </w:sectPr>
      </w:pPr>
    </w:p>
    <w:bookmarkStart w:id="152" w:name="page153"/>
    <w:bookmarkEnd w:id="15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226" name="Picture 2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6"/>
                    <pic:cNvPicPr>
                      <a:picLocks noChangeAspect="1" noChangeArrowheads="1"/>
                    </pic:cNvPicPr>
                  </pic:nvPicPr>
                  <pic:blipFill>
                    <a:blip r:embed="rId233">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20" w:lineRule="exact"/>
        <w:rPr>
          <w:sz w:val="20"/>
          <w:szCs w:val="20"/>
          <w:color w:val="auto"/>
        </w:rPr>
      </w:pPr>
    </w:p>
    <w:p>
      <w:pPr>
        <w:spacing w:after="0"/>
        <w:rPr>
          <w:sz w:val="20"/>
          <w:szCs w:val="20"/>
          <w:color w:val="auto"/>
        </w:rPr>
      </w:pPr>
      <w:r>
        <w:rPr>
          <w:rFonts w:ascii="Arial" w:cs="Arial" w:eastAsia="Arial" w:hAnsi="Arial"/>
          <w:sz w:val="24"/>
          <w:szCs w:val="24"/>
          <w:color w:val="auto"/>
        </w:rPr>
        <w:t>Reconciliation of Non-GAAP Measures</w:t>
      </w:r>
    </w:p>
    <w:p>
      <w:pPr>
        <w:spacing w:after="0" w:line="14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Reconciliation of 2006 Operating Income to Operating Cash Flow</w:t>
      </w:r>
    </w:p>
    <w:p>
      <w:pPr>
        <w:spacing w:after="0" w:line="299" w:lineRule="exact"/>
        <w:rPr>
          <w:sz w:val="20"/>
          <w:szCs w:val="20"/>
          <w:color w:val="auto"/>
        </w:rPr>
      </w:pPr>
    </w:p>
    <w:p>
      <w:pPr>
        <w:spacing w:after="0"/>
        <w:rPr>
          <w:sz w:val="20"/>
          <w:szCs w:val="20"/>
          <w:color w:val="auto"/>
        </w:rPr>
      </w:pPr>
      <w:r>
        <w:rPr>
          <w:rFonts w:ascii="Arial" w:cs="Arial" w:eastAsia="Arial" w:hAnsi="Arial"/>
          <w:sz w:val="14"/>
          <w:szCs w:val="14"/>
          <w:color w:val="auto"/>
        </w:rPr>
        <w:t>(in millions)</w:t>
      </w:r>
    </w:p>
    <w:tbl>
      <w:tblPr>
        <w:tblLayout w:type="fixed"/>
        <w:tblInd w:w="0" w:type="dxa"/>
        <w:tblCellMar>
          <w:top w:w="0" w:type="dxa"/>
          <w:left w:w="0" w:type="dxa"/>
          <w:bottom w:w="0" w:type="dxa"/>
          <w:right w:w="0" w:type="dxa"/>
        </w:tblCellMar>
      </w:tblPr>
      <w:tr>
        <w:trPr>
          <w:trHeight w:val="199"/>
        </w:trPr>
        <w:tc>
          <w:tcPr>
            <w:tcW w:w="6620" w:type="dxa"/>
            <w:vAlign w:val="bottom"/>
            <w:tcBorders>
              <w:top w:val="single" w:sz="8" w:color="auto"/>
            </w:tcBorders>
          </w:tcPr>
          <w:p>
            <w:pPr>
              <w:spacing w:after="0" w:line="200" w:lineRule="exact"/>
              <w:rPr>
                <w:sz w:val="20"/>
                <w:szCs w:val="20"/>
                <w:color w:val="auto"/>
              </w:rPr>
            </w:pPr>
            <w:r>
              <w:rPr>
                <w:rFonts w:ascii="Arial" w:cs="Arial" w:eastAsia="Arial" w:hAnsi="Arial"/>
                <w:sz w:val="18"/>
                <w:szCs w:val="18"/>
                <w:color w:val="auto"/>
              </w:rPr>
              <w:t>Operating Income</w:t>
            </w:r>
          </w:p>
        </w:tc>
        <w:tc>
          <w:tcPr>
            <w:tcW w:w="4800" w:type="dxa"/>
            <w:vAlign w:val="bottom"/>
            <w:tcBorders>
              <w:top w:val="single" w:sz="8" w:color="auto"/>
            </w:tcBorders>
          </w:tcPr>
          <w:p>
            <w:pPr>
              <w:jc w:val="right"/>
              <w:spacing w:after="0" w:line="200" w:lineRule="exact"/>
              <w:rPr>
                <w:sz w:val="20"/>
                <w:szCs w:val="20"/>
                <w:color w:val="auto"/>
              </w:rPr>
            </w:pPr>
            <w:r>
              <w:rPr>
                <w:rFonts w:ascii="Arial" w:cs="Arial" w:eastAsia="Arial" w:hAnsi="Arial"/>
                <w:sz w:val="18"/>
                <w:szCs w:val="18"/>
                <w:color w:val="auto"/>
              </w:rPr>
              <w:t>$4,619</w:t>
            </w:r>
          </w:p>
        </w:tc>
      </w:tr>
      <w:tr>
        <w:trPr>
          <w:trHeight w:val="199"/>
        </w:trPr>
        <w:tc>
          <w:tcPr>
            <w:tcW w:w="6620" w:type="dxa"/>
            <w:vAlign w:val="bottom"/>
            <w:tcBorders>
              <w:bottom w:val="single" w:sz="8" w:color="auto"/>
            </w:tcBorders>
          </w:tcPr>
          <w:p>
            <w:pPr>
              <w:spacing w:after="0" w:line="200" w:lineRule="exact"/>
              <w:rPr>
                <w:sz w:val="20"/>
                <w:szCs w:val="20"/>
                <w:color w:val="auto"/>
              </w:rPr>
            </w:pPr>
            <w:r>
              <w:rPr>
                <w:rFonts w:ascii="Arial" w:cs="Arial" w:eastAsia="Arial" w:hAnsi="Arial"/>
                <w:sz w:val="18"/>
                <w:szCs w:val="18"/>
                <w:color w:val="auto"/>
              </w:rPr>
              <w:t>Depreciation and Amortization</w:t>
            </w:r>
          </w:p>
        </w:tc>
        <w:tc>
          <w:tcPr>
            <w:tcW w:w="4800" w:type="dxa"/>
            <w:vAlign w:val="bottom"/>
            <w:tcBorders>
              <w:bottom w:val="single" w:sz="8" w:color="auto"/>
            </w:tcBorders>
          </w:tcPr>
          <w:p>
            <w:pPr>
              <w:jc w:val="right"/>
              <w:spacing w:after="0" w:line="200" w:lineRule="exact"/>
              <w:rPr>
                <w:sz w:val="20"/>
                <w:szCs w:val="20"/>
                <w:color w:val="auto"/>
              </w:rPr>
            </w:pPr>
            <w:r>
              <w:rPr>
                <w:rFonts w:ascii="Arial" w:cs="Arial" w:eastAsia="Arial" w:hAnsi="Arial"/>
                <w:sz w:val="18"/>
                <w:szCs w:val="18"/>
                <w:color w:val="auto"/>
              </w:rPr>
              <w:t>4,823</w:t>
            </w:r>
          </w:p>
        </w:tc>
      </w:tr>
      <w:tr>
        <w:trPr>
          <w:trHeight w:val="196"/>
        </w:trPr>
        <w:tc>
          <w:tcPr>
            <w:tcW w:w="6620" w:type="dxa"/>
            <w:vAlign w:val="bottom"/>
            <w:tcBorders>
              <w:bottom w:val="single" w:sz="8" w:color="auto"/>
            </w:tcBorders>
          </w:tcPr>
          <w:p>
            <w:pPr>
              <w:spacing w:after="0" w:line="197" w:lineRule="exact"/>
              <w:rPr>
                <w:sz w:val="20"/>
                <w:szCs w:val="20"/>
                <w:color w:val="auto"/>
              </w:rPr>
            </w:pPr>
            <w:r>
              <w:rPr>
                <w:rFonts w:ascii="Arial" w:cs="Arial" w:eastAsia="Arial" w:hAnsi="Arial"/>
                <w:sz w:val="18"/>
                <w:szCs w:val="18"/>
                <w:color w:val="auto"/>
              </w:rPr>
              <w:t>Operating Cash Flow</w:t>
            </w:r>
            <w:r>
              <w:rPr>
                <w:rFonts w:ascii="Arial" w:cs="Arial" w:eastAsia="Arial" w:hAnsi="Arial"/>
                <w:sz w:val="22"/>
                <w:szCs w:val="22"/>
                <w:color w:val="auto"/>
                <w:vertAlign w:val="superscript"/>
              </w:rPr>
              <w:t>(a)</w:t>
            </w:r>
          </w:p>
        </w:tc>
        <w:tc>
          <w:tcPr>
            <w:tcW w:w="4800" w:type="dxa"/>
            <w:vAlign w:val="bottom"/>
            <w:tcBorders>
              <w:bottom w:val="single" w:sz="8" w:color="auto"/>
            </w:tcBorders>
          </w:tcPr>
          <w:p>
            <w:pPr>
              <w:jc w:val="right"/>
              <w:spacing w:after="0" w:line="196" w:lineRule="exact"/>
              <w:rPr>
                <w:sz w:val="20"/>
                <w:szCs w:val="20"/>
                <w:color w:val="auto"/>
              </w:rPr>
            </w:pPr>
            <w:r>
              <w:rPr>
                <w:rFonts w:ascii="Arial" w:cs="Arial" w:eastAsia="Arial" w:hAnsi="Arial"/>
                <w:sz w:val="18"/>
                <w:szCs w:val="18"/>
                <w:color w:val="auto"/>
              </w:rPr>
              <w:t>$9,442</w:t>
            </w:r>
          </w:p>
        </w:tc>
      </w:tr>
    </w:tbl>
    <w:p>
      <w:pPr>
        <w:spacing w:after="0" w:line="53" w:lineRule="exact"/>
        <w:rPr>
          <w:sz w:val="20"/>
          <w:szCs w:val="20"/>
          <w:color w:val="auto"/>
        </w:rPr>
      </w:pPr>
    </w:p>
    <w:p>
      <w:pPr>
        <w:ind w:firstLine="8"/>
        <w:spacing w:after="0" w:line="231" w:lineRule="auto"/>
        <w:tabs>
          <w:tab w:leader="none" w:pos="209" w:val="left"/>
        </w:tabs>
        <w:numPr>
          <w:ilvl w:val="0"/>
          <w:numId w:val="96"/>
        </w:numPr>
        <w:rPr>
          <w:rFonts w:ascii="Arial" w:cs="Arial" w:eastAsia="Arial" w:hAnsi="Arial"/>
          <w:sz w:val="14"/>
          <w:szCs w:val="14"/>
          <w:color w:val="auto"/>
        </w:rPr>
      </w:pPr>
      <w:r>
        <w:rPr>
          <w:rFonts w:ascii="Arial" w:cs="Arial" w:eastAsia="Arial" w:hAnsi="Arial"/>
          <w:sz w:val="14"/>
          <w:szCs w:val="14"/>
          <w:color w:val="auto"/>
        </w:rPr>
        <w:t>Operating Cash Flow (as presented above) is defined as operating income before depreciation and amortization, excluding impairment charges related to fixed and intangible assets and gains or losses on sale of assets, if any.</w:t>
      </w:r>
    </w:p>
    <w:p>
      <w:pPr>
        <w:spacing w:after="0" w:line="13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Calculation of 2006 Free Cash Flow</w:t>
      </w:r>
    </w:p>
    <w:p>
      <w:pPr>
        <w:spacing w:after="0" w:line="299" w:lineRule="exact"/>
        <w:rPr>
          <w:sz w:val="20"/>
          <w:szCs w:val="20"/>
          <w:color w:val="auto"/>
        </w:rPr>
      </w:pPr>
    </w:p>
    <w:p>
      <w:pPr>
        <w:spacing w:after="0"/>
        <w:rPr>
          <w:sz w:val="20"/>
          <w:szCs w:val="20"/>
          <w:color w:val="auto"/>
        </w:rPr>
      </w:pPr>
      <w:r>
        <w:rPr>
          <w:rFonts w:ascii="Arial" w:cs="Arial" w:eastAsia="Arial" w:hAnsi="Arial"/>
          <w:sz w:val="14"/>
          <w:szCs w:val="14"/>
          <w:color w:val="auto"/>
        </w:rPr>
        <w:t>(in millions)</w:t>
      </w:r>
    </w:p>
    <w:tbl>
      <w:tblPr>
        <w:tblLayout w:type="fixed"/>
        <w:tblInd w:w="0" w:type="dxa"/>
        <w:tblCellMar>
          <w:top w:w="0" w:type="dxa"/>
          <w:left w:w="0" w:type="dxa"/>
          <w:bottom w:w="0" w:type="dxa"/>
          <w:right w:w="0" w:type="dxa"/>
        </w:tblCellMar>
      </w:tblPr>
      <w:tr>
        <w:trPr>
          <w:trHeight w:val="199"/>
        </w:trPr>
        <w:tc>
          <w:tcPr>
            <w:tcW w:w="7020" w:type="dxa"/>
            <w:vAlign w:val="bottom"/>
            <w:tcBorders>
              <w:top w:val="single" w:sz="8" w:color="auto"/>
            </w:tcBorders>
          </w:tcPr>
          <w:p>
            <w:pPr>
              <w:spacing w:after="0" w:line="200" w:lineRule="exact"/>
              <w:rPr>
                <w:sz w:val="20"/>
                <w:szCs w:val="20"/>
                <w:color w:val="auto"/>
              </w:rPr>
            </w:pPr>
            <w:r>
              <w:rPr>
                <w:rFonts w:ascii="Arial" w:cs="Arial" w:eastAsia="Arial" w:hAnsi="Arial"/>
                <w:sz w:val="18"/>
                <w:szCs w:val="18"/>
                <w:color w:val="auto"/>
              </w:rPr>
              <w:t>Net Cash Provided by Operating Activities</w:t>
            </w:r>
          </w:p>
        </w:tc>
        <w:tc>
          <w:tcPr>
            <w:tcW w:w="4400" w:type="dxa"/>
            <w:vAlign w:val="bottom"/>
            <w:tcBorders>
              <w:top w:val="single" w:sz="8" w:color="auto"/>
            </w:tcBorders>
          </w:tcPr>
          <w:p>
            <w:pPr>
              <w:jc w:val="right"/>
              <w:spacing w:after="0" w:line="200" w:lineRule="exact"/>
              <w:rPr>
                <w:sz w:val="20"/>
                <w:szCs w:val="20"/>
                <w:color w:val="auto"/>
              </w:rPr>
            </w:pPr>
            <w:r>
              <w:rPr>
                <w:rFonts w:ascii="Arial" w:cs="Arial" w:eastAsia="Arial" w:hAnsi="Arial"/>
                <w:sz w:val="18"/>
                <w:szCs w:val="18"/>
                <w:color w:val="auto"/>
              </w:rPr>
              <w:t>$ 6,618</w:t>
            </w:r>
          </w:p>
        </w:tc>
      </w:tr>
      <w:tr>
        <w:trPr>
          <w:trHeight w:val="203"/>
        </w:trPr>
        <w:tc>
          <w:tcPr>
            <w:tcW w:w="7020" w:type="dxa"/>
            <w:vAlign w:val="bottom"/>
          </w:tcPr>
          <w:p>
            <w:pPr>
              <w:spacing w:after="0" w:line="202" w:lineRule="exact"/>
              <w:rPr>
                <w:sz w:val="20"/>
                <w:szCs w:val="20"/>
                <w:color w:val="auto"/>
              </w:rPr>
            </w:pPr>
            <w:r>
              <w:rPr>
                <w:rFonts w:ascii="Arial" w:cs="Arial" w:eastAsia="Arial" w:hAnsi="Arial"/>
                <w:sz w:val="18"/>
                <w:szCs w:val="18"/>
                <w:color w:val="auto"/>
              </w:rPr>
              <w:t>Capital Expenditures</w:t>
            </w:r>
          </w:p>
        </w:tc>
        <w:tc>
          <w:tcPr>
            <w:tcW w:w="4400" w:type="dxa"/>
            <w:vAlign w:val="bottom"/>
          </w:tcPr>
          <w:p>
            <w:pPr>
              <w:jc w:val="right"/>
              <w:spacing w:after="0" w:line="202" w:lineRule="exact"/>
              <w:rPr>
                <w:sz w:val="20"/>
                <w:szCs w:val="20"/>
                <w:color w:val="auto"/>
              </w:rPr>
            </w:pPr>
            <w:r>
              <w:rPr>
                <w:rFonts w:ascii="Arial" w:cs="Arial" w:eastAsia="Arial" w:hAnsi="Arial"/>
                <w:sz w:val="18"/>
                <w:szCs w:val="18"/>
                <w:color w:val="auto"/>
              </w:rPr>
              <w:t>(4,395)</w:t>
            </w:r>
          </w:p>
        </w:tc>
      </w:tr>
      <w:tr>
        <w:trPr>
          <w:trHeight w:val="203"/>
        </w:trPr>
        <w:tc>
          <w:tcPr>
            <w:tcW w:w="7020" w:type="dxa"/>
            <w:vAlign w:val="bottom"/>
          </w:tcPr>
          <w:p>
            <w:pPr>
              <w:spacing w:after="0" w:line="202" w:lineRule="exact"/>
              <w:rPr>
                <w:sz w:val="20"/>
                <w:szCs w:val="20"/>
                <w:color w:val="auto"/>
              </w:rPr>
            </w:pPr>
            <w:r>
              <w:rPr>
                <w:rFonts w:ascii="Arial" w:cs="Arial" w:eastAsia="Arial" w:hAnsi="Arial"/>
                <w:sz w:val="18"/>
                <w:szCs w:val="18"/>
                <w:color w:val="auto"/>
              </w:rPr>
              <w:t>Cash Paid For Intangible Assets</w:t>
            </w:r>
          </w:p>
        </w:tc>
        <w:tc>
          <w:tcPr>
            <w:tcW w:w="4400" w:type="dxa"/>
            <w:vAlign w:val="bottom"/>
          </w:tcPr>
          <w:p>
            <w:pPr>
              <w:jc w:val="right"/>
              <w:spacing w:after="0" w:line="202" w:lineRule="exact"/>
              <w:rPr>
                <w:sz w:val="20"/>
                <w:szCs w:val="20"/>
                <w:color w:val="auto"/>
              </w:rPr>
            </w:pPr>
            <w:r>
              <w:rPr>
                <w:rFonts w:ascii="Arial" w:cs="Arial" w:eastAsia="Arial" w:hAnsi="Arial"/>
                <w:sz w:val="18"/>
                <w:szCs w:val="18"/>
                <w:color w:val="auto"/>
              </w:rPr>
              <w:t>(306)</w:t>
            </w:r>
          </w:p>
        </w:tc>
      </w:tr>
      <w:tr>
        <w:trPr>
          <w:trHeight w:val="199"/>
        </w:trPr>
        <w:tc>
          <w:tcPr>
            <w:tcW w:w="7020" w:type="dxa"/>
            <w:vAlign w:val="bottom"/>
            <w:tcBorders>
              <w:bottom w:val="single" w:sz="8" w:color="auto"/>
            </w:tcBorders>
          </w:tcPr>
          <w:p>
            <w:pPr>
              <w:spacing w:after="0" w:line="200" w:lineRule="exact"/>
              <w:rPr>
                <w:sz w:val="20"/>
                <w:szCs w:val="20"/>
                <w:color w:val="auto"/>
              </w:rPr>
            </w:pPr>
            <w:r>
              <w:rPr>
                <w:rFonts w:ascii="Arial" w:cs="Arial" w:eastAsia="Arial" w:hAnsi="Arial"/>
                <w:sz w:val="18"/>
                <w:szCs w:val="18"/>
                <w:color w:val="auto"/>
              </w:rPr>
              <w:t>Nonoperating Items, Net of Tax</w:t>
            </w:r>
          </w:p>
        </w:tc>
        <w:tc>
          <w:tcPr>
            <w:tcW w:w="4400" w:type="dxa"/>
            <w:vAlign w:val="bottom"/>
            <w:tcBorders>
              <w:bottom w:val="single" w:sz="8" w:color="auto"/>
            </w:tcBorders>
          </w:tcPr>
          <w:p>
            <w:pPr>
              <w:jc w:val="right"/>
              <w:spacing w:after="0" w:line="200" w:lineRule="exact"/>
              <w:rPr>
                <w:sz w:val="20"/>
                <w:szCs w:val="20"/>
                <w:color w:val="auto"/>
              </w:rPr>
            </w:pPr>
            <w:r>
              <w:rPr>
                <w:rFonts w:ascii="Arial" w:cs="Arial" w:eastAsia="Arial" w:hAnsi="Arial"/>
                <w:sz w:val="18"/>
                <w:szCs w:val="18"/>
                <w:color w:val="auto"/>
              </w:rPr>
              <w:t>706</w:t>
            </w:r>
          </w:p>
        </w:tc>
      </w:tr>
      <w:tr>
        <w:trPr>
          <w:trHeight w:val="196"/>
        </w:trPr>
        <w:tc>
          <w:tcPr>
            <w:tcW w:w="7020" w:type="dxa"/>
            <w:vAlign w:val="bottom"/>
            <w:tcBorders>
              <w:bottom w:val="single" w:sz="8" w:color="auto"/>
            </w:tcBorders>
          </w:tcPr>
          <w:p>
            <w:pPr>
              <w:spacing w:after="0" w:line="197" w:lineRule="exact"/>
              <w:rPr>
                <w:sz w:val="20"/>
                <w:szCs w:val="20"/>
                <w:color w:val="auto"/>
              </w:rPr>
            </w:pPr>
            <w:r>
              <w:rPr>
                <w:rFonts w:ascii="Arial" w:cs="Arial" w:eastAsia="Arial" w:hAnsi="Arial"/>
                <w:sz w:val="18"/>
                <w:szCs w:val="18"/>
                <w:color w:val="auto"/>
              </w:rPr>
              <w:t>Free Cash Flow</w:t>
            </w:r>
            <w:r>
              <w:rPr>
                <w:rFonts w:ascii="Arial" w:cs="Arial" w:eastAsia="Arial" w:hAnsi="Arial"/>
                <w:sz w:val="22"/>
                <w:szCs w:val="22"/>
                <w:color w:val="auto"/>
                <w:vertAlign w:val="superscript"/>
              </w:rPr>
              <w:t>(a)</w:t>
            </w:r>
          </w:p>
        </w:tc>
        <w:tc>
          <w:tcPr>
            <w:tcW w:w="4400" w:type="dxa"/>
            <w:vAlign w:val="bottom"/>
            <w:tcBorders>
              <w:bottom w:val="single" w:sz="8" w:color="auto"/>
            </w:tcBorders>
          </w:tcPr>
          <w:p>
            <w:pPr>
              <w:jc w:val="right"/>
              <w:spacing w:after="0" w:line="196" w:lineRule="exact"/>
              <w:rPr>
                <w:sz w:val="20"/>
                <w:szCs w:val="20"/>
                <w:color w:val="auto"/>
              </w:rPr>
            </w:pPr>
            <w:r>
              <w:rPr>
                <w:rFonts w:ascii="Arial" w:cs="Arial" w:eastAsia="Arial" w:hAnsi="Arial"/>
                <w:sz w:val="18"/>
                <w:szCs w:val="18"/>
                <w:color w:val="auto"/>
              </w:rPr>
              <w:t>$ 2,623</w:t>
            </w:r>
          </w:p>
        </w:tc>
      </w:tr>
    </w:tbl>
    <w:p>
      <w:pPr>
        <w:spacing w:after="0" w:line="53" w:lineRule="exact"/>
        <w:rPr>
          <w:sz w:val="20"/>
          <w:szCs w:val="20"/>
          <w:color w:val="auto"/>
        </w:rPr>
      </w:pPr>
    </w:p>
    <w:p>
      <w:pPr>
        <w:jc w:val="both"/>
        <w:ind w:firstLine="8"/>
        <w:spacing w:after="0" w:line="228" w:lineRule="auto"/>
        <w:tabs>
          <w:tab w:leader="none" w:pos="207" w:val="left"/>
        </w:tabs>
        <w:numPr>
          <w:ilvl w:val="0"/>
          <w:numId w:val="97"/>
        </w:numPr>
        <w:rPr>
          <w:rFonts w:ascii="Arial" w:cs="Arial" w:eastAsia="Arial" w:hAnsi="Arial"/>
          <w:sz w:val="14"/>
          <w:szCs w:val="14"/>
          <w:color w:val="auto"/>
        </w:rPr>
      </w:pPr>
      <w:r>
        <w:rPr>
          <w:rFonts w:ascii="Arial" w:cs="Arial" w:eastAsia="Arial" w:hAnsi="Arial"/>
          <w:sz w:val="14"/>
          <w:szCs w:val="14"/>
          <w:color w:val="auto"/>
        </w:rPr>
        <w:t>Free Cash Flow (as presented above) is defined as “Net Cash Provided by Operating Activities” (as stated in our Consolidated Statement of Cash Flows) reduced by capital expenditures and cash paid for intangible assets; and increased by any payments related to certain nonoperating items, net of estimated tax benefits (such as income taxes on investment sales, and nonrecurring payments related to income tax and litigation contingencies of acquired companies).</w:t>
      </w:r>
    </w:p>
    <w:p>
      <w:pPr>
        <w:spacing w:after="0" w:line="13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Reconciliation of Cable Segment pro Forma, “As Adjusted” Financial Data</w:t>
      </w:r>
    </w:p>
    <w:p>
      <w:pPr>
        <w:spacing w:after="0" w:line="216" w:lineRule="exact"/>
        <w:rPr>
          <w:sz w:val="20"/>
          <w:szCs w:val="20"/>
          <w:color w:val="auto"/>
        </w:rPr>
      </w:pPr>
    </w:p>
    <w:tbl>
      <w:tblPr>
        <w:tblLayout w:type="fixed"/>
        <w:tblInd w:w="0" w:type="dxa"/>
        <w:tblCellMar>
          <w:top w:w="0" w:type="dxa"/>
          <w:left w:w="0" w:type="dxa"/>
          <w:bottom w:w="0" w:type="dxa"/>
          <w:right w:w="0" w:type="dxa"/>
        </w:tblCellMar>
      </w:tblPr>
      <w:tr>
        <w:trPr>
          <w:trHeight w:val="163"/>
        </w:trPr>
        <w:tc>
          <w:tcPr>
            <w:tcW w:w="542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940" w:type="dxa"/>
            <w:vAlign w:val="bottom"/>
          </w:tcPr>
          <w:p>
            <w:pPr>
              <w:jc w:val="right"/>
              <w:ind w:right="134"/>
              <w:spacing w:after="0"/>
              <w:rPr>
                <w:sz w:val="20"/>
                <w:szCs w:val="20"/>
                <w:color w:val="auto"/>
              </w:rPr>
            </w:pPr>
            <w:r>
              <w:rPr>
                <w:rFonts w:ascii="Arial" w:cs="Arial" w:eastAsia="Arial" w:hAnsi="Arial"/>
                <w:sz w:val="14"/>
                <w:szCs w:val="14"/>
                <w:color w:val="auto"/>
              </w:rPr>
              <w:t>Pro Forma</w:t>
            </w:r>
          </w:p>
        </w:tc>
        <w:tc>
          <w:tcPr>
            <w:tcW w:w="340" w:type="dxa"/>
            <w:vAlign w:val="bottom"/>
          </w:tcPr>
          <w:p>
            <w:pPr>
              <w:spacing w:after="0"/>
              <w:rPr>
                <w:sz w:val="14"/>
                <w:szCs w:val="14"/>
                <w:color w:val="auto"/>
              </w:rPr>
            </w:pPr>
          </w:p>
        </w:tc>
        <w:tc>
          <w:tcPr>
            <w:tcW w:w="760" w:type="dxa"/>
            <w:vAlign w:val="bottom"/>
            <w:gridSpan w:val="2"/>
          </w:tcPr>
          <w:p>
            <w:pPr>
              <w:ind w:left="180"/>
              <w:spacing w:after="0"/>
              <w:rPr>
                <w:sz w:val="20"/>
                <w:szCs w:val="20"/>
                <w:color w:val="auto"/>
              </w:rPr>
            </w:pPr>
            <w:r>
              <w:rPr>
                <w:rFonts w:ascii="Arial" w:cs="Arial" w:eastAsia="Arial" w:hAnsi="Arial"/>
                <w:sz w:val="14"/>
                <w:szCs w:val="14"/>
                <w:color w:val="auto"/>
              </w:rPr>
              <w:t>Cable</w:t>
            </w:r>
          </w:p>
        </w:tc>
        <w:tc>
          <w:tcPr>
            <w:tcW w:w="1200" w:type="dxa"/>
            <w:vAlign w:val="bottom"/>
          </w:tcPr>
          <w:p>
            <w:pPr>
              <w:jc w:val="right"/>
              <w:ind w:right="242"/>
              <w:spacing w:after="0"/>
              <w:rPr>
                <w:sz w:val="20"/>
                <w:szCs w:val="20"/>
                <w:color w:val="auto"/>
              </w:rPr>
            </w:pPr>
            <w:r>
              <w:rPr>
                <w:rFonts w:ascii="Arial" w:cs="Arial" w:eastAsia="Arial" w:hAnsi="Arial"/>
                <w:sz w:val="14"/>
                <w:szCs w:val="14"/>
                <w:color w:val="auto"/>
              </w:rPr>
              <w:t>Pro Forma</w:t>
            </w:r>
          </w:p>
        </w:tc>
        <w:tc>
          <w:tcPr>
            <w:tcW w:w="9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76"/>
        </w:trPr>
        <w:tc>
          <w:tcPr>
            <w:tcW w:w="5420" w:type="dxa"/>
            <w:vAlign w:val="bottom"/>
            <w:tcBorders>
              <w:bottom w:val="single" w:sz="8" w:color="auto"/>
            </w:tcBorders>
          </w:tcPr>
          <w:p>
            <w:pPr>
              <w:spacing w:after="0"/>
              <w:rPr>
                <w:sz w:val="20"/>
                <w:szCs w:val="20"/>
                <w:color w:val="auto"/>
              </w:rPr>
            </w:pPr>
            <w:r>
              <w:rPr>
                <w:rFonts w:ascii="Arial" w:cs="Arial" w:eastAsia="Arial" w:hAnsi="Arial"/>
                <w:sz w:val="14"/>
                <w:szCs w:val="14"/>
                <w:color w:val="auto"/>
              </w:rPr>
              <w:t>(in millions)</w:t>
            </w:r>
          </w:p>
        </w:tc>
        <w:tc>
          <w:tcPr>
            <w:tcW w:w="660" w:type="dxa"/>
            <w:vAlign w:val="bottom"/>
            <w:tcBorders>
              <w:bottom w:val="single" w:sz="8" w:color="auto"/>
            </w:tcBorders>
          </w:tcPr>
          <w:p>
            <w:pPr>
              <w:spacing w:after="0"/>
              <w:rPr>
                <w:sz w:val="15"/>
                <w:szCs w:val="15"/>
                <w:color w:val="auto"/>
              </w:rPr>
            </w:pPr>
          </w:p>
        </w:tc>
        <w:tc>
          <w:tcPr>
            <w:tcW w:w="760" w:type="dxa"/>
            <w:vAlign w:val="bottom"/>
            <w:tcBorders>
              <w:bottom w:val="single" w:sz="8" w:color="auto"/>
            </w:tcBorders>
          </w:tcPr>
          <w:p>
            <w:pPr>
              <w:jc w:val="right"/>
              <w:ind w:right="134"/>
              <w:spacing w:after="0"/>
              <w:rPr>
                <w:sz w:val="20"/>
                <w:szCs w:val="20"/>
                <w:color w:val="auto"/>
              </w:rPr>
            </w:pPr>
            <w:r>
              <w:rPr>
                <w:rFonts w:ascii="Arial" w:cs="Arial" w:eastAsia="Arial" w:hAnsi="Arial"/>
                <w:sz w:val="14"/>
                <w:szCs w:val="14"/>
                <w:color w:val="auto"/>
              </w:rPr>
              <w:t>Cable</w:t>
            </w:r>
          </w:p>
        </w:tc>
        <w:tc>
          <w:tcPr>
            <w:tcW w:w="1340" w:type="dxa"/>
            <w:vAlign w:val="bottom"/>
            <w:tcBorders>
              <w:bottom w:val="single" w:sz="8" w:color="auto"/>
            </w:tcBorders>
            <w:gridSpan w:val="2"/>
          </w:tcPr>
          <w:p>
            <w:pPr>
              <w:ind w:left="240"/>
              <w:spacing w:after="0" w:line="176" w:lineRule="exact"/>
              <w:rPr>
                <w:sz w:val="20"/>
                <w:szCs w:val="20"/>
                <w:color w:val="auto"/>
              </w:rPr>
            </w:pPr>
            <w:r>
              <w:rPr>
                <w:rFonts w:ascii="Arial" w:cs="Arial" w:eastAsia="Arial" w:hAnsi="Arial"/>
                <w:sz w:val="13"/>
                <w:szCs w:val="13"/>
                <w:color w:val="auto"/>
              </w:rPr>
              <w:t>Adjustments</w:t>
            </w:r>
            <w:r>
              <w:rPr>
                <w:rFonts w:ascii="Arial" w:cs="Arial" w:eastAsia="Arial" w:hAnsi="Arial"/>
                <w:sz w:val="20"/>
                <w:szCs w:val="20"/>
                <w:color w:val="auto"/>
                <w:vertAlign w:val="superscript"/>
              </w:rPr>
              <w:t>(a)</w:t>
            </w:r>
          </w:p>
        </w:tc>
        <w:tc>
          <w:tcPr>
            <w:tcW w:w="1100" w:type="dxa"/>
            <w:vAlign w:val="bottom"/>
            <w:tcBorders>
              <w:bottom w:val="single" w:sz="8" w:color="auto"/>
            </w:tcBorders>
            <w:gridSpan w:val="3"/>
          </w:tcPr>
          <w:p>
            <w:pPr>
              <w:ind w:left="240"/>
              <w:spacing w:after="0"/>
              <w:rPr>
                <w:sz w:val="20"/>
                <w:szCs w:val="20"/>
                <w:color w:val="auto"/>
              </w:rPr>
            </w:pPr>
            <w:r>
              <w:rPr>
                <w:rFonts w:ascii="Arial" w:cs="Arial" w:eastAsia="Arial" w:hAnsi="Arial"/>
                <w:sz w:val="14"/>
                <w:szCs w:val="14"/>
                <w:color w:val="auto"/>
              </w:rPr>
              <w:t>Pro Forma</w:t>
            </w:r>
          </w:p>
        </w:tc>
        <w:tc>
          <w:tcPr>
            <w:tcW w:w="1200" w:type="dxa"/>
            <w:vAlign w:val="bottom"/>
            <w:tcBorders>
              <w:bottom w:val="single" w:sz="8" w:color="auto"/>
            </w:tcBorders>
          </w:tcPr>
          <w:p>
            <w:pPr>
              <w:jc w:val="right"/>
              <w:ind w:right="242"/>
              <w:spacing w:after="0"/>
              <w:rPr>
                <w:sz w:val="20"/>
                <w:szCs w:val="20"/>
                <w:color w:val="auto"/>
              </w:rPr>
            </w:pPr>
            <w:r>
              <w:rPr>
                <w:rFonts w:ascii="Arial" w:cs="Arial" w:eastAsia="Arial" w:hAnsi="Arial"/>
                <w:sz w:val="14"/>
                <w:szCs w:val="14"/>
                <w:color w:val="auto"/>
              </w:rPr>
              <w:t>% Growth</w:t>
            </w:r>
          </w:p>
        </w:tc>
        <w:tc>
          <w:tcPr>
            <w:tcW w:w="940" w:type="dxa"/>
            <w:vAlign w:val="bottom"/>
            <w:tcBorders>
              <w:bottom w:val="single" w:sz="8" w:color="auto"/>
            </w:tcBorders>
          </w:tcPr>
          <w:p>
            <w:pPr>
              <w:jc w:val="right"/>
              <w:ind w:right="79"/>
              <w:spacing w:after="0"/>
              <w:rPr>
                <w:sz w:val="20"/>
                <w:szCs w:val="20"/>
                <w:color w:val="auto"/>
              </w:rPr>
            </w:pPr>
            <w:r>
              <w:rPr>
                <w:rFonts w:ascii="Arial" w:cs="Arial" w:eastAsia="Arial" w:hAnsi="Arial"/>
                <w:sz w:val="14"/>
                <w:szCs w:val="14"/>
                <w:color w:val="auto"/>
              </w:rPr>
              <w:t>% Growth</w:t>
            </w:r>
          </w:p>
        </w:tc>
        <w:tc>
          <w:tcPr>
            <w:tcW w:w="0" w:type="dxa"/>
            <w:vAlign w:val="bottom"/>
          </w:tcPr>
          <w:p>
            <w:pPr>
              <w:spacing w:after="0"/>
              <w:rPr>
                <w:sz w:val="1"/>
                <w:szCs w:val="1"/>
                <w:color w:val="auto"/>
              </w:rPr>
            </w:pPr>
          </w:p>
        </w:tc>
      </w:tr>
      <w:tr>
        <w:trPr>
          <w:trHeight w:val="199"/>
        </w:trPr>
        <w:tc>
          <w:tcPr>
            <w:tcW w:w="5420" w:type="dxa"/>
            <w:vAlign w:val="bottom"/>
          </w:tcPr>
          <w:p>
            <w:pPr>
              <w:spacing w:after="0" w:line="200" w:lineRule="exact"/>
              <w:rPr>
                <w:sz w:val="20"/>
                <w:szCs w:val="20"/>
                <w:color w:val="auto"/>
              </w:rPr>
            </w:pPr>
            <w:r>
              <w:rPr>
                <w:rFonts w:ascii="Arial" w:cs="Arial" w:eastAsia="Arial" w:hAnsi="Arial"/>
                <w:sz w:val="18"/>
                <w:szCs w:val="18"/>
                <w:b w:val="1"/>
                <w:bCs w:val="1"/>
                <w:color w:val="auto"/>
              </w:rPr>
              <w:t>2006</w:t>
            </w:r>
          </w:p>
        </w:tc>
        <w:tc>
          <w:tcPr>
            <w:tcW w:w="660" w:type="dxa"/>
            <w:vAlign w:val="bottom"/>
            <w:vMerge w:val="restart"/>
          </w:tcPr>
          <w:p>
            <w:pPr>
              <w:jc w:val="right"/>
              <w:spacing w:after="0"/>
              <w:rPr>
                <w:sz w:val="20"/>
                <w:szCs w:val="20"/>
                <w:color w:val="auto"/>
              </w:rPr>
            </w:pPr>
            <w:r>
              <w:rPr>
                <w:rFonts w:ascii="Arial" w:cs="Arial" w:eastAsia="Arial" w:hAnsi="Arial"/>
                <w:sz w:val="18"/>
                <w:szCs w:val="18"/>
                <w:b w:val="1"/>
                <w:bCs w:val="1"/>
                <w:color w:val="auto"/>
              </w:rPr>
              <w:t>$</w:t>
            </w:r>
          </w:p>
        </w:tc>
        <w:tc>
          <w:tcPr>
            <w:tcW w:w="760" w:type="dxa"/>
            <w:vAlign w:val="bottom"/>
            <w:vMerge w:val="restart"/>
          </w:tcPr>
          <w:p>
            <w:pPr>
              <w:jc w:val="right"/>
              <w:ind w:right="134"/>
              <w:spacing w:after="0"/>
              <w:rPr>
                <w:sz w:val="20"/>
                <w:szCs w:val="20"/>
                <w:color w:val="auto"/>
              </w:rPr>
            </w:pPr>
            <w:r>
              <w:rPr>
                <w:rFonts w:ascii="Arial" w:cs="Arial" w:eastAsia="Arial" w:hAnsi="Arial"/>
                <w:sz w:val="18"/>
                <w:szCs w:val="18"/>
                <w:b w:val="1"/>
                <w:bCs w:val="1"/>
                <w:color w:val="auto"/>
                <w:w w:val="94"/>
              </w:rPr>
              <w:t>24,100</w:t>
            </w:r>
          </w:p>
        </w:tc>
        <w:tc>
          <w:tcPr>
            <w:tcW w:w="400" w:type="dxa"/>
            <w:vAlign w:val="bottom"/>
            <w:vMerge w:val="restart"/>
          </w:tcPr>
          <w:p>
            <w:pPr>
              <w:ind w:left="240"/>
              <w:spacing w:after="0"/>
              <w:rPr>
                <w:sz w:val="20"/>
                <w:szCs w:val="20"/>
                <w:color w:val="auto"/>
              </w:rPr>
            </w:pPr>
            <w:r>
              <w:rPr>
                <w:rFonts w:ascii="Arial" w:cs="Arial" w:eastAsia="Arial" w:hAnsi="Arial"/>
                <w:sz w:val="18"/>
                <w:szCs w:val="18"/>
                <w:b w:val="1"/>
                <w:bCs w:val="1"/>
                <w:color w:val="auto"/>
              </w:rPr>
              <w:t>$</w:t>
            </w:r>
          </w:p>
        </w:tc>
        <w:tc>
          <w:tcPr>
            <w:tcW w:w="940" w:type="dxa"/>
            <w:vAlign w:val="bottom"/>
            <w:vMerge w:val="restart"/>
          </w:tcPr>
          <w:p>
            <w:pPr>
              <w:jc w:val="right"/>
              <w:ind w:right="134"/>
              <w:spacing w:after="0"/>
              <w:rPr>
                <w:sz w:val="20"/>
                <w:szCs w:val="20"/>
                <w:color w:val="auto"/>
              </w:rPr>
            </w:pPr>
            <w:r>
              <w:rPr>
                <w:rFonts w:ascii="Arial" w:cs="Arial" w:eastAsia="Arial" w:hAnsi="Arial"/>
                <w:sz w:val="18"/>
                <w:szCs w:val="18"/>
                <w:b w:val="1"/>
                <w:bCs w:val="1"/>
                <w:color w:val="auto"/>
              </w:rPr>
              <w:t>2,239</w:t>
            </w:r>
          </w:p>
        </w:tc>
        <w:tc>
          <w:tcPr>
            <w:tcW w:w="340" w:type="dxa"/>
            <w:vAlign w:val="bottom"/>
            <w:vMerge w:val="restart"/>
          </w:tcPr>
          <w:p>
            <w:pPr>
              <w:ind w:left="220"/>
              <w:spacing w:after="0"/>
              <w:rPr>
                <w:sz w:val="20"/>
                <w:szCs w:val="20"/>
                <w:color w:val="auto"/>
              </w:rPr>
            </w:pPr>
            <w:r>
              <w:rPr>
                <w:rFonts w:ascii="Arial" w:cs="Arial" w:eastAsia="Arial" w:hAnsi="Arial"/>
                <w:sz w:val="18"/>
                <w:szCs w:val="18"/>
                <w:b w:val="1"/>
                <w:bCs w:val="1"/>
                <w:color w:val="auto"/>
                <w:w w:val="99"/>
              </w:rPr>
              <w:t>$</w:t>
            </w:r>
          </w:p>
        </w:tc>
        <w:tc>
          <w:tcPr>
            <w:tcW w:w="760" w:type="dxa"/>
            <w:vAlign w:val="bottom"/>
            <w:gridSpan w:val="2"/>
            <w:vMerge w:val="restart"/>
          </w:tcPr>
          <w:p>
            <w:pPr>
              <w:jc w:val="right"/>
              <w:ind w:right="220"/>
              <w:spacing w:after="0"/>
              <w:rPr>
                <w:sz w:val="20"/>
                <w:szCs w:val="20"/>
                <w:color w:val="auto"/>
              </w:rPr>
            </w:pPr>
            <w:r>
              <w:rPr>
                <w:rFonts w:ascii="Arial" w:cs="Arial" w:eastAsia="Arial" w:hAnsi="Arial"/>
                <w:sz w:val="18"/>
                <w:szCs w:val="18"/>
                <w:b w:val="1"/>
                <w:bCs w:val="1"/>
                <w:color w:val="auto"/>
                <w:w w:val="94"/>
              </w:rPr>
              <w:t>26,339</w:t>
            </w:r>
          </w:p>
        </w:tc>
        <w:tc>
          <w:tcPr>
            <w:tcW w:w="1200" w:type="dxa"/>
            <w:vAlign w:val="bottom"/>
            <w:vMerge w:val="restart"/>
          </w:tcPr>
          <w:p>
            <w:pPr>
              <w:jc w:val="right"/>
              <w:ind w:right="102"/>
              <w:spacing w:after="0"/>
              <w:rPr>
                <w:sz w:val="20"/>
                <w:szCs w:val="20"/>
                <w:color w:val="auto"/>
              </w:rPr>
            </w:pPr>
            <w:r>
              <w:rPr>
                <w:rFonts w:ascii="Arial" w:cs="Arial" w:eastAsia="Arial" w:hAnsi="Arial"/>
                <w:sz w:val="18"/>
                <w:szCs w:val="18"/>
                <w:b w:val="1"/>
                <w:bCs w:val="1"/>
                <w:color w:val="auto"/>
              </w:rPr>
              <w:t>12%</w:t>
            </w:r>
          </w:p>
        </w:tc>
        <w:tc>
          <w:tcPr>
            <w:tcW w:w="940" w:type="dxa"/>
            <w:vAlign w:val="bottom"/>
            <w:vMerge w:val="restart"/>
          </w:tcPr>
          <w:p>
            <w:pPr>
              <w:jc w:val="right"/>
              <w:spacing w:after="0"/>
              <w:rPr>
                <w:sz w:val="20"/>
                <w:szCs w:val="20"/>
                <w:color w:val="auto"/>
              </w:rPr>
            </w:pPr>
            <w:r>
              <w:rPr>
                <w:rFonts w:ascii="Arial" w:cs="Arial" w:eastAsia="Arial" w:hAnsi="Arial"/>
                <w:sz w:val="18"/>
                <w:szCs w:val="18"/>
                <w:b w:val="1"/>
                <w:bCs w:val="1"/>
                <w:color w:val="auto"/>
              </w:rPr>
              <w:t>21%</w:t>
            </w:r>
          </w:p>
        </w:tc>
        <w:tc>
          <w:tcPr>
            <w:tcW w:w="0" w:type="dxa"/>
            <w:vAlign w:val="bottom"/>
          </w:tcPr>
          <w:p>
            <w:pPr>
              <w:spacing w:after="0"/>
              <w:rPr>
                <w:sz w:val="1"/>
                <w:szCs w:val="1"/>
                <w:color w:val="auto"/>
              </w:rPr>
            </w:pPr>
          </w:p>
        </w:tc>
      </w:tr>
      <w:tr>
        <w:trPr>
          <w:trHeight w:val="181"/>
        </w:trPr>
        <w:tc>
          <w:tcPr>
            <w:tcW w:w="5420" w:type="dxa"/>
            <w:vAlign w:val="bottom"/>
          </w:tcPr>
          <w:p>
            <w:pPr>
              <w:spacing w:after="0" w:line="181" w:lineRule="exact"/>
              <w:rPr>
                <w:sz w:val="20"/>
                <w:szCs w:val="20"/>
                <w:color w:val="auto"/>
              </w:rPr>
            </w:pPr>
            <w:r>
              <w:rPr>
                <w:rFonts w:ascii="Arial" w:cs="Arial" w:eastAsia="Arial" w:hAnsi="Arial"/>
                <w:sz w:val="18"/>
                <w:szCs w:val="18"/>
                <w:color w:val="auto"/>
              </w:rPr>
              <w:t>Revenue</w:t>
            </w:r>
          </w:p>
        </w:tc>
        <w:tc>
          <w:tcPr>
            <w:tcW w:w="660" w:type="dxa"/>
            <w:vAlign w:val="bottom"/>
            <w:vMerge w:val="continue"/>
          </w:tcPr>
          <w:p>
            <w:pPr>
              <w:spacing w:after="0"/>
              <w:rPr>
                <w:sz w:val="15"/>
                <w:szCs w:val="15"/>
                <w:color w:val="auto"/>
              </w:rPr>
            </w:pPr>
          </w:p>
        </w:tc>
        <w:tc>
          <w:tcPr>
            <w:tcW w:w="760" w:type="dxa"/>
            <w:vAlign w:val="bottom"/>
            <w:vMerge w:val="continue"/>
          </w:tcPr>
          <w:p>
            <w:pPr>
              <w:spacing w:after="0"/>
              <w:rPr>
                <w:sz w:val="15"/>
                <w:szCs w:val="15"/>
                <w:color w:val="auto"/>
              </w:rPr>
            </w:pPr>
          </w:p>
        </w:tc>
        <w:tc>
          <w:tcPr>
            <w:tcW w:w="400" w:type="dxa"/>
            <w:vAlign w:val="bottom"/>
            <w:vMerge w:val="continue"/>
          </w:tcPr>
          <w:p>
            <w:pPr>
              <w:spacing w:after="0"/>
              <w:rPr>
                <w:sz w:val="15"/>
                <w:szCs w:val="15"/>
                <w:color w:val="auto"/>
              </w:rPr>
            </w:pPr>
          </w:p>
        </w:tc>
        <w:tc>
          <w:tcPr>
            <w:tcW w:w="940" w:type="dxa"/>
            <w:vAlign w:val="bottom"/>
            <w:vMerge w:val="continue"/>
          </w:tcPr>
          <w:p>
            <w:pPr>
              <w:spacing w:after="0"/>
              <w:rPr>
                <w:sz w:val="15"/>
                <w:szCs w:val="15"/>
                <w:color w:val="auto"/>
              </w:rPr>
            </w:pPr>
          </w:p>
        </w:tc>
        <w:tc>
          <w:tcPr>
            <w:tcW w:w="340" w:type="dxa"/>
            <w:vAlign w:val="bottom"/>
            <w:vMerge w:val="continue"/>
          </w:tcPr>
          <w:p>
            <w:pPr>
              <w:spacing w:after="0"/>
              <w:rPr>
                <w:sz w:val="15"/>
                <w:szCs w:val="15"/>
                <w:color w:val="auto"/>
              </w:rPr>
            </w:pPr>
          </w:p>
        </w:tc>
        <w:tc>
          <w:tcPr>
            <w:tcW w:w="760" w:type="dxa"/>
            <w:vAlign w:val="bottom"/>
            <w:gridSpan w:val="2"/>
            <w:vMerge w:val="continue"/>
          </w:tcPr>
          <w:p>
            <w:pPr>
              <w:spacing w:after="0"/>
              <w:rPr>
                <w:sz w:val="15"/>
                <w:szCs w:val="15"/>
                <w:color w:val="auto"/>
              </w:rPr>
            </w:pPr>
          </w:p>
        </w:tc>
        <w:tc>
          <w:tcPr>
            <w:tcW w:w="1200" w:type="dxa"/>
            <w:vAlign w:val="bottom"/>
            <w:vMerge w:val="continue"/>
          </w:tcPr>
          <w:p>
            <w:pPr>
              <w:spacing w:after="0"/>
              <w:rPr>
                <w:sz w:val="15"/>
                <w:szCs w:val="15"/>
                <w:color w:val="auto"/>
              </w:rPr>
            </w:pPr>
          </w:p>
        </w:tc>
        <w:tc>
          <w:tcPr>
            <w:tcW w:w="940" w:type="dxa"/>
            <w:vAlign w:val="bottom"/>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221"/>
        </w:trPr>
        <w:tc>
          <w:tcPr>
            <w:tcW w:w="542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Operating Expenses (excluding depreciation and amortization)</w:t>
            </w:r>
          </w:p>
        </w:tc>
        <w:tc>
          <w:tcPr>
            <w:tcW w:w="660" w:type="dxa"/>
            <w:vAlign w:val="bottom"/>
            <w:tcBorders>
              <w:bottom w:val="single" w:sz="8" w:color="auto"/>
            </w:tcBorders>
          </w:tcPr>
          <w:p>
            <w:pPr>
              <w:spacing w:after="0"/>
              <w:rPr>
                <w:sz w:val="19"/>
                <w:szCs w:val="19"/>
                <w:color w:val="auto"/>
              </w:rPr>
            </w:pPr>
          </w:p>
        </w:tc>
        <w:tc>
          <w:tcPr>
            <w:tcW w:w="760" w:type="dxa"/>
            <w:vAlign w:val="bottom"/>
            <w:tcBorders>
              <w:bottom w:val="single" w:sz="8" w:color="auto"/>
            </w:tcBorders>
          </w:tcPr>
          <w:p>
            <w:pPr>
              <w:jc w:val="right"/>
              <w:ind w:right="134"/>
              <w:spacing w:after="0"/>
              <w:rPr>
                <w:sz w:val="20"/>
                <w:szCs w:val="20"/>
                <w:color w:val="auto"/>
              </w:rPr>
            </w:pPr>
            <w:r>
              <w:rPr>
                <w:rFonts w:ascii="Arial" w:cs="Arial" w:eastAsia="Arial" w:hAnsi="Arial"/>
                <w:sz w:val="18"/>
                <w:szCs w:val="18"/>
                <w:b w:val="1"/>
                <w:bCs w:val="1"/>
                <w:color w:val="auto"/>
                <w:w w:val="94"/>
              </w:rPr>
              <w:t>14,396</w:t>
            </w:r>
          </w:p>
        </w:tc>
        <w:tc>
          <w:tcPr>
            <w:tcW w:w="400" w:type="dxa"/>
            <w:vAlign w:val="bottom"/>
            <w:tcBorders>
              <w:bottom w:val="single" w:sz="8" w:color="auto"/>
            </w:tcBorders>
          </w:tcPr>
          <w:p>
            <w:pPr>
              <w:spacing w:after="0"/>
              <w:rPr>
                <w:sz w:val="19"/>
                <w:szCs w:val="19"/>
                <w:color w:val="auto"/>
              </w:rPr>
            </w:pPr>
          </w:p>
        </w:tc>
        <w:tc>
          <w:tcPr>
            <w:tcW w:w="940" w:type="dxa"/>
            <w:vAlign w:val="bottom"/>
            <w:tcBorders>
              <w:bottom w:val="single" w:sz="8" w:color="auto"/>
            </w:tcBorders>
          </w:tcPr>
          <w:p>
            <w:pPr>
              <w:jc w:val="right"/>
              <w:ind w:right="134"/>
              <w:spacing w:after="0"/>
              <w:rPr>
                <w:sz w:val="20"/>
                <w:szCs w:val="20"/>
                <w:color w:val="auto"/>
              </w:rPr>
            </w:pPr>
            <w:r>
              <w:rPr>
                <w:rFonts w:ascii="Arial" w:cs="Arial" w:eastAsia="Arial" w:hAnsi="Arial"/>
                <w:sz w:val="18"/>
                <w:szCs w:val="18"/>
                <w:b w:val="1"/>
                <w:bCs w:val="1"/>
                <w:color w:val="auto"/>
              </w:rPr>
              <w:t>1,432</w:t>
            </w:r>
          </w:p>
        </w:tc>
        <w:tc>
          <w:tcPr>
            <w:tcW w:w="340" w:type="dxa"/>
            <w:vAlign w:val="bottom"/>
            <w:tcBorders>
              <w:bottom w:val="single" w:sz="8" w:color="auto"/>
            </w:tcBorders>
          </w:tcPr>
          <w:p>
            <w:pPr>
              <w:spacing w:after="0"/>
              <w:rPr>
                <w:sz w:val="19"/>
                <w:szCs w:val="19"/>
                <w:color w:val="auto"/>
              </w:rPr>
            </w:pPr>
          </w:p>
        </w:tc>
        <w:tc>
          <w:tcPr>
            <w:tcW w:w="760" w:type="dxa"/>
            <w:vAlign w:val="bottom"/>
            <w:tcBorders>
              <w:bottom w:val="single" w:sz="8" w:color="auto"/>
            </w:tcBorders>
            <w:gridSpan w:val="2"/>
          </w:tcPr>
          <w:p>
            <w:pPr>
              <w:jc w:val="right"/>
              <w:ind w:right="220"/>
              <w:spacing w:after="0"/>
              <w:rPr>
                <w:sz w:val="20"/>
                <w:szCs w:val="20"/>
                <w:color w:val="auto"/>
              </w:rPr>
            </w:pPr>
            <w:r>
              <w:rPr>
                <w:rFonts w:ascii="Arial" w:cs="Arial" w:eastAsia="Arial" w:hAnsi="Arial"/>
                <w:sz w:val="18"/>
                <w:szCs w:val="18"/>
                <w:b w:val="1"/>
                <w:bCs w:val="1"/>
                <w:color w:val="auto"/>
                <w:w w:val="94"/>
              </w:rPr>
              <w:t>15,828</w:t>
            </w:r>
          </w:p>
        </w:tc>
        <w:tc>
          <w:tcPr>
            <w:tcW w:w="1200" w:type="dxa"/>
            <w:vAlign w:val="bottom"/>
            <w:tcBorders>
              <w:bottom w:val="single" w:sz="8" w:color="auto"/>
            </w:tcBorders>
          </w:tcPr>
          <w:p>
            <w:pPr>
              <w:spacing w:after="0"/>
              <w:rPr>
                <w:sz w:val="19"/>
                <w:szCs w:val="19"/>
                <w:color w:val="auto"/>
              </w:rPr>
            </w:pPr>
          </w:p>
        </w:tc>
        <w:tc>
          <w:tcPr>
            <w:tcW w:w="940" w:type="dxa"/>
            <w:vAlign w:val="bottom"/>
            <w:tcBorders>
              <w:bottom w:val="single" w:sz="8" w:color="auto"/>
            </w:tcBorders>
          </w:tcPr>
          <w:p>
            <w:pPr>
              <w:spacing w:after="0"/>
              <w:rPr>
                <w:sz w:val="19"/>
                <w:szCs w:val="19"/>
                <w:color w:val="auto"/>
              </w:rPr>
            </w:pPr>
          </w:p>
        </w:tc>
        <w:tc>
          <w:tcPr>
            <w:tcW w:w="0" w:type="dxa"/>
            <w:vAlign w:val="bottom"/>
          </w:tcPr>
          <w:p>
            <w:pPr>
              <w:spacing w:after="0"/>
              <w:rPr>
                <w:sz w:val="1"/>
                <w:szCs w:val="1"/>
                <w:color w:val="auto"/>
              </w:rPr>
            </w:pPr>
          </w:p>
        </w:tc>
      </w:tr>
      <w:tr>
        <w:trPr>
          <w:trHeight w:val="177"/>
        </w:trPr>
        <w:tc>
          <w:tcPr>
            <w:tcW w:w="5420" w:type="dxa"/>
            <w:vAlign w:val="bottom"/>
          </w:tcPr>
          <w:p>
            <w:pPr>
              <w:spacing w:after="0" w:line="177" w:lineRule="exact"/>
              <w:rPr>
                <w:sz w:val="20"/>
                <w:szCs w:val="20"/>
                <w:color w:val="auto"/>
              </w:rPr>
            </w:pPr>
            <w:r>
              <w:rPr>
                <w:rFonts w:ascii="Arial" w:cs="Arial" w:eastAsia="Arial" w:hAnsi="Arial"/>
                <w:sz w:val="18"/>
                <w:szCs w:val="18"/>
                <w:color w:val="auto"/>
              </w:rPr>
              <w:t>Operating Cash Flow</w:t>
            </w:r>
          </w:p>
        </w:tc>
        <w:tc>
          <w:tcPr>
            <w:tcW w:w="660" w:type="dxa"/>
            <w:vAlign w:val="bottom"/>
          </w:tcPr>
          <w:p>
            <w:pPr>
              <w:jc w:val="right"/>
              <w:spacing w:after="0" w:line="177" w:lineRule="exact"/>
              <w:rPr>
                <w:sz w:val="20"/>
                <w:szCs w:val="20"/>
                <w:color w:val="auto"/>
              </w:rPr>
            </w:pPr>
            <w:r>
              <w:rPr>
                <w:rFonts w:ascii="Arial" w:cs="Arial" w:eastAsia="Arial" w:hAnsi="Arial"/>
                <w:sz w:val="18"/>
                <w:szCs w:val="18"/>
                <w:b w:val="1"/>
                <w:bCs w:val="1"/>
                <w:color w:val="auto"/>
              </w:rPr>
              <w:t>$</w:t>
            </w:r>
          </w:p>
        </w:tc>
        <w:tc>
          <w:tcPr>
            <w:tcW w:w="760" w:type="dxa"/>
            <w:vAlign w:val="bottom"/>
          </w:tcPr>
          <w:p>
            <w:pPr>
              <w:jc w:val="right"/>
              <w:ind w:right="134"/>
              <w:spacing w:after="0" w:line="177" w:lineRule="exact"/>
              <w:rPr>
                <w:sz w:val="20"/>
                <w:szCs w:val="20"/>
                <w:color w:val="auto"/>
              </w:rPr>
            </w:pPr>
            <w:r>
              <w:rPr>
                <w:rFonts w:ascii="Arial" w:cs="Arial" w:eastAsia="Arial" w:hAnsi="Arial"/>
                <w:sz w:val="18"/>
                <w:szCs w:val="18"/>
                <w:b w:val="1"/>
                <w:bCs w:val="1"/>
                <w:color w:val="auto"/>
              </w:rPr>
              <w:t>9,704</w:t>
            </w:r>
          </w:p>
        </w:tc>
        <w:tc>
          <w:tcPr>
            <w:tcW w:w="400" w:type="dxa"/>
            <w:vAlign w:val="bottom"/>
          </w:tcPr>
          <w:p>
            <w:pPr>
              <w:ind w:left="240"/>
              <w:spacing w:after="0" w:line="177" w:lineRule="exact"/>
              <w:rPr>
                <w:sz w:val="20"/>
                <w:szCs w:val="20"/>
                <w:color w:val="auto"/>
              </w:rPr>
            </w:pPr>
            <w:r>
              <w:rPr>
                <w:rFonts w:ascii="Arial" w:cs="Arial" w:eastAsia="Arial" w:hAnsi="Arial"/>
                <w:sz w:val="18"/>
                <w:szCs w:val="18"/>
                <w:b w:val="1"/>
                <w:bCs w:val="1"/>
                <w:color w:val="auto"/>
              </w:rPr>
              <w:t>$</w:t>
            </w:r>
          </w:p>
        </w:tc>
        <w:tc>
          <w:tcPr>
            <w:tcW w:w="940" w:type="dxa"/>
            <w:vAlign w:val="bottom"/>
          </w:tcPr>
          <w:p>
            <w:pPr>
              <w:jc w:val="right"/>
              <w:ind w:right="134"/>
              <w:spacing w:after="0" w:line="177" w:lineRule="exact"/>
              <w:rPr>
                <w:sz w:val="20"/>
                <w:szCs w:val="20"/>
                <w:color w:val="auto"/>
              </w:rPr>
            </w:pPr>
            <w:r>
              <w:rPr>
                <w:rFonts w:ascii="Arial" w:cs="Arial" w:eastAsia="Arial" w:hAnsi="Arial"/>
                <w:sz w:val="18"/>
                <w:szCs w:val="18"/>
                <w:b w:val="1"/>
                <w:bCs w:val="1"/>
                <w:color w:val="auto"/>
              </w:rPr>
              <w:t>807</w:t>
            </w:r>
          </w:p>
        </w:tc>
        <w:tc>
          <w:tcPr>
            <w:tcW w:w="340" w:type="dxa"/>
            <w:vAlign w:val="bottom"/>
          </w:tcPr>
          <w:p>
            <w:pPr>
              <w:ind w:left="220"/>
              <w:spacing w:after="0" w:line="177" w:lineRule="exact"/>
              <w:rPr>
                <w:sz w:val="20"/>
                <w:szCs w:val="20"/>
                <w:color w:val="auto"/>
              </w:rPr>
            </w:pPr>
            <w:r>
              <w:rPr>
                <w:rFonts w:ascii="Arial" w:cs="Arial" w:eastAsia="Arial" w:hAnsi="Arial"/>
                <w:sz w:val="18"/>
                <w:szCs w:val="18"/>
                <w:b w:val="1"/>
                <w:bCs w:val="1"/>
                <w:color w:val="auto"/>
                <w:w w:val="99"/>
              </w:rPr>
              <w:t>$</w:t>
            </w:r>
          </w:p>
        </w:tc>
        <w:tc>
          <w:tcPr>
            <w:tcW w:w="760" w:type="dxa"/>
            <w:vAlign w:val="bottom"/>
            <w:gridSpan w:val="2"/>
          </w:tcPr>
          <w:p>
            <w:pPr>
              <w:jc w:val="right"/>
              <w:ind w:right="220"/>
              <w:spacing w:after="0" w:line="177" w:lineRule="exact"/>
              <w:rPr>
                <w:sz w:val="20"/>
                <w:szCs w:val="20"/>
                <w:color w:val="auto"/>
              </w:rPr>
            </w:pPr>
            <w:r>
              <w:rPr>
                <w:rFonts w:ascii="Arial" w:cs="Arial" w:eastAsia="Arial" w:hAnsi="Arial"/>
                <w:sz w:val="18"/>
                <w:szCs w:val="18"/>
                <w:b w:val="1"/>
                <w:bCs w:val="1"/>
                <w:color w:val="auto"/>
                <w:w w:val="94"/>
              </w:rPr>
              <w:t>10,511</w:t>
            </w:r>
          </w:p>
        </w:tc>
        <w:tc>
          <w:tcPr>
            <w:tcW w:w="1200" w:type="dxa"/>
            <w:vAlign w:val="bottom"/>
          </w:tcPr>
          <w:p>
            <w:pPr>
              <w:jc w:val="right"/>
              <w:ind w:right="102"/>
              <w:spacing w:after="0" w:line="177" w:lineRule="exact"/>
              <w:rPr>
                <w:sz w:val="20"/>
                <w:szCs w:val="20"/>
                <w:color w:val="auto"/>
              </w:rPr>
            </w:pPr>
            <w:r>
              <w:rPr>
                <w:rFonts w:ascii="Arial" w:cs="Arial" w:eastAsia="Arial" w:hAnsi="Arial"/>
                <w:sz w:val="18"/>
                <w:szCs w:val="18"/>
                <w:b w:val="1"/>
                <w:bCs w:val="1"/>
                <w:color w:val="auto"/>
              </w:rPr>
              <w:t>15%</w:t>
            </w:r>
          </w:p>
        </w:tc>
        <w:tc>
          <w:tcPr>
            <w:tcW w:w="940" w:type="dxa"/>
            <w:vAlign w:val="bottom"/>
          </w:tcPr>
          <w:p>
            <w:pPr>
              <w:jc w:val="right"/>
              <w:spacing w:after="0" w:line="177" w:lineRule="exact"/>
              <w:rPr>
                <w:sz w:val="20"/>
                <w:szCs w:val="20"/>
                <w:color w:val="auto"/>
              </w:rPr>
            </w:pPr>
            <w:r>
              <w:rPr>
                <w:rFonts w:ascii="Arial" w:cs="Arial" w:eastAsia="Arial" w:hAnsi="Arial"/>
                <w:sz w:val="18"/>
                <w:szCs w:val="18"/>
                <w:b w:val="1"/>
                <w:bCs w:val="1"/>
                <w:color w:val="auto"/>
              </w:rPr>
              <w:t>22%</w:t>
            </w:r>
          </w:p>
        </w:tc>
        <w:tc>
          <w:tcPr>
            <w:tcW w:w="0" w:type="dxa"/>
            <w:vAlign w:val="bottom"/>
          </w:tcPr>
          <w:p>
            <w:pPr>
              <w:spacing w:after="0"/>
              <w:rPr>
                <w:sz w:val="1"/>
                <w:szCs w:val="1"/>
                <w:color w:val="auto"/>
              </w:rPr>
            </w:pPr>
          </w:p>
        </w:tc>
      </w:tr>
      <w:tr>
        <w:trPr>
          <w:trHeight w:val="221"/>
        </w:trPr>
        <w:tc>
          <w:tcPr>
            <w:tcW w:w="542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Depreciation and Amortization</w:t>
            </w:r>
          </w:p>
        </w:tc>
        <w:tc>
          <w:tcPr>
            <w:tcW w:w="660" w:type="dxa"/>
            <w:vAlign w:val="bottom"/>
            <w:tcBorders>
              <w:bottom w:val="single" w:sz="8" w:color="auto"/>
            </w:tcBorders>
          </w:tcPr>
          <w:p>
            <w:pPr>
              <w:spacing w:after="0"/>
              <w:rPr>
                <w:sz w:val="19"/>
                <w:szCs w:val="19"/>
                <w:color w:val="auto"/>
              </w:rPr>
            </w:pPr>
          </w:p>
        </w:tc>
        <w:tc>
          <w:tcPr>
            <w:tcW w:w="760" w:type="dxa"/>
            <w:vAlign w:val="bottom"/>
            <w:tcBorders>
              <w:bottom w:val="single" w:sz="8" w:color="auto"/>
            </w:tcBorders>
          </w:tcPr>
          <w:p>
            <w:pPr>
              <w:jc w:val="right"/>
              <w:ind w:right="134"/>
              <w:spacing w:after="0"/>
              <w:rPr>
                <w:sz w:val="20"/>
                <w:szCs w:val="20"/>
                <w:color w:val="auto"/>
              </w:rPr>
            </w:pPr>
            <w:r>
              <w:rPr>
                <w:rFonts w:ascii="Arial" w:cs="Arial" w:eastAsia="Arial" w:hAnsi="Arial"/>
                <w:sz w:val="18"/>
                <w:szCs w:val="18"/>
                <w:b w:val="1"/>
                <w:bCs w:val="1"/>
                <w:color w:val="auto"/>
              </w:rPr>
              <w:t>4,657</w:t>
            </w:r>
          </w:p>
        </w:tc>
        <w:tc>
          <w:tcPr>
            <w:tcW w:w="400" w:type="dxa"/>
            <w:vAlign w:val="bottom"/>
            <w:tcBorders>
              <w:bottom w:val="single" w:sz="8" w:color="auto"/>
            </w:tcBorders>
          </w:tcPr>
          <w:p>
            <w:pPr>
              <w:spacing w:after="0"/>
              <w:rPr>
                <w:sz w:val="19"/>
                <w:szCs w:val="19"/>
                <w:color w:val="auto"/>
              </w:rPr>
            </w:pPr>
          </w:p>
        </w:tc>
        <w:tc>
          <w:tcPr>
            <w:tcW w:w="940" w:type="dxa"/>
            <w:vAlign w:val="bottom"/>
            <w:tcBorders>
              <w:bottom w:val="single" w:sz="8" w:color="auto"/>
            </w:tcBorders>
          </w:tcPr>
          <w:p>
            <w:pPr>
              <w:jc w:val="right"/>
              <w:ind w:right="134"/>
              <w:spacing w:after="0"/>
              <w:rPr>
                <w:sz w:val="20"/>
                <w:szCs w:val="20"/>
                <w:color w:val="auto"/>
              </w:rPr>
            </w:pPr>
            <w:r>
              <w:rPr>
                <w:rFonts w:ascii="Arial" w:cs="Arial" w:eastAsia="Arial" w:hAnsi="Arial"/>
                <w:sz w:val="18"/>
                <w:szCs w:val="18"/>
                <w:b w:val="1"/>
                <w:bCs w:val="1"/>
                <w:color w:val="auto"/>
              </w:rPr>
              <w:t>608</w:t>
            </w:r>
          </w:p>
        </w:tc>
        <w:tc>
          <w:tcPr>
            <w:tcW w:w="340" w:type="dxa"/>
            <w:vAlign w:val="bottom"/>
            <w:tcBorders>
              <w:bottom w:val="single" w:sz="8" w:color="auto"/>
            </w:tcBorders>
          </w:tcPr>
          <w:p>
            <w:pPr>
              <w:spacing w:after="0"/>
              <w:rPr>
                <w:sz w:val="19"/>
                <w:szCs w:val="19"/>
                <w:color w:val="auto"/>
              </w:rPr>
            </w:pPr>
          </w:p>
        </w:tc>
        <w:tc>
          <w:tcPr>
            <w:tcW w:w="54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5,265</w:t>
            </w:r>
          </w:p>
        </w:tc>
        <w:tc>
          <w:tcPr>
            <w:tcW w:w="220" w:type="dxa"/>
            <w:vAlign w:val="bottom"/>
          </w:tcPr>
          <w:p>
            <w:pPr>
              <w:spacing w:after="0"/>
              <w:rPr>
                <w:sz w:val="19"/>
                <w:szCs w:val="19"/>
                <w:color w:val="auto"/>
              </w:rPr>
            </w:pPr>
          </w:p>
        </w:tc>
        <w:tc>
          <w:tcPr>
            <w:tcW w:w="1200" w:type="dxa"/>
            <w:vAlign w:val="bottom"/>
          </w:tcPr>
          <w:p>
            <w:pPr>
              <w:spacing w:after="0"/>
              <w:rPr>
                <w:sz w:val="19"/>
                <w:szCs w:val="19"/>
                <w:color w:val="auto"/>
              </w:rPr>
            </w:pPr>
          </w:p>
        </w:tc>
        <w:tc>
          <w:tcPr>
            <w:tcW w:w="9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96"/>
        </w:trPr>
        <w:tc>
          <w:tcPr>
            <w:tcW w:w="5420" w:type="dxa"/>
            <w:vAlign w:val="bottom"/>
            <w:tcBorders>
              <w:bottom w:val="single" w:sz="8" w:color="auto"/>
            </w:tcBorders>
          </w:tcPr>
          <w:p>
            <w:pPr>
              <w:spacing w:after="0" w:line="196" w:lineRule="exact"/>
              <w:rPr>
                <w:sz w:val="20"/>
                <w:szCs w:val="20"/>
                <w:color w:val="auto"/>
              </w:rPr>
            </w:pPr>
            <w:r>
              <w:rPr>
                <w:rFonts w:ascii="Arial" w:cs="Arial" w:eastAsia="Arial" w:hAnsi="Arial"/>
                <w:sz w:val="18"/>
                <w:szCs w:val="18"/>
                <w:color w:val="auto"/>
              </w:rPr>
              <w:t>Operating Income</w:t>
            </w:r>
          </w:p>
        </w:tc>
        <w:tc>
          <w:tcPr>
            <w:tcW w:w="660" w:type="dxa"/>
            <w:vAlign w:val="bottom"/>
            <w:tcBorders>
              <w:bottom w:val="single" w:sz="8" w:color="auto"/>
            </w:tcBorders>
          </w:tcPr>
          <w:p>
            <w:pPr>
              <w:jc w:val="right"/>
              <w:spacing w:after="0" w:line="196" w:lineRule="exact"/>
              <w:rPr>
                <w:sz w:val="20"/>
                <w:szCs w:val="20"/>
                <w:color w:val="auto"/>
              </w:rPr>
            </w:pPr>
            <w:r>
              <w:rPr>
                <w:rFonts w:ascii="Arial" w:cs="Arial" w:eastAsia="Arial" w:hAnsi="Arial"/>
                <w:sz w:val="18"/>
                <w:szCs w:val="18"/>
                <w:b w:val="1"/>
                <w:bCs w:val="1"/>
                <w:color w:val="auto"/>
              </w:rPr>
              <w:t>$</w:t>
            </w:r>
          </w:p>
        </w:tc>
        <w:tc>
          <w:tcPr>
            <w:tcW w:w="760" w:type="dxa"/>
            <w:vAlign w:val="bottom"/>
            <w:tcBorders>
              <w:bottom w:val="single" w:sz="8" w:color="auto"/>
            </w:tcBorders>
          </w:tcPr>
          <w:p>
            <w:pPr>
              <w:jc w:val="right"/>
              <w:ind w:right="134"/>
              <w:spacing w:after="0" w:line="196" w:lineRule="exact"/>
              <w:rPr>
                <w:sz w:val="20"/>
                <w:szCs w:val="20"/>
                <w:color w:val="auto"/>
              </w:rPr>
            </w:pPr>
            <w:r>
              <w:rPr>
                <w:rFonts w:ascii="Arial" w:cs="Arial" w:eastAsia="Arial" w:hAnsi="Arial"/>
                <w:sz w:val="18"/>
                <w:szCs w:val="18"/>
                <w:b w:val="1"/>
                <w:bCs w:val="1"/>
                <w:color w:val="auto"/>
              </w:rPr>
              <w:t>5,047</w:t>
            </w:r>
          </w:p>
        </w:tc>
        <w:tc>
          <w:tcPr>
            <w:tcW w:w="400" w:type="dxa"/>
            <w:vAlign w:val="bottom"/>
            <w:tcBorders>
              <w:bottom w:val="single" w:sz="8" w:color="auto"/>
            </w:tcBorders>
          </w:tcPr>
          <w:p>
            <w:pPr>
              <w:ind w:left="240"/>
              <w:spacing w:after="0" w:line="196" w:lineRule="exact"/>
              <w:rPr>
                <w:sz w:val="20"/>
                <w:szCs w:val="20"/>
                <w:color w:val="auto"/>
              </w:rPr>
            </w:pPr>
            <w:r>
              <w:rPr>
                <w:rFonts w:ascii="Arial" w:cs="Arial" w:eastAsia="Arial" w:hAnsi="Arial"/>
                <w:sz w:val="18"/>
                <w:szCs w:val="18"/>
                <w:b w:val="1"/>
                <w:bCs w:val="1"/>
                <w:color w:val="auto"/>
              </w:rPr>
              <w:t>$</w:t>
            </w:r>
          </w:p>
        </w:tc>
        <w:tc>
          <w:tcPr>
            <w:tcW w:w="940" w:type="dxa"/>
            <w:vAlign w:val="bottom"/>
            <w:tcBorders>
              <w:bottom w:val="single" w:sz="8" w:color="auto"/>
            </w:tcBorders>
          </w:tcPr>
          <w:p>
            <w:pPr>
              <w:jc w:val="right"/>
              <w:ind w:right="134"/>
              <w:spacing w:after="0" w:line="196" w:lineRule="exact"/>
              <w:rPr>
                <w:sz w:val="20"/>
                <w:szCs w:val="20"/>
                <w:color w:val="auto"/>
              </w:rPr>
            </w:pPr>
            <w:r>
              <w:rPr>
                <w:rFonts w:ascii="Arial" w:cs="Arial" w:eastAsia="Arial" w:hAnsi="Arial"/>
                <w:sz w:val="18"/>
                <w:szCs w:val="18"/>
                <w:b w:val="1"/>
                <w:bCs w:val="1"/>
                <w:color w:val="auto"/>
              </w:rPr>
              <w:t>199</w:t>
            </w:r>
          </w:p>
        </w:tc>
        <w:tc>
          <w:tcPr>
            <w:tcW w:w="340" w:type="dxa"/>
            <w:vAlign w:val="bottom"/>
            <w:tcBorders>
              <w:bottom w:val="single" w:sz="8" w:color="auto"/>
            </w:tcBorders>
          </w:tcPr>
          <w:p>
            <w:pPr>
              <w:ind w:left="220"/>
              <w:spacing w:after="0" w:line="196" w:lineRule="exact"/>
              <w:rPr>
                <w:sz w:val="20"/>
                <w:szCs w:val="20"/>
                <w:color w:val="auto"/>
              </w:rPr>
            </w:pPr>
            <w:r>
              <w:rPr>
                <w:rFonts w:ascii="Arial" w:cs="Arial" w:eastAsia="Arial" w:hAnsi="Arial"/>
                <w:sz w:val="18"/>
                <w:szCs w:val="18"/>
                <w:b w:val="1"/>
                <w:bCs w:val="1"/>
                <w:color w:val="auto"/>
                <w:w w:val="99"/>
              </w:rPr>
              <w:t>$</w:t>
            </w:r>
          </w:p>
        </w:tc>
        <w:tc>
          <w:tcPr>
            <w:tcW w:w="540" w:type="dxa"/>
            <w:vAlign w:val="bottom"/>
            <w:tcBorders>
              <w:bottom w:val="single" w:sz="8" w:color="auto"/>
            </w:tcBorders>
          </w:tcPr>
          <w:p>
            <w:pPr>
              <w:jc w:val="right"/>
              <w:spacing w:after="0" w:line="196" w:lineRule="exact"/>
              <w:rPr>
                <w:sz w:val="20"/>
                <w:szCs w:val="20"/>
                <w:color w:val="auto"/>
              </w:rPr>
            </w:pPr>
            <w:r>
              <w:rPr>
                <w:rFonts w:ascii="Arial" w:cs="Arial" w:eastAsia="Arial" w:hAnsi="Arial"/>
                <w:sz w:val="18"/>
                <w:szCs w:val="18"/>
                <w:b w:val="1"/>
                <w:bCs w:val="1"/>
                <w:color w:val="auto"/>
              </w:rPr>
              <w:t>5,246</w:t>
            </w:r>
          </w:p>
        </w:tc>
        <w:tc>
          <w:tcPr>
            <w:tcW w:w="220" w:type="dxa"/>
            <w:vAlign w:val="bottom"/>
          </w:tcPr>
          <w:p>
            <w:pPr>
              <w:spacing w:after="0"/>
              <w:rPr>
                <w:sz w:val="17"/>
                <w:szCs w:val="17"/>
                <w:color w:val="auto"/>
              </w:rPr>
            </w:pPr>
          </w:p>
        </w:tc>
        <w:tc>
          <w:tcPr>
            <w:tcW w:w="120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9"/>
        </w:trPr>
        <w:tc>
          <w:tcPr>
            <w:tcW w:w="5420" w:type="dxa"/>
            <w:vAlign w:val="bottom"/>
          </w:tcPr>
          <w:p>
            <w:pPr>
              <w:spacing w:after="0" w:line="200" w:lineRule="exact"/>
              <w:rPr>
                <w:sz w:val="20"/>
                <w:szCs w:val="20"/>
                <w:color w:val="auto"/>
              </w:rPr>
            </w:pPr>
            <w:r>
              <w:rPr>
                <w:rFonts w:ascii="Arial" w:cs="Arial" w:eastAsia="Arial" w:hAnsi="Arial"/>
                <w:sz w:val="18"/>
                <w:szCs w:val="18"/>
                <w:b w:val="1"/>
                <w:bCs w:val="1"/>
                <w:color w:val="auto"/>
              </w:rPr>
              <w:t>2005</w:t>
            </w:r>
          </w:p>
        </w:tc>
        <w:tc>
          <w:tcPr>
            <w:tcW w:w="66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54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20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5420" w:type="dxa"/>
            <w:vAlign w:val="bottom"/>
          </w:tcPr>
          <w:p>
            <w:pPr>
              <w:spacing w:after="0" w:line="202" w:lineRule="exact"/>
              <w:rPr>
                <w:sz w:val="20"/>
                <w:szCs w:val="20"/>
                <w:color w:val="auto"/>
              </w:rPr>
            </w:pPr>
            <w:r>
              <w:rPr>
                <w:rFonts w:ascii="Arial" w:cs="Arial" w:eastAsia="Arial" w:hAnsi="Arial"/>
                <w:sz w:val="18"/>
                <w:szCs w:val="18"/>
                <w:color w:val="auto"/>
              </w:rPr>
              <w:t>Revenue</w:t>
            </w:r>
          </w:p>
        </w:tc>
        <w:tc>
          <w:tcPr>
            <w:tcW w:w="660" w:type="dxa"/>
            <w:vAlign w:val="bottom"/>
          </w:tcPr>
          <w:p>
            <w:pPr>
              <w:jc w:val="right"/>
              <w:spacing w:after="0" w:line="202" w:lineRule="exact"/>
              <w:rPr>
                <w:sz w:val="20"/>
                <w:szCs w:val="20"/>
                <w:color w:val="auto"/>
              </w:rPr>
            </w:pPr>
            <w:r>
              <w:rPr>
                <w:rFonts w:ascii="Arial" w:cs="Arial" w:eastAsia="Arial" w:hAnsi="Arial"/>
                <w:sz w:val="18"/>
                <w:szCs w:val="18"/>
                <w:color w:val="auto"/>
              </w:rPr>
              <w:t>$</w:t>
            </w:r>
          </w:p>
        </w:tc>
        <w:tc>
          <w:tcPr>
            <w:tcW w:w="760" w:type="dxa"/>
            <w:vAlign w:val="bottom"/>
          </w:tcPr>
          <w:p>
            <w:pPr>
              <w:jc w:val="right"/>
              <w:ind w:right="134"/>
              <w:spacing w:after="0" w:line="202" w:lineRule="exact"/>
              <w:rPr>
                <w:sz w:val="20"/>
                <w:szCs w:val="20"/>
                <w:color w:val="auto"/>
              </w:rPr>
            </w:pPr>
            <w:r>
              <w:rPr>
                <w:rFonts w:ascii="Arial" w:cs="Arial" w:eastAsia="Arial" w:hAnsi="Arial"/>
                <w:sz w:val="18"/>
                <w:szCs w:val="18"/>
                <w:color w:val="auto"/>
                <w:w w:val="94"/>
              </w:rPr>
              <w:t>19,987</w:t>
            </w:r>
          </w:p>
        </w:tc>
        <w:tc>
          <w:tcPr>
            <w:tcW w:w="400" w:type="dxa"/>
            <w:vAlign w:val="bottom"/>
          </w:tcPr>
          <w:p>
            <w:pPr>
              <w:ind w:left="240"/>
              <w:spacing w:after="0" w:line="202" w:lineRule="exact"/>
              <w:rPr>
                <w:sz w:val="20"/>
                <w:szCs w:val="20"/>
                <w:color w:val="auto"/>
              </w:rPr>
            </w:pPr>
            <w:r>
              <w:rPr>
                <w:rFonts w:ascii="Arial" w:cs="Arial" w:eastAsia="Arial" w:hAnsi="Arial"/>
                <w:sz w:val="18"/>
                <w:szCs w:val="18"/>
                <w:color w:val="auto"/>
              </w:rPr>
              <w:t>$</w:t>
            </w:r>
          </w:p>
        </w:tc>
        <w:tc>
          <w:tcPr>
            <w:tcW w:w="940" w:type="dxa"/>
            <w:vAlign w:val="bottom"/>
          </w:tcPr>
          <w:p>
            <w:pPr>
              <w:jc w:val="right"/>
              <w:ind w:right="134"/>
              <w:spacing w:after="0" w:line="202" w:lineRule="exact"/>
              <w:rPr>
                <w:sz w:val="20"/>
                <w:szCs w:val="20"/>
                <w:color w:val="auto"/>
              </w:rPr>
            </w:pPr>
            <w:r>
              <w:rPr>
                <w:rFonts w:ascii="Arial" w:cs="Arial" w:eastAsia="Arial" w:hAnsi="Arial"/>
                <w:sz w:val="18"/>
                <w:szCs w:val="18"/>
                <w:color w:val="auto"/>
              </w:rPr>
              <w:t>3,569</w:t>
            </w:r>
          </w:p>
        </w:tc>
        <w:tc>
          <w:tcPr>
            <w:tcW w:w="340" w:type="dxa"/>
            <w:vAlign w:val="bottom"/>
          </w:tcPr>
          <w:p>
            <w:pPr>
              <w:ind w:left="220"/>
              <w:spacing w:after="0" w:line="202" w:lineRule="exact"/>
              <w:rPr>
                <w:sz w:val="20"/>
                <w:szCs w:val="20"/>
                <w:color w:val="auto"/>
              </w:rPr>
            </w:pPr>
            <w:r>
              <w:rPr>
                <w:rFonts w:ascii="Arial" w:cs="Arial" w:eastAsia="Arial" w:hAnsi="Arial"/>
                <w:sz w:val="18"/>
                <w:szCs w:val="18"/>
                <w:color w:val="auto"/>
                <w:w w:val="99"/>
              </w:rPr>
              <w:t>$</w:t>
            </w:r>
          </w:p>
        </w:tc>
        <w:tc>
          <w:tcPr>
            <w:tcW w:w="760" w:type="dxa"/>
            <w:vAlign w:val="bottom"/>
            <w:gridSpan w:val="2"/>
          </w:tcPr>
          <w:p>
            <w:pPr>
              <w:jc w:val="right"/>
              <w:ind w:right="220"/>
              <w:spacing w:after="0" w:line="202" w:lineRule="exact"/>
              <w:rPr>
                <w:sz w:val="20"/>
                <w:szCs w:val="20"/>
                <w:color w:val="auto"/>
              </w:rPr>
            </w:pPr>
            <w:r>
              <w:rPr>
                <w:rFonts w:ascii="Arial" w:cs="Arial" w:eastAsia="Arial" w:hAnsi="Arial"/>
                <w:sz w:val="18"/>
                <w:szCs w:val="18"/>
                <w:color w:val="auto"/>
                <w:w w:val="94"/>
              </w:rPr>
              <w:t>23,556</w:t>
            </w:r>
          </w:p>
        </w:tc>
        <w:tc>
          <w:tcPr>
            <w:tcW w:w="120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5420" w:type="dxa"/>
            <w:vAlign w:val="bottom"/>
          </w:tcPr>
          <w:p>
            <w:pPr>
              <w:spacing w:after="0" w:line="202" w:lineRule="exact"/>
              <w:rPr>
                <w:sz w:val="20"/>
                <w:szCs w:val="20"/>
                <w:color w:val="auto"/>
              </w:rPr>
            </w:pPr>
            <w:r>
              <w:rPr>
                <w:rFonts w:ascii="Arial" w:cs="Arial" w:eastAsia="Arial" w:hAnsi="Arial"/>
                <w:sz w:val="18"/>
                <w:szCs w:val="18"/>
                <w:color w:val="auto"/>
              </w:rPr>
              <w:t>Operating Expenses (excluding depreciation and amortization)</w:t>
            </w:r>
          </w:p>
        </w:tc>
        <w:tc>
          <w:tcPr>
            <w:tcW w:w="660" w:type="dxa"/>
            <w:vAlign w:val="bottom"/>
          </w:tcPr>
          <w:p>
            <w:pPr>
              <w:spacing w:after="0"/>
              <w:rPr>
                <w:sz w:val="17"/>
                <w:szCs w:val="17"/>
                <w:color w:val="auto"/>
              </w:rPr>
            </w:pPr>
          </w:p>
        </w:tc>
        <w:tc>
          <w:tcPr>
            <w:tcW w:w="760" w:type="dxa"/>
            <w:vAlign w:val="bottom"/>
          </w:tcPr>
          <w:p>
            <w:pPr>
              <w:jc w:val="right"/>
              <w:ind w:right="134"/>
              <w:spacing w:after="0" w:line="202" w:lineRule="exact"/>
              <w:rPr>
                <w:sz w:val="20"/>
                <w:szCs w:val="20"/>
                <w:color w:val="auto"/>
              </w:rPr>
            </w:pPr>
            <w:r>
              <w:rPr>
                <w:rFonts w:ascii="Arial" w:cs="Arial" w:eastAsia="Arial" w:hAnsi="Arial"/>
                <w:sz w:val="18"/>
                <w:szCs w:val="18"/>
                <w:color w:val="auto"/>
                <w:w w:val="94"/>
              </w:rPr>
              <w:t>11,924</w:t>
            </w:r>
          </w:p>
        </w:tc>
        <w:tc>
          <w:tcPr>
            <w:tcW w:w="400" w:type="dxa"/>
            <w:vAlign w:val="bottom"/>
          </w:tcPr>
          <w:p>
            <w:pPr>
              <w:spacing w:after="0"/>
              <w:rPr>
                <w:sz w:val="17"/>
                <w:szCs w:val="17"/>
                <w:color w:val="auto"/>
              </w:rPr>
            </w:pPr>
          </w:p>
        </w:tc>
        <w:tc>
          <w:tcPr>
            <w:tcW w:w="940" w:type="dxa"/>
            <w:vAlign w:val="bottom"/>
          </w:tcPr>
          <w:p>
            <w:pPr>
              <w:jc w:val="right"/>
              <w:ind w:right="134"/>
              <w:spacing w:after="0" w:line="202" w:lineRule="exact"/>
              <w:rPr>
                <w:sz w:val="20"/>
                <w:szCs w:val="20"/>
                <w:color w:val="auto"/>
              </w:rPr>
            </w:pPr>
            <w:r>
              <w:rPr>
                <w:rFonts w:ascii="Arial" w:cs="Arial" w:eastAsia="Arial" w:hAnsi="Arial"/>
                <w:sz w:val="18"/>
                <w:szCs w:val="18"/>
                <w:color w:val="auto"/>
              </w:rPr>
              <w:t>2,384</w:t>
            </w:r>
          </w:p>
        </w:tc>
        <w:tc>
          <w:tcPr>
            <w:tcW w:w="340" w:type="dxa"/>
            <w:vAlign w:val="bottom"/>
          </w:tcPr>
          <w:p>
            <w:pPr>
              <w:spacing w:after="0"/>
              <w:rPr>
                <w:sz w:val="17"/>
                <w:szCs w:val="17"/>
                <w:color w:val="auto"/>
              </w:rPr>
            </w:pPr>
          </w:p>
        </w:tc>
        <w:tc>
          <w:tcPr>
            <w:tcW w:w="760" w:type="dxa"/>
            <w:vAlign w:val="bottom"/>
            <w:gridSpan w:val="2"/>
          </w:tcPr>
          <w:p>
            <w:pPr>
              <w:jc w:val="right"/>
              <w:ind w:right="220"/>
              <w:spacing w:after="0" w:line="202" w:lineRule="exact"/>
              <w:rPr>
                <w:sz w:val="20"/>
                <w:szCs w:val="20"/>
                <w:color w:val="auto"/>
              </w:rPr>
            </w:pPr>
            <w:r>
              <w:rPr>
                <w:rFonts w:ascii="Arial" w:cs="Arial" w:eastAsia="Arial" w:hAnsi="Arial"/>
                <w:sz w:val="18"/>
                <w:szCs w:val="18"/>
                <w:color w:val="auto"/>
                <w:w w:val="94"/>
              </w:rPr>
              <w:t>14,308</w:t>
            </w:r>
          </w:p>
        </w:tc>
        <w:tc>
          <w:tcPr>
            <w:tcW w:w="120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9"/>
        </w:trPr>
        <w:tc>
          <w:tcPr>
            <w:tcW w:w="5420" w:type="dxa"/>
            <w:vAlign w:val="bottom"/>
            <w:tcBorders>
              <w:bottom w:val="single" w:sz="8" w:color="auto"/>
            </w:tcBorders>
          </w:tcPr>
          <w:p>
            <w:pPr>
              <w:ind w:left="220"/>
              <w:spacing w:after="0" w:line="200" w:lineRule="exact"/>
              <w:rPr>
                <w:sz w:val="20"/>
                <w:szCs w:val="20"/>
                <w:color w:val="auto"/>
              </w:rPr>
            </w:pPr>
            <w:r>
              <w:rPr>
                <w:rFonts w:ascii="Arial" w:cs="Arial" w:eastAsia="Arial" w:hAnsi="Arial"/>
                <w:sz w:val="18"/>
                <w:szCs w:val="18"/>
                <w:color w:val="auto"/>
              </w:rPr>
              <w:t>Stock option adjustment</w:t>
            </w:r>
            <w:r>
              <w:rPr>
                <w:rFonts w:ascii="Arial" w:cs="Arial" w:eastAsia="Arial" w:hAnsi="Arial"/>
                <w:sz w:val="22"/>
                <w:szCs w:val="22"/>
                <w:color w:val="auto"/>
                <w:vertAlign w:val="superscript"/>
              </w:rPr>
              <w:t>(b)</w:t>
            </w:r>
          </w:p>
        </w:tc>
        <w:tc>
          <w:tcPr>
            <w:tcW w:w="660" w:type="dxa"/>
            <w:vAlign w:val="bottom"/>
            <w:tcBorders>
              <w:bottom w:val="single" w:sz="8" w:color="auto"/>
            </w:tcBorders>
          </w:tcPr>
          <w:p>
            <w:pPr>
              <w:spacing w:after="0"/>
              <w:rPr>
                <w:sz w:val="17"/>
                <w:szCs w:val="17"/>
                <w:color w:val="auto"/>
              </w:rPr>
            </w:pPr>
          </w:p>
        </w:tc>
        <w:tc>
          <w:tcPr>
            <w:tcW w:w="760" w:type="dxa"/>
            <w:vAlign w:val="bottom"/>
            <w:tcBorders>
              <w:bottom w:val="single" w:sz="8" w:color="auto"/>
            </w:tcBorders>
          </w:tcPr>
          <w:p>
            <w:pPr>
              <w:jc w:val="right"/>
              <w:ind w:right="134"/>
              <w:spacing w:after="0" w:line="200" w:lineRule="exact"/>
              <w:rPr>
                <w:sz w:val="20"/>
                <w:szCs w:val="20"/>
                <w:color w:val="auto"/>
              </w:rPr>
            </w:pPr>
            <w:r>
              <w:rPr>
                <w:rFonts w:ascii="Arial" w:cs="Arial" w:eastAsia="Arial" w:hAnsi="Arial"/>
                <w:sz w:val="18"/>
                <w:szCs w:val="18"/>
                <w:color w:val="auto"/>
              </w:rPr>
              <w:t>116</w:t>
            </w:r>
          </w:p>
        </w:tc>
        <w:tc>
          <w:tcPr>
            <w:tcW w:w="400" w:type="dxa"/>
            <w:vAlign w:val="bottom"/>
            <w:tcBorders>
              <w:bottom w:val="single" w:sz="8" w:color="auto"/>
            </w:tcBorders>
          </w:tcPr>
          <w:p>
            <w:pPr>
              <w:spacing w:after="0"/>
              <w:rPr>
                <w:sz w:val="17"/>
                <w:szCs w:val="17"/>
                <w:color w:val="auto"/>
              </w:rPr>
            </w:pPr>
          </w:p>
        </w:tc>
        <w:tc>
          <w:tcPr>
            <w:tcW w:w="940" w:type="dxa"/>
            <w:vAlign w:val="bottom"/>
            <w:tcBorders>
              <w:bottom w:val="single" w:sz="8" w:color="auto"/>
            </w:tcBorders>
          </w:tcPr>
          <w:p>
            <w:pPr>
              <w:jc w:val="right"/>
              <w:ind w:right="234"/>
              <w:spacing w:after="0" w:line="200" w:lineRule="exact"/>
              <w:rPr>
                <w:sz w:val="20"/>
                <w:szCs w:val="20"/>
                <w:color w:val="auto"/>
              </w:rPr>
            </w:pPr>
            <w:r>
              <w:rPr>
                <w:rFonts w:ascii="Arial" w:cs="Arial" w:eastAsia="Arial" w:hAnsi="Arial"/>
                <w:sz w:val="18"/>
                <w:szCs w:val="18"/>
                <w:color w:val="auto"/>
              </w:rPr>
              <w:t>—</w:t>
            </w:r>
          </w:p>
        </w:tc>
        <w:tc>
          <w:tcPr>
            <w:tcW w:w="340" w:type="dxa"/>
            <w:vAlign w:val="bottom"/>
            <w:tcBorders>
              <w:bottom w:val="single" w:sz="8" w:color="auto"/>
            </w:tcBorders>
          </w:tcPr>
          <w:p>
            <w:pPr>
              <w:spacing w:after="0"/>
              <w:rPr>
                <w:sz w:val="17"/>
                <w:szCs w:val="17"/>
                <w:color w:val="auto"/>
              </w:rPr>
            </w:pPr>
          </w:p>
        </w:tc>
        <w:tc>
          <w:tcPr>
            <w:tcW w:w="540" w:type="dxa"/>
            <w:vAlign w:val="bottom"/>
            <w:tcBorders>
              <w:bottom w:val="single" w:sz="8" w:color="auto"/>
            </w:tcBorders>
          </w:tcPr>
          <w:p>
            <w:pPr>
              <w:jc w:val="right"/>
              <w:spacing w:after="0" w:line="200" w:lineRule="exact"/>
              <w:rPr>
                <w:sz w:val="20"/>
                <w:szCs w:val="20"/>
                <w:color w:val="auto"/>
              </w:rPr>
            </w:pPr>
            <w:r>
              <w:rPr>
                <w:rFonts w:ascii="Arial" w:cs="Arial" w:eastAsia="Arial" w:hAnsi="Arial"/>
                <w:sz w:val="18"/>
                <w:szCs w:val="18"/>
                <w:color w:val="auto"/>
              </w:rPr>
              <w:t>116</w:t>
            </w:r>
          </w:p>
        </w:tc>
        <w:tc>
          <w:tcPr>
            <w:tcW w:w="220" w:type="dxa"/>
            <w:vAlign w:val="bottom"/>
          </w:tcPr>
          <w:p>
            <w:pPr>
              <w:spacing w:after="0"/>
              <w:rPr>
                <w:sz w:val="17"/>
                <w:szCs w:val="17"/>
                <w:color w:val="auto"/>
              </w:rPr>
            </w:pPr>
          </w:p>
        </w:tc>
        <w:tc>
          <w:tcPr>
            <w:tcW w:w="120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9"/>
        </w:trPr>
        <w:tc>
          <w:tcPr>
            <w:tcW w:w="5420" w:type="dxa"/>
            <w:vAlign w:val="bottom"/>
          </w:tcPr>
          <w:p>
            <w:pPr>
              <w:spacing w:after="0" w:line="200" w:lineRule="exact"/>
              <w:rPr>
                <w:sz w:val="20"/>
                <w:szCs w:val="20"/>
                <w:color w:val="auto"/>
              </w:rPr>
            </w:pPr>
            <w:r>
              <w:rPr>
                <w:rFonts w:ascii="Arial" w:cs="Arial" w:eastAsia="Arial" w:hAnsi="Arial"/>
                <w:sz w:val="18"/>
                <w:szCs w:val="18"/>
                <w:color w:val="auto"/>
              </w:rPr>
              <w:t>Operating Cash Flow</w:t>
            </w:r>
          </w:p>
        </w:tc>
        <w:tc>
          <w:tcPr>
            <w:tcW w:w="660" w:type="dxa"/>
            <w:vAlign w:val="bottom"/>
          </w:tcPr>
          <w:p>
            <w:pPr>
              <w:jc w:val="right"/>
              <w:spacing w:after="0" w:line="200" w:lineRule="exact"/>
              <w:rPr>
                <w:sz w:val="20"/>
                <w:szCs w:val="20"/>
                <w:color w:val="auto"/>
              </w:rPr>
            </w:pPr>
            <w:r>
              <w:rPr>
                <w:rFonts w:ascii="Arial" w:cs="Arial" w:eastAsia="Arial" w:hAnsi="Arial"/>
                <w:sz w:val="18"/>
                <w:szCs w:val="18"/>
                <w:color w:val="auto"/>
              </w:rPr>
              <w:t>$</w:t>
            </w:r>
          </w:p>
        </w:tc>
        <w:tc>
          <w:tcPr>
            <w:tcW w:w="760" w:type="dxa"/>
            <w:vAlign w:val="bottom"/>
          </w:tcPr>
          <w:p>
            <w:pPr>
              <w:jc w:val="right"/>
              <w:ind w:right="134"/>
              <w:spacing w:after="0" w:line="200" w:lineRule="exact"/>
              <w:rPr>
                <w:sz w:val="20"/>
                <w:szCs w:val="20"/>
                <w:color w:val="auto"/>
              </w:rPr>
            </w:pPr>
            <w:r>
              <w:rPr>
                <w:rFonts w:ascii="Arial" w:cs="Arial" w:eastAsia="Arial" w:hAnsi="Arial"/>
                <w:sz w:val="18"/>
                <w:szCs w:val="18"/>
                <w:color w:val="auto"/>
              </w:rPr>
              <w:t>7,947</w:t>
            </w:r>
          </w:p>
        </w:tc>
        <w:tc>
          <w:tcPr>
            <w:tcW w:w="400" w:type="dxa"/>
            <w:vAlign w:val="bottom"/>
          </w:tcPr>
          <w:p>
            <w:pPr>
              <w:ind w:left="240"/>
              <w:spacing w:after="0" w:line="200" w:lineRule="exact"/>
              <w:rPr>
                <w:sz w:val="20"/>
                <w:szCs w:val="20"/>
                <w:color w:val="auto"/>
              </w:rPr>
            </w:pPr>
            <w:r>
              <w:rPr>
                <w:rFonts w:ascii="Arial" w:cs="Arial" w:eastAsia="Arial" w:hAnsi="Arial"/>
                <w:sz w:val="18"/>
                <w:szCs w:val="18"/>
                <w:color w:val="auto"/>
              </w:rPr>
              <w:t>$</w:t>
            </w:r>
          </w:p>
        </w:tc>
        <w:tc>
          <w:tcPr>
            <w:tcW w:w="940" w:type="dxa"/>
            <w:vAlign w:val="bottom"/>
          </w:tcPr>
          <w:p>
            <w:pPr>
              <w:jc w:val="right"/>
              <w:ind w:right="134"/>
              <w:spacing w:after="0" w:line="200" w:lineRule="exact"/>
              <w:rPr>
                <w:sz w:val="20"/>
                <w:szCs w:val="20"/>
                <w:color w:val="auto"/>
              </w:rPr>
            </w:pPr>
            <w:r>
              <w:rPr>
                <w:rFonts w:ascii="Arial" w:cs="Arial" w:eastAsia="Arial" w:hAnsi="Arial"/>
                <w:sz w:val="18"/>
                <w:szCs w:val="18"/>
                <w:color w:val="auto"/>
              </w:rPr>
              <w:t>1,185</w:t>
            </w:r>
          </w:p>
        </w:tc>
        <w:tc>
          <w:tcPr>
            <w:tcW w:w="340" w:type="dxa"/>
            <w:vAlign w:val="bottom"/>
          </w:tcPr>
          <w:p>
            <w:pPr>
              <w:ind w:left="220"/>
              <w:spacing w:after="0" w:line="200" w:lineRule="exact"/>
              <w:rPr>
                <w:sz w:val="20"/>
                <w:szCs w:val="20"/>
                <w:color w:val="auto"/>
              </w:rPr>
            </w:pPr>
            <w:r>
              <w:rPr>
                <w:rFonts w:ascii="Arial" w:cs="Arial" w:eastAsia="Arial" w:hAnsi="Arial"/>
                <w:sz w:val="18"/>
                <w:szCs w:val="18"/>
                <w:color w:val="auto"/>
                <w:w w:val="99"/>
              </w:rPr>
              <w:t>$</w:t>
            </w:r>
          </w:p>
        </w:tc>
        <w:tc>
          <w:tcPr>
            <w:tcW w:w="540" w:type="dxa"/>
            <w:vAlign w:val="bottom"/>
          </w:tcPr>
          <w:p>
            <w:pPr>
              <w:jc w:val="right"/>
              <w:spacing w:after="0" w:line="200" w:lineRule="exact"/>
              <w:rPr>
                <w:sz w:val="20"/>
                <w:szCs w:val="20"/>
                <w:color w:val="auto"/>
              </w:rPr>
            </w:pPr>
            <w:r>
              <w:rPr>
                <w:rFonts w:ascii="Arial" w:cs="Arial" w:eastAsia="Arial" w:hAnsi="Arial"/>
                <w:sz w:val="18"/>
                <w:szCs w:val="18"/>
                <w:color w:val="auto"/>
              </w:rPr>
              <w:t>9,132</w:t>
            </w:r>
          </w:p>
        </w:tc>
        <w:tc>
          <w:tcPr>
            <w:tcW w:w="220" w:type="dxa"/>
            <w:vAlign w:val="bottom"/>
          </w:tcPr>
          <w:p>
            <w:pPr>
              <w:spacing w:after="0"/>
              <w:rPr>
                <w:sz w:val="17"/>
                <w:szCs w:val="17"/>
                <w:color w:val="auto"/>
              </w:rPr>
            </w:pPr>
          </w:p>
        </w:tc>
        <w:tc>
          <w:tcPr>
            <w:tcW w:w="120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9"/>
        </w:trPr>
        <w:tc>
          <w:tcPr>
            <w:tcW w:w="5420" w:type="dxa"/>
            <w:vAlign w:val="bottom"/>
            <w:tcBorders>
              <w:bottom w:val="single" w:sz="8" w:color="auto"/>
            </w:tcBorders>
          </w:tcPr>
          <w:p>
            <w:pPr>
              <w:spacing w:after="0" w:line="200" w:lineRule="exact"/>
              <w:rPr>
                <w:sz w:val="20"/>
                <w:szCs w:val="20"/>
                <w:color w:val="auto"/>
              </w:rPr>
            </w:pPr>
            <w:r>
              <w:rPr>
                <w:rFonts w:ascii="Arial" w:cs="Arial" w:eastAsia="Arial" w:hAnsi="Arial"/>
                <w:sz w:val="18"/>
                <w:szCs w:val="18"/>
                <w:color w:val="auto"/>
              </w:rPr>
              <w:t>Depreciation and Amortization</w:t>
            </w:r>
          </w:p>
        </w:tc>
        <w:tc>
          <w:tcPr>
            <w:tcW w:w="660" w:type="dxa"/>
            <w:vAlign w:val="bottom"/>
            <w:tcBorders>
              <w:bottom w:val="single" w:sz="8" w:color="auto"/>
            </w:tcBorders>
          </w:tcPr>
          <w:p>
            <w:pPr>
              <w:spacing w:after="0"/>
              <w:rPr>
                <w:sz w:val="17"/>
                <w:szCs w:val="17"/>
                <w:color w:val="auto"/>
              </w:rPr>
            </w:pPr>
          </w:p>
        </w:tc>
        <w:tc>
          <w:tcPr>
            <w:tcW w:w="760" w:type="dxa"/>
            <w:vAlign w:val="bottom"/>
            <w:tcBorders>
              <w:bottom w:val="single" w:sz="8" w:color="auto"/>
            </w:tcBorders>
          </w:tcPr>
          <w:p>
            <w:pPr>
              <w:jc w:val="right"/>
              <w:ind w:right="134"/>
              <w:spacing w:after="0" w:line="200" w:lineRule="exact"/>
              <w:rPr>
                <w:sz w:val="20"/>
                <w:szCs w:val="20"/>
                <w:color w:val="auto"/>
              </w:rPr>
            </w:pPr>
            <w:r>
              <w:rPr>
                <w:rFonts w:ascii="Arial" w:cs="Arial" w:eastAsia="Arial" w:hAnsi="Arial"/>
                <w:sz w:val="18"/>
                <w:szCs w:val="18"/>
                <w:color w:val="auto"/>
              </w:rPr>
              <w:t>4,346</w:t>
            </w:r>
          </w:p>
        </w:tc>
        <w:tc>
          <w:tcPr>
            <w:tcW w:w="400" w:type="dxa"/>
            <w:vAlign w:val="bottom"/>
            <w:tcBorders>
              <w:bottom w:val="single" w:sz="8" w:color="auto"/>
            </w:tcBorders>
          </w:tcPr>
          <w:p>
            <w:pPr>
              <w:spacing w:after="0"/>
              <w:rPr>
                <w:sz w:val="17"/>
                <w:szCs w:val="17"/>
                <w:color w:val="auto"/>
              </w:rPr>
            </w:pPr>
          </w:p>
        </w:tc>
        <w:tc>
          <w:tcPr>
            <w:tcW w:w="940" w:type="dxa"/>
            <w:vAlign w:val="bottom"/>
            <w:tcBorders>
              <w:bottom w:val="single" w:sz="8" w:color="auto"/>
            </w:tcBorders>
          </w:tcPr>
          <w:p>
            <w:pPr>
              <w:jc w:val="right"/>
              <w:ind w:right="134"/>
              <w:spacing w:after="0" w:line="200" w:lineRule="exact"/>
              <w:rPr>
                <w:sz w:val="20"/>
                <w:szCs w:val="20"/>
                <w:color w:val="auto"/>
              </w:rPr>
            </w:pPr>
            <w:r>
              <w:rPr>
                <w:rFonts w:ascii="Arial" w:cs="Arial" w:eastAsia="Arial" w:hAnsi="Arial"/>
                <w:sz w:val="18"/>
                <w:szCs w:val="18"/>
                <w:color w:val="auto"/>
              </w:rPr>
              <w:t>1,134</w:t>
            </w:r>
          </w:p>
        </w:tc>
        <w:tc>
          <w:tcPr>
            <w:tcW w:w="340" w:type="dxa"/>
            <w:vAlign w:val="bottom"/>
            <w:tcBorders>
              <w:bottom w:val="single" w:sz="8" w:color="auto"/>
            </w:tcBorders>
          </w:tcPr>
          <w:p>
            <w:pPr>
              <w:spacing w:after="0"/>
              <w:rPr>
                <w:sz w:val="17"/>
                <w:szCs w:val="17"/>
                <w:color w:val="auto"/>
              </w:rPr>
            </w:pPr>
          </w:p>
        </w:tc>
        <w:tc>
          <w:tcPr>
            <w:tcW w:w="540" w:type="dxa"/>
            <w:vAlign w:val="bottom"/>
            <w:tcBorders>
              <w:bottom w:val="single" w:sz="8" w:color="auto"/>
            </w:tcBorders>
          </w:tcPr>
          <w:p>
            <w:pPr>
              <w:jc w:val="right"/>
              <w:spacing w:after="0" w:line="200" w:lineRule="exact"/>
              <w:rPr>
                <w:sz w:val="20"/>
                <w:szCs w:val="20"/>
                <w:color w:val="auto"/>
              </w:rPr>
            </w:pPr>
            <w:r>
              <w:rPr>
                <w:rFonts w:ascii="Arial" w:cs="Arial" w:eastAsia="Arial" w:hAnsi="Arial"/>
                <w:sz w:val="18"/>
                <w:szCs w:val="18"/>
                <w:color w:val="auto"/>
              </w:rPr>
              <w:t>5,480</w:t>
            </w:r>
          </w:p>
        </w:tc>
        <w:tc>
          <w:tcPr>
            <w:tcW w:w="220" w:type="dxa"/>
            <w:vAlign w:val="bottom"/>
          </w:tcPr>
          <w:p>
            <w:pPr>
              <w:spacing w:after="0"/>
              <w:rPr>
                <w:sz w:val="17"/>
                <w:szCs w:val="17"/>
                <w:color w:val="auto"/>
              </w:rPr>
            </w:pPr>
          </w:p>
        </w:tc>
        <w:tc>
          <w:tcPr>
            <w:tcW w:w="120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5420" w:type="dxa"/>
            <w:vAlign w:val="bottom"/>
            <w:tcBorders>
              <w:bottom w:val="single" w:sz="8" w:color="auto"/>
            </w:tcBorders>
          </w:tcPr>
          <w:p>
            <w:pPr>
              <w:spacing w:after="0" w:line="196" w:lineRule="exact"/>
              <w:rPr>
                <w:sz w:val="20"/>
                <w:szCs w:val="20"/>
                <w:color w:val="auto"/>
              </w:rPr>
            </w:pPr>
            <w:r>
              <w:rPr>
                <w:rFonts w:ascii="Arial" w:cs="Arial" w:eastAsia="Arial" w:hAnsi="Arial"/>
                <w:sz w:val="18"/>
                <w:szCs w:val="18"/>
                <w:color w:val="auto"/>
              </w:rPr>
              <w:t>Operating Income</w:t>
            </w:r>
          </w:p>
        </w:tc>
        <w:tc>
          <w:tcPr>
            <w:tcW w:w="660" w:type="dxa"/>
            <w:vAlign w:val="bottom"/>
            <w:tcBorders>
              <w:bottom w:val="single" w:sz="8" w:color="auto"/>
            </w:tcBorders>
          </w:tcPr>
          <w:p>
            <w:pPr>
              <w:jc w:val="right"/>
              <w:spacing w:after="0" w:line="196" w:lineRule="exact"/>
              <w:rPr>
                <w:sz w:val="20"/>
                <w:szCs w:val="20"/>
                <w:color w:val="auto"/>
              </w:rPr>
            </w:pPr>
            <w:r>
              <w:rPr>
                <w:rFonts w:ascii="Arial" w:cs="Arial" w:eastAsia="Arial" w:hAnsi="Arial"/>
                <w:sz w:val="18"/>
                <w:szCs w:val="18"/>
                <w:color w:val="auto"/>
              </w:rPr>
              <w:t>$</w:t>
            </w:r>
          </w:p>
        </w:tc>
        <w:tc>
          <w:tcPr>
            <w:tcW w:w="760" w:type="dxa"/>
            <w:vAlign w:val="bottom"/>
            <w:tcBorders>
              <w:bottom w:val="single" w:sz="8" w:color="auto"/>
            </w:tcBorders>
          </w:tcPr>
          <w:p>
            <w:pPr>
              <w:jc w:val="right"/>
              <w:ind w:right="134"/>
              <w:spacing w:after="0" w:line="196" w:lineRule="exact"/>
              <w:rPr>
                <w:sz w:val="20"/>
                <w:szCs w:val="20"/>
                <w:color w:val="auto"/>
              </w:rPr>
            </w:pPr>
            <w:r>
              <w:rPr>
                <w:rFonts w:ascii="Arial" w:cs="Arial" w:eastAsia="Arial" w:hAnsi="Arial"/>
                <w:sz w:val="18"/>
                <w:szCs w:val="18"/>
                <w:color w:val="auto"/>
              </w:rPr>
              <w:t>3,601</w:t>
            </w:r>
          </w:p>
        </w:tc>
        <w:tc>
          <w:tcPr>
            <w:tcW w:w="400" w:type="dxa"/>
            <w:vAlign w:val="bottom"/>
            <w:tcBorders>
              <w:bottom w:val="single" w:sz="8" w:color="auto"/>
            </w:tcBorders>
          </w:tcPr>
          <w:p>
            <w:pPr>
              <w:ind w:left="240"/>
              <w:spacing w:after="0" w:line="196" w:lineRule="exact"/>
              <w:rPr>
                <w:sz w:val="20"/>
                <w:szCs w:val="20"/>
                <w:color w:val="auto"/>
              </w:rPr>
            </w:pPr>
            <w:r>
              <w:rPr>
                <w:rFonts w:ascii="Arial" w:cs="Arial" w:eastAsia="Arial" w:hAnsi="Arial"/>
                <w:sz w:val="18"/>
                <w:szCs w:val="18"/>
                <w:color w:val="auto"/>
              </w:rPr>
              <w:t>$</w:t>
            </w:r>
          </w:p>
        </w:tc>
        <w:tc>
          <w:tcPr>
            <w:tcW w:w="940" w:type="dxa"/>
            <w:vAlign w:val="bottom"/>
            <w:tcBorders>
              <w:bottom w:val="single" w:sz="8" w:color="auto"/>
            </w:tcBorders>
          </w:tcPr>
          <w:p>
            <w:pPr>
              <w:jc w:val="right"/>
              <w:ind w:right="134"/>
              <w:spacing w:after="0" w:line="196" w:lineRule="exact"/>
              <w:rPr>
                <w:sz w:val="20"/>
                <w:szCs w:val="20"/>
                <w:color w:val="auto"/>
              </w:rPr>
            </w:pPr>
            <w:r>
              <w:rPr>
                <w:rFonts w:ascii="Arial" w:cs="Arial" w:eastAsia="Arial" w:hAnsi="Arial"/>
                <w:sz w:val="18"/>
                <w:szCs w:val="18"/>
                <w:color w:val="auto"/>
              </w:rPr>
              <w:t>51</w:t>
            </w:r>
          </w:p>
        </w:tc>
        <w:tc>
          <w:tcPr>
            <w:tcW w:w="340" w:type="dxa"/>
            <w:vAlign w:val="bottom"/>
            <w:tcBorders>
              <w:bottom w:val="single" w:sz="8" w:color="auto"/>
            </w:tcBorders>
          </w:tcPr>
          <w:p>
            <w:pPr>
              <w:ind w:left="220"/>
              <w:spacing w:after="0" w:line="196" w:lineRule="exact"/>
              <w:rPr>
                <w:sz w:val="20"/>
                <w:szCs w:val="20"/>
                <w:color w:val="auto"/>
              </w:rPr>
            </w:pPr>
            <w:r>
              <w:rPr>
                <w:rFonts w:ascii="Arial" w:cs="Arial" w:eastAsia="Arial" w:hAnsi="Arial"/>
                <w:sz w:val="18"/>
                <w:szCs w:val="18"/>
                <w:color w:val="auto"/>
                <w:w w:val="99"/>
              </w:rPr>
              <w:t>$</w:t>
            </w:r>
          </w:p>
        </w:tc>
        <w:tc>
          <w:tcPr>
            <w:tcW w:w="540" w:type="dxa"/>
            <w:vAlign w:val="bottom"/>
            <w:tcBorders>
              <w:bottom w:val="single" w:sz="8" w:color="auto"/>
            </w:tcBorders>
          </w:tcPr>
          <w:p>
            <w:pPr>
              <w:jc w:val="right"/>
              <w:spacing w:after="0" w:line="196" w:lineRule="exact"/>
              <w:rPr>
                <w:sz w:val="20"/>
                <w:szCs w:val="20"/>
                <w:color w:val="auto"/>
              </w:rPr>
            </w:pPr>
            <w:r>
              <w:rPr>
                <w:rFonts w:ascii="Arial" w:cs="Arial" w:eastAsia="Arial" w:hAnsi="Arial"/>
                <w:sz w:val="18"/>
                <w:szCs w:val="18"/>
                <w:color w:val="auto"/>
              </w:rPr>
              <w:t>3,652</w:t>
            </w:r>
          </w:p>
        </w:tc>
        <w:tc>
          <w:tcPr>
            <w:tcW w:w="220" w:type="dxa"/>
            <w:vAlign w:val="bottom"/>
          </w:tcPr>
          <w:p>
            <w:pPr>
              <w:spacing w:after="0"/>
              <w:rPr>
                <w:sz w:val="17"/>
                <w:szCs w:val="17"/>
                <w:color w:val="auto"/>
              </w:rPr>
            </w:pPr>
          </w:p>
        </w:tc>
        <w:tc>
          <w:tcPr>
            <w:tcW w:w="120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0" w:type="dxa"/>
            <w:vAlign w:val="bottom"/>
          </w:tcPr>
          <w:p>
            <w:pPr>
              <w:spacing w:after="0"/>
              <w:rPr>
                <w:sz w:val="1"/>
                <w:szCs w:val="1"/>
                <w:color w:val="auto"/>
              </w:rPr>
            </w:pPr>
          </w:p>
        </w:tc>
      </w:tr>
    </w:tbl>
    <w:p>
      <w:pPr>
        <w:spacing w:after="0" w:line="53" w:lineRule="exact"/>
        <w:rPr>
          <w:sz w:val="20"/>
          <w:szCs w:val="20"/>
          <w:color w:val="auto"/>
        </w:rPr>
      </w:pPr>
    </w:p>
    <w:p>
      <w:pPr>
        <w:jc w:val="both"/>
        <w:ind w:firstLine="8"/>
        <w:spacing w:after="0" w:line="228" w:lineRule="auto"/>
        <w:tabs>
          <w:tab w:leader="none" w:pos="212" w:val="left"/>
        </w:tabs>
        <w:numPr>
          <w:ilvl w:val="0"/>
          <w:numId w:val="98"/>
        </w:numPr>
        <w:rPr>
          <w:rFonts w:ascii="Arial" w:cs="Arial" w:eastAsia="Arial" w:hAnsi="Arial"/>
          <w:sz w:val="14"/>
          <w:szCs w:val="14"/>
          <w:color w:val="auto"/>
        </w:rPr>
      </w:pPr>
      <w:r>
        <w:rPr>
          <w:rFonts w:ascii="Arial" w:cs="Arial" w:eastAsia="Arial" w:hAnsi="Arial"/>
          <w:sz w:val="14"/>
          <w:szCs w:val="14"/>
          <w:color w:val="auto"/>
        </w:rPr>
        <w:t>Pro forma results adjust only for certain acquisitions and dispositions, including Susquehanna Communications (April 2006), the Adelphia and Time Warner transactions (July 2006) and the dissolution of the Texas and Kansas City cable partnership (effective January 1, 2007). Cable segment results are presented as if the transactions noted above were effective on January 1, 2005.</w:t>
      </w:r>
    </w:p>
    <w:p>
      <w:pPr>
        <w:spacing w:after="0" w:line="40" w:lineRule="exact"/>
        <w:rPr>
          <w:rFonts w:ascii="Arial" w:cs="Arial" w:eastAsia="Arial" w:hAnsi="Arial"/>
          <w:sz w:val="14"/>
          <w:szCs w:val="14"/>
          <w:color w:val="auto"/>
        </w:rPr>
      </w:pPr>
    </w:p>
    <w:p>
      <w:pPr>
        <w:ind w:left="220" w:hanging="212"/>
        <w:spacing w:after="0"/>
        <w:tabs>
          <w:tab w:leader="none" w:pos="220" w:val="left"/>
        </w:tabs>
        <w:numPr>
          <w:ilvl w:val="0"/>
          <w:numId w:val="98"/>
        </w:numPr>
        <w:rPr>
          <w:rFonts w:ascii="Arial" w:cs="Arial" w:eastAsia="Arial" w:hAnsi="Arial"/>
          <w:sz w:val="14"/>
          <w:szCs w:val="14"/>
          <w:color w:val="auto"/>
        </w:rPr>
      </w:pPr>
      <w:r>
        <w:rPr>
          <w:rFonts w:ascii="Arial" w:cs="Arial" w:eastAsia="Arial" w:hAnsi="Arial"/>
          <w:sz w:val="14"/>
          <w:szCs w:val="14"/>
          <w:color w:val="auto"/>
        </w:rPr>
        <w:t>To be consistent with our management reporting, the 2005 Cable segment amounts have been adjusted as if stock options had been expensed as of January 1, 2005.</w:t>
      </w:r>
    </w:p>
    <w:p>
      <w:pPr>
        <w:spacing w:after="0" w:line="120" w:lineRule="exact"/>
        <w:rPr>
          <w:sz w:val="20"/>
          <w:szCs w:val="20"/>
          <w:color w:val="auto"/>
        </w:rPr>
      </w:pPr>
    </w:p>
    <w:tbl>
      <w:tblPr>
        <w:tblLayout w:type="fixed"/>
        <w:tblInd w:w="0" w:type="dxa"/>
        <w:tblCellMar>
          <w:top w:w="0" w:type="dxa"/>
          <w:left w:w="0" w:type="dxa"/>
          <w:bottom w:w="0" w:type="dxa"/>
          <w:right w:w="0" w:type="dxa"/>
        </w:tblCellMar>
      </w:tblPr>
      <w:tr>
        <w:trPr>
          <w:trHeight w:val="178"/>
        </w:trPr>
        <w:tc>
          <w:tcPr>
            <w:tcW w:w="3740" w:type="dxa"/>
            <w:vAlign w:val="bottom"/>
          </w:tcPr>
          <w:p>
            <w:pPr>
              <w:spacing w:after="0"/>
              <w:rPr>
                <w:sz w:val="20"/>
                <w:szCs w:val="20"/>
                <w:color w:val="auto"/>
              </w:rPr>
            </w:pPr>
            <w:r>
              <w:rPr>
                <w:rFonts w:ascii="Arial" w:cs="Arial" w:eastAsia="Arial" w:hAnsi="Arial"/>
                <w:sz w:val="14"/>
                <w:szCs w:val="14"/>
                <w:color w:val="auto"/>
              </w:rPr>
              <w:t>Comcast 2006 Annual Report</w:t>
            </w:r>
          </w:p>
        </w:tc>
        <w:tc>
          <w:tcPr>
            <w:tcW w:w="2100" w:type="dxa"/>
            <w:vAlign w:val="bottom"/>
          </w:tcPr>
          <w:p>
            <w:pPr>
              <w:jc w:val="right"/>
              <w:spacing w:after="0"/>
              <w:rPr>
                <w:sz w:val="20"/>
                <w:szCs w:val="20"/>
                <w:color w:val="auto"/>
              </w:rPr>
            </w:pPr>
            <w:r>
              <w:rPr>
                <w:rFonts w:ascii="Arial" w:cs="Arial" w:eastAsia="Arial" w:hAnsi="Arial"/>
                <w:sz w:val="14"/>
                <w:szCs w:val="14"/>
                <w:b w:val="1"/>
                <w:bCs w:val="1"/>
                <w:color w:val="auto"/>
              </w:rPr>
              <w:t>76</w:t>
            </w:r>
          </w:p>
        </w:tc>
      </w:tr>
    </w:tbl>
    <w:p>
      <w:pPr>
        <w:sectPr>
          <w:pgSz w:w="11900" w:h="16838" w:orient="portrait"/>
          <w:cols w:equalWidth="0" w:num="1">
            <w:col w:w="11420"/>
          </w:cols>
          <w:pgMar w:left="240" w:top="459" w:right="239" w:bottom="1440" w:gutter="0" w:footer="0" w:header="0"/>
        </w:sectPr>
      </w:pPr>
    </w:p>
    <w:bookmarkStart w:id="153" w:name="page154"/>
    <w:bookmarkEnd w:id="153"/>
    <w:p>
      <w:pPr>
        <w:spacing w:after="0"/>
        <w:rPr>
          <w:rFonts w:ascii="Arial" w:cs="Arial" w:eastAsia="Arial" w:hAnsi="Arial"/>
          <w:sz w:val="18"/>
          <w:szCs w:val="18"/>
          <w:b w:val="1"/>
          <w:bCs w:val="1"/>
          <w:u w:val="single" w:color="auto"/>
          <w:color w:val="0000EE"/>
        </w:rPr>
      </w:pPr>
      <w:hyperlink w:anchor="page3">
        <w:r>
          <w:rPr>
            <w:rFonts w:ascii="Arial" w:cs="Arial" w:eastAsia="Arial" w:hAnsi="Arial"/>
            <w:sz w:val="18"/>
            <w:szCs w:val="18"/>
            <w:b w:val="1"/>
            <w:bCs w:val="1"/>
            <w:u w:val="single" w:color="auto"/>
            <w:color w:val="0000EE"/>
          </w:rPr>
          <w:t>Table of Contents</w:t>
        </w:r>
      </w:hyperlink>
    </w:p>
    <w:p>
      <w:pPr>
        <w:spacing w:after="0" w:line="320" w:lineRule="exact"/>
        <w:rPr>
          <w:sz w:val="20"/>
          <w:szCs w:val="20"/>
          <w:color w:val="auto"/>
        </w:rPr>
      </w:pPr>
    </w:p>
    <w:p>
      <w:pPr>
        <w:spacing w:after="0"/>
        <w:rPr>
          <w:sz w:val="20"/>
          <w:szCs w:val="20"/>
          <w:color w:val="auto"/>
        </w:rPr>
      </w:pPr>
      <w:r>
        <w:rPr>
          <w:rFonts w:ascii="Arial" w:cs="Arial" w:eastAsia="Arial" w:hAnsi="Arial"/>
          <w:sz w:val="24"/>
          <w:szCs w:val="24"/>
          <w:color w:val="auto"/>
        </w:rPr>
        <w:t>Market for the Registrant’s Common Equity</w:t>
      </w:r>
    </w:p>
    <w:p>
      <w:pPr>
        <w:spacing w:after="0" w:line="163" w:lineRule="exact"/>
        <w:rPr>
          <w:sz w:val="20"/>
          <w:szCs w:val="20"/>
          <w:color w:val="auto"/>
        </w:rPr>
      </w:pPr>
    </w:p>
    <w:p>
      <w:pPr>
        <w:jc w:val="both"/>
        <w:spacing w:after="0" w:line="235" w:lineRule="auto"/>
        <w:rPr>
          <w:sz w:val="20"/>
          <w:szCs w:val="20"/>
          <w:color w:val="auto"/>
        </w:rPr>
      </w:pPr>
      <w:r>
        <w:rPr>
          <w:rFonts w:ascii="Arial" w:cs="Arial" w:eastAsia="Arial" w:hAnsi="Arial"/>
          <w:sz w:val="18"/>
          <w:szCs w:val="18"/>
          <w:color w:val="auto"/>
        </w:rPr>
        <w:t>Our Class A common stock is listed on the Nasdaq Global Select Market under the symbol CMCSA and our Class A Special common stock is listed on the Nasdaq Global Select Market under the symbol CMCSK. There is no established public trading market for our Class B common stock. Our Class B common stock can be converted, on a share for share basis, into Class A or Class A Special common stock. The following table sets forth, for the indicated periods, the high and low sales prices of our Class A and Class A Special common stock (adjusted to reflect the Stock Split).</w:t>
      </w:r>
    </w:p>
    <w:p>
      <w:pPr>
        <w:spacing w:after="0" w:line="186"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1700" w:type="dxa"/>
            <w:vAlign w:val="bottom"/>
          </w:tcPr>
          <w:p>
            <w:pPr>
              <w:spacing w:after="0"/>
              <w:rPr>
                <w:sz w:val="14"/>
                <w:szCs w:val="14"/>
                <w:color w:val="auto"/>
              </w:rPr>
            </w:pPr>
          </w:p>
        </w:tc>
        <w:tc>
          <w:tcPr>
            <w:tcW w:w="2080" w:type="dxa"/>
            <w:vAlign w:val="bottom"/>
            <w:gridSpan w:val="2"/>
          </w:tcPr>
          <w:p>
            <w:pPr>
              <w:jc w:val="right"/>
              <w:ind w:right="614"/>
              <w:spacing w:after="0"/>
              <w:rPr>
                <w:sz w:val="20"/>
                <w:szCs w:val="20"/>
                <w:color w:val="auto"/>
              </w:rPr>
            </w:pPr>
            <w:r>
              <w:rPr>
                <w:rFonts w:ascii="Arial" w:cs="Arial" w:eastAsia="Arial" w:hAnsi="Arial"/>
                <w:sz w:val="14"/>
                <w:szCs w:val="14"/>
                <w:color w:val="auto"/>
              </w:rPr>
              <w:t>Class A</w:t>
            </w:r>
          </w:p>
        </w:tc>
        <w:tc>
          <w:tcPr>
            <w:tcW w:w="1720" w:type="dxa"/>
            <w:vAlign w:val="bottom"/>
            <w:gridSpan w:val="3"/>
          </w:tcPr>
          <w:p>
            <w:pPr>
              <w:jc w:val="right"/>
              <w:ind w:right="300"/>
              <w:spacing w:after="0"/>
              <w:rPr>
                <w:sz w:val="20"/>
                <w:szCs w:val="20"/>
                <w:color w:val="auto"/>
              </w:rPr>
            </w:pPr>
            <w:r>
              <w:rPr>
                <w:rFonts w:ascii="Arial" w:cs="Arial" w:eastAsia="Arial" w:hAnsi="Arial"/>
                <w:sz w:val="14"/>
                <w:szCs w:val="14"/>
                <w:color w:val="auto"/>
              </w:rPr>
              <w:t>Class A Special</w:t>
            </w:r>
          </w:p>
        </w:tc>
        <w:tc>
          <w:tcPr>
            <w:tcW w:w="0" w:type="dxa"/>
            <w:vAlign w:val="bottom"/>
          </w:tcPr>
          <w:p>
            <w:pPr>
              <w:spacing w:after="0"/>
              <w:rPr>
                <w:sz w:val="1"/>
                <w:szCs w:val="1"/>
                <w:color w:val="auto"/>
              </w:rPr>
            </w:pPr>
          </w:p>
        </w:tc>
      </w:tr>
      <w:tr>
        <w:trPr>
          <w:trHeight w:val="142"/>
        </w:trPr>
        <w:tc>
          <w:tcPr>
            <w:tcW w:w="1700" w:type="dxa"/>
            <w:vAlign w:val="bottom"/>
            <w:vMerge w:val="restart"/>
          </w:tcPr>
          <w:p>
            <w:pPr>
              <w:ind w:left="20"/>
              <w:spacing w:after="0"/>
              <w:rPr>
                <w:sz w:val="20"/>
                <w:szCs w:val="20"/>
                <w:color w:val="auto"/>
              </w:rPr>
            </w:pPr>
            <w:r>
              <w:rPr>
                <w:rFonts w:ascii="Arial" w:cs="Arial" w:eastAsia="Arial" w:hAnsi="Arial"/>
                <w:sz w:val="18"/>
                <w:szCs w:val="18"/>
                <w:b w:val="1"/>
                <w:bCs w:val="1"/>
                <w:color w:val="auto"/>
              </w:rPr>
              <w:t>2006</w:t>
            </w:r>
          </w:p>
        </w:tc>
        <w:tc>
          <w:tcPr>
            <w:tcW w:w="1140" w:type="dxa"/>
            <w:vAlign w:val="bottom"/>
            <w:tcBorders>
              <w:top w:val="single" w:sz="8" w:color="auto"/>
              <w:bottom w:val="single" w:sz="8" w:color="auto"/>
            </w:tcBorders>
          </w:tcPr>
          <w:p>
            <w:pPr>
              <w:jc w:val="right"/>
              <w:ind w:right="256"/>
              <w:spacing w:after="0" w:line="142" w:lineRule="exact"/>
              <w:rPr>
                <w:sz w:val="20"/>
                <w:szCs w:val="20"/>
                <w:color w:val="auto"/>
              </w:rPr>
            </w:pPr>
            <w:r>
              <w:rPr>
                <w:rFonts w:ascii="Arial" w:cs="Arial" w:eastAsia="Arial" w:hAnsi="Arial"/>
                <w:sz w:val="14"/>
                <w:szCs w:val="14"/>
                <w:color w:val="auto"/>
              </w:rPr>
              <w:t>High</w:t>
            </w:r>
          </w:p>
        </w:tc>
        <w:tc>
          <w:tcPr>
            <w:tcW w:w="940" w:type="dxa"/>
            <w:vAlign w:val="bottom"/>
            <w:tcBorders>
              <w:top w:val="single" w:sz="8" w:color="auto"/>
              <w:bottom w:val="single" w:sz="8" w:color="auto"/>
            </w:tcBorders>
          </w:tcPr>
          <w:p>
            <w:pPr>
              <w:jc w:val="right"/>
              <w:ind w:right="254"/>
              <w:spacing w:after="0" w:line="142" w:lineRule="exact"/>
              <w:rPr>
                <w:sz w:val="20"/>
                <w:szCs w:val="20"/>
                <w:color w:val="auto"/>
              </w:rPr>
            </w:pPr>
            <w:r>
              <w:rPr>
                <w:rFonts w:ascii="Arial" w:cs="Arial" w:eastAsia="Arial" w:hAnsi="Arial"/>
                <w:sz w:val="14"/>
                <w:szCs w:val="14"/>
                <w:color w:val="auto"/>
              </w:rPr>
              <w:t>Low</w:t>
            </w:r>
          </w:p>
        </w:tc>
        <w:tc>
          <w:tcPr>
            <w:tcW w:w="960" w:type="dxa"/>
            <w:vAlign w:val="bottom"/>
            <w:tcBorders>
              <w:top w:val="single" w:sz="8" w:color="auto"/>
              <w:bottom w:val="single" w:sz="8" w:color="auto"/>
            </w:tcBorders>
          </w:tcPr>
          <w:p>
            <w:pPr>
              <w:jc w:val="right"/>
              <w:ind w:right="256"/>
              <w:spacing w:after="0" w:line="142" w:lineRule="exact"/>
              <w:rPr>
                <w:sz w:val="20"/>
                <w:szCs w:val="20"/>
                <w:color w:val="auto"/>
              </w:rPr>
            </w:pPr>
            <w:r>
              <w:rPr>
                <w:rFonts w:ascii="Arial" w:cs="Arial" w:eastAsia="Arial" w:hAnsi="Arial"/>
                <w:sz w:val="14"/>
                <w:szCs w:val="14"/>
                <w:color w:val="auto"/>
              </w:rPr>
              <w:t>High</w:t>
            </w:r>
          </w:p>
        </w:tc>
        <w:tc>
          <w:tcPr>
            <w:tcW w:w="740" w:type="dxa"/>
            <w:vAlign w:val="bottom"/>
            <w:tcBorders>
              <w:top w:val="single" w:sz="8" w:color="auto"/>
              <w:bottom w:val="single" w:sz="8" w:color="auto"/>
            </w:tcBorders>
          </w:tcPr>
          <w:p>
            <w:pPr>
              <w:jc w:val="right"/>
              <w:ind w:right="74"/>
              <w:spacing w:after="0" w:line="142" w:lineRule="exact"/>
              <w:rPr>
                <w:sz w:val="20"/>
                <w:szCs w:val="20"/>
                <w:color w:val="auto"/>
              </w:rPr>
            </w:pPr>
            <w:r>
              <w:rPr>
                <w:rFonts w:ascii="Arial" w:cs="Arial" w:eastAsia="Arial" w:hAnsi="Arial"/>
                <w:sz w:val="14"/>
                <w:szCs w:val="14"/>
                <w:color w:val="auto"/>
              </w:rPr>
              <w:t>Low</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99"/>
        </w:trPr>
        <w:tc>
          <w:tcPr>
            <w:tcW w:w="1700" w:type="dxa"/>
            <w:vAlign w:val="bottom"/>
            <w:vMerge w:val="continue"/>
          </w:tcPr>
          <w:p>
            <w:pPr>
              <w:spacing w:after="0"/>
              <w:rPr>
                <w:sz w:val="17"/>
                <w:szCs w:val="17"/>
                <w:color w:val="auto"/>
              </w:rPr>
            </w:pPr>
          </w:p>
        </w:tc>
        <w:tc>
          <w:tcPr>
            <w:tcW w:w="1140" w:type="dxa"/>
            <w:vAlign w:val="bottom"/>
            <w:vMerge w:val="restart"/>
          </w:tcPr>
          <w:p>
            <w:pPr>
              <w:jc w:val="right"/>
              <w:ind w:right="116"/>
              <w:spacing w:after="0"/>
              <w:rPr>
                <w:sz w:val="20"/>
                <w:szCs w:val="20"/>
                <w:color w:val="auto"/>
              </w:rPr>
            </w:pPr>
            <w:r>
              <w:rPr>
                <w:rFonts w:ascii="Arial" w:cs="Arial" w:eastAsia="Arial" w:hAnsi="Arial"/>
                <w:sz w:val="18"/>
                <w:szCs w:val="18"/>
                <w:b w:val="1"/>
                <w:bCs w:val="1"/>
                <w:color w:val="auto"/>
              </w:rPr>
              <w:t>$18.97</w:t>
            </w:r>
          </w:p>
        </w:tc>
        <w:tc>
          <w:tcPr>
            <w:tcW w:w="940" w:type="dxa"/>
            <w:vAlign w:val="bottom"/>
            <w:vMerge w:val="restart"/>
          </w:tcPr>
          <w:p>
            <w:pPr>
              <w:jc w:val="right"/>
              <w:ind w:right="94"/>
              <w:spacing w:after="0"/>
              <w:rPr>
                <w:sz w:val="20"/>
                <w:szCs w:val="20"/>
                <w:color w:val="auto"/>
              </w:rPr>
            </w:pPr>
            <w:r>
              <w:rPr>
                <w:rFonts w:ascii="Arial" w:cs="Arial" w:eastAsia="Arial" w:hAnsi="Arial"/>
                <w:sz w:val="18"/>
                <w:szCs w:val="18"/>
                <w:b w:val="1"/>
                <w:bCs w:val="1"/>
                <w:color w:val="auto"/>
              </w:rPr>
              <w:t>$16.90</w:t>
            </w:r>
          </w:p>
        </w:tc>
        <w:tc>
          <w:tcPr>
            <w:tcW w:w="960" w:type="dxa"/>
            <w:vAlign w:val="bottom"/>
            <w:vMerge w:val="restart"/>
          </w:tcPr>
          <w:p>
            <w:pPr>
              <w:jc w:val="right"/>
              <w:ind w:right="116"/>
              <w:spacing w:after="0"/>
              <w:rPr>
                <w:sz w:val="20"/>
                <w:szCs w:val="20"/>
                <w:color w:val="auto"/>
              </w:rPr>
            </w:pPr>
            <w:r>
              <w:rPr>
                <w:rFonts w:ascii="Arial" w:cs="Arial" w:eastAsia="Arial" w:hAnsi="Arial"/>
                <w:sz w:val="18"/>
                <w:szCs w:val="18"/>
                <w:b w:val="1"/>
                <w:bCs w:val="1"/>
                <w:color w:val="auto"/>
              </w:rPr>
              <w:t>$18.87</w:t>
            </w:r>
          </w:p>
        </w:tc>
        <w:tc>
          <w:tcPr>
            <w:tcW w:w="760" w:type="dxa"/>
            <w:vAlign w:val="bottom"/>
            <w:gridSpan w:val="2"/>
            <w:vMerge w:val="restart"/>
          </w:tcPr>
          <w:p>
            <w:pPr>
              <w:jc w:val="right"/>
              <w:ind w:right="20"/>
              <w:spacing w:after="0"/>
              <w:rPr>
                <w:sz w:val="20"/>
                <w:szCs w:val="20"/>
                <w:color w:val="auto"/>
              </w:rPr>
            </w:pPr>
            <w:r>
              <w:rPr>
                <w:rFonts w:ascii="Arial" w:cs="Arial" w:eastAsia="Arial" w:hAnsi="Arial"/>
                <w:sz w:val="18"/>
                <w:szCs w:val="18"/>
                <w:b w:val="1"/>
                <w:bCs w:val="1"/>
                <w:color w:val="auto"/>
              </w:rPr>
              <w:t>$16.73</w:t>
            </w:r>
          </w:p>
        </w:tc>
        <w:tc>
          <w:tcPr>
            <w:tcW w:w="0" w:type="dxa"/>
            <w:vAlign w:val="bottom"/>
          </w:tcPr>
          <w:p>
            <w:pPr>
              <w:spacing w:after="0"/>
              <w:rPr>
                <w:sz w:val="1"/>
                <w:szCs w:val="1"/>
                <w:color w:val="auto"/>
              </w:rPr>
            </w:pPr>
          </w:p>
        </w:tc>
      </w:tr>
      <w:tr>
        <w:trPr>
          <w:trHeight w:val="181"/>
        </w:trPr>
        <w:tc>
          <w:tcPr>
            <w:tcW w:w="1700" w:type="dxa"/>
            <w:vAlign w:val="bottom"/>
          </w:tcPr>
          <w:p>
            <w:pPr>
              <w:ind w:left="20"/>
              <w:spacing w:after="0" w:line="181" w:lineRule="exact"/>
              <w:rPr>
                <w:sz w:val="20"/>
                <w:szCs w:val="20"/>
                <w:color w:val="auto"/>
              </w:rPr>
            </w:pPr>
            <w:r>
              <w:rPr>
                <w:rFonts w:ascii="Arial" w:cs="Arial" w:eastAsia="Arial" w:hAnsi="Arial"/>
                <w:sz w:val="18"/>
                <w:szCs w:val="18"/>
                <w:color w:val="auto"/>
              </w:rPr>
              <w:t>First Quarter</w:t>
            </w:r>
          </w:p>
        </w:tc>
        <w:tc>
          <w:tcPr>
            <w:tcW w:w="1140" w:type="dxa"/>
            <w:vAlign w:val="bottom"/>
            <w:vMerge w:val="continue"/>
          </w:tcPr>
          <w:p>
            <w:pPr>
              <w:spacing w:after="0"/>
              <w:rPr>
                <w:sz w:val="15"/>
                <w:szCs w:val="15"/>
                <w:color w:val="auto"/>
              </w:rPr>
            </w:pPr>
          </w:p>
        </w:tc>
        <w:tc>
          <w:tcPr>
            <w:tcW w:w="940" w:type="dxa"/>
            <w:vAlign w:val="bottom"/>
            <w:vMerge w:val="continue"/>
          </w:tcPr>
          <w:p>
            <w:pPr>
              <w:spacing w:after="0"/>
              <w:rPr>
                <w:sz w:val="15"/>
                <w:szCs w:val="15"/>
                <w:color w:val="auto"/>
              </w:rPr>
            </w:pPr>
          </w:p>
        </w:tc>
        <w:tc>
          <w:tcPr>
            <w:tcW w:w="960" w:type="dxa"/>
            <w:vAlign w:val="bottom"/>
            <w:vMerge w:val="continue"/>
          </w:tcPr>
          <w:p>
            <w:pPr>
              <w:spacing w:after="0"/>
              <w:rPr>
                <w:sz w:val="15"/>
                <w:szCs w:val="15"/>
                <w:color w:val="auto"/>
              </w:rPr>
            </w:pPr>
          </w:p>
        </w:tc>
        <w:tc>
          <w:tcPr>
            <w:tcW w:w="760" w:type="dxa"/>
            <w:vAlign w:val="bottom"/>
            <w:gridSpan w:val="2"/>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203"/>
        </w:trPr>
        <w:tc>
          <w:tcPr>
            <w:tcW w:w="1700" w:type="dxa"/>
            <w:vAlign w:val="bottom"/>
          </w:tcPr>
          <w:p>
            <w:pPr>
              <w:ind w:left="20"/>
              <w:spacing w:after="0" w:line="202" w:lineRule="exact"/>
              <w:rPr>
                <w:sz w:val="20"/>
                <w:szCs w:val="20"/>
                <w:color w:val="auto"/>
              </w:rPr>
            </w:pPr>
            <w:r>
              <w:rPr>
                <w:rFonts w:ascii="Arial" w:cs="Arial" w:eastAsia="Arial" w:hAnsi="Arial"/>
                <w:sz w:val="18"/>
                <w:szCs w:val="18"/>
                <w:color w:val="auto"/>
              </w:rPr>
              <w:t>Second Quarter</w:t>
            </w:r>
          </w:p>
        </w:tc>
        <w:tc>
          <w:tcPr>
            <w:tcW w:w="1140" w:type="dxa"/>
            <w:vAlign w:val="bottom"/>
          </w:tcPr>
          <w:p>
            <w:pPr>
              <w:jc w:val="right"/>
              <w:ind w:right="116"/>
              <w:spacing w:after="0" w:line="202" w:lineRule="exact"/>
              <w:rPr>
                <w:sz w:val="20"/>
                <w:szCs w:val="20"/>
                <w:color w:val="auto"/>
              </w:rPr>
            </w:pPr>
            <w:r>
              <w:rPr>
                <w:rFonts w:ascii="Arial" w:cs="Arial" w:eastAsia="Arial" w:hAnsi="Arial"/>
                <w:sz w:val="18"/>
                <w:szCs w:val="18"/>
                <w:b w:val="1"/>
                <w:bCs w:val="1"/>
                <w:color w:val="auto"/>
              </w:rPr>
              <w:t>22.37</w:t>
            </w:r>
          </w:p>
        </w:tc>
        <w:tc>
          <w:tcPr>
            <w:tcW w:w="940" w:type="dxa"/>
            <w:vAlign w:val="bottom"/>
          </w:tcPr>
          <w:p>
            <w:pPr>
              <w:jc w:val="right"/>
              <w:ind w:right="94"/>
              <w:spacing w:after="0" w:line="202" w:lineRule="exact"/>
              <w:rPr>
                <w:sz w:val="20"/>
                <w:szCs w:val="20"/>
                <w:color w:val="auto"/>
              </w:rPr>
            </w:pPr>
            <w:r>
              <w:rPr>
                <w:rFonts w:ascii="Arial" w:cs="Arial" w:eastAsia="Arial" w:hAnsi="Arial"/>
                <w:sz w:val="18"/>
                <w:szCs w:val="18"/>
                <w:b w:val="1"/>
                <w:bCs w:val="1"/>
                <w:color w:val="auto"/>
              </w:rPr>
              <w:t>17.45</w:t>
            </w:r>
          </w:p>
        </w:tc>
        <w:tc>
          <w:tcPr>
            <w:tcW w:w="960" w:type="dxa"/>
            <w:vAlign w:val="bottom"/>
          </w:tcPr>
          <w:p>
            <w:pPr>
              <w:jc w:val="right"/>
              <w:ind w:right="116"/>
              <w:spacing w:after="0" w:line="202" w:lineRule="exact"/>
              <w:rPr>
                <w:sz w:val="20"/>
                <w:szCs w:val="20"/>
                <w:color w:val="auto"/>
              </w:rPr>
            </w:pPr>
            <w:r>
              <w:rPr>
                <w:rFonts w:ascii="Arial" w:cs="Arial" w:eastAsia="Arial" w:hAnsi="Arial"/>
                <w:sz w:val="18"/>
                <w:szCs w:val="18"/>
                <w:b w:val="1"/>
                <w:bCs w:val="1"/>
                <w:color w:val="auto"/>
              </w:rPr>
              <w:t>22.27</w:t>
            </w:r>
          </w:p>
        </w:tc>
        <w:tc>
          <w:tcPr>
            <w:tcW w:w="760" w:type="dxa"/>
            <w:vAlign w:val="bottom"/>
            <w:gridSpan w:val="2"/>
          </w:tcPr>
          <w:p>
            <w:pPr>
              <w:jc w:val="right"/>
              <w:ind w:right="20"/>
              <w:spacing w:after="0" w:line="202" w:lineRule="exact"/>
              <w:rPr>
                <w:sz w:val="20"/>
                <w:szCs w:val="20"/>
                <w:color w:val="auto"/>
              </w:rPr>
            </w:pPr>
            <w:r>
              <w:rPr>
                <w:rFonts w:ascii="Arial" w:cs="Arial" w:eastAsia="Arial" w:hAnsi="Arial"/>
                <w:sz w:val="18"/>
                <w:szCs w:val="18"/>
                <w:b w:val="1"/>
                <w:bCs w:val="1"/>
                <w:color w:val="auto"/>
              </w:rPr>
              <w:t>17.33</w:t>
            </w:r>
          </w:p>
        </w:tc>
        <w:tc>
          <w:tcPr>
            <w:tcW w:w="0" w:type="dxa"/>
            <w:vAlign w:val="bottom"/>
          </w:tcPr>
          <w:p>
            <w:pPr>
              <w:spacing w:after="0"/>
              <w:rPr>
                <w:sz w:val="1"/>
                <w:szCs w:val="1"/>
                <w:color w:val="auto"/>
              </w:rPr>
            </w:pPr>
          </w:p>
        </w:tc>
      </w:tr>
      <w:tr>
        <w:trPr>
          <w:trHeight w:val="203"/>
        </w:trPr>
        <w:tc>
          <w:tcPr>
            <w:tcW w:w="1700" w:type="dxa"/>
            <w:vAlign w:val="bottom"/>
          </w:tcPr>
          <w:p>
            <w:pPr>
              <w:ind w:left="20"/>
              <w:spacing w:after="0" w:line="202" w:lineRule="exact"/>
              <w:rPr>
                <w:sz w:val="20"/>
                <w:szCs w:val="20"/>
                <w:color w:val="auto"/>
              </w:rPr>
            </w:pPr>
            <w:r>
              <w:rPr>
                <w:rFonts w:ascii="Arial" w:cs="Arial" w:eastAsia="Arial" w:hAnsi="Arial"/>
                <w:sz w:val="18"/>
                <w:szCs w:val="18"/>
                <w:color w:val="auto"/>
              </w:rPr>
              <w:t>Third Quarter</w:t>
            </w:r>
          </w:p>
        </w:tc>
        <w:tc>
          <w:tcPr>
            <w:tcW w:w="1140" w:type="dxa"/>
            <w:vAlign w:val="bottom"/>
          </w:tcPr>
          <w:p>
            <w:pPr>
              <w:jc w:val="right"/>
              <w:ind w:right="116"/>
              <w:spacing w:after="0" w:line="202" w:lineRule="exact"/>
              <w:rPr>
                <w:sz w:val="20"/>
                <w:szCs w:val="20"/>
                <w:color w:val="auto"/>
              </w:rPr>
            </w:pPr>
            <w:r>
              <w:rPr>
                <w:rFonts w:ascii="Arial" w:cs="Arial" w:eastAsia="Arial" w:hAnsi="Arial"/>
                <w:sz w:val="18"/>
                <w:szCs w:val="18"/>
                <w:b w:val="1"/>
                <w:bCs w:val="1"/>
                <w:color w:val="auto"/>
              </w:rPr>
              <w:t>24.77</w:t>
            </w:r>
          </w:p>
        </w:tc>
        <w:tc>
          <w:tcPr>
            <w:tcW w:w="940" w:type="dxa"/>
            <w:vAlign w:val="bottom"/>
          </w:tcPr>
          <w:p>
            <w:pPr>
              <w:jc w:val="right"/>
              <w:ind w:right="94"/>
              <w:spacing w:after="0" w:line="202" w:lineRule="exact"/>
              <w:rPr>
                <w:sz w:val="20"/>
                <w:szCs w:val="20"/>
                <w:color w:val="auto"/>
              </w:rPr>
            </w:pPr>
            <w:r>
              <w:rPr>
                <w:rFonts w:ascii="Arial" w:cs="Arial" w:eastAsia="Arial" w:hAnsi="Arial"/>
                <w:sz w:val="18"/>
                <w:szCs w:val="18"/>
                <w:b w:val="1"/>
                <w:bCs w:val="1"/>
                <w:color w:val="auto"/>
              </w:rPr>
              <w:t>20.67</w:t>
            </w:r>
          </w:p>
        </w:tc>
        <w:tc>
          <w:tcPr>
            <w:tcW w:w="960" w:type="dxa"/>
            <w:vAlign w:val="bottom"/>
          </w:tcPr>
          <w:p>
            <w:pPr>
              <w:jc w:val="right"/>
              <w:ind w:right="116"/>
              <w:spacing w:after="0" w:line="202" w:lineRule="exact"/>
              <w:rPr>
                <w:sz w:val="20"/>
                <w:szCs w:val="20"/>
                <w:color w:val="auto"/>
              </w:rPr>
            </w:pPr>
            <w:r>
              <w:rPr>
                <w:rFonts w:ascii="Arial" w:cs="Arial" w:eastAsia="Arial" w:hAnsi="Arial"/>
                <w:sz w:val="18"/>
                <w:szCs w:val="18"/>
                <w:b w:val="1"/>
                <w:bCs w:val="1"/>
                <w:color w:val="auto"/>
              </w:rPr>
              <w:t>24.74</w:t>
            </w:r>
          </w:p>
        </w:tc>
        <w:tc>
          <w:tcPr>
            <w:tcW w:w="760" w:type="dxa"/>
            <w:vAlign w:val="bottom"/>
            <w:gridSpan w:val="2"/>
          </w:tcPr>
          <w:p>
            <w:pPr>
              <w:jc w:val="right"/>
              <w:ind w:right="20"/>
              <w:spacing w:after="0" w:line="202" w:lineRule="exact"/>
              <w:rPr>
                <w:sz w:val="20"/>
                <w:szCs w:val="20"/>
                <w:color w:val="auto"/>
              </w:rPr>
            </w:pPr>
            <w:r>
              <w:rPr>
                <w:rFonts w:ascii="Arial" w:cs="Arial" w:eastAsia="Arial" w:hAnsi="Arial"/>
                <w:sz w:val="18"/>
                <w:szCs w:val="18"/>
                <w:b w:val="1"/>
                <w:bCs w:val="1"/>
                <w:color w:val="auto"/>
              </w:rPr>
              <w:t>20.64</w:t>
            </w:r>
          </w:p>
        </w:tc>
        <w:tc>
          <w:tcPr>
            <w:tcW w:w="0" w:type="dxa"/>
            <w:vAlign w:val="bottom"/>
          </w:tcPr>
          <w:p>
            <w:pPr>
              <w:spacing w:after="0"/>
              <w:rPr>
                <w:sz w:val="1"/>
                <w:szCs w:val="1"/>
                <w:color w:val="auto"/>
              </w:rPr>
            </w:pPr>
          </w:p>
        </w:tc>
      </w:tr>
      <w:tr>
        <w:trPr>
          <w:trHeight w:val="203"/>
        </w:trPr>
        <w:tc>
          <w:tcPr>
            <w:tcW w:w="1700" w:type="dxa"/>
            <w:vAlign w:val="bottom"/>
          </w:tcPr>
          <w:p>
            <w:pPr>
              <w:ind w:left="20"/>
              <w:spacing w:after="0" w:line="202" w:lineRule="exact"/>
              <w:rPr>
                <w:sz w:val="20"/>
                <w:szCs w:val="20"/>
                <w:color w:val="auto"/>
              </w:rPr>
            </w:pPr>
            <w:r>
              <w:rPr>
                <w:rFonts w:ascii="Arial" w:cs="Arial" w:eastAsia="Arial" w:hAnsi="Arial"/>
                <w:sz w:val="18"/>
                <w:szCs w:val="18"/>
                <w:color w:val="auto"/>
              </w:rPr>
              <w:t>Fourth Quarter</w:t>
            </w:r>
          </w:p>
        </w:tc>
        <w:tc>
          <w:tcPr>
            <w:tcW w:w="1140" w:type="dxa"/>
            <w:vAlign w:val="bottom"/>
          </w:tcPr>
          <w:p>
            <w:pPr>
              <w:jc w:val="right"/>
              <w:ind w:right="116"/>
              <w:spacing w:after="0" w:line="202" w:lineRule="exact"/>
              <w:rPr>
                <w:sz w:val="20"/>
                <w:szCs w:val="20"/>
                <w:color w:val="auto"/>
              </w:rPr>
            </w:pPr>
            <w:r>
              <w:rPr>
                <w:rFonts w:ascii="Arial" w:cs="Arial" w:eastAsia="Arial" w:hAnsi="Arial"/>
                <w:sz w:val="18"/>
                <w:szCs w:val="18"/>
                <w:b w:val="1"/>
                <w:bCs w:val="1"/>
                <w:color w:val="auto"/>
              </w:rPr>
              <w:t>28.94</w:t>
            </w:r>
          </w:p>
        </w:tc>
        <w:tc>
          <w:tcPr>
            <w:tcW w:w="940" w:type="dxa"/>
            <w:vAlign w:val="bottom"/>
          </w:tcPr>
          <w:p>
            <w:pPr>
              <w:jc w:val="right"/>
              <w:ind w:right="94"/>
              <w:spacing w:after="0" w:line="202" w:lineRule="exact"/>
              <w:rPr>
                <w:sz w:val="20"/>
                <w:szCs w:val="20"/>
                <w:color w:val="auto"/>
              </w:rPr>
            </w:pPr>
            <w:r>
              <w:rPr>
                <w:rFonts w:ascii="Arial" w:cs="Arial" w:eastAsia="Arial" w:hAnsi="Arial"/>
                <w:sz w:val="18"/>
                <w:szCs w:val="18"/>
                <w:b w:val="1"/>
                <w:bCs w:val="1"/>
                <w:color w:val="auto"/>
              </w:rPr>
              <w:t>24.17</w:t>
            </w:r>
          </w:p>
        </w:tc>
        <w:tc>
          <w:tcPr>
            <w:tcW w:w="960" w:type="dxa"/>
            <w:vAlign w:val="bottom"/>
          </w:tcPr>
          <w:p>
            <w:pPr>
              <w:jc w:val="right"/>
              <w:ind w:right="116"/>
              <w:spacing w:after="0" w:line="202" w:lineRule="exact"/>
              <w:rPr>
                <w:sz w:val="20"/>
                <w:szCs w:val="20"/>
                <w:color w:val="auto"/>
              </w:rPr>
            </w:pPr>
            <w:r>
              <w:rPr>
                <w:rFonts w:ascii="Arial" w:cs="Arial" w:eastAsia="Arial" w:hAnsi="Arial"/>
                <w:sz w:val="18"/>
                <w:szCs w:val="18"/>
                <w:b w:val="1"/>
                <w:bCs w:val="1"/>
                <w:color w:val="auto"/>
              </w:rPr>
              <w:t>28.69</w:t>
            </w:r>
          </w:p>
        </w:tc>
        <w:tc>
          <w:tcPr>
            <w:tcW w:w="760" w:type="dxa"/>
            <w:vAlign w:val="bottom"/>
            <w:gridSpan w:val="2"/>
          </w:tcPr>
          <w:p>
            <w:pPr>
              <w:jc w:val="right"/>
              <w:ind w:right="20"/>
              <w:spacing w:after="0" w:line="202" w:lineRule="exact"/>
              <w:rPr>
                <w:sz w:val="20"/>
                <w:szCs w:val="20"/>
                <w:color w:val="auto"/>
              </w:rPr>
            </w:pPr>
            <w:r>
              <w:rPr>
                <w:rFonts w:ascii="Arial" w:cs="Arial" w:eastAsia="Arial" w:hAnsi="Arial"/>
                <w:sz w:val="18"/>
                <w:szCs w:val="18"/>
                <w:b w:val="1"/>
                <w:bCs w:val="1"/>
                <w:color w:val="auto"/>
              </w:rPr>
              <w:t>24.14</w:t>
            </w:r>
          </w:p>
        </w:tc>
        <w:tc>
          <w:tcPr>
            <w:tcW w:w="0" w:type="dxa"/>
            <w:vAlign w:val="bottom"/>
          </w:tcPr>
          <w:p>
            <w:pPr>
              <w:spacing w:after="0"/>
              <w:rPr>
                <w:sz w:val="1"/>
                <w:szCs w:val="1"/>
                <w:color w:val="auto"/>
              </w:rPr>
            </w:pPr>
          </w:p>
        </w:tc>
      </w:tr>
      <w:tr>
        <w:trPr>
          <w:trHeight w:val="225"/>
        </w:trPr>
        <w:tc>
          <w:tcPr>
            <w:tcW w:w="1700" w:type="dxa"/>
            <w:vAlign w:val="bottom"/>
          </w:tcPr>
          <w:p>
            <w:pPr>
              <w:ind w:left="20"/>
              <w:spacing w:after="0"/>
              <w:rPr>
                <w:sz w:val="20"/>
                <w:szCs w:val="20"/>
                <w:color w:val="auto"/>
              </w:rPr>
            </w:pPr>
            <w:r>
              <w:rPr>
                <w:rFonts w:ascii="Arial" w:cs="Arial" w:eastAsia="Arial" w:hAnsi="Arial"/>
                <w:sz w:val="18"/>
                <w:szCs w:val="18"/>
                <w:b w:val="1"/>
                <w:bCs w:val="1"/>
                <w:color w:val="auto"/>
              </w:rPr>
              <w:t>2005</w:t>
            </w:r>
          </w:p>
        </w:tc>
        <w:tc>
          <w:tcPr>
            <w:tcW w:w="1140" w:type="dxa"/>
            <w:vAlign w:val="bottom"/>
          </w:tcPr>
          <w:p>
            <w:pPr>
              <w:spacing w:after="0"/>
              <w:rPr>
                <w:sz w:val="19"/>
                <w:szCs w:val="19"/>
                <w:color w:val="auto"/>
              </w:rPr>
            </w:pPr>
          </w:p>
        </w:tc>
        <w:tc>
          <w:tcPr>
            <w:tcW w:w="940" w:type="dxa"/>
            <w:vAlign w:val="bottom"/>
          </w:tcPr>
          <w:p>
            <w:pPr>
              <w:spacing w:after="0"/>
              <w:rPr>
                <w:sz w:val="19"/>
                <w:szCs w:val="19"/>
                <w:color w:val="auto"/>
              </w:rPr>
            </w:pPr>
          </w:p>
        </w:tc>
        <w:tc>
          <w:tcPr>
            <w:tcW w:w="960" w:type="dxa"/>
            <w:vAlign w:val="bottom"/>
          </w:tcPr>
          <w:p>
            <w:pPr>
              <w:spacing w:after="0"/>
              <w:rPr>
                <w:sz w:val="19"/>
                <w:szCs w:val="19"/>
                <w:color w:val="auto"/>
              </w:rPr>
            </w:pPr>
          </w:p>
        </w:tc>
        <w:tc>
          <w:tcPr>
            <w:tcW w:w="74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3"/>
        </w:trPr>
        <w:tc>
          <w:tcPr>
            <w:tcW w:w="1700" w:type="dxa"/>
            <w:vAlign w:val="bottom"/>
          </w:tcPr>
          <w:p>
            <w:pPr>
              <w:ind w:left="20"/>
              <w:spacing w:after="0" w:line="202" w:lineRule="exact"/>
              <w:rPr>
                <w:sz w:val="20"/>
                <w:szCs w:val="20"/>
                <w:color w:val="auto"/>
              </w:rPr>
            </w:pPr>
            <w:r>
              <w:rPr>
                <w:rFonts w:ascii="Arial" w:cs="Arial" w:eastAsia="Arial" w:hAnsi="Arial"/>
                <w:sz w:val="18"/>
                <w:szCs w:val="18"/>
                <w:color w:val="auto"/>
              </w:rPr>
              <w:t>First Quarter</w:t>
            </w:r>
          </w:p>
        </w:tc>
        <w:tc>
          <w:tcPr>
            <w:tcW w:w="1140" w:type="dxa"/>
            <w:vAlign w:val="bottom"/>
          </w:tcPr>
          <w:p>
            <w:pPr>
              <w:jc w:val="right"/>
              <w:ind w:right="116"/>
              <w:spacing w:after="0" w:line="202" w:lineRule="exact"/>
              <w:rPr>
                <w:sz w:val="20"/>
                <w:szCs w:val="20"/>
                <w:color w:val="auto"/>
              </w:rPr>
            </w:pPr>
            <w:r>
              <w:rPr>
                <w:rFonts w:ascii="Arial" w:cs="Arial" w:eastAsia="Arial" w:hAnsi="Arial"/>
                <w:sz w:val="18"/>
                <w:szCs w:val="18"/>
                <w:color w:val="auto"/>
              </w:rPr>
              <w:t>$23.00</w:t>
            </w:r>
          </w:p>
        </w:tc>
        <w:tc>
          <w:tcPr>
            <w:tcW w:w="940" w:type="dxa"/>
            <w:vAlign w:val="bottom"/>
          </w:tcPr>
          <w:p>
            <w:pPr>
              <w:jc w:val="right"/>
              <w:ind w:right="94"/>
              <w:spacing w:after="0" w:line="202" w:lineRule="exact"/>
              <w:rPr>
                <w:sz w:val="20"/>
                <w:szCs w:val="20"/>
                <w:color w:val="auto"/>
              </w:rPr>
            </w:pPr>
            <w:r>
              <w:rPr>
                <w:rFonts w:ascii="Arial" w:cs="Arial" w:eastAsia="Arial" w:hAnsi="Arial"/>
                <w:sz w:val="18"/>
                <w:szCs w:val="18"/>
                <w:color w:val="auto"/>
              </w:rPr>
              <w:t>$20.69</w:t>
            </w:r>
          </w:p>
        </w:tc>
        <w:tc>
          <w:tcPr>
            <w:tcW w:w="960" w:type="dxa"/>
            <w:vAlign w:val="bottom"/>
          </w:tcPr>
          <w:p>
            <w:pPr>
              <w:jc w:val="right"/>
              <w:ind w:right="116"/>
              <w:spacing w:after="0" w:line="202" w:lineRule="exact"/>
              <w:rPr>
                <w:sz w:val="20"/>
                <w:szCs w:val="20"/>
                <w:color w:val="auto"/>
              </w:rPr>
            </w:pPr>
            <w:r>
              <w:rPr>
                <w:rFonts w:ascii="Arial" w:cs="Arial" w:eastAsia="Arial" w:hAnsi="Arial"/>
                <w:sz w:val="18"/>
                <w:szCs w:val="18"/>
                <w:color w:val="auto"/>
              </w:rPr>
              <w:t>$22.77</w:t>
            </w:r>
          </w:p>
        </w:tc>
        <w:tc>
          <w:tcPr>
            <w:tcW w:w="760" w:type="dxa"/>
            <w:vAlign w:val="bottom"/>
            <w:gridSpan w:val="2"/>
          </w:tcPr>
          <w:p>
            <w:pPr>
              <w:jc w:val="right"/>
              <w:ind w:right="20"/>
              <w:spacing w:after="0" w:line="202" w:lineRule="exact"/>
              <w:rPr>
                <w:sz w:val="20"/>
                <w:szCs w:val="20"/>
                <w:color w:val="auto"/>
              </w:rPr>
            </w:pPr>
            <w:r>
              <w:rPr>
                <w:rFonts w:ascii="Arial" w:cs="Arial" w:eastAsia="Arial" w:hAnsi="Arial"/>
                <w:sz w:val="18"/>
                <w:szCs w:val="18"/>
                <w:color w:val="auto"/>
              </w:rPr>
              <w:t>$20.33</w:t>
            </w:r>
          </w:p>
        </w:tc>
        <w:tc>
          <w:tcPr>
            <w:tcW w:w="0" w:type="dxa"/>
            <w:vAlign w:val="bottom"/>
          </w:tcPr>
          <w:p>
            <w:pPr>
              <w:spacing w:after="0"/>
              <w:rPr>
                <w:sz w:val="1"/>
                <w:szCs w:val="1"/>
                <w:color w:val="auto"/>
              </w:rPr>
            </w:pPr>
          </w:p>
        </w:tc>
      </w:tr>
      <w:tr>
        <w:trPr>
          <w:trHeight w:val="203"/>
        </w:trPr>
        <w:tc>
          <w:tcPr>
            <w:tcW w:w="1700" w:type="dxa"/>
            <w:vAlign w:val="bottom"/>
          </w:tcPr>
          <w:p>
            <w:pPr>
              <w:ind w:left="20"/>
              <w:spacing w:after="0" w:line="202" w:lineRule="exact"/>
              <w:rPr>
                <w:sz w:val="20"/>
                <w:szCs w:val="20"/>
                <w:color w:val="auto"/>
              </w:rPr>
            </w:pPr>
            <w:r>
              <w:rPr>
                <w:rFonts w:ascii="Arial" w:cs="Arial" w:eastAsia="Arial" w:hAnsi="Arial"/>
                <w:sz w:val="18"/>
                <w:szCs w:val="18"/>
                <w:color w:val="auto"/>
              </w:rPr>
              <w:t>Second Quarter</w:t>
            </w:r>
          </w:p>
        </w:tc>
        <w:tc>
          <w:tcPr>
            <w:tcW w:w="1140" w:type="dxa"/>
            <w:vAlign w:val="bottom"/>
          </w:tcPr>
          <w:p>
            <w:pPr>
              <w:jc w:val="right"/>
              <w:ind w:right="116"/>
              <w:spacing w:after="0" w:line="202" w:lineRule="exact"/>
              <w:rPr>
                <w:sz w:val="20"/>
                <w:szCs w:val="20"/>
                <w:color w:val="auto"/>
              </w:rPr>
            </w:pPr>
            <w:r>
              <w:rPr>
                <w:rFonts w:ascii="Arial" w:cs="Arial" w:eastAsia="Arial" w:hAnsi="Arial"/>
                <w:sz w:val="18"/>
                <w:szCs w:val="18"/>
                <w:color w:val="auto"/>
              </w:rPr>
              <w:t>22.69</w:t>
            </w:r>
          </w:p>
        </w:tc>
        <w:tc>
          <w:tcPr>
            <w:tcW w:w="940" w:type="dxa"/>
            <w:vAlign w:val="bottom"/>
          </w:tcPr>
          <w:p>
            <w:pPr>
              <w:jc w:val="right"/>
              <w:ind w:right="94"/>
              <w:spacing w:after="0" w:line="202" w:lineRule="exact"/>
              <w:rPr>
                <w:sz w:val="20"/>
                <w:szCs w:val="20"/>
                <w:color w:val="auto"/>
              </w:rPr>
            </w:pPr>
            <w:r>
              <w:rPr>
                <w:rFonts w:ascii="Arial" w:cs="Arial" w:eastAsia="Arial" w:hAnsi="Arial"/>
                <w:sz w:val="18"/>
                <w:szCs w:val="18"/>
                <w:color w:val="auto"/>
              </w:rPr>
              <w:t>20.37</w:t>
            </w:r>
          </w:p>
        </w:tc>
        <w:tc>
          <w:tcPr>
            <w:tcW w:w="960" w:type="dxa"/>
            <w:vAlign w:val="bottom"/>
          </w:tcPr>
          <w:p>
            <w:pPr>
              <w:jc w:val="right"/>
              <w:ind w:right="116"/>
              <w:spacing w:after="0" w:line="202" w:lineRule="exact"/>
              <w:rPr>
                <w:sz w:val="20"/>
                <w:szCs w:val="20"/>
                <w:color w:val="auto"/>
              </w:rPr>
            </w:pPr>
            <w:r>
              <w:rPr>
                <w:rFonts w:ascii="Arial" w:cs="Arial" w:eastAsia="Arial" w:hAnsi="Arial"/>
                <w:sz w:val="18"/>
                <w:szCs w:val="18"/>
                <w:color w:val="auto"/>
              </w:rPr>
              <w:t>22.47</w:t>
            </w:r>
          </w:p>
        </w:tc>
        <w:tc>
          <w:tcPr>
            <w:tcW w:w="760" w:type="dxa"/>
            <w:vAlign w:val="bottom"/>
            <w:gridSpan w:val="2"/>
          </w:tcPr>
          <w:p>
            <w:pPr>
              <w:jc w:val="right"/>
              <w:ind w:right="20"/>
              <w:spacing w:after="0" w:line="202" w:lineRule="exact"/>
              <w:rPr>
                <w:sz w:val="20"/>
                <w:szCs w:val="20"/>
                <w:color w:val="auto"/>
              </w:rPr>
            </w:pPr>
            <w:r>
              <w:rPr>
                <w:rFonts w:ascii="Arial" w:cs="Arial" w:eastAsia="Arial" w:hAnsi="Arial"/>
                <w:sz w:val="18"/>
                <w:szCs w:val="18"/>
                <w:color w:val="auto"/>
              </w:rPr>
              <w:t>19.80</w:t>
            </w:r>
          </w:p>
        </w:tc>
        <w:tc>
          <w:tcPr>
            <w:tcW w:w="0" w:type="dxa"/>
            <w:vAlign w:val="bottom"/>
          </w:tcPr>
          <w:p>
            <w:pPr>
              <w:spacing w:after="0"/>
              <w:rPr>
                <w:sz w:val="1"/>
                <w:szCs w:val="1"/>
                <w:color w:val="auto"/>
              </w:rPr>
            </w:pPr>
          </w:p>
        </w:tc>
      </w:tr>
      <w:tr>
        <w:trPr>
          <w:trHeight w:val="203"/>
        </w:trPr>
        <w:tc>
          <w:tcPr>
            <w:tcW w:w="1700" w:type="dxa"/>
            <w:vAlign w:val="bottom"/>
          </w:tcPr>
          <w:p>
            <w:pPr>
              <w:ind w:left="20"/>
              <w:spacing w:after="0" w:line="202" w:lineRule="exact"/>
              <w:rPr>
                <w:sz w:val="20"/>
                <w:szCs w:val="20"/>
                <w:color w:val="auto"/>
              </w:rPr>
            </w:pPr>
            <w:r>
              <w:rPr>
                <w:rFonts w:ascii="Arial" w:cs="Arial" w:eastAsia="Arial" w:hAnsi="Arial"/>
                <w:sz w:val="18"/>
                <w:szCs w:val="18"/>
                <w:color w:val="auto"/>
              </w:rPr>
              <w:t>Third Quarter</w:t>
            </w:r>
          </w:p>
        </w:tc>
        <w:tc>
          <w:tcPr>
            <w:tcW w:w="1140" w:type="dxa"/>
            <w:vAlign w:val="bottom"/>
          </w:tcPr>
          <w:p>
            <w:pPr>
              <w:jc w:val="right"/>
              <w:ind w:right="116"/>
              <w:spacing w:after="0" w:line="202" w:lineRule="exact"/>
              <w:rPr>
                <w:sz w:val="20"/>
                <w:szCs w:val="20"/>
                <w:color w:val="auto"/>
              </w:rPr>
            </w:pPr>
            <w:r>
              <w:rPr>
                <w:rFonts w:ascii="Arial" w:cs="Arial" w:eastAsia="Arial" w:hAnsi="Arial"/>
                <w:sz w:val="18"/>
                <w:szCs w:val="18"/>
                <w:color w:val="auto"/>
              </w:rPr>
              <w:t>21.54</w:t>
            </w:r>
          </w:p>
        </w:tc>
        <w:tc>
          <w:tcPr>
            <w:tcW w:w="940" w:type="dxa"/>
            <w:vAlign w:val="bottom"/>
          </w:tcPr>
          <w:p>
            <w:pPr>
              <w:jc w:val="right"/>
              <w:ind w:right="94"/>
              <w:spacing w:after="0" w:line="202" w:lineRule="exact"/>
              <w:rPr>
                <w:sz w:val="20"/>
                <w:szCs w:val="20"/>
                <w:color w:val="auto"/>
              </w:rPr>
            </w:pPr>
            <w:r>
              <w:rPr>
                <w:rFonts w:ascii="Arial" w:cs="Arial" w:eastAsia="Arial" w:hAnsi="Arial"/>
                <w:sz w:val="18"/>
                <w:szCs w:val="18"/>
                <w:color w:val="auto"/>
              </w:rPr>
              <w:t>19.16</w:t>
            </w:r>
          </w:p>
        </w:tc>
        <w:tc>
          <w:tcPr>
            <w:tcW w:w="960" w:type="dxa"/>
            <w:vAlign w:val="bottom"/>
          </w:tcPr>
          <w:p>
            <w:pPr>
              <w:jc w:val="right"/>
              <w:ind w:right="116"/>
              <w:spacing w:after="0" w:line="202" w:lineRule="exact"/>
              <w:rPr>
                <w:sz w:val="20"/>
                <w:szCs w:val="20"/>
                <w:color w:val="auto"/>
              </w:rPr>
            </w:pPr>
            <w:r>
              <w:rPr>
                <w:rFonts w:ascii="Arial" w:cs="Arial" w:eastAsia="Arial" w:hAnsi="Arial"/>
                <w:sz w:val="18"/>
                <w:szCs w:val="18"/>
                <w:color w:val="auto"/>
              </w:rPr>
              <w:t>21.25</w:t>
            </w:r>
          </w:p>
        </w:tc>
        <w:tc>
          <w:tcPr>
            <w:tcW w:w="760" w:type="dxa"/>
            <w:vAlign w:val="bottom"/>
            <w:gridSpan w:val="2"/>
          </w:tcPr>
          <w:p>
            <w:pPr>
              <w:jc w:val="right"/>
              <w:ind w:right="20"/>
              <w:spacing w:after="0" w:line="202" w:lineRule="exact"/>
              <w:rPr>
                <w:sz w:val="20"/>
                <w:szCs w:val="20"/>
                <w:color w:val="auto"/>
              </w:rPr>
            </w:pPr>
            <w:r>
              <w:rPr>
                <w:rFonts w:ascii="Arial" w:cs="Arial" w:eastAsia="Arial" w:hAnsi="Arial"/>
                <w:sz w:val="18"/>
                <w:szCs w:val="18"/>
                <w:color w:val="auto"/>
              </w:rPr>
              <w:t>18.82</w:t>
            </w:r>
          </w:p>
        </w:tc>
        <w:tc>
          <w:tcPr>
            <w:tcW w:w="0" w:type="dxa"/>
            <w:vAlign w:val="bottom"/>
          </w:tcPr>
          <w:p>
            <w:pPr>
              <w:spacing w:after="0"/>
              <w:rPr>
                <w:sz w:val="1"/>
                <w:szCs w:val="1"/>
                <w:color w:val="auto"/>
              </w:rPr>
            </w:pPr>
          </w:p>
        </w:tc>
      </w:tr>
      <w:tr>
        <w:trPr>
          <w:trHeight w:val="199"/>
        </w:trPr>
        <w:tc>
          <w:tcPr>
            <w:tcW w:w="1700" w:type="dxa"/>
            <w:vAlign w:val="bottom"/>
            <w:tcBorders>
              <w:bottom w:val="single" w:sz="8" w:color="35BF85"/>
            </w:tcBorders>
          </w:tcPr>
          <w:p>
            <w:pPr>
              <w:ind w:left="20"/>
              <w:spacing w:after="0" w:line="200" w:lineRule="exact"/>
              <w:rPr>
                <w:sz w:val="20"/>
                <w:szCs w:val="20"/>
                <w:color w:val="auto"/>
              </w:rPr>
            </w:pPr>
            <w:r>
              <w:rPr>
                <w:rFonts w:ascii="Arial" w:cs="Arial" w:eastAsia="Arial" w:hAnsi="Arial"/>
                <w:sz w:val="18"/>
                <w:szCs w:val="18"/>
                <w:color w:val="auto"/>
              </w:rPr>
              <w:t>Fourth Quarter</w:t>
            </w:r>
          </w:p>
        </w:tc>
        <w:tc>
          <w:tcPr>
            <w:tcW w:w="1140" w:type="dxa"/>
            <w:vAlign w:val="bottom"/>
            <w:tcBorders>
              <w:bottom w:val="single" w:sz="8" w:color="35BF85"/>
            </w:tcBorders>
          </w:tcPr>
          <w:p>
            <w:pPr>
              <w:jc w:val="right"/>
              <w:ind w:right="116"/>
              <w:spacing w:after="0" w:line="200" w:lineRule="exact"/>
              <w:rPr>
                <w:sz w:val="20"/>
                <w:szCs w:val="20"/>
                <w:color w:val="auto"/>
              </w:rPr>
            </w:pPr>
            <w:r>
              <w:rPr>
                <w:rFonts w:ascii="Arial" w:cs="Arial" w:eastAsia="Arial" w:hAnsi="Arial"/>
                <w:sz w:val="18"/>
                <w:szCs w:val="18"/>
                <w:color w:val="auto"/>
              </w:rPr>
              <w:t>19.56</w:t>
            </w:r>
          </w:p>
        </w:tc>
        <w:tc>
          <w:tcPr>
            <w:tcW w:w="940" w:type="dxa"/>
            <w:vAlign w:val="bottom"/>
            <w:tcBorders>
              <w:bottom w:val="single" w:sz="8" w:color="35BF85"/>
            </w:tcBorders>
          </w:tcPr>
          <w:p>
            <w:pPr>
              <w:jc w:val="right"/>
              <w:ind w:right="94"/>
              <w:spacing w:after="0" w:line="200" w:lineRule="exact"/>
              <w:rPr>
                <w:sz w:val="20"/>
                <w:szCs w:val="20"/>
                <w:color w:val="auto"/>
              </w:rPr>
            </w:pPr>
            <w:r>
              <w:rPr>
                <w:rFonts w:ascii="Arial" w:cs="Arial" w:eastAsia="Arial" w:hAnsi="Arial"/>
                <w:sz w:val="18"/>
                <w:szCs w:val="18"/>
                <w:color w:val="auto"/>
              </w:rPr>
              <w:t>17.20</w:t>
            </w:r>
          </w:p>
        </w:tc>
        <w:tc>
          <w:tcPr>
            <w:tcW w:w="960" w:type="dxa"/>
            <w:vAlign w:val="bottom"/>
            <w:tcBorders>
              <w:bottom w:val="single" w:sz="8" w:color="35BF85"/>
            </w:tcBorders>
          </w:tcPr>
          <w:p>
            <w:pPr>
              <w:jc w:val="right"/>
              <w:ind w:right="116"/>
              <w:spacing w:after="0" w:line="200" w:lineRule="exact"/>
              <w:rPr>
                <w:sz w:val="20"/>
                <w:szCs w:val="20"/>
                <w:color w:val="auto"/>
              </w:rPr>
            </w:pPr>
            <w:r>
              <w:rPr>
                <w:rFonts w:ascii="Arial" w:cs="Arial" w:eastAsia="Arial" w:hAnsi="Arial"/>
                <w:sz w:val="18"/>
                <w:szCs w:val="18"/>
                <w:color w:val="auto"/>
              </w:rPr>
              <w:t>19.24</w:t>
            </w:r>
          </w:p>
        </w:tc>
        <w:tc>
          <w:tcPr>
            <w:tcW w:w="760" w:type="dxa"/>
            <w:vAlign w:val="bottom"/>
            <w:tcBorders>
              <w:bottom w:val="single" w:sz="8" w:color="35BF85"/>
            </w:tcBorders>
            <w:gridSpan w:val="2"/>
          </w:tcPr>
          <w:p>
            <w:pPr>
              <w:jc w:val="right"/>
              <w:ind w:right="20"/>
              <w:spacing w:after="0" w:line="200" w:lineRule="exact"/>
              <w:rPr>
                <w:sz w:val="20"/>
                <w:szCs w:val="20"/>
                <w:color w:val="auto"/>
              </w:rPr>
            </w:pPr>
            <w:r>
              <w:rPr>
                <w:rFonts w:ascii="Arial" w:cs="Arial" w:eastAsia="Arial" w:hAnsi="Arial"/>
                <w:sz w:val="18"/>
                <w:szCs w:val="18"/>
                <w:color w:val="auto"/>
              </w:rPr>
              <w:t>17.01</w:t>
            </w:r>
          </w:p>
        </w:tc>
        <w:tc>
          <w:tcPr>
            <w:tcW w:w="0" w:type="dxa"/>
            <w:vAlign w:val="bottom"/>
          </w:tcPr>
          <w:p>
            <w:pPr>
              <w:spacing w:after="0"/>
              <w:rPr>
                <w:sz w:val="1"/>
                <w:szCs w:val="1"/>
                <w:color w:val="auto"/>
              </w:rPr>
            </w:pPr>
          </w:p>
        </w:tc>
      </w:tr>
    </w:tbl>
    <w:p>
      <w:pPr>
        <w:spacing w:after="0" w:line="165" w:lineRule="exact"/>
        <w:rPr>
          <w:sz w:val="20"/>
          <w:szCs w:val="20"/>
          <w:color w:val="auto"/>
        </w:rPr>
      </w:pPr>
    </w:p>
    <w:p>
      <w:pPr>
        <w:jc w:val="both"/>
        <w:spacing w:after="0" w:line="238" w:lineRule="auto"/>
        <w:rPr>
          <w:sz w:val="20"/>
          <w:szCs w:val="20"/>
          <w:color w:val="auto"/>
        </w:rPr>
      </w:pPr>
      <w:r>
        <w:rPr>
          <w:rFonts w:ascii="Arial" w:cs="Arial" w:eastAsia="Arial" w:hAnsi="Arial"/>
          <w:sz w:val="18"/>
          <w:szCs w:val="18"/>
          <w:color w:val="auto"/>
        </w:rPr>
        <w:t>We have not declared and paid any cash dividends on our Class A, Class A Special or Class B common stock in our last two fiscal years and do not intend to do so for the foreseeable future.</w:t>
      </w:r>
    </w:p>
    <w:p>
      <w:pPr>
        <w:spacing w:after="0" w:line="154" w:lineRule="exact"/>
        <w:rPr>
          <w:sz w:val="20"/>
          <w:szCs w:val="20"/>
          <w:color w:val="auto"/>
        </w:rPr>
      </w:pPr>
    </w:p>
    <w:p>
      <w:pPr>
        <w:jc w:val="both"/>
        <w:spacing w:after="0" w:line="281" w:lineRule="auto"/>
        <w:rPr>
          <w:sz w:val="20"/>
          <w:szCs w:val="20"/>
          <w:color w:val="auto"/>
        </w:rPr>
      </w:pPr>
      <w:r>
        <w:rPr>
          <w:rFonts w:ascii="Arial" w:cs="Arial" w:eastAsia="Arial" w:hAnsi="Arial"/>
          <w:sz w:val="16"/>
          <w:szCs w:val="16"/>
          <w:color w:val="auto"/>
        </w:rPr>
        <w:t>As of December 31, 2006, there were 921,275 record holders of our Class A common stock, 2,266 record holders of our Class A Special common stock and three record holders of our Class B common stock.</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Stock Performance Graph</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-3691890</wp:posOffset>
            </wp:positionH>
            <wp:positionV relativeFrom="paragraph">
              <wp:posOffset>-933450</wp:posOffset>
            </wp:positionV>
            <wp:extent cx="7267575" cy="27940"/>
            <wp:wrapNone/>
            <wp:docPr id="227" name="Picture 2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7"/>
                    <pic:cNvPicPr>
                      <a:picLocks noChangeAspect="1" noChangeArrowheads="1"/>
                    </pic:cNvPicPr>
                  </pic:nvPicPr>
                  <pic:blipFill>
                    <a:blip r:embed="rId234">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p>
    <w:p>
      <w:pPr>
        <w:jc w:val="both"/>
        <w:ind w:right="120"/>
        <w:spacing w:after="0" w:line="235" w:lineRule="auto"/>
        <w:rPr>
          <w:sz w:val="20"/>
          <w:szCs w:val="20"/>
          <w:color w:val="auto"/>
        </w:rPr>
      </w:pPr>
      <w:r>
        <w:rPr>
          <w:rFonts w:ascii="Arial" w:cs="Arial" w:eastAsia="Arial" w:hAnsi="Arial"/>
          <w:sz w:val="18"/>
          <w:szCs w:val="18"/>
          <w:color w:val="auto"/>
        </w:rPr>
        <w:t>The following graph compares the yearly percentage change in the cumulative total shareholder return on our Class A common stock and Class A Special common stock during the five years ended December 31, 2006, with the cumulative total return on the Standard &amp; Poor’s 500 Stock Index and with a selected peer group consisting of us and other companies engaged in the cable, telecommunications and media industries. This peer group consists of Cablevision Systems Corporation (Class A), Time Warner Inc., The DirecTV Group Inc. and Echostar Communications Corp. The comparison assumes $100 was invested on December 31, 2001, in our Class A common stock and Class A Special common stock and in each of the following indices and assumes the reinvestment of dividends.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100330</wp:posOffset>
            </wp:positionV>
            <wp:extent cx="3104515" cy="2444115"/>
            <wp:wrapNone/>
            <wp:docPr id="228" name="Picture 2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8"/>
                    <pic:cNvPicPr>
                      <a:picLocks noChangeAspect="1" noChangeArrowheads="1"/>
                    </pic:cNvPicPr>
                  </pic:nvPicPr>
                  <pic:blipFill>
                    <a:blip r:embed="rId235">
                      <a:extLst>
                        <a:ext uri="{28A0092B-C50C-407E-A947-70E740481C1C}"/>
                      </a:extLst>
                    </a:blip>
                    <a:srcRect/>
                    <a:stretch>
                      <a:fillRect/>
                    </a:stretch>
                  </pic:blipFill>
                  <pic:spPr bwMode="auto">
                    <a:xfrm>
                      <a:off x="0" y="0"/>
                      <a:ext cx="3104515" cy="2444115"/>
                    </a:xfrm>
                    <a:prstGeom prst="rect">
                      <a:avLst/>
                    </a:prstGeom>
                    <a:noFill/>
                  </pic:spPr>
                </pic:pic>
              </a:graphicData>
            </a:graphic>
          </wp:anchor>
        </w:drawing>
      </w:r>
    </w:p>
    <w:p>
      <w:pPr>
        <w:spacing w:after="0" w:line="3329" w:lineRule="exact"/>
        <w:rPr>
          <w:sz w:val="20"/>
          <w:szCs w:val="20"/>
          <w:color w:val="auto"/>
        </w:rPr>
      </w:pPr>
    </w:p>
    <w:p>
      <w:pPr>
        <w:sectPr>
          <w:pgSz w:w="11900" w:h="16838" w:orient="portrait"/>
          <w:cols w:equalWidth="0" w:num="2">
            <w:col w:w="5480" w:space="340"/>
            <w:col w:w="5600"/>
          </w:cols>
          <w:pgMar w:left="240" w:top="460" w:right="2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3" w:lineRule="exact"/>
        <w:rPr>
          <w:sz w:val="20"/>
          <w:szCs w:val="20"/>
          <w:color w:val="auto"/>
        </w:rPr>
      </w:pPr>
    </w:p>
    <w:tbl>
      <w:tblPr>
        <w:tblLayout w:type="fixed"/>
        <w:tblInd w:w="5680" w:type="dxa"/>
        <w:tblCellMar>
          <w:top w:w="0" w:type="dxa"/>
          <w:left w:w="0" w:type="dxa"/>
          <w:bottom w:w="0" w:type="dxa"/>
          <w:right w:w="0" w:type="dxa"/>
        </w:tblCellMar>
      </w:tblPr>
      <w:tr>
        <w:trPr>
          <w:trHeight w:val="165"/>
        </w:trPr>
        <w:tc>
          <w:tcPr>
            <w:tcW w:w="140" w:type="dxa"/>
            <w:vAlign w:val="bottom"/>
          </w:tcPr>
          <w:p>
            <w:pPr>
              <w:spacing w:after="0"/>
              <w:rPr>
                <w:sz w:val="14"/>
                <w:szCs w:val="14"/>
                <w:color w:val="auto"/>
              </w:rPr>
            </w:pPr>
          </w:p>
        </w:tc>
        <w:tc>
          <w:tcPr>
            <w:tcW w:w="2240" w:type="dxa"/>
            <w:vAlign w:val="bottom"/>
            <w:tcBorders>
              <w:bottom w:val="single" w:sz="8" w:color="auto"/>
            </w:tcBorders>
          </w:tcPr>
          <w:p>
            <w:pPr>
              <w:spacing w:after="0"/>
              <w:rPr>
                <w:sz w:val="20"/>
                <w:szCs w:val="20"/>
                <w:color w:val="auto"/>
              </w:rPr>
            </w:pPr>
            <w:r>
              <w:rPr>
                <w:rFonts w:ascii="Arial" w:cs="Arial" w:eastAsia="Arial" w:hAnsi="Arial"/>
                <w:sz w:val="14"/>
                <w:szCs w:val="14"/>
                <w:color w:val="auto"/>
              </w:rPr>
              <w:t>(in dollars)</w:t>
            </w:r>
          </w:p>
        </w:tc>
        <w:tc>
          <w:tcPr>
            <w:tcW w:w="760" w:type="dxa"/>
            <w:vAlign w:val="bottom"/>
            <w:tcBorders>
              <w:bottom w:val="single" w:sz="8" w:color="auto"/>
            </w:tcBorders>
          </w:tcPr>
          <w:p>
            <w:pPr>
              <w:jc w:val="right"/>
              <w:ind w:right="96"/>
              <w:spacing w:after="0"/>
              <w:rPr>
                <w:sz w:val="20"/>
                <w:szCs w:val="20"/>
                <w:color w:val="auto"/>
              </w:rPr>
            </w:pPr>
            <w:r>
              <w:rPr>
                <w:rFonts w:ascii="Arial" w:cs="Arial" w:eastAsia="Arial" w:hAnsi="Arial"/>
                <w:sz w:val="14"/>
                <w:szCs w:val="14"/>
                <w:color w:val="auto"/>
              </w:rPr>
              <w:t>2002</w:t>
            </w:r>
          </w:p>
        </w:tc>
        <w:tc>
          <w:tcPr>
            <w:tcW w:w="660" w:type="dxa"/>
            <w:vAlign w:val="bottom"/>
            <w:tcBorders>
              <w:bottom w:val="single" w:sz="8" w:color="auto"/>
            </w:tcBorders>
          </w:tcPr>
          <w:p>
            <w:pPr>
              <w:jc w:val="right"/>
              <w:ind w:right="96"/>
              <w:spacing w:after="0"/>
              <w:rPr>
                <w:sz w:val="20"/>
                <w:szCs w:val="20"/>
                <w:color w:val="auto"/>
              </w:rPr>
            </w:pPr>
            <w:r>
              <w:rPr>
                <w:rFonts w:ascii="Arial" w:cs="Arial" w:eastAsia="Arial" w:hAnsi="Arial"/>
                <w:sz w:val="14"/>
                <w:szCs w:val="14"/>
                <w:color w:val="auto"/>
              </w:rPr>
              <w:t>2003</w:t>
            </w:r>
          </w:p>
        </w:tc>
        <w:tc>
          <w:tcPr>
            <w:tcW w:w="680" w:type="dxa"/>
            <w:vAlign w:val="bottom"/>
            <w:tcBorders>
              <w:bottom w:val="single" w:sz="8" w:color="auto"/>
            </w:tcBorders>
          </w:tcPr>
          <w:p>
            <w:pPr>
              <w:jc w:val="right"/>
              <w:ind w:right="99"/>
              <w:spacing w:after="0"/>
              <w:rPr>
                <w:sz w:val="20"/>
                <w:szCs w:val="20"/>
                <w:color w:val="auto"/>
              </w:rPr>
            </w:pPr>
            <w:r>
              <w:rPr>
                <w:rFonts w:ascii="Arial" w:cs="Arial" w:eastAsia="Arial" w:hAnsi="Arial"/>
                <w:sz w:val="14"/>
                <w:szCs w:val="14"/>
                <w:color w:val="auto"/>
              </w:rPr>
              <w:t>2004</w:t>
            </w:r>
          </w:p>
        </w:tc>
        <w:tc>
          <w:tcPr>
            <w:tcW w:w="660" w:type="dxa"/>
            <w:vAlign w:val="bottom"/>
            <w:tcBorders>
              <w:bottom w:val="single" w:sz="8" w:color="auto"/>
            </w:tcBorders>
          </w:tcPr>
          <w:p>
            <w:pPr>
              <w:jc w:val="right"/>
              <w:ind w:right="96"/>
              <w:spacing w:after="0"/>
              <w:rPr>
                <w:sz w:val="20"/>
                <w:szCs w:val="20"/>
                <w:color w:val="auto"/>
              </w:rPr>
            </w:pPr>
            <w:r>
              <w:rPr>
                <w:rFonts w:ascii="Arial" w:cs="Arial" w:eastAsia="Arial" w:hAnsi="Arial"/>
                <w:sz w:val="14"/>
                <w:szCs w:val="14"/>
                <w:color w:val="auto"/>
              </w:rPr>
              <w:t>2005</w:t>
            </w:r>
          </w:p>
        </w:tc>
        <w:tc>
          <w:tcPr>
            <w:tcW w:w="48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2006</w:t>
            </w:r>
          </w:p>
        </w:tc>
        <w:tc>
          <w:tcPr>
            <w:tcW w:w="120" w:type="dxa"/>
            <w:vAlign w:val="bottom"/>
          </w:tcPr>
          <w:p>
            <w:pPr>
              <w:spacing w:after="0"/>
              <w:rPr>
                <w:sz w:val="14"/>
                <w:szCs w:val="14"/>
                <w:color w:val="auto"/>
              </w:rPr>
            </w:pPr>
          </w:p>
        </w:tc>
      </w:tr>
      <w:tr>
        <w:trPr>
          <w:trHeight w:val="177"/>
        </w:trPr>
        <w:tc>
          <w:tcPr>
            <w:tcW w:w="140" w:type="dxa"/>
            <w:vAlign w:val="bottom"/>
          </w:tcPr>
          <w:p>
            <w:pPr>
              <w:spacing w:after="0"/>
              <w:rPr>
                <w:sz w:val="15"/>
                <w:szCs w:val="15"/>
                <w:color w:val="auto"/>
              </w:rPr>
            </w:pPr>
          </w:p>
        </w:tc>
        <w:tc>
          <w:tcPr>
            <w:tcW w:w="2240" w:type="dxa"/>
            <w:vAlign w:val="bottom"/>
          </w:tcPr>
          <w:p>
            <w:pPr>
              <w:spacing w:after="0" w:line="177" w:lineRule="exact"/>
              <w:rPr>
                <w:sz w:val="20"/>
                <w:szCs w:val="20"/>
                <w:color w:val="auto"/>
              </w:rPr>
            </w:pPr>
            <w:r>
              <w:rPr>
                <w:rFonts w:ascii="Arial" w:cs="Arial" w:eastAsia="Arial" w:hAnsi="Arial"/>
                <w:sz w:val="18"/>
                <w:szCs w:val="18"/>
                <w:color w:val="auto"/>
              </w:rPr>
              <w:t>Comcast Class A</w:t>
            </w:r>
          </w:p>
        </w:tc>
        <w:tc>
          <w:tcPr>
            <w:tcW w:w="760" w:type="dxa"/>
            <w:vAlign w:val="bottom"/>
          </w:tcPr>
          <w:p>
            <w:pPr>
              <w:jc w:val="right"/>
              <w:ind w:right="96"/>
              <w:spacing w:after="0" w:line="177" w:lineRule="exact"/>
              <w:rPr>
                <w:sz w:val="20"/>
                <w:szCs w:val="20"/>
                <w:color w:val="auto"/>
              </w:rPr>
            </w:pPr>
            <w:r>
              <w:rPr>
                <w:rFonts w:ascii="Arial" w:cs="Arial" w:eastAsia="Arial" w:hAnsi="Arial"/>
                <w:sz w:val="18"/>
                <w:szCs w:val="18"/>
                <w:color w:val="auto"/>
              </w:rPr>
              <w:t>65</w:t>
            </w:r>
          </w:p>
        </w:tc>
        <w:tc>
          <w:tcPr>
            <w:tcW w:w="660" w:type="dxa"/>
            <w:vAlign w:val="bottom"/>
          </w:tcPr>
          <w:p>
            <w:pPr>
              <w:jc w:val="right"/>
              <w:ind w:right="96"/>
              <w:spacing w:after="0" w:line="177" w:lineRule="exact"/>
              <w:rPr>
                <w:sz w:val="20"/>
                <w:szCs w:val="20"/>
                <w:color w:val="auto"/>
              </w:rPr>
            </w:pPr>
            <w:r>
              <w:rPr>
                <w:rFonts w:ascii="Arial" w:cs="Arial" w:eastAsia="Arial" w:hAnsi="Arial"/>
                <w:sz w:val="18"/>
                <w:szCs w:val="18"/>
                <w:color w:val="auto"/>
              </w:rPr>
              <w:t>91</w:t>
            </w:r>
          </w:p>
        </w:tc>
        <w:tc>
          <w:tcPr>
            <w:tcW w:w="680" w:type="dxa"/>
            <w:vAlign w:val="bottom"/>
          </w:tcPr>
          <w:p>
            <w:pPr>
              <w:jc w:val="right"/>
              <w:ind w:right="99"/>
              <w:spacing w:after="0" w:line="177" w:lineRule="exact"/>
              <w:rPr>
                <w:sz w:val="20"/>
                <w:szCs w:val="20"/>
                <w:color w:val="auto"/>
              </w:rPr>
            </w:pPr>
            <w:r>
              <w:rPr>
                <w:rFonts w:ascii="Arial" w:cs="Arial" w:eastAsia="Arial" w:hAnsi="Arial"/>
                <w:sz w:val="18"/>
                <w:szCs w:val="18"/>
                <w:color w:val="auto"/>
              </w:rPr>
              <w:t>92</w:t>
            </w:r>
          </w:p>
        </w:tc>
        <w:tc>
          <w:tcPr>
            <w:tcW w:w="660" w:type="dxa"/>
            <w:vAlign w:val="bottom"/>
          </w:tcPr>
          <w:p>
            <w:pPr>
              <w:jc w:val="right"/>
              <w:ind w:right="96"/>
              <w:spacing w:after="0" w:line="177" w:lineRule="exact"/>
              <w:rPr>
                <w:sz w:val="20"/>
                <w:szCs w:val="20"/>
                <w:color w:val="auto"/>
              </w:rPr>
            </w:pPr>
            <w:r>
              <w:rPr>
                <w:rFonts w:ascii="Arial" w:cs="Arial" w:eastAsia="Arial" w:hAnsi="Arial"/>
                <w:sz w:val="18"/>
                <w:szCs w:val="18"/>
                <w:color w:val="auto"/>
              </w:rPr>
              <w:t>72</w:t>
            </w:r>
          </w:p>
        </w:tc>
        <w:tc>
          <w:tcPr>
            <w:tcW w:w="480" w:type="dxa"/>
            <w:vAlign w:val="bottom"/>
          </w:tcPr>
          <w:p>
            <w:pPr>
              <w:jc w:val="right"/>
              <w:spacing w:after="0" w:line="177" w:lineRule="exact"/>
              <w:rPr>
                <w:sz w:val="20"/>
                <w:szCs w:val="20"/>
                <w:color w:val="auto"/>
              </w:rPr>
            </w:pPr>
            <w:r>
              <w:rPr>
                <w:rFonts w:ascii="Arial" w:cs="Arial" w:eastAsia="Arial" w:hAnsi="Arial"/>
                <w:sz w:val="18"/>
                <w:szCs w:val="18"/>
                <w:b w:val="1"/>
                <w:bCs w:val="1"/>
                <w:color w:val="auto"/>
              </w:rPr>
              <w:t>118</w:t>
            </w:r>
          </w:p>
        </w:tc>
        <w:tc>
          <w:tcPr>
            <w:tcW w:w="120" w:type="dxa"/>
            <w:vAlign w:val="bottom"/>
          </w:tcPr>
          <w:p>
            <w:pPr>
              <w:spacing w:after="0"/>
              <w:rPr>
                <w:sz w:val="15"/>
                <w:szCs w:val="15"/>
                <w:color w:val="auto"/>
              </w:rPr>
            </w:pPr>
          </w:p>
        </w:tc>
      </w:tr>
      <w:tr>
        <w:trPr>
          <w:trHeight w:val="203"/>
        </w:trPr>
        <w:tc>
          <w:tcPr>
            <w:tcW w:w="140" w:type="dxa"/>
            <w:vAlign w:val="bottom"/>
          </w:tcPr>
          <w:p>
            <w:pPr>
              <w:spacing w:after="0"/>
              <w:rPr>
                <w:sz w:val="17"/>
                <w:szCs w:val="17"/>
                <w:color w:val="auto"/>
              </w:rPr>
            </w:pPr>
          </w:p>
        </w:tc>
        <w:tc>
          <w:tcPr>
            <w:tcW w:w="2240" w:type="dxa"/>
            <w:vAlign w:val="bottom"/>
          </w:tcPr>
          <w:p>
            <w:pPr>
              <w:spacing w:after="0" w:line="202" w:lineRule="exact"/>
              <w:rPr>
                <w:sz w:val="20"/>
                <w:szCs w:val="20"/>
                <w:color w:val="auto"/>
              </w:rPr>
            </w:pPr>
            <w:r>
              <w:rPr>
                <w:rFonts w:ascii="Arial" w:cs="Arial" w:eastAsia="Arial" w:hAnsi="Arial"/>
                <w:sz w:val="18"/>
                <w:szCs w:val="18"/>
                <w:color w:val="auto"/>
              </w:rPr>
              <w:t>Comcast Class A Special</w:t>
            </w:r>
          </w:p>
        </w:tc>
        <w:tc>
          <w:tcPr>
            <w:tcW w:w="760" w:type="dxa"/>
            <w:vAlign w:val="bottom"/>
          </w:tcPr>
          <w:p>
            <w:pPr>
              <w:jc w:val="right"/>
              <w:ind w:right="96"/>
              <w:spacing w:after="0" w:line="202" w:lineRule="exact"/>
              <w:rPr>
                <w:sz w:val="20"/>
                <w:szCs w:val="20"/>
                <w:color w:val="auto"/>
              </w:rPr>
            </w:pPr>
            <w:r>
              <w:rPr>
                <w:rFonts w:ascii="Arial" w:cs="Arial" w:eastAsia="Arial" w:hAnsi="Arial"/>
                <w:sz w:val="18"/>
                <w:szCs w:val="18"/>
                <w:color w:val="auto"/>
              </w:rPr>
              <w:t>63</w:t>
            </w:r>
          </w:p>
        </w:tc>
        <w:tc>
          <w:tcPr>
            <w:tcW w:w="660" w:type="dxa"/>
            <w:vAlign w:val="bottom"/>
          </w:tcPr>
          <w:p>
            <w:pPr>
              <w:jc w:val="right"/>
              <w:ind w:right="96"/>
              <w:spacing w:after="0" w:line="202" w:lineRule="exact"/>
              <w:rPr>
                <w:sz w:val="20"/>
                <w:szCs w:val="20"/>
                <w:color w:val="auto"/>
              </w:rPr>
            </w:pPr>
            <w:r>
              <w:rPr>
                <w:rFonts w:ascii="Arial" w:cs="Arial" w:eastAsia="Arial" w:hAnsi="Arial"/>
                <w:sz w:val="18"/>
                <w:szCs w:val="18"/>
                <w:color w:val="auto"/>
              </w:rPr>
              <w:t>87</w:t>
            </w:r>
          </w:p>
        </w:tc>
        <w:tc>
          <w:tcPr>
            <w:tcW w:w="680" w:type="dxa"/>
            <w:vAlign w:val="bottom"/>
          </w:tcPr>
          <w:p>
            <w:pPr>
              <w:jc w:val="right"/>
              <w:ind w:right="99"/>
              <w:spacing w:after="0" w:line="202" w:lineRule="exact"/>
              <w:rPr>
                <w:sz w:val="20"/>
                <w:szCs w:val="20"/>
                <w:color w:val="auto"/>
              </w:rPr>
            </w:pPr>
            <w:r>
              <w:rPr>
                <w:rFonts w:ascii="Arial" w:cs="Arial" w:eastAsia="Arial" w:hAnsi="Arial"/>
                <w:sz w:val="18"/>
                <w:szCs w:val="18"/>
                <w:color w:val="auto"/>
              </w:rPr>
              <w:t>91</w:t>
            </w:r>
          </w:p>
        </w:tc>
        <w:tc>
          <w:tcPr>
            <w:tcW w:w="660" w:type="dxa"/>
            <w:vAlign w:val="bottom"/>
          </w:tcPr>
          <w:p>
            <w:pPr>
              <w:jc w:val="right"/>
              <w:ind w:right="96"/>
              <w:spacing w:after="0" w:line="202" w:lineRule="exact"/>
              <w:rPr>
                <w:sz w:val="20"/>
                <w:szCs w:val="20"/>
                <w:color w:val="auto"/>
              </w:rPr>
            </w:pPr>
            <w:r>
              <w:rPr>
                <w:rFonts w:ascii="Arial" w:cs="Arial" w:eastAsia="Arial" w:hAnsi="Arial"/>
                <w:sz w:val="18"/>
                <w:szCs w:val="18"/>
                <w:color w:val="auto"/>
              </w:rPr>
              <w:t>71</w:t>
            </w:r>
          </w:p>
        </w:tc>
        <w:tc>
          <w:tcPr>
            <w:tcW w:w="480" w:type="dxa"/>
            <w:vAlign w:val="bottom"/>
          </w:tcPr>
          <w:p>
            <w:pPr>
              <w:jc w:val="right"/>
              <w:spacing w:after="0" w:line="202" w:lineRule="exact"/>
              <w:rPr>
                <w:sz w:val="20"/>
                <w:szCs w:val="20"/>
                <w:color w:val="auto"/>
              </w:rPr>
            </w:pPr>
            <w:r>
              <w:rPr>
                <w:rFonts w:ascii="Arial" w:cs="Arial" w:eastAsia="Arial" w:hAnsi="Arial"/>
                <w:sz w:val="18"/>
                <w:szCs w:val="18"/>
                <w:b w:val="1"/>
                <w:bCs w:val="1"/>
                <w:color w:val="auto"/>
              </w:rPr>
              <w:t>116</w:t>
            </w:r>
          </w:p>
        </w:tc>
        <w:tc>
          <w:tcPr>
            <w:tcW w:w="120" w:type="dxa"/>
            <w:vAlign w:val="bottom"/>
          </w:tcPr>
          <w:p>
            <w:pPr>
              <w:spacing w:after="0"/>
              <w:rPr>
                <w:sz w:val="17"/>
                <w:szCs w:val="17"/>
                <w:color w:val="auto"/>
              </w:rPr>
            </w:pPr>
          </w:p>
        </w:tc>
      </w:tr>
      <w:tr>
        <w:trPr>
          <w:trHeight w:val="203"/>
        </w:trPr>
        <w:tc>
          <w:tcPr>
            <w:tcW w:w="140" w:type="dxa"/>
            <w:vAlign w:val="bottom"/>
          </w:tcPr>
          <w:p>
            <w:pPr>
              <w:spacing w:after="0"/>
              <w:rPr>
                <w:sz w:val="17"/>
                <w:szCs w:val="17"/>
                <w:color w:val="auto"/>
              </w:rPr>
            </w:pPr>
          </w:p>
        </w:tc>
        <w:tc>
          <w:tcPr>
            <w:tcW w:w="2240" w:type="dxa"/>
            <w:vAlign w:val="bottom"/>
          </w:tcPr>
          <w:p>
            <w:pPr>
              <w:spacing w:after="0" w:line="202" w:lineRule="exact"/>
              <w:rPr>
                <w:sz w:val="20"/>
                <w:szCs w:val="20"/>
                <w:color w:val="auto"/>
              </w:rPr>
            </w:pPr>
            <w:r>
              <w:rPr>
                <w:rFonts w:ascii="Arial" w:cs="Arial" w:eastAsia="Arial" w:hAnsi="Arial"/>
                <w:sz w:val="18"/>
                <w:szCs w:val="18"/>
                <w:color w:val="auto"/>
              </w:rPr>
              <w:t>S&amp;P 500 Stock Index</w:t>
            </w:r>
          </w:p>
        </w:tc>
        <w:tc>
          <w:tcPr>
            <w:tcW w:w="760" w:type="dxa"/>
            <w:vAlign w:val="bottom"/>
          </w:tcPr>
          <w:p>
            <w:pPr>
              <w:jc w:val="right"/>
              <w:ind w:right="96"/>
              <w:spacing w:after="0" w:line="202" w:lineRule="exact"/>
              <w:rPr>
                <w:sz w:val="20"/>
                <w:szCs w:val="20"/>
                <w:color w:val="auto"/>
              </w:rPr>
            </w:pPr>
            <w:r>
              <w:rPr>
                <w:rFonts w:ascii="Arial" w:cs="Arial" w:eastAsia="Arial" w:hAnsi="Arial"/>
                <w:sz w:val="18"/>
                <w:szCs w:val="18"/>
                <w:color w:val="auto"/>
              </w:rPr>
              <w:t>78</w:t>
            </w:r>
          </w:p>
        </w:tc>
        <w:tc>
          <w:tcPr>
            <w:tcW w:w="660" w:type="dxa"/>
            <w:vAlign w:val="bottom"/>
          </w:tcPr>
          <w:p>
            <w:pPr>
              <w:jc w:val="right"/>
              <w:ind w:right="96"/>
              <w:spacing w:after="0" w:line="202" w:lineRule="exact"/>
              <w:rPr>
                <w:sz w:val="20"/>
                <w:szCs w:val="20"/>
                <w:color w:val="auto"/>
              </w:rPr>
            </w:pPr>
            <w:r>
              <w:rPr>
                <w:rFonts w:ascii="Arial" w:cs="Arial" w:eastAsia="Arial" w:hAnsi="Arial"/>
                <w:sz w:val="18"/>
                <w:szCs w:val="18"/>
                <w:color w:val="auto"/>
              </w:rPr>
              <w:t>100</w:t>
            </w:r>
          </w:p>
        </w:tc>
        <w:tc>
          <w:tcPr>
            <w:tcW w:w="680" w:type="dxa"/>
            <w:vAlign w:val="bottom"/>
          </w:tcPr>
          <w:p>
            <w:pPr>
              <w:jc w:val="right"/>
              <w:ind w:right="99"/>
              <w:spacing w:after="0" w:line="202" w:lineRule="exact"/>
              <w:rPr>
                <w:sz w:val="20"/>
                <w:szCs w:val="20"/>
                <w:color w:val="auto"/>
              </w:rPr>
            </w:pPr>
            <w:r>
              <w:rPr>
                <w:rFonts w:ascii="Arial" w:cs="Arial" w:eastAsia="Arial" w:hAnsi="Arial"/>
                <w:sz w:val="18"/>
                <w:szCs w:val="18"/>
                <w:color w:val="auto"/>
              </w:rPr>
              <w:t>111</w:t>
            </w:r>
          </w:p>
        </w:tc>
        <w:tc>
          <w:tcPr>
            <w:tcW w:w="660" w:type="dxa"/>
            <w:vAlign w:val="bottom"/>
          </w:tcPr>
          <w:p>
            <w:pPr>
              <w:jc w:val="right"/>
              <w:ind w:right="96"/>
              <w:spacing w:after="0" w:line="202" w:lineRule="exact"/>
              <w:rPr>
                <w:sz w:val="20"/>
                <w:szCs w:val="20"/>
                <w:color w:val="auto"/>
              </w:rPr>
            </w:pPr>
            <w:r>
              <w:rPr>
                <w:rFonts w:ascii="Arial" w:cs="Arial" w:eastAsia="Arial" w:hAnsi="Arial"/>
                <w:sz w:val="18"/>
                <w:szCs w:val="18"/>
                <w:color w:val="auto"/>
              </w:rPr>
              <w:t>117</w:t>
            </w:r>
          </w:p>
        </w:tc>
        <w:tc>
          <w:tcPr>
            <w:tcW w:w="480" w:type="dxa"/>
            <w:vAlign w:val="bottom"/>
          </w:tcPr>
          <w:p>
            <w:pPr>
              <w:jc w:val="right"/>
              <w:spacing w:after="0" w:line="202" w:lineRule="exact"/>
              <w:rPr>
                <w:sz w:val="20"/>
                <w:szCs w:val="20"/>
                <w:color w:val="auto"/>
              </w:rPr>
            </w:pPr>
            <w:r>
              <w:rPr>
                <w:rFonts w:ascii="Arial" w:cs="Arial" w:eastAsia="Arial" w:hAnsi="Arial"/>
                <w:sz w:val="18"/>
                <w:szCs w:val="18"/>
                <w:b w:val="1"/>
                <w:bCs w:val="1"/>
                <w:color w:val="auto"/>
              </w:rPr>
              <w:t>135</w:t>
            </w:r>
          </w:p>
        </w:tc>
        <w:tc>
          <w:tcPr>
            <w:tcW w:w="120" w:type="dxa"/>
            <w:vAlign w:val="bottom"/>
          </w:tcPr>
          <w:p>
            <w:pPr>
              <w:spacing w:after="0"/>
              <w:rPr>
                <w:sz w:val="17"/>
                <w:szCs w:val="17"/>
                <w:color w:val="auto"/>
              </w:rPr>
            </w:pPr>
          </w:p>
        </w:tc>
      </w:tr>
      <w:tr>
        <w:trPr>
          <w:trHeight w:val="221"/>
        </w:trPr>
        <w:tc>
          <w:tcPr>
            <w:tcW w:w="140" w:type="dxa"/>
            <w:vAlign w:val="bottom"/>
          </w:tcPr>
          <w:p>
            <w:pPr>
              <w:spacing w:after="0"/>
              <w:rPr>
                <w:sz w:val="19"/>
                <w:szCs w:val="19"/>
                <w:color w:val="auto"/>
              </w:rPr>
            </w:pPr>
          </w:p>
        </w:tc>
        <w:tc>
          <w:tcPr>
            <w:tcW w:w="2240" w:type="dxa"/>
            <w:vAlign w:val="bottom"/>
            <w:tcBorders>
              <w:bottom w:val="single" w:sz="8" w:color="35BF85"/>
            </w:tcBorders>
          </w:tcPr>
          <w:p>
            <w:pPr>
              <w:spacing w:after="0"/>
              <w:rPr>
                <w:sz w:val="20"/>
                <w:szCs w:val="20"/>
                <w:color w:val="auto"/>
              </w:rPr>
            </w:pPr>
            <w:r>
              <w:rPr>
                <w:rFonts w:ascii="Arial" w:cs="Arial" w:eastAsia="Arial" w:hAnsi="Arial"/>
                <w:sz w:val="18"/>
                <w:szCs w:val="18"/>
                <w:color w:val="auto"/>
              </w:rPr>
              <w:t>Peer Group Index</w:t>
            </w:r>
          </w:p>
        </w:tc>
        <w:tc>
          <w:tcPr>
            <w:tcW w:w="760" w:type="dxa"/>
            <w:vAlign w:val="bottom"/>
            <w:tcBorders>
              <w:bottom w:val="single" w:sz="8" w:color="35BF85"/>
            </w:tcBorders>
          </w:tcPr>
          <w:p>
            <w:pPr>
              <w:jc w:val="right"/>
              <w:ind w:right="96"/>
              <w:spacing w:after="0"/>
              <w:rPr>
                <w:sz w:val="20"/>
                <w:szCs w:val="20"/>
                <w:color w:val="auto"/>
              </w:rPr>
            </w:pPr>
            <w:r>
              <w:rPr>
                <w:rFonts w:ascii="Arial" w:cs="Arial" w:eastAsia="Arial" w:hAnsi="Arial"/>
                <w:sz w:val="18"/>
                <w:szCs w:val="18"/>
                <w:color w:val="auto"/>
              </w:rPr>
              <w:t>46</w:t>
            </w:r>
          </w:p>
        </w:tc>
        <w:tc>
          <w:tcPr>
            <w:tcW w:w="660" w:type="dxa"/>
            <w:vAlign w:val="bottom"/>
            <w:tcBorders>
              <w:bottom w:val="single" w:sz="8" w:color="35BF85"/>
            </w:tcBorders>
          </w:tcPr>
          <w:p>
            <w:pPr>
              <w:jc w:val="right"/>
              <w:ind w:right="96"/>
              <w:spacing w:after="0"/>
              <w:rPr>
                <w:sz w:val="20"/>
                <w:szCs w:val="20"/>
                <w:color w:val="auto"/>
              </w:rPr>
            </w:pPr>
            <w:r>
              <w:rPr>
                <w:rFonts w:ascii="Arial" w:cs="Arial" w:eastAsia="Arial" w:hAnsi="Arial"/>
                <w:sz w:val="18"/>
                <w:szCs w:val="18"/>
                <w:color w:val="auto"/>
              </w:rPr>
              <w:t>64</w:t>
            </w:r>
          </w:p>
        </w:tc>
        <w:tc>
          <w:tcPr>
            <w:tcW w:w="680" w:type="dxa"/>
            <w:vAlign w:val="bottom"/>
            <w:tcBorders>
              <w:bottom w:val="single" w:sz="8" w:color="35BF85"/>
            </w:tcBorders>
          </w:tcPr>
          <w:p>
            <w:pPr>
              <w:jc w:val="right"/>
              <w:ind w:right="99"/>
              <w:spacing w:after="0"/>
              <w:rPr>
                <w:sz w:val="20"/>
                <w:szCs w:val="20"/>
                <w:color w:val="auto"/>
              </w:rPr>
            </w:pPr>
            <w:r>
              <w:rPr>
                <w:rFonts w:ascii="Arial" w:cs="Arial" w:eastAsia="Arial" w:hAnsi="Arial"/>
                <w:sz w:val="18"/>
                <w:szCs w:val="18"/>
                <w:color w:val="auto"/>
              </w:rPr>
              <w:t>67</w:t>
            </w:r>
          </w:p>
        </w:tc>
        <w:tc>
          <w:tcPr>
            <w:tcW w:w="660" w:type="dxa"/>
            <w:vAlign w:val="bottom"/>
            <w:tcBorders>
              <w:bottom w:val="single" w:sz="8" w:color="35BF85"/>
            </w:tcBorders>
          </w:tcPr>
          <w:p>
            <w:pPr>
              <w:jc w:val="right"/>
              <w:ind w:right="96"/>
              <w:spacing w:after="0"/>
              <w:rPr>
                <w:sz w:val="20"/>
                <w:szCs w:val="20"/>
                <w:color w:val="auto"/>
              </w:rPr>
            </w:pPr>
            <w:r>
              <w:rPr>
                <w:rFonts w:ascii="Arial" w:cs="Arial" w:eastAsia="Arial" w:hAnsi="Arial"/>
                <w:sz w:val="18"/>
                <w:szCs w:val="18"/>
                <w:color w:val="auto"/>
              </w:rPr>
              <w:t>57</w:t>
            </w:r>
          </w:p>
        </w:tc>
        <w:tc>
          <w:tcPr>
            <w:tcW w:w="480" w:type="dxa"/>
            <w:vAlign w:val="bottom"/>
            <w:tcBorders>
              <w:bottom w:val="single" w:sz="8" w:color="35BF85"/>
            </w:tcBorders>
          </w:tcPr>
          <w:p>
            <w:pPr>
              <w:jc w:val="right"/>
              <w:spacing w:after="0"/>
              <w:rPr>
                <w:sz w:val="20"/>
                <w:szCs w:val="20"/>
                <w:color w:val="auto"/>
              </w:rPr>
            </w:pPr>
            <w:r>
              <w:rPr>
                <w:rFonts w:ascii="Arial" w:cs="Arial" w:eastAsia="Arial" w:hAnsi="Arial"/>
                <w:sz w:val="18"/>
                <w:szCs w:val="18"/>
                <w:b w:val="1"/>
                <w:bCs w:val="1"/>
                <w:color w:val="auto"/>
              </w:rPr>
              <w:t>84</w:t>
            </w:r>
          </w:p>
        </w:tc>
        <w:tc>
          <w:tcPr>
            <w:tcW w:w="120" w:type="dxa"/>
            <w:vAlign w:val="bottom"/>
          </w:tcPr>
          <w:p>
            <w:pPr>
              <w:spacing w:after="0"/>
              <w:rPr>
                <w:sz w:val="19"/>
                <w:szCs w:val="19"/>
                <w:color w:val="auto"/>
              </w:rPr>
            </w:pPr>
          </w:p>
        </w:tc>
      </w:tr>
      <w:tr>
        <w:trPr>
          <w:trHeight w:val="358"/>
        </w:trPr>
        <w:tc>
          <w:tcPr>
            <w:tcW w:w="2380" w:type="dxa"/>
            <w:vAlign w:val="bottom"/>
            <w:gridSpan w:val="2"/>
          </w:tcPr>
          <w:p>
            <w:pPr>
              <w:jc w:val="right"/>
              <w:ind w:right="2136"/>
              <w:spacing w:after="0"/>
              <w:rPr>
                <w:sz w:val="20"/>
                <w:szCs w:val="20"/>
                <w:color w:val="auto"/>
              </w:rPr>
            </w:pPr>
            <w:r>
              <w:rPr>
                <w:rFonts w:ascii="Arial" w:cs="Arial" w:eastAsia="Arial" w:hAnsi="Arial"/>
                <w:sz w:val="14"/>
                <w:szCs w:val="14"/>
                <w:b w:val="1"/>
                <w:bCs w:val="1"/>
                <w:color w:val="auto"/>
                <w:w w:val="89"/>
              </w:rPr>
              <w:t>77</w:t>
            </w:r>
          </w:p>
        </w:tc>
        <w:tc>
          <w:tcPr>
            <w:tcW w:w="76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1940" w:type="dxa"/>
            <w:vAlign w:val="bottom"/>
            <w:gridSpan w:val="4"/>
          </w:tcPr>
          <w:p>
            <w:pPr>
              <w:ind w:left="160"/>
              <w:spacing w:after="0"/>
              <w:rPr>
                <w:sz w:val="20"/>
                <w:szCs w:val="20"/>
                <w:color w:val="auto"/>
              </w:rPr>
            </w:pPr>
            <w:r>
              <w:rPr>
                <w:rFonts w:ascii="Arial" w:cs="Arial" w:eastAsia="Arial" w:hAnsi="Arial"/>
                <w:sz w:val="14"/>
                <w:szCs w:val="14"/>
                <w:color w:val="auto"/>
                <w:w w:val="95"/>
              </w:rPr>
              <w:t>Comcast 2006 Annual Report</w:t>
            </w:r>
          </w:p>
        </w:tc>
      </w:tr>
    </w:tbl>
    <w:p>
      <w:pPr>
        <w:sectPr>
          <w:pgSz w:w="11900" w:h="16838" w:orient="portrait"/>
          <w:cols w:equalWidth="0" w:num="1">
            <w:col w:w="11420"/>
          </w:cols>
          <w:pgMar w:left="240" w:top="460" w:right="239" w:bottom="1440" w:gutter="0" w:footer="0" w:header="0"/>
          <w:type w:val="continuous"/>
        </w:sectPr>
      </w:pPr>
    </w:p>
    <w:bookmarkStart w:id="154" w:name="page155"/>
    <w:bookmarkEnd w:id="15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229" name="Picture 2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9"/>
                    <pic:cNvPicPr>
                      <a:picLocks noChangeAspect="1" noChangeArrowheads="1"/>
                    </pic:cNvPicPr>
                  </pic:nvPicPr>
                  <pic:blipFill>
                    <a:blip r:embed="rId236">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20" w:lineRule="exact"/>
        <w:rPr>
          <w:sz w:val="20"/>
          <w:szCs w:val="20"/>
          <w:color w:val="auto"/>
        </w:rPr>
      </w:pPr>
    </w:p>
    <w:p>
      <w:pPr>
        <w:spacing w:after="0"/>
        <w:rPr>
          <w:sz w:val="20"/>
          <w:szCs w:val="20"/>
          <w:color w:val="auto"/>
        </w:rPr>
      </w:pPr>
      <w:r>
        <w:rPr>
          <w:rFonts w:ascii="Arial" w:cs="Arial" w:eastAsia="Arial" w:hAnsi="Arial"/>
          <w:sz w:val="24"/>
          <w:szCs w:val="24"/>
          <w:color w:val="auto"/>
        </w:rPr>
        <w:t>Selected Financial Data</w:t>
      </w:r>
    </w:p>
    <w:p>
      <w:pPr>
        <w:spacing w:after="0" w:line="143" w:lineRule="exact"/>
        <w:rPr>
          <w:sz w:val="20"/>
          <w:szCs w:val="20"/>
          <w:color w:val="auto"/>
        </w:rPr>
      </w:pPr>
    </w:p>
    <w:tbl>
      <w:tblPr>
        <w:tblLayout w:type="fixed"/>
        <w:tblInd w:w="0" w:type="dxa"/>
        <w:tblCellMar>
          <w:top w:w="0" w:type="dxa"/>
          <w:left w:w="0" w:type="dxa"/>
          <w:bottom w:w="0" w:type="dxa"/>
          <w:right w:w="0" w:type="dxa"/>
        </w:tblCellMar>
      </w:tblPr>
      <w:tr>
        <w:trPr>
          <w:trHeight w:val="165"/>
        </w:trPr>
        <w:tc>
          <w:tcPr>
            <w:tcW w:w="5660" w:type="dxa"/>
            <w:vAlign w:val="bottom"/>
            <w:tcBorders>
              <w:bottom w:val="single" w:sz="8" w:color="auto"/>
            </w:tcBorders>
            <w:gridSpan w:val="2"/>
          </w:tcPr>
          <w:p>
            <w:pPr>
              <w:spacing w:after="0"/>
              <w:rPr>
                <w:sz w:val="20"/>
                <w:szCs w:val="20"/>
                <w:color w:val="auto"/>
              </w:rPr>
            </w:pPr>
            <w:r>
              <w:rPr>
                <w:rFonts w:ascii="Arial" w:cs="Arial" w:eastAsia="Arial" w:hAnsi="Arial"/>
                <w:sz w:val="14"/>
                <w:szCs w:val="14"/>
                <w:color w:val="auto"/>
              </w:rPr>
              <w:t>Year Ended December 31 (in millions, except per share data)</w:t>
            </w:r>
          </w:p>
        </w:tc>
        <w:tc>
          <w:tcPr>
            <w:tcW w:w="540" w:type="dxa"/>
            <w:vAlign w:val="bottom"/>
            <w:tcBorders>
              <w:bottom w:val="single" w:sz="8" w:color="auto"/>
            </w:tcBorders>
          </w:tcPr>
          <w:p>
            <w:pPr>
              <w:spacing w:after="0"/>
              <w:rPr>
                <w:sz w:val="14"/>
                <w:szCs w:val="14"/>
                <w:color w:val="auto"/>
              </w:rPr>
            </w:pPr>
          </w:p>
        </w:tc>
        <w:tc>
          <w:tcPr>
            <w:tcW w:w="860" w:type="dxa"/>
            <w:vAlign w:val="bottom"/>
            <w:tcBorders>
              <w:bottom w:val="single" w:sz="8" w:color="auto"/>
            </w:tcBorders>
          </w:tcPr>
          <w:p>
            <w:pPr>
              <w:jc w:val="right"/>
              <w:ind w:right="133"/>
              <w:spacing w:after="0"/>
              <w:rPr>
                <w:sz w:val="20"/>
                <w:szCs w:val="20"/>
                <w:color w:val="auto"/>
              </w:rPr>
            </w:pPr>
            <w:r>
              <w:rPr>
                <w:rFonts w:ascii="Arial" w:cs="Arial" w:eastAsia="Arial" w:hAnsi="Arial"/>
                <w:sz w:val="14"/>
                <w:szCs w:val="14"/>
                <w:b w:val="1"/>
                <w:bCs w:val="1"/>
                <w:color w:val="auto"/>
              </w:rPr>
              <w:t>2006</w:t>
            </w:r>
          </w:p>
        </w:tc>
        <w:tc>
          <w:tcPr>
            <w:tcW w:w="260" w:type="dxa"/>
            <w:vAlign w:val="bottom"/>
            <w:tcBorders>
              <w:bottom w:val="single" w:sz="8" w:color="auto"/>
            </w:tcBorders>
          </w:tcPr>
          <w:p>
            <w:pPr>
              <w:spacing w:after="0"/>
              <w:rPr>
                <w:sz w:val="14"/>
                <w:szCs w:val="14"/>
                <w:color w:val="auto"/>
              </w:rPr>
            </w:pPr>
          </w:p>
        </w:tc>
        <w:tc>
          <w:tcPr>
            <w:tcW w:w="860" w:type="dxa"/>
            <w:vAlign w:val="bottom"/>
            <w:tcBorders>
              <w:bottom w:val="single" w:sz="8" w:color="auto"/>
            </w:tcBorders>
          </w:tcPr>
          <w:p>
            <w:pPr>
              <w:jc w:val="right"/>
              <w:ind w:right="133"/>
              <w:spacing w:after="0"/>
              <w:rPr>
                <w:sz w:val="20"/>
                <w:szCs w:val="20"/>
                <w:color w:val="auto"/>
              </w:rPr>
            </w:pPr>
            <w:r>
              <w:rPr>
                <w:rFonts w:ascii="Arial" w:cs="Arial" w:eastAsia="Arial" w:hAnsi="Arial"/>
                <w:sz w:val="14"/>
                <w:szCs w:val="14"/>
                <w:color w:val="auto"/>
              </w:rPr>
              <w:t>2005</w:t>
            </w:r>
          </w:p>
        </w:tc>
        <w:tc>
          <w:tcPr>
            <w:tcW w:w="260" w:type="dxa"/>
            <w:vAlign w:val="bottom"/>
            <w:tcBorders>
              <w:bottom w:val="single" w:sz="8" w:color="auto"/>
            </w:tcBorders>
          </w:tcPr>
          <w:p>
            <w:pPr>
              <w:spacing w:after="0"/>
              <w:rPr>
                <w:sz w:val="14"/>
                <w:szCs w:val="14"/>
                <w:color w:val="auto"/>
              </w:rPr>
            </w:pPr>
          </w:p>
        </w:tc>
        <w:tc>
          <w:tcPr>
            <w:tcW w:w="860" w:type="dxa"/>
            <w:vAlign w:val="bottom"/>
            <w:tcBorders>
              <w:bottom w:val="single" w:sz="8" w:color="auto"/>
            </w:tcBorders>
          </w:tcPr>
          <w:p>
            <w:pPr>
              <w:jc w:val="right"/>
              <w:ind w:right="133"/>
              <w:spacing w:after="0"/>
              <w:rPr>
                <w:sz w:val="20"/>
                <w:szCs w:val="20"/>
                <w:color w:val="auto"/>
              </w:rPr>
            </w:pPr>
            <w:r>
              <w:rPr>
                <w:rFonts w:ascii="Arial" w:cs="Arial" w:eastAsia="Arial" w:hAnsi="Arial"/>
                <w:sz w:val="14"/>
                <w:szCs w:val="14"/>
                <w:color w:val="auto"/>
              </w:rPr>
              <w:t>2004</w:t>
            </w:r>
          </w:p>
        </w:tc>
        <w:tc>
          <w:tcPr>
            <w:tcW w:w="280" w:type="dxa"/>
            <w:vAlign w:val="bottom"/>
            <w:tcBorders>
              <w:bottom w:val="single" w:sz="8" w:color="auto"/>
            </w:tcBorders>
          </w:tcPr>
          <w:p>
            <w:pPr>
              <w:spacing w:after="0"/>
              <w:rPr>
                <w:sz w:val="14"/>
                <w:szCs w:val="14"/>
                <w:color w:val="auto"/>
              </w:rPr>
            </w:pPr>
          </w:p>
        </w:tc>
        <w:tc>
          <w:tcPr>
            <w:tcW w:w="860" w:type="dxa"/>
            <w:vAlign w:val="bottom"/>
            <w:tcBorders>
              <w:bottom w:val="single" w:sz="8" w:color="auto"/>
            </w:tcBorders>
          </w:tcPr>
          <w:p>
            <w:pPr>
              <w:jc w:val="right"/>
              <w:ind w:right="133"/>
              <w:spacing w:after="0"/>
              <w:rPr>
                <w:sz w:val="20"/>
                <w:szCs w:val="20"/>
                <w:color w:val="auto"/>
              </w:rPr>
            </w:pPr>
            <w:r>
              <w:rPr>
                <w:rFonts w:ascii="Arial" w:cs="Arial" w:eastAsia="Arial" w:hAnsi="Arial"/>
                <w:sz w:val="14"/>
                <w:szCs w:val="14"/>
                <w:color w:val="auto"/>
              </w:rPr>
              <w:t>2003</w:t>
            </w:r>
          </w:p>
        </w:tc>
        <w:tc>
          <w:tcPr>
            <w:tcW w:w="280" w:type="dxa"/>
            <w:vAlign w:val="bottom"/>
            <w:tcBorders>
              <w:bottom w:val="single" w:sz="8" w:color="auto"/>
            </w:tcBorders>
          </w:tcPr>
          <w:p>
            <w:pPr>
              <w:spacing w:after="0"/>
              <w:rPr>
                <w:sz w:val="14"/>
                <w:szCs w:val="14"/>
                <w:color w:val="auto"/>
              </w:rPr>
            </w:pPr>
          </w:p>
        </w:tc>
        <w:tc>
          <w:tcPr>
            <w:tcW w:w="70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2002</w:t>
            </w:r>
          </w:p>
        </w:tc>
        <w:tc>
          <w:tcPr>
            <w:tcW w:w="0" w:type="dxa"/>
            <w:vAlign w:val="bottom"/>
          </w:tcPr>
          <w:p>
            <w:pPr>
              <w:spacing w:after="0"/>
              <w:rPr>
                <w:sz w:val="1"/>
                <w:szCs w:val="1"/>
                <w:color w:val="auto"/>
              </w:rPr>
            </w:pPr>
          </w:p>
        </w:tc>
      </w:tr>
      <w:tr>
        <w:trPr>
          <w:trHeight w:val="199"/>
        </w:trPr>
        <w:tc>
          <w:tcPr>
            <w:tcW w:w="5660" w:type="dxa"/>
            <w:vAlign w:val="bottom"/>
            <w:gridSpan w:val="2"/>
          </w:tcPr>
          <w:p>
            <w:pPr>
              <w:spacing w:after="0" w:line="200" w:lineRule="exact"/>
              <w:rPr>
                <w:sz w:val="20"/>
                <w:szCs w:val="20"/>
                <w:color w:val="auto"/>
              </w:rPr>
            </w:pPr>
            <w:r>
              <w:rPr>
                <w:rFonts w:ascii="Arial" w:cs="Arial" w:eastAsia="Arial" w:hAnsi="Arial"/>
                <w:sz w:val="18"/>
                <w:szCs w:val="18"/>
                <w:b w:val="1"/>
                <w:bCs w:val="1"/>
                <w:color w:val="auto"/>
              </w:rPr>
              <w:t>Statement of Operations Data</w:t>
            </w:r>
          </w:p>
        </w:tc>
        <w:tc>
          <w:tcPr>
            <w:tcW w:w="540" w:type="dxa"/>
            <w:vAlign w:val="bottom"/>
            <w:vMerge w:val="restart"/>
          </w:tcPr>
          <w:p>
            <w:pPr>
              <w:jc w:val="right"/>
              <w:spacing w:after="0"/>
              <w:rPr>
                <w:sz w:val="20"/>
                <w:szCs w:val="20"/>
                <w:color w:val="auto"/>
              </w:rPr>
            </w:pPr>
            <w:r>
              <w:rPr>
                <w:rFonts w:ascii="Arial" w:cs="Arial" w:eastAsia="Arial" w:hAnsi="Arial"/>
                <w:sz w:val="18"/>
                <w:szCs w:val="18"/>
                <w:b w:val="1"/>
                <w:bCs w:val="1"/>
                <w:color w:val="auto"/>
              </w:rPr>
              <w:t>$</w:t>
            </w:r>
          </w:p>
        </w:tc>
        <w:tc>
          <w:tcPr>
            <w:tcW w:w="860" w:type="dxa"/>
            <w:vAlign w:val="bottom"/>
            <w:vMerge w:val="restart"/>
          </w:tcPr>
          <w:p>
            <w:pPr>
              <w:jc w:val="right"/>
              <w:ind w:right="133"/>
              <w:spacing w:after="0"/>
              <w:rPr>
                <w:sz w:val="20"/>
                <w:szCs w:val="20"/>
                <w:color w:val="auto"/>
              </w:rPr>
            </w:pPr>
            <w:r>
              <w:rPr>
                <w:rFonts w:ascii="Arial" w:cs="Arial" w:eastAsia="Arial" w:hAnsi="Arial"/>
                <w:sz w:val="18"/>
                <w:szCs w:val="18"/>
                <w:b w:val="1"/>
                <w:bCs w:val="1"/>
                <w:color w:val="auto"/>
              </w:rPr>
              <w:t>24,966</w:t>
            </w:r>
          </w:p>
        </w:tc>
        <w:tc>
          <w:tcPr>
            <w:tcW w:w="26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81"/>
        </w:trPr>
        <w:tc>
          <w:tcPr>
            <w:tcW w:w="5660" w:type="dxa"/>
            <w:vAlign w:val="bottom"/>
            <w:gridSpan w:val="2"/>
          </w:tcPr>
          <w:p>
            <w:pPr>
              <w:spacing w:after="0" w:line="181" w:lineRule="exact"/>
              <w:rPr>
                <w:sz w:val="20"/>
                <w:szCs w:val="20"/>
                <w:color w:val="auto"/>
              </w:rPr>
            </w:pPr>
            <w:r>
              <w:rPr>
                <w:rFonts w:ascii="Arial" w:cs="Arial" w:eastAsia="Arial" w:hAnsi="Arial"/>
                <w:sz w:val="18"/>
                <w:szCs w:val="18"/>
                <w:color w:val="auto"/>
              </w:rPr>
              <w:t>Revenues</w:t>
            </w:r>
          </w:p>
        </w:tc>
        <w:tc>
          <w:tcPr>
            <w:tcW w:w="540" w:type="dxa"/>
            <w:vAlign w:val="bottom"/>
            <w:vMerge w:val="continue"/>
          </w:tcPr>
          <w:p>
            <w:pPr>
              <w:spacing w:after="0"/>
              <w:rPr>
                <w:sz w:val="15"/>
                <w:szCs w:val="15"/>
                <w:color w:val="auto"/>
              </w:rPr>
            </w:pPr>
          </w:p>
        </w:tc>
        <w:tc>
          <w:tcPr>
            <w:tcW w:w="860" w:type="dxa"/>
            <w:vAlign w:val="bottom"/>
            <w:vMerge w:val="continue"/>
          </w:tcPr>
          <w:p>
            <w:pPr>
              <w:spacing w:after="0"/>
              <w:rPr>
                <w:sz w:val="15"/>
                <w:szCs w:val="15"/>
                <w:color w:val="auto"/>
              </w:rPr>
            </w:pPr>
          </w:p>
        </w:tc>
        <w:tc>
          <w:tcPr>
            <w:tcW w:w="260" w:type="dxa"/>
            <w:vAlign w:val="bottom"/>
          </w:tcPr>
          <w:p>
            <w:pPr>
              <w:jc w:val="right"/>
              <w:spacing w:after="0" w:line="181" w:lineRule="exact"/>
              <w:rPr>
                <w:sz w:val="20"/>
                <w:szCs w:val="20"/>
                <w:color w:val="auto"/>
              </w:rPr>
            </w:pPr>
            <w:r>
              <w:rPr>
                <w:rFonts w:ascii="Arial" w:cs="Arial" w:eastAsia="Arial" w:hAnsi="Arial"/>
                <w:sz w:val="18"/>
                <w:szCs w:val="18"/>
                <w:color w:val="auto"/>
              </w:rPr>
              <w:t>$</w:t>
            </w:r>
          </w:p>
        </w:tc>
        <w:tc>
          <w:tcPr>
            <w:tcW w:w="860" w:type="dxa"/>
            <w:vAlign w:val="bottom"/>
          </w:tcPr>
          <w:p>
            <w:pPr>
              <w:jc w:val="right"/>
              <w:ind w:right="133"/>
              <w:spacing w:after="0" w:line="181" w:lineRule="exact"/>
              <w:rPr>
                <w:sz w:val="20"/>
                <w:szCs w:val="20"/>
                <w:color w:val="auto"/>
              </w:rPr>
            </w:pPr>
            <w:r>
              <w:rPr>
                <w:rFonts w:ascii="Arial" w:cs="Arial" w:eastAsia="Arial" w:hAnsi="Arial"/>
                <w:sz w:val="18"/>
                <w:szCs w:val="18"/>
                <w:color w:val="auto"/>
              </w:rPr>
              <w:t>21,075</w:t>
            </w:r>
          </w:p>
        </w:tc>
        <w:tc>
          <w:tcPr>
            <w:tcW w:w="260" w:type="dxa"/>
            <w:vAlign w:val="bottom"/>
          </w:tcPr>
          <w:p>
            <w:pPr>
              <w:jc w:val="right"/>
              <w:spacing w:after="0" w:line="181" w:lineRule="exact"/>
              <w:rPr>
                <w:sz w:val="20"/>
                <w:szCs w:val="20"/>
                <w:color w:val="auto"/>
              </w:rPr>
            </w:pPr>
            <w:r>
              <w:rPr>
                <w:rFonts w:ascii="Arial" w:cs="Arial" w:eastAsia="Arial" w:hAnsi="Arial"/>
                <w:sz w:val="18"/>
                <w:szCs w:val="18"/>
                <w:color w:val="auto"/>
              </w:rPr>
              <w:t>$</w:t>
            </w:r>
          </w:p>
        </w:tc>
        <w:tc>
          <w:tcPr>
            <w:tcW w:w="860" w:type="dxa"/>
            <w:vAlign w:val="bottom"/>
          </w:tcPr>
          <w:p>
            <w:pPr>
              <w:jc w:val="right"/>
              <w:ind w:right="133"/>
              <w:spacing w:after="0" w:line="181" w:lineRule="exact"/>
              <w:rPr>
                <w:sz w:val="20"/>
                <w:szCs w:val="20"/>
                <w:color w:val="auto"/>
              </w:rPr>
            </w:pPr>
            <w:r>
              <w:rPr>
                <w:rFonts w:ascii="Arial" w:cs="Arial" w:eastAsia="Arial" w:hAnsi="Arial"/>
                <w:sz w:val="18"/>
                <w:szCs w:val="18"/>
                <w:color w:val="auto"/>
              </w:rPr>
              <w:t>19,221</w:t>
            </w:r>
          </w:p>
        </w:tc>
        <w:tc>
          <w:tcPr>
            <w:tcW w:w="280" w:type="dxa"/>
            <w:vAlign w:val="bottom"/>
          </w:tcPr>
          <w:p>
            <w:pPr>
              <w:jc w:val="right"/>
              <w:spacing w:after="0" w:line="181" w:lineRule="exact"/>
              <w:rPr>
                <w:sz w:val="20"/>
                <w:szCs w:val="20"/>
                <w:color w:val="auto"/>
              </w:rPr>
            </w:pPr>
            <w:r>
              <w:rPr>
                <w:rFonts w:ascii="Arial" w:cs="Arial" w:eastAsia="Arial" w:hAnsi="Arial"/>
                <w:sz w:val="18"/>
                <w:szCs w:val="18"/>
                <w:color w:val="auto"/>
              </w:rPr>
              <w:t>$</w:t>
            </w:r>
          </w:p>
        </w:tc>
        <w:tc>
          <w:tcPr>
            <w:tcW w:w="860" w:type="dxa"/>
            <w:vAlign w:val="bottom"/>
          </w:tcPr>
          <w:p>
            <w:pPr>
              <w:jc w:val="right"/>
              <w:ind w:right="133"/>
              <w:spacing w:after="0" w:line="181" w:lineRule="exact"/>
              <w:rPr>
                <w:sz w:val="20"/>
                <w:szCs w:val="20"/>
                <w:color w:val="auto"/>
              </w:rPr>
            </w:pPr>
            <w:r>
              <w:rPr>
                <w:rFonts w:ascii="Arial" w:cs="Arial" w:eastAsia="Arial" w:hAnsi="Arial"/>
                <w:sz w:val="18"/>
                <w:szCs w:val="18"/>
                <w:color w:val="auto"/>
              </w:rPr>
              <w:t>17,330</w:t>
            </w:r>
          </w:p>
        </w:tc>
        <w:tc>
          <w:tcPr>
            <w:tcW w:w="280" w:type="dxa"/>
            <w:vAlign w:val="bottom"/>
          </w:tcPr>
          <w:p>
            <w:pPr>
              <w:jc w:val="right"/>
              <w:spacing w:after="0" w:line="181" w:lineRule="exact"/>
              <w:rPr>
                <w:sz w:val="20"/>
                <w:szCs w:val="20"/>
                <w:color w:val="auto"/>
              </w:rPr>
            </w:pPr>
            <w:r>
              <w:rPr>
                <w:rFonts w:ascii="Arial" w:cs="Arial" w:eastAsia="Arial" w:hAnsi="Arial"/>
                <w:sz w:val="18"/>
                <w:szCs w:val="18"/>
                <w:color w:val="auto"/>
              </w:rPr>
              <w:t>$</w:t>
            </w:r>
          </w:p>
        </w:tc>
        <w:tc>
          <w:tcPr>
            <w:tcW w:w="700" w:type="dxa"/>
            <w:vAlign w:val="bottom"/>
          </w:tcPr>
          <w:p>
            <w:pPr>
              <w:jc w:val="right"/>
              <w:spacing w:after="0" w:line="181" w:lineRule="exact"/>
              <w:rPr>
                <w:sz w:val="20"/>
                <w:szCs w:val="20"/>
                <w:color w:val="auto"/>
              </w:rPr>
            </w:pPr>
            <w:r>
              <w:rPr>
                <w:rFonts w:ascii="Arial" w:cs="Arial" w:eastAsia="Arial" w:hAnsi="Arial"/>
                <w:sz w:val="18"/>
                <w:szCs w:val="18"/>
                <w:color w:val="auto"/>
              </w:rPr>
              <w:t>7,997</w:t>
            </w:r>
          </w:p>
        </w:tc>
        <w:tc>
          <w:tcPr>
            <w:tcW w:w="0" w:type="dxa"/>
            <w:vAlign w:val="bottom"/>
          </w:tcPr>
          <w:p>
            <w:pPr>
              <w:spacing w:after="0"/>
              <w:rPr>
                <w:sz w:val="1"/>
                <w:szCs w:val="1"/>
                <w:color w:val="auto"/>
              </w:rPr>
            </w:pPr>
          </w:p>
        </w:tc>
      </w:tr>
      <w:tr>
        <w:trPr>
          <w:trHeight w:val="203"/>
        </w:trPr>
        <w:tc>
          <w:tcPr>
            <w:tcW w:w="5660" w:type="dxa"/>
            <w:vAlign w:val="bottom"/>
            <w:gridSpan w:val="2"/>
          </w:tcPr>
          <w:p>
            <w:pPr>
              <w:spacing w:after="0" w:line="202" w:lineRule="exact"/>
              <w:rPr>
                <w:sz w:val="20"/>
                <w:szCs w:val="20"/>
                <w:color w:val="auto"/>
              </w:rPr>
            </w:pPr>
            <w:r>
              <w:rPr>
                <w:rFonts w:ascii="Arial" w:cs="Arial" w:eastAsia="Arial" w:hAnsi="Arial"/>
                <w:sz w:val="18"/>
                <w:szCs w:val="18"/>
                <w:color w:val="auto"/>
              </w:rPr>
              <w:t>Operating income</w:t>
            </w:r>
          </w:p>
        </w:tc>
        <w:tc>
          <w:tcPr>
            <w:tcW w:w="540" w:type="dxa"/>
            <w:vAlign w:val="bottom"/>
          </w:tcPr>
          <w:p>
            <w:pPr>
              <w:spacing w:after="0"/>
              <w:rPr>
                <w:sz w:val="17"/>
                <w:szCs w:val="17"/>
                <w:color w:val="auto"/>
              </w:rPr>
            </w:pPr>
          </w:p>
        </w:tc>
        <w:tc>
          <w:tcPr>
            <w:tcW w:w="860" w:type="dxa"/>
            <w:vAlign w:val="bottom"/>
          </w:tcPr>
          <w:p>
            <w:pPr>
              <w:jc w:val="right"/>
              <w:ind w:right="133"/>
              <w:spacing w:after="0" w:line="202" w:lineRule="exact"/>
              <w:rPr>
                <w:sz w:val="20"/>
                <w:szCs w:val="20"/>
                <w:color w:val="auto"/>
              </w:rPr>
            </w:pPr>
            <w:r>
              <w:rPr>
                <w:rFonts w:ascii="Arial" w:cs="Arial" w:eastAsia="Arial" w:hAnsi="Arial"/>
                <w:sz w:val="18"/>
                <w:szCs w:val="18"/>
                <w:b w:val="1"/>
                <w:bCs w:val="1"/>
                <w:color w:val="auto"/>
              </w:rPr>
              <w:t>4,619</w:t>
            </w:r>
          </w:p>
        </w:tc>
        <w:tc>
          <w:tcPr>
            <w:tcW w:w="260" w:type="dxa"/>
            <w:vAlign w:val="bottom"/>
          </w:tcPr>
          <w:p>
            <w:pPr>
              <w:spacing w:after="0"/>
              <w:rPr>
                <w:sz w:val="17"/>
                <w:szCs w:val="17"/>
                <w:color w:val="auto"/>
              </w:rPr>
            </w:pPr>
          </w:p>
        </w:tc>
        <w:tc>
          <w:tcPr>
            <w:tcW w:w="860" w:type="dxa"/>
            <w:vAlign w:val="bottom"/>
          </w:tcPr>
          <w:p>
            <w:pPr>
              <w:jc w:val="right"/>
              <w:ind w:right="133"/>
              <w:spacing w:after="0" w:line="202" w:lineRule="exact"/>
              <w:rPr>
                <w:sz w:val="20"/>
                <w:szCs w:val="20"/>
                <w:color w:val="auto"/>
              </w:rPr>
            </w:pPr>
            <w:r>
              <w:rPr>
                <w:rFonts w:ascii="Arial" w:cs="Arial" w:eastAsia="Arial" w:hAnsi="Arial"/>
                <w:sz w:val="18"/>
                <w:szCs w:val="18"/>
                <w:color w:val="auto"/>
              </w:rPr>
              <w:t>3,521</w:t>
            </w:r>
          </w:p>
        </w:tc>
        <w:tc>
          <w:tcPr>
            <w:tcW w:w="260" w:type="dxa"/>
            <w:vAlign w:val="bottom"/>
          </w:tcPr>
          <w:p>
            <w:pPr>
              <w:spacing w:after="0"/>
              <w:rPr>
                <w:sz w:val="17"/>
                <w:szCs w:val="17"/>
                <w:color w:val="auto"/>
              </w:rPr>
            </w:pPr>
          </w:p>
        </w:tc>
        <w:tc>
          <w:tcPr>
            <w:tcW w:w="860" w:type="dxa"/>
            <w:vAlign w:val="bottom"/>
          </w:tcPr>
          <w:p>
            <w:pPr>
              <w:jc w:val="right"/>
              <w:ind w:right="133"/>
              <w:spacing w:after="0" w:line="202" w:lineRule="exact"/>
              <w:rPr>
                <w:sz w:val="20"/>
                <w:szCs w:val="20"/>
                <w:color w:val="auto"/>
              </w:rPr>
            </w:pPr>
            <w:r>
              <w:rPr>
                <w:rFonts w:ascii="Arial" w:cs="Arial" w:eastAsia="Arial" w:hAnsi="Arial"/>
                <w:sz w:val="18"/>
                <w:szCs w:val="18"/>
                <w:color w:val="auto"/>
              </w:rPr>
              <w:t>2,829</w:t>
            </w:r>
          </w:p>
        </w:tc>
        <w:tc>
          <w:tcPr>
            <w:tcW w:w="280" w:type="dxa"/>
            <w:vAlign w:val="bottom"/>
          </w:tcPr>
          <w:p>
            <w:pPr>
              <w:spacing w:after="0"/>
              <w:rPr>
                <w:sz w:val="17"/>
                <w:szCs w:val="17"/>
                <w:color w:val="auto"/>
              </w:rPr>
            </w:pPr>
          </w:p>
        </w:tc>
        <w:tc>
          <w:tcPr>
            <w:tcW w:w="860" w:type="dxa"/>
            <w:vAlign w:val="bottom"/>
          </w:tcPr>
          <w:p>
            <w:pPr>
              <w:jc w:val="right"/>
              <w:ind w:right="133"/>
              <w:spacing w:after="0" w:line="202" w:lineRule="exact"/>
              <w:rPr>
                <w:sz w:val="20"/>
                <w:szCs w:val="20"/>
                <w:color w:val="auto"/>
              </w:rPr>
            </w:pPr>
            <w:r>
              <w:rPr>
                <w:rFonts w:ascii="Arial" w:cs="Arial" w:eastAsia="Arial" w:hAnsi="Arial"/>
                <w:sz w:val="18"/>
                <w:szCs w:val="18"/>
                <w:color w:val="auto"/>
              </w:rPr>
              <w:t>1,938</w:t>
            </w:r>
          </w:p>
        </w:tc>
        <w:tc>
          <w:tcPr>
            <w:tcW w:w="280" w:type="dxa"/>
            <w:vAlign w:val="bottom"/>
          </w:tcPr>
          <w:p>
            <w:pPr>
              <w:spacing w:after="0"/>
              <w:rPr>
                <w:sz w:val="17"/>
                <w:szCs w:val="17"/>
                <w:color w:val="auto"/>
              </w:rPr>
            </w:pPr>
          </w:p>
        </w:tc>
        <w:tc>
          <w:tcPr>
            <w:tcW w:w="700" w:type="dxa"/>
            <w:vAlign w:val="bottom"/>
          </w:tcPr>
          <w:p>
            <w:pPr>
              <w:jc w:val="right"/>
              <w:spacing w:after="0" w:line="202" w:lineRule="exact"/>
              <w:rPr>
                <w:sz w:val="20"/>
                <w:szCs w:val="20"/>
                <w:color w:val="auto"/>
              </w:rPr>
            </w:pPr>
            <w:r>
              <w:rPr>
                <w:rFonts w:ascii="Arial" w:cs="Arial" w:eastAsia="Arial" w:hAnsi="Arial"/>
                <w:sz w:val="18"/>
                <w:szCs w:val="18"/>
                <w:color w:val="auto"/>
              </w:rPr>
              <w:t>948</w:t>
            </w:r>
          </w:p>
        </w:tc>
        <w:tc>
          <w:tcPr>
            <w:tcW w:w="0" w:type="dxa"/>
            <w:vAlign w:val="bottom"/>
          </w:tcPr>
          <w:p>
            <w:pPr>
              <w:spacing w:after="0"/>
              <w:rPr>
                <w:sz w:val="1"/>
                <w:szCs w:val="1"/>
                <w:color w:val="auto"/>
              </w:rPr>
            </w:pPr>
          </w:p>
        </w:tc>
      </w:tr>
      <w:tr>
        <w:trPr>
          <w:trHeight w:val="203"/>
        </w:trPr>
        <w:tc>
          <w:tcPr>
            <w:tcW w:w="5660" w:type="dxa"/>
            <w:vAlign w:val="bottom"/>
            <w:gridSpan w:val="2"/>
          </w:tcPr>
          <w:p>
            <w:pPr>
              <w:spacing w:after="0" w:line="202" w:lineRule="exact"/>
              <w:rPr>
                <w:sz w:val="20"/>
                <w:szCs w:val="20"/>
                <w:color w:val="auto"/>
              </w:rPr>
            </w:pPr>
            <w:r>
              <w:rPr>
                <w:rFonts w:ascii="Arial" w:cs="Arial" w:eastAsia="Arial" w:hAnsi="Arial"/>
                <w:sz w:val="18"/>
                <w:szCs w:val="18"/>
                <w:color w:val="auto"/>
              </w:rPr>
              <w:t>Income (loss) from continuing operations</w:t>
            </w:r>
          </w:p>
        </w:tc>
        <w:tc>
          <w:tcPr>
            <w:tcW w:w="540" w:type="dxa"/>
            <w:vAlign w:val="bottom"/>
          </w:tcPr>
          <w:p>
            <w:pPr>
              <w:spacing w:after="0"/>
              <w:rPr>
                <w:sz w:val="17"/>
                <w:szCs w:val="17"/>
                <w:color w:val="auto"/>
              </w:rPr>
            </w:pPr>
          </w:p>
        </w:tc>
        <w:tc>
          <w:tcPr>
            <w:tcW w:w="860" w:type="dxa"/>
            <w:vAlign w:val="bottom"/>
          </w:tcPr>
          <w:p>
            <w:pPr>
              <w:jc w:val="right"/>
              <w:ind w:right="133"/>
              <w:spacing w:after="0" w:line="202" w:lineRule="exact"/>
              <w:rPr>
                <w:sz w:val="20"/>
                <w:szCs w:val="20"/>
                <w:color w:val="auto"/>
              </w:rPr>
            </w:pPr>
            <w:r>
              <w:rPr>
                <w:rFonts w:ascii="Arial" w:cs="Arial" w:eastAsia="Arial" w:hAnsi="Arial"/>
                <w:sz w:val="18"/>
                <w:szCs w:val="18"/>
                <w:b w:val="1"/>
                <w:bCs w:val="1"/>
                <w:color w:val="auto"/>
              </w:rPr>
              <w:t>2,235</w:t>
            </w:r>
          </w:p>
        </w:tc>
        <w:tc>
          <w:tcPr>
            <w:tcW w:w="260" w:type="dxa"/>
            <w:vAlign w:val="bottom"/>
          </w:tcPr>
          <w:p>
            <w:pPr>
              <w:spacing w:after="0"/>
              <w:rPr>
                <w:sz w:val="17"/>
                <w:szCs w:val="17"/>
                <w:color w:val="auto"/>
              </w:rPr>
            </w:pPr>
          </w:p>
        </w:tc>
        <w:tc>
          <w:tcPr>
            <w:tcW w:w="860" w:type="dxa"/>
            <w:vAlign w:val="bottom"/>
          </w:tcPr>
          <w:p>
            <w:pPr>
              <w:jc w:val="right"/>
              <w:ind w:right="133"/>
              <w:spacing w:after="0" w:line="202" w:lineRule="exact"/>
              <w:rPr>
                <w:sz w:val="20"/>
                <w:szCs w:val="20"/>
                <w:color w:val="auto"/>
              </w:rPr>
            </w:pPr>
            <w:r>
              <w:rPr>
                <w:rFonts w:ascii="Arial" w:cs="Arial" w:eastAsia="Arial" w:hAnsi="Arial"/>
                <w:sz w:val="18"/>
                <w:szCs w:val="18"/>
                <w:color w:val="auto"/>
              </w:rPr>
              <w:t>828</w:t>
            </w:r>
          </w:p>
        </w:tc>
        <w:tc>
          <w:tcPr>
            <w:tcW w:w="260" w:type="dxa"/>
            <w:vAlign w:val="bottom"/>
          </w:tcPr>
          <w:p>
            <w:pPr>
              <w:spacing w:after="0"/>
              <w:rPr>
                <w:sz w:val="17"/>
                <w:szCs w:val="17"/>
                <w:color w:val="auto"/>
              </w:rPr>
            </w:pPr>
          </w:p>
        </w:tc>
        <w:tc>
          <w:tcPr>
            <w:tcW w:w="860" w:type="dxa"/>
            <w:vAlign w:val="bottom"/>
          </w:tcPr>
          <w:p>
            <w:pPr>
              <w:jc w:val="right"/>
              <w:ind w:right="133"/>
              <w:spacing w:after="0" w:line="202" w:lineRule="exact"/>
              <w:rPr>
                <w:sz w:val="20"/>
                <w:szCs w:val="20"/>
                <w:color w:val="auto"/>
              </w:rPr>
            </w:pPr>
            <w:r>
              <w:rPr>
                <w:rFonts w:ascii="Arial" w:cs="Arial" w:eastAsia="Arial" w:hAnsi="Arial"/>
                <w:sz w:val="18"/>
                <w:szCs w:val="18"/>
                <w:color w:val="auto"/>
              </w:rPr>
              <w:t>928</w:t>
            </w:r>
          </w:p>
        </w:tc>
        <w:tc>
          <w:tcPr>
            <w:tcW w:w="280" w:type="dxa"/>
            <w:vAlign w:val="bottom"/>
          </w:tcPr>
          <w:p>
            <w:pPr>
              <w:spacing w:after="0"/>
              <w:rPr>
                <w:sz w:val="17"/>
                <w:szCs w:val="17"/>
                <w:color w:val="auto"/>
              </w:rPr>
            </w:pPr>
          </w:p>
        </w:tc>
        <w:tc>
          <w:tcPr>
            <w:tcW w:w="860" w:type="dxa"/>
            <w:vAlign w:val="bottom"/>
          </w:tcPr>
          <w:p>
            <w:pPr>
              <w:jc w:val="right"/>
              <w:ind w:right="73"/>
              <w:spacing w:after="0" w:line="202" w:lineRule="exact"/>
              <w:rPr>
                <w:sz w:val="20"/>
                <w:szCs w:val="20"/>
                <w:color w:val="auto"/>
              </w:rPr>
            </w:pPr>
            <w:r>
              <w:rPr>
                <w:rFonts w:ascii="Arial" w:cs="Arial" w:eastAsia="Arial" w:hAnsi="Arial"/>
                <w:sz w:val="18"/>
                <w:szCs w:val="18"/>
                <w:color w:val="auto"/>
              </w:rPr>
              <w:t>(222)</w:t>
            </w:r>
          </w:p>
        </w:tc>
        <w:tc>
          <w:tcPr>
            <w:tcW w:w="280" w:type="dxa"/>
            <w:vAlign w:val="bottom"/>
          </w:tcPr>
          <w:p>
            <w:pPr>
              <w:spacing w:after="0"/>
              <w:rPr>
                <w:sz w:val="17"/>
                <w:szCs w:val="17"/>
                <w:color w:val="auto"/>
              </w:rPr>
            </w:pPr>
          </w:p>
        </w:tc>
        <w:tc>
          <w:tcPr>
            <w:tcW w:w="700" w:type="dxa"/>
            <w:vAlign w:val="bottom"/>
          </w:tcPr>
          <w:p>
            <w:pPr>
              <w:jc w:val="right"/>
              <w:spacing w:after="0" w:line="202" w:lineRule="exact"/>
              <w:rPr>
                <w:sz w:val="20"/>
                <w:szCs w:val="20"/>
                <w:color w:val="auto"/>
              </w:rPr>
            </w:pPr>
            <w:r>
              <w:rPr>
                <w:rFonts w:ascii="Arial" w:cs="Arial" w:eastAsia="Arial" w:hAnsi="Arial"/>
                <w:sz w:val="18"/>
                <w:szCs w:val="18"/>
                <w:color w:val="auto"/>
              </w:rPr>
              <w:t>(452)</w:t>
            </w:r>
          </w:p>
        </w:tc>
        <w:tc>
          <w:tcPr>
            <w:tcW w:w="0" w:type="dxa"/>
            <w:vAlign w:val="bottom"/>
          </w:tcPr>
          <w:p>
            <w:pPr>
              <w:spacing w:after="0"/>
              <w:rPr>
                <w:sz w:val="1"/>
                <w:szCs w:val="1"/>
                <w:color w:val="auto"/>
              </w:rPr>
            </w:pPr>
          </w:p>
        </w:tc>
      </w:tr>
      <w:tr>
        <w:trPr>
          <w:trHeight w:val="203"/>
        </w:trPr>
        <w:tc>
          <w:tcPr>
            <w:tcW w:w="5660" w:type="dxa"/>
            <w:vAlign w:val="bottom"/>
            <w:gridSpan w:val="2"/>
          </w:tcPr>
          <w:p>
            <w:pPr>
              <w:spacing w:after="0" w:line="203" w:lineRule="exact"/>
              <w:rPr>
                <w:sz w:val="20"/>
                <w:szCs w:val="20"/>
                <w:color w:val="auto"/>
              </w:rPr>
            </w:pPr>
            <w:r>
              <w:rPr>
                <w:rFonts w:ascii="Arial" w:cs="Arial" w:eastAsia="Arial" w:hAnsi="Arial"/>
                <w:sz w:val="18"/>
                <w:szCs w:val="18"/>
                <w:color w:val="auto"/>
              </w:rPr>
              <w:t>Discontinued operations</w:t>
            </w:r>
            <w:r>
              <w:rPr>
                <w:rFonts w:ascii="Arial" w:cs="Arial" w:eastAsia="Arial" w:hAnsi="Arial"/>
                <w:sz w:val="22"/>
                <w:szCs w:val="22"/>
                <w:color w:val="auto"/>
                <w:vertAlign w:val="superscript"/>
              </w:rPr>
              <w:t>(a)(b)</w:t>
            </w:r>
          </w:p>
        </w:tc>
        <w:tc>
          <w:tcPr>
            <w:tcW w:w="540" w:type="dxa"/>
            <w:vAlign w:val="bottom"/>
          </w:tcPr>
          <w:p>
            <w:pPr>
              <w:spacing w:after="0"/>
              <w:rPr>
                <w:sz w:val="17"/>
                <w:szCs w:val="17"/>
                <w:color w:val="auto"/>
              </w:rPr>
            </w:pPr>
          </w:p>
        </w:tc>
        <w:tc>
          <w:tcPr>
            <w:tcW w:w="860" w:type="dxa"/>
            <w:vAlign w:val="bottom"/>
          </w:tcPr>
          <w:p>
            <w:pPr>
              <w:jc w:val="right"/>
              <w:ind w:right="133"/>
              <w:spacing w:after="0" w:line="202" w:lineRule="exact"/>
              <w:rPr>
                <w:sz w:val="20"/>
                <w:szCs w:val="20"/>
                <w:color w:val="auto"/>
              </w:rPr>
            </w:pPr>
            <w:r>
              <w:rPr>
                <w:rFonts w:ascii="Arial" w:cs="Arial" w:eastAsia="Arial" w:hAnsi="Arial"/>
                <w:sz w:val="18"/>
                <w:szCs w:val="18"/>
                <w:b w:val="1"/>
                <w:bCs w:val="1"/>
                <w:color w:val="auto"/>
              </w:rPr>
              <w:t>298</w:t>
            </w:r>
          </w:p>
        </w:tc>
        <w:tc>
          <w:tcPr>
            <w:tcW w:w="260" w:type="dxa"/>
            <w:vAlign w:val="bottom"/>
          </w:tcPr>
          <w:p>
            <w:pPr>
              <w:spacing w:after="0"/>
              <w:rPr>
                <w:sz w:val="17"/>
                <w:szCs w:val="17"/>
                <w:color w:val="auto"/>
              </w:rPr>
            </w:pPr>
          </w:p>
        </w:tc>
        <w:tc>
          <w:tcPr>
            <w:tcW w:w="860" w:type="dxa"/>
            <w:vAlign w:val="bottom"/>
          </w:tcPr>
          <w:p>
            <w:pPr>
              <w:jc w:val="right"/>
              <w:ind w:right="133"/>
              <w:spacing w:after="0" w:line="202" w:lineRule="exact"/>
              <w:rPr>
                <w:sz w:val="20"/>
                <w:szCs w:val="20"/>
                <w:color w:val="auto"/>
              </w:rPr>
            </w:pPr>
            <w:r>
              <w:rPr>
                <w:rFonts w:ascii="Arial" w:cs="Arial" w:eastAsia="Arial" w:hAnsi="Arial"/>
                <w:sz w:val="18"/>
                <w:szCs w:val="18"/>
                <w:color w:val="auto"/>
              </w:rPr>
              <w:t>100</w:t>
            </w:r>
          </w:p>
        </w:tc>
        <w:tc>
          <w:tcPr>
            <w:tcW w:w="260" w:type="dxa"/>
            <w:vAlign w:val="bottom"/>
          </w:tcPr>
          <w:p>
            <w:pPr>
              <w:spacing w:after="0"/>
              <w:rPr>
                <w:sz w:val="17"/>
                <w:szCs w:val="17"/>
                <w:color w:val="auto"/>
              </w:rPr>
            </w:pPr>
          </w:p>
        </w:tc>
        <w:tc>
          <w:tcPr>
            <w:tcW w:w="860" w:type="dxa"/>
            <w:vAlign w:val="bottom"/>
          </w:tcPr>
          <w:p>
            <w:pPr>
              <w:jc w:val="right"/>
              <w:ind w:right="133"/>
              <w:spacing w:after="0" w:line="202" w:lineRule="exact"/>
              <w:rPr>
                <w:sz w:val="20"/>
                <w:szCs w:val="20"/>
                <w:color w:val="auto"/>
              </w:rPr>
            </w:pPr>
            <w:r>
              <w:rPr>
                <w:rFonts w:ascii="Arial" w:cs="Arial" w:eastAsia="Arial" w:hAnsi="Arial"/>
                <w:sz w:val="18"/>
                <w:szCs w:val="18"/>
                <w:color w:val="auto"/>
              </w:rPr>
              <w:t>42</w:t>
            </w:r>
          </w:p>
        </w:tc>
        <w:tc>
          <w:tcPr>
            <w:tcW w:w="280" w:type="dxa"/>
            <w:vAlign w:val="bottom"/>
          </w:tcPr>
          <w:p>
            <w:pPr>
              <w:spacing w:after="0"/>
              <w:rPr>
                <w:sz w:val="17"/>
                <w:szCs w:val="17"/>
                <w:color w:val="auto"/>
              </w:rPr>
            </w:pPr>
          </w:p>
        </w:tc>
        <w:tc>
          <w:tcPr>
            <w:tcW w:w="860" w:type="dxa"/>
            <w:vAlign w:val="bottom"/>
          </w:tcPr>
          <w:p>
            <w:pPr>
              <w:jc w:val="right"/>
              <w:ind w:right="133"/>
              <w:spacing w:after="0" w:line="202" w:lineRule="exact"/>
              <w:rPr>
                <w:sz w:val="20"/>
                <w:szCs w:val="20"/>
                <w:color w:val="auto"/>
              </w:rPr>
            </w:pPr>
            <w:r>
              <w:rPr>
                <w:rFonts w:ascii="Arial" w:cs="Arial" w:eastAsia="Arial" w:hAnsi="Arial"/>
                <w:sz w:val="18"/>
                <w:szCs w:val="18"/>
                <w:color w:val="auto"/>
              </w:rPr>
              <w:t>3,462</w:t>
            </w:r>
          </w:p>
        </w:tc>
        <w:tc>
          <w:tcPr>
            <w:tcW w:w="280" w:type="dxa"/>
            <w:vAlign w:val="bottom"/>
          </w:tcPr>
          <w:p>
            <w:pPr>
              <w:spacing w:after="0"/>
              <w:rPr>
                <w:sz w:val="17"/>
                <w:szCs w:val="17"/>
                <w:color w:val="auto"/>
              </w:rPr>
            </w:pPr>
          </w:p>
        </w:tc>
        <w:tc>
          <w:tcPr>
            <w:tcW w:w="700" w:type="dxa"/>
            <w:vAlign w:val="bottom"/>
          </w:tcPr>
          <w:p>
            <w:pPr>
              <w:jc w:val="right"/>
              <w:spacing w:after="0" w:line="202" w:lineRule="exact"/>
              <w:rPr>
                <w:sz w:val="20"/>
                <w:szCs w:val="20"/>
                <w:color w:val="auto"/>
              </w:rPr>
            </w:pPr>
            <w:r>
              <w:rPr>
                <w:rFonts w:ascii="Arial" w:cs="Arial" w:eastAsia="Arial" w:hAnsi="Arial"/>
                <w:sz w:val="18"/>
                <w:szCs w:val="18"/>
                <w:color w:val="auto"/>
              </w:rPr>
              <w:t>178</w:t>
            </w:r>
          </w:p>
        </w:tc>
        <w:tc>
          <w:tcPr>
            <w:tcW w:w="0" w:type="dxa"/>
            <w:vAlign w:val="bottom"/>
          </w:tcPr>
          <w:p>
            <w:pPr>
              <w:spacing w:after="0"/>
              <w:rPr>
                <w:sz w:val="1"/>
                <w:szCs w:val="1"/>
                <w:color w:val="auto"/>
              </w:rPr>
            </w:pPr>
          </w:p>
        </w:tc>
      </w:tr>
      <w:tr>
        <w:trPr>
          <w:trHeight w:val="203"/>
        </w:trPr>
        <w:tc>
          <w:tcPr>
            <w:tcW w:w="5660" w:type="dxa"/>
            <w:vAlign w:val="bottom"/>
            <w:gridSpan w:val="2"/>
          </w:tcPr>
          <w:p>
            <w:pPr>
              <w:spacing w:after="0" w:line="202" w:lineRule="exact"/>
              <w:rPr>
                <w:sz w:val="20"/>
                <w:szCs w:val="20"/>
                <w:color w:val="auto"/>
              </w:rPr>
            </w:pPr>
            <w:r>
              <w:rPr>
                <w:rFonts w:ascii="Arial" w:cs="Arial" w:eastAsia="Arial" w:hAnsi="Arial"/>
                <w:sz w:val="18"/>
                <w:szCs w:val="18"/>
                <w:color w:val="auto"/>
              </w:rPr>
              <w:t>Net income (loss)</w:t>
            </w:r>
          </w:p>
        </w:tc>
        <w:tc>
          <w:tcPr>
            <w:tcW w:w="540" w:type="dxa"/>
            <w:vAlign w:val="bottom"/>
          </w:tcPr>
          <w:p>
            <w:pPr>
              <w:spacing w:after="0"/>
              <w:rPr>
                <w:sz w:val="17"/>
                <w:szCs w:val="17"/>
                <w:color w:val="auto"/>
              </w:rPr>
            </w:pPr>
          </w:p>
        </w:tc>
        <w:tc>
          <w:tcPr>
            <w:tcW w:w="860" w:type="dxa"/>
            <w:vAlign w:val="bottom"/>
          </w:tcPr>
          <w:p>
            <w:pPr>
              <w:jc w:val="right"/>
              <w:ind w:right="133"/>
              <w:spacing w:after="0" w:line="202" w:lineRule="exact"/>
              <w:rPr>
                <w:sz w:val="20"/>
                <w:szCs w:val="20"/>
                <w:color w:val="auto"/>
              </w:rPr>
            </w:pPr>
            <w:r>
              <w:rPr>
                <w:rFonts w:ascii="Arial" w:cs="Arial" w:eastAsia="Arial" w:hAnsi="Arial"/>
                <w:sz w:val="18"/>
                <w:szCs w:val="18"/>
                <w:b w:val="1"/>
                <w:bCs w:val="1"/>
                <w:color w:val="auto"/>
              </w:rPr>
              <w:t>2,533</w:t>
            </w:r>
          </w:p>
        </w:tc>
        <w:tc>
          <w:tcPr>
            <w:tcW w:w="260" w:type="dxa"/>
            <w:vAlign w:val="bottom"/>
          </w:tcPr>
          <w:p>
            <w:pPr>
              <w:spacing w:after="0"/>
              <w:rPr>
                <w:sz w:val="17"/>
                <w:szCs w:val="17"/>
                <w:color w:val="auto"/>
              </w:rPr>
            </w:pPr>
          </w:p>
        </w:tc>
        <w:tc>
          <w:tcPr>
            <w:tcW w:w="860" w:type="dxa"/>
            <w:vAlign w:val="bottom"/>
          </w:tcPr>
          <w:p>
            <w:pPr>
              <w:jc w:val="right"/>
              <w:ind w:right="133"/>
              <w:spacing w:after="0" w:line="202" w:lineRule="exact"/>
              <w:rPr>
                <w:sz w:val="20"/>
                <w:szCs w:val="20"/>
                <w:color w:val="auto"/>
              </w:rPr>
            </w:pPr>
            <w:r>
              <w:rPr>
                <w:rFonts w:ascii="Arial" w:cs="Arial" w:eastAsia="Arial" w:hAnsi="Arial"/>
                <w:sz w:val="18"/>
                <w:szCs w:val="18"/>
                <w:color w:val="auto"/>
              </w:rPr>
              <w:t>928</w:t>
            </w:r>
          </w:p>
        </w:tc>
        <w:tc>
          <w:tcPr>
            <w:tcW w:w="260" w:type="dxa"/>
            <w:vAlign w:val="bottom"/>
          </w:tcPr>
          <w:p>
            <w:pPr>
              <w:spacing w:after="0"/>
              <w:rPr>
                <w:sz w:val="17"/>
                <w:szCs w:val="17"/>
                <w:color w:val="auto"/>
              </w:rPr>
            </w:pPr>
          </w:p>
        </w:tc>
        <w:tc>
          <w:tcPr>
            <w:tcW w:w="860" w:type="dxa"/>
            <w:vAlign w:val="bottom"/>
          </w:tcPr>
          <w:p>
            <w:pPr>
              <w:jc w:val="right"/>
              <w:ind w:right="133"/>
              <w:spacing w:after="0" w:line="202" w:lineRule="exact"/>
              <w:rPr>
                <w:sz w:val="20"/>
                <w:szCs w:val="20"/>
                <w:color w:val="auto"/>
              </w:rPr>
            </w:pPr>
            <w:r>
              <w:rPr>
                <w:rFonts w:ascii="Arial" w:cs="Arial" w:eastAsia="Arial" w:hAnsi="Arial"/>
                <w:sz w:val="18"/>
                <w:szCs w:val="18"/>
                <w:color w:val="auto"/>
              </w:rPr>
              <w:t>970</w:t>
            </w:r>
          </w:p>
        </w:tc>
        <w:tc>
          <w:tcPr>
            <w:tcW w:w="280" w:type="dxa"/>
            <w:vAlign w:val="bottom"/>
          </w:tcPr>
          <w:p>
            <w:pPr>
              <w:spacing w:after="0"/>
              <w:rPr>
                <w:sz w:val="17"/>
                <w:szCs w:val="17"/>
                <w:color w:val="auto"/>
              </w:rPr>
            </w:pPr>
          </w:p>
        </w:tc>
        <w:tc>
          <w:tcPr>
            <w:tcW w:w="860" w:type="dxa"/>
            <w:vAlign w:val="bottom"/>
          </w:tcPr>
          <w:p>
            <w:pPr>
              <w:jc w:val="right"/>
              <w:ind w:right="133"/>
              <w:spacing w:after="0" w:line="202" w:lineRule="exact"/>
              <w:rPr>
                <w:sz w:val="20"/>
                <w:szCs w:val="20"/>
                <w:color w:val="auto"/>
              </w:rPr>
            </w:pPr>
            <w:r>
              <w:rPr>
                <w:rFonts w:ascii="Arial" w:cs="Arial" w:eastAsia="Arial" w:hAnsi="Arial"/>
                <w:sz w:val="18"/>
                <w:szCs w:val="18"/>
                <w:color w:val="auto"/>
              </w:rPr>
              <w:t>3,240</w:t>
            </w:r>
          </w:p>
        </w:tc>
        <w:tc>
          <w:tcPr>
            <w:tcW w:w="280" w:type="dxa"/>
            <w:vAlign w:val="bottom"/>
          </w:tcPr>
          <w:p>
            <w:pPr>
              <w:spacing w:after="0"/>
              <w:rPr>
                <w:sz w:val="17"/>
                <w:szCs w:val="17"/>
                <w:color w:val="auto"/>
              </w:rPr>
            </w:pPr>
          </w:p>
        </w:tc>
        <w:tc>
          <w:tcPr>
            <w:tcW w:w="700" w:type="dxa"/>
            <w:vAlign w:val="bottom"/>
          </w:tcPr>
          <w:p>
            <w:pPr>
              <w:jc w:val="right"/>
              <w:spacing w:after="0" w:line="202" w:lineRule="exact"/>
              <w:rPr>
                <w:sz w:val="20"/>
                <w:szCs w:val="20"/>
                <w:color w:val="auto"/>
              </w:rPr>
            </w:pPr>
            <w:r>
              <w:rPr>
                <w:rFonts w:ascii="Arial" w:cs="Arial" w:eastAsia="Arial" w:hAnsi="Arial"/>
                <w:sz w:val="18"/>
                <w:szCs w:val="18"/>
                <w:color w:val="auto"/>
              </w:rPr>
              <w:t>(274)</w:t>
            </w:r>
          </w:p>
        </w:tc>
        <w:tc>
          <w:tcPr>
            <w:tcW w:w="0" w:type="dxa"/>
            <w:vAlign w:val="bottom"/>
          </w:tcPr>
          <w:p>
            <w:pPr>
              <w:spacing w:after="0"/>
              <w:rPr>
                <w:sz w:val="1"/>
                <w:szCs w:val="1"/>
                <w:color w:val="auto"/>
              </w:rPr>
            </w:pPr>
          </w:p>
        </w:tc>
      </w:tr>
      <w:tr>
        <w:trPr>
          <w:trHeight w:val="203"/>
        </w:trPr>
        <w:tc>
          <w:tcPr>
            <w:tcW w:w="5660" w:type="dxa"/>
            <w:vAlign w:val="bottom"/>
            <w:gridSpan w:val="2"/>
          </w:tcPr>
          <w:p>
            <w:pPr>
              <w:spacing w:after="0" w:line="202" w:lineRule="exact"/>
              <w:rPr>
                <w:sz w:val="20"/>
                <w:szCs w:val="20"/>
                <w:color w:val="auto"/>
              </w:rPr>
            </w:pPr>
            <w:r>
              <w:rPr>
                <w:rFonts w:ascii="Arial" w:cs="Arial" w:eastAsia="Arial" w:hAnsi="Arial"/>
                <w:sz w:val="18"/>
                <w:szCs w:val="18"/>
                <w:b w:val="1"/>
                <w:bCs w:val="1"/>
                <w:color w:val="auto"/>
              </w:rPr>
              <w:t>Basic earnings( loss) for common stockholders per common</w:t>
            </w:r>
          </w:p>
        </w:tc>
        <w:tc>
          <w:tcPr>
            <w:tcW w:w="54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25"/>
        </w:trPr>
        <w:tc>
          <w:tcPr>
            <w:tcW w:w="20" w:type="dxa"/>
            <w:vAlign w:val="bottom"/>
          </w:tcPr>
          <w:p>
            <w:pPr>
              <w:spacing w:after="0"/>
              <w:rPr>
                <w:sz w:val="19"/>
                <w:szCs w:val="19"/>
                <w:color w:val="auto"/>
              </w:rPr>
            </w:pPr>
          </w:p>
        </w:tc>
        <w:tc>
          <w:tcPr>
            <w:tcW w:w="5640" w:type="dxa"/>
            <w:vAlign w:val="bottom"/>
          </w:tcPr>
          <w:p>
            <w:pPr>
              <w:ind w:left="200"/>
              <w:spacing w:after="0" w:line="225" w:lineRule="exact"/>
              <w:rPr>
                <w:sz w:val="20"/>
                <w:szCs w:val="20"/>
                <w:color w:val="auto"/>
              </w:rPr>
            </w:pPr>
            <w:r>
              <w:rPr>
                <w:rFonts w:ascii="Arial" w:cs="Arial" w:eastAsia="Arial" w:hAnsi="Arial"/>
                <w:sz w:val="18"/>
                <w:szCs w:val="18"/>
                <w:b w:val="1"/>
                <w:bCs w:val="1"/>
                <w:color w:val="auto"/>
              </w:rPr>
              <w:t>share</w:t>
            </w:r>
            <w:r>
              <w:rPr>
                <w:rFonts w:ascii="Arial" w:cs="Arial" w:eastAsia="Arial" w:hAnsi="Arial"/>
                <w:sz w:val="22"/>
                <w:szCs w:val="22"/>
                <w:color w:val="auto"/>
                <w:vertAlign w:val="superscript"/>
              </w:rPr>
              <w:t>(c)</w:t>
            </w:r>
          </w:p>
        </w:tc>
        <w:tc>
          <w:tcPr>
            <w:tcW w:w="540" w:type="dxa"/>
            <w:vAlign w:val="bottom"/>
            <w:vMerge w:val="restart"/>
          </w:tcPr>
          <w:p>
            <w:pPr>
              <w:jc w:val="right"/>
              <w:spacing w:after="0"/>
              <w:rPr>
                <w:sz w:val="20"/>
                <w:szCs w:val="20"/>
                <w:color w:val="auto"/>
              </w:rPr>
            </w:pPr>
            <w:r>
              <w:rPr>
                <w:rFonts w:ascii="Arial" w:cs="Arial" w:eastAsia="Arial" w:hAnsi="Arial"/>
                <w:sz w:val="18"/>
                <w:szCs w:val="18"/>
                <w:b w:val="1"/>
                <w:bCs w:val="1"/>
                <w:color w:val="auto"/>
              </w:rPr>
              <w:t>$</w:t>
            </w:r>
          </w:p>
        </w:tc>
        <w:tc>
          <w:tcPr>
            <w:tcW w:w="860" w:type="dxa"/>
            <w:vAlign w:val="bottom"/>
            <w:vMerge w:val="restart"/>
          </w:tcPr>
          <w:p>
            <w:pPr>
              <w:jc w:val="right"/>
              <w:ind w:right="133"/>
              <w:spacing w:after="0"/>
              <w:rPr>
                <w:sz w:val="20"/>
                <w:szCs w:val="20"/>
                <w:color w:val="auto"/>
              </w:rPr>
            </w:pPr>
            <w:r>
              <w:rPr>
                <w:rFonts w:ascii="Arial" w:cs="Arial" w:eastAsia="Arial" w:hAnsi="Arial"/>
                <w:sz w:val="18"/>
                <w:szCs w:val="18"/>
                <w:b w:val="1"/>
                <w:bCs w:val="1"/>
                <w:color w:val="auto"/>
              </w:rPr>
              <w:t>0.71</w:t>
            </w:r>
          </w:p>
        </w:tc>
        <w:tc>
          <w:tcPr>
            <w:tcW w:w="260" w:type="dxa"/>
            <w:vAlign w:val="bottom"/>
          </w:tcPr>
          <w:p>
            <w:pPr>
              <w:spacing w:after="0"/>
              <w:rPr>
                <w:sz w:val="19"/>
                <w:szCs w:val="19"/>
                <w:color w:val="auto"/>
              </w:rPr>
            </w:pPr>
          </w:p>
        </w:tc>
        <w:tc>
          <w:tcPr>
            <w:tcW w:w="86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86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86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81"/>
        </w:trPr>
        <w:tc>
          <w:tcPr>
            <w:tcW w:w="20" w:type="dxa"/>
            <w:vAlign w:val="bottom"/>
          </w:tcPr>
          <w:p>
            <w:pPr>
              <w:spacing w:after="0"/>
              <w:rPr>
                <w:sz w:val="15"/>
                <w:szCs w:val="15"/>
                <w:color w:val="auto"/>
              </w:rPr>
            </w:pPr>
          </w:p>
        </w:tc>
        <w:tc>
          <w:tcPr>
            <w:tcW w:w="5640" w:type="dxa"/>
            <w:vAlign w:val="bottom"/>
          </w:tcPr>
          <w:p>
            <w:pPr>
              <w:ind w:left="200"/>
              <w:spacing w:after="0" w:line="181" w:lineRule="exact"/>
              <w:rPr>
                <w:sz w:val="20"/>
                <w:szCs w:val="20"/>
                <w:color w:val="auto"/>
              </w:rPr>
            </w:pPr>
            <w:r>
              <w:rPr>
                <w:rFonts w:ascii="Arial" w:cs="Arial" w:eastAsia="Arial" w:hAnsi="Arial"/>
                <w:sz w:val="18"/>
                <w:szCs w:val="18"/>
                <w:color w:val="auto"/>
              </w:rPr>
              <w:t>Income (loss) from continuing operations</w:t>
            </w:r>
          </w:p>
        </w:tc>
        <w:tc>
          <w:tcPr>
            <w:tcW w:w="540" w:type="dxa"/>
            <w:vAlign w:val="bottom"/>
            <w:vMerge w:val="continue"/>
          </w:tcPr>
          <w:p>
            <w:pPr>
              <w:spacing w:after="0"/>
              <w:rPr>
                <w:sz w:val="15"/>
                <w:szCs w:val="15"/>
                <w:color w:val="auto"/>
              </w:rPr>
            </w:pPr>
          </w:p>
        </w:tc>
        <w:tc>
          <w:tcPr>
            <w:tcW w:w="860" w:type="dxa"/>
            <w:vAlign w:val="bottom"/>
            <w:vMerge w:val="continue"/>
          </w:tcPr>
          <w:p>
            <w:pPr>
              <w:spacing w:after="0"/>
              <w:rPr>
                <w:sz w:val="15"/>
                <w:szCs w:val="15"/>
                <w:color w:val="auto"/>
              </w:rPr>
            </w:pPr>
          </w:p>
        </w:tc>
        <w:tc>
          <w:tcPr>
            <w:tcW w:w="260" w:type="dxa"/>
            <w:vAlign w:val="bottom"/>
          </w:tcPr>
          <w:p>
            <w:pPr>
              <w:jc w:val="right"/>
              <w:spacing w:after="0" w:line="181" w:lineRule="exact"/>
              <w:rPr>
                <w:sz w:val="20"/>
                <w:szCs w:val="20"/>
                <w:color w:val="auto"/>
              </w:rPr>
            </w:pPr>
            <w:r>
              <w:rPr>
                <w:rFonts w:ascii="Arial" w:cs="Arial" w:eastAsia="Arial" w:hAnsi="Arial"/>
                <w:sz w:val="18"/>
                <w:szCs w:val="18"/>
                <w:color w:val="auto"/>
              </w:rPr>
              <w:t>$</w:t>
            </w:r>
          </w:p>
        </w:tc>
        <w:tc>
          <w:tcPr>
            <w:tcW w:w="860" w:type="dxa"/>
            <w:vAlign w:val="bottom"/>
          </w:tcPr>
          <w:p>
            <w:pPr>
              <w:jc w:val="right"/>
              <w:ind w:right="133"/>
              <w:spacing w:after="0" w:line="181" w:lineRule="exact"/>
              <w:rPr>
                <w:sz w:val="20"/>
                <w:szCs w:val="20"/>
                <w:color w:val="auto"/>
              </w:rPr>
            </w:pPr>
            <w:r>
              <w:rPr>
                <w:rFonts w:ascii="Arial" w:cs="Arial" w:eastAsia="Arial" w:hAnsi="Arial"/>
                <w:sz w:val="18"/>
                <w:szCs w:val="18"/>
                <w:color w:val="auto"/>
              </w:rPr>
              <w:t>0.25</w:t>
            </w:r>
          </w:p>
        </w:tc>
        <w:tc>
          <w:tcPr>
            <w:tcW w:w="260" w:type="dxa"/>
            <w:vAlign w:val="bottom"/>
          </w:tcPr>
          <w:p>
            <w:pPr>
              <w:jc w:val="right"/>
              <w:spacing w:after="0" w:line="181" w:lineRule="exact"/>
              <w:rPr>
                <w:sz w:val="20"/>
                <w:szCs w:val="20"/>
                <w:color w:val="auto"/>
              </w:rPr>
            </w:pPr>
            <w:r>
              <w:rPr>
                <w:rFonts w:ascii="Arial" w:cs="Arial" w:eastAsia="Arial" w:hAnsi="Arial"/>
                <w:sz w:val="18"/>
                <w:szCs w:val="18"/>
                <w:color w:val="auto"/>
              </w:rPr>
              <w:t>$</w:t>
            </w:r>
          </w:p>
        </w:tc>
        <w:tc>
          <w:tcPr>
            <w:tcW w:w="860" w:type="dxa"/>
            <w:vAlign w:val="bottom"/>
          </w:tcPr>
          <w:p>
            <w:pPr>
              <w:jc w:val="right"/>
              <w:ind w:right="133"/>
              <w:spacing w:after="0" w:line="181" w:lineRule="exact"/>
              <w:rPr>
                <w:sz w:val="20"/>
                <w:szCs w:val="20"/>
                <w:color w:val="auto"/>
              </w:rPr>
            </w:pPr>
            <w:r>
              <w:rPr>
                <w:rFonts w:ascii="Arial" w:cs="Arial" w:eastAsia="Arial" w:hAnsi="Arial"/>
                <w:sz w:val="18"/>
                <w:szCs w:val="18"/>
                <w:color w:val="auto"/>
              </w:rPr>
              <w:t>0.28</w:t>
            </w:r>
          </w:p>
        </w:tc>
        <w:tc>
          <w:tcPr>
            <w:tcW w:w="280" w:type="dxa"/>
            <w:vAlign w:val="bottom"/>
          </w:tcPr>
          <w:p>
            <w:pPr>
              <w:jc w:val="right"/>
              <w:spacing w:after="0" w:line="181" w:lineRule="exact"/>
              <w:rPr>
                <w:sz w:val="20"/>
                <w:szCs w:val="20"/>
                <w:color w:val="auto"/>
              </w:rPr>
            </w:pPr>
            <w:r>
              <w:rPr>
                <w:rFonts w:ascii="Arial" w:cs="Arial" w:eastAsia="Arial" w:hAnsi="Arial"/>
                <w:sz w:val="18"/>
                <w:szCs w:val="18"/>
                <w:color w:val="auto"/>
              </w:rPr>
              <w:t>$</w:t>
            </w:r>
          </w:p>
        </w:tc>
        <w:tc>
          <w:tcPr>
            <w:tcW w:w="860" w:type="dxa"/>
            <w:vAlign w:val="bottom"/>
          </w:tcPr>
          <w:p>
            <w:pPr>
              <w:jc w:val="right"/>
              <w:ind w:right="73"/>
              <w:spacing w:after="0" w:line="181" w:lineRule="exact"/>
              <w:rPr>
                <w:sz w:val="20"/>
                <w:szCs w:val="20"/>
                <w:color w:val="auto"/>
              </w:rPr>
            </w:pPr>
            <w:r>
              <w:rPr>
                <w:rFonts w:ascii="Arial" w:cs="Arial" w:eastAsia="Arial" w:hAnsi="Arial"/>
                <w:sz w:val="18"/>
                <w:szCs w:val="18"/>
                <w:color w:val="auto"/>
              </w:rPr>
              <w:t>(0.07)</w:t>
            </w:r>
          </w:p>
        </w:tc>
        <w:tc>
          <w:tcPr>
            <w:tcW w:w="280" w:type="dxa"/>
            <w:vAlign w:val="bottom"/>
          </w:tcPr>
          <w:p>
            <w:pPr>
              <w:jc w:val="right"/>
              <w:spacing w:after="0" w:line="181" w:lineRule="exact"/>
              <w:rPr>
                <w:sz w:val="20"/>
                <w:szCs w:val="20"/>
                <w:color w:val="auto"/>
              </w:rPr>
            </w:pPr>
            <w:r>
              <w:rPr>
                <w:rFonts w:ascii="Arial" w:cs="Arial" w:eastAsia="Arial" w:hAnsi="Arial"/>
                <w:sz w:val="18"/>
                <w:szCs w:val="18"/>
                <w:color w:val="auto"/>
              </w:rPr>
              <w:t>$</w:t>
            </w:r>
          </w:p>
        </w:tc>
        <w:tc>
          <w:tcPr>
            <w:tcW w:w="700" w:type="dxa"/>
            <w:vAlign w:val="bottom"/>
          </w:tcPr>
          <w:p>
            <w:pPr>
              <w:jc w:val="right"/>
              <w:spacing w:after="0" w:line="181" w:lineRule="exact"/>
              <w:rPr>
                <w:sz w:val="20"/>
                <w:szCs w:val="20"/>
                <w:color w:val="auto"/>
              </w:rPr>
            </w:pPr>
            <w:r>
              <w:rPr>
                <w:rFonts w:ascii="Arial" w:cs="Arial" w:eastAsia="Arial" w:hAnsi="Arial"/>
                <w:sz w:val="18"/>
                <w:szCs w:val="18"/>
                <w:color w:val="auto"/>
              </w:rPr>
              <w:t>(0.27)</w:t>
            </w:r>
          </w:p>
        </w:tc>
        <w:tc>
          <w:tcPr>
            <w:tcW w:w="0" w:type="dxa"/>
            <w:vAlign w:val="bottom"/>
          </w:tcPr>
          <w:p>
            <w:pPr>
              <w:spacing w:after="0"/>
              <w:rPr>
                <w:sz w:val="1"/>
                <w:szCs w:val="1"/>
                <w:color w:val="auto"/>
              </w:rPr>
            </w:pPr>
          </w:p>
        </w:tc>
      </w:tr>
      <w:tr>
        <w:trPr>
          <w:trHeight w:val="221"/>
        </w:trPr>
        <w:tc>
          <w:tcPr>
            <w:tcW w:w="20" w:type="dxa"/>
            <w:vAlign w:val="bottom"/>
          </w:tcPr>
          <w:p>
            <w:pPr>
              <w:spacing w:after="0"/>
              <w:rPr>
                <w:sz w:val="19"/>
                <w:szCs w:val="19"/>
                <w:color w:val="auto"/>
              </w:rPr>
            </w:pPr>
          </w:p>
        </w:tc>
        <w:tc>
          <w:tcPr>
            <w:tcW w:w="5640" w:type="dxa"/>
            <w:vAlign w:val="bottom"/>
            <w:tcBorders>
              <w:bottom w:val="single" w:sz="8" w:color="auto"/>
            </w:tcBorders>
          </w:tcPr>
          <w:p>
            <w:pPr>
              <w:ind w:left="200"/>
              <w:spacing w:after="0" w:line="222" w:lineRule="exact"/>
              <w:rPr>
                <w:sz w:val="20"/>
                <w:szCs w:val="20"/>
                <w:color w:val="auto"/>
              </w:rPr>
            </w:pPr>
            <w:r>
              <w:rPr>
                <w:rFonts w:ascii="Arial" w:cs="Arial" w:eastAsia="Arial" w:hAnsi="Arial"/>
                <w:sz w:val="18"/>
                <w:szCs w:val="18"/>
                <w:color w:val="auto"/>
              </w:rPr>
              <w:t>Discontinued operations</w:t>
            </w:r>
            <w:r>
              <w:rPr>
                <w:rFonts w:ascii="Arial" w:cs="Arial" w:eastAsia="Arial" w:hAnsi="Arial"/>
                <w:sz w:val="22"/>
                <w:szCs w:val="22"/>
                <w:color w:val="auto"/>
                <w:vertAlign w:val="superscript"/>
              </w:rPr>
              <w:t>(a)(b)</w:t>
            </w:r>
          </w:p>
        </w:tc>
        <w:tc>
          <w:tcPr>
            <w:tcW w:w="540" w:type="dxa"/>
            <w:vAlign w:val="bottom"/>
            <w:tcBorders>
              <w:bottom w:val="single" w:sz="8" w:color="auto"/>
            </w:tcBorders>
          </w:tcPr>
          <w:p>
            <w:pPr>
              <w:spacing w:after="0"/>
              <w:rPr>
                <w:sz w:val="19"/>
                <w:szCs w:val="19"/>
                <w:color w:val="auto"/>
              </w:rPr>
            </w:pPr>
          </w:p>
        </w:tc>
        <w:tc>
          <w:tcPr>
            <w:tcW w:w="860" w:type="dxa"/>
            <w:vAlign w:val="bottom"/>
            <w:tcBorders>
              <w:bottom w:val="single" w:sz="8" w:color="auto"/>
            </w:tcBorders>
          </w:tcPr>
          <w:p>
            <w:pPr>
              <w:jc w:val="right"/>
              <w:ind w:right="133"/>
              <w:spacing w:after="0"/>
              <w:rPr>
                <w:sz w:val="20"/>
                <w:szCs w:val="20"/>
                <w:color w:val="auto"/>
              </w:rPr>
            </w:pPr>
            <w:r>
              <w:rPr>
                <w:rFonts w:ascii="Arial" w:cs="Arial" w:eastAsia="Arial" w:hAnsi="Arial"/>
                <w:sz w:val="18"/>
                <w:szCs w:val="18"/>
                <w:b w:val="1"/>
                <w:bCs w:val="1"/>
                <w:color w:val="auto"/>
              </w:rPr>
              <w:t>0.09</w:t>
            </w:r>
          </w:p>
        </w:tc>
        <w:tc>
          <w:tcPr>
            <w:tcW w:w="260" w:type="dxa"/>
            <w:vAlign w:val="bottom"/>
            <w:tcBorders>
              <w:bottom w:val="single" w:sz="8" w:color="auto"/>
            </w:tcBorders>
          </w:tcPr>
          <w:p>
            <w:pPr>
              <w:spacing w:after="0"/>
              <w:rPr>
                <w:sz w:val="19"/>
                <w:szCs w:val="19"/>
                <w:color w:val="auto"/>
              </w:rPr>
            </w:pPr>
          </w:p>
        </w:tc>
        <w:tc>
          <w:tcPr>
            <w:tcW w:w="860" w:type="dxa"/>
            <w:vAlign w:val="bottom"/>
            <w:tcBorders>
              <w:bottom w:val="single" w:sz="8" w:color="auto"/>
            </w:tcBorders>
          </w:tcPr>
          <w:p>
            <w:pPr>
              <w:jc w:val="right"/>
              <w:ind w:right="133"/>
              <w:spacing w:after="0"/>
              <w:rPr>
                <w:sz w:val="20"/>
                <w:szCs w:val="20"/>
                <w:color w:val="auto"/>
              </w:rPr>
            </w:pPr>
            <w:r>
              <w:rPr>
                <w:rFonts w:ascii="Arial" w:cs="Arial" w:eastAsia="Arial" w:hAnsi="Arial"/>
                <w:sz w:val="18"/>
                <w:szCs w:val="18"/>
                <w:color w:val="auto"/>
              </w:rPr>
              <w:t>0.03</w:t>
            </w:r>
          </w:p>
        </w:tc>
        <w:tc>
          <w:tcPr>
            <w:tcW w:w="260" w:type="dxa"/>
            <w:vAlign w:val="bottom"/>
            <w:tcBorders>
              <w:bottom w:val="single" w:sz="8" w:color="auto"/>
            </w:tcBorders>
          </w:tcPr>
          <w:p>
            <w:pPr>
              <w:spacing w:after="0"/>
              <w:rPr>
                <w:sz w:val="19"/>
                <w:szCs w:val="19"/>
                <w:color w:val="auto"/>
              </w:rPr>
            </w:pPr>
          </w:p>
        </w:tc>
        <w:tc>
          <w:tcPr>
            <w:tcW w:w="860" w:type="dxa"/>
            <w:vAlign w:val="bottom"/>
            <w:tcBorders>
              <w:bottom w:val="single" w:sz="8" w:color="auto"/>
            </w:tcBorders>
          </w:tcPr>
          <w:p>
            <w:pPr>
              <w:jc w:val="right"/>
              <w:ind w:right="133"/>
              <w:spacing w:after="0"/>
              <w:rPr>
                <w:sz w:val="20"/>
                <w:szCs w:val="20"/>
                <w:color w:val="auto"/>
              </w:rPr>
            </w:pPr>
            <w:r>
              <w:rPr>
                <w:rFonts w:ascii="Arial" w:cs="Arial" w:eastAsia="Arial" w:hAnsi="Arial"/>
                <w:sz w:val="18"/>
                <w:szCs w:val="18"/>
                <w:color w:val="auto"/>
              </w:rPr>
              <w:t>0.01</w:t>
            </w:r>
          </w:p>
        </w:tc>
        <w:tc>
          <w:tcPr>
            <w:tcW w:w="280" w:type="dxa"/>
            <w:vAlign w:val="bottom"/>
            <w:tcBorders>
              <w:bottom w:val="single" w:sz="8" w:color="auto"/>
            </w:tcBorders>
          </w:tcPr>
          <w:p>
            <w:pPr>
              <w:spacing w:after="0"/>
              <w:rPr>
                <w:sz w:val="19"/>
                <w:szCs w:val="19"/>
                <w:color w:val="auto"/>
              </w:rPr>
            </w:pPr>
          </w:p>
        </w:tc>
        <w:tc>
          <w:tcPr>
            <w:tcW w:w="860" w:type="dxa"/>
            <w:vAlign w:val="bottom"/>
            <w:tcBorders>
              <w:bottom w:val="single" w:sz="8" w:color="auto"/>
            </w:tcBorders>
          </w:tcPr>
          <w:p>
            <w:pPr>
              <w:jc w:val="right"/>
              <w:ind w:right="133"/>
              <w:spacing w:after="0"/>
              <w:rPr>
                <w:sz w:val="20"/>
                <w:szCs w:val="20"/>
                <w:color w:val="auto"/>
              </w:rPr>
            </w:pPr>
            <w:r>
              <w:rPr>
                <w:rFonts w:ascii="Arial" w:cs="Arial" w:eastAsia="Arial" w:hAnsi="Arial"/>
                <w:sz w:val="18"/>
                <w:szCs w:val="18"/>
                <w:color w:val="auto"/>
              </w:rPr>
              <w:t>1.02</w:t>
            </w:r>
          </w:p>
        </w:tc>
        <w:tc>
          <w:tcPr>
            <w:tcW w:w="280" w:type="dxa"/>
            <w:vAlign w:val="bottom"/>
            <w:tcBorders>
              <w:bottom w:val="single" w:sz="8" w:color="auto"/>
            </w:tcBorders>
          </w:tcPr>
          <w:p>
            <w:pPr>
              <w:spacing w:after="0"/>
              <w:rPr>
                <w:sz w:val="19"/>
                <w:szCs w:val="19"/>
                <w:color w:val="auto"/>
              </w:rPr>
            </w:pPr>
          </w:p>
        </w:tc>
        <w:tc>
          <w:tcPr>
            <w:tcW w:w="7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0.11</w:t>
            </w:r>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5640" w:type="dxa"/>
            <w:vAlign w:val="bottom"/>
            <w:tcBorders>
              <w:bottom w:val="single" w:sz="8" w:color="auto"/>
            </w:tcBorders>
          </w:tcPr>
          <w:p>
            <w:pPr>
              <w:ind w:left="200"/>
              <w:spacing w:after="0" w:line="196" w:lineRule="exact"/>
              <w:rPr>
                <w:sz w:val="20"/>
                <w:szCs w:val="20"/>
                <w:color w:val="auto"/>
              </w:rPr>
            </w:pPr>
            <w:r>
              <w:rPr>
                <w:rFonts w:ascii="Arial" w:cs="Arial" w:eastAsia="Arial" w:hAnsi="Arial"/>
                <w:sz w:val="18"/>
                <w:szCs w:val="18"/>
                <w:b w:val="1"/>
                <w:bCs w:val="1"/>
                <w:color w:val="auto"/>
              </w:rPr>
              <w:t>Net income (loss)</w:t>
            </w:r>
          </w:p>
        </w:tc>
        <w:tc>
          <w:tcPr>
            <w:tcW w:w="540" w:type="dxa"/>
            <w:vAlign w:val="bottom"/>
            <w:tcBorders>
              <w:bottom w:val="single" w:sz="8" w:color="auto"/>
            </w:tcBorders>
          </w:tcPr>
          <w:p>
            <w:pPr>
              <w:jc w:val="right"/>
              <w:spacing w:after="0" w:line="196" w:lineRule="exact"/>
              <w:rPr>
                <w:sz w:val="20"/>
                <w:szCs w:val="20"/>
                <w:color w:val="auto"/>
              </w:rPr>
            </w:pPr>
            <w:r>
              <w:rPr>
                <w:rFonts w:ascii="Arial" w:cs="Arial" w:eastAsia="Arial" w:hAnsi="Arial"/>
                <w:sz w:val="18"/>
                <w:szCs w:val="18"/>
                <w:b w:val="1"/>
                <w:bCs w:val="1"/>
                <w:color w:val="auto"/>
              </w:rPr>
              <w:t>$</w:t>
            </w:r>
          </w:p>
        </w:tc>
        <w:tc>
          <w:tcPr>
            <w:tcW w:w="860" w:type="dxa"/>
            <w:vAlign w:val="bottom"/>
            <w:tcBorders>
              <w:bottom w:val="single" w:sz="8" w:color="auto"/>
            </w:tcBorders>
          </w:tcPr>
          <w:p>
            <w:pPr>
              <w:jc w:val="right"/>
              <w:ind w:right="133"/>
              <w:spacing w:after="0" w:line="196" w:lineRule="exact"/>
              <w:rPr>
                <w:sz w:val="20"/>
                <w:szCs w:val="20"/>
                <w:color w:val="auto"/>
              </w:rPr>
            </w:pPr>
            <w:r>
              <w:rPr>
                <w:rFonts w:ascii="Arial" w:cs="Arial" w:eastAsia="Arial" w:hAnsi="Arial"/>
                <w:sz w:val="18"/>
                <w:szCs w:val="18"/>
                <w:b w:val="1"/>
                <w:bCs w:val="1"/>
                <w:color w:val="auto"/>
              </w:rPr>
              <w:t>0.80</w:t>
            </w:r>
          </w:p>
        </w:tc>
        <w:tc>
          <w:tcPr>
            <w:tcW w:w="260" w:type="dxa"/>
            <w:vAlign w:val="bottom"/>
            <w:tcBorders>
              <w:bottom w:val="single" w:sz="8" w:color="auto"/>
            </w:tcBorders>
          </w:tcPr>
          <w:p>
            <w:pPr>
              <w:jc w:val="right"/>
              <w:spacing w:after="0" w:line="196" w:lineRule="exact"/>
              <w:rPr>
                <w:sz w:val="20"/>
                <w:szCs w:val="20"/>
                <w:color w:val="auto"/>
              </w:rPr>
            </w:pPr>
            <w:r>
              <w:rPr>
                <w:rFonts w:ascii="Arial" w:cs="Arial" w:eastAsia="Arial" w:hAnsi="Arial"/>
                <w:sz w:val="18"/>
                <w:szCs w:val="18"/>
                <w:color w:val="auto"/>
              </w:rPr>
              <w:t>$</w:t>
            </w:r>
          </w:p>
        </w:tc>
        <w:tc>
          <w:tcPr>
            <w:tcW w:w="860" w:type="dxa"/>
            <w:vAlign w:val="bottom"/>
            <w:tcBorders>
              <w:bottom w:val="single" w:sz="8" w:color="auto"/>
            </w:tcBorders>
          </w:tcPr>
          <w:p>
            <w:pPr>
              <w:jc w:val="right"/>
              <w:ind w:right="133"/>
              <w:spacing w:after="0" w:line="196" w:lineRule="exact"/>
              <w:rPr>
                <w:sz w:val="20"/>
                <w:szCs w:val="20"/>
                <w:color w:val="auto"/>
              </w:rPr>
            </w:pPr>
            <w:r>
              <w:rPr>
                <w:rFonts w:ascii="Arial" w:cs="Arial" w:eastAsia="Arial" w:hAnsi="Arial"/>
                <w:sz w:val="18"/>
                <w:szCs w:val="18"/>
                <w:color w:val="auto"/>
              </w:rPr>
              <w:t>0.28</w:t>
            </w:r>
          </w:p>
        </w:tc>
        <w:tc>
          <w:tcPr>
            <w:tcW w:w="260" w:type="dxa"/>
            <w:vAlign w:val="bottom"/>
            <w:tcBorders>
              <w:bottom w:val="single" w:sz="8" w:color="auto"/>
            </w:tcBorders>
          </w:tcPr>
          <w:p>
            <w:pPr>
              <w:jc w:val="right"/>
              <w:spacing w:after="0" w:line="196" w:lineRule="exact"/>
              <w:rPr>
                <w:sz w:val="20"/>
                <w:szCs w:val="20"/>
                <w:color w:val="auto"/>
              </w:rPr>
            </w:pPr>
            <w:r>
              <w:rPr>
                <w:rFonts w:ascii="Arial" w:cs="Arial" w:eastAsia="Arial" w:hAnsi="Arial"/>
                <w:sz w:val="18"/>
                <w:szCs w:val="18"/>
                <w:color w:val="auto"/>
              </w:rPr>
              <w:t>$</w:t>
            </w:r>
          </w:p>
        </w:tc>
        <w:tc>
          <w:tcPr>
            <w:tcW w:w="860" w:type="dxa"/>
            <w:vAlign w:val="bottom"/>
            <w:tcBorders>
              <w:bottom w:val="single" w:sz="8" w:color="auto"/>
            </w:tcBorders>
          </w:tcPr>
          <w:p>
            <w:pPr>
              <w:jc w:val="right"/>
              <w:ind w:right="133"/>
              <w:spacing w:after="0" w:line="196" w:lineRule="exact"/>
              <w:rPr>
                <w:sz w:val="20"/>
                <w:szCs w:val="20"/>
                <w:color w:val="auto"/>
              </w:rPr>
            </w:pPr>
            <w:r>
              <w:rPr>
                <w:rFonts w:ascii="Arial" w:cs="Arial" w:eastAsia="Arial" w:hAnsi="Arial"/>
                <w:sz w:val="18"/>
                <w:szCs w:val="18"/>
                <w:color w:val="auto"/>
              </w:rPr>
              <w:t>0.29</w:t>
            </w:r>
          </w:p>
        </w:tc>
        <w:tc>
          <w:tcPr>
            <w:tcW w:w="280" w:type="dxa"/>
            <w:vAlign w:val="bottom"/>
            <w:tcBorders>
              <w:bottom w:val="single" w:sz="8" w:color="auto"/>
            </w:tcBorders>
          </w:tcPr>
          <w:p>
            <w:pPr>
              <w:jc w:val="right"/>
              <w:spacing w:after="0" w:line="196" w:lineRule="exact"/>
              <w:rPr>
                <w:sz w:val="20"/>
                <w:szCs w:val="20"/>
                <w:color w:val="auto"/>
              </w:rPr>
            </w:pPr>
            <w:r>
              <w:rPr>
                <w:rFonts w:ascii="Arial" w:cs="Arial" w:eastAsia="Arial" w:hAnsi="Arial"/>
                <w:sz w:val="18"/>
                <w:szCs w:val="18"/>
                <w:color w:val="auto"/>
              </w:rPr>
              <w:t>$</w:t>
            </w:r>
          </w:p>
        </w:tc>
        <w:tc>
          <w:tcPr>
            <w:tcW w:w="860" w:type="dxa"/>
            <w:vAlign w:val="bottom"/>
            <w:tcBorders>
              <w:bottom w:val="single" w:sz="8" w:color="auto"/>
            </w:tcBorders>
          </w:tcPr>
          <w:p>
            <w:pPr>
              <w:jc w:val="right"/>
              <w:ind w:right="133"/>
              <w:spacing w:after="0" w:line="196" w:lineRule="exact"/>
              <w:rPr>
                <w:sz w:val="20"/>
                <w:szCs w:val="20"/>
                <w:color w:val="auto"/>
              </w:rPr>
            </w:pPr>
            <w:r>
              <w:rPr>
                <w:rFonts w:ascii="Arial" w:cs="Arial" w:eastAsia="Arial" w:hAnsi="Arial"/>
                <w:sz w:val="18"/>
                <w:szCs w:val="18"/>
                <w:color w:val="auto"/>
              </w:rPr>
              <w:t>0.95</w:t>
            </w:r>
          </w:p>
        </w:tc>
        <w:tc>
          <w:tcPr>
            <w:tcW w:w="280" w:type="dxa"/>
            <w:vAlign w:val="bottom"/>
            <w:tcBorders>
              <w:bottom w:val="single" w:sz="8" w:color="auto"/>
            </w:tcBorders>
          </w:tcPr>
          <w:p>
            <w:pPr>
              <w:jc w:val="right"/>
              <w:spacing w:after="0" w:line="196" w:lineRule="exact"/>
              <w:rPr>
                <w:sz w:val="20"/>
                <w:szCs w:val="20"/>
                <w:color w:val="auto"/>
              </w:rPr>
            </w:pPr>
            <w:r>
              <w:rPr>
                <w:rFonts w:ascii="Arial" w:cs="Arial" w:eastAsia="Arial" w:hAnsi="Arial"/>
                <w:sz w:val="18"/>
                <w:szCs w:val="18"/>
                <w:color w:val="auto"/>
              </w:rPr>
              <w:t>$</w:t>
            </w:r>
          </w:p>
        </w:tc>
        <w:tc>
          <w:tcPr>
            <w:tcW w:w="700" w:type="dxa"/>
            <w:vAlign w:val="bottom"/>
            <w:tcBorders>
              <w:bottom w:val="single" w:sz="8" w:color="auto"/>
            </w:tcBorders>
          </w:tcPr>
          <w:p>
            <w:pPr>
              <w:jc w:val="right"/>
              <w:spacing w:after="0" w:line="196" w:lineRule="exact"/>
              <w:rPr>
                <w:sz w:val="20"/>
                <w:szCs w:val="20"/>
                <w:color w:val="auto"/>
              </w:rPr>
            </w:pPr>
            <w:r>
              <w:rPr>
                <w:rFonts w:ascii="Arial" w:cs="Arial" w:eastAsia="Arial" w:hAnsi="Arial"/>
                <w:sz w:val="18"/>
                <w:szCs w:val="18"/>
                <w:color w:val="auto"/>
              </w:rPr>
              <w:t>(0.16)</w:t>
            </w:r>
          </w:p>
        </w:tc>
        <w:tc>
          <w:tcPr>
            <w:tcW w:w="0" w:type="dxa"/>
            <w:vAlign w:val="bottom"/>
          </w:tcPr>
          <w:p>
            <w:pPr>
              <w:spacing w:after="0"/>
              <w:rPr>
                <w:sz w:val="1"/>
                <w:szCs w:val="1"/>
                <w:color w:val="auto"/>
              </w:rPr>
            </w:pPr>
          </w:p>
        </w:tc>
      </w:tr>
      <w:tr>
        <w:trPr>
          <w:trHeight w:val="177"/>
        </w:trPr>
        <w:tc>
          <w:tcPr>
            <w:tcW w:w="20" w:type="dxa"/>
            <w:vAlign w:val="bottom"/>
          </w:tcPr>
          <w:p>
            <w:pPr>
              <w:spacing w:after="0"/>
              <w:rPr>
                <w:sz w:val="15"/>
                <w:szCs w:val="15"/>
                <w:color w:val="auto"/>
              </w:rPr>
            </w:pPr>
          </w:p>
        </w:tc>
        <w:tc>
          <w:tcPr>
            <w:tcW w:w="5640" w:type="dxa"/>
            <w:vAlign w:val="bottom"/>
          </w:tcPr>
          <w:p>
            <w:pPr>
              <w:spacing w:after="0" w:line="177" w:lineRule="exact"/>
              <w:rPr>
                <w:sz w:val="20"/>
                <w:szCs w:val="20"/>
                <w:color w:val="auto"/>
              </w:rPr>
            </w:pPr>
            <w:r>
              <w:rPr>
                <w:rFonts w:ascii="Arial" w:cs="Arial" w:eastAsia="Arial" w:hAnsi="Arial"/>
                <w:sz w:val="18"/>
                <w:szCs w:val="18"/>
                <w:b w:val="1"/>
                <w:bCs w:val="1"/>
                <w:color w:val="auto"/>
              </w:rPr>
              <w:t>Diluted earnings (loss) for common stockholders per common</w:t>
            </w:r>
          </w:p>
        </w:tc>
        <w:tc>
          <w:tcPr>
            <w:tcW w:w="540" w:type="dxa"/>
            <w:vAlign w:val="bottom"/>
          </w:tcPr>
          <w:p>
            <w:pPr>
              <w:spacing w:after="0"/>
              <w:rPr>
                <w:sz w:val="15"/>
                <w:szCs w:val="15"/>
                <w:color w:val="auto"/>
              </w:rPr>
            </w:pPr>
          </w:p>
        </w:tc>
        <w:tc>
          <w:tcPr>
            <w:tcW w:w="86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86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86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86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25"/>
        </w:trPr>
        <w:tc>
          <w:tcPr>
            <w:tcW w:w="20" w:type="dxa"/>
            <w:vAlign w:val="bottom"/>
          </w:tcPr>
          <w:p>
            <w:pPr>
              <w:spacing w:after="0"/>
              <w:rPr>
                <w:sz w:val="19"/>
                <w:szCs w:val="19"/>
                <w:color w:val="auto"/>
              </w:rPr>
            </w:pPr>
          </w:p>
        </w:tc>
        <w:tc>
          <w:tcPr>
            <w:tcW w:w="5640" w:type="dxa"/>
            <w:vAlign w:val="bottom"/>
          </w:tcPr>
          <w:p>
            <w:pPr>
              <w:ind w:left="200"/>
              <w:spacing w:after="0" w:line="225" w:lineRule="exact"/>
              <w:rPr>
                <w:sz w:val="20"/>
                <w:szCs w:val="20"/>
                <w:color w:val="auto"/>
              </w:rPr>
            </w:pPr>
            <w:r>
              <w:rPr>
                <w:rFonts w:ascii="Arial" w:cs="Arial" w:eastAsia="Arial" w:hAnsi="Arial"/>
                <w:sz w:val="18"/>
                <w:szCs w:val="18"/>
                <w:b w:val="1"/>
                <w:bCs w:val="1"/>
                <w:color w:val="auto"/>
              </w:rPr>
              <w:t>share</w:t>
            </w:r>
            <w:r>
              <w:rPr>
                <w:rFonts w:ascii="Arial" w:cs="Arial" w:eastAsia="Arial" w:hAnsi="Arial"/>
                <w:sz w:val="22"/>
                <w:szCs w:val="22"/>
                <w:color w:val="auto"/>
                <w:vertAlign w:val="superscript"/>
              </w:rPr>
              <w:t>(c)</w:t>
            </w:r>
          </w:p>
        </w:tc>
        <w:tc>
          <w:tcPr>
            <w:tcW w:w="540" w:type="dxa"/>
            <w:vAlign w:val="bottom"/>
            <w:vMerge w:val="restart"/>
          </w:tcPr>
          <w:p>
            <w:pPr>
              <w:jc w:val="right"/>
              <w:spacing w:after="0"/>
              <w:rPr>
                <w:sz w:val="20"/>
                <w:szCs w:val="20"/>
                <w:color w:val="auto"/>
              </w:rPr>
            </w:pPr>
            <w:r>
              <w:rPr>
                <w:rFonts w:ascii="Arial" w:cs="Arial" w:eastAsia="Arial" w:hAnsi="Arial"/>
                <w:sz w:val="18"/>
                <w:szCs w:val="18"/>
                <w:b w:val="1"/>
                <w:bCs w:val="1"/>
                <w:color w:val="auto"/>
              </w:rPr>
              <w:t>$</w:t>
            </w:r>
          </w:p>
        </w:tc>
        <w:tc>
          <w:tcPr>
            <w:tcW w:w="860" w:type="dxa"/>
            <w:vAlign w:val="bottom"/>
            <w:vMerge w:val="restart"/>
          </w:tcPr>
          <w:p>
            <w:pPr>
              <w:jc w:val="right"/>
              <w:ind w:right="133"/>
              <w:spacing w:after="0"/>
              <w:rPr>
                <w:sz w:val="20"/>
                <w:szCs w:val="20"/>
                <w:color w:val="auto"/>
              </w:rPr>
            </w:pPr>
            <w:r>
              <w:rPr>
                <w:rFonts w:ascii="Arial" w:cs="Arial" w:eastAsia="Arial" w:hAnsi="Arial"/>
                <w:sz w:val="18"/>
                <w:szCs w:val="18"/>
                <w:b w:val="1"/>
                <w:bCs w:val="1"/>
                <w:color w:val="auto"/>
              </w:rPr>
              <w:t>0.70</w:t>
            </w:r>
          </w:p>
        </w:tc>
        <w:tc>
          <w:tcPr>
            <w:tcW w:w="260" w:type="dxa"/>
            <w:vAlign w:val="bottom"/>
          </w:tcPr>
          <w:p>
            <w:pPr>
              <w:spacing w:after="0"/>
              <w:rPr>
                <w:sz w:val="19"/>
                <w:szCs w:val="19"/>
                <w:color w:val="auto"/>
              </w:rPr>
            </w:pPr>
          </w:p>
        </w:tc>
        <w:tc>
          <w:tcPr>
            <w:tcW w:w="86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86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86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81"/>
        </w:trPr>
        <w:tc>
          <w:tcPr>
            <w:tcW w:w="5660" w:type="dxa"/>
            <w:vAlign w:val="bottom"/>
            <w:gridSpan w:val="2"/>
          </w:tcPr>
          <w:p>
            <w:pPr>
              <w:spacing w:after="0" w:line="181" w:lineRule="exact"/>
              <w:rPr>
                <w:sz w:val="20"/>
                <w:szCs w:val="20"/>
                <w:color w:val="auto"/>
              </w:rPr>
            </w:pPr>
            <w:r>
              <w:rPr>
                <w:rFonts w:ascii="Arial" w:cs="Arial" w:eastAsia="Arial" w:hAnsi="Arial"/>
                <w:sz w:val="18"/>
                <w:szCs w:val="18"/>
                <w:color w:val="auto"/>
              </w:rPr>
              <w:t>Income (loss) from continuing operations</w:t>
            </w:r>
          </w:p>
        </w:tc>
        <w:tc>
          <w:tcPr>
            <w:tcW w:w="540" w:type="dxa"/>
            <w:vAlign w:val="bottom"/>
            <w:vMerge w:val="continue"/>
          </w:tcPr>
          <w:p>
            <w:pPr>
              <w:spacing w:after="0"/>
              <w:rPr>
                <w:sz w:val="15"/>
                <w:szCs w:val="15"/>
                <w:color w:val="auto"/>
              </w:rPr>
            </w:pPr>
          </w:p>
        </w:tc>
        <w:tc>
          <w:tcPr>
            <w:tcW w:w="860" w:type="dxa"/>
            <w:vAlign w:val="bottom"/>
            <w:vMerge w:val="continue"/>
          </w:tcPr>
          <w:p>
            <w:pPr>
              <w:spacing w:after="0"/>
              <w:rPr>
                <w:sz w:val="15"/>
                <w:szCs w:val="15"/>
                <w:color w:val="auto"/>
              </w:rPr>
            </w:pPr>
          </w:p>
        </w:tc>
        <w:tc>
          <w:tcPr>
            <w:tcW w:w="260" w:type="dxa"/>
            <w:vAlign w:val="bottom"/>
          </w:tcPr>
          <w:p>
            <w:pPr>
              <w:jc w:val="right"/>
              <w:spacing w:after="0" w:line="181" w:lineRule="exact"/>
              <w:rPr>
                <w:sz w:val="20"/>
                <w:szCs w:val="20"/>
                <w:color w:val="auto"/>
              </w:rPr>
            </w:pPr>
            <w:r>
              <w:rPr>
                <w:rFonts w:ascii="Arial" w:cs="Arial" w:eastAsia="Arial" w:hAnsi="Arial"/>
                <w:sz w:val="18"/>
                <w:szCs w:val="18"/>
                <w:color w:val="auto"/>
              </w:rPr>
              <w:t>$</w:t>
            </w:r>
          </w:p>
        </w:tc>
        <w:tc>
          <w:tcPr>
            <w:tcW w:w="860" w:type="dxa"/>
            <w:vAlign w:val="bottom"/>
          </w:tcPr>
          <w:p>
            <w:pPr>
              <w:jc w:val="right"/>
              <w:ind w:right="133"/>
              <w:spacing w:after="0" w:line="181" w:lineRule="exact"/>
              <w:rPr>
                <w:sz w:val="20"/>
                <w:szCs w:val="20"/>
                <w:color w:val="auto"/>
              </w:rPr>
            </w:pPr>
            <w:r>
              <w:rPr>
                <w:rFonts w:ascii="Arial" w:cs="Arial" w:eastAsia="Arial" w:hAnsi="Arial"/>
                <w:sz w:val="18"/>
                <w:szCs w:val="18"/>
                <w:color w:val="auto"/>
              </w:rPr>
              <w:t>0.25</w:t>
            </w:r>
          </w:p>
        </w:tc>
        <w:tc>
          <w:tcPr>
            <w:tcW w:w="260" w:type="dxa"/>
            <w:vAlign w:val="bottom"/>
          </w:tcPr>
          <w:p>
            <w:pPr>
              <w:jc w:val="right"/>
              <w:spacing w:after="0" w:line="181" w:lineRule="exact"/>
              <w:rPr>
                <w:sz w:val="20"/>
                <w:szCs w:val="20"/>
                <w:color w:val="auto"/>
              </w:rPr>
            </w:pPr>
            <w:r>
              <w:rPr>
                <w:rFonts w:ascii="Arial" w:cs="Arial" w:eastAsia="Arial" w:hAnsi="Arial"/>
                <w:sz w:val="18"/>
                <w:szCs w:val="18"/>
                <w:color w:val="auto"/>
              </w:rPr>
              <w:t>$</w:t>
            </w:r>
          </w:p>
        </w:tc>
        <w:tc>
          <w:tcPr>
            <w:tcW w:w="860" w:type="dxa"/>
            <w:vAlign w:val="bottom"/>
          </w:tcPr>
          <w:p>
            <w:pPr>
              <w:jc w:val="right"/>
              <w:ind w:right="133"/>
              <w:spacing w:after="0" w:line="181" w:lineRule="exact"/>
              <w:rPr>
                <w:sz w:val="20"/>
                <w:szCs w:val="20"/>
                <w:color w:val="auto"/>
              </w:rPr>
            </w:pPr>
            <w:r>
              <w:rPr>
                <w:rFonts w:ascii="Arial" w:cs="Arial" w:eastAsia="Arial" w:hAnsi="Arial"/>
                <w:sz w:val="18"/>
                <w:szCs w:val="18"/>
                <w:color w:val="auto"/>
              </w:rPr>
              <w:t>0.28</w:t>
            </w:r>
          </w:p>
        </w:tc>
        <w:tc>
          <w:tcPr>
            <w:tcW w:w="280" w:type="dxa"/>
            <w:vAlign w:val="bottom"/>
          </w:tcPr>
          <w:p>
            <w:pPr>
              <w:jc w:val="right"/>
              <w:spacing w:after="0" w:line="181" w:lineRule="exact"/>
              <w:rPr>
                <w:sz w:val="20"/>
                <w:szCs w:val="20"/>
                <w:color w:val="auto"/>
              </w:rPr>
            </w:pPr>
            <w:r>
              <w:rPr>
                <w:rFonts w:ascii="Arial" w:cs="Arial" w:eastAsia="Arial" w:hAnsi="Arial"/>
                <w:sz w:val="18"/>
                <w:szCs w:val="18"/>
                <w:color w:val="auto"/>
              </w:rPr>
              <w:t>$</w:t>
            </w:r>
          </w:p>
        </w:tc>
        <w:tc>
          <w:tcPr>
            <w:tcW w:w="860" w:type="dxa"/>
            <w:vAlign w:val="bottom"/>
          </w:tcPr>
          <w:p>
            <w:pPr>
              <w:jc w:val="right"/>
              <w:ind w:right="73"/>
              <w:spacing w:after="0" w:line="181" w:lineRule="exact"/>
              <w:rPr>
                <w:sz w:val="20"/>
                <w:szCs w:val="20"/>
                <w:color w:val="auto"/>
              </w:rPr>
            </w:pPr>
            <w:r>
              <w:rPr>
                <w:rFonts w:ascii="Arial" w:cs="Arial" w:eastAsia="Arial" w:hAnsi="Arial"/>
                <w:sz w:val="18"/>
                <w:szCs w:val="18"/>
                <w:color w:val="auto"/>
              </w:rPr>
              <w:t>(0.07)</w:t>
            </w:r>
          </w:p>
        </w:tc>
        <w:tc>
          <w:tcPr>
            <w:tcW w:w="280" w:type="dxa"/>
            <w:vAlign w:val="bottom"/>
          </w:tcPr>
          <w:p>
            <w:pPr>
              <w:jc w:val="right"/>
              <w:spacing w:after="0" w:line="181" w:lineRule="exact"/>
              <w:rPr>
                <w:sz w:val="20"/>
                <w:szCs w:val="20"/>
                <w:color w:val="auto"/>
              </w:rPr>
            </w:pPr>
            <w:r>
              <w:rPr>
                <w:rFonts w:ascii="Arial" w:cs="Arial" w:eastAsia="Arial" w:hAnsi="Arial"/>
                <w:sz w:val="18"/>
                <w:szCs w:val="18"/>
                <w:color w:val="auto"/>
              </w:rPr>
              <w:t>$</w:t>
            </w:r>
          </w:p>
        </w:tc>
        <w:tc>
          <w:tcPr>
            <w:tcW w:w="700" w:type="dxa"/>
            <w:vAlign w:val="bottom"/>
          </w:tcPr>
          <w:p>
            <w:pPr>
              <w:jc w:val="right"/>
              <w:spacing w:after="0" w:line="181" w:lineRule="exact"/>
              <w:rPr>
                <w:sz w:val="20"/>
                <w:szCs w:val="20"/>
                <w:color w:val="auto"/>
              </w:rPr>
            </w:pPr>
            <w:r>
              <w:rPr>
                <w:rFonts w:ascii="Arial" w:cs="Arial" w:eastAsia="Arial" w:hAnsi="Arial"/>
                <w:sz w:val="18"/>
                <w:szCs w:val="18"/>
                <w:color w:val="auto"/>
              </w:rPr>
              <w:t>(0.27)</w:t>
            </w:r>
          </w:p>
        </w:tc>
        <w:tc>
          <w:tcPr>
            <w:tcW w:w="0" w:type="dxa"/>
            <w:vAlign w:val="bottom"/>
          </w:tcPr>
          <w:p>
            <w:pPr>
              <w:spacing w:after="0"/>
              <w:rPr>
                <w:sz w:val="1"/>
                <w:szCs w:val="1"/>
                <w:color w:val="auto"/>
              </w:rPr>
            </w:pPr>
          </w:p>
        </w:tc>
      </w:tr>
      <w:tr>
        <w:trPr>
          <w:trHeight w:val="221"/>
        </w:trPr>
        <w:tc>
          <w:tcPr>
            <w:tcW w:w="5660" w:type="dxa"/>
            <w:vAlign w:val="bottom"/>
            <w:gridSpan w:val="2"/>
          </w:tcPr>
          <w:p>
            <w:pPr>
              <w:spacing w:after="0" w:line="222" w:lineRule="exact"/>
              <w:rPr>
                <w:sz w:val="20"/>
                <w:szCs w:val="20"/>
                <w:color w:val="auto"/>
              </w:rPr>
            </w:pPr>
            <w:r>
              <w:rPr>
                <w:rFonts w:ascii="Arial" w:cs="Arial" w:eastAsia="Arial" w:hAnsi="Arial"/>
                <w:sz w:val="18"/>
                <w:szCs w:val="18"/>
                <w:color w:val="auto"/>
              </w:rPr>
              <w:t>Discontinued operations</w:t>
            </w:r>
            <w:r>
              <w:rPr>
                <w:rFonts w:ascii="Arial" w:cs="Arial" w:eastAsia="Arial" w:hAnsi="Arial"/>
                <w:sz w:val="22"/>
                <w:szCs w:val="22"/>
                <w:color w:val="auto"/>
                <w:vertAlign w:val="superscript"/>
              </w:rPr>
              <w:t>(a)(b)</w:t>
            </w:r>
          </w:p>
        </w:tc>
        <w:tc>
          <w:tcPr>
            <w:tcW w:w="540" w:type="dxa"/>
            <w:vAlign w:val="bottom"/>
          </w:tcPr>
          <w:p>
            <w:pPr>
              <w:spacing w:after="0"/>
              <w:rPr>
                <w:sz w:val="19"/>
                <w:szCs w:val="19"/>
                <w:color w:val="auto"/>
              </w:rPr>
            </w:pPr>
          </w:p>
        </w:tc>
        <w:tc>
          <w:tcPr>
            <w:tcW w:w="860" w:type="dxa"/>
            <w:vAlign w:val="bottom"/>
          </w:tcPr>
          <w:p>
            <w:pPr>
              <w:jc w:val="right"/>
              <w:ind w:right="133"/>
              <w:spacing w:after="0"/>
              <w:rPr>
                <w:sz w:val="20"/>
                <w:szCs w:val="20"/>
                <w:color w:val="auto"/>
              </w:rPr>
            </w:pPr>
            <w:r>
              <w:rPr>
                <w:rFonts w:ascii="Arial" w:cs="Arial" w:eastAsia="Arial" w:hAnsi="Arial"/>
                <w:sz w:val="18"/>
                <w:szCs w:val="18"/>
                <w:b w:val="1"/>
                <w:bCs w:val="1"/>
                <w:color w:val="auto"/>
              </w:rPr>
              <w:t>0.09</w:t>
            </w:r>
          </w:p>
        </w:tc>
        <w:tc>
          <w:tcPr>
            <w:tcW w:w="260" w:type="dxa"/>
            <w:vAlign w:val="bottom"/>
          </w:tcPr>
          <w:p>
            <w:pPr>
              <w:spacing w:after="0"/>
              <w:rPr>
                <w:sz w:val="19"/>
                <w:szCs w:val="19"/>
                <w:color w:val="auto"/>
              </w:rPr>
            </w:pPr>
          </w:p>
        </w:tc>
        <w:tc>
          <w:tcPr>
            <w:tcW w:w="860" w:type="dxa"/>
            <w:vAlign w:val="bottom"/>
          </w:tcPr>
          <w:p>
            <w:pPr>
              <w:jc w:val="right"/>
              <w:ind w:right="133"/>
              <w:spacing w:after="0"/>
              <w:rPr>
                <w:sz w:val="20"/>
                <w:szCs w:val="20"/>
                <w:color w:val="auto"/>
              </w:rPr>
            </w:pPr>
            <w:r>
              <w:rPr>
                <w:rFonts w:ascii="Arial" w:cs="Arial" w:eastAsia="Arial" w:hAnsi="Arial"/>
                <w:sz w:val="18"/>
                <w:szCs w:val="18"/>
                <w:color w:val="auto"/>
              </w:rPr>
              <w:t>0.03</w:t>
            </w:r>
          </w:p>
        </w:tc>
        <w:tc>
          <w:tcPr>
            <w:tcW w:w="260" w:type="dxa"/>
            <w:vAlign w:val="bottom"/>
          </w:tcPr>
          <w:p>
            <w:pPr>
              <w:spacing w:after="0"/>
              <w:rPr>
                <w:sz w:val="19"/>
                <w:szCs w:val="19"/>
                <w:color w:val="auto"/>
              </w:rPr>
            </w:pPr>
          </w:p>
        </w:tc>
        <w:tc>
          <w:tcPr>
            <w:tcW w:w="860" w:type="dxa"/>
            <w:vAlign w:val="bottom"/>
          </w:tcPr>
          <w:p>
            <w:pPr>
              <w:jc w:val="right"/>
              <w:ind w:right="133"/>
              <w:spacing w:after="0"/>
              <w:rPr>
                <w:sz w:val="20"/>
                <w:szCs w:val="20"/>
                <w:color w:val="auto"/>
              </w:rPr>
            </w:pPr>
            <w:r>
              <w:rPr>
                <w:rFonts w:ascii="Arial" w:cs="Arial" w:eastAsia="Arial" w:hAnsi="Arial"/>
                <w:sz w:val="18"/>
                <w:szCs w:val="18"/>
                <w:color w:val="auto"/>
              </w:rPr>
              <w:t>0.01</w:t>
            </w:r>
          </w:p>
        </w:tc>
        <w:tc>
          <w:tcPr>
            <w:tcW w:w="280" w:type="dxa"/>
            <w:vAlign w:val="bottom"/>
          </w:tcPr>
          <w:p>
            <w:pPr>
              <w:spacing w:after="0"/>
              <w:rPr>
                <w:sz w:val="19"/>
                <w:szCs w:val="19"/>
                <w:color w:val="auto"/>
              </w:rPr>
            </w:pPr>
          </w:p>
        </w:tc>
        <w:tc>
          <w:tcPr>
            <w:tcW w:w="860" w:type="dxa"/>
            <w:vAlign w:val="bottom"/>
          </w:tcPr>
          <w:p>
            <w:pPr>
              <w:jc w:val="right"/>
              <w:ind w:right="133"/>
              <w:spacing w:after="0"/>
              <w:rPr>
                <w:sz w:val="20"/>
                <w:szCs w:val="20"/>
                <w:color w:val="auto"/>
              </w:rPr>
            </w:pPr>
            <w:r>
              <w:rPr>
                <w:rFonts w:ascii="Arial" w:cs="Arial" w:eastAsia="Arial" w:hAnsi="Arial"/>
                <w:sz w:val="18"/>
                <w:szCs w:val="18"/>
                <w:color w:val="auto"/>
              </w:rPr>
              <w:t>1.02</w:t>
            </w:r>
          </w:p>
        </w:tc>
        <w:tc>
          <w:tcPr>
            <w:tcW w:w="280" w:type="dxa"/>
            <w:vAlign w:val="bottom"/>
          </w:tcPr>
          <w:p>
            <w:pPr>
              <w:spacing w:after="0"/>
              <w:rPr>
                <w:sz w:val="19"/>
                <w:szCs w:val="19"/>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rPr>
              <w:t>0.11</w:t>
            </w:r>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5640" w:type="dxa"/>
            <w:vAlign w:val="bottom"/>
            <w:tcBorders>
              <w:top w:val="single" w:sz="8" w:color="auto"/>
              <w:bottom w:val="single" w:sz="8" w:color="auto"/>
            </w:tcBorders>
          </w:tcPr>
          <w:p>
            <w:pPr>
              <w:ind w:left="200"/>
              <w:spacing w:after="0" w:line="196" w:lineRule="exact"/>
              <w:rPr>
                <w:sz w:val="20"/>
                <w:szCs w:val="20"/>
                <w:color w:val="auto"/>
              </w:rPr>
            </w:pPr>
            <w:r>
              <w:rPr>
                <w:rFonts w:ascii="Arial" w:cs="Arial" w:eastAsia="Arial" w:hAnsi="Arial"/>
                <w:sz w:val="18"/>
                <w:szCs w:val="18"/>
                <w:b w:val="1"/>
                <w:bCs w:val="1"/>
                <w:color w:val="auto"/>
              </w:rPr>
              <w:t>Net income (loss)</w:t>
            </w:r>
          </w:p>
        </w:tc>
        <w:tc>
          <w:tcPr>
            <w:tcW w:w="540" w:type="dxa"/>
            <w:vAlign w:val="bottom"/>
            <w:tcBorders>
              <w:top w:val="single" w:sz="8" w:color="auto"/>
              <w:bottom w:val="single" w:sz="8" w:color="auto"/>
            </w:tcBorders>
          </w:tcPr>
          <w:p>
            <w:pPr>
              <w:jc w:val="right"/>
              <w:spacing w:after="0" w:line="196" w:lineRule="exact"/>
              <w:rPr>
                <w:sz w:val="20"/>
                <w:szCs w:val="20"/>
                <w:color w:val="auto"/>
              </w:rPr>
            </w:pPr>
            <w:r>
              <w:rPr>
                <w:rFonts w:ascii="Arial" w:cs="Arial" w:eastAsia="Arial" w:hAnsi="Arial"/>
                <w:sz w:val="18"/>
                <w:szCs w:val="18"/>
                <w:b w:val="1"/>
                <w:bCs w:val="1"/>
                <w:color w:val="auto"/>
              </w:rPr>
              <w:t>$</w:t>
            </w:r>
          </w:p>
        </w:tc>
        <w:tc>
          <w:tcPr>
            <w:tcW w:w="860" w:type="dxa"/>
            <w:vAlign w:val="bottom"/>
            <w:tcBorders>
              <w:top w:val="single" w:sz="8" w:color="auto"/>
              <w:bottom w:val="single" w:sz="8" w:color="auto"/>
            </w:tcBorders>
          </w:tcPr>
          <w:p>
            <w:pPr>
              <w:jc w:val="right"/>
              <w:ind w:right="133"/>
              <w:spacing w:after="0" w:line="196" w:lineRule="exact"/>
              <w:rPr>
                <w:sz w:val="20"/>
                <w:szCs w:val="20"/>
                <w:color w:val="auto"/>
              </w:rPr>
            </w:pPr>
            <w:r>
              <w:rPr>
                <w:rFonts w:ascii="Arial" w:cs="Arial" w:eastAsia="Arial" w:hAnsi="Arial"/>
                <w:sz w:val="18"/>
                <w:szCs w:val="18"/>
                <w:b w:val="1"/>
                <w:bCs w:val="1"/>
                <w:color w:val="auto"/>
              </w:rPr>
              <w:t>0.79</w:t>
            </w:r>
          </w:p>
        </w:tc>
        <w:tc>
          <w:tcPr>
            <w:tcW w:w="260" w:type="dxa"/>
            <w:vAlign w:val="bottom"/>
            <w:tcBorders>
              <w:top w:val="single" w:sz="8" w:color="auto"/>
              <w:bottom w:val="single" w:sz="8" w:color="auto"/>
            </w:tcBorders>
          </w:tcPr>
          <w:p>
            <w:pPr>
              <w:jc w:val="right"/>
              <w:spacing w:after="0" w:line="196" w:lineRule="exact"/>
              <w:rPr>
                <w:sz w:val="20"/>
                <w:szCs w:val="20"/>
                <w:color w:val="auto"/>
              </w:rPr>
            </w:pPr>
            <w:r>
              <w:rPr>
                <w:rFonts w:ascii="Arial" w:cs="Arial" w:eastAsia="Arial" w:hAnsi="Arial"/>
                <w:sz w:val="18"/>
                <w:szCs w:val="18"/>
                <w:color w:val="auto"/>
              </w:rPr>
              <w:t>$</w:t>
            </w:r>
          </w:p>
        </w:tc>
        <w:tc>
          <w:tcPr>
            <w:tcW w:w="860" w:type="dxa"/>
            <w:vAlign w:val="bottom"/>
            <w:tcBorders>
              <w:top w:val="single" w:sz="8" w:color="auto"/>
              <w:bottom w:val="single" w:sz="8" w:color="auto"/>
            </w:tcBorders>
          </w:tcPr>
          <w:p>
            <w:pPr>
              <w:jc w:val="right"/>
              <w:ind w:right="133"/>
              <w:spacing w:after="0" w:line="196" w:lineRule="exact"/>
              <w:rPr>
                <w:sz w:val="20"/>
                <w:szCs w:val="20"/>
                <w:color w:val="auto"/>
              </w:rPr>
            </w:pPr>
            <w:r>
              <w:rPr>
                <w:rFonts w:ascii="Arial" w:cs="Arial" w:eastAsia="Arial" w:hAnsi="Arial"/>
                <w:sz w:val="18"/>
                <w:szCs w:val="18"/>
                <w:color w:val="auto"/>
              </w:rPr>
              <w:t>0.28</w:t>
            </w:r>
          </w:p>
        </w:tc>
        <w:tc>
          <w:tcPr>
            <w:tcW w:w="260" w:type="dxa"/>
            <w:vAlign w:val="bottom"/>
            <w:tcBorders>
              <w:top w:val="single" w:sz="8" w:color="auto"/>
              <w:bottom w:val="single" w:sz="8" w:color="auto"/>
            </w:tcBorders>
          </w:tcPr>
          <w:p>
            <w:pPr>
              <w:jc w:val="right"/>
              <w:spacing w:after="0" w:line="196" w:lineRule="exact"/>
              <w:rPr>
                <w:sz w:val="20"/>
                <w:szCs w:val="20"/>
                <w:color w:val="auto"/>
              </w:rPr>
            </w:pPr>
            <w:r>
              <w:rPr>
                <w:rFonts w:ascii="Arial" w:cs="Arial" w:eastAsia="Arial" w:hAnsi="Arial"/>
                <w:sz w:val="18"/>
                <w:szCs w:val="18"/>
                <w:color w:val="auto"/>
              </w:rPr>
              <w:t>$</w:t>
            </w:r>
          </w:p>
        </w:tc>
        <w:tc>
          <w:tcPr>
            <w:tcW w:w="860" w:type="dxa"/>
            <w:vAlign w:val="bottom"/>
            <w:tcBorders>
              <w:top w:val="single" w:sz="8" w:color="auto"/>
              <w:bottom w:val="single" w:sz="8" w:color="auto"/>
            </w:tcBorders>
          </w:tcPr>
          <w:p>
            <w:pPr>
              <w:jc w:val="right"/>
              <w:ind w:right="133"/>
              <w:spacing w:after="0" w:line="196" w:lineRule="exact"/>
              <w:rPr>
                <w:sz w:val="20"/>
                <w:szCs w:val="20"/>
                <w:color w:val="auto"/>
              </w:rPr>
            </w:pPr>
            <w:r>
              <w:rPr>
                <w:rFonts w:ascii="Arial" w:cs="Arial" w:eastAsia="Arial" w:hAnsi="Arial"/>
                <w:sz w:val="18"/>
                <w:szCs w:val="18"/>
                <w:color w:val="auto"/>
              </w:rPr>
              <w:t>0.29</w:t>
            </w:r>
          </w:p>
        </w:tc>
        <w:tc>
          <w:tcPr>
            <w:tcW w:w="280" w:type="dxa"/>
            <w:vAlign w:val="bottom"/>
            <w:tcBorders>
              <w:top w:val="single" w:sz="8" w:color="auto"/>
              <w:bottom w:val="single" w:sz="8" w:color="auto"/>
            </w:tcBorders>
          </w:tcPr>
          <w:p>
            <w:pPr>
              <w:jc w:val="right"/>
              <w:spacing w:after="0" w:line="196" w:lineRule="exact"/>
              <w:rPr>
                <w:sz w:val="20"/>
                <w:szCs w:val="20"/>
                <w:color w:val="auto"/>
              </w:rPr>
            </w:pPr>
            <w:r>
              <w:rPr>
                <w:rFonts w:ascii="Arial" w:cs="Arial" w:eastAsia="Arial" w:hAnsi="Arial"/>
                <w:sz w:val="18"/>
                <w:szCs w:val="18"/>
                <w:color w:val="auto"/>
              </w:rPr>
              <w:t>$</w:t>
            </w:r>
          </w:p>
        </w:tc>
        <w:tc>
          <w:tcPr>
            <w:tcW w:w="860" w:type="dxa"/>
            <w:vAlign w:val="bottom"/>
            <w:tcBorders>
              <w:top w:val="single" w:sz="8" w:color="auto"/>
              <w:bottom w:val="single" w:sz="8" w:color="auto"/>
            </w:tcBorders>
          </w:tcPr>
          <w:p>
            <w:pPr>
              <w:jc w:val="right"/>
              <w:ind w:right="133"/>
              <w:spacing w:after="0" w:line="196" w:lineRule="exact"/>
              <w:rPr>
                <w:sz w:val="20"/>
                <w:szCs w:val="20"/>
                <w:color w:val="auto"/>
              </w:rPr>
            </w:pPr>
            <w:r>
              <w:rPr>
                <w:rFonts w:ascii="Arial" w:cs="Arial" w:eastAsia="Arial" w:hAnsi="Arial"/>
                <w:sz w:val="18"/>
                <w:szCs w:val="18"/>
                <w:color w:val="auto"/>
              </w:rPr>
              <w:t>0.95</w:t>
            </w:r>
          </w:p>
        </w:tc>
        <w:tc>
          <w:tcPr>
            <w:tcW w:w="280" w:type="dxa"/>
            <w:vAlign w:val="bottom"/>
            <w:tcBorders>
              <w:top w:val="single" w:sz="8" w:color="auto"/>
              <w:bottom w:val="single" w:sz="8" w:color="auto"/>
            </w:tcBorders>
          </w:tcPr>
          <w:p>
            <w:pPr>
              <w:jc w:val="right"/>
              <w:spacing w:after="0" w:line="196" w:lineRule="exact"/>
              <w:rPr>
                <w:sz w:val="20"/>
                <w:szCs w:val="20"/>
                <w:color w:val="auto"/>
              </w:rPr>
            </w:pPr>
            <w:r>
              <w:rPr>
                <w:rFonts w:ascii="Arial" w:cs="Arial" w:eastAsia="Arial" w:hAnsi="Arial"/>
                <w:sz w:val="18"/>
                <w:szCs w:val="18"/>
                <w:color w:val="auto"/>
              </w:rPr>
              <w:t>$</w:t>
            </w:r>
          </w:p>
        </w:tc>
        <w:tc>
          <w:tcPr>
            <w:tcW w:w="700" w:type="dxa"/>
            <w:vAlign w:val="bottom"/>
            <w:tcBorders>
              <w:top w:val="single" w:sz="8" w:color="auto"/>
              <w:bottom w:val="single" w:sz="8" w:color="auto"/>
            </w:tcBorders>
          </w:tcPr>
          <w:p>
            <w:pPr>
              <w:jc w:val="right"/>
              <w:spacing w:after="0" w:line="196" w:lineRule="exact"/>
              <w:rPr>
                <w:sz w:val="20"/>
                <w:szCs w:val="20"/>
                <w:color w:val="auto"/>
              </w:rPr>
            </w:pPr>
            <w:r>
              <w:rPr>
                <w:rFonts w:ascii="Arial" w:cs="Arial" w:eastAsia="Arial" w:hAnsi="Arial"/>
                <w:sz w:val="18"/>
                <w:szCs w:val="18"/>
                <w:color w:val="auto"/>
              </w:rPr>
              <w:t>(0.16)</w:t>
            </w:r>
          </w:p>
        </w:tc>
        <w:tc>
          <w:tcPr>
            <w:tcW w:w="0" w:type="dxa"/>
            <w:vAlign w:val="bottom"/>
          </w:tcPr>
          <w:p>
            <w:pPr>
              <w:spacing w:after="0"/>
              <w:rPr>
                <w:sz w:val="1"/>
                <w:szCs w:val="1"/>
                <w:color w:val="auto"/>
              </w:rPr>
            </w:pPr>
          </w:p>
        </w:tc>
      </w:tr>
      <w:tr>
        <w:trPr>
          <w:trHeight w:val="199"/>
        </w:trPr>
        <w:tc>
          <w:tcPr>
            <w:tcW w:w="20" w:type="dxa"/>
            <w:vAlign w:val="bottom"/>
          </w:tcPr>
          <w:p>
            <w:pPr>
              <w:spacing w:after="0"/>
              <w:rPr>
                <w:sz w:val="17"/>
                <w:szCs w:val="17"/>
                <w:color w:val="auto"/>
              </w:rPr>
            </w:pPr>
          </w:p>
        </w:tc>
        <w:tc>
          <w:tcPr>
            <w:tcW w:w="5640" w:type="dxa"/>
            <w:vAlign w:val="bottom"/>
          </w:tcPr>
          <w:p>
            <w:pPr>
              <w:spacing w:after="0" w:line="200" w:lineRule="exact"/>
              <w:rPr>
                <w:sz w:val="20"/>
                <w:szCs w:val="20"/>
                <w:color w:val="auto"/>
              </w:rPr>
            </w:pPr>
            <w:r>
              <w:rPr>
                <w:rFonts w:ascii="Arial" w:cs="Arial" w:eastAsia="Arial" w:hAnsi="Arial"/>
                <w:sz w:val="18"/>
                <w:szCs w:val="18"/>
                <w:b w:val="1"/>
                <w:bCs w:val="1"/>
                <w:color w:val="auto"/>
              </w:rPr>
              <w:t>Balance Sheet Data (at year end)</w:t>
            </w:r>
          </w:p>
        </w:tc>
        <w:tc>
          <w:tcPr>
            <w:tcW w:w="540" w:type="dxa"/>
            <w:vAlign w:val="bottom"/>
            <w:vMerge w:val="restart"/>
          </w:tcPr>
          <w:p>
            <w:pPr>
              <w:jc w:val="right"/>
              <w:spacing w:after="0"/>
              <w:rPr>
                <w:sz w:val="20"/>
                <w:szCs w:val="20"/>
                <w:color w:val="auto"/>
              </w:rPr>
            </w:pPr>
            <w:r>
              <w:rPr>
                <w:rFonts w:ascii="Arial" w:cs="Arial" w:eastAsia="Arial" w:hAnsi="Arial"/>
                <w:sz w:val="18"/>
                <w:szCs w:val="18"/>
                <w:b w:val="1"/>
                <w:bCs w:val="1"/>
                <w:color w:val="auto"/>
              </w:rPr>
              <w:t>$</w:t>
            </w:r>
          </w:p>
        </w:tc>
        <w:tc>
          <w:tcPr>
            <w:tcW w:w="860" w:type="dxa"/>
            <w:vAlign w:val="bottom"/>
            <w:vMerge w:val="restart"/>
          </w:tcPr>
          <w:p>
            <w:pPr>
              <w:jc w:val="right"/>
              <w:ind w:right="133"/>
              <w:spacing w:after="0"/>
              <w:rPr>
                <w:sz w:val="20"/>
                <w:szCs w:val="20"/>
                <w:color w:val="auto"/>
              </w:rPr>
            </w:pPr>
            <w:r>
              <w:rPr>
                <w:rFonts w:ascii="Arial" w:cs="Arial" w:eastAsia="Arial" w:hAnsi="Arial"/>
                <w:sz w:val="18"/>
                <w:szCs w:val="18"/>
                <w:b w:val="1"/>
                <w:bCs w:val="1"/>
                <w:color w:val="auto"/>
                <w:w w:val="95"/>
              </w:rPr>
              <w:t>110,405</w:t>
            </w:r>
          </w:p>
        </w:tc>
        <w:tc>
          <w:tcPr>
            <w:tcW w:w="26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81"/>
        </w:trPr>
        <w:tc>
          <w:tcPr>
            <w:tcW w:w="5660" w:type="dxa"/>
            <w:vAlign w:val="bottom"/>
            <w:gridSpan w:val="2"/>
          </w:tcPr>
          <w:p>
            <w:pPr>
              <w:spacing w:after="0" w:line="181" w:lineRule="exact"/>
              <w:rPr>
                <w:sz w:val="20"/>
                <w:szCs w:val="20"/>
                <w:color w:val="auto"/>
              </w:rPr>
            </w:pPr>
            <w:r>
              <w:rPr>
                <w:rFonts w:ascii="Arial" w:cs="Arial" w:eastAsia="Arial" w:hAnsi="Arial"/>
                <w:sz w:val="18"/>
                <w:szCs w:val="18"/>
                <w:color w:val="auto"/>
              </w:rPr>
              <w:t>Total assets</w:t>
            </w:r>
          </w:p>
        </w:tc>
        <w:tc>
          <w:tcPr>
            <w:tcW w:w="540" w:type="dxa"/>
            <w:vAlign w:val="bottom"/>
            <w:vMerge w:val="continue"/>
          </w:tcPr>
          <w:p>
            <w:pPr>
              <w:spacing w:after="0"/>
              <w:rPr>
                <w:sz w:val="15"/>
                <w:szCs w:val="15"/>
                <w:color w:val="auto"/>
              </w:rPr>
            </w:pPr>
          </w:p>
        </w:tc>
        <w:tc>
          <w:tcPr>
            <w:tcW w:w="860" w:type="dxa"/>
            <w:vAlign w:val="bottom"/>
            <w:vMerge w:val="continue"/>
          </w:tcPr>
          <w:p>
            <w:pPr>
              <w:spacing w:after="0"/>
              <w:rPr>
                <w:sz w:val="15"/>
                <w:szCs w:val="15"/>
                <w:color w:val="auto"/>
              </w:rPr>
            </w:pPr>
          </w:p>
        </w:tc>
        <w:tc>
          <w:tcPr>
            <w:tcW w:w="260" w:type="dxa"/>
            <w:vAlign w:val="bottom"/>
          </w:tcPr>
          <w:p>
            <w:pPr>
              <w:jc w:val="right"/>
              <w:spacing w:after="0" w:line="181" w:lineRule="exact"/>
              <w:rPr>
                <w:sz w:val="20"/>
                <w:szCs w:val="20"/>
                <w:color w:val="auto"/>
              </w:rPr>
            </w:pPr>
            <w:r>
              <w:rPr>
                <w:rFonts w:ascii="Arial" w:cs="Arial" w:eastAsia="Arial" w:hAnsi="Arial"/>
                <w:sz w:val="18"/>
                <w:szCs w:val="18"/>
                <w:color w:val="auto"/>
              </w:rPr>
              <w:t>$</w:t>
            </w:r>
          </w:p>
        </w:tc>
        <w:tc>
          <w:tcPr>
            <w:tcW w:w="860" w:type="dxa"/>
            <w:vAlign w:val="bottom"/>
          </w:tcPr>
          <w:p>
            <w:pPr>
              <w:jc w:val="right"/>
              <w:ind w:right="133"/>
              <w:spacing w:after="0" w:line="181" w:lineRule="exact"/>
              <w:rPr>
                <w:sz w:val="20"/>
                <w:szCs w:val="20"/>
                <w:color w:val="auto"/>
              </w:rPr>
            </w:pPr>
            <w:r>
              <w:rPr>
                <w:rFonts w:ascii="Arial" w:cs="Arial" w:eastAsia="Arial" w:hAnsi="Arial"/>
                <w:sz w:val="18"/>
                <w:szCs w:val="18"/>
                <w:color w:val="auto"/>
                <w:w w:val="95"/>
              </w:rPr>
              <w:t>103,400</w:t>
            </w:r>
          </w:p>
        </w:tc>
        <w:tc>
          <w:tcPr>
            <w:tcW w:w="260" w:type="dxa"/>
            <w:vAlign w:val="bottom"/>
          </w:tcPr>
          <w:p>
            <w:pPr>
              <w:jc w:val="right"/>
              <w:spacing w:after="0" w:line="181" w:lineRule="exact"/>
              <w:rPr>
                <w:sz w:val="20"/>
                <w:szCs w:val="20"/>
                <w:color w:val="auto"/>
              </w:rPr>
            </w:pPr>
            <w:r>
              <w:rPr>
                <w:rFonts w:ascii="Arial" w:cs="Arial" w:eastAsia="Arial" w:hAnsi="Arial"/>
                <w:sz w:val="18"/>
                <w:szCs w:val="18"/>
                <w:color w:val="auto"/>
              </w:rPr>
              <w:t>$</w:t>
            </w:r>
          </w:p>
        </w:tc>
        <w:tc>
          <w:tcPr>
            <w:tcW w:w="860" w:type="dxa"/>
            <w:vAlign w:val="bottom"/>
          </w:tcPr>
          <w:p>
            <w:pPr>
              <w:jc w:val="right"/>
              <w:ind w:right="133"/>
              <w:spacing w:after="0" w:line="181" w:lineRule="exact"/>
              <w:rPr>
                <w:sz w:val="20"/>
                <w:szCs w:val="20"/>
                <w:color w:val="auto"/>
              </w:rPr>
            </w:pPr>
            <w:r>
              <w:rPr>
                <w:rFonts w:ascii="Arial" w:cs="Arial" w:eastAsia="Arial" w:hAnsi="Arial"/>
                <w:sz w:val="18"/>
                <w:szCs w:val="18"/>
                <w:color w:val="auto"/>
                <w:w w:val="95"/>
              </w:rPr>
              <w:t>105,035</w:t>
            </w:r>
          </w:p>
        </w:tc>
        <w:tc>
          <w:tcPr>
            <w:tcW w:w="280" w:type="dxa"/>
            <w:vAlign w:val="bottom"/>
          </w:tcPr>
          <w:p>
            <w:pPr>
              <w:jc w:val="right"/>
              <w:spacing w:after="0" w:line="181" w:lineRule="exact"/>
              <w:rPr>
                <w:sz w:val="20"/>
                <w:szCs w:val="20"/>
                <w:color w:val="auto"/>
              </w:rPr>
            </w:pPr>
            <w:r>
              <w:rPr>
                <w:rFonts w:ascii="Arial" w:cs="Arial" w:eastAsia="Arial" w:hAnsi="Arial"/>
                <w:sz w:val="18"/>
                <w:szCs w:val="18"/>
                <w:color w:val="auto"/>
              </w:rPr>
              <w:t>$</w:t>
            </w:r>
          </w:p>
        </w:tc>
        <w:tc>
          <w:tcPr>
            <w:tcW w:w="860" w:type="dxa"/>
            <w:vAlign w:val="bottom"/>
          </w:tcPr>
          <w:p>
            <w:pPr>
              <w:jc w:val="right"/>
              <w:ind w:right="133"/>
              <w:spacing w:after="0" w:line="181" w:lineRule="exact"/>
              <w:rPr>
                <w:sz w:val="20"/>
                <w:szCs w:val="20"/>
                <w:color w:val="auto"/>
              </w:rPr>
            </w:pPr>
            <w:r>
              <w:rPr>
                <w:rFonts w:ascii="Arial" w:cs="Arial" w:eastAsia="Arial" w:hAnsi="Arial"/>
                <w:sz w:val="18"/>
                <w:szCs w:val="18"/>
                <w:color w:val="auto"/>
                <w:w w:val="95"/>
              </w:rPr>
              <w:t>109,348</w:t>
            </w:r>
          </w:p>
        </w:tc>
        <w:tc>
          <w:tcPr>
            <w:tcW w:w="280" w:type="dxa"/>
            <w:vAlign w:val="bottom"/>
          </w:tcPr>
          <w:p>
            <w:pPr>
              <w:jc w:val="right"/>
              <w:spacing w:after="0" w:line="181" w:lineRule="exact"/>
              <w:rPr>
                <w:sz w:val="20"/>
                <w:szCs w:val="20"/>
                <w:color w:val="auto"/>
              </w:rPr>
            </w:pPr>
            <w:r>
              <w:rPr>
                <w:rFonts w:ascii="Arial" w:cs="Arial" w:eastAsia="Arial" w:hAnsi="Arial"/>
                <w:sz w:val="18"/>
                <w:szCs w:val="18"/>
                <w:color w:val="auto"/>
              </w:rPr>
              <w:t>$</w:t>
            </w:r>
          </w:p>
        </w:tc>
        <w:tc>
          <w:tcPr>
            <w:tcW w:w="700" w:type="dxa"/>
            <w:vAlign w:val="bottom"/>
          </w:tcPr>
          <w:p>
            <w:pPr>
              <w:jc w:val="right"/>
              <w:spacing w:after="0" w:line="181" w:lineRule="exact"/>
              <w:rPr>
                <w:sz w:val="20"/>
                <w:szCs w:val="20"/>
                <w:color w:val="auto"/>
              </w:rPr>
            </w:pPr>
            <w:r>
              <w:rPr>
                <w:rFonts w:ascii="Arial" w:cs="Arial" w:eastAsia="Arial" w:hAnsi="Arial"/>
                <w:sz w:val="18"/>
                <w:szCs w:val="18"/>
                <w:color w:val="auto"/>
                <w:w w:val="95"/>
              </w:rPr>
              <w:t>113,485</w:t>
            </w:r>
          </w:p>
        </w:tc>
        <w:tc>
          <w:tcPr>
            <w:tcW w:w="0" w:type="dxa"/>
            <w:vAlign w:val="bottom"/>
          </w:tcPr>
          <w:p>
            <w:pPr>
              <w:spacing w:after="0"/>
              <w:rPr>
                <w:sz w:val="1"/>
                <w:szCs w:val="1"/>
                <w:color w:val="auto"/>
              </w:rPr>
            </w:pPr>
          </w:p>
        </w:tc>
      </w:tr>
      <w:tr>
        <w:trPr>
          <w:trHeight w:val="203"/>
        </w:trPr>
        <w:tc>
          <w:tcPr>
            <w:tcW w:w="5660" w:type="dxa"/>
            <w:vAlign w:val="bottom"/>
            <w:gridSpan w:val="2"/>
          </w:tcPr>
          <w:p>
            <w:pPr>
              <w:spacing w:after="0" w:line="202" w:lineRule="exact"/>
              <w:rPr>
                <w:sz w:val="20"/>
                <w:szCs w:val="20"/>
                <w:color w:val="auto"/>
              </w:rPr>
            </w:pPr>
            <w:r>
              <w:rPr>
                <w:rFonts w:ascii="Arial" w:cs="Arial" w:eastAsia="Arial" w:hAnsi="Arial"/>
                <w:sz w:val="18"/>
                <w:szCs w:val="18"/>
                <w:color w:val="auto"/>
              </w:rPr>
              <w:t>Long-term debt</w:t>
            </w:r>
          </w:p>
        </w:tc>
        <w:tc>
          <w:tcPr>
            <w:tcW w:w="540" w:type="dxa"/>
            <w:vAlign w:val="bottom"/>
          </w:tcPr>
          <w:p>
            <w:pPr>
              <w:spacing w:after="0"/>
              <w:rPr>
                <w:sz w:val="17"/>
                <w:szCs w:val="17"/>
                <w:color w:val="auto"/>
              </w:rPr>
            </w:pPr>
          </w:p>
        </w:tc>
        <w:tc>
          <w:tcPr>
            <w:tcW w:w="860" w:type="dxa"/>
            <w:vAlign w:val="bottom"/>
          </w:tcPr>
          <w:p>
            <w:pPr>
              <w:jc w:val="right"/>
              <w:ind w:right="133"/>
              <w:spacing w:after="0" w:line="202" w:lineRule="exact"/>
              <w:rPr>
                <w:sz w:val="20"/>
                <w:szCs w:val="20"/>
                <w:color w:val="auto"/>
              </w:rPr>
            </w:pPr>
            <w:r>
              <w:rPr>
                <w:rFonts w:ascii="Arial" w:cs="Arial" w:eastAsia="Arial" w:hAnsi="Arial"/>
                <w:sz w:val="18"/>
                <w:szCs w:val="18"/>
                <w:b w:val="1"/>
                <w:bCs w:val="1"/>
                <w:color w:val="auto"/>
              </w:rPr>
              <w:t>27,992</w:t>
            </w:r>
          </w:p>
        </w:tc>
        <w:tc>
          <w:tcPr>
            <w:tcW w:w="260" w:type="dxa"/>
            <w:vAlign w:val="bottom"/>
          </w:tcPr>
          <w:p>
            <w:pPr>
              <w:spacing w:after="0"/>
              <w:rPr>
                <w:sz w:val="17"/>
                <w:szCs w:val="17"/>
                <w:color w:val="auto"/>
              </w:rPr>
            </w:pPr>
          </w:p>
        </w:tc>
        <w:tc>
          <w:tcPr>
            <w:tcW w:w="860" w:type="dxa"/>
            <w:vAlign w:val="bottom"/>
          </w:tcPr>
          <w:p>
            <w:pPr>
              <w:jc w:val="right"/>
              <w:ind w:right="133"/>
              <w:spacing w:after="0" w:line="202" w:lineRule="exact"/>
              <w:rPr>
                <w:sz w:val="20"/>
                <w:szCs w:val="20"/>
                <w:color w:val="auto"/>
              </w:rPr>
            </w:pPr>
            <w:r>
              <w:rPr>
                <w:rFonts w:ascii="Arial" w:cs="Arial" w:eastAsia="Arial" w:hAnsi="Arial"/>
                <w:sz w:val="18"/>
                <w:szCs w:val="18"/>
                <w:color w:val="auto"/>
              </w:rPr>
              <w:t>21,682</w:t>
            </w:r>
          </w:p>
        </w:tc>
        <w:tc>
          <w:tcPr>
            <w:tcW w:w="260" w:type="dxa"/>
            <w:vAlign w:val="bottom"/>
          </w:tcPr>
          <w:p>
            <w:pPr>
              <w:spacing w:after="0"/>
              <w:rPr>
                <w:sz w:val="17"/>
                <w:szCs w:val="17"/>
                <w:color w:val="auto"/>
              </w:rPr>
            </w:pPr>
          </w:p>
        </w:tc>
        <w:tc>
          <w:tcPr>
            <w:tcW w:w="860" w:type="dxa"/>
            <w:vAlign w:val="bottom"/>
          </w:tcPr>
          <w:p>
            <w:pPr>
              <w:jc w:val="right"/>
              <w:ind w:right="133"/>
              <w:spacing w:after="0" w:line="202" w:lineRule="exact"/>
              <w:rPr>
                <w:sz w:val="20"/>
                <w:szCs w:val="20"/>
                <w:color w:val="auto"/>
              </w:rPr>
            </w:pPr>
            <w:r>
              <w:rPr>
                <w:rFonts w:ascii="Arial" w:cs="Arial" w:eastAsia="Arial" w:hAnsi="Arial"/>
                <w:sz w:val="18"/>
                <w:szCs w:val="18"/>
                <w:color w:val="auto"/>
              </w:rPr>
              <w:t>20,093</w:t>
            </w:r>
          </w:p>
        </w:tc>
        <w:tc>
          <w:tcPr>
            <w:tcW w:w="280" w:type="dxa"/>
            <w:vAlign w:val="bottom"/>
          </w:tcPr>
          <w:p>
            <w:pPr>
              <w:spacing w:after="0"/>
              <w:rPr>
                <w:sz w:val="17"/>
                <w:szCs w:val="17"/>
                <w:color w:val="auto"/>
              </w:rPr>
            </w:pPr>
          </w:p>
        </w:tc>
        <w:tc>
          <w:tcPr>
            <w:tcW w:w="860" w:type="dxa"/>
            <w:vAlign w:val="bottom"/>
          </w:tcPr>
          <w:p>
            <w:pPr>
              <w:jc w:val="right"/>
              <w:ind w:right="133"/>
              <w:spacing w:after="0" w:line="202" w:lineRule="exact"/>
              <w:rPr>
                <w:sz w:val="20"/>
                <w:szCs w:val="20"/>
                <w:color w:val="auto"/>
              </w:rPr>
            </w:pPr>
            <w:r>
              <w:rPr>
                <w:rFonts w:ascii="Arial" w:cs="Arial" w:eastAsia="Arial" w:hAnsi="Arial"/>
                <w:sz w:val="18"/>
                <w:szCs w:val="18"/>
                <w:color w:val="auto"/>
              </w:rPr>
              <w:t>23,835</w:t>
            </w:r>
          </w:p>
        </w:tc>
        <w:tc>
          <w:tcPr>
            <w:tcW w:w="280" w:type="dxa"/>
            <w:vAlign w:val="bottom"/>
          </w:tcPr>
          <w:p>
            <w:pPr>
              <w:spacing w:after="0"/>
              <w:rPr>
                <w:sz w:val="17"/>
                <w:szCs w:val="17"/>
                <w:color w:val="auto"/>
              </w:rPr>
            </w:pPr>
          </w:p>
        </w:tc>
        <w:tc>
          <w:tcPr>
            <w:tcW w:w="700" w:type="dxa"/>
            <w:vAlign w:val="bottom"/>
          </w:tcPr>
          <w:p>
            <w:pPr>
              <w:jc w:val="right"/>
              <w:spacing w:after="0" w:line="202" w:lineRule="exact"/>
              <w:rPr>
                <w:sz w:val="20"/>
                <w:szCs w:val="20"/>
                <w:color w:val="auto"/>
              </w:rPr>
            </w:pPr>
            <w:r>
              <w:rPr>
                <w:rFonts w:ascii="Arial" w:cs="Arial" w:eastAsia="Arial" w:hAnsi="Arial"/>
                <w:sz w:val="18"/>
                <w:szCs w:val="18"/>
                <w:color w:val="auto"/>
              </w:rPr>
              <w:t>27,956</w:t>
            </w:r>
          </w:p>
        </w:tc>
        <w:tc>
          <w:tcPr>
            <w:tcW w:w="0" w:type="dxa"/>
            <w:vAlign w:val="bottom"/>
          </w:tcPr>
          <w:p>
            <w:pPr>
              <w:spacing w:after="0"/>
              <w:rPr>
                <w:sz w:val="1"/>
                <w:szCs w:val="1"/>
                <w:color w:val="auto"/>
              </w:rPr>
            </w:pPr>
          </w:p>
        </w:tc>
      </w:tr>
      <w:tr>
        <w:trPr>
          <w:trHeight w:val="203"/>
        </w:trPr>
        <w:tc>
          <w:tcPr>
            <w:tcW w:w="5660" w:type="dxa"/>
            <w:vAlign w:val="bottom"/>
            <w:gridSpan w:val="2"/>
          </w:tcPr>
          <w:p>
            <w:pPr>
              <w:spacing w:after="0" w:line="202" w:lineRule="exact"/>
              <w:rPr>
                <w:sz w:val="20"/>
                <w:szCs w:val="20"/>
                <w:color w:val="auto"/>
              </w:rPr>
            </w:pPr>
            <w:r>
              <w:rPr>
                <w:rFonts w:ascii="Arial" w:cs="Arial" w:eastAsia="Arial" w:hAnsi="Arial"/>
                <w:sz w:val="18"/>
                <w:szCs w:val="18"/>
                <w:color w:val="auto"/>
              </w:rPr>
              <w:t>Stockholders’ equity</w:t>
            </w:r>
          </w:p>
        </w:tc>
        <w:tc>
          <w:tcPr>
            <w:tcW w:w="540" w:type="dxa"/>
            <w:vAlign w:val="bottom"/>
          </w:tcPr>
          <w:p>
            <w:pPr>
              <w:spacing w:after="0"/>
              <w:rPr>
                <w:sz w:val="17"/>
                <w:szCs w:val="17"/>
                <w:color w:val="auto"/>
              </w:rPr>
            </w:pPr>
          </w:p>
        </w:tc>
        <w:tc>
          <w:tcPr>
            <w:tcW w:w="860" w:type="dxa"/>
            <w:vAlign w:val="bottom"/>
          </w:tcPr>
          <w:p>
            <w:pPr>
              <w:jc w:val="right"/>
              <w:ind w:right="133"/>
              <w:spacing w:after="0" w:line="202" w:lineRule="exact"/>
              <w:rPr>
                <w:sz w:val="20"/>
                <w:szCs w:val="20"/>
                <w:color w:val="auto"/>
              </w:rPr>
            </w:pPr>
            <w:r>
              <w:rPr>
                <w:rFonts w:ascii="Arial" w:cs="Arial" w:eastAsia="Arial" w:hAnsi="Arial"/>
                <w:sz w:val="18"/>
                <w:szCs w:val="18"/>
                <w:b w:val="1"/>
                <w:bCs w:val="1"/>
                <w:color w:val="auto"/>
              </w:rPr>
              <w:t>41,167</w:t>
            </w:r>
          </w:p>
        </w:tc>
        <w:tc>
          <w:tcPr>
            <w:tcW w:w="260" w:type="dxa"/>
            <w:vAlign w:val="bottom"/>
          </w:tcPr>
          <w:p>
            <w:pPr>
              <w:spacing w:after="0"/>
              <w:rPr>
                <w:sz w:val="17"/>
                <w:szCs w:val="17"/>
                <w:color w:val="auto"/>
              </w:rPr>
            </w:pPr>
          </w:p>
        </w:tc>
        <w:tc>
          <w:tcPr>
            <w:tcW w:w="860" w:type="dxa"/>
            <w:vAlign w:val="bottom"/>
          </w:tcPr>
          <w:p>
            <w:pPr>
              <w:jc w:val="right"/>
              <w:ind w:right="133"/>
              <w:spacing w:after="0" w:line="202" w:lineRule="exact"/>
              <w:rPr>
                <w:sz w:val="20"/>
                <w:szCs w:val="20"/>
                <w:color w:val="auto"/>
              </w:rPr>
            </w:pPr>
            <w:r>
              <w:rPr>
                <w:rFonts w:ascii="Arial" w:cs="Arial" w:eastAsia="Arial" w:hAnsi="Arial"/>
                <w:sz w:val="18"/>
                <w:szCs w:val="18"/>
                <w:color w:val="auto"/>
              </w:rPr>
              <w:t>40,219</w:t>
            </w:r>
          </w:p>
        </w:tc>
        <w:tc>
          <w:tcPr>
            <w:tcW w:w="260" w:type="dxa"/>
            <w:vAlign w:val="bottom"/>
          </w:tcPr>
          <w:p>
            <w:pPr>
              <w:spacing w:after="0"/>
              <w:rPr>
                <w:sz w:val="17"/>
                <w:szCs w:val="17"/>
                <w:color w:val="auto"/>
              </w:rPr>
            </w:pPr>
          </w:p>
        </w:tc>
        <w:tc>
          <w:tcPr>
            <w:tcW w:w="860" w:type="dxa"/>
            <w:vAlign w:val="bottom"/>
          </w:tcPr>
          <w:p>
            <w:pPr>
              <w:jc w:val="right"/>
              <w:ind w:right="133"/>
              <w:spacing w:after="0" w:line="202" w:lineRule="exact"/>
              <w:rPr>
                <w:sz w:val="20"/>
                <w:szCs w:val="20"/>
                <w:color w:val="auto"/>
              </w:rPr>
            </w:pPr>
            <w:r>
              <w:rPr>
                <w:rFonts w:ascii="Arial" w:cs="Arial" w:eastAsia="Arial" w:hAnsi="Arial"/>
                <w:sz w:val="18"/>
                <w:szCs w:val="18"/>
                <w:color w:val="auto"/>
              </w:rPr>
              <w:t>41,422</w:t>
            </w:r>
          </w:p>
        </w:tc>
        <w:tc>
          <w:tcPr>
            <w:tcW w:w="280" w:type="dxa"/>
            <w:vAlign w:val="bottom"/>
          </w:tcPr>
          <w:p>
            <w:pPr>
              <w:spacing w:after="0"/>
              <w:rPr>
                <w:sz w:val="17"/>
                <w:szCs w:val="17"/>
                <w:color w:val="auto"/>
              </w:rPr>
            </w:pPr>
          </w:p>
        </w:tc>
        <w:tc>
          <w:tcPr>
            <w:tcW w:w="860" w:type="dxa"/>
            <w:vAlign w:val="bottom"/>
          </w:tcPr>
          <w:p>
            <w:pPr>
              <w:jc w:val="right"/>
              <w:ind w:right="133"/>
              <w:spacing w:after="0" w:line="202" w:lineRule="exact"/>
              <w:rPr>
                <w:sz w:val="20"/>
                <w:szCs w:val="20"/>
                <w:color w:val="auto"/>
              </w:rPr>
            </w:pPr>
            <w:r>
              <w:rPr>
                <w:rFonts w:ascii="Arial" w:cs="Arial" w:eastAsia="Arial" w:hAnsi="Arial"/>
                <w:sz w:val="18"/>
                <w:szCs w:val="18"/>
                <w:color w:val="auto"/>
              </w:rPr>
              <w:t>41,662</w:t>
            </w:r>
          </w:p>
        </w:tc>
        <w:tc>
          <w:tcPr>
            <w:tcW w:w="280" w:type="dxa"/>
            <w:vAlign w:val="bottom"/>
          </w:tcPr>
          <w:p>
            <w:pPr>
              <w:spacing w:after="0"/>
              <w:rPr>
                <w:sz w:val="17"/>
                <w:szCs w:val="17"/>
                <w:color w:val="auto"/>
              </w:rPr>
            </w:pPr>
          </w:p>
        </w:tc>
        <w:tc>
          <w:tcPr>
            <w:tcW w:w="700" w:type="dxa"/>
            <w:vAlign w:val="bottom"/>
          </w:tcPr>
          <w:p>
            <w:pPr>
              <w:jc w:val="right"/>
              <w:spacing w:after="0" w:line="202" w:lineRule="exact"/>
              <w:rPr>
                <w:sz w:val="20"/>
                <w:szCs w:val="20"/>
                <w:color w:val="auto"/>
              </w:rPr>
            </w:pPr>
            <w:r>
              <w:rPr>
                <w:rFonts w:ascii="Arial" w:cs="Arial" w:eastAsia="Arial" w:hAnsi="Arial"/>
                <w:sz w:val="18"/>
                <w:szCs w:val="18"/>
                <w:color w:val="auto"/>
              </w:rPr>
              <w:t>38,329</w:t>
            </w:r>
          </w:p>
        </w:tc>
        <w:tc>
          <w:tcPr>
            <w:tcW w:w="0" w:type="dxa"/>
            <w:vAlign w:val="bottom"/>
          </w:tcPr>
          <w:p>
            <w:pPr>
              <w:spacing w:after="0"/>
              <w:rPr>
                <w:sz w:val="1"/>
                <w:szCs w:val="1"/>
                <w:color w:val="auto"/>
              </w:rPr>
            </w:pPr>
          </w:p>
        </w:tc>
      </w:tr>
      <w:tr>
        <w:trPr>
          <w:trHeight w:val="225"/>
        </w:trPr>
        <w:tc>
          <w:tcPr>
            <w:tcW w:w="5660" w:type="dxa"/>
            <w:vAlign w:val="bottom"/>
            <w:gridSpan w:val="2"/>
          </w:tcPr>
          <w:p>
            <w:pPr>
              <w:spacing w:after="0"/>
              <w:rPr>
                <w:sz w:val="20"/>
                <w:szCs w:val="20"/>
                <w:color w:val="auto"/>
              </w:rPr>
            </w:pPr>
            <w:r>
              <w:rPr>
                <w:rFonts w:ascii="Arial" w:cs="Arial" w:eastAsia="Arial" w:hAnsi="Arial"/>
                <w:sz w:val="18"/>
                <w:szCs w:val="18"/>
                <w:b w:val="1"/>
                <w:bCs w:val="1"/>
                <w:color w:val="auto"/>
              </w:rPr>
              <w:t>Statement of Cash Flows Data</w:t>
            </w:r>
          </w:p>
        </w:tc>
        <w:tc>
          <w:tcPr>
            <w:tcW w:w="540" w:type="dxa"/>
            <w:vAlign w:val="bottom"/>
          </w:tcPr>
          <w:p>
            <w:pPr>
              <w:spacing w:after="0"/>
              <w:rPr>
                <w:sz w:val="19"/>
                <w:szCs w:val="19"/>
                <w:color w:val="auto"/>
              </w:rPr>
            </w:pPr>
          </w:p>
        </w:tc>
        <w:tc>
          <w:tcPr>
            <w:tcW w:w="86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86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86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86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3"/>
        </w:trPr>
        <w:tc>
          <w:tcPr>
            <w:tcW w:w="5660" w:type="dxa"/>
            <w:vAlign w:val="bottom"/>
            <w:gridSpan w:val="2"/>
          </w:tcPr>
          <w:p>
            <w:pPr>
              <w:spacing w:after="0" w:line="202" w:lineRule="exact"/>
              <w:rPr>
                <w:sz w:val="20"/>
                <w:szCs w:val="20"/>
                <w:color w:val="auto"/>
              </w:rPr>
            </w:pPr>
            <w:r>
              <w:rPr>
                <w:rFonts w:ascii="Arial" w:cs="Arial" w:eastAsia="Arial" w:hAnsi="Arial"/>
                <w:sz w:val="18"/>
                <w:szCs w:val="18"/>
                <w:color w:val="auto"/>
              </w:rPr>
              <w:t>Net cash provided by (used in):</w:t>
            </w:r>
          </w:p>
        </w:tc>
        <w:tc>
          <w:tcPr>
            <w:tcW w:w="540" w:type="dxa"/>
            <w:vAlign w:val="bottom"/>
            <w:vMerge w:val="restart"/>
          </w:tcPr>
          <w:p>
            <w:pPr>
              <w:jc w:val="right"/>
              <w:spacing w:after="0"/>
              <w:rPr>
                <w:sz w:val="20"/>
                <w:szCs w:val="20"/>
                <w:color w:val="auto"/>
              </w:rPr>
            </w:pPr>
            <w:r>
              <w:rPr>
                <w:rFonts w:ascii="Arial" w:cs="Arial" w:eastAsia="Arial" w:hAnsi="Arial"/>
                <w:sz w:val="18"/>
                <w:szCs w:val="18"/>
                <w:b w:val="1"/>
                <w:bCs w:val="1"/>
                <w:color w:val="auto"/>
              </w:rPr>
              <w:t>$</w:t>
            </w:r>
          </w:p>
        </w:tc>
        <w:tc>
          <w:tcPr>
            <w:tcW w:w="860" w:type="dxa"/>
            <w:vAlign w:val="bottom"/>
            <w:vMerge w:val="restart"/>
          </w:tcPr>
          <w:p>
            <w:pPr>
              <w:jc w:val="right"/>
              <w:ind w:right="133"/>
              <w:spacing w:after="0"/>
              <w:rPr>
                <w:sz w:val="20"/>
                <w:szCs w:val="20"/>
                <w:color w:val="auto"/>
              </w:rPr>
            </w:pPr>
            <w:r>
              <w:rPr>
                <w:rFonts w:ascii="Arial" w:cs="Arial" w:eastAsia="Arial" w:hAnsi="Arial"/>
                <w:sz w:val="18"/>
                <w:szCs w:val="18"/>
                <w:b w:val="1"/>
                <w:bCs w:val="1"/>
                <w:color w:val="auto"/>
              </w:rPr>
              <w:t>6,618</w:t>
            </w:r>
          </w:p>
        </w:tc>
        <w:tc>
          <w:tcPr>
            <w:tcW w:w="26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81"/>
        </w:trPr>
        <w:tc>
          <w:tcPr>
            <w:tcW w:w="20" w:type="dxa"/>
            <w:vAlign w:val="bottom"/>
          </w:tcPr>
          <w:p>
            <w:pPr>
              <w:spacing w:after="0"/>
              <w:rPr>
                <w:sz w:val="15"/>
                <w:szCs w:val="15"/>
                <w:color w:val="auto"/>
              </w:rPr>
            </w:pPr>
          </w:p>
        </w:tc>
        <w:tc>
          <w:tcPr>
            <w:tcW w:w="5640" w:type="dxa"/>
            <w:vAlign w:val="bottom"/>
          </w:tcPr>
          <w:p>
            <w:pPr>
              <w:ind w:left="200"/>
              <w:spacing w:after="0" w:line="181" w:lineRule="exact"/>
              <w:rPr>
                <w:sz w:val="20"/>
                <w:szCs w:val="20"/>
                <w:color w:val="auto"/>
              </w:rPr>
            </w:pPr>
            <w:r>
              <w:rPr>
                <w:rFonts w:ascii="Arial" w:cs="Arial" w:eastAsia="Arial" w:hAnsi="Arial"/>
                <w:sz w:val="18"/>
                <w:szCs w:val="18"/>
                <w:color w:val="auto"/>
              </w:rPr>
              <w:t>Operating activities</w:t>
            </w:r>
          </w:p>
        </w:tc>
        <w:tc>
          <w:tcPr>
            <w:tcW w:w="540" w:type="dxa"/>
            <w:vAlign w:val="bottom"/>
            <w:vMerge w:val="continue"/>
          </w:tcPr>
          <w:p>
            <w:pPr>
              <w:spacing w:after="0"/>
              <w:rPr>
                <w:sz w:val="15"/>
                <w:szCs w:val="15"/>
                <w:color w:val="auto"/>
              </w:rPr>
            </w:pPr>
          </w:p>
        </w:tc>
        <w:tc>
          <w:tcPr>
            <w:tcW w:w="860" w:type="dxa"/>
            <w:vAlign w:val="bottom"/>
            <w:vMerge w:val="continue"/>
          </w:tcPr>
          <w:p>
            <w:pPr>
              <w:spacing w:after="0"/>
              <w:rPr>
                <w:sz w:val="15"/>
                <w:szCs w:val="15"/>
                <w:color w:val="auto"/>
              </w:rPr>
            </w:pPr>
          </w:p>
        </w:tc>
        <w:tc>
          <w:tcPr>
            <w:tcW w:w="260" w:type="dxa"/>
            <w:vAlign w:val="bottom"/>
          </w:tcPr>
          <w:p>
            <w:pPr>
              <w:jc w:val="right"/>
              <w:spacing w:after="0" w:line="181" w:lineRule="exact"/>
              <w:rPr>
                <w:sz w:val="20"/>
                <w:szCs w:val="20"/>
                <w:color w:val="auto"/>
              </w:rPr>
            </w:pPr>
            <w:r>
              <w:rPr>
                <w:rFonts w:ascii="Arial" w:cs="Arial" w:eastAsia="Arial" w:hAnsi="Arial"/>
                <w:sz w:val="18"/>
                <w:szCs w:val="18"/>
                <w:color w:val="auto"/>
              </w:rPr>
              <w:t>$</w:t>
            </w:r>
          </w:p>
        </w:tc>
        <w:tc>
          <w:tcPr>
            <w:tcW w:w="860" w:type="dxa"/>
            <w:vAlign w:val="bottom"/>
          </w:tcPr>
          <w:p>
            <w:pPr>
              <w:jc w:val="right"/>
              <w:ind w:right="133"/>
              <w:spacing w:after="0" w:line="181" w:lineRule="exact"/>
              <w:rPr>
                <w:sz w:val="20"/>
                <w:szCs w:val="20"/>
                <w:color w:val="auto"/>
              </w:rPr>
            </w:pPr>
            <w:r>
              <w:rPr>
                <w:rFonts w:ascii="Arial" w:cs="Arial" w:eastAsia="Arial" w:hAnsi="Arial"/>
                <w:sz w:val="18"/>
                <w:szCs w:val="18"/>
                <w:color w:val="auto"/>
              </w:rPr>
              <w:t>4,835</w:t>
            </w:r>
          </w:p>
        </w:tc>
        <w:tc>
          <w:tcPr>
            <w:tcW w:w="260" w:type="dxa"/>
            <w:vAlign w:val="bottom"/>
          </w:tcPr>
          <w:p>
            <w:pPr>
              <w:jc w:val="right"/>
              <w:spacing w:after="0" w:line="181" w:lineRule="exact"/>
              <w:rPr>
                <w:sz w:val="20"/>
                <w:szCs w:val="20"/>
                <w:color w:val="auto"/>
              </w:rPr>
            </w:pPr>
            <w:r>
              <w:rPr>
                <w:rFonts w:ascii="Arial" w:cs="Arial" w:eastAsia="Arial" w:hAnsi="Arial"/>
                <w:sz w:val="18"/>
                <w:szCs w:val="18"/>
                <w:color w:val="auto"/>
              </w:rPr>
              <w:t>$</w:t>
            </w:r>
          </w:p>
        </w:tc>
        <w:tc>
          <w:tcPr>
            <w:tcW w:w="860" w:type="dxa"/>
            <w:vAlign w:val="bottom"/>
          </w:tcPr>
          <w:p>
            <w:pPr>
              <w:jc w:val="right"/>
              <w:ind w:right="133"/>
              <w:spacing w:after="0" w:line="181" w:lineRule="exact"/>
              <w:rPr>
                <w:sz w:val="20"/>
                <w:szCs w:val="20"/>
                <w:color w:val="auto"/>
              </w:rPr>
            </w:pPr>
            <w:r>
              <w:rPr>
                <w:rFonts w:ascii="Arial" w:cs="Arial" w:eastAsia="Arial" w:hAnsi="Arial"/>
                <w:sz w:val="18"/>
                <w:szCs w:val="18"/>
                <w:color w:val="auto"/>
              </w:rPr>
              <w:t>6,082</w:t>
            </w:r>
          </w:p>
        </w:tc>
        <w:tc>
          <w:tcPr>
            <w:tcW w:w="280" w:type="dxa"/>
            <w:vAlign w:val="bottom"/>
          </w:tcPr>
          <w:p>
            <w:pPr>
              <w:jc w:val="right"/>
              <w:spacing w:after="0" w:line="181" w:lineRule="exact"/>
              <w:rPr>
                <w:sz w:val="20"/>
                <w:szCs w:val="20"/>
                <w:color w:val="auto"/>
              </w:rPr>
            </w:pPr>
            <w:r>
              <w:rPr>
                <w:rFonts w:ascii="Arial" w:cs="Arial" w:eastAsia="Arial" w:hAnsi="Arial"/>
                <w:sz w:val="18"/>
                <w:szCs w:val="18"/>
                <w:color w:val="auto"/>
              </w:rPr>
              <w:t>$</w:t>
            </w:r>
          </w:p>
        </w:tc>
        <w:tc>
          <w:tcPr>
            <w:tcW w:w="860" w:type="dxa"/>
            <w:vAlign w:val="bottom"/>
          </w:tcPr>
          <w:p>
            <w:pPr>
              <w:jc w:val="right"/>
              <w:ind w:right="133"/>
              <w:spacing w:after="0" w:line="181" w:lineRule="exact"/>
              <w:rPr>
                <w:sz w:val="20"/>
                <w:szCs w:val="20"/>
                <w:color w:val="auto"/>
              </w:rPr>
            </w:pPr>
            <w:r>
              <w:rPr>
                <w:rFonts w:ascii="Arial" w:cs="Arial" w:eastAsia="Arial" w:hAnsi="Arial"/>
                <w:sz w:val="18"/>
                <w:szCs w:val="18"/>
                <w:color w:val="auto"/>
              </w:rPr>
              <w:t>2,686</w:t>
            </w:r>
          </w:p>
        </w:tc>
        <w:tc>
          <w:tcPr>
            <w:tcW w:w="280" w:type="dxa"/>
            <w:vAlign w:val="bottom"/>
          </w:tcPr>
          <w:p>
            <w:pPr>
              <w:jc w:val="right"/>
              <w:spacing w:after="0" w:line="181" w:lineRule="exact"/>
              <w:rPr>
                <w:sz w:val="20"/>
                <w:szCs w:val="20"/>
                <w:color w:val="auto"/>
              </w:rPr>
            </w:pPr>
            <w:r>
              <w:rPr>
                <w:rFonts w:ascii="Arial" w:cs="Arial" w:eastAsia="Arial" w:hAnsi="Arial"/>
                <w:sz w:val="18"/>
                <w:szCs w:val="18"/>
                <w:color w:val="auto"/>
              </w:rPr>
              <w:t>$</w:t>
            </w:r>
          </w:p>
        </w:tc>
        <w:tc>
          <w:tcPr>
            <w:tcW w:w="700" w:type="dxa"/>
            <w:vAlign w:val="bottom"/>
          </w:tcPr>
          <w:p>
            <w:pPr>
              <w:jc w:val="right"/>
              <w:spacing w:after="0" w:line="181" w:lineRule="exact"/>
              <w:rPr>
                <w:sz w:val="20"/>
                <w:szCs w:val="20"/>
                <w:color w:val="auto"/>
              </w:rPr>
            </w:pPr>
            <w:r>
              <w:rPr>
                <w:rFonts w:ascii="Arial" w:cs="Arial" w:eastAsia="Arial" w:hAnsi="Arial"/>
                <w:sz w:val="18"/>
                <w:szCs w:val="18"/>
                <w:color w:val="auto"/>
              </w:rPr>
              <w:t>2,518</w:t>
            </w: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5640" w:type="dxa"/>
            <w:vAlign w:val="bottom"/>
          </w:tcPr>
          <w:p>
            <w:pPr>
              <w:ind w:left="200"/>
              <w:spacing w:after="0" w:line="202" w:lineRule="exact"/>
              <w:rPr>
                <w:sz w:val="20"/>
                <w:szCs w:val="20"/>
                <w:color w:val="auto"/>
              </w:rPr>
            </w:pPr>
            <w:r>
              <w:rPr>
                <w:rFonts w:ascii="Arial" w:cs="Arial" w:eastAsia="Arial" w:hAnsi="Arial"/>
                <w:sz w:val="18"/>
                <w:szCs w:val="18"/>
                <w:color w:val="auto"/>
              </w:rPr>
              <w:t>Financing activities</w:t>
            </w:r>
          </w:p>
        </w:tc>
        <w:tc>
          <w:tcPr>
            <w:tcW w:w="540" w:type="dxa"/>
            <w:vAlign w:val="bottom"/>
          </w:tcPr>
          <w:p>
            <w:pPr>
              <w:spacing w:after="0"/>
              <w:rPr>
                <w:sz w:val="17"/>
                <w:szCs w:val="17"/>
                <w:color w:val="auto"/>
              </w:rPr>
            </w:pPr>
          </w:p>
        </w:tc>
        <w:tc>
          <w:tcPr>
            <w:tcW w:w="860" w:type="dxa"/>
            <w:vAlign w:val="bottom"/>
          </w:tcPr>
          <w:p>
            <w:pPr>
              <w:jc w:val="right"/>
              <w:ind w:right="133"/>
              <w:spacing w:after="0" w:line="202" w:lineRule="exact"/>
              <w:rPr>
                <w:sz w:val="20"/>
                <w:szCs w:val="20"/>
                <w:color w:val="auto"/>
              </w:rPr>
            </w:pPr>
            <w:r>
              <w:rPr>
                <w:rFonts w:ascii="Arial" w:cs="Arial" w:eastAsia="Arial" w:hAnsi="Arial"/>
                <w:sz w:val="18"/>
                <w:szCs w:val="18"/>
                <w:b w:val="1"/>
                <w:bCs w:val="1"/>
                <w:color w:val="auto"/>
              </w:rPr>
              <w:t>3,546</w:t>
            </w:r>
          </w:p>
        </w:tc>
        <w:tc>
          <w:tcPr>
            <w:tcW w:w="260" w:type="dxa"/>
            <w:vAlign w:val="bottom"/>
          </w:tcPr>
          <w:p>
            <w:pPr>
              <w:spacing w:after="0"/>
              <w:rPr>
                <w:sz w:val="17"/>
                <w:szCs w:val="17"/>
                <w:color w:val="auto"/>
              </w:rPr>
            </w:pPr>
          </w:p>
        </w:tc>
        <w:tc>
          <w:tcPr>
            <w:tcW w:w="860" w:type="dxa"/>
            <w:vAlign w:val="bottom"/>
          </w:tcPr>
          <w:p>
            <w:pPr>
              <w:jc w:val="right"/>
              <w:ind w:right="73"/>
              <w:spacing w:after="0" w:line="202" w:lineRule="exact"/>
              <w:rPr>
                <w:sz w:val="20"/>
                <w:szCs w:val="20"/>
                <w:color w:val="auto"/>
              </w:rPr>
            </w:pPr>
            <w:r>
              <w:rPr>
                <w:rFonts w:ascii="Arial" w:cs="Arial" w:eastAsia="Arial" w:hAnsi="Arial"/>
                <w:sz w:val="18"/>
                <w:szCs w:val="18"/>
                <w:color w:val="auto"/>
              </w:rPr>
              <w:t>(933)</w:t>
            </w:r>
          </w:p>
        </w:tc>
        <w:tc>
          <w:tcPr>
            <w:tcW w:w="260" w:type="dxa"/>
            <w:vAlign w:val="bottom"/>
          </w:tcPr>
          <w:p>
            <w:pPr>
              <w:spacing w:after="0"/>
              <w:rPr>
                <w:sz w:val="17"/>
                <w:szCs w:val="17"/>
                <w:color w:val="auto"/>
              </w:rPr>
            </w:pPr>
          </w:p>
        </w:tc>
        <w:tc>
          <w:tcPr>
            <w:tcW w:w="860" w:type="dxa"/>
            <w:vAlign w:val="bottom"/>
          </w:tcPr>
          <w:p>
            <w:pPr>
              <w:jc w:val="right"/>
              <w:ind w:right="73"/>
              <w:spacing w:after="0" w:line="202" w:lineRule="exact"/>
              <w:rPr>
                <w:sz w:val="20"/>
                <w:szCs w:val="20"/>
                <w:color w:val="auto"/>
              </w:rPr>
            </w:pPr>
            <w:r>
              <w:rPr>
                <w:rFonts w:ascii="Arial" w:cs="Arial" w:eastAsia="Arial" w:hAnsi="Arial"/>
                <w:sz w:val="18"/>
                <w:szCs w:val="18"/>
                <w:color w:val="auto"/>
              </w:rPr>
              <w:t>(2,516)</w:t>
            </w:r>
          </w:p>
        </w:tc>
        <w:tc>
          <w:tcPr>
            <w:tcW w:w="280" w:type="dxa"/>
            <w:vAlign w:val="bottom"/>
          </w:tcPr>
          <w:p>
            <w:pPr>
              <w:spacing w:after="0"/>
              <w:rPr>
                <w:sz w:val="17"/>
                <w:szCs w:val="17"/>
                <w:color w:val="auto"/>
              </w:rPr>
            </w:pPr>
          </w:p>
        </w:tc>
        <w:tc>
          <w:tcPr>
            <w:tcW w:w="860" w:type="dxa"/>
            <w:vAlign w:val="bottom"/>
          </w:tcPr>
          <w:p>
            <w:pPr>
              <w:jc w:val="right"/>
              <w:ind w:right="73"/>
              <w:spacing w:after="0" w:line="202" w:lineRule="exact"/>
              <w:rPr>
                <w:sz w:val="20"/>
                <w:szCs w:val="20"/>
                <w:color w:val="auto"/>
              </w:rPr>
            </w:pPr>
            <w:r>
              <w:rPr>
                <w:rFonts w:ascii="Arial" w:cs="Arial" w:eastAsia="Arial" w:hAnsi="Arial"/>
                <w:sz w:val="18"/>
                <w:szCs w:val="18"/>
                <w:color w:val="auto"/>
              </w:rPr>
              <w:t>(7,048)</w:t>
            </w:r>
          </w:p>
        </w:tc>
        <w:tc>
          <w:tcPr>
            <w:tcW w:w="280" w:type="dxa"/>
            <w:vAlign w:val="bottom"/>
          </w:tcPr>
          <w:p>
            <w:pPr>
              <w:spacing w:after="0"/>
              <w:rPr>
                <w:sz w:val="17"/>
                <w:szCs w:val="17"/>
                <w:color w:val="auto"/>
              </w:rPr>
            </w:pPr>
          </w:p>
        </w:tc>
        <w:tc>
          <w:tcPr>
            <w:tcW w:w="700" w:type="dxa"/>
            <w:vAlign w:val="bottom"/>
          </w:tcPr>
          <w:p>
            <w:pPr>
              <w:jc w:val="right"/>
              <w:spacing w:after="0" w:line="202" w:lineRule="exact"/>
              <w:rPr>
                <w:sz w:val="20"/>
                <w:szCs w:val="20"/>
                <w:color w:val="auto"/>
              </w:rPr>
            </w:pPr>
            <w:r>
              <w:rPr>
                <w:rFonts w:ascii="Arial" w:cs="Arial" w:eastAsia="Arial" w:hAnsi="Arial"/>
                <w:sz w:val="18"/>
                <w:szCs w:val="18"/>
                <w:color w:val="auto"/>
              </w:rPr>
              <w:t>(1,005)</w:t>
            </w:r>
          </w:p>
        </w:tc>
        <w:tc>
          <w:tcPr>
            <w:tcW w:w="0" w:type="dxa"/>
            <w:vAlign w:val="bottom"/>
          </w:tcPr>
          <w:p>
            <w:pPr>
              <w:spacing w:after="0"/>
              <w:rPr>
                <w:sz w:val="1"/>
                <w:szCs w:val="1"/>
                <w:color w:val="auto"/>
              </w:rPr>
            </w:pPr>
          </w:p>
        </w:tc>
      </w:tr>
      <w:tr>
        <w:trPr>
          <w:trHeight w:val="221"/>
        </w:trPr>
        <w:tc>
          <w:tcPr>
            <w:tcW w:w="20" w:type="dxa"/>
            <w:vAlign w:val="bottom"/>
          </w:tcPr>
          <w:p>
            <w:pPr>
              <w:spacing w:after="0"/>
              <w:rPr>
                <w:sz w:val="19"/>
                <w:szCs w:val="19"/>
                <w:color w:val="auto"/>
              </w:rPr>
            </w:pPr>
          </w:p>
        </w:tc>
        <w:tc>
          <w:tcPr>
            <w:tcW w:w="5640" w:type="dxa"/>
            <w:vAlign w:val="bottom"/>
            <w:tcBorders>
              <w:bottom w:val="single" w:sz="8" w:color="35BF85"/>
            </w:tcBorders>
          </w:tcPr>
          <w:p>
            <w:pPr>
              <w:ind w:left="200"/>
              <w:spacing w:after="0"/>
              <w:rPr>
                <w:sz w:val="20"/>
                <w:szCs w:val="20"/>
                <w:color w:val="auto"/>
              </w:rPr>
            </w:pPr>
            <w:r>
              <w:rPr>
                <w:rFonts w:ascii="Arial" w:cs="Arial" w:eastAsia="Arial" w:hAnsi="Arial"/>
                <w:sz w:val="18"/>
                <w:szCs w:val="18"/>
                <w:color w:val="auto"/>
              </w:rPr>
              <w:t>Investing activities</w:t>
            </w:r>
          </w:p>
        </w:tc>
        <w:tc>
          <w:tcPr>
            <w:tcW w:w="540" w:type="dxa"/>
            <w:vAlign w:val="bottom"/>
            <w:tcBorders>
              <w:bottom w:val="single" w:sz="8" w:color="35BF85"/>
            </w:tcBorders>
          </w:tcPr>
          <w:p>
            <w:pPr>
              <w:spacing w:after="0"/>
              <w:rPr>
                <w:sz w:val="19"/>
                <w:szCs w:val="19"/>
                <w:color w:val="auto"/>
              </w:rPr>
            </w:pPr>
          </w:p>
        </w:tc>
        <w:tc>
          <w:tcPr>
            <w:tcW w:w="860" w:type="dxa"/>
            <w:vAlign w:val="bottom"/>
            <w:tcBorders>
              <w:bottom w:val="single" w:sz="8" w:color="35BF85"/>
            </w:tcBorders>
          </w:tcPr>
          <w:p>
            <w:pPr>
              <w:jc w:val="right"/>
              <w:ind w:right="73"/>
              <w:spacing w:after="0"/>
              <w:rPr>
                <w:sz w:val="20"/>
                <w:szCs w:val="20"/>
                <w:color w:val="auto"/>
              </w:rPr>
            </w:pPr>
            <w:r>
              <w:rPr>
                <w:rFonts w:ascii="Arial" w:cs="Arial" w:eastAsia="Arial" w:hAnsi="Arial"/>
                <w:sz w:val="18"/>
                <w:szCs w:val="18"/>
                <w:b w:val="1"/>
                <w:bCs w:val="1"/>
                <w:color w:val="auto"/>
              </w:rPr>
              <w:t>(9,872)</w:t>
            </w:r>
          </w:p>
        </w:tc>
        <w:tc>
          <w:tcPr>
            <w:tcW w:w="260" w:type="dxa"/>
            <w:vAlign w:val="bottom"/>
            <w:tcBorders>
              <w:bottom w:val="single" w:sz="8" w:color="35BF85"/>
            </w:tcBorders>
          </w:tcPr>
          <w:p>
            <w:pPr>
              <w:spacing w:after="0"/>
              <w:rPr>
                <w:sz w:val="19"/>
                <w:szCs w:val="19"/>
                <w:color w:val="auto"/>
              </w:rPr>
            </w:pPr>
          </w:p>
        </w:tc>
        <w:tc>
          <w:tcPr>
            <w:tcW w:w="860" w:type="dxa"/>
            <w:vAlign w:val="bottom"/>
            <w:tcBorders>
              <w:bottom w:val="single" w:sz="8" w:color="35BF85"/>
            </w:tcBorders>
          </w:tcPr>
          <w:p>
            <w:pPr>
              <w:jc w:val="right"/>
              <w:ind w:right="73"/>
              <w:spacing w:after="0"/>
              <w:rPr>
                <w:sz w:val="20"/>
                <w:szCs w:val="20"/>
                <w:color w:val="auto"/>
              </w:rPr>
            </w:pPr>
            <w:r>
              <w:rPr>
                <w:rFonts w:ascii="Arial" w:cs="Arial" w:eastAsia="Arial" w:hAnsi="Arial"/>
                <w:sz w:val="18"/>
                <w:szCs w:val="18"/>
                <w:color w:val="auto"/>
              </w:rPr>
              <w:t>(3,748)</w:t>
            </w:r>
          </w:p>
        </w:tc>
        <w:tc>
          <w:tcPr>
            <w:tcW w:w="260" w:type="dxa"/>
            <w:vAlign w:val="bottom"/>
            <w:tcBorders>
              <w:bottom w:val="single" w:sz="8" w:color="35BF85"/>
            </w:tcBorders>
          </w:tcPr>
          <w:p>
            <w:pPr>
              <w:spacing w:after="0"/>
              <w:rPr>
                <w:sz w:val="19"/>
                <w:szCs w:val="19"/>
                <w:color w:val="auto"/>
              </w:rPr>
            </w:pPr>
          </w:p>
        </w:tc>
        <w:tc>
          <w:tcPr>
            <w:tcW w:w="860" w:type="dxa"/>
            <w:vAlign w:val="bottom"/>
            <w:tcBorders>
              <w:bottom w:val="single" w:sz="8" w:color="35BF85"/>
            </w:tcBorders>
          </w:tcPr>
          <w:p>
            <w:pPr>
              <w:jc w:val="right"/>
              <w:ind w:right="73"/>
              <w:spacing w:after="0"/>
              <w:rPr>
                <w:sz w:val="20"/>
                <w:szCs w:val="20"/>
                <w:color w:val="auto"/>
              </w:rPr>
            </w:pPr>
            <w:r>
              <w:rPr>
                <w:rFonts w:ascii="Arial" w:cs="Arial" w:eastAsia="Arial" w:hAnsi="Arial"/>
                <w:sz w:val="18"/>
                <w:szCs w:val="18"/>
                <w:color w:val="auto"/>
              </w:rPr>
              <w:t>(4,512)</w:t>
            </w:r>
          </w:p>
        </w:tc>
        <w:tc>
          <w:tcPr>
            <w:tcW w:w="280" w:type="dxa"/>
            <w:vAlign w:val="bottom"/>
            <w:tcBorders>
              <w:bottom w:val="single" w:sz="8" w:color="35BF85"/>
            </w:tcBorders>
          </w:tcPr>
          <w:p>
            <w:pPr>
              <w:spacing w:after="0"/>
              <w:rPr>
                <w:sz w:val="19"/>
                <w:szCs w:val="19"/>
                <w:color w:val="auto"/>
              </w:rPr>
            </w:pPr>
          </w:p>
        </w:tc>
        <w:tc>
          <w:tcPr>
            <w:tcW w:w="860" w:type="dxa"/>
            <w:vAlign w:val="bottom"/>
            <w:tcBorders>
              <w:bottom w:val="single" w:sz="8" w:color="35BF85"/>
            </w:tcBorders>
          </w:tcPr>
          <w:p>
            <w:pPr>
              <w:jc w:val="right"/>
              <w:ind w:right="133"/>
              <w:spacing w:after="0"/>
              <w:rPr>
                <w:sz w:val="20"/>
                <w:szCs w:val="20"/>
                <w:color w:val="auto"/>
              </w:rPr>
            </w:pPr>
            <w:r>
              <w:rPr>
                <w:rFonts w:ascii="Arial" w:cs="Arial" w:eastAsia="Arial" w:hAnsi="Arial"/>
                <w:sz w:val="18"/>
                <w:szCs w:val="18"/>
                <w:color w:val="auto"/>
              </w:rPr>
              <w:t>5,239</w:t>
            </w:r>
          </w:p>
        </w:tc>
        <w:tc>
          <w:tcPr>
            <w:tcW w:w="280" w:type="dxa"/>
            <w:vAlign w:val="bottom"/>
            <w:tcBorders>
              <w:bottom w:val="single" w:sz="8" w:color="35BF85"/>
            </w:tcBorders>
          </w:tcPr>
          <w:p>
            <w:pPr>
              <w:spacing w:after="0"/>
              <w:rPr>
                <w:sz w:val="19"/>
                <w:szCs w:val="19"/>
                <w:color w:val="auto"/>
              </w:rPr>
            </w:pPr>
          </w:p>
        </w:tc>
        <w:tc>
          <w:tcPr>
            <w:tcW w:w="700" w:type="dxa"/>
            <w:vAlign w:val="bottom"/>
            <w:tcBorders>
              <w:bottom w:val="single" w:sz="8" w:color="35BF85"/>
            </w:tcBorders>
          </w:tcPr>
          <w:p>
            <w:pPr>
              <w:jc w:val="right"/>
              <w:spacing w:after="0"/>
              <w:rPr>
                <w:sz w:val="20"/>
                <w:szCs w:val="20"/>
                <w:color w:val="auto"/>
              </w:rPr>
            </w:pPr>
            <w:r>
              <w:rPr>
                <w:rFonts w:ascii="Arial" w:cs="Arial" w:eastAsia="Arial" w:hAnsi="Arial"/>
                <w:sz w:val="18"/>
                <w:szCs w:val="18"/>
                <w:color w:val="auto"/>
              </w:rPr>
              <w:t>(1,125)</w:t>
            </w:r>
          </w:p>
        </w:tc>
        <w:tc>
          <w:tcPr>
            <w:tcW w:w="0" w:type="dxa"/>
            <w:vAlign w:val="bottom"/>
          </w:tcPr>
          <w:p>
            <w:pPr>
              <w:spacing w:after="0"/>
              <w:rPr>
                <w:sz w:val="1"/>
                <w:szCs w:val="1"/>
                <w:color w:val="auto"/>
              </w:rPr>
            </w:pPr>
          </w:p>
        </w:tc>
      </w:tr>
    </w:tbl>
    <w:p>
      <w:pPr>
        <w:spacing w:after="0" w:line="53" w:lineRule="exact"/>
        <w:rPr>
          <w:sz w:val="20"/>
          <w:szCs w:val="20"/>
          <w:color w:val="auto"/>
        </w:rPr>
      </w:pPr>
    </w:p>
    <w:p>
      <w:pPr>
        <w:ind w:firstLine="8"/>
        <w:spacing w:after="0" w:line="300" w:lineRule="auto"/>
        <w:tabs>
          <w:tab w:leader="none" w:pos="204" w:val="left"/>
        </w:tabs>
        <w:numPr>
          <w:ilvl w:val="0"/>
          <w:numId w:val="99"/>
        </w:numPr>
        <w:rPr>
          <w:rFonts w:ascii="Arial" w:cs="Arial" w:eastAsia="Arial" w:hAnsi="Arial"/>
          <w:sz w:val="12"/>
          <w:szCs w:val="12"/>
          <w:color w:val="auto"/>
        </w:rPr>
      </w:pPr>
      <w:r>
        <w:rPr>
          <w:rFonts w:ascii="Arial" w:cs="Arial" w:eastAsia="Arial" w:hAnsi="Arial"/>
          <w:sz w:val="12"/>
          <w:szCs w:val="12"/>
          <w:color w:val="auto"/>
        </w:rPr>
        <w:t xml:space="preserve">In July 2006, in connection with the transactions with Adelphia and Time Warner, we transferred our previously owned cable systems located in Los Angeles, Cleveland and Dallas to Time Warner Cable. These cable systems are presented as discontinued operations for the years ended on or before December 31, 2006 (see </w:t>
      </w:r>
      <w:hyperlink w:anchor="page126">
        <w:r>
          <w:rPr>
            <w:rFonts w:ascii="Arial" w:cs="Arial" w:eastAsia="Arial" w:hAnsi="Arial"/>
            <w:sz w:val="12"/>
            <w:szCs w:val="12"/>
            <w:u w:val="single" w:color="auto"/>
            <w:color w:val="0000EE"/>
          </w:rPr>
          <w:t>Note 5</w:t>
        </w:r>
        <w:r>
          <w:rPr>
            <w:rFonts w:ascii="Arial" w:cs="Arial" w:eastAsia="Arial" w:hAnsi="Arial"/>
            <w:sz w:val="12"/>
            <w:szCs w:val="12"/>
            <w:u w:val="single" w:color="auto"/>
            <w:color w:val="auto"/>
          </w:rPr>
          <w:t xml:space="preserve"> </w:t>
        </w:r>
      </w:hyperlink>
      <w:r>
        <w:rPr>
          <w:rFonts w:ascii="Arial" w:cs="Arial" w:eastAsia="Arial" w:hAnsi="Arial"/>
          <w:sz w:val="12"/>
          <w:szCs w:val="12"/>
          <w:color w:val="auto"/>
        </w:rPr>
        <w:t>to our consolidated financial statements).</w:t>
      </w:r>
    </w:p>
    <w:p>
      <w:pPr>
        <w:spacing w:after="0" w:line="6" w:lineRule="exact"/>
        <w:rPr>
          <w:rFonts w:ascii="Arial" w:cs="Arial" w:eastAsia="Arial" w:hAnsi="Arial"/>
          <w:sz w:val="12"/>
          <w:szCs w:val="12"/>
          <w:color w:val="auto"/>
        </w:rPr>
      </w:pPr>
    </w:p>
    <w:p>
      <w:pPr>
        <w:ind w:left="220" w:hanging="212"/>
        <w:spacing w:after="0"/>
        <w:tabs>
          <w:tab w:leader="none" w:pos="220" w:val="left"/>
        </w:tabs>
        <w:numPr>
          <w:ilvl w:val="0"/>
          <w:numId w:val="99"/>
        </w:numPr>
        <w:rPr>
          <w:rFonts w:ascii="Arial" w:cs="Arial" w:eastAsia="Arial" w:hAnsi="Arial"/>
          <w:sz w:val="14"/>
          <w:szCs w:val="14"/>
          <w:color w:val="auto"/>
        </w:rPr>
      </w:pPr>
      <w:r>
        <w:rPr>
          <w:rFonts w:ascii="Arial" w:cs="Arial" w:eastAsia="Arial" w:hAnsi="Arial"/>
          <w:sz w:val="14"/>
          <w:szCs w:val="14"/>
          <w:color w:val="auto"/>
        </w:rPr>
        <w:t>In September 2003, we sold our interest in QVC to Liberty Media Corporation. QVC is presented as a discontinued operation for the years ended on and before December 31, 2003.</w:t>
      </w:r>
    </w:p>
    <w:p>
      <w:pPr>
        <w:spacing w:after="0" w:line="41" w:lineRule="exact"/>
        <w:rPr>
          <w:rFonts w:ascii="Arial" w:cs="Arial" w:eastAsia="Arial" w:hAnsi="Arial"/>
          <w:sz w:val="14"/>
          <w:szCs w:val="14"/>
          <w:color w:val="auto"/>
        </w:rPr>
      </w:pPr>
    </w:p>
    <w:p>
      <w:pPr>
        <w:ind w:left="200" w:hanging="192"/>
        <w:spacing w:after="0"/>
        <w:tabs>
          <w:tab w:leader="none" w:pos="200" w:val="left"/>
        </w:tabs>
        <w:numPr>
          <w:ilvl w:val="0"/>
          <w:numId w:val="99"/>
        </w:numPr>
        <w:rPr>
          <w:rFonts w:ascii="Arial" w:cs="Arial" w:eastAsia="Arial" w:hAnsi="Arial"/>
          <w:sz w:val="14"/>
          <w:szCs w:val="14"/>
          <w:color w:val="auto"/>
        </w:rPr>
      </w:pPr>
      <w:r>
        <w:rPr>
          <w:rFonts w:ascii="Arial" w:cs="Arial" w:eastAsia="Arial" w:hAnsi="Arial"/>
          <w:sz w:val="14"/>
          <w:szCs w:val="14"/>
          <w:color w:val="auto"/>
        </w:rPr>
        <w:t>Adjusted to reflect the Stock Split.</w:t>
      </w:r>
    </w:p>
    <w:p>
      <w:pPr>
        <w:spacing w:after="0" w:line="120" w:lineRule="exact"/>
        <w:rPr>
          <w:sz w:val="20"/>
          <w:szCs w:val="20"/>
          <w:color w:val="auto"/>
        </w:rPr>
      </w:pPr>
    </w:p>
    <w:tbl>
      <w:tblPr>
        <w:tblLayout w:type="fixed"/>
        <w:tblInd w:w="0" w:type="dxa"/>
        <w:tblCellMar>
          <w:top w:w="0" w:type="dxa"/>
          <w:left w:w="0" w:type="dxa"/>
          <w:bottom w:w="0" w:type="dxa"/>
          <w:right w:w="0" w:type="dxa"/>
        </w:tblCellMar>
      </w:tblPr>
      <w:tr>
        <w:trPr>
          <w:trHeight w:val="178"/>
        </w:trPr>
        <w:tc>
          <w:tcPr>
            <w:tcW w:w="3740" w:type="dxa"/>
            <w:vAlign w:val="bottom"/>
          </w:tcPr>
          <w:p>
            <w:pPr>
              <w:spacing w:after="0"/>
              <w:rPr>
                <w:sz w:val="20"/>
                <w:szCs w:val="20"/>
                <w:color w:val="auto"/>
              </w:rPr>
            </w:pPr>
            <w:r>
              <w:rPr>
                <w:rFonts w:ascii="Arial" w:cs="Arial" w:eastAsia="Arial" w:hAnsi="Arial"/>
                <w:sz w:val="14"/>
                <w:szCs w:val="14"/>
                <w:color w:val="auto"/>
              </w:rPr>
              <w:t>Comcast 2006 Annual Report</w:t>
            </w:r>
          </w:p>
        </w:tc>
        <w:tc>
          <w:tcPr>
            <w:tcW w:w="2100" w:type="dxa"/>
            <w:vAlign w:val="bottom"/>
          </w:tcPr>
          <w:p>
            <w:pPr>
              <w:jc w:val="right"/>
              <w:spacing w:after="0"/>
              <w:rPr>
                <w:sz w:val="20"/>
                <w:szCs w:val="20"/>
                <w:color w:val="auto"/>
              </w:rPr>
            </w:pPr>
            <w:r>
              <w:rPr>
                <w:rFonts w:ascii="Arial" w:cs="Arial" w:eastAsia="Arial" w:hAnsi="Arial"/>
                <w:sz w:val="14"/>
                <w:szCs w:val="14"/>
                <w:b w:val="1"/>
                <w:bCs w:val="1"/>
                <w:color w:val="auto"/>
              </w:rPr>
              <w:t>78</w:t>
            </w:r>
          </w:p>
        </w:tc>
      </w:tr>
    </w:tbl>
    <w:p>
      <w:pPr>
        <w:sectPr>
          <w:pgSz w:w="11900" w:h="16838" w:orient="portrait"/>
          <w:cols w:equalWidth="0" w:num="1">
            <w:col w:w="11420"/>
          </w:cols>
          <w:pgMar w:left="240" w:top="460" w:right="239" w:bottom="1440" w:gutter="0" w:footer="0" w:header="0"/>
        </w:sectPr>
      </w:pPr>
    </w:p>
    <w:bookmarkStart w:id="155" w:name="page156"/>
    <w:bookmarkEnd w:id="15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230" name="Picture 2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0"/>
                    <pic:cNvPicPr>
                      <a:picLocks noChangeAspect="1" noChangeArrowheads="1"/>
                    </pic:cNvPicPr>
                  </pic:nvPicPr>
                  <pic:blipFill>
                    <a:blip r:embed="rId237">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20" w:lineRule="exact"/>
        <w:rPr>
          <w:sz w:val="20"/>
          <w:szCs w:val="20"/>
          <w:color w:val="auto"/>
        </w:rPr>
      </w:pPr>
    </w:p>
    <w:p>
      <w:pPr>
        <w:spacing w:after="0"/>
        <w:rPr>
          <w:sz w:val="20"/>
          <w:szCs w:val="20"/>
          <w:color w:val="auto"/>
        </w:rPr>
      </w:pPr>
      <w:r>
        <w:rPr>
          <w:rFonts w:ascii="Arial" w:cs="Arial" w:eastAsia="Arial" w:hAnsi="Arial"/>
          <w:sz w:val="24"/>
          <w:szCs w:val="24"/>
          <w:color w:val="auto"/>
        </w:rPr>
        <w:t>Board of Directors and Corporate Executives</w:t>
      </w:r>
    </w:p>
    <w:p>
      <w:pPr>
        <w:spacing w:after="0" w:line="143" w:lineRule="exact"/>
        <w:rPr>
          <w:sz w:val="20"/>
          <w:szCs w:val="20"/>
          <w:color w:val="auto"/>
        </w:rPr>
      </w:pPr>
    </w:p>
    <w:tbl>
      <w:tblPr>
        <w:tblLayout w:type="fixed"/>
        <w:tblInd w:w="0" w:type="dxa"/>
        <w:tblCellMar>
          <w:top w:w="0" w:type="dxa"/>
          <w:left w:w="0" w:type="dxa"/>
          <w:bottom w:w="0" w:type="dxa"/>
          <w:right w:w="0" w:type="dxa"/>
        </w:tblCellMar>
      </w:tblPr>
      <w:tr>
        <w:trPr>
          <w:trHeight w:val="178"/>
        </w:trPr>
        <w:tc>
          <w:tcPr>
            <w:tcW w:w="2400" w:type="dxa"/>
            <w:vAlign w:val="bottom"/>
          </w:tcPr>
          <w:p>
            <w:pPr>
              <w:spacing w:after="0"/>
              <w:rPr>
                <w:sz w:val="20"/>
                <w:szCs w:val="20"/>
                <w:color w:val="auto"/>
              </w:rPr>
            </w:pPr>
            <w:r>
              <w:rPr>
                <w:rFonts w:ascii="Arial" w:cs="Arial" w:eastAsia="Arial" w:hAnsi="Arial"/>
                <w:sz w:val="14"/>
                <w:szCs w:val="14"/>
                <w:b w:val="1"/>
                <w:bCs w:val="1"/>
                <w:color w:val="35BF85"/>
              </w:rPr>
              <w:t>Board of Directors</w:t>
            </w:r>
          </w:p>
        </w:tc>
        <w:tc>
          <w:tcPr>
            <w:tcW w:w="2580" w:type="dxa"/>
            <w:vAlign w:val="bottom"/>
          </w:tcPr>
          <w:p>
            <w:pPr>
              <w:spacing w:after="0"/>
              <w:rPr>
                <w:sz w:val="15"/>
                <w:szCs w:val="15"/>
                <w:color w:val="auto"/>
              </w:rPr>
            </w:pPr>
          </w:p>
        </w:tc>
        <w:tc>
          <w:tcPr>
            <w:tcW w:w="2920" w:type="dxa"/>
            <w:vAlign w:val="bottom"/>
          </w:tcPr>
          <w:p>
            <w:pPr>
              <w:spacing w:after="0"/>
              <w:rPr>
                <w:sz w:val="15"/>
                <w:szCs w:val="15"/>
                <w:color w:val="auto"/>
              </w:rPr>
            </w:pPr>
          </w:p>
        </w:tc>
        <w:tc>
          <w:tcPr>
            <w:tcW w:w="2300" w:type="dxa"/>
            <w:vAlign w:val="bottom"/>
          </w:tcPr>
          <w:p>
            <w:pPr>
              <w:spacing w:after="0"/>
              <w:rPr>
                <w:sz w:val="15"/>
                <w:szCs w:val="15"/>
                <w:color w:val="auto"/>
              </w:rPr>
            </w:pPr>
          </w:p>
        </w:tc>
      </w:tr>
      <w:tr>
        <w:trPr>
          <w:trHeight w:val="351"/>
        </w:trPr>
        <w:tc>
          <w:tcPr>
            <w:tcW w:w="2400" w:type="dxa"/>
            <w:vAlign w:val="bottom"/>
          </w:tcPr>
          <w:p>
            <w:pPr>
              <w:spacing w:after="0"/>
              <w:rPr>
                <w:sz w:val="20"/>
                <w:szCs w:val="20"/>
                <w:color w:val="auto"/>
              </w:rPr>
            </w:pPr>
            <w:r>
              <w:rPr>
                <w:rFonts w:ascii="Arial" w:cs="Arial" w:eastAsia="Arial" w:hAnsi="Arial"/>
                <w:sz w:val="14"/>
                <w:szCs w:val="14"/>
                <w:b w:val="1"/>
                <w:bCs w:val="1"/>
                <w:color w:val="auto"/>
              </w:rPr>
              <w:t>S. Decker Anstrom</w:t>
            </w:r>
          </w:p>
        </w:tc>
        <w:tc>
          <w:tcPr>
            <w:tcW w:w="2580" w:type="dxa"/>
            <w:vAlign w:val="bottom"/>
          </w:tcPr>
          <w:p>
            <w:pPr>
              <w:ind w:left="480"/>
              <w:spacing w:after="0"/>
              <w:rPr>
                <w:sz w:val="20"/>
                <w:szCs w:val="20"/>
                <w:color w:val="auto"/>
              </w:rPr>
            </w:pPr>
            <w:r>
              <w:rPr>
                <w:rFonts w:ascii="Arial" w:cs="Arial" w:eastAsia="Arial" w:hAnsi="Arial"/>
                <w:sz w:val="14"/>
                <w:szCs w:val="14"/>
                <w:b w:val="1"/>
                <w:bCs w:val="1"/>
                <w:color w:val="auto"/>
              </w:rPr>
              <w:t>Edward D. Breen</w:t>
            </w:r>
          </w:p>
        </w:tc>
        <w:tc>
          <w:tcPr>
            <w:tcW w:w="2920" w:type="dxa"/>
            <w:vAlign w:val="bottom"/>
          </w:tcPr>
          <w:p>
            <w:pPr>
              <w:ind w:left="760"/>
              <w:spacing w:after="0"/>
              <w:rPr>
                <w:sz w:val="20"/>
                <w:szCs w:val="20"/>
                <w:color w:val="auto"/>
              </w:rPr>
            </w:pPr>
            <w:r>
              <w:rPr>
                <w:rFonts w:ascii="Arial" w:cs="Arial" w:eastAsia="Arial" w:hAnsi="Arial"/>
                <w:sz w:val="14"/>
                <w:szCs w:val="14"/>
                <w:b w:val="1"/>
                <w:bCs w:val="1"/>
                <w:color w:val="auto"/>
              </w:rPr>
              <w:t>J. Michael Cook</w:t>
            </w:r>
          </w:p>
        </w:tc>
        <w:tc>
          <w:tcPr>
            <w:tcW w:w="2300" w:type="dxa"/>
            <w:vAlign w:val="bottom"/>
          </w:tcPr>
          <w:p>
            <w:pPr>
              <w:ind w:left="800"/>
              <w:spacing w:after="0"/>
              <w:rPr>
                <w:sz w:val="20"/>
                <w:szCs w:val="20"/>
                <w:color w:val="auto"/>
              </w:rPr>
            </w:pPr>
            <w:r>
              <w:rPr>
                <w:rFonts w:ascii="Arial" w:cs="Arial" w:eastAsia="Arial" w:hAnsi="Arial"/>
                <w:sz w:val="14"/>
                <w:szCs w:val="14"/>
                <w:b w:val="1"/>
                <w:bCs w:val="1"/>
                <w:color w:val="auto"/>
              </w:rPr>
              <w:t>Ralph J. Roberts</w:t>
            </w:r>
          </w:p>
        </w:tc>
      </w:tr>
      <w:tr>
        <w:trPr>
          <w:trHeight w:val="149"/>
        </w:trPr>
        <w:tc>
          <w:tcPr>
            <w:tcW w:w="2400" w:type="dxa"/>
            <w:vAlign w:val="bottom"/>
          </w:tcPr>
          <w:p>
            <w:pPr>
              <w:spacing w:after="0" w:line="149" w:lineRule="exact"/>
              <w:rPr>
                <w:sz w:val="20"/>
                <w:szCs w:val="20"/>
                <w:color w:val="auto"/>
              </w:rPr>
            </w:pPr>
            <w:r>
              <w:rPr>
                <w:rFonts w:ascii="Arial" w:cs="Arial" w:eastAsia="Arial" w:hAnsi="Arial"/>
                <w:sz w:val="14"/>
                <w:szCs w:val="14"/>
                <w:color w:val="auto"/>
              </w:rPr>
              <w:t>President and</w:t>
            </w:r>
          </w:p>
        </w:tc>
        <w:tc>
          <w:tcPr>
            <w:tcW w:w="2580" w:type="dxa"/>
            <w:vAlign w:val="bottom"/>
          </w:tcPr>
          <w:p>
            <w:pPr>
              <w:ind w:left="480"/>
              <w:spacing w:after="0" w:line="149" w:lineRule="exact"/>
              <w:rPr>
                <w:sz w:val="20"/>
                <w:szCs w:val="20"/>
                <w:color w:val="auto"/>
              </w:rPr>
            </w:pPr>
            <w:r>
              <w:rPr>
                <w:rFonts w:ascii="Arial" w:cs="Arial" w:eastAsia="Arial" w:hAnsi="Arial"/>
                <w:sz w:val="14"/>
                <w:szCs w:val="14"/>
                <w:color w:val="auto"/>
              </w:rPr>
              <w:t>Chairman and</w:t>
            </w:r>
          </w:p>
        </w:tc>
        <w:tc>
          <w:tcPr>
            <w:tcW w:w="2920" w:type="dxa"/>
            <w:vAlign w:val="bottom"/>
          </w:tcPr>
          <w:p>
            <w:pPr>
              <w:ind w:left="760"/>
              <w:spacing w:after="0" w:line="149" w:lineRule="exact"/>
              <w:rPr>
                <w:sz w:val="20"/>
                <w:szCs w:val="20"/>
                <w:color w:val="auto"/>
              </w:rPr>
            </w:pPr>
            <w:r>
              <w:rPr>
                <w:rFonts w:ascii="Arial" w:cs="Arial" w:eastAsia="Arial" w:hAnsi="Arial"/>
                <w:sz w:val="14"/>
                <w:szCs w:val="14"/>
                <w:color w:val="auto"/>
              </w:rPr>
              <w:t>Retired Chairman and</w:t>
            </w:r>
          </w:p>
        </w:tc>
        <w:tc>
          <w:tcPr>
            <w:tcW w:w="2300" w:type="dxa"/>
            <w:vAlign w:val="bottom"/>
          </w:tcPr>
          <w:p>
            <w:pPr>
              <w:ind w:left="800"/>
              <w:spacing w:after="0" w:line="149" w:lineRule="exact"/>
              <w:rPr>
                <w:sz w:val="20"/>
                <w:szCs w:val="20"/>
                <w:color w:val="auto"/>
              </w:rPr>
            </w:pPr>
            <w:r>
              <w:rPr>
                <w:rFonts w:ascii="Arial" w:cs="Arial" w:eastAsia="Arial" w:hAnsi="Arial"/>
                <w:sz w:val="14"/>
                <w:szCs w:val="14"/>
                <w:color w:val="auto"/>
              </w:rPr>
              <w:t>Founder</w:t>
            </w:r>
          </w:p>
        </w:tc>
      </w:tr>
      <w:tr>
        <w:trPr>
          <w:trHeight w:val="149"/>
        </w:trPr>
        <w:tc>
          <w:tcPr>
            <w:tcW w:w="2400" w:type="dxa"/>
            <w:vAlign w:val="bottom"/>
          </w:tcPr>
          <w:p>
            <w:pPr>
              <w:spacing w:after="0" w:line="149" w:lineRule="exact"/>
              <w:rPr>
                <w:sz w:val="20"/>
                <w:szCs w:val="20"/>
                <w:color w:val="auto"/>
              </w:rPr>
            </w:pPr>
            <w:r>
              <w:rPr>
                <w:rFonts w:ascii="Arial" w:cs="Arial" w:eastAsia="Arial" w:hAnsi="Arial"/>
                <w:sz w:val="14"/>
                <w:szCs w:val="14"/>
                <w:color w:val="auto"/>
              </w:rPr>
              <w:t>Chief Operating Officer</w:t>
            </w:r>
          </w:p>
        </w:tc>
        <w:tc>
          <w:tcPr>
            <w:tcW w:w="2580" w:type="dxa"/>
            <w:vAlign w:val="bottom"/>
          </w:tcPr>
          <w:p>
            <w:pPr>
              <w:ind w:left="480"/>
              <w:spacing w:after="0" w:line="149" w:lineRule="exact"/>
              <w:rPr>
                <w:sz w:val="20"/>
                <w:szCs w:val="20"/>
                <w:color w:val="auto"/>
              </w:rPr>
            </w:pPr>
            <w:r>
              <w:rPr>
                <w:rFonts w:ascii="Arial" w:cs="Arial" w:eastAsia="Arial" w:hAnsi="Arial"/>
                <w:sz w:val="14"/>
                <w:szCs w:val="14"/>
                <w:color w:val="auto"/>
              </w:rPr>
              <w:t>Chief Executive Officer</w:t>
            </w:r>
          </w:p>
        </w:tc>
        <w:tc>
          <w:tcPr>
            <w:tcW w:w="2920" w:type="dxa"/>
            <w:vAlign w:val="bottom"/>
          </w:tcPr>
          <w:p>
            <w:pPr>
              <w:ind w:left="760"/>
              <w:spacing w:after="0" w:line="149" w:lineRule="exact"/>
              <w:rPr>
                <w:sz w:val="20"/>
                <w:szCs w:val="20"/>
                <w:color w:val="auto"/>
              </w:rPr>
            </w:pPr>
            <w:r>
              <w:rPr>
                <w:rFonts w:ascii="Arial" w:cs="Arial" w:eastAsia="Arial" w:hAnsi="Arial"/>
                <w:sz w:val="14"/>
                <w:szCs w:val="14"/>
                <w:color w:val="auto"/>
              </w:rPr>
              <w:t>Chief Executive Officer</w:t>
            </w:r>
          </w:p>
        </w:tc>
        <w:tc>
          <w:tcPr>
            <w:tcW w:w="2300" w:type="dxa"/>
            <w:vAlign w:val="bottom"/>
          </w:tcPr>
          <w:p>
            <w:pPr>
              <w:ind w:left="800"/>
              <w:spacing w:after="0" w:line="149" w:lineRule="exact"/>
              <w:rPr>
                <w:sz w:val="20"/>
                <w:szCs w:val="20"/>
                <w:color w:val="auto"/>
              </w:rPr>
            </w:pPr>
            <w:r>
              <w:rPr>
                <w:rFonts w:ascii="Arial" w:cs="Arial" w:eastAsia="Arial" w:hAnsi="Arial"/>
                <w:sz w:val="14"/>
                <w:szCs w:val="14"/>
                <w:color w:val="auto"/>
                <w:w w:val="94"/>
              </w:rPr>
              <w:t>Chairman, Executive and</w:t>
            </w:r>
          </w:p>
        </w:tc>
      </w:tr>
      <w:tr>
        <w:trPr>
          <w:trHeight w:val="162"/>
        </w:trPr>
        <w:tc>
          <w:tcPr>
            <w:tcW w:w="2400" w:type="dxa"/>
            <w:vAlign w:val="bottom"/>
          </w:tcPr>
          <w:p>
            <w:pPr>
              <w:spacing w:after="0"/>
              <w:rPr>
                <w:sz w:val="20"/>
                <w:szCs w:val="20"/>
                <w:color w:val="auto"/>
              </w:rPr>
            </w:pPr>
            <w:r>
              <w:rPr>
                <w:rFonts w:ascii="Arial" w:cs="Arial" w:eastAsia="Arial" w:hAnsi="Arial"/>
                <w:sz w:val="14"/>
                <w:szCs w:val="14"/>
                <w:color w:val="auto"/>
              </w:rPr>
              <w:t>Landmark Communications, Inc.</w:t>
            </w:r>
          </w:p>
        </w:tc>
        <w:tc>
          <w:tcPr>
            <w:tcW w:w="2580" w:type="dxa"/>
            <w:vAlign w:val="bottom"/>
          </w:tcPr>
          <w:p>
            <w:pPr>
              <w:ind w:left="480"/>
              <w:spacing w:after="0"/>
              <w:rPr>
                <w:sz w:val="20"/>
                <w:szCs w:val="20"/>
                <w:color w:val="auto"/>
              </w:rPr>
            </w:pPr>
            <w:r>
              <w:rPr>
                <w:rFonts w:ascii="Arial" w:cs="Arial" w:eastAsia="Arial" w:hAnsi="Arial"/>
                <w:sz w:val="14"/>
                <w:szCs w:val="14"/>
                <w:color w:val="auto"/>
              </w:rPr>
              <w:t>Tyco International, Ltd.</w:t>
            </w:r>
          </w:p>
        </w:tc>
        <w:tc>
          <w:tcPr>
            <w:tcW w:w="2920" w:type="dxa"/>
            <w:vAlign w:val="bottom"/>
          </w:tcPr>
          <w:p>
            <w:pPr>
              <w:ind w:left="760"/>
              <w:spacing w:after="0"/>
              <w:rPr>
                <w:sz w:val="20"/>
                <w:szCs w:val="20"/>
                <w:color w:val="auto"/>
              </w:rPr>
            </w:pPr>
            <w:r>
              <w:rPr>
                <w:rFonts w:ascii="Arial" w:cs="Arial" w:eastAsia="Arial" w:hAnsi="Arial"/>
                <w:sz w:val="14"/>
                <w:szCs w:val="14"/>
                <w:color w:val="auto"/>
              </w:rPr>
              <w:t>Deloitte &amp; Touche LLP</w:t>
            </w:r>
          </w:p>
        </w:tc>
        <w:tc>
          <w:tcPr>
            <w:tcW w:w="2300" w:type="dxa"/>
            <w:vAlign w:val="bottom"/>
          </w:tcPr>
          <w:p>
            <w:pPr>
              <w:ind w:left="800"/>
              <w:spacing w:after="0"/>
              <w:rPr>
                <w:sz w:val="20"/>
                <w:szCs w:val="20"/>
                <w:color w:val="auto"/>
              </w:rPr>
            </w:pPr>
            <w:r>
              <w:rPr>
                <w:rFonts w:ascii="Arial" w:cs="Arial" w:eastAsia="Arial" w:hAnsi="Arial"/>
                <w:sz w:val="14"/>
                <w:szCs w:val="14"/>
                <w:color w:val="auto"/>
              </w:rPr>
              <w:t>Finance Committee</w:t>
            </w:r>
          </w:p>
        </w:tc>
      </w:tr>
    </w:tbl>
    <w:p>
      <w:pPr>
        <w:spacing w:after="0" w:line="186" w:lineRule="exact"/>
        <w:rPr>
          <w:sz w:val="20"/>
          <w:szCs w:val="20"/>
          <w:color w:val="auto"/>
        </w:rPr>
      </w:pPr>
    </w:p>
    <w:tbl>
      <w:tblPr>
        <w:tblLayout w:type="fixed"/>
        <w:tblInd w:w="0" w:type="dxa"/>
        <w:tblCellMar>
          <w:top w:w="0" w:type="dxa"/>
          <w:left w:w="0" w:type="dxa"/>
          <w:bottom w:w="0" w:type="dxa"/>
          <w:right w:w="0" w:type="dxa"/>
        </w:tblCellMar>
      </w:tblPr>
      <w:tr>
        <w:trPr>
          <w:trHeight w:val="165"/>
        </w:trPr>
        <w:tc>
          <w:tcPr>
            <w:tcW w:w="2320" w:type="dxa"/>
            <w:vAlign w:val="bottom"/>
          </w:tcPr>
          <w:p>
            <w:pPr>
              <w:spacing w:after="0"/>
              <w:rPr>
                <w:sz w:val="20"/>
                <w:szCs w:val="20"/>
                <w:color w:val="auto"/>
              </w:rPr>
            </w:pPr>
            <w:r>
              <w:rPr>
                <w:rFonts w:ascii="Arial" w:cs="Arial" w:eastAsia="Arial" w:hAnsi="Arial"/>
                <w:sz w:val="14"/>
                <w:szCs w:val="14"/>
                <w:b w:val="1"/>
                <w:bCs w:val="1"/>
                <w:color w:val="auto"/>
              </w:rPr>
              <w:t>Kenneth J. Bacon</w:t>
            </w:r>
          </w:p>
        </w:tc>
        <w:tc>
          <w:tcPr>
            <w:tcW w:w="2860" w:type="dxa"/>
            <w:vAlign w:val="bottom"/>
          </w:tcPr>
          <w:p>
            <w:pPr>
              <w:ind w:left="560"/>
              <w:spacing w:after="0"/>
              <w:rPr>
                <w:sz w:val="20"/>
                <w:szCs w:val="20"/>
                <w:color w:val="auto"/>
              </w:rPr>
            </w:pPr>
            <w:r>
              <w:rPr>
                <w:rFonts w:ascii="Arial" w:cs="Arial" w:eastAsia="Arial" w:hAnsi="Arial"/>
                <w:sz w:val="14"/>
                <w:szCs w:val="14"/>
                <w:b w:val="1"/>
                <w:bCs w:val="1"/>
                <w:color w:val="auto"/>
              </w:rPr>
              <w:t>Julian A. Brodsky</w:t>
            </w:r>
          </w:p>
        </w:tc>
        <w:tc>
          <w:tcPr>
            <w:tcW w:w="2940" w:type="dxa"/>
            <w:vAlign w:val="bottom"/>
          </w:tcPr>
          <w:p>
            <w:pPr>
              <w:ind w:left="560"/>
              <w:spacing w:after="0"/>
              <w:rPr>
                <w:sz w:val="20"/>
                <w:szCs w:val="20"/>
                <w:color w:val="auto"/>
              </w:rPr>
            </w:pPr>
            <w:r>
              <w:rPr>
                <w:rFonts w:ascii="Arial" w:cs="Arial" w:eastAsia="Arial" w:hAnsi="Arial"/>
                <w:sz w:val="14"/>
                <w:szCs w:val="14"/>
                <w:b w:val="1"/>
                <w:bCs w:val="1"/>
                <w:color w:val="auto"/>
              </w:rPr>
              <w:t>Jeffrey A. Honickman</w:t>
            </w:r>
          </w:p>
        </w:tc>
        <w:tc>
          <w:tcPr>
            <w:tcW w:w="3300" w:type="dxa"/>
            <w:vAlign w:val="bottom"/>
          </w:tcPr>
          <w:p>
            <w:pPr>
              <w:ind w:left="580"/>
              <w:spacing w:after="0"/>
              <w:rPr>
                <w:sz w:val="20"/>
                <w:szCs w:val="20"/>
                <w:color w:val="auto"/>
              </w:rPr>
            </w:pPr>
            <w:r>
              <w:rPr>
                <w:rFonts w:ascii="Arial" w:cs="Arial" w:eastAsia="Arial" w:hAnsi="Arial"/>
                <w:sz w:val="14"/>
                <w:szCs w:val="14"/>
                <w:b w:val="1"/>
                <w:bCs w:val="1"/>
                <w:color w:val="auto"/>
              </w:rPr>
              <w:t>Dr. Judith Rodin</w:t>
            </w:r>
          </w:p>
        </w:tc>
        <w:tc>
          <w:tcPr>
            <w:tcW w:w="0" w:type="dxa"/>
            <w:vAlign w:val="bottom"/>
          </w:tcPr>
          <w:p>
            <w:pPr>
              <w:spacing w:after="0"/>
              <w:rPr>
                <w:sz w:val="1"/>
                <w:szCs w:val="1"/>
                <w:color w:val="auto"/>
              </w:rPr>
            </w:pPr>
          </w:p>
        </w:tc>
      </w:tr>
      <w:tr>
        <w:trPr>
          <w:trHeight w:val="149"/>
        </w:trPr>
        <w:tc>
          <w:tcPr>
            <w:tcW w:w="2320" w:type="dxa"/>
            <w:vAlign w:val="bottom"/>
          </w:tcPr>
          <w:p>
            <w:pPr>
              <w:spacing w:after="0" w:line="149" w:lineRule="exact"/>
              <w:rPr>
                <w:sz w:val="20"/>
                <w:szCs w:val="20"/>
                <w:color w:val="auto"/>
              </w:rPr>
            </w:pPr>
            <w:r>
              <w:rPr>
                <w:rFonts w:ascii="Arial" w:cs="Arial" w:eastAsia="Arial" w:hAnsi="Arial"/>
                <w:sz w:val="14"/>
                <w:szCs w:val="14"/>
                <w:color w:val="auto"/>
              </w:rPr>
              <w:t>Executive Vice President</w:t>
            </w:r>
          </w:p>
        </w:tc>
        <w:tc>
          <w:tcPr>
            <w:tcW w:w="2860" w:type="dxa"/>
            <w:vAlign w:val="bottom"/>
          </w:tcPr>
          <w:p>
            <w:pPr>
              <w:ind w:left="560"/>
              <w:spacing w:after="0" w:line="149" w:lineRule="exact"/>
              <w:rPr>
                <w:sz w:val="20"/>
                <w:szCs w:val="20"/>
                <w:color w:val="auto"/>
              </w:rPr>
            </w:pPr>
            <w:r>
              <w:rPr>
                <w:rFonts w:ascii="Arial" w:cs="Arial" w:eastAsia="Arial" w:hAnsi="Arial"/>
                <w:sz w:val="14"/>
                <w:szCs w:val="14"/>
                <w:color w:val="auto"/>
              </w:rPr>
              <w:t>Non-Executive Vice Chairman</w:t>
            </w:r>
          </w:p>
        </w:tc>
        <w:tc>
          <w:tcPr>
            <w:tcW w:w="2940" w:type="dxa"/>
            <w:vAlign w:val="bottom"/>
          </w:tcPr>
          <w:p>
            <w:pPr>
              <w:ind w:left="560"/>
              <w:spacing w:after="0" w:line="149" w:lineRule="exact"/>
              <w:rPr>
                <w:sz w:val="20"/>
                <w:szCs w:val="20"/>
                <w:color w:val="auto"/>
              </w:rPr>
            </w:pPr>
            <w:r>
              <w:rPr>
                <w:rFonts w:ascii="Arial" w:cs="Arial" w:eastAsia="Arial" w:hAnsi="Arial"/>
                <w:sz w:val="14"/>
                <w:szCs w:val="14"/>
                <w:color w:val="auto"/>
              </w:rPr>
              <w:t>Chief Executive Officer</w:t>
            </w:r>
          </w:p>
        </w:tc>
        <w:tc>
          <w:tcPr>
            <w:tcW w:w="3300" w:type="dxa"/>
            <w:vAlign w:val="bottom"/>
          </w:tcPr>
          <w:p>
            <w:pPr>
              <w:ind w:left="580"/>
              <w:spacing w:after="0" w:line="149" w:lineRule="exact"/>
              <w:rPr>
                <w:sz w:val="20"/>
                <w:szCs w:val="20"/>
                <w:color w:val="auto"/>
              </w:rPr>
            </w:pPr>
            <w:r>
              <w:rPr>
                <w:rFonts w:ascii="Arial" w:cs="Arial" w:eastAsia="Arial" w:hAnsi="Arial"/>
                <w:sz w:val="14"/>
                <w:szCs w:val="14"/>
                <w:color w:val="auto"/>
              </w:rPr>
              <w:t>President</w:t>
            </w:r>
          </w:p>
        </w:tc>
        <w:tc>
          <w:tcPr>
            <w:tcW w:w="0" w:type="dxa"/>
            <w:vAlign w:val="bottom"/>
          </w:tcPr>
          <w:p>
            <w:pPr>
              <w:spacing w:after="0"/>
              <w:rPr>
                <w:sz w:val="1"/>
                <w:szCs w:val="1"/>
                <w:color w:val="auto"/>
              </w:rPr>
            </w:pPr>
          </w:p>
        </w:tc>
      </w:tr>
      <w:tr>
        <w:trPr>
          <w:trHeight w:val="149"/>
        </w:trPr>
        <w:tc>
          <w:tcPr>
            <w:tcW w:w="2320" w:type="dxa"/>
            <w:vAlign w:val="bottom"/>
          </w:tcPr>
          <w:p>
            <w:pPr>
              <w:spacing w:after="0" w:line="149" w:lineRule="exact"/>
              <w:rPr>
                <w:sz w:val="20"/>
                <w:szCs w:val="20"/>
                <w:color w:val="auto"/>
              </w:rPr>
            </w:pPr>
            <w:r>
              <w:rPr>
                <w:rFonts w:ascii="Arial" w:cs="Arial" w:eastAsia="Arial" w:hAnsi="Arial"/>
                <w:sz w:val="14"/>
                <w:szCs w:val="14"/>
                <w:color w:val="auto"/>
              </w:rPr>
              <w:t>Housing and</w:t>
            </w:r>
          </w:p>
        </w:tc>
        <w:tc>
          <w:tcPr>
            <w:tcW w:w="2860" w:type="dxa"/>
            <w:vAlign w:val="bottom"/>
            <w:vMerge w:val="restart"/>
          </w:tcPr>
          <w:p>
            <w:pPr>
              <w:ind w:left="560"/>
              <w:spacing w:after="0"/>
              <w:rPr>
                <w:sz w:val="20"/>
                <w:szCs w:val="20"/>
                <w:color w:val="auto"/>
              </w:rPr>
            </w:pPr>
            <w:r>
              <w:rPr>
                <w:rFonts w:ascii="Arial" w:cs="Arial" w:eastAsia="Arial" w:hAnsi="Arial"/>
                <w:sz w:val="14"/>
                <w:szCs w:val="14"/>
                <w:b w:val="1"/>
                <w:bCs w:val="1"/>
                <w:color w:val="auto"/>
              </w:rPr>
              <w:t>Joseph J. Collins</w:t>
            </w:r>
          </w:p>
        </w:tc>
        <w:tc>
          <w:tcPr>
            <w:tcW w:w="2940" w:type="dxa"/>
            <w:vAlign w:val="bottom"/>
          </w:tcPr>
          <w:p>
            <w:pPr>
              <w:ind w:left="560"/>
              <w:spacing w:after="0" w:line="149" w:lineRule="exact"/>
              <w:rPr>
                <w:sz w:val="20"/>
                <w:szCs w:val="20"/>
                <w:color w:val="auto"/>
              </w:rPr>
            </w:pPr>
            <w:r>
              <w:rPr>
                <w:rFonts w:ascii="Arial" w:cs="Arial" w:eastAsia="Arial" w:hAnsi="Arial"/>
                <w:sz w:val="14"/>
                <w:szCs w:val="14"/>
                <w:color w:val="auto"/>
              </w:rPr>
              <w:t>Pepsi-Cola and</w:t>
            </w:r>
          </w:p>
        </w:tc>
        <w:tc>
          <w:tcPr>
            <w:tcW w:w="3300" w:type="dxa"/>
            <w:vAlign w:val="bottom"/>
          </w:tcPr>
          <w:p>
            <w:pPr>
              <w:ind w:left="580"/>
              <w:spacing w:after="0" w:line="149" w:lineRule="exact"/>
              <w:rPr>
                <w:sz w:val="20"/>
                <w:szCs w:val="20"/>
                <w:color w:val="auto"/>
              </w:rPr>
            </w:pPr>
            <w:r>
              <w:rPr>
                <w:rFonts w:ascii="Arial" w:cs="Arial" w:eastAsia="Arial" w:hAnsi="Arial"/>
                <w:sz w:val="14"/>
                <w:szCs w:val="14"/>
                <w:color w:val="auto"/>
              </w:rPr>
              <w:t>The Rockefeller Foundation</w:t>
            </w:r>
          </w:p>
        </w:tc>
        <w:tc>
          <w:tcPr>
            <w:tcW w:w="0" w:type="dxa"/>
            <w:vAlign w:val="bottom"/>
          </w:tcPr>
          <w:p>
            <w:pPr>
              <w:spacing w:after="0"/>
              <w:rPr>
                <w:sz w:val="1"/>
                <w:szCs w:val="1"/>
                <w:color w:val="auto"/>
              </w:rPr>
            </w:pPr>
          </w:p>
        </w:tc>
      </w:tr>
      <w:tr>
        <w:trPr>
          <w:trHeight w:val="149"/>
        </w:trPr>
        <w:tc>
          <w:tcPr>
            <w:tcW w:w="2320" w:type="dxa"/>
            <w:vAlign w:val="bottom"/>
          </w:tcPr>
          <w:p>
            <w:pPr>
              <w:spacing w:after="0" w:line="149" w:lineRule="exact"/>
              <w:rPr>
                <w:sz w:val="20"/>
                <w:szCs w:val="20"/>
                <w:color w:val="auto"/>
              </w:rPr>
            </w:pPr>
            <w:r>
              <w:rPr>
                <w:rFonts w:ascii="Arial" w:cs="Arial" w:eastAsia="Arial" w:hAnsi="Arial"/>
                <w:sz w:val="14"/>
                <w:szCs w:val="14"/>
                <w:color w:val="auto"/>
              </w:rPr>
              <w:t>Community Development</w:t>
            </w:r>
          </w:p>
        </w:tc>
        <w:tc>
          <w:tcPr>
            <w:tcW w:w="2860" w:type="dxa"/>
            <w:vAlign w:val="bottom"/>
            <w:vMerge w:val="continue"/>
          </w:tcPr>
          <w:p>
            <w:pPr>
              <w:spacing w:after="0"/>
              <w:rPr>
                <w:sz w:val="12"/>
                <w:szCs w:val="12"/>
                <w:color w:val="auto"/>
              </w:rPr>
            </w:pPr>
          </w:p>
        </w:tc>
        <w:tc>
          <w:tcPr>
            <w:tcW w:w="2940" w:type="dxa"/>
            <w:vAlign w:val="bottom"/>
          </w:tcPr>
          <w:p>
            <w:pPr>
              <w:ind w:left="560"/>
              <w:spacing w:after="0" w:line="149" w:lineRule="exact"/>
              <w:rPr>
                <w:sz w:val="20"/>
                <w:szCs w:val="20"/>
                <w:color w:val="auto"/>
              </w:rPr>
            </w:pPr>
            <w:r>
              <w:rPr>
                <w:rFonts w:ascii="Arial" w:cs="Arial" w:eastAsia="Arial" w:hAnsi="Arial"/>
                <w:sz w:val="14"/>
                <w:szCs w:val="14"/>
                <w:color w:val="auto"/>
              </w:rPr>
              <w:t>National Brand Beverage, Ltd.</w:t>
            </w:r>
          </w:p>
        </w:tc>
        <w:tc>
          <w:tcPr>
            <w:tcW w:w="3300" w:type="dxa"/>
            <w:vAlign w:val="bottom"/>
            <w:vMerge w:val="restart"/>
          </w:tcPr>
          <w:p>
            <w:pPr>
              <w:ind w:left="580"/>
              <w:spacing w:after="0"/>
              <w:rPr>
                <w:sz w:val="20"/>
                <w:szCs w:val="20"/>
                <w:color w:val="auto"/>
              </w:rPr>
            </w:pPr>
            <w:r>
              <w:rPr>
                <w:rFonts w:ascii="Arial" w:cs="Arial" w:eastAsia="Arial" w:hAnsi="Arial"/>
                <w:sz w:val="14"/>
                <w:szCs w:val="14"/>
                <w:b w:val="1"/>
                <w:bCs w:val="1"/>
                <w:color w:val="auto"/>
              </w:rPr>
              <w:t>Michael I. Sovern</w:t>
            </w:r>
          </w:p>
        </w:tc>
        <w:tc>
          <w:tcPr>
            <w:tcW w:w="0" w:type="dxa"/>
            <w:vAlign w:val="bottom"/>
          </w:tcPr>
          <w:p>
            <w:pPr>
              <w:spacing w:after="0"/>
              <w:rPr>
                <w:sz w:val="1"/>
                <w:szCs w:val="1"/>
                <w:color w:val="auto"/>
              </w:rPr>
            </w:pPr>
          </w:p>
        </w:tc>
      </w:tr>
      <w:tr>
        <w:trPr>
          <w:trHeight w:val="149"/>
        </w:trPr>
        <w:tc>
          <w:tcPr>
            <w:tcW w:w="2320" w:type="dxa"/>
            <w:vAlign w:val="bottom"/>
          </w:tcPr>
          <w:p>
            <w:pPr>
              <w:spacing w:after="0" w:line="149" w:lineRule="exact"/>
              <w:rPr>
                <w:sz w:val="20"/>
                <w:szCs w:val="20"/>
                <w:color w:val="auto"/>
              </w:rPr>
            </w:pPr>
            <w:r>
              <w:rPr>
                <w:rFonts w:ascii="Arial" w:cs="Arial" w:eastAsia="Arial" w:hAnsi="Arial"/>
                <w:sz w:val="14"/>
                <w:szCs w:val="14"/>
                <w:color w:val="auto"/>
              </w:rPr>
              <w:t>Fannie Mae</w:t>
            </w:r>
          </w:p>
        </w:tc>
        <w:tc>
          <w:tcPr>
            <w:tcW w:w="2860" w:type="dxa"/>
            <w:vAlign w:val="bottom"/>
          </w:tcPr>
          <w:p>
            <w:pPr>
              <w:ind w:left="560"/>
              <w:spacing w:after="0" w:line="149" w:lineRule="exact"/>
              <w:rPr>
                <w:sz w:val="20"/>
                <w:szCs w:val="20"/>
                <w:color w:val="auto"/>
              </w:rPr>
            </w:pPr>
            <w:r>
              <w:rPr>
                <w:rFonts w:ascii="Arial" w:cs="Arial" w:eastAsia="Arial" w:hAnsi="Arial"/>
                <w:sz w:val="14"/>
                <w:szCs w:val="14"/>
                <w:color w:val="auto"/>
              </w:rPr>
              <w:t>Chairman</w:t>
            </w:r>
          </w:p>
        </w:tc>
        <w:tc>
          <w:tcPr>
            <w:tcW w:w="2940" w:type="dxa"/>
            <w:vAlign w:val="bottom"/>
            <w:vMerge w:val="restart"/>
          </w:tcPr>
          <w:p>
            <w:pPr>
              <w:ind w:left="560"/>
              <w:spacing w:after="0"/>
              <w:rPr>
                <w:sz w:val="20"/>
                <w:szCs w:val="20"/>
                <w:color w:val="auto"/>
              </w:rPr>
            </w:pPr>
            <w:r>
              <w:rPr>
                <w:rFonts w:ascii="Arial" w:cs="Arial" w:eastAsia="Arial" w:hAnsi="Arial"/>
                <w:sz w:val="14"/>
                <w:szCs w:val="14"/>
                <w:b w:val="1"/>
                <w:bCs w:val="1"/>
                <w:color w:val="auto"/>
              </w:rPr>
              <w:t>Brian L. Roberts</w:t>
            </w:r>
          </w:p>
        </w:tc>
        <w:tc>
          <w:tcPr>
            <w:tcW w:w="3300" w:type="dxa"/>
            <w:vAlign w:val="bottom"/>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320" w:type="dxa"/>
            <w:vAlign w:val="bottom"/>
            <w:vMerge w:val="restart"/>
          </w:tcPr>
          <w:p>
            <w:pPr>
              <w:spacing w:after="0"/>
              <w:rPr>
                <w:sz w:val="20"/>
                <w:szCs w:val="20"/>
                <w:color w:val="auto"/>
              </w:rPr>
            </w:pPr>
            <w:r>
              <w:rPr>
                <w:rFonts w:ascii="Arial" w:cs="Arial" w:eastAsia="Arial" w:hAnsi="Arial"/>
                <w:sz w:val="14"/>
                <w:szCs w:val="14"/>
                <w:b w:val="1"/>
                <w:bCs w:val="1"/>
                <w:color w:val="auto"/>
              </w:rPr>
              <w:t>Sheldon M. Bonovitz</w:t>
            </w:r>
          </w:p>
        </w:tc>
        <w:tc>
          <w:tcPr>
            <w:tcW w:w="2860" w:type="dxa"/>
            <w:vAlign w:val="bottom"/>
          </w:tcPr>
          <w:p>
            <w:pPr>
              <w:ind w:left="560"/>
              <w:spacing w:after="0" w:line="149" w:lineRule="exact"/>
              <w:rPr>
                <w:sz w:val="20"/>
                <w:szCs w:val="20"/>
                <w:color w:val="auto"/>
              </w:rPr>
            </w:pPr>
            <w:r>
              <w:rPr>
                <w:rFonts w:ascii="Arial" w:cs="Arial" w:eastAsia="Arial" w:hAnsi="Arial"/>
                <w:sz w:val="14"/>
                <w:szCs w:val="14"/>
                <w:color w:val="auto"/>
              </w:rPr>
              <w:t>Aegis, LLC</w:t>
            </w:r>
          </w:p>
        </w:tc>
        <w:tc>
          <w:tcPr>
            <w:tcW w:w="2940" w:type="dxa"/>
            <w:vAlign w:val="bottom"/>
            <w:vMerge w:val="continue"/>
          </w:tcPr>
          <w:p>
            <w:pPr>
              <w:spacing w:after="0"/>
              <w:rPr>
                <w:sz w:val="12"/>
                <w:szCs w:val="12"/>
                <w:color w:val="auto"/>
              </w:rPr>
            </w:pPr>
          </w:p>
        </w:tc>
        <w:tc>
          <w:tcPr>
            <w:tcW w:w="3300" w:type="dxa"/>
            <w:vAlign w:val="bottom"/>
          </w:tcPr>
          <w:p>
            <w:pPr>
              <w:ind w:left="580"/>
              <w:spacing w:after="0" w:line="149" w:lineRule="exact"/>
              <w:rPr>
                <w:sz w:val="20"/>
                <w:szCs w:val="20"/>
                <w:color w:val="auto"/>
              </w:rPr>
            </w:pPr>
            <w:r>
              <w:rPr>
                <w:rFonts w:ascii="Arial" w:cs="Arial" w:eastAsia="Arial" w:hAnsi="Arial"/>
                <w:sz w:val="14"/>
                <w:szCs w:val="14"/>
                <w:color w:val="auto"/>
              </w:rPr>
              <w:t>Chairman</w:t>
            </w:r>
          </w:p>
        </w:tc>
        <w:tc>
          <w:tcPr>
            <w:tcW w:w="0" w:type="dxa"/>
            <w:vAlign w:val="bottom"/>
          </w:tcPr>
          <w:p>
            <w:pPr>
              <w:spacing w:after="0"/>
              <w:rPr>
                <w:sz w:val="1"/>
                <w:szCs w:val="1"/>
                <w:color w:val="auto"/>
              </w:rPr>
            </w:pPr>
          </w:p>
        </w:tc>
      </w:tr>
      <w:tr>
        <w:trPr>
          <w:trHeight w:val="149"/>
        </w:trPr>
        <w:tc>
          <w:tcPr>
            <w:tcW w:w="2320" w:type="dxa"/>
            <w:vAlign w:val="bottom"/>
            <w:vMerge w:val="continue"/>
          </w:tcPr>
          <w:p>
            <w:pPr>
              <w:spacing w:after="0"/>
              <w:rPr>
                <w:sz w:val="12"/>
                <w:szCs w:val="12"/>
                <w:color w:val="auto"/>
              </w:rPr>
            </w:pPr>
          </w:p>
        </w:tc>
        <w:tc>
          <w:tcPr>
            <w:tcW w:w="2860" w:type="dxa"/>
            <w:vAlign w:val="bottom"/>
          </w:tcPr>
          <w:p>
            <w:pPr>
              <w:ind w:left="560"/>
              <w:spacing w:after="0" w:line="149" w:lineRule="exact"/>
              <w:rPr>
                <w:sz w:val="20"/>
                <w:szCs w:val="20"/>
                <w:color w:val="auto"/>
              </w:rPr>
            </w:pPr>
            <w:r>
              <w:rPr>
                <w:rFonts w:ascii="Arial" w:cs="Arial" w:eastAsia="Arial" w:hAnsi="Arial"/>
                <w:sz w:val="14"/>
                <w:szCs w:val="14"/>
                <w:color w:val="auto"/>
              </w:rPr>
              <w:t>Retired Chairman and</w:t>
            </w:r>
          </w:p>
        </w:tc>
        <w:tc>
          <w:tcPr>
            <w:tcW w:w="2940" w:type="dxa"/>
            <w:vAlign w:val="bottom"/>
          </w:tcPr>
          <w:p>
            <w:pPr>
              <w:ind w:left="560"/>
              <w:spacing w:after="0" w:line="149" w:lineRule="exact"/>
              <w:rPr>
                <w:sz w:val="20"/>
                <w:szCs w:val="20"/>
                <w:color w:val="auto"/>
              </w:rPr>
            </w:pPr>
            <w:r>
              <w:rPr>
                <w:rFonts w:ascii="Arial" w:cs="Arial" w:eastAsia="Arial" w:hAnsi="Arial"/>
                <w:sz w:val="14"/>
                <w:szCs w:val="14"/>
                <w:color w:val="auto"/>
              </w:rPr>
              <w:t>Chairman and CEO</w:t>
            </w:r>
          </w:p>
        </w:tc>
        <w:tc>
          <w:tcPr>
            <w:tcW w:w="3300" w:type="dxa"/>
            <w:vAlign w:val="bottom"/>
          </w:tcPr>
          <w:p>
            <w:pPr>
              <w:ind w:left="580"/>
              <w:spacing w:after="0" w:line="149" w:lineRule="exact"/>
              <w:rPr>
                <w:sz w:val="20"/>
                <w:szCs w:val="20"/>
                <w:color w:val="auto"/>
              </w:rPr>
            </w:pPr>
            <w:r>
              <w:rPr>
                <w:rFonts w:ascii="Arial" w:cs="Arial" w:eastAsia="Arial" w:hAnsi="Arial"/>
                <w:sz w:val="14"/>
                <w:szCs w:val="14"/>
                <w:color w:val="auto"/>
              </w:rPr>
              <w:t>Sotheby’s Holdings, Inc.</w:t>
            </w:r>
          </w:p>
        </w:tc>
        <w:tc>
          <w:tcPr>
            <w:tcW w:w="0" w:type="dxa"/>
            <w:vAlign w:val="bottom"/>
          </w:tcPr>
          <w:p>
            <w:pPr>
              <w:spacing w:after="0"/>
              <w:rPr>
                <w:sz w:val="1"/>
                <w:szCs w:val="1"/>
                <w:color w:val="auto"/>
              </w:rPr>
            </w:pPr>
          </w:p>
        </w:tc>
      </w:tr>
      <w:tr>
        <w:trPr>
          <w:trHeight w:val="149"/>
        </w:trPr>
        <w:tc>
          <w:tcPr>
            <w:tcW w:w="2320" w:type="dxa"/>
            <w:vAlign w:val="bottom"/>
          </w:tcPr>
          <w:p>
            <w:pPr>
              <w:spacing w:after="0" w:line="149" w:lineRule="exact"/>
              <w:rPr>
                <w:sz w:val="20"/>
                <w:szCs w:val="20"/>
                <w:color w:val="auto"/>
              </w:rPr>
            </w:pPr>
            <w:r>
              <w:rPr>
                <w:rFonts w:ascii="Arial" w:cs="Arial" w:eastAsia="Arial" w:hAnsi="Arial"/>
                <w:sz w:val="14"/>
                <w:szCs w:val="14"/>
                <w:color w:val="auto"/>
              </w:rPr>
              <w:t>Chairman and</w:t>
            </w:r>
          </w:p>
        </w:tc>
        <w:tc>
          <w:tcPr>
            <w:tcW w:w="2860" w:type="dxa"/>
            <w:vAlign w:val="bottom"/>
          </w:tcPr>
          <w:p>
            <w:pPr>
              <w:ind w:left="560"/>
              <w:spacing w:after="0" w:line="149" w:lineRule="exact"/>
              <w:rPr>
                <w:sz w:val="20"/>
                <w:szCs w:val="20"/>
                <w:color w:val="auto"/>
              </w:rPr>
            </w:pPr>
            <w:r>
              <w:rPr>
                <w:rFonts w:ascii="Arial" w:cs="Arial" w:eastAsia="Arial" w:hAnsi="Arial"/>
                <w:sz w:val="14"/>
                <w:szCs w:val="14"/>
                <w:color w:val="auto"/>
              </w:rPr>
              <w:t>Chief Executive Officer</w:t>
            </w:r>
          </w:p>
        </w:tc>
        <w:tc>
          <w:tcPr>
            <w:tcW w:w="2940" w:type="dxa"/>
            <w:vAlign w:val="bottom"/>
          </w:tcPr>
          <w:p>
            <w:pPr>
              <w:spacing w:after="0"/>
              <w:rPr>
                <w:sz w:val="12"/>
                <w:szCs w:val="12"/>
                <w:color w:val="auto"/>
              </w:rPr>
            </w:pPr>
          </w:p>
        </w:tc>
        <w:tc>
          <w:tcPr>
            <w:tcW w:w="33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320" w:type="dxa"/>
            <w:vAlign w:val="bottom"/>
          </w:tcPr>
          <w:p>
            <w:pPr>
              <w:spacing w:after="0" w:line="149" w:lineRule="exact"/>
              <w:rPr>
                <w:sz w:val="20"/>
                <w:szCs w:val="20"/>
                <w:color w:val="auto"/>
              </w:rPr>
            </w:pPr>
            <w:r>
              <w:rPr>
                <w:rFonts w:ascii="Arial" w:cs="Arial" w:eastAsia="Arial" w:hAnsi="Arial"/>
                <w:sz w:val="14"/>
                <w:szCs w:val="14"/>
                <w:color w:val="auto"/>
              </w:rPr>
              <w:t>Chief Executive Officer</w:t>
            </w:r>
          </w:p>
        </w:tc>
        <w:tc>
          <w:tcPr>
            <w:tcW w:w="2860" w:type="dxa"/>
            <w:vAlign w:val="bottom"/>
          </w:tcPr>
          <w:p>
            <w:pPr>
              <w:ind w:left="560"/>
              <w:spacing w:after="0" w:line="149" w:lineRule="exact"/>
              <w:rPr>
                <w:sz w:val="20"/>
                <w:szCs w:val="20"/>
                <w:color w:val="auto"/>
              </w:rPr>
            </w:pPr>
            <w:r>
              <w:rPr>
                <w:rFonts w:ascii="Arial" w:cs="Arial" w:eastAsia="Arial" w:hAnsi="Arial"/>
                <w:sz w:val="14"/>
                <w:szCs w:val="14"/>
                <w:color w:val="auto"/>
              </w:rPr>
              <w:t>Time Warner Cable</w:t>
            </w:r>
          </w:p>
        </w:tc>
        <w:tc>
          <w:tcPr>
            <w:tcW w:w="2940" w:type="dxa"/>
            <w:vAlign w:val="bottom"/>
          </w:tcPr>
          <w:p>
            <w:pPr>
              <w:spacing w:after="0"/>
              <w:rPr>
                <w:sz w:val="12"/>
                <w:szCs w:val="12"/>
                <w:color w:val="auto"/>
              </w:rPr>
            </w:pPr>
          </w:p>
        </w:tc>
        <w:tc>
          <w:tcPr>
            <w:tcW w:w="33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62"/>
        </w:trPr>
        <w:tc>
          <w:tcPr>
            <w:tcW w:w="2320" w:type="dxa"/>
            <w:vAlign w:val="bottom"/>
          </w:tcPr>
          <w:p>
            <w:pPr>
              <w:spacing w:after="0"/>
              <w:rPr>
                <w:sz w:val="20"/>
                <w:szCs w:val="20"/>
                <w:color w:val="auto"/>
              </w:rPr>
            </w:pPr>
            <w:r>
              <w:rPr>
                <w:rFonts w:ascii="Arial" w:cs="Arial" w:eastAsia="Arial" w:hAnsi="Arial"/>
                <w:sz w:val="14"/>
                <w:szCs w:val="14"/>
                <w:color w:val="auto"/>
              </w:rPr>
              <w:t>Duane Morris LLP</w:t>
            </w:r>
          </w:p>
        </w:tc>
        <w:tc>
          <w:tcPr>
            <w:tcW w:w="2860" w:type="dxa"/>
            <w:vAlign w:val="bottom"/>
          </w:tcPr>
          <w:p>
            <w:pPr>
              <w:spacing w:after="0"/>
              <w:rPr>
                <w:sz w:val="14"/>
                <w:szCs w:val="14"/>
                <w:color w:val="auto"/>
              </w:rPr>
            </w:pPr>
          </w:p>
        </w:tc>
        <w:tc>
          <w:tcPr>
            <w:tcW w:w="2940" w:type="dxa"/>
            <w:vAlign w:val="bottom"/>
          </w:tcPr>
          <w:p>
            <w:pPr>
              <w:spacing w:after="0"/>
              <w:rPr>
                <w:sz w:val="14"/>
                <w:szCs w:val="14"/>
                <w:color w:val="auto"/>
              </w:rPr>
            </w:pPr>
          </w:p>
        </w:tc>
        <w:tc>
          <w:tcPr>
            <w:tcW w:w="33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365"/>
        </w:trPr>
        <w:tc>
          <w:tcPr>
            <w:tcW w:w="2320" w:type="dxa"/>
            <w:vAlign w:val="bottom"/>
          </w:tcPr>
          <w:p>
            <w:pPr>
              <w:spacing w:after="0"/>
              <w:rPr>
                <w:sz w:val="20"/>
                <w:szCs w:val="20"/>
                <w:color w:val="auto"/>
              </w:rPr>
            </w:pPr>
            <w:r>
              <w:rPr>
                <w:rFonts w:ascii="Arial" w:cs="Arial" w:eastAsia="Arial" w:hAnsi="Arial"/>
                <w:sz w:val="14"/>
                <w:szCs w:val="14"/>
                <w:b w:val="1"/>
                <w:bCs w:val="1"/>
                <w:color w:val="35BF85"/>
              </w:rPr>
              <w:t>Corporate Executives</w:t>
            </w:r>
          </w:p>
        </w:tc>
        <w:tc>
          <w:tcPr>
            <w:tcW w:w="2860" w:type="dxa"/>
            <w:vAlign w:val="bottom"/>
          </w:tcPr>
          <w:p>
            <w:pPr>
              <w:spacing w:after="0"/>
              <w:rPr>
                <w:sz w:val="24"/>
                <w:szCs w:val="24"/>
                <w:color w:val="auto"/>
              </w:rPr>
            </w:pPr>
          </w:p>
        </w:tc>
        <w:tc>
          <w:tcPr>
            <w:tcW w:w="2940" w:type="dxa"/>
            <w:vAlign w:val="bottom"/>
          </w:tcPr>
          <w:p>
            <w:pPr>
              <w:spacing w:after="0"/>
              <w:rPr>
                <w:sz w:val="24"/>
                <w:szCs w:val="24"/>
                <w:color w:val="auto"/>
              </w:rPr>
            </w:pPr>
          </w:p>
        </w:tc>
        <w:tc>
          <w:tcPr>
            <w:tcW w:w="33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51"/>
        </w:trPr>
        <w:tc>
          <w:tcPr>
            <w:tcW w:w="2320" w:type="dxa"/>
            <w:vAlign w:val="bottom"/>
          </w:tcPr>
          <w:p>
            <w:pPr>
              <w:spacing w:after="0"/>
              <w:rPr>
                <w:sz w:val="20"/>
                <w:szCs w:val="20"/>
                <w:color w:val="auto"/>
              </w:rPr>
            </w:pPr>
            <w:r>
              <w:rPr>
                <w:rFonts w:ascii="Arial" w:cs="Arial" w:eastAsia="Arial" w:hAnsi="Arial"/>
                <w:sz w:val="14"/>
                <w:szCs w:val="14"/>
                <w:b w:val="1"/>
                <w:bCs w:val="1"/>
                <w:color w:val="auto"/>
              </w:rPr>
              <w:t>Brian L. Roberts</w:t>
            </w:r>
          </w:p>
        </w:tc>
        <w:tc>
          <w:tcPr>
            <w:tcW w:w="2860" w:type="dxa"/>
            <w:vAlign w:val="bottom"/>
          </w:tcPr>
          <w:p>
            <w:pPr>
              <w:ind w:left="560"/>
              <w:spacing w:after="0"/>
              <w:rPr>
                <w:sz w:val="20"/>
                <w:szCs w:val="20"/>
                <w:color w:val="auto"/>
              </w:rPr>
            </w:pPr>
            <w:r>
              <w:rPr>
                <w:rFonts w:ascii="Arial" w:cs="Arial" w:eastAsia="Arial" w:hAnsi="Arial"/>
                <w:sz w:val="14"/>
                <w:szCs w:val="14"/>
                <w:b w:val="1"/>
                <w:bCs w:val="1"/>
                <w:color w:val="auto"/>
              </w:rPr>
              <w:t>Arthur R. Block</w:t>
            </w:r>
          </w:p>
        </w:tc>
        <w:tc>
          <w:tcPr>
            <w:tcW w:w="2940" w:type="dxa"/>
            <w:vAlign w:val="bottom"/>
          </w:tcPr>
          <w:p>
            <w:pPr>
              <w:ind w:left="560"/>
              <w:spacing w:after="0"/>
              <w:rPr>
                <w:sz w:val="20"/>
                <w:szCs w:val="20"/>
                <w:color w:val="auto"/>
              </w:rPr>
            </w:pPr>
            <w:r>
              <w:rPr>
                <w:rFonts w:ascii="Arial" w:cs="Arial" w:eastAsia="Arial" w:hAnsi="Arial"/>
                <w:sz w:val="14"/>
                <w:szCs w:val="14"/>
                <w:b w:val="1"/>
                <w:bCs w:val="1"/>
                <w:color w:val="auto"/>
              </w:rPr>
              <w:t>Joseph F. DiTrolio</w:t>
            </w:r>
          </w:p>
        </w:tc>
        <w:tc>
          <w:tcPr>
            <w:tcW w:w="3300" w:type="dxa"/>
            <w:vAlign w:val="bottom"/>
          </w:tcPr>
          <w:p>
            <w:pPr>
              <w:ind w:left="580"/>
              <w:spacing w:after="0"/>
              <w:rPr>
                <w:sz w:val="20"/>
                <w:szCs w:val="20"/>
                <w:color w:val="auto"/>
              </w:rPr>
            </w:pPr>
            <w:r>
              <w:rPr>
                <w:rFonts w:ascii="Arial" w:cs="Arial" w:eastAsia="Arial" w:hAnsi="Arial"/>
                <w:sz w:val="14"/>
                <w:szCs w:val="14"/>
                <w:b w:val="1"/>
                <w:bCs w:val="1"/>
                <w:color w:val="auto"/>
              </w:rPr>
              <w:t>Charisse R. Lille</w:t>
            </w:r>
          </w:p>
        </w:tc>
        <w:tc>
          <w:tcPr>
            <w:tcW w:w="0" w:type="dxa"/>
            <w:vAlign w:val="bottom"/>
          </w:tcPr>
          <w:p>
            <w:pPr>
              <w:spacing w:after="0"/>
              <w:rPr>
                <w:sz w:val="1"/>
                <w:szCs w:val="1"/>
                <w:color w:val="auto"/>
              </w:rPr>
            </w:pPr>
          </w:p>
        </w:tc>
      </w:tr>
      <w:tr>
        <w:trPr>
          <w:trHeight w:val="149"/>
        </w:trPr>
        <w:tc>
          <w:tcPr>
            <w:tcW w:w="2320" w:type="dxa"/>
            <w:vAlign w:val="bottom"/>
          </w:tcPr>
          <w:p>
            <w:pPr>
              <w:spacing w:after="0" w:line="149" w:lineRule="exact"/>
              <w:rPr>
                <w:sz w:val="20"/>
                <w:szCs w:val="20"/>
                <w:color w:val="auto"/>
              </w:rPr>
            </w:pPr>
            <w:r>
              <w:rPr>
                <w:rFonts w:ascii="Arial" w:cs="Arial" w:eastAsia="Arial" w:hAnsi="Arial"/>
                <w:sz w:val="14"/>
                <w:szCs w:val="14"/>
                <w:color w:val="auto"/>
              </w:rPr>
              <w:t>Chairman and</w:t>
            </w:r>
          </w:p>
        </w:tc>
        <w:tc>
          <w:tcPr>
            <w:tcW w:w="2860" w:type="dxa"/>
            <w:vAlign w:val="bottom"/>
          </w:tcPr>
          <w:p>
            <w:pPr>
              <w:ind w:left="560"/>
              <w:spacing w:after="0" w:line="149" w:lineRule="exact"/>
              <w:rPr>
                <w:sz w:val="20"/>
                <w:szCs w:val="20"/>
                <w:color w:val="auto"/>
              </w:rPr>
            </w:pPr>
            <w:r>
              <w:rPr>
                <w:rFonts w:ascii="Arial" w:cs="Arial" w:eastAsia="Arial" w:hAnsi="Arial"/>
                <w:sz w:val="14"/>
                <w:szCs w:val="14"/>
                <w:color w:val="auto"/>
              </w:rPr>
              <w:t>Senior Vice President,</w:t>
            </w:r>
          </w:p>
        </w:tc>
        <w:tc>
          <w:tcPr>
            <w:tcW w:w="2940" w:type="dxa"/>
            <w:vAlign w:val="bottom"/>
          </w:tcPr>
          <w:p>
            <w:pPr>
              <w:ind w:left="560"/>
              <w:spacing w:after="0" w:line="149" w:lineRule="exact"/>
              <w:rPr>
                <w:sz w:val="20"/>
                <w:szCs w:val="20"/>
                <w:color w:val="auto"/>
              </w:rPr>
            </w:pPr>
            <w:r>
              <w:rPr>
                <w:rFonts w:ascii="Arial" w:cs="Arial" w:eastAsia="Arial" w:hAnsi="Arial"/>
                <w:sz w:val="14"/>
                <w:szCs w:val="14"/>
                <w:color w:val="auto"/>
              </w:rPr>
              <w:t>Vice President</w:t>
            </w:r>
          </w:p>
        </w:tc>
        <w:tc>
          <w:tcPr>
            <w:tcW w:w="3300" w:type="dxa"/>
            <w:vAlign w:val="bottom"/>
          </w:tcPr>
          <w:p>
            <w:pPr>
              <w:ind w:left="580"/>
              <w:spacing w:after="0" w:line="149" w:lineRule="exact"/>
              <w:rPr>
                <w:sz w:val="20"/>
                <w:szCs w:val="20"/>
                <w:color w:val="auto"/>
              </w:rPr>
            </w:pPr>
            <w:r>
              <w:rPr>
                <w:rFonts w:ascii="Arial" w:cs="Arial" w:eastAsia="Arial" w:hAnsi="Arial"/>
                <w:sz w:val="14"/>
                <w:szCs w:val="14"/>
                <w:color w:val="auto"/>
              </w:rPr>
              <w:t>Vice President</w:t>
            </w:r>
          </w:p>
        </w:tc>
        <w:tc>
          <w:tcPr>
            <w:tcW w:w="0" w:type="dxa"/>
            <w:vAlign w:val="bottom"/>
          </w:tcPr>
          <w:p>
            <w:pPr>
              <w:spacing w:after="0"/>
              <w:rPr>
                <w:sz w:val="1"/>
                <w:szCs w:val="1"/>
                <w:color w:val="auto"/>
              </w:rPr>
            </w:pPr>
          </w:p>
        </w:tc>
      </w:tr>
      <w:tr>
        <w:trPr>
          <w:trHeight w:val="149"/>
        </w:trPr>
        <w:tc>
          <w:tcPr>
            <w:tcW w:w="2320" w:type="dxa"/>
            <w:vAlign w:val="bottom"/>
          </w:tcPr>
          <w:p>
            <w:pPr>
              <w:spacing w:after="0" w:line="149" w:lineRule="exact"/>
              <w:rPr>
                <w:sz w:val="20"/>
                <w:szCs w:val="20"/>
                <w:color w:val="auto"/>
              </w:rPr>
            </w:pPr>
            <w:r>
              <w:rPr>
                <w:rFonts w:ascii="Arial" w:cs="Arial" w:eastAsia="Arial" w:hAnsi="Arial"/>
                <w:sz w:val="14"/>
                <w:szCs w:val="14"/>
                <w:color w:val="auto"/>
              </w:rPr>
              <w:t>Chief Executive Officer</w:t>
            </w:r>
          </w:p>
        </w:tc>
        <w:tc>
          <w:tcPr>
            <w:tcW w:w="2860" w:type="dxa"/>
            <w:vAlign w:val="bottom"/>
          </w:tcPr>
          <w:p>
            <w:pPr>
              <w:ind w:left="560"/>
              <w:spacing w:after="0" w:line="149" w:lineRule="exact"/>
              <w:rPr>
                <w:sz w:val="20"/>
                <w:szCs w:val="20"/>
                <w:color w:val="auto"/>
              </w:rPr>
            </w:pPr>
            <w:r>
              <w:rPr>
                <w:rFonts w:ascii="Arial" w:cs="Arial" w:eastAsia="Arial" w:hAnsi="Arial"/>
                <w:sz w:val="14"/>
                <w:szCs w:val="14"/>
                <w:color w:val="auto"/>
              </w:rPr>
              <w:t>General Counsel and</w:t>
            </w:r>
          </w:p>
        </w:tc>
        <w:tc>
          <w:tcPr>
            <w:tcW w:w="2940" w:type="dxa"/>
            <w:vAlign w:val="bottom"/>
          </w:tcPr>
          <w:p>
            <w:pPr>
              <w:ind w:left="560"/>
              <w:spacing w:after="0" w:line="149" w:lineRule="exact"/>
              <w:rPr>
                <w:sz w:val="20"/>
                <w:szCs w:val="20"/>
                <w:color w:val="auto"/>
              </w:rPr>
            </w:pPr>
            <w:r>
              <w:rPr>
                <w:rFonts w:ascii="Arial" w:cs="Arial" w:eastAsia="Arial" w:hAnsi="Arial"/>
                <w:sz w:val="14"/>
                <w:szCs w:val="14"/>
                <w:color w:val="auto"/>
              </w:rPr>
              <w:t>Financial Operations</w:t>
            </w:r>
          </w:p>
        </w:tc>
        <w:tc>
          <w:tcPr>
            <w:tcW w:w="3300" w:type="dxa"/>
            <w:vAlign w:val="bottom"/>
          </w:tcPr>
          <w:p>
            <w:pPr>
              <w:ind w:left="580"/>
              <w:spacing w:after="0" w:line="149" w:lineRule="exact"/>
              <w:rPr>
                <w:sz w:val="20"/>
                <w:szCs w:val="20"/>
                <w:color w:val="auto"/>
              </w:rPr>
            </w:pPr>
            <w:r>
              <w:rPr>
                <w:rFonts w:ascii="Arial" w:cs="Arial" w:eastAsia="Arial" w:hAnsi="Arial"/>
                <w:sz w:val="14"/>
                <w:szCs w:val="14"/>
                <w:color w:val="auto"/>
              </w:rPr>
              <w:t>Human Resources</w:t>
            </w:r>
          </w:p>
        </w:tc>
        <w:tc>
          <w:tcPr>
            <w:tcW w:w="0" w:type="dxa"/>
            <w:vAlign w:val="bottom"/>
          </w:tcPr>
          <w:p>
            <w:pPr>
              <w:spacing w:after="0"/>
              <w:rPr>
                <w:sz w:val="1"/>
                <w:szCs w:val="1"/>
                <w:color w:val="auto"/>
              </w:rPr>
            </w:pPr>
          </w:p>
        </w:tc>
      </w:tr>
      <w:tr>
        <w:trPr>
          <w:trHeight w:val="162"/>
        </w:trPr>
        <w:tc>
          <w:tcPr>
            <w:tcW w:w="2320" w:type="dxa"/>
            <w:vAlign w:val="bottom"/>
            <w:vMerge w:val="restart"/>
          </w:tcPr>
          <w:p>
            <w:pPr>
              <w:spacing w:after="0"/>
              <w:rPr>
                <w:sz w:val="20"/>
                <w:szCs w:val="20"/>
                <w:color w:val="auto"/>
              </w:rPr>
            </w:pPr>
            <w:r>
              <w:rPr>
                <w:rFonts w:ascii="Arial" w:cs="Arial" w:eastAsia="Arial" w:hAnsi="Arial"/>
                <w:sz w:val="14"/>
                <w:szCs w:val="14"/>
                <w:b w:val="1"/>
                <w:bCs w:val="1"/>
                <w:color w:val="auto"/>
              </w:rPr>
              <w:t>Ralph J. Roberts</w:t>
            </w:r>
          </w:p>
        </w:tc>
        <w:tc>
          <w:tcPr>
            <w:tcW w:w="2860" w:type="dxa"/>
            <w:vAlign w:val="bottom"/>
          </w:tcPr>
          <w:p>
            <w:pPr>
              <w:ind w:left="560"/>
              <w:spacing w:after="0"/>
              <w:rPr>
                <w:sz w:val="20"/>
                <w:szCs w:val="20"/>
                <w:color w:val="auto"/>
              </w:rPr>
            </w:pPr>
            <w:r>
              <w:rPr>
                <w:rFonts w:ascii="Arial" w:cs="Arial" w:eastAsia="Arial" w:hAnsi="Arial"/>
                <w:sz w:val="14"/>
                <w:szCs w:val="14"/>
                <w:color w:val="auto"/>
              </w:rPr>
              <w:t>Secretary</w:t>
            </w:r>
          </w:p>
        </w:tc>
        <w:tc>
          <w:tcPr>
            <w:tcW w:w="2940" w:type="dxa"/>
            <w:vAlign w:val="bottom"/>
            <w:vMerge w:val="restart"/>
          </w:tcPr>
          <w:p>
            <w:pPr>
              <w:ind w:left="560"/>
              <w:spacing w:after="0"/>
              <w:rPr>
                <w:sz w:val="20"/>
                <w:szCs w:val="20"/>
                <w:color w:val="auto"/>
              </w:rPr>
            </w:pPr>
            <w:r>
              <w:rPr>
                <w:rFonts w:ascii="Arial" w:cs="Arial" w:eastAsia="Arial" w:hAnsi="Arial"/>
                <w:sz w:val="14"/>
                <w:szCs w:val="14"/>
                <w:b w:val="1"/>
                <w:bCs w:val="1"/>
                <w:color w:val="auto"/>
              </w:rPr>
              <w:t>Marlene S. Dooner</w:t>
            </w:r>
          </w:p>
        </w:tc>
        <w:tc>
          <w:tcPr>
            <w:tcW w:w="3300" w:type="dxa"/>
            <w:vAlign w:val="bottom"/>
            <w:vMerge w:val="restart"/>
          </w:tcPr>
          <w:p>
            <w:pPr>
              <w:ind w:left="580"/>
              <w:spacing w:after="0"/>
              <w:rPr>
                <w:sz w:val="20"/>
                <w:szCs w:val="20"/>
                <w:color w:val="auto"/>
              </w:rPr>
            </w:pPr>
            <w:r>
              <w:rPr>
                <w:rFonts w:ascii="Arial" w:cs="Arial" w:eastAsia="Arial" w:hAnsi="Arial"/>
                <w:sz w:val="14"/>
                <w:szCs w:val="14"/>
                <w:b w:val="1"/>
                <w:bCs w:val="1"/>
                <w:color w:val="auto"/>
              </w:rPr>
              <w:t>Kenneth Mikalauskas</w:t>
            </w:r>
          </w:p>
        </w:tc>
        <w:tc>
          <w:tcPr>
            <w:tcW w:w="0" w:type="dxa"/>
            <w:vAlign w:val="bottom"/>
          </w:tcPr>
          <w:p>
            <w:pPr>
              <w:spacing w:after="0"/>
              <w:rPr>
                <w:sz w:val="1"/>
                <w:szCs w:val="1"/>
                <w:color w:val="auto"/>
              </w:rPr>
            </w:pPr>
          </w:p>
        </w:tc>
      </w:tr>
      <w:tr>
        <w:trPr>
          <w:trHeight w:val="135"/>
        </w:trPr>
        <w:tc>
          <w:tcPr>
            <w:tcW w:w="2320" w:type="dxa"/>
            <w:vAlign w:val="bottom"/>
            <w:vMerge w:val="continue"/>
          </w:tcPr>
          <w:p>
            <w:pPr>
              <w:spacing w:after="0"/>
              <w:rPr>
                <w:sz w:val="11"/>
                <w:szCs w:val="11"/>
                <w:color w:val="auto"/>
              </w:rPr>
            </w:pPr>
          </w:p>
        </w:tc>
        <w:tc>
          <w:tcPr>
            <w:tcW w:w="2860" w:type="dxa"/>
            <w:vAlign w:val="bottom"/>
            <w:vMerge w:val="restart"/>
          </w:tcPr>
          <w:p>
            <w:pPr>
              <w:ind w:left="560"/>
              <w:spacing w:after="0"/>
              <w:rPr>
                <w:sz w:val="20"/>
                <w:szCs w:val="20"/>
                <w:color w:val="auto"/>
              </w:rPr>
            </w:pPr>
            <w:r>
              <w:rPr>
                <w:rFonts w:ascii="Arial" w:cs="Arial" w:eastAsia="Arial" w:hAnsi="Arial"/>
                <w:sz w:val="14"/>
                <w:szCs w:val="14"/>
                <w:b w:val="1"/>
                <w:bCs w:val="1"/>
                <w:color w:val="auto"/>
              </w:rPr>
              <w:t>Mark A. Coblitz</w:t>
            </w:r>
          </w:p>
        </w:tc>
        <w:tc>
          <w:tcPr>
            <w:tcW w:w="2940" w:type="dxa"/>
            <w:vAlign w:val="bottom"/>
            <w:vMerge w:val="continue"/>
          </w:tcPr>
          <w:p>
            <w:pPr>
              <w:spacing w:after="0"/>
              <w:rPr>
                <w:sz w:val="11"/>
                <w:szCs w:val="11"/>
                <w:color w:val="auto"/>
              </w:rPr>
            </w:pPr>
          </w:p>
        </w:tc>
        <w:tc>
          <w:tcPr>
            <w:tcW w:w="3300" w:type="dxa"/>
            <w:vAlign w:val="bottom"/>
            <w:vMerge w:val="continue"/>
          </w:tcPr>
          <w:p>
            <w:pPr>
              <w:spacing w:after="0"/>
              <w:rPr>
                <w:sz w:val="11"/>
                <w:szCs w:val="11"/>
                <w:color w:val="auto"/>
              </w:rPr>
            </w:pPr>
          </w:p>
        </w:tc>
        <w:tc>
          <w:tcPr>
            <w:tcW w:w="0" w:type="dxa"/>
            <w:vAlign w:val="bottom"/>
          </w:tcPr>
          <w:p>
            <w:pPr>
              <w:spacing w:after="0"/>
              <w:rPr>
                <w:sz w:val="1"/>
                <w:szCs w:val="1"/>
                <w:color w:val="auto"/>
              </w:rPr>
            </w:pPr>
          </w:p>
        </w:tc>
      </w:tr>
      <w:tr>
        <w:trPr>
          <w:trHeight w:val="149"/>
        </w:trPr>
        <w:tc>
          <w:tcPr>
            <w:tcW w:w="2320" w:type="dxa"/>
            <w:vAlign w:val="bottom"/>
          </w:tcPr>
          <w:p>
            <w:pPr>
              <w:spacing w:after="0" w:line="149" w:lineRule="exact"/>
              <w:rPr>
                <w:sz w:val="20"/>
                <w:szCs w:val="20"/>
                <w:color w:val="auto"/>
              </w:rPr>
            </w:pPr>
            <w:r>
              <w:rPr>
                <w:rFonts w:ascii="Arial" w:cs="Arial" w:eastAsia="Arial" w:hAnsi="Arial"/>
                <w:sz w:val="14"/>
                <w:szCs w:val="14"/>
                <w:color w:val="auto"/>
              </w:rPr>
              <w:t>Founder</w:t>
            </w:r>
          </w:p>
        </w:tc>
        <w:tc>
          <w:tcPr>
            <w:tcW w:w="2860" w:type="dxa"/>
            <w:vAlign w:val="bottom"/>
            <w:vMerge w:val="continue"/>
          </w:tcPr>
          <w:p>
            <w:pPr>
              <w:spacing w:after="0"/>
              <w:rPr>
                <w:sz w:val="12"/>
                <w:szCs w:val="12"/>
                <w:color w:val="auto"/>
              </w:rPr>
            </w:pPr>
          </w:p>
        </w:tc>
        <w:tc>
          <w:tcPr>
            <w:tcW w:w="2940" w:type="dxa"/>
            <w:vAlign w:val="bottom"/>
          </w:tcPr>
          <w:p>
            <w:pPr>
              <w:ind w:left="560"/>
              <w:spacing w:after="0" w:line="149" w:lineRule="exact"/>
              <w:rPr>
                <w:sz w:val="20"/>
                <w:szCs w:val="20"/>
                <w:color w:val="auto"/>
              </w:rPr>
            </w:pPr>
            <w:r>
              <w:rPr>
                <w:rFonts w:ascii="Arial" w:cs="Arial" w:eastAsia="Arial" w:hAnsi="Arial"/>
                <w:sz w:val="14"/>
                <w:szCs w:val="14"/>
                <w:color w:val="auto"/>
              </w:rPr>
              <w:t>Vice President</w:t>
            </w:r>
          </w:p>
        </w:tc>
        <w:tc>
          <w:tcPr>
            <w:tcW w:w="3300" w:type="dxa"/>
            <w:vAlign w:val="bottom"/>
          </w:tcPr>
          <w:p>
            <w:pPr>
              <w:ind w:left="580"/>
              <w:spacing w:after="0" w:line="149" w:lineRule="exact"/>
              <w:rPr>
                <w:sz w:val="20"/>
                <w:szCs w:val="20"/>
                <w:color w:val="auto"/>
              </w:rPr>
            </w:pPr>
            <w:r>
              <w:rPr>
                <w:rFonts w:ascii="Arial" w:cs="Arial" w:eastAsia="Arial" w:hAnsi="Arial"/>
                <w:sz w:val="14"/>
                <w:szCs w:val="14"/>
                <w:color w:val="auto"/>
              </w:rPr>
              <w:t>Vice President</w:t>
            </w:r>
          </w:p>
        </w:tc>
        <w:tc>
          <w:tcPr>
            <w:tcW w:w="0" w:type="dxa"/>
            <w:vAlign w:val="bottom"/>
          </w:tcPr>
          <w:p>
            <w:pPr>
              <w:spacing w:after="0"/>
              <w:rPr>
                <w:sz w:val="1"/>
                <w:szCs w:val="1"/>
                <w:color w:val="auto"/>
              </w:rPr>
            </w:pPr>
          </w:p>
        </w:tc>
      </w:tr>
      <w:tr>
        <w:trPr>
          <w:trHeight w:val="149"/>
        </w:trPr>
        <w:tc>
          <w:tcPr>
            <w:tcW w:w="2320" w:type="dxa"/>
            <w:vAlign w:val="bottom"/>
          </w:tcPr>
          <w:p>
            <w:pPr>
              <w:spacing w:after="0" w:line="149" w:lineRule="exact"/>
              <w:rPr>
                <w:sz w:val="20"/>
                <w:szCs w:val="20"/>
                <w:color w:val="auto"/>
              </w:rPr>
            </w:pPr>
            <w:r>
              <w:rPr>
                <w:rFonts w:ascii="Arial" w:cs="Arial" w:eastAsia="Arial" w:hAnsi="Arial"/>
                <w:sz w:val="14"/>
                <w:szCs w:val="14"/>
                <w:color w:val="auto"/>
              </w:rPr>
              <w:t>Chairman, Executive and</w:t>
            </w:r>
          </w:p>
        </w:tc>
        <w:tc>
          <w:tcPr>
            <w:tcW w:w="2860" w:type="dxa"/>
            <w:vAlign w:val="bottom"/>
          </w:tcPr>
          <w:p>
            <w:pPr>
              <w:ind w:left="560"/>
              <w:spacing w:after="0" w:line="149" w:lineRule="exact"/>
              <w:rPr>
                <w:sz w:val="20"/>
                <w:szCs w:val="20"/>
                <w:color w:val="auto"/>
              </w:rPr>
            </w:pPr>
            <w:r>
              <w:rPr>
                <w:rFonts w:ascii="Arial" w:cs="Arial" w:eastAsia="Arial" w:hAnsi="Arial"/>
                <w:sz w:val="14"/>
                <w:szCs w:val="14"/>
                <w:color w:val="auto"/>
              </w:rPr>
              <w:t>Senior Vice President</w:t>
            </w:r>
          </w:p>
        </w:tc>
        <w:tc>
          <w:tcPr>
            <w:tcW w:w="2940" w:type="dxa"/>
            <w:vAlign w:val="bottom"/>
          </w:tcPr>
          <w:p>
            <w:pPr>
              <w:ind w:left="560"/>
              <w:spacing w:after="0" w:line="149" w:lineRule="exact"/>
              <w:rPr>
                <w:sz w:val="20"/>
                <w:szCs w:val="20"/>
                <w:color w:val="auto"/>
              </w:rPr>
            </w:pPr>
            <w:r>
              <w:rPr>
                <w:rFonts w:ascii="Arial" w:cs="Arial" w:eastAsia="Arial" w:hAnsi="Arial"/>
                <w:sz w:val="14"/>
                <w:szCs w:val="14"/>
                <w:color w:val="auto"/>
              </w:rPr>
              <w:t>Investor Relations</w:t>
            </w:r>
          </w:p>
        </w:tc>
        <w:tc>
          <w:tcPr>
            <w:tcW w:w="3300" w:type="dxa"/>
            <w:vAlign w:val="bottom"/>
          </w:tcPr>
          <w:p>
            <w:pPr>
              <w:ind w:left="580"/>
              <w:spacing w:after="0" w:line="149" w:lineRule="exact"/>
              <w:rPr>
                <w:sz w:val="20"/>
                <w:szCs w:val="20"/>
                <w:color w:val="auto"/>
              </w:rPr>
            </w:pPr>
            <w:r>
              <w:rPr>
                <w:rFonts w:ascii="Arial" w:cs="Arial" w:eastAsia="Arial" w:hAnsi="Arial"/>
                <w:sz w:val="14"/>
                <w:szCs w:val="14"/>
                <w:color w:val="auto"/>
              </w:rPr>
              <w:t>Finance</w:t>
            </w:r>
          </w:p>
        </w:tc>
        <w:tc>
          <w:tcPr>
            <w:tcW w:w="0" w:type="dxa"/>
            <w:vAlign w:val="bottom"/>
          </w:tcPr>
          <w:p>
            <w:pPr>
              <w:spacing w:after="0"/>
              <w:rPr>
                <w:sz w:val="1"/>
                <w:szCs w:val="1"/>
                <w:color w:val="auto"/>
              </w:rPr>
            </w:pPr>
          </w:p>
        </w:tc>
      </w:tr>
      <w:tr>
        <w:trPr>
          <w:trHeight w:val="162"/>
        </w:trPr>
        <w:tc>
          <w:tcPr>
            <w:tcW w:w="2320" w:type="dxa"/>
            <w:vAlign w:val="bottom"/>
          </w:tcPr>
          <w:p>
            <w:pPr>
              <w:spacing w:after="0"/>
              <w:rPr>
                <w:sz w:val="20"/>
                <w:szCs w:val="20"/>
                <w:color w:val="auto"/>
              </w:rPr>
            </w:pPr>
            <w:r>
              <w:rPr>
                <w:rFonts w:ascii="Arial" w:cs="Arial" w:eastAsia="Arial" w:hAnsi="Arial"/>
                <w:sz w:val="14"/>
                <w:szCs w:val="14"/>
                <w:color w:val="auto"/>
              </w:rPr>
              <w:t>Finance Committee</w:t>
            </w:r>
          </w:p>
        </w:tc>
        <w:tc>
          <w:tcPr>
            <w:tcW w:w="2860" w:type="dxa"/>
            <w:vAlign w:val="bottom"/>
          </w:tcPr>
          <w:p>
            <w:pPr>
              <w:ind w:left="560"/>
              <w:spacing w:after="0"/>
              <w:rPr>
                <w:sz w:val="20"/>
                <w:szCs w:val="20"/>
                <w:color w:val="auto"/>
              </w:rPr>
            </w:pPr>
            <w:r>
              <w:rPr>
                <w:rFonts w:ascii="Arial" w:cs="Arial" w:eastAsia="Arial" w:hAnsi="Arial"/>
                <w:sz w:val="14"/>
                <w:szCs w:val="14"/>
                <w:color w:val="auto"/>
              </w:rPr>
              <w:t>Strategic Planning</w:t>
            </w:r>
          </w:p>
        </w:tc>
        <w:tc>
          <w:tcPr>
            <w:tcW w:w="2940" w:type="dxa"/>
            <w:vAlign w:val="bottom"/>
            <w:vMerge w:val="restart"/>
          </w:tcPr>
          <w:p>
            <w:pPr>
              <w:ind w:left="560"/>
              <w:spacing w:after="0"/>
              <w:rPr>
                <w:sz w:val="20"/>
                <w:szCs w:val="20"/>
                <w:color w:val="auto"/>
              </w:rPr>
            </w:pPr>
            <w:r>
              <w:rPr>
                <w:rFonts w:ascii="Arial" w:cs="Arial" w:eastAsia="Arial" w:hAnsi="Arial"/>
                <w:sz w:val="14"/>
                <w:szCs w:val="14"/>
                <w:b w:val="1"/>
                <w:bCs w:val="1"/>
                <w:color w:val="auto"/>
              </w:rPr>
              <w:t>William E. Dordelman</w:t>
            </w:r>
          </w:p>
        </w:tc>
        <w:tc>
          <w:tcPr>
            <w:tcW w:w="3300" w:type="dxa"/>
            <w:vAlign w:val="bottom"/>
            <w:vMerge w:val="restart"/>
          </w:tcPr>
          <w:p>
            <w:pPr>
              <w:ind w:left="580"/>
              <w:spacing w:after="0"/>
              <w:rPr>
                <w:sz w:val="20"/>
                <w:szCs w:val="20"/>
                <w:color w:val="auto"/>
              </w:rPr>
            </w:pPr>
            <w:r>
              <w:rPr>
                <w:rFonts w:ascii="Arial" w:cs="Arial" w:eastAsia="Arial" w:hAnsi="Arial"/>
                <w:sz w:val="14"/>
                <w:szCs w:val="14"/>
                <w:b w:val="1"/>
                <w:bCs w:val="1"/>
                <w:color w:val="auto"/>
              </w:rPr>
              <w:t>Marc A. Rockford</w:t>
            </w:r>
          </w:p>
        </w:tc>
        <w:tc>
          <w:tcPr>
            <w:tcW w:w="0" w:type="dxa"/>
            <w:vAlign w:val="bottom"/>
          </w:tcPr>
          <w:p>
            <w:pPr>
              <w:spacing w:after="0"/>
              <w:rPr>
                <w:sz w:val="1"/>
                <w:szCs w:val="1"/>
                <w:color w:val="auto"/>
              </w:rPr>
            </w:pPr>
          </w:p>
        </w:tc>
      </w:tr>
      <w:tr>
        <w:trPr>
          <w:trHeight w:val="135"/>
        </w:trPr>
        <w:tc>
          <w:tcPr>
            <w:tcW w:w="2320" w:type="dxa"/>
            <w:vAlign w:val="bottom"/>
            <w:vMerge w:val="restart"/>
          </w:tcPr>
          <w:p>
            <w:pPr>
              <w:spacing w:after="0"/>
              <w:rPr>
                <w:sz w:val="20"/>
                <w:szCs w:val="20"/>
                <w:color w:val="auto"/>
              </w:rPr>
            </w:pPr>
            <w:r>
              <w:rPr>
                <w:rFonts w:ascii="Arial" w:cs="Arial" w:eastAsia="Arial" w:hAnsi="Arial"/>
                <w:sz w:val="14"/>
                <w:szCs w:val="14"/>
                <w:b w:val="1"/>
                <w:bCs w:val="1"/>
                <w:color w:val="auto"/>
              </w:rPr>
              <w:t>John R. Alchin</w:t>
            </w:r>
          </w:p>
        </w:tc>
        <w:tc>
          <w:tcPr>
            <w:tcW w:w="2860" w:type="dxa"/>
            <w:vAlign w:val="bottom"/>
            <w:vMerge w:val="restart"/>
          </w:tcPr>
          <w:p>
            <w:pPr>
              <w:ind w:left="560"/>
              <w:spacing w:after="0"/>
              <w:rPr>
                <w:sz w:val="20"/>
                <w:szCs w:val="20"/>
                <w:color w:val="auto"/>
              </w:rPr>
            </w:pPr>
            <w:r>
              <w:rPr>
                <w:rFonts w:ascii="Arial" w:cs="Arial" w:eastAsia="Arial" w:hAnsi="Arial"/>
                <w:sz w:val="14"/>
                <w:szCs w:val="14"/>
                <w:b w:val="1"/>
                <w:bCs w:val="1"/>
                <w:color w:val="auto"/>
              </w:rPr>
              <w:t>Robert S. Pick</w:t>
            </w:r>
          </w:p>
        </w:tc>
        <w:tc>
          <w:tcPr>
            <w:tcW w:w="2940" w:type="dxa"/>
            <w:vAlign w:val="bottom"/>
            <w:vMerge w:val="continue"/>
          </w:tcPr>
          <w:p>
            <w:pPr>
              <w:spacing w:after="0"/>
              <w:rPr>
                <w:sz w:val="11"/>
                <w:szCs w:val="11"/>
                <w:color w:val="auto"/>
              </w:rPr>
            </w:pPr>
          </w:p>
        </w:tc>
        <w:tc>
          <w:tcPr>
            <w:tcW w:w="3300" w:type="dxa"/>
            <w:vAlign w:val="bottom"/>
            <w:vMerge w:val="continue"/>
          </w:tcPr>
          <w:p>
            <w:pPr>
              <w:spacing w:after="0"/>
              <w:rPr>
                <w:sz w:val="11"/>
                <w:szCs w:val="11"/>
                <w:color w:val="auto"/>
              </w:rPr>
            </w:pPr>
          </w:p>
        </w:tc>
        <w:tc>
          <w:tcPr>
            <w:tcW w:w="0" w:type="dxa"/>
            <w:vAlign w:val="bottom"/>
          </w:tcPr>
          <w:p>
            <w:pPr>
              <w:spacing w:after="0"/>
              <w:rPr>
                <w:sz w:val="1"/>
                <w:szCs w:val="1"/>
                <w:color w:val="auto"/>
              </w:rPr>
            </w:pPr>
          </w:p>
        </w:tc>
      </w:tr>
      <w:tr>
        <w:trPr>
          <w:trHeight w:val="149"/>
        </w:trPr>
        <w:tc>
          <w:tcPr>
            <w:tcW w:w="2320" w:type="dxa"/>
            <w:vAlign w:val="bottom"/>
            <w:vMerge w:val="continue"/>
          </w:tcPr>
          <w:p>
            <w:pPr>
              <w:spacing w:after="0"/>
              <w:rPr>
                <w:sz w:val="12"/>
                <w:szCs w:val="12"/>
                <w:color w:val="auto"/>
              </w:rPr>
            </w:pPr>
          </w:p>
        </w:tc>
        <w:tc>
          <w:tcPr>
            <w:tcW w:w="2860" w:type="dxa"/>
            <w:vAlign w:val="bottom"/>
            <w:vMerge w:val="continue"/>
          </w:tcPr>
          <w:p>
            <w:pPr>
              <w:spacing w:after="0"/>
              <w:rPr>
                <w:sz w:val="12"/>
                <w:szCs w:val="12"/>
                <w:color w:val="auto"/>
              </w:rPr>
            </w:pPr>
          </w:p>
        </w:tc>
        <w:tc>
          <w:tcPr>
            <w:tcW w:w="2940" w:type="dxa"/>
            <w:vAlign w:val="bottom"/>
          </w:tcPr>
          <w:p>
            <w:pPr>
              <w:ind w:left="560"/>
              <w:spacing w:after="0" w:line="149" w:lineRule="exact"/>
              <w:rPr>
                <w:sz w:val="20"/>
                <w:szCs w:val="20"/>
                <w:color w:val="auto"/>
              </w:rPr>
            </w:pPr>
            <w:r>
              <w:rPr>
                <w:rFonts w:ascii="Arial" w:cs="Arial" w:eastAsia="Arial" w:hAnsi="Arial"/>
                <w:sz w:val="14"/>
                <w:szCs w:val="14"/>
                <w:color w:val="auto"/>
              </w:rPr>
              <w:t>Vice President</w:t>
            </w:r>
          </w:p>
        </w:tc>
        <w:tc>
          <w:tcPr>
            <w:tcW w:w="3300" w:type="dxa"/>
            <w:vAlign w:val="bottom"/>
          </w:tcPr>
          <w:p>
            <w:pPr>
              <w:ind w:left="580"/>
              <w:spacing w:after="0" w:line="149" w:lineRule="exact"/>
              <w:rPr>
                <w:sz w:val="20"/>
                <w:szCs w:val="20"/>
                <w:color w:val="auto"/>
              </w:rPr>
            </w:pPr>
            <w:r>
              <w:rPr>
                <w:rFonts w:ascii="Arial" w:cs="Arial" w:eastAsia="Arial" w:hAnsi="Arial"/>
                <w:sz w:val="14"/>
                <w:szCs w:val="14"/>
                <w:color w:val="auto"/>
              </w:rPr>
              <w:t>Vice President and</w:t>
            </w:r>
          </w:p>
        </w:tc>
        <w:tc>
          <w:tcPr>
            <w:tcW w:w="0" w:type="dxa"/>
            <w:vAlign w:val="bottom"/>
          </w:tcPr>
          <w:p>
            <w:pPr>
              <w:spacing w:after="0"/>
              <w:rPr>
                <w:sz w:val="1"/>
                <w:szCs w:val="1"/>
                <w:color w:val="auto"/>
              </w:rPr>
            </w:pPr>
          </w:p>
        </w:tc>
      </w:tr>
      <w:tr>
        <w:trPr>
          <w:trHeight w:val="149"/>
        </w:trPr>
        <w:tc>
          <w:tcPr>
            <w:tcW w:w="2320" w:type="dxa"/>
            <w:vAlign w:val="bottom"/>
          </w:tcPr>
          <w:p>
            <w:pPr>
              <w:spacing w:after="0" w:line="149" w:lineRule="exact"/>
              <w:rPr>
                <w:sz w:val="20"/>
                <w:szCs w:val="20"/>
                <w:color w:val="auto"/>
              </w:rPr>
            </w:pPr>
            <w:r>
              <w:rPr>
                <w:rFonts w:ascii="Arial" w:cs="Arial" w:eastAsia="Arial" w:hAnsi="Arial"/>
                <w:sz w:val="14"/>
                <w:szCs w:val="14"/>
                <w:color w:val="auto"/>
              </w:rPr>
              <w:t>Executive Vice President and</w:t>
            </w:r>
          </w:p>
        </w:tc>
        <w:tc>
          <w:tcPr>
            <w:tcW w:w="2860" w:type="dxa"/>
            <w:vAlign w:val="bottom"/>
          </w:tcPr>
          <w:p>
            <w:pPr>
              <w:ind w:left="560"/>
              <w:spacing w:after="0" w:line="149" w:lineRule="exact"/>
              <w:rPr>
                <w:sz w:val="20"/>
                <w:szCs w:val="20"/>
                <w:color w:val="auto"/>
              </w:rPr>
            </w:pPr>
            <w:r>
              <w:rPr>
                <w:rFonts w:ascii="Arial" w:cs="Arial" w:eastAsia="Arial" w:hAnsi="Arial"/>
                <w:sz w:val="14"/>
                <w:szCs w:val="14"/>
                <w:color w:val="auto"/>
              </w:rPr>
              <w:t>Senior Vice President</w:t>
            </w:r>
          </w:p>
        </w:tc>
        <w:tc>
          <w:tcPr>
            <w:tcW w:w="2940" w:type="dxa"/>
            <w:vAlign w:val="bottom"/>
          </w:tcPr>
          <w:p>
            <w:pPr>
              <w:ind w:left="560"/>
              <w:spacing w:after="0" w:line="149" w:lineRule="exact"/>
              <w:rPr>
                <w:sz w:val="20"/>
                <w:szCs w:val="20"/>
                <w:color w:val="auto"/>
              </w:rPr>
            </w:pPr>
            <w:r>
              <w:rPr>
                <w:rFonts w:ascii="Arial" w:cs="Arial" w:eastAsia="Arial" w:hAnsi="Arial"/>
                <w:sz w:val="14"/>
                <w:szCs w:val="14"/>
                <w:color w:val="auto"/>
              </w:rPr>
              <w:t>Finance</w:t>
            </w:r>
          </w:p>
        </w:tc>
        <w:tc>
          <w:tcPr>
            <w:tcW w:w="3300" w:type="dxa"/>
            <w:vAlign w:val="bottom"/>
          </w:tcPr>
          <w:p>
            <w:pPr>
              <w:ind w:left="580"/>
              <w:spacing w:after="0" w:line="149" w:lineRule="exact"/>
              <w:rPr>
                <w:sz w:val="20"/>
                <w:szCs w:val="20"/>
                <w:color w:val="auto"/>
              </w:rPr>
            </w:pPr>
            <w:r>
              <w:rPr>
                <w:rFonts w:ascii="Arial" w:cs="Arial" w:eastAsia="Arial" w:hAnsi="Arial"/>
                <w:sz w:val="14"/>
                <w:szCs w:val="14"/>
                <w:color w:val="auto"/>
              </w:rPr>
              <w:t>Senior Deputy General Counsel</w:t>
            </w:r>
          </w:p>
        </w:tc>
        <w:tc>
          <w:tcPr>
            <w:tcW w:w="0" w:type="dxa"/>
            <w:vAlign w:val="bottom"/>
          </w:tcPr>
          <w:p>
            <w:pPr>
              <w:spacing w:after="0"/>
              <w:rPr>
                <w:sz w:val="1"/>
                <w:szCs w:val="1"/>
                <w:color w:val="auto"/>
              </w:rPr>
            </w:pPr>
          </w:p>
        </w:tc>
      </w:tr>
      <w:tr>
        <w:trPr>
          <w:trHeight w:val="162"/>
        </w:trPr>
        <w:tc>
          <w:tcPr>
            <w:tcW w:w="2320" w:type="dxa"/>
            <w:vAlign w:val="bottom"/>
          </w:tcPr>
          <w:p>
            <w:pPr>
              <w:spacing w:after="0"/>
              <w:rPr>
                <w:sz w:val="20"/>
                <w:szCs w:val="20"/>
                <w:color w:val="auto"/>
              </w:rPr>
            </w:pPr>
            <w:r>
              <w:rPr>
                <w:rFonts w:ascii="Arial" w:cs="Arial" w:eastAsia="Arial" w:hAnsi="Arial"/>
                <w:sz w:val="14"/>
                <w:szCs w:val="14"/>
                <w:color w:val="auto"/>
              </w:rPr>
              <w:t>Co-Chief Financial Officer</w:t>
            </w:r>
          </w:p>
        </w:tc>
        <w:tc>
          <w:tcPr>
            <w:tcW w:w="2860" w:type="dxa"/>
            <w:vAlign w:val="bottom"/>
          </w:tcPr>
          <w:p>
            <w:pPr>
              <w:ind w:left="560"/>
              <w:spacing w:after="0"/>
              <w:rPr>
                <w:sz w:val="20"/>
                <w:szCs w:val="20"/>
                <w:color w:val="auto"/>
              </w:rPr>
            </w:pPr>
            <w:r>
              <w:rPr>
                <w:rFonts w:ascii="Arial" w:cs="Arial" w:eastAsia="Arial" w:hAnsi="Arial"/>
                <w:sz w:val="14"/>
                <w:szCs w:val="14"/>
                <w:color w:val="auto"/>
              </w:rPr>
              <w:t>Corporate Development</w:t>
            </w:r>
          </w:p>
        </w:tc>
        <w:tc>
          <w:tcPr>
            <w:tcW w:w="2940" w:type="dxa"/>
            <w:vAlign w:val="bottom"/>
            <w:vMerge w:val="restart"/>
          </w:tcPr>
          <w:p>
            <w:pPr>
              <w:ind w:left="560"/>
              <w:spacing w:after="0"/>
              <w:rPr>
                <w:sz w:val="20"/>
                <w:szCs w:val="20"/>
                <w:color w:val="auto"/>
              </w:rPr>
            </w:pPr>
            <w:r>
              <w:rPr>
                <w:rFonts w:ascii="Arial" w:cs="Arial" w:eastAsia="Arial" w:hAnsi="Arial"/>
                <w:sz w:val="14"/>
                <w:szCs w:val="14"/>
                <w:b w:val="1"/>
                <w:bCs w:val="1"/>
                <w:color w:val="auto"/>
              </w:rPr>
              <w:t>Kamal Dua</w:t>
            </w:r>
          </w:p>
        </w:tc>
        <w:tc>
          <w:tcPr>
            <w:tcW w:w="3300" w:type="dxa"/>
            <w:vAlign w:val="bottom"/>
            <w:vMerge w:val="restart"/>
          </w:tcPr>
          <w:p>
            <w:pPr>
              <w:ind w:left="580"/>
              <w:spacing w:after="0"/>
              <w:rPr>
                <w:sz w:val="20"/>
                <w:szCs w:val="20"/>
                <w:color w:val="auto"/>
              </w:rPr>
            </w:pPr>
            <w:r>
              <w:rPr>
                <w:rFonts w:ascii="Arial" w:cs="Arial" w:eastAsia="Arial" w:hAnsi="Arial"/>
                <w:sz w:val="14"/>
                <w:szCs w:val="14"/>
                <w:b w:val="1"/>
                <w:bCs w:val="1"/>
                <w:color w:val="auto"/>
              </w:rPr>
              <w:t>D’Arcy F. Rudnay</w:t>
            </w:r>
          </w:p>
        </w:tc>
        <w:tc>
          <w:tcPr>
            <w:tcW w:w="0" w:type="dxa"/>
            <w:vAlign w:val="bottom"/>
          </w:tcPr>
          <w:p>
            <w:pPr>
              <w:spacing w:after="0"/>
              <w:rPr>
                <w:sz w:val="1"/>
                <w:szCs w:val="1"/>
                <w:color w:val="auto"/>
              </w:rPr>
            </w:pPr>
          </w:p>
        </w:tc>
      </w:tr>
      <w:tr>
        <w:trPr>
          <w:trHeight w:val="135"/>
        </w:trPr>
        <w:tc>
          <w:tcPr>
            <w:tcW w:w="2320" w:type="dxa"/>
            <w:vAlign w:val="bottom"/>
            <w:vMerge w:val="restart"/>
          </w:tcPr>
          <w:p>
            <w:pPr>
              <w:spacing w:after="0"/>
              <w:rPr>
                <w:sz w:val="20"/>
                <w:szCs w:val="20"/>
                <w:color w:val="auto"/>
              </w:rPr>
            </w:pPr>
            <w:r>
              <w:rPr>
                <w:rFonts w:ascii="Arial" w:cs="Arial" w:eastAsia="Arial" w:hAnsi="Arial"/>
                <w:sz w:val="14"/>
                <w:szCs w:val="14"/>
                <w:b w:val="1"/>
                <w:bCs w:val="1"/>
                <w:color w:val="auto"/>
              </w:rPr>
              <w:t>Stephen B. Burke</w:t>
            </w:r>
          </w:p>
        </w:tc>
        <w:tc>
          <w:tcPr>
            <w:tcW w:w="2860" w:type="dxa"/>
            <w:vAlign w:val="bottom"/>
            <w:vMerge w:val="restart"/>
          </w:tcPr>
          <w:p>
            <w:pPr>
              <w:ind w:left="560"/>
              <w:spacing w:after="0"/>
              <w:rPr>
                <w:sz w:val="20"/>
                <w:szCs w:val="20"/>
                <w:color w:val="auto"/>
              </w:rPr>
            </w:pPr>
            <w:r>
              <w:rPr>
                <w:rFonts w:ascii="Arial" w:cs="Arial" w:eastAsia="Arial" w:hAnsi="Arial"/>
                <w:sz w:val="14"/>
                <w:szCs w:val="14"/>
                <w:b w:val="1"/>
                <w:bCs w:val="1"/>
                <w:color w:val="auto"/>
              </w:rPr>
              <w:t>Lawrence J. Salva</w:t>
            </w:r>
          </w:p>
        </w:tc>
        <w:tc>
          <w:tcPr>
            <w:tcW w:w="2940" w:type="dxa"/>
            <w:vAlign w:val="bottom"/>
            <w:vMerge w:val="continue"/>
          </w:tcPr>
          <w:p>
            <w:pPr>
              <w:spacing w:after="0"/>
              <w:rPr>
                <w:sz w:val="11"/>
                <w:szCs w:val="11"/>
                <w:color w:val="auto"/>
              </w:rPr>
            </w:pPr>
          </w:p>
        </w:tc>
        <w:tc>
          <w:tcPr>
            <w:tcW w:w="3300" w:type="dxa"/>
            <w:vAlign w:val="bottom"/>
            <w:vMerge w:val="continue"/>
          </w:tcPr>
          <w:p>
            <w:pPr>
              <w:spacing w:after="0"/>
              <w:rPr>
                <w:sz w:val="11"/>
                <w:szCs w:val="11"/>
                <w:color w:val="auto"/>
              </w:rPr>
            </w:pPr>
          </w:p>
        </w:tc>
        <w:tc>
          <w:tcPr>
            <w:tcW w:w="0" w:type="dxa"/>
            <w:vAlign w:val="bottom"/>
          </w:tcPr>
          <w:p>
            <w:pPr>
              <w:spacing w:after="0"/>
              <w:rPr>
                <w:sz w:val="1"/>
                <w:szCs w:val="1"/>
                <w:color w:val="auto"/>
              </w:rPr>
            </w:pPr>
          </w:p>
        </w:tc>
      </w:tr>
      <w:tr>
        <w:trPr>
          <w:trHeight w:val="149"/>
        </w:trPr>
        <w:tc>
          <w:tcPr>
            <w:tcW w:w="2320" w:type="dxa"/>
            <w:vAlign w:val="bottom"/>
            <w:vMerge w:val="continue"/>
          </w:tcPr>
          <w:p>
            <w:pPr>
              <w:spacing w:after="0"/>
              <w:rPr>
                <w:sz w:val="12"/>
                <w:szCs w:val="12"/>
                <w:color w:val="auto"/>
              </w:rPr>
            </w:pPr>
          </w:p>
        </w:tc>
        <w:tc>
          <w:tcPr>
            <w:tcW w:w="2860" w:type="dxa"/>
            <w:vAlign w:val="bottom"/>
            <w:vMerge w:val="continue"/>
          </w:tcPr>
          <w:p>
            <w:pPr>
              <w:spacing w:after="0"/>
              <w:rPr>
                <w:sz w:val="12"/>
                <w:szCs w:val="12"/>
                <w:color w:val="auto"/>
              </w:rPr>
            </w:pPr>
          </w:p>
        </w:tc>
        <w:tc>
          <w:tcPr>
            <w:tcW w:w="2940" w:type="dxa"/>
            <w:vAlign w:val="bottom"/>
          </w:tcPr>
          <w:p>
            <w:pPr>
              <w:ind w:left="560"/>
              <w:spacing w:after="0" w:line="149" w:lineRule="exact"/>
              <w:rPr>
                <w:sz w:val="20"/>
                <w:szCs w:val="20"/>
                <w:color w:val="auto"/>
              </w:rPr>
            </w:pPr>
            <w:r>
              <w:rPr>
                <w:rFonts w:ascii="Arial" w:cs="Arial" w:eastAsia="Arial" w:hAnsi="Arial"/>
                <w:sz w:val="14"/>
                <w:szCs w:val="14"/>
                <w:color w:val="auto"/>
              </w:rPr>
              <w:t>Vice President</w:t>
            </w:r>
          </w:p>
        </w:tc>
        <w:tc>
          <w:tcPr>
            <w:tcW w:w="3300" w:type="dxa"/>
            <w:vAlign w:val="bottom"/>
          </w:tcPr>
          <w:p>
            <w:pPr>
              <w:ind w:left="580"/>
              <w:spacing w:after="0" w:line="149" w:lineRule="exact"/>
              <w:rPr>
                <w:sz w:val="20"/>
                <w:szCs w:val="20"/>
                <w:color w:val="auto"/>
              </w:rPr>
            </w:pPr>
            <w:r>
              <w:rPr>
                <w:rFonts w:ascii="Arial" w:cs="Arial" w:eastAsia="Arial" w:hAnsi="Arial"/>
                <w:sz w:val="14"/>
                <w:szCs w:val="14"/>
                <w:color w:val="auto"/>
              </w:rPr>
              <w:t>Vice President</w:t>
            </w:r>
          </w:p>
        </w:tc>
        <w:tc>
          <w:tcPr>
            <w:tcW w:w="0" w:type="dxa"/>
            <w:vAlign w:val="bottom"/>
          </w:tcPr>
          <w:p>
            <w:pPr>
              <w:spacing w:after="0"/>
              <w:rPr>
                <w:sz w:val="1"/>
                <w:szCs w:val="1"/>
                <w:color w:val="auto"/>
              </w:rPr>
            </w:pPr>
          </w:p>
        </w:tc>
      </w:tr>
      <w:tr>
        <w:trPr>
          <w:trHeight w:val="149"/>
        </w:trPr>
        <w:tc>
          <w:tcPr>
            <w:tcW w:w="2320" w:type="dxa"/>
            <w:vAlign w:val="bottom"/>
          </w:tcPr>
          <w:p>
            <w:pPr>
              <w:spacing w:after="0" w:line="149" w:lineRule="exact"/>
              <w:rPr>
                <w:sz w:val="20"/>
                <w:szCs w:val="20"/>
                <w:color w:val="auto"/>
              </w:rPr>
            </w:pPr>
            <w:r>
              <w:rPr>
                <w:rFonts w:ascii="Arial" w:cs="Arial" w:eastAsia="Arial" w:hAnsi="Arial"/>
                <w:sz w:val="14"/>
                <w:szCs w:val="14"/>
                <w:color w:val="auto"/>
              </w:rPr>
              <w:t>Executive Vice President and</w:t>
            </w:r>
          </w:p>
        </w:tc>
        <w:tc>
          <w:tcPr>
            <w:tcW w:w="2860" w:type="dxa"/>
            <w:vAlign w:val="bottom"/>
          </w:tcPr>
          <w:p>
            <w:pPr>
              <w:ind w:left="560"/>
              <w:spacing w:after="0" w:line="149" w:lineRule="exact"/>
              <w:rPr>
                <w:sz w:val="20"/>
                <w:szCs w:val="20"/>
                <w:color w:val="auto"/>
              </w:rPr>
            </w:pPr>
            <w:r>
              <w:rPr>
                <w:rFonts w:ascii="Arial" w:cs="Arial" w:eastAsia="Arial" w:hAnsi="Arial"/>
                <w:sz w:val="14"/>
                <w:szCs w:val="14"/>
                <w:color w:val="auto"/>
              </w:rPr>
              <w:t>Senior Vice President,</w:t>
            </w:r>
          </w:p>
        </w:tc>
        <w:tc>
          <w:tcPr>
            <w:tcW w:w="2940" w:type="dxa"/>
            <w:vAlign w:val="bottom"/>
          </w:tcPr>
          <w:p>
            <w:pPr>
              <w:ind w:left="560"/>
              <w:spacing w:after="0" w:line="149" w:lineRule="exact"/>
              <w:rPr>
                <w:sz w:val="20"/>
                <w:szCs w:val="20"/>
                <w:color w:val="auto"/>
              </w:rPr>
            </w:pPr>
            <w:r>
              <w:rPr>
                <w:rFonts w:ascii="Arial" w:cs="Arial" w:eastAsia="Arial" w:hAnsi="Arial"/>
                <w:sz w:val="14"/>
                <w:szCs w:val="14"/>
                <w:color w:val="auto"/>
              </w:rPr>
              <w:t>Internal Audit and</w:t>
            </w:r>
          </w:p>
        </w:tc>
        <w:tc>
          <w:tcPr>
            <w:tcW w:w="3300" w:type="dxa"/>
            <w:vAlign w:val="bottom"/>
          </w:tcPr>
          <w:p>
            <w:pPr>
              <w:ind w:left="580"/>
              <w:spacing w:after="0" w:line="149" w:lineRule="exact"/>
              <w:rPr>
                <w:sz w:val="20"/>
                <w:szCs w:val="20"/>
                <w:color w:val="auto"/>
              </w:rPr>
            </w:pPr>
            <w:r>
              <w:rPr>
                <w:rFonts w:ascii="Arial" w:cs="Arial" w:eastAsia="Arial" w:hAnsi="Arial"/>
                <w:sz w:val="14"/>
                <w:szCs w:val="14"/>
                <w:color w:val="auto"/>
              </w:rPr>
              <w:t>Corporate Communications</w:t>
            </w:r>
          </w:p>
        </w:tc>
        <w:tc>
          <w:tcPr>
            <w:tcW w:w="0" w:type="dxa"/>
            <w:vAlign w:val="bottom"/>
          </w:tcPr>
          <w:p>
            <w:pPr>
              <w:spacing w:after="0"/>
              <w:rPr>
                <w:sz w:val="1"/>
                <w:szCs w:val="1"/>
                <w:color w:val="auto"/>
              </w:rPr>
            </w:pPr>
          </w:p>
        </w:tc>
      </w:tr>
      <w:tr>
        <w:trPr>
          <w:trHeight w:val="149"/>
        </w:trPr>
        <w:tc>
          <w:tcPr>
            <w:tcW w:w="2320" w:type="dxa"/>
            <w:vAlign w:val="bottom"/>
          </w:tcPr>
          <w:p>
            <w:pPr>
              <w:spacing w:after="0" w:line="149" w:lineRule="exact"/>
              <w:rPr>
                <w:sz w:val="20"/>
                <w:szCs w:val="20"/>
                <w:color w:val="auto"/>
              </w:rPr>
            </w:pPr>
            <w:r>
              <w:rPr>
                <w:rFonts w:ascii="Arial" w:cs="Arial" w:eastAsia="Arial" w:hAnsi="Arial"/>
                <w:sz w:val="14"/>
                <w:szCs w:val="14"/>
                <w:color w:val="auto"/>
              </w:rPr>
              <w:t>Chief Operating Officer</w:t>
            </w:r>
          </w:p>
        </w:tc>
        <w:tc>
          <w:tcPr>
            <w:tcW w:w="2860" w:type="dxa"/>
            <w:vAlign w:val="bottom"/>
          </w:tcPr>
          <w:p>
            <w:pPr>
              <w:ind w:left="560"/>
              <w:spacing w:after="0" w:line="149" w:lineRule="exact"/>
              <w:rPr>
                <w:sz w:val="20"/>
                <w:szCs w:val="20"/>
                <w:color w:val="auto"/>
              </w:rPr>
            </w:pPr>
            <w:r>
              <w:rPr>
                <w:rFonts w:ascii="Arial" w:cs="Arial" w:eastAsia="Arial" w:hAnsi="Arial"/>
                <w:sz w:val="14"/>
                <w:szCs w:val="14"/>
                <w:color w:val="auto"/>
              </w:rPr>
              <w:t>Chief Accounting Officer and</w:t>
            </w:r>
          </w:p>
        </w:tc>
        <w:tc>
          <w:tcPr>
            <w:tcW w:w="2940" w:type="dxa"/>
            <w:vAlign w:val="bottom"/>
          </w:tcPr>
          <w:p>
            <w:pPr>
              <w:ind w:left="560"/>
              <w:spacing w:after="0" w:line="149" w:lineRule="exact"/>
              <w:rPr>
                <w:sz w:val="20"/>
                <w:szCs w:val="20"/>
                <w:color w:val="auto"/>
              </w:rPr>
            </w:pPr>
            <w:r>
              <w:rPr>
                <w:rFonts w:ascii="Arial" w:cs="Arial" w:eastAsia="Arial" w:hAnsi="Arial"/>
                <w:sz w:val="14"/>
                <w:szCs w:val="14"/>
                <w:color w:val="auto"/>
              </w:rPr>
              <w:t>General Auditor</w:t>
            </w:r>
          </w:p>
        </w:tc>
        <w:tc>
          <w:tcPr>
            <w:tcW w:w="3300" w:type="dxa"/>
            <w:vAlign w:val="bottom"/>
            <w:vMerge w:val="restart"/>
          </w:tcPr>
          <w:p>
            <w:pPr>
              <w:ind w:left="580"/>
              <w:spacing w:after="0"/>
              <w:rPr>
                <w:sz w:val="20"/>
                <w:szCs w:val="20"/>
                <w:color w:val="auto"/>
              </w:rPr>
            </w:pPr>
            <w:r>
              <w:rPr>
                <w:rFonts w:ascii="Arial" w:cs="Arial" w:eastAsia="Arial" w:hAnsi="Arial"/>
                <w:sz w:val="14"/>
                <w:szCs w:val="14"/>
                <w:b w:val="1"/>
                <w:bCs w:val="1"/>
                <w:color w:val="auto"/>
              </w:rPr>
              <w:t>Joseph W. Waz, Jr.</w:t>
            </w:r>
          </w:p>
        </w:tc>
        <w:tc>
          <w:tcPr>
            <w:tcW w:w="0" w:type="dxa"/>
            <w:vAlign w:val="bottom"/>
          </w:tcPr>
          <w:p>
            <w:pPr>
              <w:spacing w:after="0"/>
              <w:rPr>
                <w:sz w:val="1"/>
                <w:szCs w:val="1"/>
                <w:color w:val="auto"/>
              </w:rPr>
            </w:pPr>
          </w:p>
        </w:tc>
      </w:tr>
      <w:tr>
        <w:trPr>
          <w:trHeight w:val="149"/>
        </w:trPr>
        <w:tc>
          <w:tcPr>
            <w:tcW w:w="2320" w:type="dxa"/>
            <w:vAlign w:val="bottom"/>
          </w:tcPr>
          <w:p>
            <w:pPr>
              <w:spacing w:after="0" w:line="149" w:lineRule="exact"/>
              <w:rPr>
                <w:sz w:val="20"/>
                <w:szCs w:val="20"/>
                <w:color w:val="auto"/>
              </w:rPr>
            </w:pPr>
            <w:r>
              <w:rPr>
                <w:rFonts w:ascii="Arial" w:cs="Arial" w:eastAsia="Arial" w:hAnsi="Arial"/>
                <w:sz w:val="14"/>
                <w:szCs w:val="14"/>
                <w:color w:val="auto"/>
              </w:rPr>
              <w:t>President, Comcast Cable</w:t>
            </w:r>
          </w:p>
        </w:tc>
        <w:tc>
          <w:tcPr>
            <w:tcW w:w="2860" w:type="dxa"/>
            <w:vAlign w:val="bottom"/>
          </w:tcPr>
          <w:p>
            <w:pPr>
              <w:ind w:left="560"/>
              <w:spacing w:after="0" w:line="149" w:lineRule="exact"/>
              <w:rPr>
                <w:sz w:val="20"/>
                <w:szCs w:val="20"/>
                <w:color w:val="auto"/>
              </w:rPr>
            </w:pPr>
            <w:r>
              <w:rPr>
                <w:rFonts w:ascii="Arial" w:cs="Arial" w:eastAsia="Arial" w:hAnsi="Arial"/>
                <w:sz w:val="14"/>
                <w:szCs w:val="14"/>
                <w:color w:val="auto"/>
              </w:rPr>
              <w:t>Controller</w:t>
            </w:r>
          </w:p>
        </w:tc>
        <w:tc>
          <w:tcPr>
            <w:tcW w:w="2940" w:type="dxa"/>
            <w:vAlign w:val="bottom"/>
            <w:vMerge w:val="restart"/>
          </w:tcPr>
          <w:p>
            <w:pPr>
              <w:ind w:left="560"/>
              <w:spacing w:after="0"/>
              <w:rPr>
                <w:sz w:val="20"/>
                <w:szCs w:val="20"/>
                <w:color w:val="auto"/>
              </w:rPr>
            </w:pPr>
            <w:r>
              <w:rPr>
                <w:rFonts w:ascii="Arial" w:cs="Arial" w:eastAsia="Arial" w:hAnsi="Arial"/>
                <w:sz w:val="14"/>
                <w:szCs w:val="14"/>
                <w:b w:val="1"/>
                <w:bCs w:val="1"/>
                <w:color w:val="auto"/>
              </w:rPr>
              <w:t>Leonard J. Gatti</w:t>
            </w:r>
          </w:p>
        </w:tc>
        <w:tc>
          <w:tcPr>
            <w:tcW w:w="3300" w:type="dxa"/>
            <w:vAlign w:val="bottom"/>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320" w:type="dxa"/>
            <w:vAlign w:val="bottom"/>
            <w:vMerge w:val="restart"/>
          </w:tcPr>
          <w:p>
            <w:pPr>
              <w:spacing w:after="0"/>
              <w:rPr>
                <w:sz w:val="20"/>
                <w:szCs w:val="20"/>
                <w:color w:val="auto"/>
              </w:rPr>
            </w:pPr>
            <w:r>
              <w:rPr>
                <w:rFonts w:ascii="Arial" w:cs="Arial" w:eastAsia="Arial" w:hAnsi="Arial"/>
                <w:sz w:val="14"/>
                <w:szCs w:val="14"/>
                <w:b w:val="1"/>
                <w:bCs w:val="1"/>
                <w:color w:val="auto"/>
              </w:rPr>
              <w:t>David L. Cohen</w:t>
            </w:r>
          </w:p>
        </w:tc>
        <w:tc>
          <w:tcPr>
            <w:tcW w:w="2860" w:type="dxa"/>
            <w:vAlign w:val="bottom"/>
            <w:vMerge w:val="restart"/>
          </w:tcPr>
          <w:p>
            <w:pPr>
              <w:ind w:left="560"/>
              <w:spacing w:after="0"/>
              <w:rPr>
                <w:sz w:val="20"/>
                <w:szCs w:val="20"/>
                <w:color w:val="auto"/>
              </w:rPr>
            </w:pPr>
            <w:r>
              <w:rPr>
                <w:rFonts w:ascii="Arial" w:cs="Arial" w:eastAsia="Arial" w:hAnsi="Arial"/>
                <w:sz w:val="14"/>
                <w:szCs w:val="14"/>
                <w:b w:val="1"/>
                <w:bCs w:val="1"/>
                <w:color w:val="auto"/>
              </w:rPr>
              <w:t>C. Stephen Backstrom</w:t>
            </w:r>
          </w:p>
        </w:tc>
        <w:tc>
          <w:tcPr>
            <w:tcW w:w="2940" w:type="dxa"/>
            <w:vAlign w:val="bottom"/>
            <w:vMerge w:val="continue"/>
          </w:tcPr>
          <w:p>
            <w:pPr>
              <w:spacing w:after="0"/>
              <w:rPr>
                <w:sz w:val="12"/>
                <w:szCs w:val="12"/>
                <w:color w:val="auto"/>
              </w:rPr>
            </w:pPr>
          </w:p>
        </w:tc>
        <w:tc>
          <w:tcPr>
            <w:tcW w:w="3300" w:type="dxa"/>
            <w:vAlign w:val="bottom"/>
          </w:tcPr>
          <w:p>
            <w:pPr>
              <w:ind w:left="580"/>
              <w:spacing w:after="0" w:line="149" w:lineRule="exact"/>
              <w:rPr>
                <w:sz w:val="20"/>
                <w:szCs w:val="20"/>
                <w:color w:val="auto"/>
              </w:rPr>
            </w:pPr>
            <w:r>
              <w:rPr>
                <w:rFonts w:ascii="Arial" w:cs="Arial" w:eastAsia="Arial" w:hAnsi="Arial"/>
                <w:sz w:val="14"/>
                <w:szCs w:val="14"/>
                <w:color w:val="auto"/>
              </w:rPr>
              <w:t>Vice President</w:t>
            </w:r>
          </w:p>
        </w:tc>
        <w:tc>
          <w:tcPr>
            <w:tcW w:w="0" w:type="dxa"/>
            <w:vAlign w:val="bottom"/>
          </w:tcPr>
          <w:p>
            <w:pPr>
              <w:spacing w:after="0"/>
              <w:rPr>
                <w:sz w:val="1"/>
                <w:szCs w:val="1"/>
                <w:color w:val="auto"/>
              </w:rPr>
            </w:pPr>
          </w:p>
        </w:tc>
      </w:tr>
      <w:tr>
        <w:trPr>
          <w:trHeight w:val="149"/>
        </w:trPr>
        <w:tc>
          <w:tcPr>
            <w:tcW w:w="2320" w:type="dxa"/>
            <w:vAlign w:val="bottom"/>
            <w:vMerge w:val="continue"/>
          </w:tcPr>
          <w:p>
            <w:pPr>
              <w:spacing w:after="0"/>
              <w:rPr>
                <w:sz w:val="12"/>
                <w:szCs w:val="12"/>
                <w:color w:val="auto"/>
              </w:rPr>
            </w:pPr>
          </w:p>
        </w:tc>
        <w:tc>
          <w:tcPr>
            <w:tcW w:w="2860" w:type="dxa"/>
            <w:vAlign w:val="bottom"/>
            <w:vMerge w:val="continue"/>
          </w:tcPr>
          <w:p>
            <w:pPr>
              <w:spacing w:after="0"/>
              <w:rPr>
                <w:sz w:val="12"/>
                <w:szCs w:val="12"/>
                <w:color w:val="auto"/>
              </w:rPr>
            </w:pPr>
          </w:p>
        </w:tc>
        <w:tc>
          <w:tcPr>
            <w:tcW w:w="2940" w:type="dxa"/>
            <w:vAlign w:val="bottom"/>
          </w:tcPr>
          <w:p>
            <w:pPr>
              <w:ind w:left="560"/>
              <w:spacing w:after="0" w:line="149" w:lineRule="exact"/>
              <w:rPr>
                <w:sz w:val="20"/>
                <w:szCs w:val="20"/>
                <w:color w:val="auto"/>
              </w:rPr>
            </w:pPr>
            <w:r>
              <w:rPr>
                <w:rFonts w:ascii="Arial" w:cs="Arial" w:eastAsia="Arial" w:hAnsi="Arial"/>
                <w:sz w:val="14"/>
                <w:szCs w:val="14"/>
                <w:color w:val="auto"/>
              </w:rPr>
              <w:t>Vice President</w:t>
            </w:r>
          </w:p>
        </w:tc>
        <w:tc>
          <w:tcPr>
            <w:tcW w:w="3300" w:type="dxa"/>
            <w:vAlign w:val="bottom"/>
          </w:tcPr>
          <w:p>
            <w:pPr>
              <w:ind w:left="580"/>
              <w:spacing w:after="0" w:line="149" w:lineRule="exact"/>
              <w:rPr>
                <w:sz w:val="20"/>
                <w:szCs w:val="20"/>
                <w:color w:val="auto"/>
              </w:rPr>
            </w:pPr>
            <w:r>
              <w:rPr>
                <w:rFonts w:ascii="Arial" w:cs="Arial" w:eastAsia="Arial" w:hAnsi="Arial"/>
                <w:sz w:val="14"/>
                <w:szCs w:val="14"/>
                <w:color w:val="auto"/>
              </w:rPr>
              <w:t>External Affairs and</w:t>
            </w:r>
          </w:p>
        </w:tc>
        <w:tc>
          <w:tcPr>
            <w:tcW w:w="0" w:type="dxa"/>
            <w:vAlign w:val="bottom"/>
          </w:tcPr>
          <w:p>
            <w:pPr>
              <w:spacing w:after="0"/>
              <w:rPr>
                <w:sz w:val="1"/>
                <w:szCs w:val="1"/>
                <w:color w:val="auto"/>
              </w:rPr>
            </w:pPr>
          </w:p>
        </w:tc>
      </w:tr>
      <w:tr>
        <w:trPr>
          <w:trHeight w:val="149"/>
        </w:trPr>
        <w:tc>
          <w:tcPr>
            <w:tcW w:w="2320" w:type="dxa"/>
            <w:vAlign w:val="bottom"/>
          </w:tcPr>
          <w:p>
            <w:pPr>
              <w:spacing w:after="0" w:line="149" w:lineRule="exact"/>
              <w:rPr>
                <w:sz w:val="20"/>
                <w:szCs w:val="20"/>
                <w:color w:val="auto"/>
              </w:rPr>
            </w:pPr>
            <w:r>
              <w:rPr>
                <w:rFonts w:ascii="Arial" w:cs="Arial" w:eastAsia="Arial" w:hAnsi="Arial"/>
                <w:sz w:val="14"/>
                <w:szCs w:val="14"/>
                <w:color w:val="auto"/>
              </w:rPr>
              <w:t>Executive Vice President</w:t>
            </w:r>
          </w:p>
        </w:tc>
        <w:tc>
          <w:tcPr>
            <w:tcW w:w="2860" w:type="dxa"/>
            <w:vAlign w:val="bottom"/>
          </w:tcPr>
          <w:p>
            <w:pPr>
              <w:ind w:left="560"/>
              <w:spacing w:after="0" w:line="149" w:lineRule="exact"/>
              <w:rPr>
                <w:sz w:val="20"/>
                <w:szCs w:val="20"/>
                <w:color w:val="auto"/>
              </w:rPr>
            </w:pPr>
            <w:r>
              <w:rPr>
                <w:rFonts w:ascii="Arial" w:cs="Arial" w:eastAsia="Arial" w:hAnsi="Arial"/>
                <w:sz w:val="14"/>
                <w:szCs w:val="14"/>
                <w:color w:val="auto"/>
              </w:rPr>
              <w:t>Vice President</w:t>
            </w:r>
          </w:p>
        </w:tc>
        <w:tc>
          <w:tcPr>
            <w:tcW w:w="2940" w:type="dxa"/>
            <w:vAlign w:val="bottom"/>
          </w:tcPr>
          <w:p>
            <w:pPr>
              <w:ind w:left="560"/>
              <w:spacing w:after="0" w:line="149" w:lineRule="exact"/>
              <w:rPr>
                <w:sz w:val="20"/>
                <w:szCs w:val="20"/>
                <w:color w:val="auto"/>
              </w:rPr>
            </w:pPr>
            <w:r>
              <w:rPr>
                <w:rFonts w:ascii="Arial" w:cs="Arial" w:eastAsia="Arial" w:hAnsi="Arial"/>
                <w:sz w:val="14"/>
                <w:szCs w:val="14"/>
                <w:color w:val="auto"/>
              </w:rPr>
              <w:t>Financial Reporting</w:t>
            </w:r>
          </w:p>
        </w:tc>
        <w:tc>
          <w:tcPr>
            <w:tcW w:w="3300" w:type="dxa"/>
            <w:vAlign w:val="bottom"/>
          </w:tcPr>
          <w:p>
            <w:pPr>
              <w:ind w:left="580"/>
              <w:spacing w:after="0" w:line="149" w:lineRule="exact"/>
              <w:rPr>
                <w:sz w:val="20"/>
                <w:szCs w:val="20"/>
                <w:color w:val="auto"/>
              </w:rPr>
            </w:pPr>
            <w:r>
              <w:rPr>
                <w:rFonts w:ascii="Arial" w:cs="Arial" w:eastAsia="Arial" w:hAnsi="Arial"/>
                <w:sz w:val="14"/>
                <w:szCs w:val="14"/>
                <w:color w:val="auto"/>
              </w:rPr>
              <w:t>Public Policy Counsel</w:t>
            </w:r>
          </w:p>
        </w:tc>
        <w:tc>
          <w:tcPr>
            <w:tcW w:w="0" w:type="dxa"/>
            <w:vAlign w:val="bottom"/>
          </w:tcPr>
          <w:p>
            <w:pPr>
              <w:spacing w:after="0"/>
              <w:rPr>
                <w:sz w:val="1"/>
                <w:szCs w:val="1"/>
                <w:color w:val="auto"/>
              </w:rPr>
            </w:pPr>
          </w:p>
        </w:tc>
      </w:tr>
      <w:tr>
        <w:trPr>
          <w:trHeight w:val="162"/>
        </w:trPr>
        <w:tc>
          <w:tcPr>
            <w:tcW w:w="2320" w:type="dxa"/>
            <w:vAlign w:val="bottom"/>
            <w:vMerge w:val="restart"/>
          </w:tcPr>
          <w:p>
            <w:pPr>
              <w:spacing w:after="0"/>
              <w:rPr>
                <w:sz w:val="20"/>
                <w:szCs w:val="20"/>
                <w:color w:val="auto"/>
              </w:rPr>
            </w:pPr>
            <w:r>
              <w:rPr>
                <w:rFonts w:ascii="Arial" w:cs="Arial" w:eastAsia="Arial" w:hAnsi="Arial"/>
                <w:sz w:val="14"/>
                <w:szCs w:val="14"/>
                <w:b w:val="1"/>
                <w:bCs w:val="1"/>
                <w:color w:val="auto"/>
              </w:rPr>
              <w:t>Lawrence S. Smith</w:t>
            </w:r>
          </w:p>
        </w:tc>
        <w:tc>
          <w:tcPr>
            <w:tcW w:w="2860" w:type="dxa"/>
            <w:vAlign w:val="bottom"/>
          </w:tcPr>
          <w:p>
            <w:pPr>
              <w:ind w:left="560"/>
              <w:spacing w:after="0"/>
              <w:rPr>
                <w:sz w:val="20"/>
                <w:szCs w:val="20"/>
                <w:color w:val="auto"/>
              </w:rPr>
            </w:pPr>
            <w:r>
              <w:rPr>
                <w:rFonts w:ascii="Arial" w:cs="Arial" w:eastAsia="Arial" w:hAnsi="Arial"/>
                <w:sz w:val="14"/>
                <w:szCs w:val="14"/>
                <w:color w:val="auto"/>
              </w:rPr>
              <w:t>Taxation</w:t>
            </w:r>
          </w:p>
        </w:tc>
        <w:tc>
          <w:tcPr>
            <w:tcW w:w="2940" w:type="dxa"/>
            <w:vAlign w:val="bottom"/>
            <w:vMerge w:val="restart"/>
          </w:tcPr>
          <w:p>
            <w:pPr>
              <w:ind w:left="560"/>
              <w:spacing w:after="0"/>
              <w:rPr>
                <w:sz w:val="20"/>
                <w:szCs w:val="20"/>
                <w:color w:val="auto"/>
              </w:rPr>
            </w:pPr>
            <w:r>
              <w:rPr>
                <w:rFonts w:ascii="Arial" w:cs="Arial" w:eastAsia="Arial" w:hAnsi="Arial"/>
                <w:sz w:val="14"/>
                <w:szCs w:val="14"/>
                <w:b w:val="1"/>
                <w:bCs w:val="1"/>
                <w:color w:val="auto"/>
              </w:rPr>
              <w:t>Gregg M. Goldstein</w:t>
            </w:r>
          </w:p>
        </w:tc>
        <w:tc>
          <w:tcPr>
            <w:tcW w:w="33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35"/>
        </w:trPr>
        <w:tc>
          <w:tcPr>
            <w:tcW w:w="2320" w:type="dxa"/>
            <w:vAlign w:val="bottom"/>
            <w:vMerge w:val="continue"/>
          </w:tcPr>
          <w:p>
            <w:pPr>
              <w:spacing w:after="0"/>
              <w:rPr>
                <w:sz w:val="11"/>
                <w:szCs w:val="11"/>
                <w:color w:val="auto"/>
              </w:rPr>
            </w:pPr>
          </w:p>
        </w:tc>
        <w:tc>
          <w:tcPr>
            <w:tcW w:w="2860" w:type="dxa"/>
            <w:vAlign w:val="bottom"/>
            <w:vMerge w:val="restart"/>
          </w:tcPr>
          <w:p>
            <w:pPr>
              <w:ind w:left="560"/>
              <w:spacing w:after="0"/>
              <w:rPr>
                <w:sz w:val="20"/>
                <w:szCs w:val="20"/>
                <w:color w:val="auto"/>
              </w:rPr>
            </w:pPr>
            <w:r>
              <w:rPr>
                <w:rFonts w:ascii="Arial" w:cs="Arial" w:eastAsia="Arial" w:hAnsi="Arial"/>
                <w:sz w:val="14"/>
                <w:szCs w:val="14"/>
                <w:b w:val="1"/>
                <w:bCs w:val="1"/>
                <w:color w:val="auto"/>
              </w:rPr>
              <w:t>Payne D. Brown</w:t>
            </w:r>
          </w:p>
        </w:tc>
        <w:tc>
          <w:tcPr>
            <w:tcW w:w="2940" w:type="dxa"/>
            <w:vAlign w:val="bottom"/>
            <w:vMerge w:val="continue"/>
          </w:tcPr>
          <w:p>
            <w:pPr>
              <w:spacing w:after="0"/>
              <w:rPr>
                <w:sz w:val="11"/>
                <w:szCs w:val="11"/>
                <w:color w:val="auto"/>
              </w:rPr>
            </w:pPr>
          </w:p>
        </w:tc>
        <w:tc>
          <w:tcPr>
            <w:tcW w:w="33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49"/>
        </w:trPr>
        <w:tc>
          <w:tcPr>
            <w:tcW w:w="2320" w:type="dxa"/>
            <w:vAlign w:val="bottom"/>
          </w:tcPr>
          <w:p>
            <w:pPr>
              <w:spacing w:after="0" w:line="149" w:lineRule="exact"/>
              <w:rPr>
                <w:sz w:val="20"/>
                <w:szCs w:val="20"/>
                <w:color w:val="auto"/>
              </w:rPr>
            </w:pPr>
            <w:r>
              <w:rPr>
                <w:rFonts w:ascii="Arial" w:cs="Arial" w:eastAsia="Arial" w:hAnsi="Arial"/>
                <w:sz w:val="14"/>
                <w:szCs w:val="14"/>
                <w:color w:val="auto"/>
              </w:rPr>
              <w:t>Executive Vice President and</w:t>
            </w:r>
          </w:p>
        </w:tc>
        <w:tc>
          <w:tcPr>
            <w:tcW w:w="2860" w:type="dxa"/>
            <w:vAlign w:val="bottom"/>
            <w:vMerge w:val="continue"/>
          </w:tcPr>
          <w:p>
            <w:pPr>
              <w:spacing w:after="0"/>
              <w:rPr>
                <w:sz w:val="12"/>
                <w:szCs w:val="12"/>
                <w:color w:val="auto"/>
              </w:rPr>
            </w:pPr>
          </w:p>
        </w:tc>
        <w:tc>
          <w:tcPr>
            <w:tcW w:w="2940" w:type="dxa"/>
            <w:vAlign w:val="bottom"/>
          </w:tcPr>
          <w:p>
            <w:pPr>
              <w:ind w:left="560"/>
              <w:spacing w:after="0" w:line="149" w:lineRule="exact"/>
              <w:rPr>
                <w:sz w:val="20"/>
                <w:szCs w:val="20"/>
                <w:color w:val="auto"/>
              </w:rPr>
            </w:pPr>
            <w:r>
              <w:rPr>
                <w:rFonts w:ascii="Arial" w:cs="Arial" w:eastAsia="Arial" w:hAnsi="Arial"/>
                <w:sz w:val="14"/>
                <w:szCs w:val="14"/>
                <w:color w:val="auto"/>
              </w:rPr>
              <w:t>Vice President</w:t>
            </w:r>
          </w:p>
        </w:tc>
        <w:tc>
          <w:tcPr>
            <w:tcW w:w="33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320" w:type="dxa"/>
            <w:vAlign w:val="bottom"/>
          </w:tcPr>
          <w:p>
            <w:pPr>
              <w:spacing w:after="0" w:line="149" w:lineRule="exact"/>
              <w:rPr>
                <w:sz w:val="20"/>
                <w:szCs w:val="20"/>
                <w:color w:val="auto"/>
              </w:rPr>
            </w:pPr>
            <w:r>
              <w:rPr>
                <w:rFonts w:ascii="Arial" w:cs="Arial" w:eastAsia="Arial" w:hAnsi="Arial"/>
                <w:sz w:val="14"/>
                <w:szCs w:val="14"/>
                <w:color w:val="auto"/>
              </w:rPr>
              <w:t>Co-Chief Financial Officer</w:t>
            </w:r>
          </w:p>
        </w:tc>
        <w:tc>
          <w:tcPr>
            <w:tcW w:w="2860" w:type="dxa"/>
            <w:vAlign w:val="bottom"/>
          </w:tcPr>
          <w:p>
            <w:pPr>
              <w:ind w:left="560"/>
              <w:spacing w:after="0" w:line="149" w:lineRule="exact"/>
              <w:rPr>
                <w:sz w:val="20"/>
                <w:szCs w:val="20"/>
                <w:color w:val="auto"/>
              </w:rPr>
            </w:pPr>
            <w:r>
              <w:rPr>
                <w:rFonts w:ascii="Arial" w:cs="Arial" w:eastAsia="Arial" w:hAnsi="Arial"/>
                <w:sz w:val="14"/>
                <w:szCs w:val="14"/>
                <w:color w:val="auto"/>
              </w:rPr>
              <w:t>Vice President</w:t>
            </w:r>
          </w:p>
        </w:tc>
        <w:tc>
          <w:tcPr>
            <w:tcW w:w="2940" w:type="dxa"/>
            <w:vAlign w:val="bottom"/>
          </w:tcPr>
          <w:p>
            <w:pPr>
              <w:ind w:left="560"/>
              <w:spacing w:after="0" w:line="149" w:lineRule="exact"/>
              <w:rPr>
                <w:sz w:val="20"/>
                <w:szCs w:val="20"/>
                <w:color w:val="auto"/>
              </w:rPr>
            </w:pPr>
            <w:r>
              <w:rPr>
                <w:rFonts w:ascii="Arial" w:cs="Arial" w:eastAsia="Arial" w:hAnsi="Arial"/>
                <w:sz w:val="14"/>
                <w:szCs w:val="14"/>
                <w:color w:val="auto"/>
              </w:rPr>
              <w:t>Corporate Development</w:t>
            </w:r>
          </w:p>
        </w:tc>
        <w:tc>
          <w:tcPr>
            <w:tcW w:w="33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62"/>
        </w:trPr>
        <w:tc>
          <w:tcPr>
            <w:tcW w:w="2320" w:type="dxa"/>
            <w:vAlign w:val="bottom"/>
            <w:vMerge w:val="restart"/>
          </w:tcPr>
          <w:p>
            <w:pPr>
              <w:spacing w:after="0"/>
              <w:rPr>
                <w:sz w:val="20"/>
                <w:szCs w:val="20"/>
                <w:color w:val="auto"/>
              </w:rPr>
            </w:pPr>
            <w:r>
              <w:rPr>
                <w:rFonts w:ascii="Arial" w:cs="Arial" w:eastAsia="Arial" w:hAnsi="Arial"/>
                <w:sz w:val="14"/>
                <w:szCs w:val="14"/>
                <w:b w:val="1"/>
                <w:bCs w:val="1"/>
                <w:color w:val="auto"/>
              </w:rPr>
              <w:t>Amy L. Banse</w:t>
            </w:r>
          </w:p>
        </w:tc>
        <w:tc>
          <w:tcPr>
            <w:tcW w:w="2860" w:type="dxa"/>
            <w:vAlign w:val="bottom"/>
          </w:tcPr>
          <w:p>
            <w:pPr>
              <w:ind w:left="560"/>
              <w:spacing w:after="0"/>
              <w:rPr>
                <w:sz w:val="20"/>
                <w:szCs w:val="20"/>
                <w:color w:val="auto"/>
              </w:rPr>
            </w:pPr>
            <w:r>
              <w:rPr>
                <w:rFonts w:ascii="Arial" w:cs="Arial" w:eastAsia="Arial" w:hAnsi="Arial"/>
                <w:sz w:val="14"/>
                <w:szCs w:val="14"/>
                <w:color w:val="auto"/>
              </w:rPr>
              <w:t>Strategic Initiatives</w:t>
            </w:r>
          </w:p>
        </w:tc>
        <w:tc>
          <w:tcPr>
            <w:tcW w:w="2940" w:type="dxa"/>
            <w:vAlign w:val="bottom"/>
            <w:vMerge w:val="restart"/>
          </w:tcPr>
          <w:p>
            <w:pPr>
              <w:ind w:left="560"/>
              <w:spacing w:after="0"/>
              <w:rPr>
                <w:sz w:val="20"/>
                <w:szCs w:val="20"/>
                <w:color w:val="auto"/>
              </w:rPr>
            </w:pPr>
            <w:r>
              <w:rPr>
                <w:rFonts w:ascii="Arial" w:cs="Arial" w:eastAsia="Arial" w:hAnsi="Arial"/>
                <w:sz w:val="14"/>
                <w:szCs w:val="14"/>
                <w:b w:val="1"/>
                <w:bCs w:val="1"/>
                <w:color w:val="auto"/>
              </w:rPr>
              <w:t>Kerry Knott</w:t>
            </w:r>
          </w:p>
        </w:tc>
        <w:tc>
          <w:tcPr>
            <w:tcW w:w="33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35"/>
        </w:trPr>
        <w:tc>
          <w:tcPr>
            <w:tcW w:w="2320" w:type="dxa"/>
            <w:vAlign w:val="bottom"/>
            <w:vMerge w:val="continue"/>
          </w:tcPr>
          <w:p>
            <w:pPr>
              <w:spacing w:after="0"/>
              <w:rPr>
                <w:sz w:val="11"/>
                <w:szCs w:val="11"/>
                <w:color w:val="auto"/>
              </w:rPr>
            </w:pPr>
          </w:p>
        </w:tc>
        <w:tc>
          <w:tcPr>
            <w:tcW w:w="2860" w:type="dxa"/>
            <w:vAlign w:val="bottom"/>
            <w:vMerge w:val="restart"/>
          </w:tcPr>
          <w:p>
            <w:pPr>
              <w:ind w:left="560"/>
              <w:spacing w:after="0"/>
              <w:rPr>
                <w:sz w:val="20"/>
                <w:szCs w:val="20"/>
                <w:color w:val="auto"/>
              </w:rPr>
            </w:pPr>
            <w:r>
              <w:rPr>
                <w:rFonts w:ascii="Arial" w:cs="Arial" w:eastAsia="Arial" w:hAnsi="Arial"/>
                <w:sz w:val="14"/>
                <w:szCs w:val="14"/>
                <w:b w:val="1"/>
                <w:bCs w:val="1"/>
                <w:color w:val="auto"/>
              </w:rPr>
              <w:t>Karen Dougherty Buchholz</w:t>
            </w:r>
          </w:p>
        </w:tc>
        <w:tc>
          <w:tcPr>
            <w:tcW w:w="2940" w:type="dxa"/>
            <w:vAlign w:val="bottom"/>
            <w:vMerge w:val="continue"/>
          </w:tcPr>
          <w:p>
            <w:pPr>
              <w:spacing w:after="0"/>
              <w:rPr>
                <w:sz w:val="11"/>
                <w:szCs w:val="11"/>
                <w:color w:val="auto"/>
              </w:rPr>
            </w:pPr>
          </w:p>
        </w:tc>
        <w:tc>
          <w:tcPr>
            <w:tcW w:w="33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49"/>
        </w:trPr>
        <w:tc>
          <w:tcPr>
            <w:tcW w:w="2320" w:type="dxa"/>
            <w:vAlign w:val="bottom"/>
          </w:tcPr>
          <w:p>
            <w:pPr>
              <w:spacing w:after="0" w:line="149" w:lineRule="exact"/>
              <w:rPr>
                <w:sz w:val="20"/>
                <w:szCs w:val="20"/>
                <w:color w:val="auto"/>
              </w:rPr>
            </w:pPr>
            <w:r>
              <w:rPr>
                <w:rFonts w:ascii="Arial" w:cs="Arial" w:eastAsia="Arial" w:hAnsi="Arial"/>
                <w:sz w:val="14"/>
                <w:szCs w:val="14"/>
                <w:color w:val="auto"/>
              </w:rPr>
              <w:t>Senior Vice President</w:t>
            </w:r>
          </w:p>
        </w:tc>
        <w:tc>
          <w:tcPr>
            <w:tcW w:w="2860" w:type="dxa"/>
            <w:vAlign w:val="bottom"/>
            <w:vMerge w:val="continue"/>
          </w:tcPr>
          <w:p>
            <w:pPr>
              <w:spacing w:after="0"/>
              <w:rPr>
                <w:sz w:val="12"/>
                <w:szCs w:val="12"/>
                <w:color w:val="auto"/>
              </w:rPr>
            </w:pPr>
          </w:p>
        </w:tc>
        <w:tc>
          <w:tcPr>
            <w:tcW w:w="2940" w:type="dxa"/>
            <w:vAlign w:val="bottom"/>
          </w:tcPr>
          <w:p>
            <w:pPr>
              <w:ind w:left="560"/>
              <w:spacing w:after="0" w:line="149" w:lineRule="exact"/>
              <w:rPr>
                <w:sz w:val="20"/>
                <w:szCs w:val="20"/>
                <w:color w:val="auto"/>
              </w:rPr>
            </w:pPr>
            <w:r>
              <w:rPr>
                <w:rFonts w:ascii="Arial" w:cs="Arial" w:eastAsia="Arial" w:hAnsi="Arial"/>
                <w:sz w:val="14"/>
                <w:szCs w:val="14"/>
                <w:color w:val="auto"/>
              </w:rPr>
              <w:t>Vice President</w:t>
            </w:r>
          </w:p>
        </w:tc>
        <w:tc>
          <w:tcPr>
            <w:tcW w:w="33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320" w:type="dxa"/>
            <w:vAlign w:val="bottom"/>
          </w:tcPr>
          <w:p>
            <w:pPr>
              <w:spacing w:after="0" w:line="149" w:lineRule="exact"/>
              <w:rPr>
                <w:sz w:val="20"/>
                <w:szCs w:val="20"/>
                <w:color w:val="auto"/>
              </w:rPr>
            </w:pPr>
            <w:r>
              <w:rPr>
                <w:rFonts w:ascii="Arial" w:cs="Arial" w:eastAsia="Arial" w:hAnsi="Arial"/>
                <w:sz w:val="14"/>
                <w:szCs w:val="14"/>
                <w:color w:val="auto"/>
              </w:rPr>
              <w:t>Interactive Media</w:t>
            </w:r>
          </w:p>
        </w:tc>
        <w:tc>
          <w:tcPr>
            <w:tcW w:w="2860" w:type="dxa"/>
            <w:vAlign w:val="bottom"/>
          </w:tcPr>
          <w:p>
            <w:pPr>
              <w:ind w:left="560"/>
              <w:spacing w:after="0" w:line="149" w:lineRule="exact"/>
              <w:rPr>
                <w:sz w:val="20"/>
                <w:szCs w:val="20"/>
                <w:color w:val="auto"/>
              </w:rPr>
            </w:pPr>
            <w:r>
              <w:rPr>
                <w:rFonts w:ascii="Arial" w:cs="Arial" w:eastAsia="Arial" w:hAnsi="Arial"/>
                <w:sz w:val="14"/>
                <w:szCs w:val="14"/>
                <w:color w:val="auto"/>
              </w:rPr>
              <w:t>Vice President</w:t>
            </w:r>
          </w:p>
        </w:tc>
        <w:tc>
          <w:tcPr>
            <w:tcW w:w="2940" w:type="dxa"/>
            <w:vAlign w:val="bottom"/>
          </w:tcPr>
          <w:p>
            <w:pPr>
              <w:ind w:left="560"/>
              <w:spacing w:after="0" w:line="149" w:lineRule="exact"/>
              <w:rPr>
                <w:sz w:val="20"/>
                <w:szCs w:val="20"/>
                <w:color w:val="auto"/>
              </w:rPr>
            </w:pPr>
            <w:r>
              <w:rPr>
                <w:rFonts w:ascii="Arial" w:cs="Arial" w:eastAsia="Arial" w:hAnsi="Arial"/>
                <w:sz w:val="14"/>
                <w:szCs w:val="14"/>
                <w:color w:val="auto"/>
              </w:rPr>
              <w:t>Government Affairs</w:t>
            </w:r>
          </w:p>
        </w:tc>
        <w:tc>
          <w:tcPr>
            <w:tcW w:w="33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320" w:type="dxa"/>
            <w:vAlign w:val="bottom"/>
          </w:tcPr>
          <w:p>
            <w:pPr>
              <w:spacing w:after="0" w:line="149" w:lineRule="exact"/>
              <w:rPr>
                <w:sz w:val="20"/>
                <w:szCs w:val="20"/>
                <w:color w:val="auto"/>
              </w:rPr>
            </w:pPr>
            <w:r>
              <w:rPr>
                <w:rFonts w:ascii="Arial" w:cs="Arial" w:eastAsia="Arial" w:hAnsi="Arial"/>
                <w:sz w:val="14"/>
                <w:szCs w:val="14"/>
                <w:color w:val="auto"/>
              </w:rPr>
              <w:t>President</w:t>
            </w:r>
          </w:p>
        </w:tc>
        <w:tc>
          <w:tcPr>
            <w:tcW w:w="2860" w:type="dxa"/>
            <w:vAlign w:val="bottom"/>
          </w:tcPr>
          <w:p>
            <w:pPr>
              <w:ind w:left="560"/>
              <w:spacing w:after="0" w:line="149" w:lineRule="exact"/>
              <w:rPr>
                <w:sz w:val="20"/>
                <w:szCs w:val="20"/>
                <w:color w:val="auto"/>
              </w:rPr>
            </w:pPr>
            <w:r>
              <w:rPr>
                <w:rFonts w:ascii="Arial" w:cs="Arial" w:eastAsia="Arial" w:hAnsi="Arial"/>
                <w:sz w:val="14"/>
                <w:szCs w:val="14"/>
                <w:color w:val="auto"/>
              </w:rPr>
              <w:t>Administration</w:t>
            </w:r>
          </w:p>
        </w:tc>
        <w:tc>
          <w:tcPr>
            <w:tcW w:w="2940" w:type="dxa"/>
            <w:vAlign w:val="bottom"/>
          </w:tcPr>
          <w:p>
            <w:pPr>
              <w:spacing w:after="0"/>
              <w:rPr>
                <w:sz w:val="12"/>
                <w:szCs w:val="12"/>
                <w:color w:val="auto"/>
              </w:rPr>
            </w:pPr>
          </w:p>
        </w:tc>
        <w:tc>
          <w:tcPr>
            <w:tcW w:w="33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62"/>
        </w:trPr>
        <w:tc>
          <w:tcPr>
            <w:tcW w:w="2320" w:type="dxa"/>
            <w:vAlign w:val="bottom"/>
          </w:tcPr>
          <w:p>
            <w:pPr>
              <w:spacing w:after="0"/>
              <w:rPr>
                <w:sz w:val="20"/>
                <w:szCs w:val="20"/>
                <w:color w:val="auto"/>
              </w:rPr>
            </w:pPr>
            <w:r>
              <w:rPr>
                <w:rFonts w:ascii="Arial" w:cs="Arial" w:eastAsia="Arial" w:hAnsi="Arial"/>
                <w:sz w:val="14"/>
                <w:szCs w:val="14"/>
                <w:color w:val="auto"/>
              </w:rPr>
              <w:t>Comcast Interactive Media</w:t>
            </w:r>
          </w:p>
        </w:tc>
        <w:tc>
          <w:tcPr>
            <w:tcW w:w="2860" w:type="dxa"/>
            <w:vAlign w:val="bottom"/>
          </w:tcPr>
          <w:p>
            <w:pPr>
              <w:spacing w:after="0"/>
              <w:rPr>
                <w:sz w:val="14"/>
                <w:szCs w:val="14"/>
                <w:color w:val="auto"/>
              </w:rPr>
            </w:pPr>
          </w:p>
        </w:tc>
        <w:tc>
          <w:tcPr>
            <w:tcW w:w="2940" w:type="dxa"/>
            <w:vAlign w:val="bottom"/>
          </w:tcPr>
          <w:p>
            <w:pPr>
              <w:spacing w:after="0"/>
              <w:rPr>
                <w:sz w:val="14"/>
                <w:szCs w:val="14"/>
                <w:color w:val="auto"/>
              </w:rPr>
            </w:pPr>
          </w:p>
        </w:tc>
        <w:tc>
          <w:tcPr>
            <w:tcW w:w="33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97"/>
        </w:trPr>
        <w:tc>
          <w:tcPr>
            <w:tcW w:w="2320" w:type="dxa"/>
            <w:vAlign w:val="bottom"/>
          </w:tcPr>
          <w:p>
            <w:pPr>
              <w:spacing w:after="0"/>
              <w:rPr>
                <w:sz w:val="24"/>
                <w:szCs w:val="24"/>
                <w:color w:val="auto"/>
              </w:rPr>
            </w:pPr>
          </w:p>
        </w:tc>
        <w:tc>
          <w:tcPr>
            <w:tcW w:w="2860" w:type="dxa"/>
            <w:vAlign w:val="bottom"/>
          </w:tcPr>
          <w:p>
            <w:pPr>
              <w:spacing w:after="0"/>
              <w:rPr>
                <w:sz w:val="24"/>
                <w:szCs w:val="24"/>
                <w:color w:val="auto"/>
              </w:rPr>
            </w:pPr>
          </w:p>
        </w:tc>
        <w:tc>
          <w:tcPr>
            <w:tcW w:w="2940" w:type="dxa"/>
            <w:vAlign w:val="bottom"/>
          </w:tcPr>
          <w:p>
            <w:pPr>
              <w:ind w:left="500"/>
              <w:spacing w:after="0"/>
              <w:rPr>
                <w:sz w:val="20"/>
                <w:szCs w:val="20"/>
                <w:color w:val="auto"/>
              </w:rPr>
            </w:pPr>
            <w:r>
              <w:rPr>
                <w:rFonts w:ascii="Arial" w:cs="Arial" w:eastAsia="Arial" w:hAnsi="Arial"/>
                <w:sz w:val="14"/>
                <w:szCs w:val="14"/>
                <w:b w:val="1"/>
                <w:bCs w:val="1"/>
                <w:color w:val="auto"/>
              </w:rPr>
              <w:t>79</w:t>
            </w:r>
          </w:p>
        </w:tc>
        <w:tc>
          <w:tcPr>
            <w:tcW w:w="3300" w:type="dxa"/>
            <w:vAlign w:val="bottom"/>
          </w:tcPr>
          <w:p>
            <w:pPr>
              <w:ind w:left="1520"/>
              <w:spacing w:after="0"/>
              <w:rPr>
                <w:sz w:val="20"/>
                <w:szCs w:val="20"/>
                <w:color w:val="auto"/>
              </w:rPr>
            </w:pPr>
            <w:r>
              <w:rPr>
                <w:rFonts w:ascii="Arial" w:cs="Arial" w:eastAsia="Arial" w:hAnsi="Arial"/>
                <w:sz w:val="14"/>
                <w:szCs w:val="14"/>
                <w:color w:val="auto"/>
                <w:w w:val="95"/>
              </w:rPr>
              <w:t>Comcast 2006 Annual Report</w:t>
            </w:r>
          </w:p>
        </w:tc>
        <w:tc>
          <w:tcPr>
            <w:tcW w:w="0" w:type="dxa"/>
            <w:vAlign w:val="bottom"/>
          </w:tcPr>
          <w:p>
            <w:pPr>
              <w:spacing w:after="0"/>
              <w:rPr>
                <w:sz w:val="1"/>
                <w:szCs w:val="1"/>
                <w:color w:val="auto"/>
              </w:rPr>
            </w:pPr>
          </w:p>
        </w:tc>
      </w:tr>
    </w:tbl>
    <w:p>
      <w:pPr>
        <w:sectPr>
          <w:pgSz w:w="11900" w:h="16838" w:orient="portrait"/>
          <w:cols w:equalWidth="0" w:num="1">
            <w:col w:w="11420"/>
          </w:cols>
          <w:pgMar w:left="240" w:top="459" w:right="239" w:bottom="1440" w:gutter="0" w:footer="0" w:header="0"/>
        </w:sectPr>
      </w:pPr>
    </w:p>
    <w:bookmarkStart w:id="156" w:name="page157"/>
    <w:bookmarkEnd w:id="15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231" name="Picture 2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1"/>
                    <pic:cNvPicPr>
                      <a:picLocks noChangeAspect="1" noChangeArrowheads="1"/>
                    </pic:cNvPicPr>
                  </pic:nvPicPr>
                  <pic:blipFill>
                    <a:blip r:embed="rId238">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20" w:lineRule="exact"/>
        <w:rPr>
          <w:sz w:val="20"/>
          <w:szCs w:val="20"/>
          <w:color w:val="auto"/>
        </w:rPr>
      </w:pPr>
    </w:p>
    <w:p>
      <w:pPr>
        <w:spacing w:after="0"/>
        <w:rPr>
          <w:sz w:val="20"/>
          <w:szCs w:val="20"/>
          <w:color w:val="auto"/>
        </w:rPr>
      </w:pPr>
      <w:r>
        <w:rPr>
          <w:rFonts w:ascii="Arial" w:cs="Arial" w:eastAsia="Arial" w:hAnsi="Arial"/>
          <w:sz w:val="24"/>
          <w:szCs w:val="24"/>
          <w:color w:val="auto"/>
        </w:rPr>
        <w:t>Division Executives</w:t>
      </w:r>
    </w:p>
    <w:p>
      <w:pPr>
        <w:spacing w:after="0" w:line="143" w:lineRule="exact"/>
        <w:rPr>
          <w:sz w:val="20"/>
          <w:szCs w:val="20"/>
          <w:color w:val="auto"/>
        </w:rPr>
      </w:pPr>
    </w:p>
    <w:p>
      <w:pPr>
        <w:spacing w:after="0"/>
        <w:rPr>
          <w:sz w:val="20"/>
          <w:szCs w:val="20"/>
          <w:color w:val="auto"/>
        </w:rPr>
      </w:pPr>
      <w:r>
        <w:rPr>
          <w:rFonts w:ascii="Arial" w:cs="Arial" w:eastAsia="Arial" w:hAnsi="Arial"/>
          <w:sz w:val="14"/>
          <w:szCs w:val="14"/>
          <w:b w:val="1"/>
          <w:bCs w:val="1"/>
          <w:color w:val="35BF85"/>
        </w:rPr>
        <w:t>Comcast Cable</w:t>
      </w:r>
    </w:p>
    <w:p>
      <w:pPr>
        <w:spacing w:after="0" w:line="204" w:lineRule="exact"/>
        <w:rPr>
          <w:sz w:val="20"/>
          <w:szCs w:val="20"/>
          <w:color w:val="auto"/>
        </w:rPr>
      </w:pPr>
    </w:p>
    <w:tbl>
      <w:tblPr>
        <w:tblLayout w:type="fixed"/>
        <w:tblInd w:w="0" w:type="dxa"/>
        <w:tblCellMar>
          <w:top w:w="0" w:type="dxa"/>
          <w:left w:w="0" w:type="dxa"/>
          <w:bottom w:w="0" w:type="dxa"/>
          <w:right w:w="0" w:type="dxa"/>
        </w:tblCellMar>
      </w:tblPr>
      <w:tr>
        <w:trPr>
          <w:trHeight w:val="165"/>
        </w:trPr>
        <w:tc>
          <w:tcPr>
            <w:tcW w:w="2700" w:type="dxa"/>
            <w:vAlign w:val="bottom"/>
          </w:tcPr>
          <w:p>
            <w:pPr>
              <w:spacing w:after="0"/>
              <w:rPr>
                <w:sz w:val="20"/>
                <w:szCs w:val="20"/>
                <w:color w:val="auto"/>
              </w:rPr>
            </w:pPr>
            <w:r>
              <w:rPr>
                <w:rFonts w:ascii="Arial" w:cs="Arial" w:eastAsia="Arial" w:hAnsi="Arial"/>
                <w:sz w:val="14"/>
                <w:szCs w:val="14"/>
                <w:b w:val="1"/>
                <w:bCs w:val="1"/>
                <w:color w:val="auto"/>
              </w:rPr>
              <w:t>Stephen B. Burke</w:t>
            </w:r>
          </w:p>
        </w:tc>
        <w:tc>
          <w:tcPr>
            <w:tcW w:w="2860" w:type="dxa"/>
            <w:vAlign w:val="bottom"/>
          </w:tcPr>
          <w:p>
            <w:pPr>
              <w:ind w:left="900"/>
              <w:spacing w:after="0"/>
              <w:rPr>
                <w:sz w:val="20"/>
                <w:szCs w:val="20"/>
                <w:color w:val="auto"/>
              </w:rPr>
            </w:pPr>
            <w:r>
              <w:rPr>
                <w:rFonts w:ascii="Arial" w:cs="Arial" w:eastAsia="Arial" w:hAnsi="Arial"/>
                <w:sz w:val="14"/>
                <w:szCs w:val="14"/>
                <w:b w:val="1"/>
                <w:bCs w:val="1"/>
                <w:color w:val="auto"/>
              </w:rPr>
              <w:t>John D. Schanz</w:t>
            </w:r>
          </w:p>
        </w:tc>
        <w:tc>
          <w:tcPr>
            <w:tcW w:w="3460" w:type="dxa"/>
            <w:vAlign w:val="bottom"/>
          </w:tcPr>
          <w:p>
            <w:pPr>
              <w:ind w:left="1520"/>
              <w:spacing w:after="0"/>
              <w:rPr>
                <w:sz w:val="20"/>
                <w:szCs w:val="20"/>
                <w:color w:val="auto"/>
              </w:rPr>
            </w:pPr>
            <w:r>
              <w:rPr>
                <w:rFonts w:ascii="Arial" w:cs="Arial" w:eastAsia="Arial" w:hAnsi="Arial"/>
                <w:sz w:val="14"/>
                <w:szCs w:val="14"/>
                <w:b w:val="1"/>
                <w:bCs w:val="1"/>
                <w:color w:val="auto"/>
              </w:rPr>
              <w:t>Douglas Gaston</w:t>
            </w:r>
          </w:p>
        </w:tc>
        <w:tc>
          <w:tcPr>
            <w:tcW w:w="2400" w:type="dxa"/>
            <w:vAlign w:val="bottom"/>
          </w:tcPr>
          <w:p>
            <w:pPr>
              <w:ind w:left="460"/>
              <w:spacing w:after="0"/>
              <w:rPr>
                <w:sz w:val="20"/>
                <w:szCs w:val="20"/>
                <w:color w:val="auto"/>
              </w:rPr>
            </w:pPr>
            <w:r>
              <w:rPr>
                <w:rFonts w:ascii="Arial" w:cs="Arial" w:eastAsia="Arial" w:hAnsi="Arial"/>
                <w:sz w:val="14"/>
                <w:szCs w:val="14"/>
                <w:b w:val="1"/>
                <w:bCs w:val="1"/>
                <w:color w:val="auto"/>
              </w:rPr>
              <w:t>Michael A. Doyle</w:t>
            </w:r>
          </w:p>
        </w:tc>
        <w:tc>
          <w:tcPr>
            <w:tcW w:w="0" w:type="dxa"/>
            <w:vAlign w:val="bottom"/>
          </w:tcPr>
          <w:p>
            <w:pPr>
              <w:spacing w:after="0"/>
              <w:rPr>
                <w:sz w:val="1"/>
                <w:szCs w:val="1"/>
                <w:color w:val="auto"/>
              </w:rPr>
            </w:pPr>
          </w:p>
        </w:tc>
      </w:tr>
      <w:tr>
        <w:trPr>
          <w:trHeight w:val="149"/>
        </w:trPr>
        <w:tc>
          <w:tcPr>
            <w:tcW w:w="2700" w:type="dxa"/>
            <w:vAlign w:val="bottom"/>
          </w:tcPr>
          <w:p>
            <w:pPr>
              <w:spacing w:after="0" w:line="149" w:lineRule="exact"/>
              <w:rPr>
                <w:sz w:val="20"/>
                <w:szCs w:val="20"/>
                <w:color w:val="auto"/>
              </w:rPr>
            </w:pPr>
            <w:r>
              <w:rPr>
                <w:rFonts w:ascii="Arial" w:cs="Arial" w:eastAsia="Arial" w:hAnsi="Arial"/>
                <w:sz w:val="14"/>
                <w:szCs w:val="14"/>
                <w:color w:val="auto"/>
              </w:rPr>
              <w:t>President</w:t>
            </w:r>
          </w:p>
        </w:tc>
        <w:tc>
          <w:tcPr>
            <w:tcW w:w="2860" w:type="dxa"/>
            <w:vAlign w:val="bottom"/>
          </w:tcPr>
          <w:p>
            <w:pPr>
              <w:ind w:left="900"/>
              <w:spacing w:after="0" w:line="149" w:lineRule="exact"/>
              <w:rPr>
                <w:sz w:val="20"/>
                <w:szCs w:val="20"/>
                <w:color w:val="auto"/>
              </w:rPr>
            </w:pPr>
            <w:r>
              <w:rPr>
                <w:rFonts w:ascii="Arial" w:cs="Arial" w:eastAsia="Arial" w:hAnsi="Arial"/>
                <w:sz w:val="14"/>
                <w:szCs w:val="14"/>
                <w:color w:val="auto"/>
              </w:rPr>
              <w:t>Executive Vice President</w:t>
            </w:r>
          </w:p>
        </w:tc>
        <w:tc>
          <w:tcPr>
            <w:tcW w:w="3460" w:type="dxa"/>
            <w:vAlign w:val="bottom"/>
          </w:tcPr>
          <w:p>
            <w:pPr>
              <w:ind w:left="1520"/>
              <w:spacing w:after="0" w:line="149" w:lineRule="exact"/>
              <w:rPr>
                <w:sz w:val="20"/>
                <w:szCs w:val="20"/>
                <w:color w:val="auto"/>
              </w:rPr>
            </w:pPr>
            <w:r>
              <w:rPr>
                <w:rFonts w:ascii="Arial" w:cs="Arial" w:eastAsia="Arial" w:hAnsi="Arial"/>
                <w:sz w:val="14"/>
                <w:szCs w:val="14"/>
                <w:color w:val="auto"/>
              </w:rPr>
              <w:t>General Counsel</w:t>
            </w:r>
          </w:p>
        </w:tc>
        <w:tc>
          <w:tcPr>
            <w:tcW w:w="2400" w:type="dxa"/>
            <w:vAlign w:val="bottom"/>
          </w:tcPr>
          <w:p>
            <w:pPr>
              <w:ind w:left="460"/>
              <w:spacing w:after="0" w:line="149" w:lineRule="exact"/>
              <w:rPr>
                <w:sz w:val="20"/>
                <w:szCs w:val="20"/>
                <w:color w:val="auto"/>
              </w:rPr>
            </w:pPr>
            <w:r>
              <w:rPr>
                <w:rFonts w:ascii="Arial" w:cs="Arial" w:eastAsia="Arial" w:hAnsi="Arial"/>
                <w:sz w:val="14"/>
                <w:szCs w:val="14"/>
                <w:color w:val="auto"/>
              </w:rPr>
              <w:t>President</w:t>
            </w:r>
          </w:p>
        </w:tc>
        <w:tc>
          <w:tcPr>
            <w:tcW w:w="0" w:type="dxa"/>
            <w:vAlign w:val="bottom"/>
          </w:tcPr>
          <w:p>
            <w:pPr>
              <w:spacing w:after="0"/>
              <w:rPr>
                <w:sz w:val="1"/>
                <w:szCs w:val="1"/>
                <w:color w:val="auto"/>
              </w:rPr>
            </w:pPr>
          </w:p>
        </w:tc>
      </w:tr>
      <w:tr>
        <w:trPr>
          <w:trHeight w:val="149"/>
        </w:trPr>
        <w:tc>
          <w:tcPr>
            <w:tcW w:w="2700" w:type="dxa"/>
            <w:vAlign w:val="bottom"/>
            <w:vMerge w:val="restart"/>
          </w:tcPr>
          <w:p>
            <w:pPr>
              <w:spacing w:after="0"/>
              <w:rPr>
                <w:sz w:val="20"/>
                <w:szCs w:val="20"/>
                <w:color w:val="auto"/>
              </w:rPr>
            </w:pPr>
            <w:r>
              <w:rPr>
                <w:rFonts w:ascii="Arial" w:cs="Arial" w:eastAsia="Arial" w:hAnsi="Arial"/>
                <w:sz w:val="14"/>
                <w:szCs w:val="14"/>
                <w:b w:val="1"/>
                <w:bCs w:val="1"/>
                <w:color w:val="auto"/>
              </w:rPr>
              <w:t>David A. Scott</w:t>
            </w:r>
          </w:p>
        </w:tc>
        <w:tc>
          <w:tcPr>
            <w:tcW w:w="2860" w:type="dxa"/>
            <w:vAlign w:val="bottom"/>
          </w:tcPr>
          <w:p>
            <w:pPr>
              <w:ind w:left="900"/>
              <w:spacing w:after="0" w:line="149" w:lineRule="exact"/>
              <w:rPr>
                <w:sz w:val="20"/>
                <w:szCs w:val="20"/>
                <w:color w:val="auto"/>
              </w:rPr>
            </w:pPr>
            <w:r>
              <w:rPr>
                <w:rFonts w:ascii="Arial" w:cs="Arial" w:eastAsia="Arial" w:hAnsi="Arial"/>
                <w:sz w:val="14"/>
                <w:szCs w:val="14"/>
                <w:color w:val="auto"/>
              </w:rPr>
              <w:t>National Engineering and</w:t>
            </w:r>
          </w:p>
        </w:tc>
        <w:tc>
          <w:tcPr>
            <w:tcW w:w="3460" w:type="dxa"/>
            <w:vAlign w:val="bottom"/>
            <w:vMerge w:val="restart"/>
          </w:tcPr>
          <w:p>
            <w:pPr>
              <w:ind w:left="1520"/>
              <w:spacing w:after="0"/>
              <w:rPr>
                <w:sz w:val="20"/>
                <w:szCs w:val="20"/>
                <w:color w:val="auto"/>
              </w:rPr>
            </w:pPr>
            <w:r>
              <w:rPr>
                <w:rFonts w:ascii="Arial" w:cs="Arial" w:eastAsia="Arial" w:hAnsi="Arial"/>
                <w:sz w:val="14"/>
                <w:szCs w:val="14"/>
                <w:b w:val="1"/>
                <w:bCs w:val="1"/>
                <w:color w:val="auto"/>
              </w:rPr>
              <w:t>Suzanne L. Keenan</w:t>
            </w:r>
          </w:p>
        </w:tc>
        <w:tc>
          <w:tcPr>
            <w:tcW w:w="2400" w:type="dxa"/>
            <w:vAlign w:val="bottom"/>
          </w:tcPr>
          <w:p>
            <w:pPr>
              <w:ind w:left="460"/>
              <w:spacing w:after="0" w:line="149" w:lineRule="exact"/>
              <w:rPr>
                <w:sz w:val="20"/>
                <w:szCs w:val="20"/>
                <w:color w:val="auto"/>
              </w:rPr>
            </w:pPr>
            <w:r>
              <w:rPr>
                <w:rFonts w:ascii="Arial" w:cs="Arial" w:eastAsia="Arial" w:hAnsi="Arial"/>
                <w:sz w:val="14"/>
                <w:szCs w:val="14"/>
                <w:color w:val="auto"/>
              </w:rPr>
              <w:t>Eastern Division</w:t>
            </w:r>
          </w:p>
        </w:tc>
        <w:tc>
          <w:tcPr>
            <w:tcW w:w="0" w:type="dxa"/>
            <w:vAlign w:val="bottom"/>
          </w:tcPr>
          <w:p>
            <w:pPr>
              <w:spacing w:after="0"/>
              <w:rPr>
                <w:sz w:val="1"/>
                <w:szCs w:val="1"/>
                <w:color w:val="auto"/>
              </w:rPr>
            </w:pPr>
          </w:p>
        </w:tc>
      </w:tr>
      <w:tr>
        <w:trPr>
          <w:trHeight w:val="149"/>
        </w:trPr>
        <w:tc>
          <w:tcPr>
            <w:tcW w:w="2700" w:type="dxa"/>
            <w:vAlign w:val="bottom"/>
            <w:vMerge w:val="continue"/>
          </w:tcPr>
          <w:p>
            <w:pPr>
              <w:spacing w:after="0"/>
              <w:rPr>
                <w:sz w:val="12"/>
                <w:szCs w:val="12"/>
                <w:color w:val="auto"/>
              </w:rPr>
            </w:pPr>
          </w:p>
        </w:tc>
        <w:tc>
          <w:tcPr>
            <w:tcW w:w="2860" w:type="dxa"/>
            <w:vAlign w:val="bottom"/>
          </w:tcPr>
          <w:p>
            <w:pPr>
              <w:ind w:left="900"/>
              <w:spacing w:after="0" w:line="149" w:lineRule="exact"/>
              <w:rPr>
                <w:sz w:val="20"/>
                <w:szCs w:val="20"/>
                <w:color w:val="auto"/>
              </w:rPr>
            </w:pPr>
            <w:r>
              <w:rPr>
                <w:rFonts w:ascii="Arial" w:cs="Arial" w:eastAsia="Arial" w:hAnsi="Arial"/>
                <w:sz w:val="14"/>
                <w:szCs w:val="14"/>
                <w:color w:val="auto"/>
              </w:rPr>
              <w:t>Technology Operations</w:t>
            </w:r>
          </w:p>
        </w:tc>
        <w:tc>
          <w:tcPr>
            <w:tcW w:w="3460" w:type="dxa"/>
            <w:vAlign w:val="bottom"/>
            <w:vMerge w:val="continue"/>
          </w:tcPr>
          <w:p>
            <w:pPr>
              <w:spacing w:after="0"/>
              <w:rPr>
                <w:sz w:val="12"/>
                <w:szCs w:val="12"/>
                <w:color w:val="auto"/>
              </w:rPr>
            </w:pPr>
          </w:p>
        </w:tc>
        <w:tc>
          <w:tcPr>
            <w:tcW w:w="2400" w:type="dxa"/>
            <w:vAlign w:val="bottom"/>
            <w:vMerge w:val="restart"/>
          </w:tcPr>
          <w:p>
            <w:pPr>
              <w:ind w:left="460"/>
              <w:spacing w:after="0"/>
              <w:rPr>
                <w:sz w:val="20"/>
                <w:szCs w:val="20"/>
                <w:color w:val="auto"/>
              </w:rPr>
            </w:pPr>
            <w:r>
              <w:rPr>
                <w:rFonts w:ascii="Arial" w:cs="Arial" w:eastAsia="Arial" w:hAnsi="Arial"/>
                <w:sz w:val="14"/>
                <w:szCs w:val="14"/>
                <w:b w:val="1"/>
                <w:bCs w:val="1"/>
                <w:color w:val="auto"/>
              </w:rPr>
              <w:t>Bradley P. Dusto</w:t>
            </w:r>
          </w:p>
        </w:tc>
        <w:tc>
          <w:tcPr>
            <w:tcW w:w="0" w:type="dxa"/>
            <w:vAlign w:val="bottom"/>
          </w:tcPr>
          <w:p>
            <w:pPr>
              <w:spacing w:after="0"/>
              <w:rPr>
                <w:sz w:val="1"/>
                <w:szCs w:val="1"/>
                <w:color w:val="auto"/>
              </w:rPr>
            </w:pPr>
          </w:p>
        </w:tc>
      </w:tr>
      <w:tr>
        <w:trPr>
          <w:trHeight w:val="149"/>
        </w:trPr>
        <w:tc>
          <w:tcPr>
            <w:tcW w:w="2700" w:type="dxa"/>
            <w:vAlign w:val="bottom"/>
          </w:tcPr>
          <w:p>
            <w:pPr>
              <w:spacing w:after="0" w:line="149" w:lineRule="exact"/>
              <w:rPr>
                <w:sz w:val="20"/>
                <w:szCs w:val="20"/>
                <w:color w:val="auto"/>
              </w:rPr>
            </w:pPr>
            <w:r>
              <w:rPr>
                <w:rFonts w:ascii="Arial" w:cs="Arial" w:eastAsia="Arial" w:hAnsi="Arial"/>
                <w:sz w:val="14"/>
                <w:szCs w:val="14"/>
                <w:color w:val="auto"/>
              </w:rPr>
              <w:t>Executive Vice President</w:t>
            </w:r>
          </w:p>
        </w:tc>
        <w:tc>
          <w:tcPr>
            <w:tcW w:w="2860" w:type="dxa"/>
            <w:vAlign w:val="bottom"/>
            <w:vMerge w:val="restart"/>
          </w:tcPr>
          <w:p>
            <w:pPr>
              <w:ind w:left="900"/>
              <w:spacing w:after="0"/>
              <w:rPr>
                <w:sz w:val="20"/>
                <w:szCs w:val="20"/>
                <w:color w:val="auto"/>
              </w:rPr>
            </w:pPr>
            <w:r>
              <w:rPr>
                <w:rFonts w:ascii="Arial" w:cs="Arial" w:eastAsia="Arial" w:hAnsi="Arial"/>
                <w:sz w:val="14"/>
                <w:szCs w:val="14"/>
                <w:b w:val="1"/>
                <w:bCs w:val="1"/>
                <w:color w:val="auto"/>
              </w:rPr>
              <w:t>Tony G. Werner</w:t>
            </w:r>
          </w:p>
        </w:tc>
        <w:tc>
          <w:tcPr>
            <w:tcW w:w="3460" w:type="dxa"/>
            <w:vAlign w:val="bottom"/>
          </w:tcPr>
          <w:p>
            <w:pPr>
              <w:ind w:left="1520"/>
              <w:spacing w:after="0" w:line="149" w:lineRule="exact"/>
              <w:rPr>
                <w:sz w:val="20"/>
                <w:szCs w:val="20"/>
                <w:color w:val="auto"/>
              </w:rPr>
            </w:pPr>
            <w:r>
              <w:rPr>
                <w:rFonts w:ascii="Arial" w:cs="Arial" w:eastAsia="Arial" w:hAnsi="Arial"/>
                <w:sz w:val="14"/>
                <w:szCs w:val="14"/>
                <w:color w:val="auto"/>
              </w:rPr>
              <w:t>Senior Vice President</w:t>
            </w:r>
          </w:p>
        </w:tc>
        <w:tc>
          <w:tcPr>
            <w:tcW w:w="2400" w:type="dxa"/>
            <w:vAlign w:val="bottom"/>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700" w:type="dxa"/>
            <w:vAlign w:val="bottom"/>
          </w:tcPr>
          <w:p>
            <w:pPr>
              <w:spacing w:after="0" w:line="149" w:lineRule="exact"/>
              <w:rPr>
                <w:sz w:val="20"/>
                <w:szCs w:val="20"/>
                <w:color w:val="auto"/>
              </w:rPr>
            </w:pPr>
            <w:r>
              <w:rPr>
                <w:rFonts w:ascii="Arial" w:cs="Arial" w:eastAsia="Arial" w:hAnsi="Arial"/>
                <w:sz w:val="14"/>
                <w:szCs w:val="14"/>
                <w:color w:val="auto"/>
              </w:rPr>
              <w:t>Finance and Administration</w:t>
            </w:r>
          </w:p>
        </w:tc>
        <w:tc>
          <w:tcPr>
            <w:tcW w:w="2860" w:type="dxa"/>
            <w:vAlign w:val="bottom"/>
            <w:vMerge w:val="continue"/>
          </w:tcPr>
          <w:p>
            <w:pPr>
              <w:spacing w:after="0"/>
              <w:rPr>
                <w:sz w:val="12"/>
                <w:szCs w:val="12"/>
                <w:color w:val="auto"/>
              </w:rPr>
            </w:pPr>
          </w:p>
        </w:tc>
        <w:tc>
          <w:tcPr>
            <w:tcW w:w="3460" w:type="dxa"/>
            <w:vAlign w:val="bottom"/>
          </w:tcPr>
          <w:p>
            <w:pPr>
              <w:ind w:left="1520"/>
              <w:spacing w:after="0" w:line="149" w:lineRule="exact"/>
              <w:rPr>
                <w:sz w:val="20"/>
                <w:szCs w:val="20"/>
                <w:color w:val="auto"/>
              </w:rPr>
            </w:pPr>
            <w:r>
              <w:rPr>
                <w:rFonts w:ascii="Arial" w:cs="Arial" w:eastAsia="Arial" w:hAnsi="Arial"/>
                <w:sz w:val="14"/>
                <w:szCs w:val="14"/>
                <w:color w:val="auto"/>
              </w:rPr>
              <w:t>Customer Service and</w:t>
            </w:r>
          </w:p>
        </w:tc>
        <w:tc>
          <w:tcPr>
            <w:tcW w:w="2400" w:type="dxa"/>
            <w:vAlign w:val="bottom"/>
          </w:tcPr>
          <w:p>
            <w:pPr>
              <w:ind w:left="460"/>
              <w:spacing w:after="0" w:line="149" w:lineRule="exact"/>
              <w:rPr>
                <w:sz w:val="20"/>
                <w:szCs w:val="20"/>
                <w:color w:val="auto"/>
              </w:rPr>
            </w:pPr>
            <w:r>
              <w:rPr>
                <w:rFonts w:ascii="Arial" w:cs="Arial" w:eastAsia="Arial" w:hAnsi="Arial"/>
                <w:sz w:val="14"/>
                <w:szCs w:val="14"/>
                <w:color w:val="auto"/>
              </w:rPr>
              <w:t>President</w:t>
            </w:r>
          </w:p>
        </w:tc>
        <w:tc>
          <w:tcPr>
            <w:tcW w:w="0" w:type="dxa"/>
            <w:vAlign w:val="bottom"/>
          </w:tcPr>
          <w:p>
            <w:pPr>
              <w:spacing w:after="0"/>
              <w:rPr>
                <w:sz w:val="1"/>
                <w:szCs w:val="1"/>
                <w:color w:val="auto"/>
              </w:rPr>
            </w:pPr>
          </w:p>
        </w:tc>
      </w:tr>
      <w:tr>
        <w:trPr>
          <w:trHeight w:val="149"/>
        </w:trPr>
        <w:tc>
          <w:tcPr>
            <w:tcW w:w="2700" w:type="dxa"/>
            <w:vAlign w:val="bottom"/>
            <w:vMerge w:val="restart"/>
          </w:tcPr>
          <w:p>
            <w:pPr>
              <w:spacing w:after="0"/>
              <w:rPr>
                <w:sz w:val="20"/>
                <w:szCs w:val="20"/>
                <w:color w:val="auto"/>
              </w:rPr>
            </w:pPr>
            <w:r>
              <w:rPr>
                <w:rFonts w:ascii="Arial" w:cs="Arial" w:eastAsia="Arial" w:hAnsi="Arial"/>
                <w:sz w:val="14"/>
                <w:szCs w:val="14"/>
                <w:b w:val="1"/>
                <w:bCs w:val="1"/>
                <w:color w:val="auto"/>
              </w:rPr>
              <w:t>David N. Watson</w:t>
            </w:r>
          </w:p>
        </w:tc>
        <w:tc>
          <w:tcPr>
            <w:tcW w:w="2860" w:type="dxa"/>
            <w:vAlign w:val="bottom"/>
          </w:tcPr>
          <w:p>
            <w:pPr>
              <w:ind w:left="900"/>
              <w:spacing w:after="0" w:line="149" w:lineRule="exact"/>
              <w:rPr>
                <w:sz w:val="20"/>
                <w:szCs w:val="20"/>
                <w:color w:val="auto"/>
              </w:rPr>
            </w:pPr>
            <w:r>
              <w:rPr>
                <w:rFonts w:ascii="Arial" w:cs="Arial" w:eastAsia="Arial" w:hAnsi="Arial"/>
                <w:sz w:val="14"/>
                <w:szCs w:val="14"/>
                <w:color w:val="auto"/>
              </w:rPr>
              <w:t>Executive Vice President and</w:t>
            </w:r>
          </w:p>
        </w:tc>
        <w:tc>
          <w:tcPr>
            <w:tcW w:w="3460" w:type="dxa"/>
            <w:vAlign w:val="bottom"/>
          </w:tcPr>
          <w:p>
            <w:pPr>
              <w:ind w:left="1520"/>
              <w:spacing w:after="0" w:line="149" w:lineRule="exact"/>
              <w:rPr>
                <w:sz w:val="20"/>
                <w:szCs w:val="20"/>
                <w:color w:val="auto"/>
              </w:rPr>
            </w:pPr>
            <w:r>
              <w:rPr>
                <w:rFonts w:ascii="Arial" w:cs="Arial" w:eastAsia="Arial" w:hAnsi="Arial"/>
                <w:sz w:val="14"/>
                <w:szCs w:val="14"/>
                <w:color w:val="auto"/>
              </w:rPr>
              <w:t>Comcast University</w:t>
            </w:r>
          </w:p>
        </w:tc>
        <w:tc>
          <w:tcPr>
            <w:tcW w:w="2400" w:type="dxa"/>
            <w:vAlign w:val="bottom"/>
          </w:tcPr>
          <w:p>
            <w:pPr>
              <w:ind w:left="460"/>
              <w:spacing w:after="0" w:line="149" w:lineRule="exact"/>
              <w:rPr>
                <w:sz w:val="20"/>
                <w:szCs w:val="20"/>
                <w:color w:val="auto"/>
              </w:rPr>
            </w:pPr>
            <w:r>
              <w:rPr>
                <w:rFonts w:ascii="Arial" w:cs="Arial" w:eastAsia="Arial" w:hAnsi="Arial"/>
                <w:sz w:val="14"/>
                <w:szCs w:val="14"/>
                <w:color w:val="auto"/>
              </w:rPr>
              <w:t>Western Division</w:t>
            </w:r>
          </w:p>
        </w:tc>
        <w:tc>
          <w:tcPr>
            <w:tcW w:w="0" w:type="dxa"/>
            <w:vAlign w:val="bottom"/>
          </w:tcPr>
          <w:p>
            <w:pPr>
              <w:spacing w:after="0"/>
              <w:rPr>
                <w:sz w:val="1"/>
                <w:szCs w:val="1"/>
                <w:color w:val="auto"/>
              </w:rPr>
            </w:pPr>
          </w:p>
        </w:tc>
      </w:tr>
      <w:tr>
        <w:trPr>
          <w:trHeight w:val="149"/>
        </w:trPr>
        <w:tc>
          <w:tcPr>
            <w:tcW w:w="2700" w:type="dxa"/>
            <w:vAlign w:val="bottom"/>
            <w:vMerge w:val="continue"/>
          </w:tcPr>
          <w:p>
            <w:pPr>
              <w:spacing w:after="0"/>
              <w:rPr>
                <w:sz w:val="12"/>
                <w:szCs w:val="12"/>
                <w:color w:val="auto"/>
              </w:rPr>
            </w:pPr>
          </w:p>
        </w:tc>
        <w:tc>
          <w:tcPr>
            <w:tcW w:w="2860" w:type="dxa"/>
            <w:vAlign w:val="bottom"/>
          </w:tcPr>
          <w:p>
            <w:pPr>
              <w:ind w:left="900"/>
              <w:spacing w:after="0" w:line="149" w:lineRule="exact"/>
              <w:rPr>
                <w:sz w:val="20"/>
                <w:szCs w:val="20"/>
                <w:color w:val="auto"/>
              </w:rPr>
            </w:pPr>
            <w:r>
              <w:rPr>
                <w:rFonts w:ascii="Arial" w:cs="Arial" w:eastAsia="Arial" w:hAnsi="Arial"/>
                <w:sz w:val="14"/>
                <w:szCs w:val="14"/>
                <w:color w:val="auto"/>
              </w:rPr>
              <w:t>Chief Technology Officer</w:t>
            </w:r>
          </w:p>
        </w:tc>
        <w:tc>
          <w:tcPr>
            <w:tcW w:w="3460" w:type="dxa"/>
            <w:vAlign w:val="bottom"/>
            <w:vMerge w:val="restart"/>
          </w:tcPr>
          <w:p>
            <w:pPr>
              <w:ind w:left="1520"/>
              <w:spacing w:after="0"/>
              <w:rPr>
                <w:sz w:val="20"/>
                <w:szCs w:val="20"/>
                <w:color w:val="auto"/>
              </w:rPr>
            </w:pPr>
            <w:r>
              <w:rPr>
                <w:rFonts w:ascii="Arial" w:cs="Arial" w:eastAsia="Arial" w:hAnsi="Arial"/>
                <w:sz w:val="14"/>
                <w:szCs w:val="14"/>
                <w:b w:val="1"/>
                <w:bCs w:val="1"/>
                <w:color w:val="auto"/>
              </w:rPr>
              <w:t>Charisse R. Lille</w:t>
            </w:r>
          </w:p>
        </w:tc>
        <w:tc>
          <w:tcPr>
            <w:tcW w:w="2400" w:type="dxa"/>
            <w:vAlign w:val="bottom"/>
            <w:vMerge w:val="restart"/>
          </w:tcPr>
          <w:p>
            <w:pPr>
              <w:ind w:left="460"/>
              <w:spacing w:after="0"/>
              <w:rPr>
                <w:sz w:val="20"/>
                <w:szCs w:val="20"/>
                <w:color w:val="auto"/>
              </w:rPr>
            </w:pPr>
            <w:r>
              <w:rPr>
                <w:rFonts w:ascii="Arial" w:cs="Arial" w:eastAsia="Arial" w:hAnsi="Arial"/>
                <w:sz w:val="14"/>
                <w:szCs w:val="14"/>
                <w:b w:val="1"/>
                <w:bCs w:val="1"/>
                <w:color w:val="auto"/>
              </w:rPr>
              <w:t>John H. Ridall</w:t>
            </w:r>
          </w:p>
        </w:tc>
        <w:tc>
          <w:tcPr>
            <w:tcW w:w="0" w:type="dxa"/>
            <w:vAlign w:val="bottom"/>
          </w:tcPr>
          <w:p>
            <w:pPr>
              <w:spacing w:after="0"/>
              <w:rPr>
                <w:sz w:val="1"/>
                <w:szCs w:val="1"/>
                <w:color w:val="auto"/>
              </w:rPr>
            </w:pPr>
          </w:p>
        </w:tc>
      </w:tr>
      <w:tr>
        <w:trPr>
          <w:trHeight w:val="149"/>
        </w:trPr>
        <w:tc>
          <w:tcPr>
            <w:tcW w:w="2700" w:type="dxa"/>
            <w:vAlign w:val="bottom"/>
          </w:tcPr>
          <w:p>
            <w:pPr>
              <w:spacing w:after="0" w:line="149" w:lineRule="exact"/>
              <w:rPr>
                <w:sz w:val="20"/>
                <w:szCs w:val="20"/>
                <w:color w:val="auto"/>
              </w:rPr>
            </w:pPr>
            <w:r>
              <w:rPr>
                <w:rFonts w:ascii="Arial" w:cs="Arial" w:eastAsia="Arial" w:hAnsi="Arial"/>
                <w:sz w:val="14"/>
                <w:szCs w:val="14"/>
                <w:color w:val="auto"/>
              </w:rPr>
              <w:t>Executive Vice President</w:t>
            </w:r>
          </w:p>
        </w:tc>
        <w:tc>
          <w:tcPr>
            <w:tcW w:w="2860" w:type="dxa"/>
            <w:vAlign w:val="bottom"/>
            <w:vMerge w:val="restart"/>
          </w:tcPr>
          <w:p>
            <w:pPr>
              <w:ind w:left="900"/>
              <w:spacing w:after="0"/>
              <w:rPr>
                <w:sz w:val="20"/>
                <w:szCs w:val="20"/>
                <w:color w:val="auto"/>
              </w:rPr>
            </w:pPr>
            <w:r>
              <w:rPr>
                <w:rFonts w:ascii="Arial" w:cs="Arial" w:eastAsia="Arial" w:hAnsi="Arial"/>
                <w:sz w:val="14"/>
                <w:szCs w:val="14"/>
                <w:b w:val="1"/>
                <w:bCs w:val="1"/>
                <w:color w:val="auto"/>
              </w:rPr>
              <w:t>Catherine Avgiris</w:t>
            </w:r>
          </w:p>
        </w:tc>
        <w:tc>
          <w:tcPr>
            <w:tcW w:w="3460" w:type="dxa"/>
            <w:vAlign w:val="bottom"/>
            <w:vMerge w:val="continue"/>
          </w:tcPr>
          <w:p>
            <w:pPr>
              <w:spacing w:after="0"/>
              <w:rPr>
                <w:sz w:val="12"/>
                <w:szCs w:val="12"/>
                <w:color w:val="auto"/>
              </w:rPr>
            </w:pPr>
          </w:p>
        </w:tc>
        <w:tc>
          <w:tcPr>
            <w:tcW w:w="2400" w:type="dxa"/>
            <w:vAlign w:val="bottom"/>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700" w:type="dxa"/>
            <w:vAlign w:val="bottom"/>
          </w:tcPr>
          <w:p>
            <w:pPr>
              <w:spacing w:after="0" w:line="149" w:lineRule="exact"/>
              <w:rPr>
                <w:sz w:val="20"/>
                <w:szCs w:val="20"/>
                <w:color w:val="auto"/>
              </w:rPr>
            </w:pPr>
            <w:r>
              <w:rPr>
                <w:rFonts w:ascii="Arial" w:cs="Arial" w:eastAsia="Arial" w:hAnsi="Arial"/>
                <w:sz w:val="14"/>
                <w:szCs w:val="14"/>
                <w:color w:val="auto"/>
              </w:rPr>
              <w:t>Operations</w:t>
            </w:r>
          </w:p>
        </w:tc>
        <w:tc>
          <w:tcPr>
            <w:tcW w:w="2860" w:type="dxa"/>
            <w:vAlign w:val="bottom"/>
            <w:vMerge w:val="continue"/>
          </w:tcPr>
          <w:p>
            <w:pPr>
              <w:spacing w:after="0"/>
              <w:rPr>
                <w:sz w:val="12"/>
                <w:szCs w:val="12"/>
                <w:color w:val="auto"/>
              </w:rPr>
            </w:pPr>
          </w:p>
        </w:tc>
        <w:tc>
          <w:tcPr>
            <w:tcW w:w="3460" w:type="dxa"/>
            <w:vAlign w:val="bottom"/>
          </w:tcPr>
          <w:p>
            <w:pPr>
              <w:ind w:left="1520"/>
              <w:spacing w:after="0" w:line="149" w:lineRule="exact"/>
              <w:rPr>
                <w:sz w:val="20"/>
                <w:szCs w:val="20"/>
                <w:color w:val="auto"/>
              </w:rPr>
            </w:pPr>
            <w:r>
              <w:rPr>
                <w:rFonts w:ascii="Arial" w:cs="Arial" w:eastAsia="Arial" w:hAnsi="Arial"/>
                <w:sz w:val="14"/>
                <w:szCs w:val="14"/>
                <w:color w:val="auto"/>
              </w:rPr>
              <w:t>Senior Vice President</w:t>
            </w:r>
          </w:p>
        </w:tc>
        <w:tc>
          <w:tcPr>
            <w:tcW w:w="2400" w:type="dxa"/>
            <w:vAlign w:val="bottom"/>
          </w:tcPr>
          <w:p>
            <w:pPr>
              <w:ind w:left="460"/>
              <w:spacing w:after="0" w:line="149" w:lineRule="exact"/>
              <w:rPr>
                <w:sz w:val="20"/>
                <w:szCs w:val="20"/>
                <w:color w:val="auto"/>
              </w:rPr>
            </w:pPr>
            <w:r>
              <w:rPr>
                <w:rFonts w:ascii="Arial" w:cs="Arial" w:eastAsia="Arial" w:hAnsi="Arial"/>
                <w:sz w:val="14"/>
                <w:szCs w:val="14"/>
                <w:color w:val="auto"/>
              </w:rPr>
              <w:t>President</w:t>
            </w:r>
          </w:p>
        </w:tc>
        <w:tc>
          <w:tcPr>
            <w:tcW w:w="0" w:type="dxa"/>
            <w:vAlign w:val="bottom"/>
          </w:tcPr>
          <w:p>
            <w:pPr>
              <w:spacing w:after="0"/>
              <w:rPr>
                <w:sz w:val="1"/>
                <w:szCs w:val="1"/>
                <w:color w:val="auto"/>
              </w:rPr>
            </w:pPr>
          </w:p>
        </w:tc>
      </w:tr>
      <w:tr>
        <w:trPr>
          <w:trHeight w:val="149"/>
        </w:trPr>
        <w:tc>
          <w:tcPr>
            <w:tcW w:w="2700" w:type="dxa"/>
            <w:vAlign w:val="bottom"/>
            <w:vMerge w:val="restart"/>
          </w:tcPr>
          <w:p>
            <w:pPr>
              <w:spacing w:after="0"/>
              <w:rPr>
                <w:sz w:val="20"/>
                <w:szCs w:val="20"/>
                <w:color w:val="auto"/>
              </w:rPr>
            </w:pPr>
            <w:r>
              <w:rPr>
                <w:rFonts w:ascii="Arial" w:cs="Arial" w:eastAsia="Arial" w:hAnsi="Arial"/>
                <w:sz w:val="14"/>
                <w:szCs w:val="14"/>
                <w:b w:val="1"/>
                <w:bCs w:val="1"/>
                <w:color w:val="auto"/>
              </w:rPr>
              <w:t>Madison Bond</w:t>
            </w:r>
          </w:p>
        </w:tc>
        <w:tc>
          <w:tcPr>
            <w:tcW w:w="2860" w:type="dxa"/>
            <w:vAlign w:val="bottom"/>
          </w:tcPr>
          <w:p>
            <w:pPr>
              <w:ind w:left="900"/>
              <w:spacing w:after="0" w:line="149" w:lineRule="exact"/>
              <w:rPr>
                <w:sz w:val="20"/>
                <w:szCs w:val="20"/>
                <w:color w:val="auto"/>
              </w:rPr>
            </w:pPr>
            <w:r>
              <w:rPr>
                <w:rFonts w:ascii="Arial" w:cs="Arial" w:eastAsia="Arial" w:hAnsi="Arial"/>
                <w:sz w:val="14"/>
                <w:szCs w:val="14"/>
                <w:color w:val="auto"/>
              </w:rPr>
              <w:t>Senior Vice President and</w:t>
            </w:r>
          </w:p>
        </w:tc>
        <w:tc>
          <w:tcPr>
            <w:tcW w:w="3460" w:type="dxa"/>
            <w:vAlign w:val="bottom"/>
          </w:tcPr>
          <w:p>
            <w:pPr>
              <w:ind w:left="1520"/>
              <w:spacing w:after="0" w:line="149" w:lineRule="exact"/>
              <w:rPr>
                <w:sz w:val="20"/>
                <w:szCs w:val="20"/>
                <w:color w:val="auto"/>
              </w:rPr>
            </w:pPr>
            <w:r>
              <w:rPr>
                <w:rFonts w:ascii="Arial" w:cs="Arial" w:eastAsia="Arial" w:hAnsi="Arial"/>
                <w:sz w:val="14"/>
                <w:szCs w:val="14"/>
                <w:color w:val="auto"/>
              </w:rPr>
              <w:t>Human Resources</w:t>
            </w:r>
          </w:p>
        </w:tc>
        <w:tc>
          <w:tcPr>
            <w:tcW w:w="2400" w:type="dxa"/>
            <w:vAlign w:val="bottom"/>
          </w:tcPr>
          <w:p>
            <w:pPr>
              <w:ind w:left="460"/>
              <w:spacing w:after="0" w:line="149" w:lineRule="exact"/>
              <w:rPr>
                <w:sz w:val="20"/>
                <w:szCs w:val="20"/>
                <w:color w:val="auto"/>
              </w:rPr>
            </w:pPr>
            <w:r>
              <w:rPr>
                <w:rFonts w:ascii="Arial" w:cs="Arial" w:eastAsia="Arial" w:hAnsi="Arial"/>
                <w:sz w:val="14"/>
                <w:szCs w:val="14"/>
                <w:color w:val="auto"/>
              </w:rPr>
              <w:t>Southern Division</w:t>
            </w:r>
          </w:p>
        </w:tc>
        <w:tc>
          <w:tcPr>
            <w:tcW w:w="0" w:type="dxa"/>
            <w:vAlign w:val="bottom"/>
          </w:tcPr>
          <w:p>
            <w:pPr>
              <w:spacing w:after="0"/>
              <w:rPr>
                <w:sz w:val="1"/>
                <w:szCs w:val="1"/>
                <w:color w:val="auto"/>
              </w:rPr>
            </w:pPr>
          </w:p>
        </w:tc>
      </w:tr>
      <w:tr>
        <w:trPr>
          <w:trHeight w:val="149"/>
        </w:trPr>
        <w:tc>
          <w:tcPr>
            <w:tcW w:w="2700" w:type="dxa"/>
            <w:vAlign w:val="bottom"/>
            <w:vMerge w:val="continue"/>
          </w:tcPr>
          <w:p>
            <w:pPr>
              <w:spacing w:after="0"/>
              <w:rPr>
                <w:sz w:val="12"/>
                <w:szCs w:val="12"/>
                <w:color w:val="auto"/>
              </w:rPr>
            </w:pPr>
          </w:p>
        </w:tc>
        <w:tc>
          <w:tcPr>
            <w:tcW w:w="2860" w:type="dxa"/>
            <w:vAlign w:val="bottom"/>
          </w:tcPr>
          <w:p>
            <w:pPr>
              <w:ind w:left="900"/>
              <w:spacing w:after="0" w:line="149" w:lineRule="exact"/>
              <w:rPr>
                <w:sz w:val="20"/>
                <w:szCs w:val="20"/>
                <w:color w:val="auto"/>
              </w:rPr>
            </w:pPr>
            <w:r>
              <w:rPr>
                <w:rFonts w:ascii="Arial" w:cs="Arial" w:eastAsia="Arial" w:hAnsi="Arial"/>
                <w:sz w:val="14"/>
                <w:szCs w:val="14"/>
                <w:color w:val="auto"/>
              </w:rPr>
              <w:t>General Manager</w:t>
            </w:r>
          </w:p>
        </w:tc>
        <w:tc>
          <w:tcPr>
            <w:tcW w:w="3460" w:type="dxa"/>
            <w:vAlign w:val="bottom"/>
            <w:vMerge w:val="restart"/>
          </w:tcPr>
          <w:p>
            <w:pPr>
              <w:ind w:left="1520"/>
              <w:spacing w:after="0"/>
              <w:rPr>
                <w:sz w:val="20"/>
                <w:szCs w:val="20"/>
                <w:color w:val="auto"/>
              </w:rPr>
            </w:pPr>
            <w:r>
              <w:rPr>
                <w:rFonts w:ascii="Arial" w:cs="Arial" w:eastAsia="Arial" w:hAnsi="Arial"/>
                <w:sz w:val="14"/>
                <w:szCs w:val="14"/>
                <w:b w:val="1"/>
                <w:bCs w:val="1"/>
                <w:color w:val="auto"/>
              </w:rPr>
              <w:t>Kevin M. Casey</w:t>
            </w:r>
          </w:p>
        </w:tc>
        <w:tc>
          <w:tcPr>
            <w:tcW w:w="2400" w:type="dxa"/>
            <w:vAlign w:val="bottom"/>
            <w:vMerge w:val="restart"/>
          </w:tcPr>
          <w:p>
            <w:pPr>
              <w:ind w:left="460"/>
              <w:spacing w:after="0"/>
              <w:rPr>
                <w:sz w:val="20"/>
                <w:szCs w:val="20"/>
                <w:color w:val="auto"/>
              </w:rPr>
            </w:pPr>
            <w:r>
              <w:rPr>
                <w:rFonts w:ascii="Arial" w:cs="Arial" w:eastAsia="Arial" w:hAnsi="Arial"/>
                <w:sz w:val="14"/>
                <w:szCs w:val="14"/>
                <w:b w:val="1"/>
                <w:bCs w:val="1"/>
                <w:color w:val="auto"/>
              </w:rPr>
              <w:t>William E. Stemper</w:t>
            </w:r>
          </w:p>
        </w:tc>
        <w:tc>
          <w:tcPr>
            <w:tcW w:w="0" w:type="dxa"/>
            <w:vAlign w:val="bottom"/>
          </w:tcPr>
          <w:p>
            <w:pPr>
              <w:spacing w:after="0"/>
              <w:rPr>
                <w:sz w:val="1"/>
                <w:szCs w:val="1"/>
                <w:color w:val="auto"/>
              </w:rPr>
            </w:pPr>
          </w:p>
        </w:tc>
      </w:tr>
      <w:tr>
        <w:trPr>
          <w:trHeight w:val="149"/>
        </w:trPr>
        <w:tc>
          <w:tcPr>
            <w:tcW w:w="2700" w:type="dxa"/>
            <w:vAlign w:val="bottom"/>
          </w:tcPr>
          <w:p>
            <w:pPr>
              <w:spacing w:after="0" w:line="149" w:lineRule="exact"/>
              <w:rPr>
                <w:sz w:val="20"/>
                <w:szCs w:val="20"/>
                <w:color w:val="auto"/>
              </w:rPr>
            </w:pPr>
            <w:r>
              <w:rPr>
                <w:rFonts w:ascii="Arial" w:cs="Arial" w:eastAsia="Arial" w:hAnsi="Arial"/>
                <w:sz w:val="14"/>
                <w:szCs w:val="14"/>
                <w:color w:val="auto"/>
              </w:rPr>
              <w:t>Executive Vice President</w:t>
            </w:r>
          </w:p>
        </w:tc>
        <w:tc>
          <w:tcPr>
            <w:tcW w:w="2860" w:type="dxa"/>
            <w:vAlign w:val="bottom"/>
          </w:tcPr>
          <w:p>
            <w:pPr>
              <w:ind w:left="900"/>
              <w:spacing w:after="0" w:line="149" w:lineRule="exact"/>
              <w:rPr>
                <w:sz w:val="20"/>
                <w:szCs w:val="20"/>
                <w:color w:val="auto"/>
              </w:rPr>
            </w:pPr>
            <w:r>
              <w:rPr>
                <w:rFonts w:ascii="Arial" w:cs="Arial" w:eastAsia="Arial" w:hAnsi="Arial"/>
                <w:sz w:val="14"/>
                <w:szCs w:val="14"/>
                <w:color w:val="auto"/>
              </w:rPr>
              <w:t>Voice Services</w:t>
            </w:r>
          </w:p>
        </w:tc>
        <w:tc>
          <w:tcPr>
            <w:tcW w:w="3460" w:type="dxa"/>
            <w:vAlign w:val="bottom"/>
            <w:vMerge w:val="continue"/>
          </w:tcPr>
          <w:p>
            <w:pPr>
              <w:spacing w:after="0"/>
              <w:rPr>
                <w:sz w:val="12"/>
                <w:szCs w:val="12"/>
                <w:color w:val="auto"/>
              </w:rPr>
            </w:pPr>
          </w:p>
        </w:tc>
        <w:tc>
          <w:tcPr>
            <w:tcW w:w="2400" w:type="dxa"/>
            <w:vAlign w:val="bottom"/>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700" w:type="dxa"/>
            <w:vAlign w:val="bottom"/>
          </w:tcPr>
          <w:p>
            <w:pPr>
              <w:spacing w:after="0" w:line="149" w:lineRule="exact"/>
              <w:rPr>
                <w:sz w:val="20"/>
                <w:szCs w:val="20"/>
                <w:color w:val="auto"/>
              </w:rPr>
            </w:pPr>
            <w:r>
              <w:rPr>
                <w:rFonts w:ascii="Arial" w:cs="Arial" w:eastAsia="Arial" w:hAnsi="Arial"/>
                <w:sz w:val="14"/>
                <w:szCs w:val="14"/>
                <w:color w:val="auto"/>
              </w:rPr>
              <w:t>Content Acquisition</w:t>
            </w:r>
          </w:p>
        </w:tc>
        <w:tc>
          <w:tcPr>
            <w:tcW w:w="2860" w:type="dxa"/>
            <w:vAlign w:val="bottom"/>
            <w:vMerge w:val="restart"/>
          </w:tcPr>
          <w:p>
            <w:pPr>
              <w:ind w:left="900"/>
              <w:spacing w:after="0"/>
              <w:rPr>
                <w:sz w:val="20"/>
                <w:szCs w:val="20"/>
                <w:color w:val="auto"/>
              </w:rPr>
            </w:pPr>
            <w:r>
              <w:rPr>
                <w:rFonts w:ascii="Arial" w:cs="Arial" w:eastAsia="Arial" w:hAnsi="Arial"/>
                <w:sz w:val="14"/>
                <w:szCs w:val="14"/>
                <w:b w:val="1"/>
                <w:bCs w:val="1"/>
                <w:color w:val="auto"/>
              </w:rPr>
              <w:t>Greg R. Butz</w:t>
            </w:r>
          </w:p>
        </w:tc>
        <w:tc>
          <w:tcPr>
            <w:tcW w:w="3460" w:type="dxa"/>
            <w:vAlign w:val="bottom"/>
          </w:tcPr>
          <w:p>
            <w:pPr>
              <w:ind w:left="1520"/>
              <w:spacing w:after="0" w:line="149" w:lineRule="exact"/>
              <w:rPr>
                <w:sz w:val="20"/>
                <w:szCs w:val="20"/>
                <w:color w:val="auto"/>
              </w:rPr>
            </w:pPr>
            <w:r>
              <w:rPr>
                <w:rFonts w:ascii="Arial" w:cs="Arial" w:eastAsia="Arial" w:hAnsi="Arial"/>
                <w:sz w:val="14"/>
                <w:szCs w:val="14"/>
                <w:color w:val="auto"/>
              </w:rPr>
              <w:t>President</w:t>
            </w:r>
          </w:p>
        </w:tc>
        <w:tc>
          <w:tcPr>
            <w:tcW w:w="2400" w:type="dxa"/>
            <w:vAlign w:val="bottom"/>
          </w:tcPr>
          <w:p>
            <w:pPr>
              <w:ind w:left="460"/>
              <w:spacing w:after="0" w:line="149" w:lineRule="exact"/>
              <w:rPr>
                <w:sz w:val="20"/>
                <w:szCs w:val="20"/>
                <w:color w:val="auto"/>
              </w:rPr>
            </w:pPr>
            <w:r>
              <w:rPr>
                <w:rFonts w:ascii="Arial" w:cs="Arial" w:eastAsia="Arial" w:hAnsi="Arial"/>
                <w:sz w:val="14"/>
                <w:szCs w:val="14"/>
                <w:color w:val="auto"/>
              </w:rPr>
              <w:t>President</w:t>
            </w:r>
          </w:p>
        </w:tc>
        <w:tc>
          <w:tcPr>
            <w:tcW w:w="0" w:type="dxa"/>
            <w:vAlign w:val="bottom"/>
          </w:tcPr>
          <w:p>
            <w:pPr>
              <w:spacing w:after="0"/>
              <w:rPr>
                <w:sz w:val="1"/>
                <w:szCs w:val="1"/>
                <w:color w:val="auto"/>
              </w:rPr>
            </w:pPr>
          </w:p>
        </w:tc>
      </w:tr>
      <w:tr>
        <w:trPr>
          <w:trHeight w:val="149"/>
        </w:trPr>
        <w:tc>
          <w:tcPr>
            <w:tcW w:w="2700" w:type="dxa"/>
            <w:vAlign w:val="bottom"/>
            <w:vMerge w:val="restart"/>
          </w:tcPr>
          <w:p>
            <w:pPr>
              <w:spacing w:after="0"/>
              <w:rPr>
                <w:sz w:val="20"/>
                <w:szCs w:val="20"/>
                <w:color w:val="auto"/>
              </w:rPr>
            </w:pPr>
            <w:r>
              <w:rPr>
                <w:rFonts w:ascii="Arial" w:cs="Arial" w:eastAsia="Arial" w:hAnsi="Arial"/>
                <w:sz w:val="14"/>
                <w:szCs w:val="14"/>
                <w:b w:val="1"/>
                <w:bCs w:val="1"/>
                <w:color w:val="auto"/>
              </w:rPr>
              <w:t>David A. Juliano</w:t>
            </w:r>
          </w:p>
        </w:tc>
        <w:tc>
          <w:tcPr>
            <w:tcW w:w="2860" w:type="dxa"/>
            <w:vAlign w:val="bottom"/>
            <w:vMerge w:val="continue"/>
          </w:tcPr>
          <w:p>
            <w:pPr>
              <w:spacing w:after="0"/>
              <w:rPr>
                <w:sz w:val="12"/>
                <w:szCs w:val="12"/>
                <w:color w:val="auto"/>
              </w:rPr>
            </w:pPr>
          </w:p>
        </w:tc>
        <w:tc>
          <w:tcPr>
            <w:tcW w:w="3460" w:type="dxa"/>
            <w:vAlign w:val="bottom"/>
          </w:tcPr>
          <w:p>
            <w:pPr>
              <w:ind w:left="1520"/>
              <w:spacing w:after="0" w:line="149" w:lineRule="exact"/>
              <w:rPr>
                <w:sz w:val="20"/>
                <w:szCs w:val="20"/>
                <w:color w:val="auto"/>
              </w:rPr>
            </w:pPr>
            <w:r>
              <w:rPr>
                <w:rFonts w:ascii="Arial" w:cs="Arial" w:eastAsia="Arial" w:hAnsi="Arial"/>
                <w:sz w:val="14"/>
                <w:szCs w:val="14"/>
                <w:color w:val="auto"/>
              </w:rPr>
              <w:t>Northern Division</w:t>
            </w:r>
          </w:p>
        </w:tc>
        <w:tc>
          <w:tcPr>
            <w:tcW w:w="2400" w:type="dxa"/>
            <w:vAlign w:val="bottom"/>
          </w:tcPr>
          <w:p>
            <w:pPr>
              <w:ind w:left="460"/>
              <w:spacing w:after="0" w:line="149" w:lineRule="exact"/>
              <w:rPr>
                <w:sz w:val="20"/>
                <w:szCs w:val="20"/>
                <w:color w:val="auto"/>
              </w:rPr>
            </w:pPr>
            <w:r>
              <w:rPr>
                <w:rFonts w:ascii="Arial" w:cs="Arial" w:eastAsia="Arial" w:hAnsi="Arial"/>
                <w:sz w:val="14"/>
                <w:szCs w:val="14"/>
                <w:color w:val="auto"/>
              </w:rPr>
              <w:t>Comcast Business Services</w:t>
            </w:r>
          </w:p>
        </w:tc>
        <w:tc>
          <w:tcPr>
            <w:tcW w:w="0" w:type="dxa"/>
            <w:vAlign w:val="bottom"/>
          </w:tcPr>
          <w:p>
            <w:pPr>
              <w:spacing w:after="0"/>
              <w:rPr>
                <w:sz w:val="1"/>
                <w:szCs w:val="1"/>
                <w:color w:val="auto"/>
              </w:rPr>
            </w:pPr>
          </w:p>
        </w:tc>
      </w:tr>
      <w:tr>
        <w:trPr>
          <w:trHeight w:val="149"/>
        </w:trPr>
        <w:tc>
          <w:tcPr>
            <w:tcW w:w="2700" w:type="dxa"/>
            <w:vAlign w:val="bottom"/>
            <w:vMerge w:val="continue"/>
          </w:tcPr>
          <w:p>
            <w:pPr>
              <w:spacing w:after="0"/>
              <w:rPr>
                <w:sz w:val="12"/>
                <w:szCs w:val="12"/>
                <w:color w:val="auto"/>
              </w:rPr>
            </w:pPr>
          </w:p>
        </w:tc>
        <w:tc>
          <w:tcPr>
            <w:tcW w:w="2860" w:type="dxa"/>
            <w:vAlign w:val="bottom"/>
          </w:tcPr>
          <w:p>
            <w:pPr>
              <w:ind w:left="900"/>
              <w:spacing w:after="0" w:line="149" w:lineRule="exact"/>
              <w:rPr>
                <w:sz w:val="20"/>
                <w:szCs w:val="20"/>
                <w:color w:val="auto"/>
              </w:rPr>
            </w:pPr>
            <w:r>
              <w:rPr>
                <w:rFonts w:ascii="Arial" w:cs="Arial" w:eastAsia="Arial" w:hAnsi="Arial"/>
                <w:sz w:val="14"/>
                <w:szCs w:val="14"/>
                <w:color w:val="auto"/>
              </w:rPr>
              <w:t>Senior Vice President</w:t>
            </w:r>
          </w:p>
        </w:tc>
        <w:tc>
          <w:tcPr>
            <w:tcW w:w="3460" w:type="dxa"/>
            <w:vAlign w:val="bottom"/>
            <w:vMerge w:val="restart"/>
          </w:tcPr>
          <w:p>
            <w:pPr>
              <w:ind w:left="1520"/>
              <w:spacing w:after="0"/>
              <w:rPr>
                <w:sz w:val="20"/>
                <w:szCs w:val="20"/>
                <w:color w:val="auto"/>
              </w:rPr>
            </w:pPr>
            <w:r>
              <w:rPr>
                <w:rFonts w:ascii="Arial" w:cs="Arial" w:eastAsia="Arial" w:hAnsi="Arial"/>
                <w:sz w:val="14"/>
                <w:szCs w:val="14"/>
                <w:b w:val="1"/>
                <w:bCs w:val="1"/>
                <w:color w:val="auto"/>
              </w:rPr>
              <w:t>William Connors</w:t>
            </w:r>
          </w:p>
        </w:tc>
        <w:tc>
          <w:tcPr>
            <w:tcW w:w="2400" w:type="dxa"/>
            <w:vAlign w:val="bottom"/>
            <w:vMerge w:val="restart"/>
          </w:tcPr>
          <w:p>
            <w:pPr>
              <w:ind w:left="460"/>
              <w:spacing w:after="0"/>
              <w:rPr>
                <w:sz w:val="20"/>
                <w:szCs w:val="20"/>
                <w:color w:val="auto"/>
              </w:rPr>
            </w:pPr>
            <w:r>
              <w:rPr>
                <w:rFonts w:ascii="Arial" w:cs="Arial" w:eastAsia="Arial" w:hAnsi="Arial"/>
                <w:sz w:val="14"/>
                <w:szCs w:val="14"/>
                <w:b w:val="1"/>
                <w:bCs w:val="1"/>
                <w:color w:val="auto"/>
              </w:rPr>
              <w:t>Charles W. Thurston</w:t>
            </w:r>
          </w:p>
        </w:tc>
        <w:tc>
          <w:tcPr>
            <w:tcW w:w="0" w:type="dxa"/>
            <w:vAlign w:val="bottom"/>
          </w:tcPr>
          <w:p>
            <w:pPr>
              <w:spacing w:after="0"/>
              <w:rPr>
                <w:sz w:val="1"/>
                <w:szCs w:val="1"/>
                <w:color w:val="auto"/>
              </w:rPr>
            </w:pPr>
          </w:p>
        </w:tc>
      </w:tr>
      <w:tr>
        <w:trPr>
          <w:trHeight w:val="149"/>
        </w:trPr>
        <w:tc>
          <w:tcPr>
            <w:tcW w:w="2700" w:type="dxa"/>
            <w:vAlign w:val="bottom"/>
          </w:tcPr>
          <w:p>
            <w:pPr>
              <w:spacing w:after="0" w:line="149" w:lineRule="exact"/>
              <w:rPr>
                <w:sz w:val="20"/>
                <w:szCs w:val="20"/>
                <w:color w:val="auto"/>
              </w:rPr>
            </w:pPr>
            <w:r>
              <w:rPr>
                <w:rFonts w:ascii="Arial" w:cs="Arial" w:eastAsia="Arial" w:hAnsi="Arial"/>
                <w:sz w:val="14"/>
                <w:szCs w:val="14"/>
                <w:color w:val="auto"/>
              </w:rPr>
              <w:t>Executive Vice President</w:t>
            </w:r>
          </w:p>
        </w:tc>
        <w:tc>
          <w:tcPr>
            <w:tcW w:w="2860" w:type="dxa"/>
            <w:vAlign w:val="bottom"/>
          </w:tcPr>
          <w:p>
            <w:pPr>
              <w:ind w:left="900"/>
              <w:spacing w:after="0" w:line="149" w:lineRule="exact"/>
              <w:rPr>
                <w:sz w:val="20"/>
                <w:szCs w:val="20"/>
                <w:color w:val="auto"/>
              </w:rPr>
            </w:pPr>
            <w:r>
              <w:rPr>
                <w:rFonts w:ascii="Arial" w:cs="Arial" w:eastAsia="Arial" w:hAnsi="Arial"/>
                <w:sz w:val="14"/>
                <w:szCs w:val="14"/>
                <w:color w:val="auto"/>
              </w:rPr>
              <w:t>Product Development</w:t>
            </w:r>
          </w:p>
        </w:tc>
        <w:tc>
          <w:tcPr>
            <w:tcW w:w="3460" w:type="dxa"/>
            <w:vAlign w:val="bottom"/>
            <w:vMerge w:val="continue"/>
          </w:tcPr>
          <w:p>
            <w:pPr>
              <w:spacing w:after="0"/>
              <w:rPr>
                <w:sz w:val="12"/>
                <w:szCs w:val="12"/>
                <w:color w:val="auto"/>
              </w:rPr>
            </w:pPr>
          </w:p>
        </w:tc>
        <w:tc>
          <w:tcPr>
            <w:tcW w:w="2400" w:type="dxa"/>
            <w:vAlign w:val="bottom"/>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700" w:type="dxa"/>
            <w:vAlign w:val="bottom"/>
          </w:tcPr>
          <w:p>
            <w:pPr>
              <w:spacing w:after="0" w:line="149" w:lineRule="exact"/>
              <w:rPr>
                <w:sz w:val="20"/>
                <w:szCs w:val="20"/>
                <w:color w:val="auto"/>
              </w:rPr>
            </w:pPr>
            <w:r>
              <w:rPr>
                <w:rFonts w:ascii="Arial" w:cs="Arial" w:eastAsia="Arial" w:hAnsi="Arial"/>
                <w:sz w:val="14"/>
                <w:szCs w:val="14"/>
                <w:color w:val="auto"/>
              </w:rPr>
              <w:t>Marketing and</w:t>
            </w:r>
          </w:p>
        </w:tc>
        <w:tc>
          <w:tcPr>
            <w:tcW w:w="2860" w:type="dxa"/>
            <w:vAlign w:val="bottom"/>
          </w:tcPr>
          <w:p>
            <w:pPr>
              <w:ind w:left="900"/>
              <w:spacing w:after="0" w:line="149" w:lineRule="exact"/>
              <w:rPr>
                <w:sz w:val="20"/>
                <w:szCs w:val="20"/>
                <w:color w:val="auto"/>
              </w:rPr>
            </w:pPr>
            <w:r>
              <w:rPr>
                <w:rFonts w:ascii="Arial" w:cs="Arial" w:eastAsia="Arial" w:hAnsi="Arial"/>
                <w:sz w:val="14"/>
                <w:szCs w:val="14"/>
                <w:color w:val="auto"/>
              </w:rPr>
              <w:t>General Manager</w:t>
            </w:r>
          </w:p>
        </w:tc>
        <w:tc>
          <w:tcPr>
            <w:tcW w:w="3460" w:type="dxa"/>
            <w:vAlign w:val="bottom"/>
          </w:tcPr>
          <w:p>
            <w:pPr>
              <w:ind w:left="1520"/>
              <w:spacing w:after="0" w:line="149" w:lineRule="exact"/>
              <w:rPr>
                <w:sz w:val="20"/>
                <w:szCs w:val="20"/>
                <w:color w:val="auto"/>
              </w:rPr>
            </w:pPr>
            <w:r>
              <w:rPr>
                <w:rFonts w:ascii="Arial" w:cs="Arial" w:eastAsia="Arial" w:hAnsi="Arial"/>
                <w:sz w:val="14"/>
                <w:szCs w:val="14"/>
                <w:color w:val="auto"/>
              </w:rPr>
              <w:t>President</w:t>
            </w:r>
          </w:p>
        </w:tc>
        <w:tc>
          <w:tcPr>
            <w:tcW w:w="2400" w:type="dxa"/>
            <w:vAlign w:val="bottom"/>
          </w:tcPr>
          <w:p>
            <w:pPr>
              <w:ind w:left="460"/>
              <w:spacing w:after="0" w:line="149" w:lineRule="exact"/>
              <w:rPr>
                <w:sz w:val="20"/>
                <w:szCs w:val="20"/>
                <w:color w:val="auto"/>
              </w:rPr>
            </w:pPr>
            <w:r>
              <w:rPr>
                <w:rFonts w:ascii="Arial" w:cs="Arial" w:eastAsia="Arial" w:hAnsi="Arial"/>
                <w:sz w:val="14"/>
                <w:szCs w:val="14"/>
                <w:color w:val="auto"/>
              </w:rPr>
              <w:t>President</w:t>
            </w:r>
          </w:p>
        </w:tc>
        <w:tc>
          <w:tcPr>
            <w:tcW w:w="0" w:type="dxa"/>
            <w:vAlign w:val="bottom"/>
          </w:tcPr>
          <w:p>
            <w:pPr>
              <w:spacing w:after="0"/>
              <w:rPr>
                <w:sz w:val="1"/>
                <w:szCs w:val="1"/>
                <w:color w:val="auto"/>
              </w:rPr>
            </w:pPr>
          </w:p>
        </w:tc>
      </w:tr>
      <w:tr>
        <w:trPr>
          <w:trHeight w:val="162"/>
        </w:trPr>
        <w:tc>
          <w:tcPr>
            <w:tcW w:w="2700" w:type="dxa"/>
            <w:vAlign w:val="bottom"/>
          </w:tcPr>
          <w:p>
            <w:pPr>
              <w:spacing w:after="0"/>
              <w:rPr>
                <w:sz w:val="20"/>
                <w:szCs w:val="20"/>
                <w:color w:val="auto"/>
              </w:rPr>
            </w:pPr>
            <w:r>
              <w:rPr>
                <w:rFonts w:ascii="Arial" w:cs="Arial" w:eastAsia="Arial" w:hAnsi="Arial"/>
                <w:sz w:val="14"/>
                <w:szCs w:val="14"/>
                <w:color w:val="auto"/>
              </w:rPr>
              <w:t>Product Development</w:t>
            </w:r>
          </w:p>
        </w:tc>
        <w:tc>
          <w:tcPr>
            <w:tcW w:w="2860" w:type="dxa"/>
            <w:vAlign w:val="bottom"/>
          </w:tcPr>
          <w:p>
            <w:pPr>
              <w:ind w:left="900"/>
              <w:spacing w:after="0"/>
              <w:rPr>
                <w:sz w:val="20"/>
                <w:szCs w:val="20"/>
                <w:color w:val="auto"/>
              </w:rPr>
            </w:pPr>
            <w:r>
              <w:rPr>
                <w:rFonts w:ascii="Arial" w:cs="Arial" w:eastAsia="Arial" w:hAnsi="Arial"/>
                <w:sz w:val="14"/>
                <w:szCs w:val="14"/>
                <w:color w:val="auto"/>
              </w:rPr>
              <w:t>Media Services</w:t>
            </w:r>
          </w:p>
        </w:tc>
        <w:tc>
          <w:tcPr>
            <w:tcW w:w="3460" w:type="dxa"/>
            <w:vAlign w:val="bottom"/>
          </w:tcPr>
          <w:p>
            <w:pPr>
              <w:ind w:left="1520"/>
              <w:spacing w:after="0"/>
              <w:rPr>
                <w:sz w:val="20"/>
                <w:szCs w:val="20"/>
                <w:color w:val="auto"/>
              </w:rPr>
            </w:pPr>
            <w:r>
              <w:rPr>
                <w:rFonts w:ascii="Arial" w:cs="Arial" w:eastAsia="Arial" w:hAnsi="Arial"/>
                <w:sz w:val="14"/>
                <w:szCs w:val="14"/>
                <w:color w:val="auto"/>
              </w:rPr>
              <w:t>Midwest Division</w:t>
            </w:r>
          </w:p>
        </w:tc>
        <w:tc>
          <w:tcPr>
            <w:tcW w:w="2400" w:type="dxa"/>
            <w:vAlign w:val="bottom"/>
          </w:tcPr>
          <w:p>
            <w:pPr>
              <w:ind w:left="460"/>
              <w:spacing w:after="0"/>
              <w:rPr>
                <w:sz w:val="20"/>
                <w:szCs w:val="20"/>
                <w:color w:val="auto"/>
              </w:rPr>
            </w:pPr>
            <w:r>
              <w:rPr>
                <w:rFonts w:ascii="Arial" w:cs="Arial" w:eastAsia="Arial" w:hAnsi="Arial"/>
                <w:sz w:val="14"/>
                <w:szCs w:val="14"/>
                <w:color w:val="auto"/>
              </w:rPr>
              <w:t>Comcast Spotlight</w:t>
            </w:r>
          </w:p>
        </w:tc>
        <w:tc>
          <w:tcPr>
            <w:tcW w:w="0" w:type="dxa"/>
            <w:vAlign w:val="bottom"/>
          </w:tcPr>
          <w:p>
            <w:pPr>
              <w:spacing w:after="0"/>
              <w:rPr>
                <w:sz w:val="1"/>
                <w:szCs w:val="1"/>
                <w:color w:val="auto"/>
              </w:rPr>
            </w:pPr>
          </w:p>
        </w:tc>
      </w:tr>
      <w:tr>
        <w:trPr>
          <w:trHeight w:val="365"/>
        </w:trPr>
        <w:tc>
          <w:tcPr>
            <w:tcW w:w="2700" w:type="dxa"/>
            <w:vAlign w:val="bottom"/>
          </w:tcPr>
          <w:p>
            <w:pPr>
              <w:spacing w:after="0"/>
              <w:rPr>
                <w:sz w:val="20"/>
                <w:szCs w:val="20"/>
                <w:color w:val="auto"/>
              </w:rPr>
            </w:pPr>
            <w:r>
              <w:rPr>
                <w:rFonts w:ascii="Arial" w:cs="Arial" w:eastAsia="Arial" w:hAnsi="Arial"/>
                <w:sz w:val="14"/>
                <w:szCs w:val="14"/>
                <w:b w:val="1"/>
                <w:bCs w:val="1"/>
                <w:color w:val="35BF85"/>
              </w:rPr>
              <w:t>Comcast Programming</w:t>
            </w:r>
          </w:p>
        </w:tc>
        <w:tc>
          <w:tcPr>
            <w:tcW w:w="2860" w:type="dxa"/>
            <w:vAlign w:val="bottom"/>
          </w:tcPr>
          <w:p>
            <w:pPr>
              <w:spacing w:after="0"/>
              <w:rPr>
                <w:sz w:val="24"/>
                <w:szCs w:val="24"/>
                <w:color w:val="auto"/>
              </w:rPr>
            </w:pPr>
          </w:p>
        </w:tc>
        <w:tc>
          <w:tcPr>
            <w:tcW w:w="3460" w:type="dxa"/>
            <w:vAlign w:val="bottom"/>
          </w:tcPr>
          <w:p>
            <w:pPr>
              <w:spacing w:after="0"/>
              <w:rPr>
                <w:sz w:val="24"/>
                <w:szCs w:val="24"/>
                <w:color w:val="auto"/>
              </w:rPr>
            </w:pPr>
          </w:p>
        </w:tc>
        <w:tc>
          <w:tcPr>
            <w:tcW w:w="24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51"/>
        </w:trPr>
        <w:tc>
          <w:tcPr>
            <w:tcW w:w="2700" w:type="dxa"/>
            <w:vAlign w:val="bottom"/>
          </w:tcPr>
          <w:p>
            <w:pPr>
              <w:spacing w:after="0"/>
              <w:rPr>
                <w:sz w:val="20"/>
                <w:szCs w:val="20"/>
                <w:color w:val="auto"/>
              </w:rPr>
            </w:pPr>
            <w:r>
              <w:rPr>
                <w:rFonts w:ascii="Arial" w:cs="Arial" w:eastAsia="Arial" w:hAnsi="Arial"/>
                <w:sz w:val="14"/>
                <w:szCs w:val="14"/>
                <w:b w:val="1"/>
                <w:bCs w:val="1"/>
                <w:color w:val="auto"/>
              </w:rPr>
              <w:t>Jeff Shell</w:t>
            </w:r>
          </w:p>
        </w:tc>
        <w:tc>
          <w:tcPr>
            <w:tcW w:w="2860" w:type="dxa"/>
            <w:vAlign w:val="bottom"/>
          </w:tcPr>
          <w:p>
            <w:pPr>
              <w:ind w:left="900"/>
              <w:spacing w:after="0"/>
              <w:rPr>
                <w:sz w:val="20"/>
                <w:szCs w:val="20"/>
                <w:color w:val="auto"/>
              </w:rPr>
            </w:pPr>
            <w:r>
              <w:rPr>
                <w:rFonts w:ascii="Arial" w:cs="Arial" w:eastAsia="Arial" w:hAnsi="Arial"/>
                <w:sz w:val="14"/>
                <w:szCs w:val="14"/>
                <w:b w:val="1"/>
                <w:bCs w:val="1"/>
                <w:color w:val="auto"/>
              </w:rPr>
              <w:t>Ted Harbert</w:t>
            </w:r>
          </w:p>
        </w:tc>
        <w:tc>
          <w:tcPr>
            <w:tcW w:w="3460" w:type="dxa"/>
            <w:vAlign w:val="bottom"/>
          </w:tcPr>
          <w:p>
            <w:pPr>
              <w:ind w:left="1520"/>
              <w:spacing w:after="0"/>
              <w:rPr>
                <w:sz w:val="20"/>
                <w:szCs w:val="20"/>
                <w:color w:val="auto"/>
              </w:rPr>
            </w:pPr>
            <w:r>
              <w:rPr>
                <w:rFonts w:ascii="Arial" w:cs="Arial" w:eastAsia="Arial" w:hAnsi="Arial"/>
                <w:sz w:val="14"/>
                <w:szCs w:val="14"/>
                <w:b w:val="1"/>
                <w:bCs w:val="1"/>
                <w:color w:val="auto"/>
              </w:rPr>
              <w:t>Diane L. Robina</w:t>
            </w:r>
          </w:p>
        </w:tc>
        <w:tc>
          <w:tcPr>
            <w:tcW w:w="2400" w:type="dxa"/>
            <w:vAlign w:val="bottom"/>
          </w:tcPr>
          <w:p>
            <w:pPr>
              <w:ind w:left="460"/>
              <w:spacing w:after="0"/>
              <w:rPr>
                <w:sz w:val="20"/>
                <w:szCs w:val="20"/>
                <w:color w:val="auto"/>
              </w:rPr>
            </w:pPr>
            <w:r>
              <w:rPr>
                <w:rFonts w:ascii="Arial" w:cs="Arial" w:eastAsia="Arial" w:hAnsi="Arial"/>
                <w:sz w:val="14"/>
                <w:szCs w:val="14"/>
                <w:b w:val="1"/>
                <w:bCs w:val="1"/>
                <w:color w:val="auto"/>
              </w:rPr>
              <w:t>Sandy Wax</w:t>
            </w:r>
          </w:p>
        </w:tc>
        <w:tc>
          <w:tcPr>
            <w:tcW w:w="0" w:type="dxa"/>
            <w:vAlign w:val="bottom"/>
          </w:tcPr>
          <w:p>
            <w:pPr>
              <w:spacing w:after="0"/>
              <w:rPr>
                <w:sz w:val="1"/>
                <w:szCs w:val="1"/>
                <w:color w:val="auto"/>
              </w:rPr>
            </w:pPr>
          </w:p>
        </w:tc>
      </w:tr>
      <w:tr>
        <w:trPr>
          <w:trHeight w:val="149"/>
        </w:trPr>
        <w:tc>
          <w:tcPr>
            <w:tcW w:w="2700" w:type="dxa"/>
            <w:vAlign w:val="bottom"/>
          </w:tcPr>
          <w:p>
            <w:pPr>
              <w:spacing w:after="0" w:line="149" w:lineRule="exact"/>
              <w:rPr>
                <w:sz w:val="20"/>
                <w:szCs w:val="20"/>
                <w:color w:val="auto"/>
              </w:rPr>
            </w:pPr>
            <w:r>
              <w:rPr>
                <w:rFonts w:ascii="Arial" w:cs="Arial" w:eastAsia="Arial" w:hAnsi="Arial"/>
                <w:sz w:val="14"/>
                <w:szCs w:val="14"/>
                <w:color w:val="auto"/>
              </w:rPr>
              <w:t>President</w:t>
            </w:r>
          </w:p>
        </w:tc>
        <w:tc>
          <w:tcPr>
            <w:tcW w:w="2860" w:type="dxa"/>
            <w:vAlign w:val="bottom"/>
          </w:tcPr>
          <w:p>
            <w:pPr>
              <w:ind w:left="900"/>
              <w:spacing w:after="0" w:line="149" w:lineRule="exact"/>
              <w:rPr>
                <w:sz w:val="20"/>
                <w:szCs w:val="20"/>
                <w:color w:val="auto"/>
              </w:rPr>
            </w:pPr>
            <w:r>
              <w:rPr>
                <w:rFonts w:ascii="Arial" w:cs="Arial" w:eastAsia="Arial" w:hAnsi="Arial"/>
                <w:sz w:val="14"/>
                <w:szCs w:val="14"/>
                <w:color w:val="auto"/>
              </w:rPr>
              <w:t>President and CEO</w:t>
            </w:r>
          </w:p>
        </w:tc>
        <w:tc>
          <w:tcPr>
            <w:tcW w:w="3460" w:type="dxa"/>
            <w:vAlign w:val="bottom"/>
          </w:tcPr>
          <w:p>
            <w:pPr>
              <w:ind w:left="1520"/>
              <w:spacing w:after="0" w:line="149" w:lineRule="exact"/>
              <w:rPr>
                <w:sz w:val="20"/>
                <w:szCs w:val="20"/>
                <w:color w:val="auto"/>
              </w:rPr>
            </w:pPr>
            <w:r>
              <w:rPr>
                <w:rFonts w:ascii="Arial" w:cs="Arial" w:eastAsia="Arial" w:hAnsi="Arial"/>
                <w:sz w:val="14"/>
                <w:szCs w:val="14"/>
                <w:color w:val="auto"/>
              </w:rPr>
              <w:t>President</w:t>
            </w:r>
          </w:p>
        </w:tc>
        <w:tc>
          <w:tcPr>
            <w:tcW w:w="2400" w:type="dxa"/>
            <w:vAlign w:val="bottom"/>
          </w:tcPr>
          <w:p>
            <w:pPr>
              <w:ind w:left="460"/>
              <w:spacing w:after="0" w:line="149" w:lineRule="exact"/>
              <w:rPr>
                <w:sz w:val="20"/>
                <w:szCs w:val="20"/>
                <w:color w:val="auto"/>
              </w:rPr>
            </w:pPr>
            <w:r>
              <w:rPr>
                <w:rFonts w:ascii="Arial" w:cs="Arial" w:eastAsia="Arial" w:hAnsi="Arial"/>
                <w:sz w:val="14"/>
                <w:szCs w:val="14"/>
                <w:color w:val="auto"/>
                <w:w w:val="96"/>
              </w:rPr>
              <w:t>President and General Manager</w:t>
            </w:r>
          </w:p>
        </w:tc>
        <w:tc>
          <w:tcPr>
            <w:tcW w:w="0" w:type="dxa"/>
            <w:vAlign w:val="bottom"/>
          </w:tcPr>
          <w:p>
            <w:pPr>
              <w:spacing w:after="0"/>
              <w:rPr>
                <w:sz w:val="1"/>
                <w:szCs w:val="1"/>
                <w:color w:val="auto"/>
              </w:rPr>
            </w:pPr>
          </w:p>
        </w:tc>
      </w:tr>
      <w:tr>
        <w:trPr>
          <w:trHeight w:val="162"/>
        </w:trPr>
        <w:tc>
          <w:tcPr>
            <w:tcW w:w="2700" w:type="dxa"/>
            <w:vAlign w:val="bottom"/>
            <w:vMerge w:val="restart"/>
          </w:tcPr>
          <w:p>
            <w:pPr>
              <w:spacing w:after="0"/>
              <w:rPr>
                <w:sz w:val="20"/>
                <w:szCs w:val="20"/>
                <w:color w:val="auto"/>
              </w:rPr>
            </w:pPr>
            <w:r>
              <w:rPr>
                <w:rFonts w:ascii="Arial" w:cs="Arial" w:eastAsia="Arial" w:hAnsi="Arial"/>
                <w:sz w:val="14"/>
                <w:szCs w:val="14"/>
                <w:b w:val="1"/>
                <w:bCs w:val="1"/>
                <w:color w:val="auto"/>
              </w:rPr>
              <w:t>Joseph M. Donnelly</w:t>
            </w:r>
          </w:p>
        </w:tc>
        <w:tc>
          <w:tcPr>
            <w:tcW w:w="2860" w:type="dxa"/>
            <w:vAlign w:val="bottom"/>
          </w:tcPr>
          <w:p>
            <w:pPr>
              <w:ind w:left="900"/>
              <w:spacing w:after="0"/>
              <w:rPr>
                <w:sz w:val="20"/>
                <w:szCs w:val="20"/>
                <w:color w:val="auto"/>
              </w:rPr>
            </w:pPr>
            <w:r>
              <w:rPr>
                <w:rFonts w:ascii="Arial" w:cs="Arial" w:eastAsia="Arial" w:hAnsi="Arial"/>
                <w:sz w:val="14"/>
                <w:szCs w:val="14"/>
                <w:color w:val="auto"/>
              </w:rPr>
              <w:t>Comcast Entertainment Group</w:t>
            </w:r>
          </w:p>
        </w:tc>
        <w:tc>
          <w:tcPr>
            <w:tcW w:w="3460" w:type="dxa"/>
            <w:vAlign w:val="bottom"/>
          </w:tcPr>
          <w:p>
            <w:pPr>
              <w:ind w:left="1520"/>
              <w:spacing w:after="0"/>
              <w:rPr>
                <w:sz w:val="20"/>
                <w:szCs w:val="20"/>
                <w:color w:val="auto"/>
              </w:rPr>
            </w:pPr>
            <w:r>
              <w:rPr>
                <w:rFonts w:ascii="Arial" w:cs="Arial" w:eastAsia="Arial" w:hAnsi="Arial"/>
                <w:sz w:val="14"/>
                <w:szCs w:val="14"/>
                <w:color w:val="auto"/>
              </w:rPr>
              <w:t>Emerging Networks</w:t>
            </w:r>
          </w:p>
        </w:tc>
        <w:tc>
          <w:tcPr>
            <w:tcW w:w="2400" w:type="dxa"/>
            <w:vAlign w:val="bottom"/>
          </w:tcPr>
          <w:p>
            <w:pPr>
              <w:ind w:left="460"/>
              <w:spacing w:after="0"/>
              <w:rPr>
                <w:sz w:val="20"/>
                <w:szCs w:val="20"/>
                <w:color w:val="auto"/>
              </w:rPr>
            </w:pPr>
            <w:r>
              <w:rPr>
                <w:rFonts w:ascii="Arial" w:cs="Arial" w:eastAsia="Arial" w:hAnsi="Arial"/>
                <w:sz w:val="14"/>
                <w:szCs w:val="14"/>
                <w:color w:val="auto"/>
              </w:rPr>
              <w:t>PBS KIDS Sprout</w:t>
            </w:r>
          </w:p>
        </w:tc>
        <w:tc>
          <w:tcPr>
            <w:tcW w:w="0" w:type="dxa"/>
            <w:vAlign w:val="bottom"/>
          </w:tcPr>
          <w:p>
            <w:pPr>
              <w:spacing w:after="0"/>
              <w:rPr>
                <w:sz w:val="1"/>
                <w:szCs w:val="1"/>
                <w:color w:val="auto"/>
              </w:rPr>
            </w:pPr>
          </w:p>
        </w:tc>
      </w:tr>
      <w:tr>
        <w:trPr>
          <w:trHeight w:val="135"/>
        </w:trPr>
        <w:tc>
          <w:tcPr>
            <w:tcW w:w="2700" w:type="dxa"/>
            <w:vAlign w:val="bottom"/>
            <w:vMerge w:val="continue"/>
          </w:tcPr>
          <w:p>
            <w:pPr>
              <w:spacing w:after="0"/>
              <w:rPr>
                <w:sz w:val="11"/>
                <w:szCs w:val="11"/>
                <w:color w:val="auto"/>
              </w:rPr>
            </w:pPr>
          </w:p>
        </w:tc>
        <w:tc>
          <w:tcPr>
            <w:tcW w:w="2860" w:type="dxa"/>
            <w:vAlign w:val="bottom"/>
            <w:vMerge w:val="restart"/>
          </w:tcPr>
          <w:p>
            <w:pPr>
              <w:ind w:left="900"/>
              <w:spacing w:after="0"/>
              <w:rPr>
                <w:sz w:val="20"/>
                <w:szCs w:val="20"/>
                <w:color w:val="auto"/>
              </w:rPr>
            </w:pPr>
            <w:r>
              <w:rPr>
                <w:rFonts w:ascii="Arial" w:cs="Arial" w:eastAsia="Arial" w:hAnsi="Arial"/>
                <w:sz w:val="14"/>
                <w:szCs w:val="14"/>
                <w:b w:val="1"/>
                <w:bCs w:val="1"/>
                <w:color w:val="auto"/>
              </w:rPr>
              <w:t>Gavin Harvey</w:t>
            </w:r>
          </w:p>
        </w:tc>
        <w:tc>
          <w:tcPr>
            <w:tcW w:w="3460" w:type="dxa"/>
            <w:vAlign w:val="bottom"/>
            <w:vMerge w:val="restart"/>
          </w:tcPr>
          <w:p>
            <w:pPr>
              <w:ind w:left="1520"/>
              <w:spacing w:after="0"/>
              <w:rPr>
                <w:sz w:val="20"/>
                <w:szCs w:val="20"/>
                <w:color w:val="auto"/>
              </w:rPr>
            </w:pPr>
            <w:r>
              <w:rPr>
                <w:rFonts w:ascii="Arial" w:cs="Arial" w:eastAsia="Arial" w:hAnsi="Arial"/>
                <w:sz w:val="14"/>
                <w:szCs w:val="14"/>
                <w:b w:val="1"/>
                <w:bCs w:val="1"/>
                <w:color w:val="auto"/>
              </w:rPr>
              <w:t>Rod Shanks</w:t>
            </w:r>
          </w:p>
        </w:tc>
        <w:tc>
          <w:tcPr>
            <w:tcW w:w="2400" w:type="dxa"/>
            <w:vAlign w:val="bottom"/>
            <w:vMerge w:val="restart"/>
          </w:tcPr>
          <w:p>
            <w:pPr>
              <w:ind w:left="460"/>
              <w:spacing w:after="0"/>
              <w:rPr>
                <w:sz w:val="20"/>
                <w:szCs w:val="20"/>
                <w:color w:val="auto"/>
              </w:rPr>
            </w:pPr>
            <w:r>
              <w:rPr>
                <w:rFonts w:ascii="Arial" w:cs="Arial" w:eastAsia="Arial" w:hAnsi="Arial"/>
                <w:sz w:val="14"/>
                <w:szCs w:val="14"/>
                <w:b w:val="1"/>
                <w:bCs w:val="1"/>
                <w:color w:val="auto"/>
              </w:rPr>
              <w:t>Jack L. Williams</w:t>
            </w:r>
          </w:p>
        </w:tc>
        <w:tc>
          <w:tcPr>
            <w:tcW w:w="0" w:type="dxa"/>
            <w:vAlign w:val="bottom"/>
          </w:tcPr>
          <w:p>
            <w:pPr>
              <w:spacing w:after="0"/>
              <w:rPr>
                <w:sz w:val="1"/>
                <w:szCs w:val="1"/>
                <w:color w:val="auto"/>
              </w:rPr>
            </w:pPr>
          </w:p>
        </w:tc>
      </w:tr>
      <w:tr>
        <w:trPr>
          <w:trHeight w:val="149"/>
        </w:trPr>
        <w:tc>
          <w:tcPr>
            <w:tcW w:w="2700" w:type="dxa"/>
            <w:vAlign w:val="bottom"/>
          </w:tcPr>
          <w:p>
            <w:pPr>
              <w:spacing w:after="0" w:line="149" w:lineRule="exact"/>
              <w:rPr>
                <w:sz w:val="20"/>
                <w:szCs w:val="20"/>
                <w:color w:val="auto"/>
              </w:rPr>
            </w:pPr>
            <w:r>
              <w:rPr>
                <w:rFonts w:ascii="Arial" w:cs="Arial" w:eastAsia="Arial" w:hAnsi="Arial"/>
                <w:sz w:val="14"/>
                <w:szCs w:val="14"/>
                <w:color w:val="auto"/>
              </w:rPr>
              <w:t>Chief Financial Officer</w:t>
            </w:r>
          </w:p>
        </w:tc>
        <w:tc>
          <w:tcPr>
            <w:tcW w:w="2860" w:type="dxa"/>
            <w:vAlign w:val="bottom"/>
            <w:vMerge w:val="continue"/>
          </w:tcPr>
          <w:p>
            <w:pPr>
              <w:spacing w:after="0"/>
              <w:rPr>
                <w:sz w:val="12"/>
                <w:szCs w:val="12"/>
                <w:color w:val="auto"/>
              </w:rPr>
            </w:pPr>
          </w:p>
        </w:tc>
        <w:tc>
          <w:tcPr>
            <w:tcW w:w="3460" w:type="dxa"/>
            <w:vAlign w:val="bottom"/>
            <w:vMerge w:val="continue"/>
          </w:tcPr>
          <w:p>
            <w:pPr>
              <w:spacing w:after="0"/>
              <w:rPr>
                <w:sz w:val="12"/>
                <w:szCs w:val="12"/>
                <w:color w:val="auto"/>
              </w:rPr>
            </w:pPr>
          </w:p>
        </w:tc>
        <w:tc>
          <w:tcPr>
            <w:tcW w:w="2400" w:type="dxa"/>
            <w:vAlign w:val="bottom"/>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700" w:type="dxa"/>
            <w:vAlign w:val="bottom"/>
            <w:vMerge w:val="restart"/>
          </w:tcPr>
          <w:p>
            <w:pPr>
              <w:spacing w:after="0"/>
              <w:rPr>
                <w:sz w:val="20"/>
                <w:szCs w:val="20"/>
                <w:color w:val="auto"/>
              </w:rPr>
            </w:pPr>
            <w:r>
              <w:rPr>
                <w:rFonts w:ascii="Arial" w:cs="Arial" w:eastAsia="Arial" w:hAnsi="Arial"/>
                <w:sz w:val="14"/>
                <w:szCs w:val="14"/>
                <w:b w:val="1"/>
                <w:bCs w:val="1"/>
                <w:color w:val="auto"/>
              </w:rPr>
              <w:t>David T. Cassaro</w:t>
            </w:r>
          </w:p>
        </w:tc>
        <w:tc>
          <w:tcPr>
            <w:tcW w:w="2860" w:type="dxa"/>
            <w:vAlign w:val="bottom"/>
          </w:tcPr>
          <w:p>
            <w:pPr>
              <w:ind w:left="900"/>
              <w:spacing w:after="0" w:line="149" w:lineRule="exact"/>
              <w:rPr>
                <w:sz w:val="20"/>
                <w:szCs w:val="20"/>
                <w:color w:val="auto"/>
              </w:rPr>
            </w:pPr>
            <w:r>
              <w:rPr>
                <w:rFonts w:ascii="Arial" w:cs="Arial" w:eastAsia="Arial" w:hAnsi="Arial"/>
                <w:sz w:val="14"/>
                <w:szCs w:val="14"/>
                <w:color w:val="auto"/>
              </w:rPr>
              <w:t>President</w:t>
            </w:r>
          </w:p>
        </w:tc>
        <w:tc>
          <w:tcPr>
            <w:tcW w:w="3460" w:type="dxa"/>
            <w:vAlign w:val="bottom"/>
          </w:tcPr>
          <w:p>
            <w:pPr>
              <w:ind w:left="1520"/>
              <w:spacing w:after="0" w:line="149" w:lineRule="exact"/>
              <w:rPr>
                <w:sz w:val="20"/>
                <w:szCs w:val="20"/>
                <w:color w:val="auto"/>
              </w:rPr>
            </w:pPr>
            <w:r>
              <w:rPr>
                <w:rFonts w:ascii="Arial" w:cs="Arial" w:eastAsia="Arial" w:hAnsi="Arial"/>
                <w:sz w:val="14"/>
                <w:szCs w:val="14"/>
                <w:color w:val="auto"/>
              </w:rPr>
              <w:t>President</w:t>
            </w:r>
          </w:p>
        </w:tc>
        <w:tc>
          <w:tcPr>
            <w:tcW w:w="2400" w:type="dxa"/>
            <w:vAlign w:val="bottom"/>
          </w:tcPr>
          <w:p>
            <w:pPr>
              <w:ind w:left="460"/>
              <w:spacing w:after="0" w:line="149" w:lineRule="exact"/>
              <w:rPr>
                <w:sz w:val="20"/>
                <w:szCs w:val="20"/>
                <w:color w:val="auto"/>
              </w:rPr>
            </w:pPr>
            <w:r>
              <w:rPr>
                <w:rFonts w:ascii="Arial" w:cs="Arial" w:eastAsia="Arial" w:hAnsi="Arial"/>
                <w:sz w:val="14"/>
                <w:szCs w:val="14"/>
                <w:color w:val="auto"/>
              </w:rPr>
              <w:t>President</w:t>
            </w:r>
          </w:p>
        </w:tc>
        <w:tc>
          <w:tcPr>
            <w:tcW w:w="0" w:type="dxa"/>
            <w:vAlign w:val="bottom"/>
          </w:tcPr>
          <w:p>
            <w:pPr>
              <w:spacing w:after="0"/>
              <w:rPr>
                <w:sz w:val="1"/>
                <w:szCs w:val="1"/>
                <w:color w:val="auto"/>
              </w:rPr>
            </w:pPr>
          </w:p>
        </w:tc>
      </w:tr>
      <w:tr>
        <w:trPr>
          <w:trHeight w:val="149"/>
        </w:trPr>
        <w:tc>
          <w:tcPr>
            <w:tcW w:w="2700" w:type="dxa"/>
            <w:vAlign w:val="bottom"/>
            <w:vMerge w:val="continue"/>
          </w:tcPr>
          <w:p>
            <w:pPr>
              <w:spacing w:after="0"/>
              <w:rPr>
                <w:sz w:val="12"/>
                <w:szCs w:val="12"/>
                <w:color w:val="auto"/>
              </w:rPr>
            </w:pPr>
          </w:p>
        </w:tc>
        <w:tc>
          <w:tcPr>
            <w:tcW w:w="2860" w:type="dxa"/>
            <w:vAlign w:val="bottom"/>
          </w:tcPr>
          <w:p>
            <w:pPr>
              <w:ind w:left="900"/>
              <w:spacing w:after="0" w:line="149" w:lineRule="exact"/>
              <w:rPr>
                <w:sz w:val="20"/>
                <w:szCs w:val="20"/>
                <w:color w:val="auto"/>
              </w:rPr>
            </w:pPr>
            <w:r>
              <w:rPr>
                <w:rFonts w:ascii="Arial" w:cs="Arial" w:eastAsia="Arial" w:hAnsi="Arial"/>
                <w:sz w:val="14"/>
                <w:szCs w:val="14"/>
                <w:color w:val="auto"/>
              </w:rPr>
              <w:t>VERSUS</w:t>
            </w:r>
          </w:p>
        </w:tc>
        <w:tc>
          <w:tcPr>
            <w:tcW w:w="3460" w:type="dxa"/>
            <w:vAlign w:val="bottom"/>
          </w:tcPr>
          <w:p>
            <w:pPr>
              <w:ind w:left="1520"/>
              <w:spacing w:after="0" w:line="149" w:lineRule="exact"/>
              <w:rPr>
                <w:sz w:val="20"/>
                <w:szCs w:val="20"/>
                <w:color w:val="auto"/>
              </w:rPr>
            </w:pPr>
            <w:r>
              <w:rPr>
                <w:rFonts w:ascii="Arial" w:cs="Arial" w:eastAsia="Arial" w:hAnsi="Arial"/>
                <w:sz w:val="14"/>
                <w:szCs w:val="14"/>
                <w:color w:val="auto"/>
              </w:rPr>
              <w:t>AZN</w:t>
            </w:r>
          </w:p>
        </w:tc>
        <w:tc>
          <w:tcPr>
            <w:tcW w:w="2400" w:type="dxa"/>
            <w:vAlign w:val="bottom"/>
          </w:tcPr>
          <w:p>
            <w:pPr>
              <w:ind w:left="460"/>
              <w:spacing w:after="0" w:line="149" w:lineRule="exact"/>
              <w:rPr>
                <w:sz w:val="20"/>
                <w:szCs w:val="20"/>
                <w:color w:val="auto"/>
              </w:rPr>
            </w:pPr>
            <w:r>
              <w:rPr>
                <w:rFonts w:ascii="Arial" w:cs="Arial" w:eastAsia="Arial" w:hAnsi="Arial"/>
                <w:sz w:val="14"/>
                <w:szCs w:val="14"/>
                <w:color w:val="auto"/>
              </w:rPr>
              <w:t>Comcast Sports</w:t>
            </w:r>
          </w:p>
        </w:tc>
        <w:tc>
          <w:tcPr>
            <w:tcW w:w="0" w:type="dxa"/>
            <w:vAlign w:val="bottom"/>
          </w:tcPr>
          <w:p>
            <w:pPr>
              <w:spacing w:after="0"/>
              <w:rPr>
                <w:sz w:val="1"/>
                <w:szCs w:val="1"/>
                <w:color w:val="auto"/>
              </w:rPr>
            </w:pPr>
          </w:p>
        </w:tc>
      </w:tr>
      <w:tr>
        <w:trPr>
          <w:trHeight w:val="149"/>
        </w:trPr>
        <w:tc>
          <w:tcPr>
            <w:tcW w:w="2700" w:type="dxa"/>
            <w:vAlign w:val="bottom"/>
          </w:tcPr>
          <w:p>
            <w:pPr>
              <w:spacing w:after="0" w:line="149" w:lineRule="exact"/>
              <w:rPr>
                <w:sz w:val="20"/>
                <w:szCs w:val="20"/>
                <w:color w:val="auto"/>
              </w:rPr>
            </w:pPr>
            <w:r>
              <w:rPr>
                <w:rFonts w:ascii="Arial" w:cs="Arial" w:eastAsia="Arial" w:hAnsi="Arial"/>
                <w:sz w:val="14"/>
                <w:szCs w:val="14"/>
                <w:color w:val="auto"/>
              </w:rPr>
              <w:t>President</w:t>
            </w:r>
          </w:p>
        </w:tc>
        <w:tc>
          <w:tcPr>
            <w:tcW w:w="2860" w:type="dxa"/>
            <w:vAlign w:val="bottom"/>
            <w:vMerge w:val="restart"/>
          </w:tcPr>
          <w:p>
            <w:pPr>
              <w:ind w:left="900"/>
              <w:spacing w:after="0"/>
              <w:rPr>
                <w:sz w:val="20"/>
                <w:szCs w:val="20"/>
                <w:color w:val="auto"/>
              </w:rPr>
            </w:pPr>
            <w:r>
              <w:rPr>
                <w:rFonts w:ascii="Arial" w:cs="Arial" w:eastAsia="Arial" w:hAnsi="Arial"/>
                <w:sz w:val="14"/>
                <w:szCs w:val="14"/>
                <w:b w:val="1"/>
                <w:bCs w:val="1"/>
                <w:color w:val="auto"/>
              </w:rPr>
              <w:t>David Manougian</w:t>
            </w:r>
          </w:p>
        </w:tc>
        <w:tc>
          <w:tcPr>
            <w:tcW w:w="3460" w:type="dxa"/>
            <w:vAlign w:val="bottom"/>
            <w:vMerge w:val="restart"/>
          </w:tcPr>
          <w:p>
            <w:pPr>
              <w:ind w:left="1520"/>
              <w:spacing w:after="0"/>
              <w:rPr>
                <w:sz w:val="20"/>
                <w:szCs w:val="20"/>
                <w:color w:val="auto"/>
              </w:rPr>
            </w:pPr>
            <w:r>
              <w:rPr>
                <w:rFonts w:ascii="Arial" w:cs="Arial" w:eastAsia="Arial" w:hAnsi="Arial"/>
                <w:sz w:val="14"/>
                <w:szCs w:val="14"/>
                <w:b w:val="1"/>
                <w:bCs w:val="1"/>
                <w:color w:val="auto"/>
              </w:rPr>
              <w:t>Neal Tiles</w:t>
            </w:r>
          </w:p>
        </w:tc>
        <w:tc>
          <w:tcPr>
            <w:tcW w:w="2400" w:type="dxa"/>
            <w:vAlign w:val="bottom"/>
          </w:tcPr>
          <w:p>
            <w:pPr>
              <w:ind w:left="460"/>
              <w:spacing w:after="0" w:line="149" w:lineRule="exact"/>
              <w:rPr>
                <w:sz w:val="20"/>
                <w:szCs w:val="20"/>
                <w:color w:val="auto"/>
              </w:rPr>
            </w:pPr>
            <w:r>
              <w:rPr>
                <w:rFonts w:ascii="Arial" w:cs="Arial" w:eastAsia="Arial" w:hAnsi="Arial"/>
                <w:sz w:val="14"/>
                <w:szCs w:val="14"/>
                <w:color w:val="auto"/>
              </w:rPr>
              <w:t>Management Services</w:t>
            </w:r>
          </w:p>
        </w:tc>
        <w:tc>
          <w:tcPr>
            <w:tcW w:w="0" w:type="dxa"/>
            <w:vAlign w:val="bottom"/>
          </w:tcPr>
          <w:p>
            <w:pPr>
              <w:spacing w:after="0"/>
              <w:rPr>
                <w:sz w:val="1"/>
                <w:szCs w:val="1"/>
                <w:color w:val="auto"/>
              </w:rPr>
            </w:pPr>
          </w:p>
        </w:tc>
      </w:tr>
      <w:tr>
        <w:trPr>
          <w:trHeight w:val="149"/>
        </w:trPr>
        <w:tc>
          <w:tcPr>
            <w:tcW w:w="2700" w:type="dxa"/>
            <w:vAlign w:val="bottom"/>
          </w:tcPr>
          <w:p>
            <w:pPr>
              <w:spacing w:after="0" w:line="149" w:lineRule="exact"/>
              <w:rPr>
                <w:sz w:val="20"/>
                <w:szCs w:val="20"/>
                <w:color w:val="auto"/>
              </w:rPr>
            </w:pPr>
            <w:r>
              <w:rPr>
                <w:rFonts w:ascii="Arial" w:cs="Arial" w:eastAsia="Arial" w:hAnsi="Arial"/>
                <w:sz w:val="14"/>
                <w:szCs w:val="14"/>
                <w:color w:val="auto"/>
              </w:rPr>
              <w:t>Comcast Network</w:t>
            </w:r>
          </w:p>
        </w:tc>
        <w:tc>
          <w:tcPr>
            <w:tcW w:w="2860" w:type="dxa"/>
            <w:vAlign w:val="bottom"/>
            <w:vMerge w:val="continue"/>
          </w:tcPr>
          <w:p>
            <w:pPr>
              <w:spacing w:after="0"/>
              <w:rPr>
                <w:sz w:val="12"/>
                <w:szCs w:val="12"/>
                <w:color w:val="auto"/>
              </w:rPr>
            </w:pPr>
          </w:p>
        </w:tc>
        <w:tc>
          <w:tcPr>
            <w:tcW w:w="3460" w:type="dxa"/>
            <w:vAlign w:val="bottom"/>
            <w:vMerge w:val="continue"/>
          </w:tcPr>
          <w:p>
            <w:pPr>
              <w:spacing w:after="0"/>
              <w:rPr>
                <w:sz w:val="12"/>
                <w:szCs w:val="12"/>
                <w:color w:val="auto"/>
              </w:rPr>
            </w:pPr>
          </w:p>
        </w:tc>
        <w:tc>
          <w:tcPr>
            <w:tcW w:w="2400" w:type="dxa"/>
            <w:vAlign w:val="bottom"/>
          </w:tcPr>
          <w:p>
            <w:pPr>
              <w:ind w:left="460"/>
              <w:spacing w:after="0" w:line="149" w:lineRule="exact"/>
              <w:rPr>
                <w:sz w:val="20"/>
                <w:szCs w:val="20"/>
                <w:color w:val="auto"/>
              </w:rPr>
            </w:pPr>
            <w:r>
              <w:rPr>
                <w:rFonts w:ascii="Arial" w:cs="Arial" w:eastAsia="Arial" w:hAnsi="Arial"/>
                <w:sz w:val="14"/>
                <w:szCs w:val="14"/>
                <w:color w:val="auto"/>
              </w:rPr>
              <w:t>President and</w:t>
            </w:r>
          </w:p>
        </w:tc>
        <w:tc>
          <w:tcPr>
            <w:tcW w:w="0" w:type="dxa"/>
            <w:vAlign w:val="bottom"/>
          </w:tcPr>
          <w:p>
            <w:pPr>
              <w:spacing w:after="0"/>
              <w:rPr>
                <w:sz w:val="1"/>
                <w:szCs w:val="1"/>
                <w:color w:val="auto"/>
              </w:rPr>
            </w:pPr>
          </w:p>
        </w:tc>
      </w:tr>
      <w:tr>
        <w:trPr>
          <w:trHeight w:val="149"/>
        </w:trPr>
        <w:tc>
          <w:tcPr>
            <w:tcW w:w="2700" w:type="dxa"/>
            <w:vAlign w:val="bottom"/>
          </w:tcPr>
          <w:p>
            <w:pPr>
              <w:spacing w:after="0" w:line="149" w:lineRule="exact"/>
              <w:rPr>
                <w:sz w:val="20"/>
                <w:szCs w:val="20"/>
                <w:color w:val="auto"/>
              </w:rPr>
            </w:pPr>
            <w:r>
              <w:rPr>
                <w:rFonts w:ascii="Arial" w:cs="Arial" w:eastAsia="Arial" w:hAnsi="Arial"/>
                <w:sz w:val="14"/>
                <w:szCs w:val="14"/>
                <w:color w:val="auto"/>
              </w:rPr>
              <w:t>Advertising Sales</w:t>
            </w:r>
          </w:p>
        </w:tc>
        <w:tc>
          <w:tcPr>
            <w:tcW w:w="2860" w:type="dxa"/>
            <w:vAlign w:val="bottom"/>
          </w:tcPr>
          <w:p>
            <w:pPr>
              <w:ind w:left="900"/>
              <w:spacing w:after="0" w:line="149" w:lineRule="exact"/>
              <w:rPr>
                <w:sz w:val="20"/>
                <w:szCs w:val="20"/>
                <w:color w:val="auto"/>
              </w:rPr>
            </w:pPr>
            <w:r>
              <w:rPr>
                <w:rFonts w:ascii="Arial" w:cs="Arial" w:eastAsia="Arial" w:hAnsi="Arial"/>
                <w:sz w:val="14"/>
                <w:szCs w:val="14"/>
                <w:color w:val="auto"/>
              </w:rPr>
              <w:t>Chief Executive Officer</w:t>
            </w:r>
          </w:p>
        </w:tc>
        <w:tc>
          <w:tcPr>
            <w:tcW w:w="3460" w:type="dxa"/>
            <w:vAlign w:val="bottom"/>
          </w:tcPr>
          <w:p>
            <w:pPr>
              <w:ind w:left="1520"/>
              <w:spacing w:after="0" w:line="149" w:lineRule="exact"/>
              <w:rPr>
                <w:sz w:val="20"/>
                <w:szCs w:val="20"/>
                <w:color w:val="auto"/>
              </w:rPr>
            </w:pPr>
            <w:r>
              <w:rPr>
                <w:rFonts w:ascii="Arial" w:cs="Arial" w:eastAsia="Arial" w:hAnsi="Arial"/>
                <w:sz w:val="14"/>
                <w:szCs w:val="14"/>
                <w:color w:val="auto"/>
              </w:rPr>
              <w:t>President</w:t>
            </w:r>
          </w:p>
        </w:tc>
        <w:tc>
          <w:tcPr>
            <w:tcW w:w="2400" w:type="dxa"/>
            <w:vAlign w:val="bottom"/>
          </w:tcPr>
          <w:p>
            <w:pPr>
              <w:ind w:left="460"/>
              <w:spacing w:after="0" w:line="149" w:lineRule="exact"/>
              <w:rPr>
                <w:sz w:val="20"/>
                <w:szCs w:val="20"/>
                <w:color w:val="auto"/>
              </w:rPr>
            </w:pPr>
            <w:r>
              <w:rPr>
                <w:rFonts w:ascii="Arial" w:cs="Arial" w:eastAsia="Arial" w:hAnsi="Arial"/>
                <w:sz w:val="14"/>
                <w:szCs w:val="14"/>
                <w:color w:val="auto"/>
              </w:rPr>
              <w:t>Chief Executive Offier</w:t>
            </w:r>
          </w:p>
        </w:tc>
        <w:tc>
          <w:tcPr>
            <w:tcW w:w="0" w:type="dxa"/>
            <w:vAlign w:val="bottom"/>
          </w:tcPr>
          <w:p>
            <w:pPr>
              <w:spacing w:after="0"/>
              <w:rPr>
                <w:sz w:val="1"/>
                <w:szCs w:val="1"/>
                <w:color w:val="auto"/>
              </w:rPr>
            </w:pPr>
          </w:p>
        </w:tc>
      </w:tr>
      <w:tr>
        <w:trPr>
          <w:trHeight w:val="162"/>
        </w:trPr>
        <w:tc>
          <w:tcPr>
            <w:tcW w:w="2700" w:type="dxa"/>
            <w:vAlign w:val="bottom"/>
          </w:tcPr>
          <w:p>
            <w:pPr>
              <w:spacing w:after="0"/>
              <w:rPr>
                <w:sz w:val="14"/>
                <w:szCs w:val="14"/>
                <w:color w:val="auto"/>
              </w:rPr>
            </w:pPr>
          </w:p>
        </w:tc>
        <w:tc>
          <w:tcPr>
            <w:tcW w:w="2860" w:type="dxa"/>
            <w:vAlign w:val="bottom"/>
          </w:tcPr>
          <w:p>
            <w:pPr>
              <w:ind w:left="900"/>
              <w:spacing w:after="0"/>
              <w:rPr>
                <w:sz w:val="20"/>
                <w:szCs w:val="20"/>
                <w:color w:val="auto"/>
              </w:rPr>
            </w:pPr>
            <w:r>
              <w:rPr>
                <w:rFonts w:ascii="Arial" w:cs="Arial" w:eastAsia="Arial" w:hAnsi="Arial"/>
                <w:sz w:val="14"/>
                <w:szCs w:val="14"/>
                <w:color w:val="auto"/>
              </w:rPr>
              <w:t>The Golf Channel</w:t>
            </w:r>
          </w:p>
        </w:tc>
        <w:tc>
          <w:tcPr>
            <w:tcW w:w="3460" w:type="dxa"/>
            <w:vAlign w:val="bottom"/>
          </w:tcPr>
          <w:p>
            <w:pPr>
              <w:ind w:left="1520"/>
              <w:spacing w:after="0"/>
              <w:rPr>
                <w:sz w:val="20"/>
                <w:szCs w:val="20"/>
                <w:color w:val="auto"/>
              </w:rPr>
            </w:pPr>
            <w:r>
              <w:rPr>
                <w:rFonts w:ascii="Arial" w:cs="Arial" w:eastAsia="Arial" w:hAnsi="Arial"/>
                <w:sz w:val="14"/>
                <w:szCs w:val="14"/>
                <w:color w:val="auto"/>
              </w:rPr>
              <w:t>G4</w:t>
            </w:r>
          </w:p>
        </w:tc>
        <w:tc>
          <w:tcPr>
            <w:tcW w:w="2400" w:type="dxa"/>
            <w:vAlign w:val="bottom"/>
          </w:tcPr>
          <w:p>
            <w:pPr>
              <w:ind w:left="460"/>
              <w:spacing w:after="0"/>
              <w:rPr>
                <w:sz w:val="20"/>
                <w:szCs w:val="20"/>
                <w:color w:val="auto"/>
              </w:rPr>
            </w:pPr>
            <w:r>
              <w:rPr>
                <w:rFonts w:ascii="Arial" w:cs="Arial" w:eastAsia="Arial" w:hAnsi="Arial"/>
                <w:sz w:val="14"/>
                <w:szCs w:val="14"/>
                <w:color w:val="auto"/>
              </w:rPr>
              <w:t>Comcast SportsNet</w:t>
            </w:r>
          </w:p>
        </w:tc>
        <w:tc>
          <w:tcPr>
            <w:tcW w:w="0" w:type="dxa"/>
            <w:vAlign w:val="bottom"/>
          </w:tcPr>
          <w:p>
            <w:pPr>
              <w:spacing w:after="0"/>
              <w:rPr>
                <w:sz w:val="1"/>
                <w:szCs w:val="1"/>
                <w:color w:val="auto"/>
              </w:rPr>
            </w:pPr>
          </w:p>
        </w:tc>
      </w:tr>
      <w:tr>
        <w:trPr>
          <w:trHeight w:val="365"/>
        </w:trPr>
        <w:tc>
          <w:tcPr>
            <w:tcW w:w="2700" w:type="dxa"/>
            <w:vAlign w:val="bottom"/>
          </w:tcPr>
          <w:p>
            <w:pPr>
              <w:spacing w:after="0"/>
              <w:rPr>
                <w:sz w:val="20"/>
                <w:szCs w:val="20"/>
                <w:color w:val="auto"/>
              </w:rPr>
            </w:pPr>
            <w:r>
              <w:rPr>
                <w:rFonts w:ascii="Arial" w:cs="Arial" w:eastAsia="Arial" w:hAnsi="Arial"/>
                <w:sz w:val="14"/>
                <w:szCs w:val="14"/>
                <w:b w:val="1"/>
                <w:bCs w:val="1"/>
                <w:color w:val="35BF85"/>
              </w:rPr>
              <w:t>Comcast Interactive Media</w:t>
            </w:r>
          </w:p>
        </w:tc>
        <w:tc>
          <w:tcPr>
            <w:tcW w:w="2860" w:type="dxa"/>
            <w:vAlign w:val="bottom"/>
          </w:tcPr>
          <w:p>
            <w:pPr>
              <w:spacing w:after="0"/>
              <w:rPr>
                <w:sz w:val="24"/>
                <w:szCs w:val="24"/>
                <w:color w:val="auto"/>
              </w:rPr>
            </w:pPr>
          </w:p>
        </w:tc>
        <w:tc>
          <w:tcPr>
            <w:tcW w:w="3460" w:type="dxa"/>
            <w:vAlign w:val="bottom"/>
          </w:tcPr>
          <w:p>
            <w:pPr>
              <w:spacing w:after="0"/>
              <w:rPr>
                <w:sz w:val="24"/>
                <w:szCs w:val="24"/>
                <w:color w:val="auto"/>
              </w:rPr>
            </w:pPr>
          </w:p>
        </w:tc>
        <w:tc>
          <w:tcPr>
            <w:tcW w:w="24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51"/>
        </w:trPr>
        <w:tc>
          <w:tcPr>
            <w:tcW w:w="2700" w:type="dxa"/>
            <w:vAlign w:val="bottom"/>
          </w:tcPr>
          <w:p>
            <w:pPr>
              <w:spacing w:after="0"/>
              <w:rPr>
                <w:sz w:val="20"/>
                <w:szCs w:val="20"/>
                <w:color w:val="auto"/>
              </w:rPr>
            </w:pPr>
            <w:r>
              <w:rPr>
                <w:rFonts w:ascii="Arial" w:cs="Arial" w:eastAsia="Arial" w:hAnsi="Arial"/>
                <w:sz w:val="14"/>
                <w:szCs w:val="14"/>
                <w:b w:val="1"/>
                <w:bCs w:val="1"/>
                <w:color w:val="auto"/>
              </w:rPr>
              <w:t>Amy L. Banse</w:t>
            </w:r>
          </w:p>
        </w:tc>
        <w:tc>
          <w:tcPr>
            <w:tcW w:w="2860" w:type="dxa"/>
            <w:vAlign w:val="bottom"/>
          </w:tcPr>
          <w:p>
            <w:pPr>
              <w:ind w:left="900"/>
              <w:spacing w:after="0"/>
              <w:rPr>
                <w:sz w:val="20"/>
                <w:szCs w:val="20"/>
                <w:color w:val="auto"/>
              </w:rPr>
            </w:pPr>
            <w:r>
              <w:rPr>
                <w:rFonts w:ascii="Arial" w:cs="Arial" w:eastAsia="Arial" w:hAnsi="Arial"/>
                <w:sz w:val="14"/>
                <w:szCs w:val="14"/>
                <w:b w:val="1"/>
                <w:bCs w:val="1"/>
                <w:color w:val="auto"/>
              </w:rPr>
              <w:t>Samuel H. Schwartz</w:t>
            </w:r>
          </w:p>
        </w:tc>
        <w:tc>
          <w:tcPr>
            <w:tcW w:w="3460" w:type="dxa"/>
            <w:vAlign w:val="bottom"/>
          </w:tcPr>
          <w:p>
            <w:pPr>
              <w:spacing w:after="0"/>
              <w:rPr>
                <w:sz w:val="24"/>
                <w:szCs w:val="24"/>
                <w:color w:val="auto"/>
              </w:rPr>
            </w:pPr>
          </w:p>
        </w:tc>
        <w:tc>
          <w:tcPr>
            <w:tcW w:w="24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49"/>
        </w:trPr>
        <w:tc>
          <w:tcPr>
            <w:tcW w:w="2700" w:type="dxa"/>
            <w:vAlign w:val="bottom"/>
          </w:tcPr>
          <w:p>
            <w:pPr>
              <w:spacing w:after="0" w:line="149" w:lineRule="exact"/>
              <w:rPr>
                <w:sz w:val="20"/>
                <w:szCs w:val="20"/>
                <w:color w:val="auto"/>
              </w:rPr>
            </w:pPr>
            <w:r>
              <w:rPr>
                <w:rFonts w:ascii="Arial" w:cs="Arial" w:eastAsia="Arial" w:hAnsi="Arial"/>
                <w:sz w:val="14"/>
                <w:szCs w:val="14"/>
                <w:color w:val="auto"/>
              </w:rPr>
              <w:t>President</w:t>
            </w:r>
          </w:p>
        </w:tc>
        <w:tc>
          <w:tcPr>
            <w:tcW w:w="2860" w:type="dxa"/>
            <w:vAlign w:val="bottom"/>
          </w:tcPr>
          <w:p>
            <w:pPr>
              <w:ind w:left="900"/>
              <w:spacing w:after="0" w:line="149" w:lineRule="exact"/>
              <w:rPr>
                <w:sz w:val="20"/>
                <w:szCs w:val="20"/>
                <w:color w:val="auto"/>
              </w:rPr>
            </w:pPr>
            <w:r>
              <w:rPr>
                <w:rFonts w:ascii="Arial" w:cs="Arial" w:eastAsia="Arial" w:hAnsi="Arial"/>
                <w:sz w:val="14"/>
                <w:szCs w:val="14"/>
                <w:color w:val="auto"/>
              </w:rPr>
              <w:t>Executive Vice President</w:t>
            </w:r>
          </w:p>
        </w:tc>
        <w:tc>
          <w:tcPr>
            <w:tcW w:w="3460" w:type="dxa"/>
            <w:vAlign w:val="bottom"/>
          </w:tcPr>
          <w:p>
            <w:pPr>
              <w:spacing w:after="0"/>
              <w:rPr>
                <w:sz w:val="12"/>
                <w:szCs w:val="12"/>
                <w:color w:val="auto"/>
              </w:rPr>
            </w:pPr>
          </w:p>
        </w:tc>
        <w:tc>
          <w:tcPr>
            <w:tcW w:w="24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62"/>
        </w:trPr>
        <w:tc>
          <w:tcPr>
            <w:tcW w:w="2700" w:type="dxa"/>
            <w:vAlign w:val="bottom"/>
          </w:tcPr>
          <w:p>
            <w:pPr>
              <w:spacing w:after="0"/>
              <w:rPr>
                <w:sz w:val="14"/>
                <w:szCs w:val="14"/>
                <w:color w:val="auto"/>
              </w:rPr>
            </w:pPr>
          </w:p>
        </w:tc>
        <w:tc>
          <w:tcPr>
            <w:tcW w:w="2860" w:type="dxa"/>
            <w:vAlign w:val="bottom"/>
          </w:tcPr>
          <w:p>
            <w:pPr>
              <w:ind w:left="900"/>
              <w:spacing w:after="0"/>
              <w:rPr>
                <w:sz w:val="20"/>
                <w:szCs w:val="20"/>
                <w:color w:val="auto"/>
              </w:rPr>
            </w:pPr>
            <w:r>
              <w:rPr>
                <w:rFonts w:ascii="Arial" w:cs="Arial" w:eastAsia="Arial" w:hAnsi="Arial"/>
                <w:sz w:val="14"/>
                <w:szCs w:val="14"/>
                <w:color w:val="auto"/>
              </w:rPr>
              <w:t>Strategy and Development</w:t>
            </w:r>
          </w:p>
        </w:tc>
        <w:tc>
          <w:tcPr>
            <w:tcW w:w="3460" w:type="dxa"/>
            <w:vAlign w:val="bottom"/>
          </w:tcPr>
          <w:p>
            <w:pPr>
              <w:spacing w:after="0"/>
              <w:rPr>
                <w:sz w:val="14"/>
                <w:szCs w:val="14"/>
                <w:color w:val="auto"/>
              </w:rPr>
            </w:pPr>
          </w:p>
        </w:tc>
        <w:tc>
          <w:tcPr>
            <w:tcW w:w="24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365"/>
        </w:trPr>
        <w:tc>
          <w:tcPr>
            <w:tcW w:w="2700" w:type="dxa"/>
            <w:vAlign w:val="bottom"/>
          </w:tcPr>
          <w:p>
            <w:pPr>
              <w:spacing w:after="0"/>
              <w:rPr>
                <w:sz w:val="20"/>
                <w:szCs w:val="20"/>
                <w:color w:val="auto"/>
              </w:rPr>
            </w:pPr>
            <w:r>
              <w:rPr>
                <w:rFonts w:ascii="Arial" w:cs="Arial" w:eastAsia="Arial" w:hAnsi="Arial"/>
                <w:sz w:val="14"/>
                <w:szCs w:val="14"/>
                <w:b w:val="1"/>
                <w:bCs w:val="1"/>
                <w:color w:val="35BF85"/>
              </w:rPr>
              <w:t>Comcast Spectacor</w:t>
            </w:r>
          </w:p>
        </w:tc>
        <w:tc>
          <w:tcPr>
            <w:tcW w:w="2860" w:type="dxa"/>
            <w:vAlign w:val="bottom"/>
          </w:tcPr>
          <w:p>
            <w:pPr>
              <w:spacing w:after="0"/>
              <w:rPr>
                <w:sz w:val="24"/>
                <w:szCs w:val="24"/>
                <w:color w:val="auto"/>
              </w:rPr>
            </w:pPr>
          </w:p>
        </w:tc>
        <w:tc>
          <w:tcPr>
            <w:tcW w:w="3460" w:type="dxa"/>
            <w:vAlign w:val="bottom"/>
          </w:tcPr>
          <w:p>
            <w:pPr>
              <w:spacing w:after="0"/>
              <w:rPr>
                <w:sz w:val="24"/>
                <w:szCs w:val="24"/>
                <w:color w:val="auto"/>
              </w:rPr>
            </w:pPr>
          </w:p>
        </w:tc>
        <w:tc>
          <w:tcPr>
            <w:tcW w:w="24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51"/>
        </w:trPr>
        <w:tc>
          <w:tcPr>
            <w:tcW w:w="2700" w:type="dxa"/>
            <w:vAlign w:val="bottom"/>
          </w:tcPr>
          <w:p>
            <w:pPr>
              <w:spacing w:after="0"/>
              <w:rPr>
                <w:sz w:val="20"/>
                <w:szCs w:val="20"/>
                <w:color w:val="auto"/>
              </w:rPr>
            </w:pPr>
            <w:r>
              <w:rPr>
                <w:rFonts w:ascii="Arial" w:cs="Arial" w:eastAsia="Arial" w:hAnsi="Arial"/>
                <w:sz w:val="14"/>
                <w:szCs w:val="14"/>
                <w:b w:val="1"/>
                <w:bCs w:val="1"/>
                <w:color w:val="auto"/>
              </w:rPr>
              <w:t>Edward M. Snider</w:t>
            </w:r>
          </w:p>
        </w:tc>
        <w:tc>
          <w:tcPr>
            <w:tcW w:w="2860" w:type="dxa"/>
            <w:vAlign w:val="bottom"/>
          </w:tcPr>
          <w:p>
            <w:pPr>
              <w:ind w:left="900"/>
              <w:spacing w:after="0"/>
              <w:rPr>
                <w:sz w:val="20"/>
                <w:szCs w:val="20"/>
                <w:color w:val="auto"/>
              </w:rPr>
            </w:pPr>
            <w:r>
              <w:rPr>
                <w:rFonts w:ascii="Arial" w:cs="Arial" w:eastAsia="Arial" w:hAnsi="Arial"/>
                <w:sz w:val="14"/>
                <w:szCs w:val="14"/>
                <w:b w:val="1"/>
                <w:bCs w:val="1"/>
                <w:color w:val="auto"/>
              </w:rPr>
              <w:t>Peter A. Luukko</w:t>
            </w:r>
          </w:p>
        </w:tc>
        <w:tc>
          <w:tcPr>
            <w:tcW w:w="3460" w:type="dxa"/>
            <w:vAlign w:val="bottom"/>
          </w:tcPr>
          <w:p>
            <w:pPr>
              <w:ind w:left="1520"/>
              <w:spacing w:after="0"/>
              <w:rPr>
                <w:sz w:val="20"/>
                <w:szCs w:val="20"/>
                <w:color w:val="auto"/>
              </w:rPr>
            </w:pPr>
            <w:r>
              <w:rPr>
                <w:rFonts w:ascii="Arial" w:cs="Arial" w:eastAsia="Arial" w:hAnsi="Arial"/>
                <w:sz w:val="14"/>
                <w:szCs w:val="14"/>
                <w:b w:val="1"/>
                <w:bCs w:val="1"/>
                <w:color w:val="auto"/>
              </w:rPr>
              <w:t>Sanford Lipstein</w:t>
            </w:r>
          </w:p>
        </w:tc>
        <w:tc>
          <w:tcPr>
            <w:tcW w:w="2400" w:type="dxa"/>
            <w:vAlign w:val="bottom"/>
          </w:tcPr>
          <w:p>
            <w:pPr>
              <w:ind w:left="460"/>
              <w:spacing w:after="0"/>
              <w:rPr>
                <w:sz w:val="20"/>
                <w:szCs w:val="20"/>
                <w:color w:val="auto"/>
              </w:rPr>
            </w:pPr>
            <w:r>
              <w:rPr>
                <w:rFonts w:ascii="Arial" w:cs="Arial" w:eastAsia="Arial" w:hAnsi="Arial"/>
                <w:sz w:val="14"/>
                <w:szCs w:val="14"/>
                <w:b w:val="1"/>
                <w:bCs w:val="1"/>
                <w:color w:val="auto"/>
              </w:rPr>
              <w:t>Philip I. Weinberg</w:t>
            </w:r>
          </w:p>
        </w:tc>
        <w:tc>
          <w:tcPr>
            <w:tcW w:w="0" w:type="dxa"/>
            <w:vAlign w:val="bottom"/>
          </w:tcPr>
          <w:p>
            <w:pPr>
              <w:spacing w:after="0"/>
              <w:rPr>
                <w:sz w:val="1"/>
                <w:szCs w:val="1"/>
                <w:color w:val="auto"/>
              </w:rPr>
            </w:pPr>
          </w:p>
        </w:tc>
      </w:tr>
      <w:tr>
        <w:trPr>
          <w:trHeight w:val="149"/>
        </w:trPr>
        <w:tc>
          <w:tcPr>
            <w:tcW w:w="2700" w:type="dxa"/>
            <w:vAlign w:val="bottom"/>
          </w:tcPr>
          <w:p>
            <w:pPr>
              <w:spacing w:after="0" w:line="149" w:lineRule="exact"/>
              <w:rPr>
                <w:sz w:val="20"/>
                <w:szCs w:val="20"/>
                <w:color w:val="auto"/>
              </w:rPr>
            </w:pPr>
            <w:r>
              <w:rPr>
                <w:rFonts w:ascii="Arial" w:cs="Arial" w:eastAsia="Arial" w:hAnsi="Arial"/>
                <w:sz w:val="14"/>
                <w:szCs w:val="14"/>
                <w:color w:val="auto"/>
              </w:rPr>
              <w:t>Chairman</w:t>
            </w:r>
          </w:p>
        </w:tc>
        <w:tc>
          <w:tcPr>
            <w:tcW w:w="2860" w:type="dxa"/>
            <w:vAlign w:val="bottom"/>
          </w:tcPr>
          <w:p>
            <w:pPr>
              <w:ind w:left="900"/>
              <w:spacing w:after="0" w:line="149" w:lineRule="exact"/>
              <w:rPr>
                <w:sz w:val="20"/>
                <w:szCs w:val="20"/>
                <w:color w:val="auto"/>
              </w:rPr>
            </w:pPr>
            <w:r>
              <w:rPr>
                <w:rFonts w:ascii="Arial" w:cs="Arial" w:eastAsia="Arial" w:hAnsi="Arial"/>
                <w:sz w:val="14"/>
                <w:szCs w:val="14"/>
                <w:color w:val="auto"/>
              </w:rPr>
              <w:t>President</w:t>
            </w:r>
          </w:p>
        </w:tc>
        <w:tc>
          <w:tcPr>
            <w:tcW w:w="3460" w:type="dxa"/>
            <w:vAlign w:val="bottom"/>
          </w:tcPr>
          <w:p>
            <w:pPr>
              <w:ind w:left="1520"/>
              <w:spacing w:after="0" w:line="149" w:lineRule="exact"/>
              <w:rPr>
                <w:sz w:val="20"/>
                <w:szCs w:val="20"/>
                <w:color w:val="auto"/>
              </w:rPr>
            </w:pPr>
            <w:r>
              <w:rPr>
                <w:rFonts w:ascii="Arial" w:cs="Arial" w:eastAsia="Arial" w:hAnsi="Arial"/>
                <w:sz w:val="14"/>
                <w:szCs w:val="14"/>
                <w:color w:val="auto"/>
              </w:rPr>
              <w:t>Executive Vice President</w:t>
            </w:r>
          </w:p>
        </w:tc>
        <w:tc>
          <w:tcPr>
            <w:tcW w:w="2400" w:type="dxa"/>
            <w:vAlign w:val="bottom"/>
          </w:tcPr>
          <w:p>
            <w:pPr>
              <w:ind w:left="460"/>
              <w:spacing w:after="0" w:line="149" w:lineRule="exact"/>
              <w:rPr>
                <w:sz w:val="20"/>
                <w:szCs w:val="20"/>
                <w:color w:val="auto"/>
              </w:rPr>
            </w:pPr>
            <w:r>
              <w:rPr>
                <w:rFonts w:ascii="Arial" w:cs="Arial" w:eastAsia="Arial" w:hAnsi="Arial"/>
                <w:sz w:val="14"/>
                <w:szCs w:val="14"/>
                <w:color w:val="auto"/>
              </w:rPr>
              <w:t>Executive Vice President and</w:t>
            </w:r>
          </w:p>
        </w:tc>
        <w:tc>
          <w:tcPr>
            <w:tcW w:w="0" w:type="dxa"/>
            <w:vAlign w:val="bottom"/>
          </w:tcPr>
          <w:p>
            <w:pPr>
              <w:spacing w:after="0"/>
              <w:rPr>
                <w:sz w:val="1"/>
                <w:szCs w:val="1"/>
                <w:color w:val="auto"/>
              </w:rPr>
            </w:pPr>
          </w:p>
        </w:tc>
      </w:tr>
      <w:tr>
        <w:trPr>
          <w:trHeight w:val="149"/>
        </w:trPr>
        <w:tc>
          <w:tcPr>
            <w:tcW w:w="2700" w:type="dxa"/>
            <w:vAlign w:val="bottom"/>
            <w:vMerge w:val="restart"/>
          </w:tcPr>
          <w:p>
            <w:pPr>
              <w:spacing w:after="0"/>
              <w:rPr>
                <w:sz w:val="20"/>
                <w:szCs w:val="20"/>
                <w:color w:val="auto"/>
              </w:rPr>
            </w:pPr>
            <w:r>
              <w:rPr>
                <w:rFonts w:ascii="Arial" w:cs="Arial" w:eastAsia="Arial" w:hAnsi="Arial"/>
                <w:sz w:val="14"/>
                <w:szCs w:val="14"/>
                <w:b w:val="1"/>
                <w:bCs w:val="1"/>
                <w:color w:val="auto"/>
              </w:rPr>
              <w:t>Fred A. Shabel</w:t>
            </w:r>
          </w:p>
        </w:tc>
        <w:tc>
          <w:tcPr>
            <w:tcW w:w="2860" w:type="dxa"/>
            <w:vAlign w:val="bottom"/>
          </w:tcPr>
          <w:p>
            <w:pPr>
              <w:spacing w:after="0"/>
              <w:rPr>
                <w:sz w:val="12"/>
                <w:szCs w:val="12"/>
                <w:color w:val="auto"/>
              </w:rPr>
            </w:pPr>
          </w:p>
        </w:tc>
        <w:tc>
          <w:tcPr>
            <w:tcW w:w="3460" w:type="dxa"/>
            <w:vAlign w:val="bottom"/>
          </w:tcPr>
          <w:p>
            <w:pPr>
              <w:ind w:left="1520"/>
              <w:spacing w:after="0" w:line="149" w:lineRule="exact"/>
              <w:rPr>
                <w:sz w:val="20"/>
                <w:szCs w:val="20"/>
                <w:color w:val="auto"/>
              </w:rPr>
            </w:pPr>
            <w:r>
              <w:rPr>
                <w:rFonts w:ascii="Arial" w:cs="Arial" w:eastAsia="Arial" w:hAnsi="Arial"/>
                <w:sz w:val="14"/>
                <w:szCs w:val="14"/>
                <w:color w:val="auto"/>
              </w:rPr>
              <w:t>Finance and</w:t>
            </w:r>
          </w:p>
        </w:tc>
        <w:tc>
          <w:tcPr>
            <w:tcW w:w="2400" w:type="dxa"/>
            <w:vAlign w:val="bottom"/>
          </w:tcPr>
          <w:p>
            <w:pPr>
              <w:ind w:left="460"/>
              <w:spacing w:after="0" w:line="149" w:lineRule="exact"/>
              <w:rPr>
                <w:sz w:val="20"/>
                <w:szCs w:val="20"/>
                <w:color w:val="auto"/>
              </w:rPr>
            </w:pPr>
            <w:r>
              <w:rPr>
                <w:rFonts w:ascii="Arial" w:cs="Arial" w:eastAsia="Arial" w:hAnsi="Arial"/>
                <w:sz w:val="14"/>
                <w:szCs w:val="14"/>
                <w:color w:val="auto"/>
              </w:rPr>
              <w:t>General Counsel</w:t>
            </w:r>
          </w:p>
        </w:tc>
        <w:tc>
          <w:tcPr>
            <w:tcW w:w="0" w:type="dxa"/>
            <w:vAlign w:val="bottom"/>
          </w:tcPr>
          <w:p>
            <w:pPr>
              <w:spacing w:after="0"/>
              <w:rPr>
                <w:sz w:val="1"/>
                <w:szCs w:val="1"/>
                <w:color w:val="auto"/>
              </w:rPr>
            </w:pPr>
          </w:p>
        </w:tc>
      </w:tr>
      <w:tr>
        <w:trPr>
          <w:trHeight w:val="149"/>
        </w:trPr>
        <w:tc>
          <w:tcPr>
            <w:tcW w:w="2700" w:type="dxa"/>
            <w:vAlign w:val="bottom"/>
            <w:vMerge w:val="continue"/>
          </w:tcPr>
          <w:p>
            <w:pPr>
              <w:spacing w:after="0"/>
              <w:rPr>
                <w:sz w:val="12"/>
                <w:szCs w:val="12"/>
                <w:color w:val="auto"/>
              </w:rPr>
            </w:pPr>
          </w:p>
        </w:tc>
        <w:tc>
          <w:tcPr>
            <w:tcW w:w="2860" w:type="dxa"/>
            <w:vAlign w:val="bottom"/>
          </w:tcPr>
          <w:p>
            <w:pPr>
              <w:spacing w:after="0"/>
              <w:rPr>
                <w:sz w:val="12"/>
                <w:szCs w:val="12"/>
                <w:color w:val="auto"/>
              </w:rPr>
            </w:pPr>
          </w:p>
        </w:tc>
        <w:tc>
          <w:tcPr>
            <w:tcW w:w="3460" w:type="dxa"/>
            <w:vAlign w:val="bottom"/>
          </w:tcPr>
          <w:p>
            <w:pPr>
              <w:ind w:left="1520"/>
              <w:spacing w:after="0" w:line="149" w:lineRule="exact"/>
              <w:rPr>
                <w:sz w:val="20"/>
                <w:szCs w:val="20"/>
                <w:color w:val="auto"/>
              </w:rPr>
            </w:pPr>
            <w:r>
              <w:rPr>
                <w:rFonts w:ascii="Arial" w:cs="Arial" w:eastAsia="Arial" w:hAnsi="Arial"/>
                <w:sz w:val="14"/>
                <w:szCs w:val="14"/>
                <w:color w:val="auto"/>
              </w:rPr>
              <w:t>Chief Financial Officer</w:t>
            </w:r>
          </w:p>
        </w:tc>
        <w:tc>
          <w:tcPr>
            <w:tcW w:w="24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62"/>
        </w:trPr>
        <w:tc>
          <w:tcPr>
            <w:tcW w:w="2700" w:type="dxa"/>
            <w:vAlign w:val="bottom"/>
          </w:tcPr>
          <w:p>
            <w:pPr>
              <w:spacing w:after="0"/>
              <w:rPr>
                <w:sz w:val="20"/>
                <w:szCs w:val="20"/>
                <w:color w:val="auto"/>
              </w:rPr>
            </w:pPr>
            <w:r>
              <w:rPr>
                <w:rFonts w:ascii="Arial" w:cs="Arial" w:eastAsia="Arial" w:hAnsi="Arial"/>
                <w:sz w:val="14"/>
                <w:szCs w:val="14"/>
                <w:color w:val="auto"/>
              </w:rPr>
              <w:t>Vice Chairman</w:t>
            </w:r>
          </w:p>
        </w:tc>
        <w:tc>
          <w:tcPr>
            <w:tcW w:w="2860" w:type="dxa"/>
            <w:vAlign w:val="bottom"/>
          </w:tcPr>
          <w:p>
            <w:pPr>
              <w:spacing w:after="0"/>
              <w:rPr>
                <w:sz w:val="14"/>
                <w:szCs w:val="14"/>
                <w:color w:val="auto"/>
              </w:rPr>
            </w:pPr>
          </w:p>
        </w:tc>
        <w:tc>
          <w:tcPr>
            <w:tcW w:w="3460" w:type="dxa"/>
            <w:vAlign w:val="bottom"/>
          </w:tcPr>
          <w:p>
            <w:pPr>
              <w:spacing w:after="0"/>
              <w:rPr>
                <w:sz w:val="14"/>
                <w:szCs w:val="14"/>
                <w:color w:val="auto"/>
              </w:rPr>
            </w:pPr>
          </w:p>
        </w:tc>
        <w:tc>
          <w:tcPr>
            <w:tcW w:w="24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97"/>
        </w:trPr>
        <w:tc>
          <w:tcPr>
            <w:tcW w:w="2700" w:type="dxa"/>
            <w:vAlign w:val="bottom"/>
          </w:tcPr>
          <w:p>
            <w:pPr>
              <w:spacing w:after="0"/>
              <w:rPr>
                <w:sz w:val="20"/>
                <w:szCs w:val="20"/>
                <w:color w:val="auto"/>
              </w:rPr>
            </w:pPr>
            <w:r>
              <w:rPr>
                <w:rFonts w:ascii="Arial" w:cs="Arial" w:eastAsia="Arial" w:hAnsi="Arial"/>
                <w:sz w:val="14"/>
                <w:szCs w:val="14"/>
                <w:color w:val="auto"/>
              </w:rPr>
              <w:t>Comcast 2006 Annual Report</w:t>
            </w:r>
          </w:p>
        </w:tc>
        <w:tc>
          <w:tcPr>
            <w:tcW w:w="2860" w:type="dxa"/>
            <w:vAlign w:val="bottom"/>
          </w:tcPr>
          <w:p>
            <w:pPr>
              <w:spacing w:after="0"/>
              <w:rPr>
                <w:sz w:val="24"/>
                <w:szCs w:val="24"/>
                <w:color w:val="auto"/>
              </w:rPr>
            </w:pPr>
          </w:p>
        </w:tc>
        <w:tc>
          <w:tcPr>
            <w:tcW w:w="3460" w:type="dxa"/>
            <w:vAlign w:val="bottom"/>
          </w:tcPr>
          <w:p>
            <w:pPr>
              <w:ind w:left="140"/>
              <w:spacing w:after="0"/>
              <w:rPr>
                <w:sz w:val="20"/>
                <w:szCs w:val="20"/>
                <w:color w:val="auto"/>
              </w:rPr>
            </w:pPr>
            <w:r>
              <w:rPr>
                <w:rFonts w:ascii="Arial" w:cs="Arial" w:eastAsia="Arial" w:hAnsi="Arial"/>
                <w:sz w:val="14"/>
                <w:szCs w:val="14"/>
                <w:b w:val="1"/>
                <w:bCs w:val="1"/>
                <w:color w:val="auto"/>
              </w:rPr>
              <w:t>80</w:t>
            </w:r>
          </w:p>
        </w:tc>
        <w:tc>
          <w:tcPr>
            <w:tcW w:w="240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420"/>
          </w:cols>
          <w:pgMar w:left="240" w:top="459" w:right="239" w:bottom="1440" w:gutter="0" w:footer="0" w:header="0"/>
        </w:sectPr>
      </w:pPr>
    </w:p>
    <w:bookmarkStart w:id="157" w:name="page158"/>
    <w:bookmarkEnd w:id="157"/>
    <w:p>
      <w:pPr>
        <w:spacing w:after="0"/>
        <w:rPr>
          <w:rFonts w:ascii="Arial" w:cs="Arial" w:eastAsia="Arial" w:hAnsi="Arial"/>
          <w:sz w:val="16"/>
          <w:szCs w:val="16"/>
          <w:b w:val="1"/>
          <w:bCs w:val="1"/>
          <w:u w:val="single" w:color="auto"/>
          <w:color w:val="0000EE"/>
        </w:rPr>
      </w:pPr>
      <w:r>
        <w:rPr>
          <w:rFonts w:ascii="Arial" w:cs="Arial" w:eastAsia="Arial" w:hAnsi="Arial"/>
          <w:sz w:val="16"/>
          <w:szCs w:val="16"/>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232" name="Picture 2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2"/>
                    <pic:cNvPicPr>
                      <a:picLocks noChangeAspect="1" noChangeArrowheads="1"/>
                    </pic:cNvPicPr>
                  </pic:nvPicPr>
                  <pic:blipFill>
                    <a:blip r:embed="rId239">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3">
        <w:r>
          <w:rPr>
            <w:rFonts w:ascii="Arial" w:cs="Arial" w:eastAsia="Arial" w:hAnsi="Arial"/>
            <w:sz w:val="16"/>
            <w:szCs w:val="16"/>
            <w:b w:val="1"/>
            <w:bCs w:val="1"/>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880110</wp:posOffset>
            </wp:positionH>
            <wp:positionV relativeFrom="paragraph">
              <wp:posOffset>220345</wp:posOffset>
            </wp:positionV>
            <wp:extent cx="5497195" cy="7117715"/>
            <wp:wrapNone/>
            <wp:docPr id="233" name="Picture 2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3"/>
                    <pic:cNvPicPr>
                      <a:picLocks noChangeAspect="1" noChangeArrowheads="1"/>
                    </pic:cNvPicPr>
                  </pic:nvPicPr>
                  <pic:blipFill>
                    <a:blip r:embed="rId240">
                      <a:extLst>
                        <a:ext uri="{28A0092B-C50C-407E-A947-70E740481C1C}"/>
                      </a:extLst>
                    </a:blip>
                    <a:srcRect/>
                    <a:stretch>
                      <a:fillRect/>
                    </a:stretch>
                  </pic:blipFill>
                  <pic:spPr bwMode="auto">
                    <a:xfrm>
                      <a:off x="0" y="0"/>
                      <a:ext cx="5497195" cy="7117715"/>
                    </a:xfrm>
                    <a:prstGeom prst="rect">
                      <a:avLst/>
                    </a:prstGeom>
                    <a:noFill/>
                  </pic:spPr>
                </pic:pic>
              </a:graphicData>
            </a:graphic>
          </wp:anchor>
        </w:drawing>
      </w:r>
    </w:p>
    <w:p>
      <w:pPr>
        <w:sectPr>
          <w:pgSz w:w="11900" w:h="16838" w:orient="portrait"/>
          <w:cols w:equalWidth="0" w:num="1">
            <w:col w:w="11380"/>
          </w:cols>
          <w:pgMar w:left="240" w:top="459" w:right="27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4"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1540" w:type="dxa"/>
            <w:vAlign w:val="bottom"/>
            <w:gridSpan w:val="2"/>
          </w:tcPr>
          <w:p>
            <w:pPr>
              <w:spacing w:after="0"/>
              <w:rPr>
                <w:sz w:val="20"/>
                <w:szCs w:val="20"/>
                <w:color w:val="auto"/>
              </w:rPr>
            </w:pPr>
            <w:r>
              <w:rPr>
                <w:rFonts w:ascii="Arial" w:cs="Arial" w:eastAsia="Arial" w:hAnsi="Arial"/>
                <w:sz w:val="14"/>
                <w:szCs w:val="14"/>
                <w:color w:val="FFFFFF"/>
              </w:rPr>
              <w:t>Shareholder Information</w:t>
            </w:r>
          </w:p>
        </w:tc>
        <w:tc>
          <w:tcPr>
            <w:tcW w:w="3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2000" w:type="dxa"/>
            <w:vAlign w:val="bottom"/>
          </w:tcPr>
          <w:p>
            <w:pPr>
              <w:spacing w:after="0"/>
              <w:rPr>
                <w:sz w:val="14"/>
                <w:szCs w:val="14"/>
                <w:color w:val="auto"/>
              </w:rPr>
            </w:pPr>
          </w:p>
        </w:tc>
        <w:tc>
          <w:tcPr>
            <w:tcW w:w="2140" w:type="dxa"/>
            <w:vAlign w:val="bottom"/>
          </w:tcPr>
          <w:p>
            <w:pPr>
              <w:spacing w:after="0"/>
              <w:rPr>
                <w:sz w:val="14"/>
                <w:szCs w:val="14"/>
                <w:color w:val="auto"/>
              </w:rPr>
            </w:pPr>
          </w:p>
        </w:tc>
        <w:tc>
          <w:tcPr>
            <w:tcW w:w="49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41"/>
        </w:trPr>
        <w:tc>
          <w:tcPr>
            <w:tcW w:w="1540" w:type="dxa"/>
            <w:vAlign w:val="bottom"/>
            <w:gridSpan w:val="2"/>
          </w:tcPr>
          <w:p>
            <w:pPr>
              <w:ind w:left="160"/>
              <w:spacing w:after="0"/>
              <w:rPr>
                <w:sz w:val="20"/>
                <w:szCs w:val="20"/>
                <w:color w:val="auto"/>
              </w:rPr>
            </w:pPr>
            <w:r>
              <w:rPr>
                <w:rFonts w:ascii="Arial" w:cs="Arial" w:eastAsia="Arial" w:hAnsi="Arial"/>
                <w:sz w:val="3"/>
                <w:szCs w:val="3"/>
                <w:color w:val="FFFFFF"/>
              </w:rPr>
              <w:t>rporate Headquarters</w:t>
            </w:r>
          </w:p>
        </w:tc>
        <w:tc>
          <w:tcPr>
            <w:tcW w:w="320" w:type="dxa"/>
            <w:vAlign w:val="bottom"/>
          </w:tcPr>
          <w:p>
            <w:pPr>
              <w:spacing w:after="0"/>
              <w:rPr>
                <w:sz w:val="3"/>
                <w:szCs w:val="3"/>
                <w:color w:val="auto"/>
              </w:rPr>
            </w:pPr>
          </w:p>
        </w:tc>
        <w:tc>
          <w:tcPr>
            <w:tcW w:w="80" w:type="dxa"/>
            <w:vAlign w:val="bottom"/>
          </w:tcPr>
          <w:p>
            <w:pPr>
              <w:spacing w:after="0"/>
              <w:rPr>
                <w:sz w:val="3"/>
                <w:szCs w:val="3"/>
                <w:color w:val="auto"/>
              </w:rPr>
            </w:pPr>
          </w:p>
        </w:tc>
        <w:tc>
          <w:tcPr>
            <w:tcW w:w="400" w:type="dxa"/>
            <w:vAlign w:val="bottom"/>
          </w:tcPr>
          <w:p>
            <w:pPr>
              <w:spacing w:after="0"/>
              <w:rPr>
                <w:sz w:val="3"/>
                <w:szCs w:val="3"/>
                <w:color w:val="auto"/>
              </w:rPr>
            </w:pPr>
          </w:p>
        </w:tc>
        <w:tc>
          <w:tcPr>
            <w:tcW w:w="2000" w:type="dxa"/>
            <w:vAlign w:val="bottom"/>
          </w:tcPr>
          <w:p>
            <w:pPr>
              <w:spacing w:after="0"/>
              <w:rPr>
                <w:sz w:val="3"/>
                <w:szCs w:val="3"/>
                <w:color w:val="auto"/>
              </w:rPr>
            </w:pPr>
          </w:p>
        </w:tc>
        <w:tc>
          <w:tcPr>
            <w:tcW w:w="2140" w:type="dxa"/>
            <w:vAlign w:val="bottom"/>
          </w:tcPr>
          <w:p>
            <w:pPr>
              <w:spacing w:after="0"/>
              <w:rPr>
                <w:sz w:val="3"/>
                <w:szCs w:val="3"/>
                <w:color w:val="auto"/>
              </w:rPr>
            </w:pPr>
          </w:p>
        </w:tc>
        <w:tc>
          <w:tcPr>
            <w:tcW w:w="490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41"/>
        </w:trPr>
        <w:tc>
          <w:tcPr>
            <w:tcW w:w="6480" w:type="dxa"/>
            <w:vAlign w:val="bottom"/>
            <w:gridSpan w:val="7"/>
          </w:tcPr>
          <w:p>
            <w:pPr>
              <w:spacing w:after="0"/>
              <w:rPr>
                <w:sz w:val="20"/>
                <w:szCs w:val="20"/>
                <w:color w:val="auto"/>
              </w:rPr>
            </w:pPr>
            <w:r>
              <w:rPr>
                <w:rFonts w:ascii="Arial" w:cs="Arial" w:eastAsia="Arial" w:hAnsi="Arial"/>
                <w:sz w:val="3"/>
                <w:szCs w:val="3"/>
                <w:color w:val="FFFFFF"/>
              </w:rPr>
              <w:t>Comcast Corporation 1500 Market Street Philadelphia, PA 19102-2148 215-665-1700 www.comcast.com</w:t>
            </w:r>
          </w:p>
        </w:tc>
        <w:tc>
          <w:tcPr>
            <w:tcW w:w="490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41"/>
        </w:trPr>
        <w:tc>
          <w:tcPr>
            <w:tcW w:w="1540" w:type="dxa"/>
            <w:vAlign w:val="bottom"/>
            <w:gridSpan w:val="2"/>
          </w:tcPr>
          <w:p>
            <w:pPr>
              <w:spacing w:after="0"/>
              <w:rPr>
                <w:sz w:val="20"/>
                <w:szCs w:val="20"/>
                <w:color w:val="auto"/>
              </w:rPr>
            </w:pPr>
            <w:r>
              <w:rPr>
                <w:rFonts w:ascii="Arial" w:cs="Arial" w:eastAsia="Arial" w:hAnsi="Arial"/>
                <w:sz w:val="3"/>
                <w:szCs w:val="3"/>
                <w:color w:val="FFFFFF"/>
              </w:rPr>
              <w:t>Stock</w:t>
            </w:r>
          </w:p>
        </w:tc>
        <w:tc>
          <w:tcPr>
            <w:tcW w:w="320" w:type="dxa"/>
            <w:vAlign w:val="bottom"/>
          </w:tcPr>
          <w:p>
            <w:pPr>
              <w:spacing w:after="0"/>
              <w:rPr>
                <w:sz w:val="3"/>
                <w:szCs w:val="3"/>
                <w:color w:val="auto"/>
              </w:rPr>
            </w:pPr>
          </w:p>
        </w:tc>
        <w:tc>
          <w:tcPr>
            <w:tcW w:w="80" w:type="dxa"/>
            <w:vAlign w:val="bottom"/>
          </w:tcPr>
          <w:p>
            <w:pPr>
              <w:spacing w:after="0"/>
              <w:rPr>
                <w:sz w:val="3"/>
                <w:szCs w:val="3"/>
                <w:color w:val="auto"/>
              </w:rPr>
            </w:pPr>
          </w:p>
        </w:tc>
        <w:tc>
          <w:tcPr>
            <w:tcW w:w="400" w:type="dxa"/>
            <w:vAlign w:val="bottom"/>
          </w:tcPr>
          <w:p>
            <w:pPr>
              <w:spacing w:after="0"/>
              <w:rPr>
                <w:sz w:val="3"/>
                <w:szCs w:val="3"/>
                <w:color w:val="auto"/>
              </w:rPr>
            </w:pPr>
          </w:p>
        </w:tc>
        <w:tc>
          <w:tcPr>
            <w:tcW w:w="2000" w:type="dxa"/>
            <w:vAlign w:val="bottom"/>
          </w:tcPr>
          <w:p>
            <w:pPr>
              <w:spacing w:after="0"/>
              <w:rPr>
                <w:sz w:val="3"/>
                <w:szCs w:val="3"/>
                <w:color w:val="auto"/>
              </w:rPr>
            </w:pPr>
          </w:p>
        </w:tc>
        <w:tc>
          <w:tcPr>
            <w:tcW w:w="2140" w:type="dxa"/>
            <w:vAlign w:val="bottom"/>
          </w:tcPr>
          <w:p>
            <w:pPr>
              <w:spacing w:after="0"/>
              <w:rPr>
                <w:sz w:val="3"/>
                <w:szCs w:val="3"/>
                <w:color w:val="auto"/>
              </w:rPr>
            </w:pPr>
          </w:p>
        </w:tc>
        <w:tc>
          <w:tcPr>
            <w:tcW w:w="490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41"/>
        </w:trPr>
        <w:tc>
          <w:tcPr>
            <w:tcW w:w="11380" w:type="dxa"/>
            <w:vAlign w:val="bottom"/>
            <w:gridSpan w:val="8"/>
          </w:tcPr>
          <w:p>
            <w:pPr>
              <w:ind w:left="100"/>
              <w:spacing w:after="0"/>
              <w:rPr>
                <w:sz w:val="20"/>
                <w:szCs w:val="20"/>
                <w:color w:val="auto"/>
              </w:rPr>
            </w:pPr>
            <w:r>
              <w:rPr>
                <w:rFonts w:ascii="Arial" w:cs="Arial" w:eastAsia="Arial" w:hAnsi="Arial"/>
                <w:sz w:val="3"/>
                <w:szCs w:val="3"/>
                <w:color w:val="FFFFFF"/>
              </w:rPr>
              <w:t>omcast’Listingsstock trades on the Nasdaq Global Select Market under the following trading symbols: Class A common stock: CMCSA</w:t>
            </w:r>
          </w:p>
        </w:tc>
        <w:tc>
          <w:tcPr>
            <w:tcW w:w="0" w:type="dxa"/>
            <w:vAlign w:val="bottom"/>
          </w:tcPr>
          <w:p>
            <w:pPr>
              <w:spacing w:after="0"/>
              <w:rPr>
                <w:sz w:val="1"/>
                <w:szCs w:val="1"/>
                <w:color w:val="auto"/>
              </w:rPr>
            </w:pPr>
          </w:p>
        </w:tc>
      </w:tr>
      <w:tr>
        <w:trPr>
          <w:trHeight w:val="41"/>
        </w:trPr>
        <w:tc>
          <w:tcPr>
            <w:tcW w:w="2340" w:type="dxa"/>
            <w:vAlign w:val="bottom"/>
            <w:gridSpan w:val="5"/>
          </w:tcPr>
          <w:p>
            <w:pPr>
              <w:spacing w:after="0"/>
              <w:rPr>
                <w:sz w:val="20"/>
                <w:szCs w:val="20"/>
                <w:color w:val="auto"/>
              </w:rPr>
            </w:pPr>
            <w:r>
              <w:rPr>
                <w:rFonts w:ascii="Arial" w:cs="Arial" w:eastAsia="Arial" w:hAnsi="Arial"/>
                <w:sz w:val="3"/>
                <w:szCs w:val="3"/>
                <w:color w:val="FFFFFF"/>
              </w:rPr>
              <w:t>Class A Special common stock: CMCSK</w:t>
            </w:r>
          </w:p>
        </w:tc>
        <w:tc>
          <w:tcPr>
            <w:tcW w:w="2000" w:type="dxa"/>
            <w:vAlign w:val="bottom"/>
          </w:tcPr>
          <w:p>
            <w:pPr>
              <w:spacing w:after="0"/>
              <w:rPr>
                <w:sz w:val="3"/>
                <w:szCs w:val="3"/>
                <w:color w:val="auto"/>
              </w:rPr>
            </w:pPr>
          </w:p>
        </w:tc>
        <w:tc>
          <w:tcPr>
            <w:tcW w:w="2140" w:type="dxa"/>
            <w:vAlign w:val="bottom"/>
          </w:tcPr>
          <w:p>
            <w:pPr>
              <w:spacing w:after="0"/>
              <w:rPr>
                <w:sz w:val="3"/>
                <w:szCs w:val="3"/>
                <w:color w:val="auto"/>
              </w:rPr>
            </w:pPr>
          </w:p>
        </w:tc>
        <w:tc>
          <w:tcPr>
            <w:tcW w:w="490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41"/>
        </w:trPr>
        <w:tc>
          <w:tcPr>
            <w:tcW w:w="1940" w:type="dxa"/>
            <w:vAlign w:val="bottom"/>
            <w:gridSpan w:val="4"/>
          </w:tcPr>
          <w:p>
            <w:pPr>
              <w:spacing w:after="0"/>
              <w:rPr>
                <w:sz w:val="20"/>
                <w:szCs w:val="20"/>
                <w:color w:val="auto"/>
              </w:rPr>
            </w:pPr>
            <w:r>
              <w:rPr>
                <w:rFonts w:ascii="Arial" w:cs="Arial" w:eastAsia="Arial" w:hAnsi="Arial"/>
                <w:sz w:val="3"/>
                <w:szCs w:val="3"/>
                <w:color w:val="FFFFFF"/>
              </w:rPr>
              <w:t>Stock Transfer Agent and Registrar</w:t>
            </w:r>
          </w:p>
        </w:tc>
        <w:tc>
          <w:tcPr>
            <w:tcW w:w="400" w:type="dxa"/>
            <w:vAlign w:val="bottom"/>
          </w:tcPr>
          <w:p>
            <w:pPr>
              <w:spacing w:after="0"/>
              <w:rPr>
                <w:sz w:val="3"/>
                <w:szCs w:val="3"/>
                <w:color w:val="auto"/>
              </w:rPr>
            </w:pPr>
          </w:p>
        </w:tc>
        <w:tc>
          <w:tcPr>
            <w:tcW w:w="2000" w:type="dxa"/>
            <w:vAlign w:val="bottom"/>
          </w:tcPr>
          <w:p>
            <w:pPr>
              <w:spacing w:after="0"/>
              <w:rPr>
                <w:sz w:val="3"/>
                <w:szCs w:val="3"/>
                <w:color w:val="auto"/>
              </w:rPr>
            </w:pPr>
          </w:p>
        </w:tc>
        <w:tc>
          <w:tcPr>
            <w:tcW w:w="2140" w:type="dxa"/>
            <w:vAlign w:val="bottom"/>
          </w:tcPr>
          <w:p>
            <w:pPr>
              <w:spacing w:after="0"/>
              <w:rPr>
                <w:sz w:val="3"/>
                <w:szCs w:val="3"/>
                <w:color w:val="auto"/>
              </w:rPr>
            </w:pPr>
          </w:p>
        </w:tc>
        <w:tc>
          <w:tcPr>
            <w:tcW w:w="490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41"/>
        </w:trPr>
        <w:tc>
          <w:tcPr>
            <w:tcW w:w="11380" w:type="dxa"/>
            <w:vAlign w:val="bottom"/>
            <w:gridSpan w:val="8"/>
          </w:tcPr>
          <w:p>
            <w:pPr>
              <w:spacing w:after="0"/>
              <w:rPr>
                <w:sz w:val="20"/>
                <w:szCs w:val="20"/>
                <w:color w:val="auto"/>
              </w:rPr>
            </w:pPr>
            <w:r>
              <w:rPr>
                <w:rFonts w:ascii="Arial" w:cs="Arial" w:eastAsia="Arial" w:hAnsi="Arial"/>
                <w:sz w:val="3"/>
                <w:szCs w:val="3"/>
                <w:color w:val="FFFFFF"/>
              </w:rPr>
              <w:t>Computershare Trust Co., N.A. P.O. Box 43091 Providence, RI 02940-3091 Domestic: 888-883-8903 TTD Domestic: 800-952-9245 International: 781-575-4730 www.computershare.com/comcast</w:t>
            </w:r>
          </w:p>
        </w:tc>
        <w:tc>
          <w:tcPr>
            <w:tcW w:w="0" w:type="dxa"/>
            <w:vAlign w:val="bottom"/>
          </w:tcPr>
          <w:p>
            <w:pPr>
              <w:spacing w:after="0"/>
              <w:rPr>
                <w:sz w:val="1"/>
                <w:szCs w:val="1"/>
                <w:color w:val="auto"/>
              </w:rPr>
            </w:pPr>
          </w:p>
        </w:tc>
      </w:tr>
      <w:tr>
        <w:trPr>
          <w:trHeight w:val="41"/>
        </w:trPr>
        <w:tc>
          <w:tcPr>
            <w:tcW w:w="1540" w:type="dxa"/>
            <w:vAlign w:val="bottom"/>
            <w:gridSpan w:val="2"/>
          </w:tcPr>
          <w:p>
            <w:pPr>
              <w:spacing w:after="0"/>
              <w:rPr>
                <w:sz w:val="20"/>
                <w:szCs w:val="20"/>
                <w:color w:val="auto"/>
              </w:rPr>
            </w:pPr>
            <w:r>
              <w:rPr>
                <w:rFonts w:ascii="Arial" w:cs="Arial" w:eastAsia="Arial" w:hAnsi="Arial"/>
                <w:sz w:val="3"/>
                <w:szCs w:val="3"/>
                <w:color w:val="FFFFFF"/>
              </w:rPr>
              <w:t>Shareholder Services</w:t>
            </w:r>
          </w:p>
        </w:tc>
        <w:tc>
          <w:tcPr>
            <w:tcW w:w="320" w:type="dxa"/>
            <w:vAlign w:val="bottom"/>
          </w:tcPr>
          <w:p>
            <w:pPr>
              <w:spacing w:after="0"/>
              <w:rPr>
                <w:sz w:val="3"/>
                <w:szCs w:val="3"/>
                <w:color w:val="auto"/>
              </w:rPr>
            </w:pPr>
          </w:p>
        </w:tc>
        <w:tc>
          <w:tcPr>
            <w:tcW w:w="80" w:type="dxa"/>
            <w:vAlign w:val="bottom"/>
          </w:tcPr>
          <w:p>
            <w:pPr>
              <w:spacing w:after="0"/>
              <w:rPr>
                <w:sz w:val="3"/>
                <w:szCs w:val="3"/>
                <w:color w:val="auto"/>
              </w:rPr>
            </w:pPr>
          </w:p>
        </w:tc>
        <w:tc>
          <w:tcPr>
            <w:tcW w:w="400" w:type="dxa"/>
            <w:vAlign w:val="bottom"/>
          </w:tcPr>
          <w:p>
            <w:pPr>
              <w:spacing w:after="0"/>
              <w:rPr>
                <w:sz w:val="3"/>
                <w:szCs w:val="3"/>
                <w:color w:val="auto"/>
              </w:rPr>
            </w:pPr>
          </w:p>
        </w:tc>
        <w:tc>
          <w:tcPr>
            <w:tcW w:w="2000" w:type="dxa"/>
            <w:vAlign w:val="bottom"/>
          </w:tcPr>
          <w:p>
            <w:pPr>
              <w:spacing w:after="0"/>
              <w:rPr>
                <w:sz w:val="3"/>
                <w:szCs w:val="3"/>
                <w:color w:val="auto"/>
              </w:rPr>
            </w:pPr>
          </w:p>
        </w:tc>
        <w:tc>
          <w:tcPr>
            <w:tcW w:w="2140" w:type="dxa"/>
            <w:vAlign w:val="bottom"/>
          </w:tcPr>
          <w:p>
            <w:pPr>
              <w:spacing w:after="0"/>
              <w:rPr>
                <w:sz w:val="3"/>
                <w:szCs w:val="3"/>
                <w:color w:val="auto"/>
              </w:rPr>
            </w:pPr>
          </w:p>
        </w:tc>
        <w:tc>
          <w:tcPr>
            <w:tcW w:w="490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41"/>
        </w:trPr>
        <w:tc>
          <w:tcPr>
            <w:tcW w:w="11380" w:type="dxa"/>
            <w:vAlign w:val="bottom"/>
            <w:gridSpan w:val="8"/>
          </w:tcPr>
          <w:p>
            <w:pPr>
              <w:spacing w:after="0"/>
              <w:rPr>
                <w:sz w:val="20"/>
                <w:szCs w:val="20"/>
                <w:color w:val="auto"/>
              </w:rPr>
            </w:pPr>
            <w:r>
              <w:rPr>
                <w:rFonts w:ascii="Arial" w:cs="Arial" w:eastAsia="Arial" w:hAnsi="Arial"/>
                <w:sz w:val="3"/>
                <w:szCs w:val="3"/>
                <w:color w:val="FFFFFF"/>
              </w:rPr>
              <w:t>Please contact our Stock Transfer Agent and Registrar with inquiries concerning shareholder accounts of record, stock transfer matters, information on Book Entry ownership, account consolidations or lost</w:t>
            </w:r>
          </w:p>
        </w:tc>
        <w:tc>
          <w:tcPr>
            <w:tcW w:w="0" w:type="dxa"/>
            <w:vAlign w:val="bottom"/>
          </w:tcPr>
          <w:p>
            <w:pPr>
              <w:spacing w:after="0"/>
              <w:rPr>
                <w:sz w:val="1"/>
                <w:szCs w:val="1"/>
                <w:color w:val="auto"/>
              </w:rPr>
            </w:pPr>
          </w:p>
        </w:tc>
      </w:tr>
      <w:tr>
        <w:trPr>
          <w:trHeight w:val="41"/>
        </w:trPr>
        <w:tc>
          <w:tcPr>
            <w:tcW w:w="1540" w:type="dxa"/>
            <w:vAlign w:val="bottom"/>
            <w:gridSpan w:val="2"/>
          </w:tcPr>
          <w:p>
            <w:pPr>
              <w:spacing w:after="0"/>
              <w:rPr>
                <w:sz w:val="20"/>
                <w:szCs w:val="20"/>
                <w:color w:val="auto"/>
              </w:rPr>
            </w:pPr>
            <w:r>
              <w:rPr>
                <w:rFonts w:ascii="Arial" w:cs="Arial" w:eastAsia="Arial" w:hAnsi="Arial"/>
                <w:sz w:val="3"/>
                <w:szCs w:val="3"/>
                <w:color w:val="FFFFFF"/>
              </w:rPr>
              <w:t>certificates.</w:t>
            </w:r>
          </w:p>
        </w:tc>
        <w:tc>
          <w:tcPr>
            <w:tcW w:w="320" w:type="dxa"/>
            <w:vAlign w:val="bottom"/>
          </w:tcPr>
          <w:p>
            <w:pPr>
              <w:spacing w:after="0"/>
              <w:rPr>
                <w:sz w:val="3"/>
                <w:szCs w:val="3"/>
                <w:color w:val="auto"/>
              </w:rPr>
            </w:pPr>
          </w:p>
        </w:tc>
        <w:tc>
          <w:tcPr>
            <w:tcW w:w="80" w:type="dxa"/>
            <w:vAlign w:val="bottom"/>
          </w:tcPr>
          <w:p>
            <w:pPr>
              <w:spacing w:after="0"/>
              <w:rPr>
                <w:sz w:val="3"/>
                <w:szCs w:val="3"/>
                <w:color w:val="auto"/>
              </w:rPr>
            </w:pPr>
          </w:p>
        </w:tc>
        <w:tc>
          <w:tcPr>
            <w:tcW w:w="400" w:type="dxa"/>
            <w:vAlign w:val="bottom"/>
          </w:tcPr>
          <w:p>
            <w:pPr>
              <w:spacing w:after="0"/>
              <w:rPr>
                <w:sz w:val="3"/>
                <w:szCs w:val="3"/>
                <w:color w:val="auto"/>
              </w:rPr>
            </w:pPr>
          </w:p>
        </w:tc>
        <w:tc>
          <w:tcPr>
            <w:tcW w:w="2000" w:type="dxa"/>
            <w:vAlign w:val="bottom"/>
          </w:tcPr>
          <w:p>
            <w:pPr>
              <w:spacing w:after="0"/>
              <w:rPr>
                <w:sz w:val="3"/>
                <w:szCs w:val="3"/>
                <w:color w:val="auto"/>
              </w:rPr>
            </w:pPr>
          </w:p>
        </w:tc>
        <w:tc>
          <w:tcPr>
            <w:tcW w:w="7040" w:type="dxa"/>
            <w:vAlign w:val="bottom"/>
            <w:gridSpan w:val="2"/>
            <w:vMerge w:val="restart"/>
          </w:tcPr>
          <w:p>
            <w:pPr>
              <w:ind w:left="360"/>
              <w:spacing w:after="0" w:line="81" w:lineRule="exact"/>
              <w:rPr>
                <w:sz w:val="20"/>
                <w:szCs w:val="20"/>
                <w:color w:val="auto"/>
              </w:rPr>
            </w:pPr>
            <w:r>
              <w:rPr>
                <w:rFonts w:ascii="Arial" w:cs="Arial" w:eastAsia="Arial" w:hAnsi="Arial"/>
                <w:sz w:val="9"/>
                <w:szCs w:val="9"/>
                <w:color w:val="FFFFFF"/>
              </w:rPr>
              <w:t>shareholder) or your broker (if you hold your stock through a brokerage firm).</w:t>
            </w:r>
          </w:p>
        </w:tc>
        <w:tc>
          <w:tcPr>
            <w:tcW w:w="0" w:type="dxa"/>
            <w:vAlign w:val="bottom"/>
          </w:tcPr>
          <w:p>
            <w:pPr>
              <w:spacing w:after="0"/>
              <w:rPr>
                <w:sz w:val="1"/>
                <w:szCs w:val="1"/>
                <w:color w:val="auto"/>
              </w:rPr>
            </w:pPr>
          </w:p>
        </w:tc>
      </w:tr>
      <w:tr>
        <w:trPr>
          <w:trHeight w:val="41"/>
        </w:trPr>
        <w:tc>
          <w:tcPr>
            <w:tcW w:w="4340" w:type="dxa"/>
            <w:vAlign w:val="bottom"/>
            <w:gridSpan w:val="6"/>
          </w:tcPr>
          <w:p>
            <w:pPr>
              <w:spacing w:after="0"/>
              <w:rPr>
                <w:sz w:val="20"/>
                <w:szCs w:val="20"/>
                <w:color w:val="auto"/>
              </w:rPr>
            </w:pPr>
            <w:r>
              <w:rPr>
                <w:rFonts w:ascii="Arial" w:cs="Arial" w:eastAsia="Arial" w:hAnsi="Arial"/>
                <w:sz w:val="3"/>
                <w:szCs w:val="3"/>
                <w:color w:val="FFFFFF"/>
              </w:rPr>
              <w:t>To eliminate duplicate mailings, please contact Computershare (if you are</w:t>
            </w:r>
          </w:p>
        </w:tc>
        <w:tc>
          <w:tcPr>
            <w:tcW w:w="7040" w:type="dxa"/>
            <w:vAlign w:val="bottom"/>
            <w:gridSpan w:val="2"/>
            <w:vMerge w:val="continue"/>
          </w:tcPr>
          <w:p>
            <w:pPr>
              <w:spacing w:after="0"/>
              <w:rPr>
                <w:sz w:val="3"/>
                <w:szCs w:val="3"/>
                <w:color w:val="auto"/>
              </w:rPr>
            </w:pPr>
          </w:p>
        </w:tc>
        <w:tc>
          <w:tcPr>
            <w:tcW w:w="0" w:type="dxa"/>
            <w:vAlign w:val="bottom"/>
          </w:tcPr>
          <w:p>
            <w:pPr>
              <w:spacing w:after="0"/>
              <w:rPr>
                <w:sz w:val="1"/>
                <w:szCs w:val="1"/>
                <w:color w:val="auto"/>
              </w:rPr>
            </w:pPr>
          </w:p>
        </w:tc>
      </w:tr>
      <w:tr>
        <w:trPr>
          <w:trHeight w:val="41"/>
        </w:trPr>
        <w:tc>
          <w:tcPr>
            <w:tcW w:w="11380" w:type="dxa"/>
            <w:vAlign w:val="bottom"/>
            <w:gridSpan w:val="8"/>
          </w:tcPr>
          <w:p>
            <w:pPr>
              <w:spacing w:after="0"/>
              <w:rPr>
                <w:sz w:val="20"/>
                <w:szCs w:val="20"/>
                <w:color w:val="auto"/>
              </w:rPr>
            </w:pPr>
            <w:r>
              <w:rPr>
                <w:rFonts w:ascii="Arial" w:cs="Arial" w:eastAsia="Arial" w:hAnsi="Arial"/>
                <w:sz w:val="3"/>
                <w:szCs w:val="3"/>
                <w:color w:val="FFFFFF"/>
              </w:rPr>
              <w:t>If you wish to receive all shareholder information exclusively online, you canregistered by going to www.cmcsa.com or www.cmcsk.com and following the instructions under Enroll for E-Delivery on our</w:t>
            </w:r>
          </w:p>
        </w:tc>
        <w:tc>
          <w:tcPr>
            <w:tcW w:w="0" w:type="dxa"/>
            <w:vAlign w:val="bottom"/>
          </w:tcPr>
          <w:p>
            <w:pPr>
              <w:spacing w:after="0"/>
              <w:rPr>
                <w:sz w:val="1"/>
                <w:szCs w:val="1"/>
                <w:color w:val="auto"/>
              </w:rPr>
            </w:pPr>
          </w:p>
        </w:tc>
      </w:tr>
      <w:tr>
        <w:trPr>
          <w:trHeight w:val="41"/>
        </w:trPr>
        <w:tc>
          <w:tcPr>
            <w:tcW w:w="1540" w:type="dxa"/>
            <w:vAlign w:val="bottom"/>
            <w:gridSpan w:val="2"/>
          </w:tcPr>
          <w:p>
            <w:pPr>
              <w:spacing w:after="0"/>
              <w:rPr>
                <w:sz w:val="20"/>
                <w:szCs w:val="20"/>
                <w:color w:val="auto"/>
              </w:rPr>
            </w:pPr>
            <w:r>
              <w:rPr>
                <w:rFonts w:ascii="Arial" w:cs="Arial" w:eastAsia="Arial" w:hAnsi="Arial"/>
                <w:sz w:val="3"/>
                <w:szCs w:val="3"/>
                <w:color w:val="FFFFFF"/>
              </w:rPr>
              <w:t>Shareholder Services page.</w:t>
            </w:r>
          </w:p>
        </w:tc>
        <w:tc>
          <w:tcPr>
            <w:tcW w:w="320" w:type="dxa"/>
            <w:vAlign w:val="bottom"/>
          </w:tcPr>
          <w:p>
            <w:pPr>
              <w:spacing w:after="0"/>
              <w:rPr>
                <w:sz w:val="3"/>
                <w:szCs w:val="3"/>
                <w:color w:val="auto"/>
              </w:rPr>
            </w:pPr>
          </w:p>
        </w:tc>
        <w:tc>
          <w:tcPr>
            <w:tcW w:w="80" w:type="dxa"/>
            <w:vAlign w:val="bottom"/>
          </w:tcPr>
          <w:p>
            <w:pPr>
              <w:spacing w:after="0"/>
              <w:rPr>
                <w:sz w:val="3"/>
                <w:szCs w:val="3"/>
                <w:color w:val="auto"/>
              </w:rPr>
            </w:pPr>
          </w:p>
        </w:tc>
        <w:tc>
          <w:tcPr>
            <w:tcW w:w="400" w:type="dxa"/>
            <w:vAlign w:val="bottom"/>
          </w:tcPr>
          <w:p>
            <w:pPr>
              <w:spacing w:after="0"/>
              <w:rPr>
                <w:sz w:val="3"/>
                <w:szCs w:val="3"/>
                <w:color w:val="auto"/>
              </w:rPr>
            </w:pPr>
          </w:p>
        </w:tc>
        <w:tc>
          <w:tcPr>
            <w:tcW w:w="2000" w:type="dxa"/>
            <w:vAlign w:val="bottom"/>
          </w:tcPr>
          <w:p>
            <w:pPr>
              <w:spacing w:after="0"/>
              <w:rPr>
                <w:sz w:val="3"/>
                <w:szCs w:val="3"/>
                <w:color w:val="auto"/>
              </w:rPr>
            </w:pPr>
          </w:p>
        </w:tc>
        <w:tc>
          <w:tcPr>
            <w:tcW w:w="2140" w:type="dxa"/>
            <w:vAlign w:val="bottom"/>
          </w:tcPr>
          <w:p>
            <w:pPr>
              <w:spacing w:after="0"/>
              <w:rPr>
                <w:sz w:val="3"/>
                <w:szCs w:val="3"/>
                <w:color w:val="auto"/>
              </w:rPr>
            </w:pPr>
          </w:p>
        </w:tc>
        <w:tc>
          <w:tcPr>
            <w:tcW w:w="490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41"/>
        </w:trPr>
        <w:tc>
          <w:tcPr>
            <w:tcW w:w="1540" w:type="dxa"/>
            <w:vAlign w:val="bottom"/>
            <w:gridSpan w:val="2"/>
          </w:tcPr>
          <w:p>
            <w:pPr>
              <w:spacing w:after="0"/>
              <w:rPr>
                <w:sz w:val="20"/>
                <w:szCs w:val="20"/>
                <w:color w:val="auto"/>
              </w:rPr>
            </w:pPr>
            <w:r>
              <w:rPr>
                <w:rFonts w:ascii="Arial" w:cs="Arial" w:eastAsia="Arial" w:hAnsi="Arial"/>
                <w:sz w:val="3"/>
                <w:szCs w:val="3"/>
                <w:color w:val="FFFFFF"/>
              </w:rPr>
              <w:t>Investor Relations</w:t>
            </w:r>
          </w:p>
        </w:tc>
        <w:tc>
          <w:tcPr>
            <w:tcW w:w="320" w:type="dxa"/>
            <w:vAlign w:val="bottom"/>
          </w:tcPr>
          <w:p>
            <w:pPr>
              <w:spacing w:after="0"/>
              <w:rPr>
                <w:sz w:val="3"/>
                <w:szCs w:val="3"/>
                <w:color w:val="auto"/>
              </w:rPr>
            </w:pPr>
          </w:p>
        </w:tc>
        <w:tc>
          <w:tcPr>
            <w:tcW w:w="80" w:type="dxa"/>
            <w:vAlign w:val="bottom"/>
          </w:tcPr>
          <w:p>
            <w:pPr>
              <w:spacing w:after="0"/>
              <w:rPr>
                <w:sz w:val="3"/>
                <w:szCs w:val="3"/>
                <w:color w:val="auto"/>
              </w:rPr>
            </w:pPr>
          </w:p>
        </w:tc>
        <w:tc>
          <w:tcPr>
            <w:tcW w:w="400" w:type="dxa"/>
            <w:vAlign w:val="bottom"/>
          </w:tcPr>
          <w:p>
            <w:pPr>
              <w:spacing w:after="0"/>
              <w:rPr>
                <w:sz w:val="3"/>
                <w:szCs w:val="3"/>
                <w:color w:val="auto"/>
              </w:rPr>
            </w:pPr>
          </w:p>
        </w:tc>
        <w:tc>
          <w:tcPr>
            <w:tcW w:w="2000" w:type="dxa"/>
            <w:vAlign w:val="bottom"/>
          </w:tcPr>
          <w:p>
            <w:pPr>
              <w:spacing w:after="0"/>
              <w:rPr>
                <w:sz w:val="3"/>
                <w:szCs w:val="3"/>
                <w:color w:val="auto"/>
              </w:rPr>
            </w:pPr>
          </w:p>
        </w:tc>
        <w:tc>
          <w:tcPr>
            <w:tcW w:w="2140" w:type="dxa"/>
            <w:vAlign w:val="bottom"/>
          </w:tcPr>
          <w:p>
            <w:pPr>
              <w:spacing w:after="0"/>
              <w:rPr>
                <w:sz w:val="3"/>
                <w:szCs w:val="3"/>
                <w:color w:val="auto"/>
              </w:rPr>
            </w:pPr>
          </w:p>
        </w:tc>
        <w:tc>
          <w:tcPr>
            <w:tcW w:w="490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41"/>
        </w:trPr>
        <w:tc>
          <w:tcPr>
            <w:tcW w:w="280" w:type="dxa"/>
            <w:vAlign w:val="bottom"/>
          </w:tcPr>
          <w:p>
            <w:pPr>
              <w:spacing w:after="0"/>
              <w:rPr>
                <w:sz w:val="3"/>
                <w:szCs w:val="3"/>
                <w:color w:val="auto"/>
              </w:rPr>
            </w:pPr>
          </w:p>
        </w:tc>
        <w:tc>
          <w:tcPr>
            <w:tcW w:w="11100" w:type="dxa"/>
            <w:vAlign w:val="bottom"/>
            <w:gridSpan w:val="7"/>
          </w:tcPr>
          <w:p>
            <w:pPr>
              <w:ind w:left="240"/>
              <w:spacing w:after="0"/>
              <w:rPr>
                <w:sz w:val="20"/>
                <w:szCs w:val="20"/>
                <w:color w:val="auto"/>
              </w:rPr>
            </w:pPr>
            <w:r>
              <w:rPr>
                <w:rFonts w:ascii="Arial" w:cs="Arial" w:eastAsia="Arial" w:hAnsi="Arial"/>
                <w:sz w:val="3"/>
                <w:szCs w:val="3"/>
                <w:color w:val="FFFFFF"/>
              </w:rPr>
              <w:t>Investor Relations 1500 Market Street Philadelphia, PA 19102-2148 866-281-2100 www.cmcsa.com or www.cmcsk.com</w:t>
            </w:r>
          </w:p>
        </w:tc>
        <w:tc>
          <w:tcPr>
            <w:tcW w:w="0" w:type="dxa"/>
            <w:vAlign w:val="bottom"/>
          </w:tcPr>
          <w:p>
            <w:pPr>
              <w:spacing w:after="0"/>
              <w:rPr>
                <w:sz w:val="1"/>
                <w:szCs w:val="1"/>
                <w:color w:val="auto"/>
              </w:rPr>
            </w:pPr>
          </w:p>
        </w:tc>
      </w:tr>
      <w:tr>
        <w:trPr>
          <w:trHeight w:val="41"/>
        </w:trPr>
        <w:tc>
          <w:tcPr>
            <w:tcW w:w="1540" w:type="dxa"/>
            <w:vAlign w:val="bottom"/>
            <w:gridSpan w:val="2"/>
          </w:tcPr>
          <w:p>
            <w:pPr>
              <w:spacing w:after="0"/>
              <w:rPr>
                <w:sz w:val="20"/>
                <w:szCs w:val="20"/>
                <w:color w:val="auto"/>
              </w:rPr>
            </w:pPr>
            <w:r>
              <w:rPr>
                <w:rFonts w:ascii="Arial" w:cs="Arial" w:eastAsia="Arial" w:hAnsi="Arial"/>
                <w:sz w:val="3"/>
                <w:szCs w:val="3"/>
                <w:color w:val="FFFFFF"/>
              </w:rPr>
              <w:t>ComcastTe-mail Investor</w:t>
            </w:r>
          </w:p>
        </w:tc>
        <w:tc>
          <w:tcPr>
            <w:tcW w:w="4940" w:type="dxa"/>
            <w:vAlign w:val="bottom"/>
            <w:gridSpan w:val="5"/>
          </w:tcPr>
          <w:p>
            <w:pPr>
              <w:ind w:left="80"/>
              <w:spacing w:after="0"/>
              <w:rPr>
                <w:sz w:val="20"/>
                <w:szCs w:val="20"/>
                <w:color w:val="auto"/>
              </w:rPr>
            </w:pPr>
            <w:r>
              <w:rPr>
                <w:rFonts w:ascii="Arial" w:cs="Arial" w:eastAsia="Arial" w:hAnsi="Arial"/>
                <w:sz w:val="3"/>
                <w:szCs w:val="3"/>
                <w:color w:val="FFFFFF"/>
              </w:rPr>
              <w:t>go to our Web site and click on Contact Investor Relations.</w:t>
            </w:r>
          </w:p>
        </w:tc>
        <w:tc>
          <w:tcPr>
            <w:tcW w:w="490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41"/>
        </w:trPr>
        <w:tc>
          <w:tcPr>
            <w:tcW w:w="1940" w:type="dxa"/>
            <w:vAlign w:val="bottom"/>
            <w:gridSpan w:val="4"/>
          </w:tcPr>
          <w:p>
            <w:pPr>
              <w:spacing w:after="0"/>
              <w:rPr>
                <w:sz w:val="20"/>
                <w:szCs w:val="20"/>
                <w:color w:val="auto"/>
              </w:rPr>
            </w:pPr>
            <w:r>
              <w:rPr>
                <w:rFonts w:ascii="Arial" w:cs="Arial" w:eastAsia="Arial" w:hAnsi="Arial"/>
                <w:sz w:val="3"/>
                <w:szCs w:val="3"/>
                <w:color w:val="FFFFFF"/>
              </w:rPr>
              <w:t>2006 Annual ReportRelations,Fom 10-K</w:t>
            </w:r>
          </w:p>
        </w:tc>
        <w:tc>
          <w:tcPr>
            <w:tcW w:w="400" w:type="dxa"/>
            <w:vAlign w:val="bottom"/>
          </w:tcPr>
          <w:p>
            <w:pPr>
              <w:spacing w:after="0"/>
              <w:rPr>
                <w:sz w:val="3"/>
                <w:szCs w:val="3"/>
                <w:color w:val="auto"/>
              </w:rPr>
            </w:pPr>
          </w:p>
        </w:tc>
        <w:tc>
          <w:tcPr>
            <w:tcW w:w="2000" w:type="dxa"/>
            <w:vAlign w:val="bottom"/>
          </w:tcPr>
          <w:p>
            <w:pPr>
              <w:spacing w:after="0"/>
              <w:rPr>
                <w:sz w:val="3"/>
                <w:szCs w:val="3"/>
                <w:color w:val="auto"/>
              </w:rPr>
            </w:pPr>
          </w:p>
        </w:tc>
        <w:tc>
          <w:tcPr>
            <w:tcW w:w="2140" w:type="dxa"/>
            <w:vAlign w:val="bottom"/>
          </w:tcPr>
          <w:p>
            <w:pPr>
              <w:spacing w:after="0"/>
              <w:rPr>
                <w:sz w:val="3"/>
                <w:szCs w:val="3"/>
                <w:color w:val="auto"/>
              </w:rPr>
            </w:pPr>
          </w:p>
        </w:tc>
        <w:tc>
          <w:tcPr>
            <w:tcW w:w="4900" w:type="dxa"/>
            <w:vAlign w:val="bottom"/>
            <w:vMerge w:val="restart"/>
          </w:tcPr>
          <w:p>
            <w:pPr>
              <w:ind w:left="180"/>
              <w:spacing w:after="0" w:line="81" w:lineRule="exact"/>
              <w:rPr>
                <w:sz w:val="20"/>
                <w:szCs w:val="20"/>
                <w:color w:val="auto"/>
              </w:rPr>
            </w:pPr>
            <w:r>
              <w:rPr>
                <w:rFonts w:ascii="Arial" w:cs="Arial" w:eastAsia="Arial" w:hAnsi="Arial"/>
                <w:sz w:val="9"/>
                <w:szCs w:val="9"/>
                <w:color w:val="FFFFFF"/>
              </w:rPr>
              <w:t>10-K filed with the U.S. Securities and Exchange Commission. For a copy of</w:t>
            </w:r>
          </w:p>
        </w:tc>
        <w:tc>
          <w:tcPr>
            <w:tcW w:w="0" w:type="dxa"/>
            <w:vAlign w:val="bottom"/>
          </w:tcPr>
          <w:p>
            <w:pPr>
              <w:spacing w:after="0"/>
              <w:rPr>
                <w:sz w:val="1"/>
                <w:szCs w:val="1"/>
                <w:color w:val="auto"/>
              </w:rPr>
            </w:pPr>
          </w:p>
        </w:tc>
      </w:tr>
      <w:tr>
        <w:trPr>
          <w:trHeight w:val="41"/>
        </w:trPr>
        <w:tc>
          <w:tcPr>
            <w:tcW w:w="6480" w:type="dxa"/>
            <w:vAlign w:val="bottom"/>
            <w:gridSpan w:val="7"/>
          </w:tcPr>
          <w:p>
            <w:pPr>
              <w:spacing w:after="0"/>
              <w:rPr>
                <w:sz w:val="20"/>
                <w:szCs w:val="20"/>
                <w:color w:val="auto"/>
              </w:rPr>
            </w:pPr>
            <w:r>
              <w:rPr>
                <w:rFonts w:ascii="Arial" w:cs="Arial" w:eastAsia="Arial" w:hAnsi="Arial"/>
                <w:sz w:val="3"/>
                <w:szCs w:val="3"/>
                <w:color w:val="FFFFFF"/>
              </w:rPr>
              <w:t>This Annual Report to Shareholders contains much of the information that is included in the 2006 Annual Report on</w:t>
            </w:r>
          </w:p>
        </w:tc>
        <w:tc>
          <w:tcPr>
            <w:tcW w:w="4900" w:type="dxa"/>
            <w:vAlign w:val="bottom"/>
            <w:vMerge w:val="continue"/>
          </w:tcPr>
          <w:p>
            <w:pPr>
              <w:spacing w:after="0"/>
              <w:rPr>
                <w:sz w:val="3"/>
                <w:szCs w:val="3"/>
                <w:color w:val="auto"/>
              </w:rPr>
            </w:pPr>
          </w:p>
        </w:tc>
        <w:tc>
          <w:tcPr>
            <w:tcW w:w="0" w:type="dxa"/>
            <w:vAlign w:val="bottom"/>
          </w:tcPr>
          <w:p>
            <w:pPr>
              <w:spacing w:after="0"/>
              <w:rPr>
                <w:sz w:val="1"/>
                <w:szCs w:val="1"/>
                <w:color w:val="auto"/>
              </w:rPr>
            </w:pPr>
          </w:p>
        </w:tc>
      </w:tr>
      <w:tr>
        <w:trPr>
          <w:trHeight w:val="41"/>
        </w:trPr>
        <w:tc>
          <w:tcPr>
            <w:tcW w:w="1860" w:type="dxa"/>
            <w:vAlign w:val="bottom"/>
            <w:gridSpan w:val="3"/>
          </w:tcPr>
          <w:p>
            <w:pPr>
              <w:spacing w:after="0"/>
              <w:rPr>
                <w:sz w:val="20"/>
                <w:szCs w:val="20"/>
                <w:color w:val="auto"/>
              </w:rPr>
            </w:pPr>
            <w:r>
              <w:rPr>
                <w:rFonts w:ascii="Arial" w:cs="Arial" w:eastAsia="Arial" w:hAnsi="Arial"/>
                <w:sz w:val="3"/>
                <w:szCs w:val="3"/>
                <w:color w:val="FFFFFF"/>
              </w:rPr>
              <w:t>Comcast’s Form 10-K for the year</w:t>
            </w:r>
          </w:p>
        </w:tc>
        <w:tc>
          <w:tcPr>
            <w:tcW w:w="80" w:type="dxa"/>
            <w:vAlign w:val="bottom"/>
          </w:tcPr>
          <w:p>
            <w:pPr>
              <w:spacing w:after="0"/>
              <w:rPr>
                <w:sz w:val="3"/>
                <w:szCs w:val="3"/>
                <w:color w:val="auto"/>
              </w:rPr>
            </w:pPr>
          </w:p>
        </w:tc>
        <w:tc>
          <w:tcPr>
            <w:tcW w:w="9440" w:type="dxa"/>
            <w:vAlign w:val="bottom"/>
            <w:gridSpan w:val="4"/>
          </w:tcPr>
          <w:p>
            <w:pPr>
              <w:ind w:left="20"/>
              <w:spacing w:after="0"/>
              <w:rPr>
                <w:sz w:val="20"/>
                <w:szCs w:val="20"/>
                <w:color w:val="auto"/>
              </w:rPr>
            </w:pPr>
            <w:r>
              <w:rPr>
                <w:rFonts w:ascii="Arial" w:cs="Arial" w:eastAsia="Arial" w:hAnsi="Arial"/>
                <w:sz w:val="3"/>
                <w:szCs w:val="3"/>
                <w:color w:val="FFFFFF"/>
              </w:rPr>
              <w:t>nded December 31, 2006, visit our Investor Relations Web site (www.cmcsa.comFormwww.cmcsk.com) or call our Investor Relations Hotline toll-free at 866-281-2100. Other</w:t>
            </w:r>
          </w:p>
        </w:tc>
        <w:tc>
          <w:tcPr>
            <w:tcW w:w="0" w:type="dxa"/>
            <w:vAlign w:val="bottom"/>
          </w:tcPr>
          <w:p>
            <w:pPr>
              <w:spacing w:after="0"/>
              <w:rPr>
                <w:sz w:val="1"/>
                <w:szCs w:val="1"/>
                <w:color w:val="auto"/>
              </w:rPr>
            </w:pPr>
          </w:p>
        </w:tc>
      </w:tr>
      <w:tr>
        <w:trPr>
          <w:trHeight w:val="41"/>
        </w:trPr>
        <w:tc>
          <w:tcPr>
            <w:tcW w:w="4340" w:type="dxa"/>
            <w:vAlign w:val="bottom"/>
            <w:gridSpan w:val="6"/>
          </w:tcPr>
          <w:p>
            <w:pPr>
              <w:spacing w:after="0"/>
              <w:rPr>
                <w:sz w:val="20"/>
                <w:szCs w:val="20"/>
                <w:color w:val="auto"/>
              </w:rPr>
            </w:pPr>
            <w:r>
              <w:rPr>
                <w:rFonts w:ascii="Arial" w:cs="Arial" w:eastAsia="Arial" w:hAnsi="Arial"/>
                <w:sz w:val="3"/>
                <w:szCs w:val="3"/>
                <w:color w:val="FFFFFF"/>
              </w:rPr>
              <w:t>printed information is also available through this hotline.</w:t>
            </w:r>
          </w:p>
        </w:tc>
        <w:tc>
          <w:tcPr>
            <w:tcW w:w="2140" w:type="dxa"/>
            <w:vAlign w:val="bottom"/>
          </w:tcPr>
          <w:p>
            <w:pPr>
              <w:spacing w:after="0"/>
              <w:rPr>
                <w:sz w:val="3"/>
                <w:szCs w:val="3"/>
                <w:color w:val="auto"/>
              </w:rPr>
            </w:pPr>
          </w:p>
        </w:tc>
        <w:tc>
          <w:tcPr>
            <w:tcW w:w="490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41"/>
        </w:trPr>
        <w:tc>
          <w:tcPr>
            <w:tcW w:w="1540" w:type="dxa"/>
            <w:vAlign w:val="bottom"/>
            <w:gridSpan w:val="2"/>
          </w:tcPr>
          <w:p>
            <w:pPr>
              <w:spacing w:after="0"/>
              <w:rPr>
                <w:sz w:val="20"/>
                <w:szCs w:val="20"/>
                <w:color w:val="auto"/>
              </w:rPr>
            </w:pPr>
            <w:r>
              <w:rPr>
                <w:rFonts w:ascii="Arial" w:cs="Arial" w:eastAsia="Arial" w:hAnsi="Arial"/>
                <w:sz w:val="3"/>
                <w:szCs w:val="3"/>
                <w:color w:val="FFFFFF"/>
              </w:rPr>
              <w:t>Stock Split</w:t>
            </w:r>
          </w:p>
        </w:tc>
        <w:tc>
          <w:tcPr>
            <w:tcW w:w="320" w:type="dxa"/>
            <w:vAlign w:val="bottom"/>
          </w:tcPr>
          <w:p>
            <w:pPr>
              <w:spacing w:after="0"/>
              <w:rPr>
                <w:sz w:val="3"/>
                <w:szCs w:val="3"/>
                <w:color w:val="auto"/>
              </w:rPr>
            </w:pPr>
          </w:p>
        </w:tc>
        <w:tc>
          <w:tcPr>
            <w:tcW w:w="80" w:type="dxa"/>
            <w:vAlign w:val="bottom"/>
          </w:tcPr>
          <w:p>
            <w:pPr>
              <w:spacing w:after="0"/>
              <w:rPr>
                <w:sz w:val="3"/>
                <w:szCs w:val="3"/>
                <w:color w:val="auto"/>
              </w:rPr>
            </w:pPr>
          </w:p>
        </w:tc>
        <w:tc>
          <w:tcPr>
            <w:tcW w:w="400" w:type="dxa"/>
            <w:vAlign w:val="bottom"/>
          </w:tcPr>
          <w:p>
            <w:pPr>
              <w:spacing w:after="0"/>
              <w:rPr>
                <w:sz w:val="3"/>
                <w:szCs w:val="3"/>
                <w:color w:val="auto"/>
              </w:rPr>
            </w:pPr>
          </w:p>
        </w:tc>
        <w:tc>
          <w:tcPr>
            <w:tcW w:w="2000" w:type="dxa"/>
            <w:vAlign w:val="bottom"/>
          </w:tcPr>
          <w:p>
            <w:pPr>
              <w:spacing w:after="0"/>
              <w:rPr>
                <w:sz w:val="3"/>
                <w:szCs w:val="3"/>
                <w:color w:val="auto"/>
              </w:rPr>
            </w:pPr>
          </w:p>
        </w:tc>
        <w:tc>
          <w:tcPr>
            <w:tcW w:w="2140" w:type="dxa"/>
            <w:vAlign w:val="bottom"/>
          </w:tcPr>
          <w:p>
            <w:pPr>
              <w:spacing w:after="0"/>
              <w:rPr>
                <w:sz w:val="3"/>
                <w:szCs w:val="3"/>
                <w:color w:val="auto"/>
              </w:rPr>
            </w:pPr>
          </w:p>
        </w:tc>
        <w:tc>
          <w:tcPr>
            <w:tcW w:w="490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41"/>
        </w:trPr>
        <w:tc>
          <w:tcPr>
            <w:tcW w:w="11380" w:type="dxa"/>
            <w:vAlign w:val="bottom"/>
            <w:gridSpan w:val="8"/>
          </w:tcPr>
          <w:p>
            <w:pPr>
              <w:spacing w:after="0"/>
              <w:rPr>
                <w:sz w:val="20"/>
                <w:szCs w:val="20"/>
                <w:color w:val="auto"/>
              </w:rPr>
            </w:pPr>
            <w:r>
              <w:rPr>
                <w:rFonts w:ascii="Arial" w:cs="Arial" w:eastAsia="Arial" w:hAnsi="Arial"/>
                <w:sz w:val="3"/>
                <w:szCs w:val="3"/>
                <w:color w:val="FFFFFF"/>
              </w:rPr>
              <w:t>On January 31, 2007, our Board of Directors approved  three-for-two stock split in the form of a 50% stock dividend (the “Stock Split”) payable on February 21, 2007, to shareholders of record on February 14,</w:t>
            </w:r>
          </w:p>
        </w:tc>
        <w:tc>
          <w:tcPr>
            <w:tcW w:w="0" w:type="dxa"/>
            <w:vAlign w:val="bottom"/>
          </w:tcPr>
          <w:p>
            <w:pPr>
              <w:spacing w:after="0"/>
              <w:rPr>
                <w:sz w:val="1"/>
                <w:szCs w:val="1"/>
                <w:color w:val="auto"/>
              </w:rPr>
            </w:pPr>
          </w:p>
        </w:tc>
      </w:tr>
      <w:tr>
        <w:trPr>
          <w:trHeight w:val="41"/>
        </w:trPr>
        <w:tc>
          <w:tcPr>
            <w:tcW w:w="280" w:type="dxa"/>
            <w:vAlign w:val="bottom"/>
            <w:vMerge w:val="restart"/>
          </w:tcPr>
          <w:p>
            <w:pPr>
              <w:spacing w:after="0" w:line="81" w:lineRule="exact"/>
              <w:rPr>
                <w:sz w:val="20"/>
                <w:szCs w:val="20"/>
                <w:color w:val="auto"/>
              </w:rPr>
            </w:pPr>
            <w:r>
              <w:rPr>
                <w:rFonts w:ascii="Arial" w:cs="Arial" w:eastAsia="Arial" w:hAnsi="Arial"/>
                <w:sz w:val="9"/>
                <w:szCs w:val="9"/>
                <w:color w:val="FFFFFF"/>
              </w:rPr>
              <w:t>2007</w:t>
            </w:r>
          </w:p>
        </w:tc>
        <w:tc>
          <w:tcPr>
            <w:tcW w:w="11100" w:type="dxa"/>
            <w:vAlign w:val="bottom"/>
            <w:gridSpan w:val="7"/>
          </w:tcPr>
          <w:p>
            <w:pPr>
              <w:spacing w:after="0"/>
              <w:rPr>
                <w:sz w:val="20"/>
                <w:szCs w:val="20"/>
                <w:color w:val="auto"/>
              </w:rPr>
            </w:pPr>
            <w:r>
              <w:rPr>
                <w:rFonts w:ascii="Arial" w:cs="Arial" w:eastAsia="Arial" w:hAnsi="Arial"/>
                <w:sz w:val="3"/>
                <w:szCs w:val="3"/>
                <w:color w:val="FFFFFF"/>
              </w:rPr>
              <w:t>. The number of shares outstanding and related amounts presented in this Annual Report to Shareholders have been adjusted to reflect the Stock Split for all periods presented.</w:t>
            </w:r>
          </w:p>
        </w:tc>
        <w:tc>
          <w:tcPr>
            <w:tcW w:w="0" w:type="dxa"/>
            <w:vAlign w:val="bottom"/>
          </w:tcPr>
          <w:p>
            <w:pPr>
              <w:spacing w:after="0"/>
              <w:rPr>
                <w:sz w:val="1"/>
                <w:szCs w:val="1"/>
                <w:color w:val="auto"/>
              </w:rPr>
            </w:pPr>
          </w:p>
        </w:tc>
      </w:tr>
      <w:tr>
        <w:trPr>
          <w:trHeight w:val="41"/>
        </w:trPr>
        <w:tc>
          <w:tcPr>
            <w:tcW w:w="280" w:type="dxa"/>
            <w:vAlign w:val="bottom"/>
            <w:vMerge w:val="continue"/>
          </w:tcPr>
          <w:p>
            <w:pPr>
              <w:spacing w:after="0"/>
              <w:rPr>
                <w:sz w:val="3"/>
                <w:szCs w:val="3"/>
                <w:color w:val="auto"/>
              </w:rPr>
            </w:pPr>
          </w:p>
        </w:tc>
        <w:tc>
          <w:tcPr>
            <w:tcW w:w="2060" w:type="dxa"/>
            <w:vAlign w:val="bottom"/>
            <w:gridSpan w:val="4"/>
          </w:tcPr>
          <w:p>
            <w:pPr>
              <w:ind w:left="40"/>
              <w:spacing w:after="0"/>
              <w:rPr>
                <w:sz w:val="20"/>
                <w:szCs w:val="20"/>
                <w:color w:val="auto"/>
              </w:rPr>
            </w:pPr>
            <w:r>
              <w:rPr>
                <w:rFonts w:ascii="Arial" w:cs="Arial" w:eastAsia="Arial" w:hAnsi="Arial"/>
                <w:sz w:val="3"/>
                <w:szCs w:val="3"/>
                <w:color w:val="FFFFFF"/>
              </w:rPr>
              <w:t>Annual Meeting of Shareholders</w:t>
            </w:r>
          </w:p>
        </w:tc>
        <w:tc>
          <w:tcPr>
            <w:tcW w:w="2000" w:type="dxa"/>
            <w:vAlign w:val="bottom"/>
          </w:tcPr>
          <w:p>
            <w:pPr>
              <w:spacing w:after="0"/>
              <w:rPr>
                <w:sz w:val="3"/>
                <w:szCs w:val="3"/>
                <w:color w:val="auto"/>
              </w:rPr>
            </w:pPr>
          </w:p>
        </w:tc>
        <w:tc>
          <w:tcPr>
            <w:tcW w:w="2140" w:type="dxa"/>
            <w:vAlign w:val="bottom"/>
          </w:tcPr>
          <w:p>
            <w:pPr>
              <w:spacing w:after="0"/>
              <w:rPr>
                <w:sz w:val="3"/>
                <w:szCs w:val="3"/>
                <w:color w:val="auto"/>
              </w:rPr>
            </w:pPr>
          </w:p>
        </w:tc>
        <w:tc>
          <w:tcPr>
            <w:tcW w:w="490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41"/>
        </w:trPr>
        <w:tc>
          <w:tcPr>
            <w:tcW w:w="11380" w:type="dxa"/>
            <w:vAlign w:val="bottom"/>
            <w:gridSpan w:val="8"/>
          </w:tcPr>
          <w:p>
            <w:pPr>
              <w:spacing w:after="0"/>
              <w:rPr>
                <w:sz w:val="20"/>
                <w:szCs w:val="20"/>
                <w:color w:val="auto"/>
              </w:rPr>
            </w:pPr>
            <w:r>
              <w:rPr>
                <w:rFonts w:ascii="Arial" w:cs="Arial" w:eastAsia="Arial" w:hAnsi="Arial"/>
                <w:sz w:val="3"/>
                <w:szCs w:val="3"/>
                <w:color w:val="FFFFFF"/>
              </w:rPr>
              <w:t>Pennsylvania Convention Center One Convention Center Place 1101 Arch Street Philadelphia, PA 19107 May 23, 2007 9 a.m. Eastern Time</w:t>
            </w:r>
          </w:p>
        </w:tc>
        <w:tc>
          <w:tcPr>
            <w:tcW w:w="0" w:type="dxa"/>
            <w:vAlign w:val="bottom"/>
          </w:tcPr>
          <w:p>
            <w:pPr>
              <w:spacing w:after="0"/>
              <w:rPr>
                <w:sz w:val="1"/>
                <w:szCs w:val="1"/>
                <w:color w:val="auto"/>
              </w:rPr>
            </w:pPr>
          </w:p>
        </w:tc>
      </w:tr>
      <w:tr>
        <w:trPr>
          <w:trHeight w:val="41"/>
        </w:trPr>
        <w:tc>
          <w:tcPr>
            <w:tcW w:w="1540" w:type="dxa"/>
            <w:vAlign w:val="bottom"/>
            <w:gridSpan w:val="2"/>
          </w:tcPr>
          <w:p>
            <w:pPr>
              <w:spacing w:after="0"/>
              <w:rPr>
                <w:sz w:val="20"/>
                <w:szCs w:val="20"/>
                <w:color w:val="auto"/>
              </w:rPr>
            </w:pPr>
            <w:r>
              <w:rPr>
                <w:rFonts w:ascii="Arial" w:cs="Arial" w:eastAsia="Arial" w:hAnsi="Arial"/>
                <w:sz w:val="3"/>
                <w:szCs w:val="3"/>
                <w:color w:val="FFFFFF"/>
              </w:rPr>
              <w:t>Legal Counsel</w:t>
            </w:r>
          </w:p>
        </w:tc>
        <w:tc>
          <w:tcPr>
            <w:tcW w:w="320" w:type="dxa"/>
            <w:vAlign w:val="bottom"/>
          </w:tcPr>
          <w:p>
            <w:pPr>
              <w:spacing w:after="0"/>
              <w:rPr>
                <w:sz w:val="3"/>
                <w:szCs w:val="3"/>
                <w:color w:val="auto"/>
              </w:rPr>
            </w:pPr>
          </w:p>
        </w:tc>
        <w:tc>
          <w:tcPr>
            <w:tcW w:w="80" w:type="dxa"/>
            <w:vAlign w:val="bottom"/>
          </w:tcPr>
          <w:p>
            <w:pPr>
              <w:spacing w:after="0"/>
              <w:rPr>
                <w:sz w:val="3"/>
                <w:szCs w:val="3"/>
                <w:color w:val="auto"/>
              </w:rPr>
            </w:pPr>
          </w:p>
        </w:tc>
        <w:tc>
          <w:tcPr>
            <w:tcW w:w="400" w:type="dxa"/>
            <w:vAlign w:val="bottom"/>
          </w:tcPr>
          <w:p>
            <w:pPr>
              <w:spacing w:after="0"/>
              <w:rPr>
                <w:sz w:val="3"/>
                <w:szCs w:val="3"/>
                <w:color w:val="auto"/>
              </w:rPr>
            </w:pPr>
          </w:p>
        </w:tc>
        <w:tc>
          <w:tcPr>
            <w:tcW w:w="2000" w:type="dxa"/>
            <w:vAlign w:val="bottom"/>
          </w:tcPr>
          <w:p>
            <w:pPr>
              <w:spacing w:after="0"/>
              <w:rPr>
                <w:sz w:val="3"/>
                <w:szCs w:val="3"/>
                <w:color w:val="auto"/>
              </w:rPr>
            </w:pPr>
          </w:p>
        </w:tc>
        <w:tc>
          <w:tcPr>
            <w:tcW w:w="2140" w:type="dxa"/>
            <w:vAlign w:val="bottom"/>
          </w:tcPr>
          <w:p>
            <w:pPr>
              <w:spacing w:after="0"/>
              <w:rPr>
                <w:sz w:val="3"/>
                <w:szCs w:val="3"/>
                <w:color w:val="auto"/>
              </w:rPr>
            </w:pPr>
          </w:p>
        </w:tc>
        <w:tc>
          <w:tcPr>
            <w:tcW w:w="490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41"/>
        </w:trPr>
        <w:tc>
          <w:tcPr>
            <w:tcW w:w="2340" w:type="dxa"/>
            <w:vAlign w:val="bottom"/>
            <w:gridSpan w:val="5"/>
          </w:tcPr>
          <w:p>
            <w:pPr>
              <w:spacing w:after="0"/>
              <w:rPr>
                <w:sz w:val="20"/>
                <w:szCs w:val="20"/>
                <w:color w:val="auto"/>
              </w:rPr>
            </w:pPr>
            <w:r>
              <w:rPr>
                <w:rFonts w:ascii="Arial" w:cs="Arial" w:eastAsia="Arial" w:hAnsi="Arial"/>
                <w:sz w:val="3"/>
                <w:szCs w:val="3"/>
                <w:color w:val="FFFFFF"/>
              </w:rPr>
              <w:t>Davis Polk &amp; Wardwell, New York, NY</w:t>
            </w:r>
          </w:p>
        </w:tc>
        <w:tc>
          <w:tcPr>
            <w:tcW w:w="2000" w:type="dxa"/>
            <w:vAlign w:val="bottom"/>
            <w:vMerge w:val="restart"/>
          </w:tcPr>
          <w:p>
            <w:pPr>
              <w:ind w:left="20"/>
              <w:spacing w:after="0" w:line="81" w:lineRule="exact"/>
              <w:rPr>
                <w:sz w:val="20"/>
                <w:szCs w:val="20"/>
                <w:color w:val="auto"/>
              </w:rPr>
            </w:pPr>
            <w:r>
              <w:rPr>
                <w:rFonts w:ascii="Arial" w:cs="Arial" w:eastAsia="Arial" w:hAnsi="Arial"/>
                <w:sz w:val="9"/>
                <w:szCs w:val="9"/>
                <w:color w:val="FFFFFF"/>
              </w:rPr>
              <w:t>Firm</w:t>
            </w:r>
          </w:p>
        </w:tc>
        <w:tc>
          <w:tcPr>
            <w:tcW w:w="2140" w:type="dxa"/>
            <w:vAlign w:val="bottom"/>
          </w:tcPr>
          <w:p>
            <w:pPr>
              <w:spacing w:after="0"/>
              <w:rPr>
                <w:sz w:val="3"/>
                <w:szCs w:val="3"/>
                <w:color w:val="auto"/>
              </w:rPr>
            </w:pPr>
          </w:p>
        </w:tc>
        <w:tc>
          <w:tcPr>
            <w:tcW w:w="490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41"/>
        </w:trPr>
        <w:tc>
          <w:tcPr>
            <w:tcW w:w="1860" w:type="dxa"/>
            <w:vAlign w:val="bottom"/>
            <w:gridSpan w:val="3"/>
          </w:tcPr>
          <w:p>
            <w:pPr>
              <w:spacing w:after="0"/>
              <w:rPr>
                <w:sz w:val="20"/>
                <w:szCs w:val="20"/>
                <w:color w:val="auto"/>
              </w:rPr>
            </w:pPr>
            <w:r>
              <w:rPr>
                <w:rFonts w:ascii="Arial" w:cs="Arial" w:eastAsia="Arial" w:hAnsi="Arial"/>
                <w:sz w:val="3"/>
                <w:szCs w:val="3"/>
                <w:color w:val="FFFFFF"/>
              </w:rPr>
              <w:t>Independent Registered Public</w:t>
            </w:r>
          </w:p>
        </w:tc>
        <w:tc>
          <w:tcPr>
            <w:tcW w:w="80" w:type="dxa"/>
            <w:vAlign w:val="bottom"/>
          </w:tcPr>
          <w:p>
            <w:pPr>
              <w:spacing w:after="0"/>
              <w:rPr>
                <w:sz w:val="3"/>
                <w:szCs w:val="3"/>
                <w:color w:val="auto"/>
              </w:rPr>
            </w:pPr>
          </w:p>
        </w:tc>
        <w:tc>
          <w:tcPr>
            <w:tcW w:w="400" w:type="dxa"/>
            <w:vAlign w:val="bottom"/>
          </w:tcPr>
          <w:p>
            <w:pPr>
              <w:spacing w:after="0"/>
              <w:rPr>
                <w:sz w:val="3"/>
                <w:szCs w:val="3"/>
                <w:color w:val="auto"/>
              </w:rPr>
            </w:pPr>
          </w:p>
        </w:tc>
        <w:tc>
          <w:tcPr>
            <w:tcW w:w="2000" w:type="dxa"/>
            <w:vAlign w:val="bottom"/>
            <w:vMerge w:val="continue"/>
          </w:tcPr>
          <w:p>
            <w:pPr>
              <w:spacing w:after="0"/>
              <w:rPr>
                <w:sz w:val="3"/>
                <w:szCs w:val="3"/>
                <w:color w:val="auto"/>
              </w:rPr>
            </w:pPr>
          </w:p>
        </w:tc>
        <w:tc>
          <w:tcPr>
            <w:tcW w:w="2140" w:type="dxa"/>
            <w:vAlign w:val="bottom"/>
          </w:tcPr>
          <w:p>
            <w:pPr>
              <w:spacing w:after="0"/>
              <w:rPr>
                <w:sz w:val="3"/>
                <w:szCs w:val="3"/>
                <w:color w:val="auto"/>
              </w:rPr>
            </w:pPr>
          </w:p>
        </w:tc>
        <w:tc>
          <w:tcPr>
            <w:tcW w:w="490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41"/>
        </w:trPr>
        <w:tc>
          <w:tcPr>
            <w:tcW w:w="2340" w:type="dxa"/>
            <w:vAlign w:val="bottom"/>
            <w:gridSpan w:val="5"/>
          </w:tcPr>
          <w:p>
            <w:pPr>
              <w:ind w:left="160"/>
              <w:spacing w:after="0"/>
              <w:rPr>
                <w:sz w:val="20"/>
                <w:szCs w:val="20"/>
                <w:color w:val="auto"/>
              </w:rPr>
            </w:pPr>
            <w:r>
              <w:rPr>
                <w:rFonts w:ascii="Arial" w:cs="Arial" w:eastAsia="Arial" w:hAnsi="Arial"/>
                <w:sz w:val="3"/>
                <w:szCs w:val="3"/>
                <w:color w:val="FFFFFF"/>
              </w:rPr>
              <w:t>loitte &amp; Touche LLP, Philadelphia,Accounting</w:t>
            </w:r>
          </w:p>
        </w:tc>
        <w:tc>
          <w:tcPr>
            <w:tcW w:w="2000" w:type="dxa"/>
            <w:vAlign w:val="bottom"/>
          </w:tcPr>
          <w:p>
            <w:pPr>
              <w:spacing w:after="0"/>
              <w:rPr>
                <w:sz w:val="3"/>
                <w:szCs w:val="3"/>
                <w:color w:val="auto"/>
              </w:rPr>
            </w:pPr>
          </w:p>
        </w:tc>
        <w:tc>
          <w:tcPr>
            <w:tcW w:w="2140" w:type="dxa"/>
            <w:vAlign w:val="bottom"/>
          </w:tcPr>
          <w:p>
            <w:pPr>
              <w:spacing w:after="0"/>
              <w:rPr>
                <w:sz w:val="3"/>
                <w:szCs w:val="3"/>
                <w:color w:val="auto"/>
              </w:rPr>
            </w:pPr>
          </w:p>
        </w:tc>
        <w:tc>
          <w:tcPr>
            <w:tcW w:w="490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13"/>
        </w:trPr>
        <w:tc>
          <w:tcPr>
            <w:tcW w:w="1860" w:type="dxa"/>
            <w:vAlign w:val="bottom"/>
            <w:gridSpan w:val="3"/>
          </w:tcPr>
          <w:p>
            <w:pPr>
              <w:spacing w:after="0"/>
              <w:rPr>
                <w:sz w:val="20"/>
                <w:szCs w:val="20"/>
                <w:color w:val="auto"/>
              </w:rPr>
            </w:pPr>
            <w:r>
              <w:rPr>
                <w:rFonts w:ascii="Arial" w:cs="Arial" w:eastAsia="Arial" w:hAnsi="Arial"/>
                <w:sz w:val="14"/>
                <w:szCs w:val="14"/>
                <w:color w:val="FFFFFF"/>
                <w:w w:val="88"/>
              </w:rPr>
              <w:t>Design: Sequel Studio, New York</w:t>
            </w:r>
          </w:p>
        </w:tc>
        <w:tc>
          <w:tcPr>
            <w:tcW w:w="4620" w:type="dxa"/>
            <w:vAlign w:val="bottom"/>
            <w:gridSpan w:val="4"/>
          </w:tcPr>
          <w:p>
            <w:pPr>
              <w:spacing w:after="0"/>
              <w:rPr>
                <w:sz w:val="20"/>
                <w:szCs w:val="20"/>
                <w:color w:val="auto"/>
              </w:rPr>
            </w:pPr>
            <w:r>
              <w:rPr>
                <w:rFonts w:ascii="Arial" w:cs="Arial" w:eastAsia="Arial" w:hAnsi="Arial"/>
                <w:sz w:val="14"/>
                <w:szCs w:val="14"/>
                <w:color w:val="FFFFFF"/>
                <w:w w:val="97"/>
              </w:rPr>
              <w:t>Photography: Catherine Ledner Printing: Sandy Alexander, Inc., Clifton, N.J.</w:t>
            </w:r>
          </w:p>
        </w:tc>
        <w:tc>
          <w:tcPr>
            <w:tcW w:w="4900" w:type="dxa"/>
            <w:vAlign w:val="bottom"/>
          </w:tcPr>
          <w:p>
            <w:pPr>
              <w:spacing w:after="0"/>
              <w:rPr>
                <w:sz w:val="18"/>
                <w:szCs w:val="18"/>
                <w:color w:val="auto"/>
              </w:rPr>
            </w:pPr>
          </w:p>
        </w:tc>
        <w:tc>
          <w:tcPr>
            <w:tcW w:w="0" w:type="dxa"/>
            <w:vAlign w:val="bottom"/>
          </w:tcPr>
          <w:p>
            <w:pPr>
              <w:spacing w:after="0"/>
              <w:rPr>
                <w:sz w:val="1"/>
                <w:szCs w:val="1"/>
                <w:color w:val="auto"/>
              </w:rPr>
            </w:pPr>
          </w:p>
        </w:tc>
      </w:tr>
    </w:tbl>
    <w:p>
      <w:pPr>
        <w:sectPr>
          <w:pgSz w:w="11900" w:h="16838" w:orient="portrait"/>
          <w:cols w:equalWidth="0" w:num="1">
            <w:col w:w="11380"/>
          </w:cols>
          <w:pgMar w:left="240" w:top="459" w:right="279" w:bottom="1440" w:gutter="0" w:footer="0" w:header="0"/>
          <w:type w:val="continuous"/>
        </w:sectPr>
      </w:pPr>
    </w:p>
    <w:bookmarkStart w:id="158" w:name="page159"/>
    <w:bookmarkEnd w:id="15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234" name="Picture 2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4"/>
                    <pic:cNvPicPr>
                      <a:picLocks noChangeAspect="1" noChangeArrowheads="1"/>
                    </pic:cNvPicPr>
                  </pic:nvPicPr>
                  <pic:blipFill>
                    <a:blip r:embed="rId241">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880110</wp:posOffset>
            </wp:positionH>
            <wp:positionV relativeFrom="paragraph">
              <wp:posOffset>205740</wp:posOffset>
            </wp:positionV>
            <wp:extent cx="5497195" cy="7117715"/>
            <wp:wrapNone/>
            <wp:docPr id="235" name="Picture 2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5"/>
                    <pic:cNvPicPr>
                      <a:picLocks noChangeAspect="1" noChangeArrowheads="1"/>
                    </pic:cNvPicPr>
                  </pic:nvPicPr>
                  <pic:blipFill>
                    <a:blip r:embed="rId242">
                      <a:extLst>
                        <a:ext uri="{28A0092B-C50C-407E-A947-70E740481C1C}"/>
                      </a:extLst>
                    </a:blip>
                    <a:srcRect/>
                    <a:stretch>
                      <a:fillRect/>
                    </a:stretch>
                  </pic:blipFill>
                  <pic:spPr bwMode="auto">
                    <a:xfrm>
                      <a:off x="0" y="0"/>
                      <a:ext cx="5497195" cy="711771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2" w:lineRule="exact"/>
        <w:rPr>
          <w:sz w:val="20"/>
          <w:szCs w:val="20"/>
          <w:color w:val="auto"/>
        </w:rPr>
      </w:pPr>
    </w:p>
    <w:p>
      <w:pPr>
        <w:spacing w:after="0"/>
        <w:rPr>
          <w:sz w:val="20"/>
          <w:szCs w:val="20"/>
          <w:color w:val="auto"/>
        </w:rPr>
      </w:pPr>
      <w:r>
        <w:rPr>
          <w:rFonts w:ascii="Arial" w:cs="Arial" w:eastAsia="Arial" w:hAnsi="Arial"/>
          <w:sz w:val="14"/>
          <w:szCs w:val="14"/>
          <w:color w:val="FFFFFF"/>
        </w:rPr>
        <w:t>1500 Market Street</w:t>
      </w:r>
    </w:p>
    <w:p>
      <w:pPr>
        <w:spacing w:after="0"/>
        <w:rPr>
          <w:sz w:val="20"/>
          <w:szCs w:val="20"/>
          <w:color w:val="auto"/>
        </w:rPr>
      </w:pPr>
      <w:r>
        <w:rPr>
          <w:rFonts w:ascii="Arial" w:cs="Arial" w:eastAsia="Arial" w:hAnsi="Arial"/>
          <w:sz w:val="10"/>
          <w:szCs w:val="10"/>
          <w:color w:val="FFFFFF"/>
        </w:rPr>
        <w:t>COPhiladelphia,-AR-07 PA 19102-2148 215-665-1700 www.comcast.com</w:t>
      </w:r>
    </w:p>
    <w:p>
      <w:pPr>
        <w:sectPr>
          <w:pgSz w:w="11900" w:h="16838" w:orient="portrait"/>
          <w:cols w:equalWidth="0" w:num="1">
            <w:col w:w="10219"/>
          </w:cols>
          <w:pgMar w:left="240" w:top="460" w:right="1440" w:bottom="1440" w:gutter="0" w:footer="0" w:header="0"/>
        </w:sectPr>
      </w:pPr>
    </w:p>
    <w:bookmarkStart w:id="159" w:name="page160"/>
    <w:bookmarkEnd w:id="159"/>
    <w:p>
      <w:pPr>
        <w:jc w:val="right"/>
        <w:spacing w:after="0"/>
        <w:rPr>
          <w:sz w:val="20"/>
          <w:szCs w:val="20"/>
          <w:color w:val="auto"/>
        </w:rPr>
      </w:pPr>
      <w:r>
        <w:rPr>
          <w:rFonts w:ascii="Arial" w:cs="Arial" w:eastAsia="Arial" w:hAnsi="Arial"/>
          <w:sz w:val="18"/>
          <w:szCs w:val="18"/>
          <w:b w:val="1"/>
          <w:bCs w:val="1"/>
          <w:color w:val="auto"/>
        </w:rPr>
        <w:t>Exhibit 21</w:t>
      </w:r>
    </w:p>
    <w:p>
      <w:pPr>
        <w:spacing w:after="0" w:line="213" w:lineRule="exact"/>
        <w:rPr>
          <w:sz w:val="20"/>
          <w:szCs w:val="20"/>
          <w:color w:val="auto"/>
        </w:rPr>
      </w:pPr>
    </w:p>
    <w:tbl>
      <w:tblPr>
        <w:tblLayout w:type="fixed"/>
        <w:tblInd w:w="520" w:type="dxa"/>
        <w:tblCellMar>
          <w:top w:w="0" w:type="dxa"/>
          <w:left w:w="0" w:type="dxa"/>
          <w:bottom w:w="0" w:type="dxa"/>
          <w:right w:w="0" w:type="dxa"/>
        </w:tblCellMar>
      </w:tblPr>
      <w:tr>
        <w:trPr>
          <w:trHeight w:val="181"/>
        </w:trPr>
        <w:tc>
          <w:tcPr>
            <w:tcW w:w="6500" w:type="dxa"/>
            <w:vAlign w:val="bottom"/>
            <w:tcBorders>
              <w:bottom w:val="single" w:sz="8" w:color="auto"/>
            </w:tcBorders>
          </w:tcPr>
          <w:p>
            <w:pPr>
              <w:spacing w:after="0"/>
              <w:rPr>
                <w:sz w:val="20"/>
                <w:szCs w:val="20"/>
                <w:color w:val="auto"/>
              </w:rPr>
            </w:pPr>
            <w:r>
              <w:rPr>
                <w:rFonts w:ascii="Arial" w:cs="Arial" w:eastAsia="Arial" w:hAnsi="Arial"/>
                <w:sz w:val="14"/>
                <w:szCs w:val="14"/>
                <w:b w:val="1"/>
                <w:bCs w:val="1"/>
                <w:color w:val="auto"/>
              </w:rPr>
              <w:t>Entity Name</w:t>
            </w:r>
          </w:p>
        </w:tc>
        <w:tc>
          <w:tcPr>
            <w:tcW w:w="300" w:type="dxa"/>
            <w:vAlign w:val="bottom"/>
          </w:tcPr>
          <w:p>
            <w:pPr>
              <w:spacing w:after="0"/>
              <w:rPr>
                <w:sz w:val="15"/>
                <w:szCs w:val="15"/>
                <w:color w:val="auto"/>
              </w:rPr>
            </w:pPr>
          </w:p>
        </w:tc>
        <w:tc>
          <w:tcPr>
            <w:tcW w:w="1180" w:type="dxa"/>
            <w:vAlign w:val="bottom"/>
            <w:tcBorders>
              <w:bottom w:val="single" w:sz="8" w:color="auto"/>
            </w:tcBorders>
          </w:tcPr>
          <w:p>
            <w:pPr>
              <w:ind w:left="320"/>
              <w:spacing w:after="0"/>
              <w:rPr>
                <w:sz w:val="20"/>
                <w:szCs w:val="20"/>
                <w:color w:val="auto"/>
              </w:rPr>
            </w:pPr>
            <w:r>
              <w:rPr>
                <w:rFonts w:ascii="Arial" w:cs="Arial" w:eastAsia="Arial" w:hAnsi="Arial"/>
                <w:sz w:val="14"/>
                <w:szCs w:val="14"/>
                <w:b w:val="1"/>
                <w:bCs w:val="1"/>
                <w:color w:val="auto"/>
              </w:rPr>
              <w:t>Org State</w:t>
            </w:r>
          </w:p>
        </w:tc>
      </w:tr>
      <w:tr>
        <w:trPr>
          <w:trHeight w:val="209"/>
        </w:trPr>
        <w:tc>
          <w:tcPr>
            <w:tcW w:w="6500" w:type="dxa"/>
            <w:vAlign w:val="bottom"/>
          </w:tcPr>
          <w:p>
            <w:pPr>
              <w:spacing w:after="0" w:line="202" w:lineRule="exact"/>
              <w:rPr>
                <w:sz w:val="20"/>
                <w:szCs w:val="20"/>
                <w:color w:val="auto"/>
              </w:rPr>
            </w:pPr>
            <w:r>
              <w:rPr>
                <w:rFonts w:ascii="Arial" w:cs="Arial" w:eastAsia="Arial" w:hAnsi="Arial"/>
                <w:sz w:val="18"/>
                <w:szCs w:val="18"/>
                <w:color w:val="auto"/>
              </w:rPr>
              <w:t>ABB MOG-WM, Inc.</w:t>
            </w:r>
          </w:p>
        </w:tc>
        <w:tc>
          <w:tcPr>
            <w:tcW w:w="300" w:type="dxa"/>
            <w:vAlign w:val="bottom"/>
          </w:tcPr>
          <w:p>
            <w:pPr>
              <w:spacing w:after="0"/>
              <w:rPr>
                <w:sz w:val="18"/>
                <w:szCs w:val="18"/>
                <w:color w:val="auto"/>
              </w:rPr>
            </w:pPr>
          </w:p>
        </w:tc>
        <w:tc>
          <w:tcPr>
            <w:tcW w:w="1180" w:type="dxa"/>
            <w:vAlign w:val="bottom"/>
          </w:tcPr>
          <w:p>
            <w:pPr>
              <w:spacing w:after="0"/>
              <w:rPr>
                <w:sz w:val="20"/>
                <w:szCs w:val="20"/>
                <w:color w:val="auto"/>
              </w:rPr>
            </w:pPr>
            <w:r>
              <w:rPr>
                <w:rFonts w:ascii="Arial" w:cs="Arial" w:eastAsia="Arial" w:hAnsi="Arial"/>
                <w:sz w:val="18"/>
                <w:szCs w:val="18"/>
                <w:color w:val="auto"/>
              </w:rPr>
              <w:t>CO</w:t>
            </w:r>
          </w:p>
        </w:tc>
      </w:tr>
      <w:tr>
        <w:trPr>
          <w:trHeight w:val="316"/>
        </w:trPr>
        <w:tc>
          <w:tcPr>
            <w:tcW w:w="6500" w:type="dxa"/>
            <w:vAlign w:val="bottom"/>
          </w:tcPr>
          <w:p>
            <w:pPr>
              <w:spacing w:after="0"/>
              <w:rPr>
                <w:sz w:val="20"/>
                <w:szCs w:val="20"/>
                <w:color w:val="auto"/>
              </w:rPr>
            </w:pPr>
            <w:r>
              <w:rPr>
                <w:rFonts w:ascii="Arial" w:cs="Arial" w:eastAsia="Arial" w:hAnsi="Arial"/>
                <w:sz w:val="18"/>
                <w:szCs w:val="18"/>
                <w:color w:val="auto"/>
              </w:rPr>
              <w:t>ABB RFL, LLC</w:t>
            </w:r>
          </w:p>
        </w:tc>
        <w:tc>
          <w:tcPr>
            <w:tcW w:w="1480" w:type="dxa"/>
            <w:vAlign w:val="bottom"/>
            <w:gridSpan w:val="2"/>
          </w:tcPr>
          <w:p>
            <w:pPr>
              <w:ind w:left="300"/>
              <w:spacing w:after="0"/>
              <w:rPr>
                <w:sz w:val="20"/>
                <w:szCs w:val="20"/>
                <w:color w:val="auto"/>
              </w:rPr>
            </w:pPr>
            <w:r>
              <w:rPr>
                <w:rFonts w:ascii="Arial" w:cs="Arial" w:eastAsia="Arial" w:hAnsi="Arial"/>
                <w:sz w:val="18"/>
                <w:szCs w:val="18"/>
                <w:color w:val="auto"/>
              </w:rPr>
              <w:t>DE</w:t>
            </w:r>
          </w:p>
        </w:tc>
      </w:tr>
      <w:tr>
        <w:trPr>
          <w:trHeight w:val="324"/>
        </w:trPr>
        <w:tc>
          <w:tcPr>
            <w:tcW w:w="6500" w:type="dxa"/>
            <w:vAlign w:val="bottom"/>
          </w:tcPr>
          <w:p>
            <w:pPr>
              <w:spacing w:after="0"/>
              <w:rPr>
                <w:sz w:val="20"/>
                <w:szCs w:val="20"/>
                <w:color w:val="auto"/>
              </w:rPr>
            </w:pPr>
            <w:r>
              <w:rPr>
                <w:rFonts w:ascii="Arial" w:cs="Arial" w:eastAsia="Arial" w:hAnsi="Arial"/>
                <w:sz w:val="18"/>
                <w:szCs w:val="18"/>
                <w:color w:val="auto"/>
              </w:rPr>
              <w:t>ABB TS Assets, LLC</w:t>
            </w:r>
          </w:p>
        </w:tc>
        <w:tc>
          <w:tcPr>
            <w:tcW w:w="1480" w:type="dxa"/>
            <w:vAlign w:val="bottom"/>
            <w:gridSpan w:val="2"/>
          </w:tcPr>
          <w:p>
            <w:pPr>
              <w:ind w:left="300"/>
              <w:spacing w:after="0"/>
              <w:rPr>
                <w:sz w:val="20"/>
                <w:szCs w:val="20"/>
                <w:color w:val="auto"/>
              </w:rPr>
            </w:pPr>
            <w:r>
              <w:rPr>
                <w:rFonts w:ascii="Arial" w:cs="Arial" w:eastAsia="Arial" w:hAnsi="Arial"/>
                <w:sz w:val="18"/>
                <w:szCs w:val="18"/>
                <w:color w:val="auto"/>
              </w:rPr>
              <w:t>DE</w:t>
            </w:r>
          </w:p>
        </w:tc>
      </w:tr>
      <w:tr>
        <w:trPr>
          <w:trHeight w:val="324"/>
        </w:trPr>
        <w:tc>
          <w:tcPr>
            <w:tcW w:w="6500" w:type="dxa"/>
            <w:vAlign w:val="bottom"/>
          </w:tcPr>
          <w:p>
            <w:pPr>
              <w:spacing w:after="0"/>
              <w:rPr>
                <w:sz w:val="20"/>
                <w:szCs w:val="20"/>
                <w:color w:val="auto"/>
              </w:rPr>
            </w:pPr>
            <w:r>
              <w:rPr>
                <w:rFonts w:ascii="Arial" w:cs="Arial" w:eastAsia="Arial" w:hAnsi="Arial"/>
                <w:sz w:val="18"/>
                <w:szCs w:val="18"/>
                <w:color w:val="auto"/>
              </w:rPr>
              <w:t>Alabama T. V. Cable, Inc.</w:t>
            </w:r>
          </w:p>
        </w:tc>
        <w:tc>
          <w:tcPr>
            <w:tcW w:w="1480" w:type="dxa"/>
            <w:vAlign w:val="bottom"/>
            <w:gridSpan w:val="2"/>
          </w:tcPr>
          <w:p>
            <w:pPr>
              <w:ind w:left="300"/>
              <w:spacing w:after="0"/>
              <w:rPr>
                <w:sz w:val="20"/>
                <w:szCs w:val="20"/>
                <w:color w:val="auto"/>
              </w:rPr>
            </w:pPr>
            <w:r>
              <w:rPr>
                <w:rFonts w:ascii="Arial" w:cs="Arial" w:eastAsia="Arial" w:hAnsi="Arial"/>
                <w:sz w:val="18"/>
                <w:szCs w:val="18"/>
                <w:color w:val="auto"/>
              </w:rPr>
              <w:t>AL</w:t>
            </w:r>
          </w:p>
        </w:tc>
      </w:tr>
      <w:tr>
        <w:trPr>
          <w:trHeight w:val="324"/>
        </w:trPr>
        <w:tc>
          <w:tcPr>
            <w:tcW w:w="6500" w:type="dxa"/>
            <w:vAlign w:val="bottom"/>
          </w:tcPr>
          <w:p>
            <w:pPr>
              <w:spacing w:after="0"/>
              <w:rPr>
                <w:sz w:val="20"/>
                <w:szCs w:val="20"/>
                <w:color w:val="auto"/>
              </w:rPr>
            </w:pPr>
            <w:r>
              <w:rPr>
                <w:rFonts w:ascii="Arial" w:cs="Arial" w:eastAsia="Arial" w:hAnsi="Arial"/>
                <w:sz w:val="18"/>
                <w:szCs w:val="18"/>
                <w:color w:val="auto"/>
              </w:rPr>
              <w:t>American Microwave &amp; Communications, Inc.</w:t>
            </w:r>
          </w:p>
        </w:tc>
        <w:tc>
          <w:tcPr>
            <w:tcW w:w="1480" w:type="dxa"/>
            <w:vAlign w:val="bottom"/>
            <w:gridSpan w:val="2"/>
          </w:tcPr>
          <w:p>
            <w:pPr>
              <w:ind w:left="300"/>
              <w:spacing w:after="0"/>
              <w:rPr>
                <w:sz w:val="20"/>
                <w:szCs w:val="20"/>
                <w:color w:val="auto"/>
              </w:rPr>
            </w:pPr>
            <w:r>
              <w:rPr>
                <w:rFonts w:ascii="Arial" w:cs="Arial" w:eastAsia="Arial" w:hAnsi="Arial"/>
                <w:sz w:val="18"/>
                <w:szCs w:val="18"/>
                <w:color w:val="auto"/>
              </w:rPr>
              <w:t>MI</w:t>
            </w:r>
          </w:p>
        </w:tc>
      </w:tr>
      <w:tr>
        <w:trPr>
          <w:trHeight w:val="324"/>
        </w:trPr>
        <w:tc>
          <w:tcPr>
            <w:tcW w:w="6500" w:type="dxa"/>
            <w:vAlign w:val="bottom"/>
          </w:tcPr>
          <w:p>
            <w:pPr>
              <w:spacing w:after="0"/>
              <w:rPr>
                <w:sz w:val="20"/>
                <w:szCs w:val="20"/>
                <w:color w:val="auto"/>
              </w:rPr>
            </w:pPr>
            <w:r>
              <w:rPr>
                <w:rFonts w:ascii="Arial" w:cs="Arial" w:eastAsia="Arial" w:hAnsi="Arial"/>
                <w:sz w:val="18"/>
                <w:szCs w:val="18"/>
                <w:color w:val="auto"/>
              </w:rPr>
              <w:t>American Televenture of Minersville, Inc.</w:t>
            </w:r>
          </w:p>
        </w:tc>
        <w:tc>
          <w:tcPr>
            <w:tcW w:w="1480" w:type="dxa"/>
            <w:vAlign w:val="bottom"/>
            <w:gridSpan w:val="2"/>
          </w:tcPr>
          <w:p>
            <w:pPr>
              <w:ind w:left="300"/>
              <w:spacing w:after="0"/>
              <w:rPr>
                <w:sz w:val="20"/>
                <w:szCs w:val="20"/>
                <w:color w:val="auto"/>
              </w:rPr>
            </w:pPr>
            <w:r>
              <w:rPr>
                <w:rFonts w:ascii="Arial" w:cs="Arial" w:eastAsia="Arial" w:hAnsi="Arial"/>
                <w:sz w:val="18"/>
                <w:szCs w:val="18"/>
                <w:color w:val="auto"/>
              </w:rPr>
              <w:t>CO</w:t>
            </w:r>
          </w:p>
        </w:tc>
      </w:tr>
      <w:tr>
        <w:trPr>
          <w:trHeight w:val="324"/>
        </w:trPr>
        <w:tc>
          <w:tcPr>
            <w:tcW w:w="6500" w:type="dxa"/>
            <w:vAlign w:val="bottom"/>
          </w:tcPr>
          <w:p>
            <w:pPr>
              <w:spacing w:after="0"/>
              <w:rPr>
                <w:sz w:val="20"/>
                <w:szCs w:val="20"/>
                <w:color w:val="auto"/>
              </w:rPr>
            </w:pPr>
            <w:r>
              <w:rPr>
                <w:rFonts w:ascii="Arial" w:cs="Arial" w:eastAsia="Arial" w:hAnsi="Arial"/>
                <w:sz w:val="18"/>
                <w:szCs w:val="18"/>
                <w:color w:val="auto"/>
              </w:rPr>
              <w:t>Atlantic American Cablevision of Florida, LLC</w:t>
            </w:r>
          </w:p>
        </w:tc>
        <w:tc>
          <w:tcPr>
            <w:tcW w:w="1480" w:type="dxa"/>
            <w:vAlign w:val="bottom"/>
            <w:gridSpan w:val="2"/>
          </w:tcPr>
          <w:p>
            <w:pPr>
              <w:ind w:left="300"/>
              <w:spacing w:after="0"/>
              <w:rPr>
                <w:sz w:val="20"/>
                <w:szCs w:val="20"/>
                <w:color w:val="auto"/>
              </w:rPr>
            </w:pPr>
            <w:r>
              <w:rPr>
                <w:rFonts w:ascii="Arial" w:cs="Arial" w:eastAsia="Arial" w:hAnsi="Arial"/>
                <w:sz w:val="18"/>
                <w:szCs w:val="18"/>
                <w:color w:val="auto"/>
              </w:rPr>
              <w:t>FL</w:t>
            </w:r>
          </w:p>
        </w:tc>
      </w:tr>
      <w:tr>
        <w:trPr>
          <w:trHeight w:val="324"/>
        </w:trPr>
        <w:tc>
          <w:tcPr>
            <w:tcW w:w="6500" w:type="dxa"/>
            <w:vAlign w:val="bottom"/>
          </w:tcPr>
          <w:p>
            <w:pPr>
              <w:spacing w:after="0"/>
              <w:rPr>
                <w:sz w:val="20"/>
                <w:szCs w:val="20"/>
                <w:color w:val="auto"/>
              </w:rPr>
            </w:pPr>
            <w:r>
              <w:rPr>
                <w:rFonts w:ascii="Arial" w:cs="Arial" w:eastAsia="Arial" w:hAnsi="Arial"/>
                <w:sz w:val="18"/>
                <w:szCs w:val="18"/>
                <w:color w:val="auto"/>
              </w:rPr>
              <w:t>Atlantic American Cablevision, LLC</w:t>
            </w:r>
          </w:p>
        </w:tc>
        <w:tc>
          <w:tcPr>
            <w:tcW w:w="1480" w:type="dxa"/>
            <w:vAlign w:val="bottom"/>
            <w:gridSpan w:val="2"/>
          </w:tcPr>
          <w:p>
            <w:pPr>
              <w:ind w:left="300"/>
              <w:spacing w:after="0"/>
              <w:rPr>
                <w:sz w:val="20"/>
                <w:szCs w:val="20"/>
                <w:color w:val="auto"/>
              </w:rPr>
            </w:pPr>
            <w:r>
              <w:rPr>
                <w:rFonts w:ascii="Arial" w:cs="Arial" w:eastAsia="Arial" w:hAnsi="Arial"/>
                <w:sz w:val="18"/>
                <w:szCs w:val="18"/>
                <w:color w:val="auto"/>
              </w:rPr>
              <w:t>DE</w:t>
            </w:r>
          </w:p>
        </w:tc>
      </w:tr>
      <w:tr>
        <w:trPr>
          <w:trHeight w:val="324"/>
        </w:trPr>
        <w:tc>
          <w:tcPr>
            <w:tcW w:w="6500" w:type="dxa"/>
            <w:vAlign w:val="bottom"/>
          </w:tcPr>
          <w:p>
            <w:pPr>
              <w:spacing w:after="0"/>
              <w:rPr>
                <w:sz w:val="20"/>
                <w:szCs w:val="20"/>
                <w:color w:val="auto"/>
              </w:rPr>
            </w:pPr>
            <w:r>
              <w:rPr>
                <w:rFonts w:ascii="Arial" w:cs="Arial" w:eastAsia="Arial" w:hAnsi="Arial"/>
                <w:sz w:val="18"/>
                <w:szCs w:val="18"/>
                <w:color w:val="auto"/>
              </w:rPr>
              <w:t>Atlantic American Holdings, Inc.</w:t>
            </w:r>
          </w:p>
        </w:tc>
        <w:tc>
          <w:tcPr>
            <w:tcW w:w="1480" w:type="dxa"/>
            <w:vAlign w:val="bottom"/>
            <w:gridSpan w:val="2"/>
          </w:tcPr>
          <w:p>
            <w:pPr>
              <w:ind w:left="300"/>
              <w:spacing w:after="0"/>
              <w:rPr>
                <w:sz w:val="20"/>
                <w:szCs w:val="20"/>
                <w:color w:val="auto"/>
              </w:rPr>
            </w:pPr>
            <w:r>
              <w:rPr>
                <w:rFonts w:ascii="Arial" w:cs="Arial" w:eastAsia="Arial" w:hAnsi="Arial"/>
                <w:sz w:val="18"/>
                <w:szCs w:val="18"/>
                <w:color w:val="auto"/>
              </w:rPr>
              <w:t>FL</w:t>
            </w:r>
          </w:p>
        </w:tc>
      </w:tr>
      <w:tr>
        <w:trPr>
          <w:trHeight w:val="324"/>
        </w:trPr>
        <w:tc>
          <w:tcPr>
            <w:tcW w:w="6500" w:type="dxa"/>
            <w:vAlign w:val="bottom"/>
          </w:tcPr>
          <w:p>
            <w:pPr>
              <w:spacing w:after="0"/>
              <w:rPr>
                <w:sz w:val="20"/>
                <w:szCs w:val="20"/>
                <w:color w:val="auto"/>
              </w:rPr>
            </w:pPr>
            <w:r>
              <w:rPr>
                <w:rFonts w:ascii="Arial" w:cs="Arial" w:eastAsia="Arial" w:hAnsi="Arial"/>
                <w:sz w:val="18"/>
                <w:szCs w:val="18"/>
                <w:color w:val="auto"/>
              </w:rPr>
              <w:t>Atlantic Cablevision of Florida, Inc.</w:t>
            </w:r>
          </w:p>
        </w:tc>
        <w:tc>
          <w:tcPr>
            <w:tcW w:w="1480" w:type="dxa"/>
            <w:vAlign w:val="bottom"/>
            <w:gridSpan w:val="2"/>
          </w:tcPr>
          <w:p>
            <w:pPr>
              <w:ind w:left="300"/>
              <w:spacing w:after="0"/>
              <w:rPr>
                <w:sz w:val="20"/>
                <w:szCs w:val="20"/>
                <w:color w:val="auto"/>
              </w:rPr>
            </w:pPr>
            <w:r>
              <w:rPr>
                <w:rFonts w:ascii="Arial" w:cs="Arial" w:eastAsia="Arial" w:hAnsi="Arial"/>
                <w:sz w:val="18"/>
                <w:szCs w:val="18"/>
                <w:color w:val="auto"/>
              </w:rPr>
              <w:t>DE</w:t>
            </w:r>
          </w:p>
        </w:tc>
      </w:tr>
      <w:tr>
        <w:trPr>
          <w:trHeight w:val="324"/>
        </w:trPr>
        <w:tc>
          <w:tcPr>
            <w:tcW w:w="6500" w:type="dxa"/>
            <w:vAlign w:val="bottom"/>
          </w:tcPr>
          <w:p>
            <w:pPr>
              <w:spacing w:after="0"/>
              <w:rPr>
                <w:sz w:val="20"/>
                <w:szCs w:val="20"/>
                <w:color w:val="auto"/>
              </w:rPr>
            </w:pPr>
            <w:r>
              <w:rPr>
                <w:rFonts w:ascii="Arial" w:cs="Arial" w:eastAsia="Arial" w:hAnsi="Arial"/>
                <w:sz w:val="18"/>
                <w:szCs w:val="18"/>
                <w:color w:val="auto"/>
              </w:rPr>
              <w:t>Bay Area Interconnect</w:t>
            </w:r>
          </w:p>
        </w:tc>
        <w:tc>
          <w:tcPr>
            <w:tcW w:w="1480" w:type="dxa"/>
            <w:vAlign w:val="bottom"/>
            <w:gridSpan w:val="2"/>
          </w:tcPr>
          <w:p>
            <w:pPr>
              <w:ind w:left="300"/>
              <w:spacing w:after="0"/>
              <w:rPr>
                <w:sz w:val="20"/>
                <w:szCs w:val="20"/>
                <w:color w:val="auto"/>
              </w:rPr>
            </w:pPr>
            <w:r>
              <w:rPr>
                <w:rFonts w:ascii="Arial" w:cs="Arial" w:eastAsia="Arial" w:hAnsi="Arial"/>
                <w:sz w:val="18"/>
                <w:szCs w:val="18"/>
                <w:color w:val="auto"/>
              </w:rPr>
              <w:t>CA</w:t>
            </w:r>
          </w:p>
        </w:tc>
      </w:tr>
      <w:tr>
        <w:trPr>
          <w:trHeight w:val="324"/>
        </w:trPr>
        <w:tc>
          <w:tcPr>
            <w:tcW w:w="6500" w:type="dxa"/>
            <w:vAlign w:val="bottom"/>
          </w:tcPr>
          <w:p>
            <w:pPr>
              <w:spacing w:after="0"/>
              <w:rPr>
                <w:sz w:val="20"/>
                <w:szCs w:val="20"/>
                <w:color w:val="auto"/>
              </w:rPr>
            </w:pPr>
            <w:r>
              <w:rPr>
                <w:rFonts w:ascii="Arial" w:cs="Arial" w:eastAsia="Arial" w:hAnsi="Arial"/>
                <w:sz w:val="18"/>
                <w:szCs w:val="18"/>
                <w:color w:val="auto"/>
              </w:rPr>
              <w:t>Beatrice Cable TV Company</w:t>
            </w:r>
          </w:p>
        </w:tc>
        <w:tc>
          <w:tcPr>
            <w:tcW w:w="1480" w:type="dxa"/>
            <w:vAlign w:val="bottom"/>
            <w:gridSpan w:val="2"/>
          </w:tcPr>
          <w:p>
            <w:pPr>
              <w:ind w:left="300"/>
              <w:spacing w:after="0"/>
              <w:rPr>
                <w:sz w:val="20"/>
                <w:szCs w:val="20"/>
                <w:color w:val="auto"/>
              </w:rPr>
            </w:pPr>
            <w:r>
              <w:rPr>
                <w:rFonts w:ascii="Arial" w:cs="Arial" w:eastAsia="Arial" w:hAnsi="Arial"/>
                <w:sz w:val="18"/>
                <w:szCs w:val="18"/>
                <w:color w:val="auto"/>
              </w:rPr>
              <w:t>NE</w:t>
            </w:r>
          </w:p>
        </w:tc>
      </w:tr>
      <w:tr>
        <w:trPr>
          <w:trHeight w:val="324"/>
        </w:trPr>
        <w:tc>
          <w:tcPr>
            <w:tcW w:w="6500" w:type="dxa"/>
            <w:vAlign w:val="bottom"/>
          </w:tcPr>
          <w:p>
            <w:pPr>
              <w:spacing w:after="0"/>
              <w:rPr>
                <w:sz w:val="20"/>
                <w:szCs w:val="20"/>
                <w:color w:val="auto"/>
              </w:rPr>
            </w:pPr>
            <w:r>
              <w:rPr>
                <w:rFonts w:ascii="Arial" w:cs="Arial" w:eastAsia="Arial" w:hAnsi="Arial"/>
                <w:sz w:val="18"/>
                <w:szCs w:val="18"/>
                <w:color w:val="auto"/>
              </w:rPr>
              <w:t>Box Office Enterprises, Inc.</w:t>
            </w:r>
          </w:p>
        </w:tc>
        <w:tc>
          <w:tcPr>
            <w:tcW w:w="1480" w:type="dxa"/>
            <w:vAlign w:val="bottom"/>
            <w:gridSpan w:val="2"/>
          </w:tcPr>
          <w:p>
            <w:pPr>
              <w:ind w:left="300"/>
              <w:spacing w:after="0"/>
              <w:rPr>
                <w:sz w:val="20"/>
                <w:szCs w:val="20"/>
                <w:color w:val="auto"/>
              </w:rPr>
            </w:pPr>
            <w:r>
              <w:rPr>
                <w:rFonts w:ascii="Arial" w:cs="Arial" w:eastAsia="Arial" w:hAnsi="Arial"/>
                <w:sz w:val="18"/>
                <w:szCs w:val="18"/>
                <w:color w:val="auto"/>
              </w:rPr>
              <w:t>CT</w:t>
            </w:r>
          </w:p>
        </w:tc>
      </w:tr>
      <w:tr>
        <w:trPr>
          <w:trHeight w:val="324"/>
        </w:trPr>
        <w:tc>
          <w:tcPr>
            <w:tcW w:w="6500" w:type="dxa"/>
            <w:vAlign w:val="bottom"/>
          </w:tcPr>
          <w:p>
            <w:pPr>
              <w:spacing w:after="0"/>
              <w:rPr>
                <w:sz w:val="20"/>
                <w:szCs w:val="20"/>
                <w:color w:val="auto"/>
              </w:rPr>
            </w:pPr>
            <w:r>
              <w:rPr>
                <w:rFonts w:ascii="Arial" w:cs="Arial" w:eastAsia="Arial" w:hAnsi="Arial"/>
                <w:sz w:val="18"/>
                <w:szCs w:val="18"/>
                <w:color w:val="auto"/>
              </w:rPr>
              <w:t>Brigand Pictures, Inc.</w:t>
            </w:r>
          </w:p>
        </w:tc>
        <w:tc>
          <w:tcPr>
            <w:tcW w:w="1480" w:type="dxa"/>
            <w:vAlign w:val="bottom"/>
            <w:gridSpan w:val="2"/>
          </w:tcPr>
          <w:p>
            <w:pPr>
              <w:ind w:left="300"/>
              <w:spacing w:after="0"/>
              <w:rPr>
                <w:sz w:val="20"/>
                <w:szCs w:val="20"/>
                <w:color w:val="auto"/>
              </w:rPr>
            </w:pPr>
            <w:r>
              <w:rPr>
                <w:rFonts w:ascii="Arial" w:cs="Arial" w:eastAsia="Arial" w:hAnsi="Arial"/>
                <w:sz w:val="18"/>
                <w:szCs w:val="18"/>
                <w:color w:val="auto"/>
              </w:rPr>
              <w:t>DE</w:t>
            </w:r>
          </w:p>
        </w:tc>
      </w:tr>
      <w:tr>
        <w:trPr>
          <w:trHeight w:val="324"/>
        </w:trPr>
        <w:tc>
          <w:tcPr>
            <w:tcW w:w="6500" w:type="dxa"/>
            <w:vAlign w:val="bottom"/>
          </w:tcPr>
          <w:p>
            <w:pPr>
              <w:spacing w:after="0"/>
              <w:rPr>
                <w:sz w:val="20"/>
                <w:szCs w:val="20"/>
                <w:color w:val="auto"/>
              </w:rPr>
            </w:pPr>
            <w:r>
              <w:rPr>
                <w:rFonts w:ascii="Arial" w:cs="Arial" w:eastAsia="Arial" w:hAnsi="Arial"/>
                <w:sz w:val="18"/>
                <w:szCs w:val="18"/>
                <w:color w:val="auto"/>
              </w:rPr>
              <w:t>BroadNet Austria GmbH</w:t>
            </w:r>
          </w:p>
        </w:tc>
        <w:tc>
          <w:tcPr>
            <w:tcW w:w="1480" w:type="dxa"/>
            <w:vAlign w:val="bottom"/>
            <w:gridSpan w:val="2"/>
          </w:tcPr>
          <w:p>
            <w:pPr>
              <w:ind w:left="300"/>
              <w:spacing w:after="0"/>
              <w:rPr>
                <w:sz w:val="20"/>
                <w:szCs w:val="20"/>
                <w:color w:val="auto"/>
              </w:rPr>
            </w:pPr>
            <w:r>
              <w:rPr>
                <w:rFonts w:ascii="Arial" w:cs="Arial" w:eastAsia="Arial" w:hAnsi="Arial"/>
                <w:sz w:val="18"/>
                <w:szCs w:val="18"/>
                <w:color w:val="auto"/>
              </w:rPr>
              <w:t>Austria</w:t>
            </w:r>
          </w:p>
        </w:tc>
      </w:tr>
      <w:tr>
        <w:trPr>
          <w:trHeight w:val="324"/>
        </w:trPr>
        <w:tc>
          <w:tcPr>
            <w:tcW w:w="6500" w:type="dxa"/>
            <w:vAlign w:val="bottom"/>
          </w:tcPr>
          <w:p>
            <w:pPr>
              <w:spacing w:after="0"/>
              <w:rPr>
                <w:sz w:val="20"/>
                <w:szCs w:val="20"/>
                <w:color w:val="auto"/>
              </w:rPr>
            </w:pPr>
            <w:r>
              <w:rPr>
                <w:rFonts w:ascii="Arial" w:cs="Arial" w:eastAsia="Arial" w:hAnsi="Arial"/>
                <w:sz w:val="18"/>
                <w:szCs w:val="18"/>
                <w:color w:val="auto"/>
              </w:rPr>
              <w:t>BroadNet Belgium S.A.</w:t>
            </w:r>
          </w:p>
        </w:tc>
        <w:tc>
          <w:tcPr>
            <w:tcW w:w="1480" w:type="dxa"/>
            <w:vAlign w:val="bottom"/>
            <w:gridSpan w:val="2"/>
          </w:tcPr>
          <w:p>
            <w:pPr>
              <w:ind w:left="300"/>
              <w:spacing w:after="0"/>
              <w:rPr>
                <w:sz w:val="20"/>
                <w:szCs w:val="20"/>
                <w:color w:val="auto"/>
              </w:rPr>
            </w:pPr>
            <w:r>
              <w:rPr>
                <w:rFonts w:ascii="Arial" w:cs="Arial" w:eastAsia="Arial" w:hAnsi="Arial"/>
                <w:sz w:val="18"/>
                <w:szCs w:val="18"/>
                <w:color w:val="auto"/>
              </w:rPr>
              <w:t>Belgium</w:t>
            </w:r>
          </w:p>
        </w:tc>
      </w:tr>
      <w:tr>
        <w:trPr>
          <w:trHeight w:val="324"/>
        </w:trPr>
        <w:tc>
          <w:tcPr>
            <w:tcW w:w="6500" w:type="dxa"/>
            <w:vAlign w:val="bottom"/>
          </w:tcPr>
          <w:p>
            <w:pPr>
              <w:spacing w:after="0"/>
              <w:rPr>
                <w:sz w:val="20"/>
                <w:szCs w:val="20"/>
                <w:color w:val="auto"/>
              </w:rPr>
            </w:pPr>
            <w:r>
              <w:rPr>
                <w:rFonts w:ascii="Arial" w:cs="Arial" w:eastAsia="Arial" w:hAnsi="Arial"/>
                <w:sz w:val="18"/>
                <w:szCs w:val="18"/>
                <w:color w:val="auto"/>
              </w:rPr>
              <w:t>BroadNet Czech a.s.</w:t>
            </w:r>
          </w:p>
        </w:tc>
        <w:tc>
          <w:tcPr>
            <w:tcW w:w="1480" w:type="dxa"/>
            <w:vAlign w:val="bottom"/>
            <w:gridSpan w:val="2"/>
          </w:tcPr>
          <w:p>
            <w:pPr>
              <w:ind w:left="300"/>
              <w:spacing w:after="0"/>
              <w:rPr>
                <w:sz w:val="20"/>
                <w:szCs w:val="20"/>
                <w:color w:val="auto"/>
              </w:rPr>
            </w:pPr>
            <w:r>
              <w:rPr>
                <w:rFonts w:ascii="Arial" w:cs="Arial" w:eastAsia="Arial" w:hAnsi="Arial"/>
                <w:sz w:val="18"/>
                <w:szCs w:val="18"/>
                <w:color w:val="auto"/>
                <w:w w:val="91"/>
              </w:rPr>
              <w:t>Czech Republic</w:t>
            </w:r>
          </w:p>
        </w:tc>
      </w:tr>
      <w:tr>
        <w:trPr>
          <w:trHeight w:val="324"/>
        </w:trPr>
        <w:tc>
          <w:tcPr>
            <w:tcW w:w="6500" w:type="dxa"/>
            <w:vAlign w:val="bottom"/>
          </w:tcPr>
          <w:p>
            <w:pPr>
              <w:spacing w:after="0"/>
              <w:rPr>
                <w:sz w:val="20"/>
                <w:szCs w:val="20"/>
                <w:color w:val="auto"/>
              </w:rPr>
            </w:pPr>
            <w:r>
              <w:rPr>
                <w:rFonts w:ascii="Arial" w:cs="Arial" w:eastAsia="Arial" w:hAnsi="Arial"/>
                <w:sz w:val="18"/>
                <w:szCs w:val="18"/>
                <w:color w:val="auto"/>
              </w:rPr>
              <w:t>BroadNet Danmark ApS</w:t>
            </w:r>
          </w:p>
        </w:tc>
        <w:tc>
          <w:tcPr>
            <w:tcW w:w="1480" w:type="dxa"/>
            <w:vAlign w:val="bottom"/>
            <w:gridSpan w:val="2"/>
          </w:tcPr>
          <w:p>
            <w:pPr>
              <w:ind w:left="300"/>
              <w:spacing w:after="0"/>
              <w:rPr>
                <w:sz w:val="20"/>
                <w:szCs w:val="20"/>
                <w:color w:val="auto"/>
              </w:rPr>
            </w:pPr>
            <w:r>
              <w:rPr>
                <w:rFonts w:ascii="Arial" w:cs="Arial" w:eastAsia="Arial" w:hAnsi="Arial"/>
                <w:sz w:val="18"/>
                <w:szCs w:val="18"/>
                <w:color w:val="auto"/>
              </w:rPr>
              <w:t>Denmark</w:t>
            </w:r>
          </w:p>
        </w:tc>
      </w:tr>
      <w:tr>
        <w:trPr>
          <w:trHeight w:val="324"/>
        </w:trPr>
        <w:tc>
          <w:tcPr>
            <w:tcW w:w="6500" w:type="dxa"/>
            <w:vAlign w:val="bottom"/>
          </w:tcPr>
          <w:p>
            <w:pPr>
              <w:spacing w:after="0"/>
              <w:rPr>
                <w:sz w:val="20"/>
                <w:szCs w:val="20"/>
                <w:color w:val="auto"/>
              </w:rPr>
            </w:pPr>
            <w:r>
              <w:rPr>
                <w:rFonts w:ascii="Arial" w:cs="Arial" w:eastAsia="Arial" w:hAnsi="Arial"/>
                <w:sz w:val="18"/>
                <w:szCs w:val="18"/>
                <w:color w:val="auto"/>
              </w:rPr>
              <w:t>BroadNet Europe SPRL</w:t>
            </w:r>
          </w:p>
        </w:tc>
        <w:tc>
          <w:tcPr>
            <w:tcW w:w="1480" w:type="dxa"/>
            <w:vAlign w:val="bottom"/>
            <w:gridSpan w:val="2"/>
          </w:tcPr>
          <w:p>
            <w:pPr>
              <w:ind w:left="300"/>
              <w:spacing w:after="0"/>
              <w:rPr>
                <w:sz w:val="20"/>
                <w:szCs w:val="20"/>
                <w:color w:val="auto"/>
              </w:rPr>
            </w:pPr>
            <w:r>
              <w:rPr>
                <w:rFonts w:ascii="Arial" w:cs="Arial" w:eastAsia="Arial" w:hAnsi="Arial"/>
                <w:sz w:val="18"/>
                <w:szCs w:val="18"/>
                <w:color w:val="auto"/>
              </w:rPr>
              <w:t>Belgium</w:t>
            </w:r>
          </w:p>
        </w:tc>
      </w:tr>
      <w:tr>
        <w:trPr>
          <w:trHeight w:val="324"/>
        </w:trPr>
        <w:tc>
          <w:tcPr>
            <w:tcW w:w="6500" w:type="dxa"/>
            <w:vAlign w:val="bottom"/>
          </w:tcPr>
          <w:p>
            <w:pPr>
              <w:spacing w:after="0"/>
              <w:rPr>
                <w:sz w:val="20"/>
                <w:szCs w:val="20"/>
                <w:color w:val="auto"/>
              </w:rPr>
            </w:pPr>
            <w:r>
              <w:rPr>
                <w:rFonts w:ascii="Arial" w:cs="Arial" w:eastAsia="Arial" w:hAnsi="Arial"/>
                <w:sz w:val="18"/>
                <w:szCs w:val="18"/>
                <w:color w:val="auto"/>
              </w:rPr>
              <w:t>BroadNet France S.A.S.</w:t>
            </w:r>
          </w:p>
        </w:tc>
        <w:tc>
          <w:tcPr>
            <w:tcW w:w="1480" w:type="dxa"/>
            <w:vAlign w:val="bottom"/>
            <w:gridSpan w:val="2"/>
          </w:tcPr>
          <w:p>
            <w:pPr>
              <w:ind w:left="300"/>
              <w:spacing w:after="0"/>
              <w:rPr>
                <w:sz w:val="20"/>
                <w:szCs w:val="20"/>
                <w:color w:val="auto"/>
              </w:rPr>
            </w:pPr>
            <w:r>
              <w:rPr>
                <w:rFonts w:ascii="Arial" w:cs="Arial" w:eastAsia="Arial" w:hAnsi="Arial"/>
                <w:sz w:val="18"/>
                <w:szCs w:val="18"/>
                <w:color w:val="auto"/>
              </w:rPr>
              <w:t>France</w:t>
            </w:r>
          </w:p>
        </w:tc>
      </w:tr>
      <w:tr>
        <w:trPr>
          <w:trHeight w:val="324"/>
        </w:trPr>
        <w:tc>
          <w:tcPr>
            <w:tcW w:w="6500" w:type="dxa"/>
            <w:vAlign w:val="bottom"/>
          </w:tcPr>
          <w:p>
            <w:pPr>
              <w:spacing w:after="0"/>
              <w:rPr>
                <w:sz w:val="20"/>
                <w:szCs w:val="20"/>
                <w:color w:val="auto"/>
              </w:rPr>
            </w:pPr>
            <w:r>
              <w:rPr>
                <w:rFonts w:ascii="Arial" w:cs="Arial" w:eastAsia="Arial" w:hAnsi="Arial"/>
                <w:sz w:val="18"/>
                <w:szCs w:val="18"/>
                <w:color w:val="auto"/>
              </w:rPr>
              <w:t>BroadNet Hellas S.A.</w:t>
            </w:r>
          </w:p>
        </w:tc>
        <w:tc>
          <w:tcPr>
            <w:tcW w:w="1480" w:type="dxa"/>
            <w:vAlign w:val="bottom"/>
            <w:gridSpan w:val="2"/>
          </w:tcPr>
          <w:p>
            <w:pPr>
              <w:ind w:left="300"/>
              <w:spacing w:after="0"/>
              <w:rPr>
                <w:sz w:val="20"/>
                <w:szCs w:val="20"/>
                <w:color w:val="auto"/>
              </w:rPr>
            </w:pPr>
            <w:r>
              <w:rPr>
                <w:rFonts w:ascii="Arial" w:cs="Arial" w:eastAsia="Arial" w:hAnsi="Arial"/>
                <w:sz w:val="18"/>
                <w:szCs w:val="18"/>
                <w:color w:val="auto"/>
              </w:rPr>
              <w:t>Greece</w:t>
            </w:r>
          </w:p>
        </w:tc>
      </w:tr>
      <w:tr>
        <w:trPr>
          <w:trHeight w:val="324"/>
        </w:trPr>
        <w:tc>
          <w:tcPr>
            <w:tcW w:w="6500" w:type="dxa"/>
            <w:vAlign w:val="bottom"/>
          </w:tcPr>
          <w:p>
            <w:pPr>
              <w:spacing w:after="0"/>
              <w:rPr>
                <w:sz w:val="20"/>
                <w:szCs w:val="20"/>
                <w:color w:val="auto"/>
              </w:rPr>
            </w:pPr>
            <w:r>
              <w:rPr>
                <w:rFonts w:ascii="Arial" w:cs="Arial" w:eastAsia="Arial" w:hAnsi="Arial"/>
                <w:sz w:val="18"/>
                <w:szCs w:val="18"/>
                <w:color w:val="auto"/>
              </w:rPr>
              <w:t>BroadNet Holdings, B.V.</w:t>
            </w:r>
          </w:p>
        </w:tc>
        <w:tc>
          <w:tcPr>
            <w:tcW w:w="1480" w:type="dxa"/>
            <w:vAlign w:val="bottom"/>
            <w:gridSpan w:val="2"/>
          </w:tcPr>
          <w:p>
            <w:pPr>
              <w:ind w:left="300"/>
              <w:spacing w:after="0"/>
              <w:rPr>
                <w:sz w:val="20"/>
                <w:szCs w:val="20"/>
                <w:color w:val="auto"/>
              </w:rPr>
            </w:pPr>
            <w:r>
              <w:rPr>
                <w:rFonts w:ascii="Arial" w:cs="Arial" w:eastAsia="Arial" w:hAnsi="Arial"/>
                <w:sz w:val="18"/>
                <w:szCs w:val="18"/>
                <w:color w:val="auto"/>
                <w:w w:val="87"/>
              </w:rPr>
              <w:t>The Netherlands</w:t>
            </w:r>
          </w:p>
        </w:tc>
      </w:tr>
      <w:tr>
        <w:trPr>
          <w:trHeight w:val="324"/>
        </w:trPr>
        <w:tc>
          <w:tcPr>
            <w:tcW w:w="6500" w:type="dxa"/>
            <w:vAlign w:val="bottom"/>
          </w:tcPr>
          <w:p>
            <w:pPr>
              <w:spacing w:after="0"/>
              <w:rPr>
                <w:sz w:val="20"/>
                <w:szCs w:val="20"/>
                <w:color w:val="auto"/>
              </w:rPr>
            </w:pPr>
            <w:r>
              <w:rPr>
                <w:rFonts w:ascii="Arial" w:cs="Arial" w:eastAsia="Arial" w:hAnsi="Arial"/>
                <w:sz w:val="18"/>
                <w:szCs w:val="18"/>
                <w:color w:val="auto"/>
              </w:rPr>
              <w:t>BroadNet Italy SPA</w:t>
            </w:r>
          </w:p>
        </w:tc>
        <w:tc>
          <w:tcPr>
            <w:tcW w:w="1480" w:type="dxa"/>
            <w:vAlign w:val="bottom"/>
            <w:gridSpan w:val="2"/>
          </w:tcPr>
          <w:p>
            <w:pPr>
              <w:ind w:left="300"/>
              <w:spacing w:after="0"/>
              <w:rPr>
                <w:sz w:val="20"/>
                <w:szCs w:val="20"/>
                <w:color w:val="auto"/>
              </w:rPr>
            </w:pPr>
            <w:r>
              <w:rPr>
                <w:rFonts w:ascii="Arial" w:cs="Arial" w:eastAsia="Arial" w:hAnsi="Arial"/>
                <w:sz w:val="18"/>
                <w:szCs w:val="18"/>
                <w:color w:val="auto"/>
              </w:rPr>
              <w:t>Italy</w:t>
            </w:r>
          </w:p>
        </w:tc>
      </w:tr>
      <w:tr>
        <w:trPr>
          <w:trHeight w:val="324"/>
        </w:trPr>
        <w:tc>
          <w:tcPr>
            <w:tcW w:w="6500" w:type="dxa"/>
            <w:vAlign w:val="bottom"/>
          </w:tcPr>
          <w:p>
            <w:pPr>
              <w:spacing w:after="0"/>
              <w:rPr>
                <w:sz w:val="20"/>
                <w:szCs w:val="20"/>
                <w:color w:val="auto"/>
              </w:rPr>
            </w:pPr>
            <w:r>
              <w:rPr>
                <w:rFonts w:ascii="Arial" w:cs="Arial" w:eastAsia="Arial" w:hAnsi="Arial"/>
                <w:sz w:val="18"/>
                <w:szCs w:val="18"/>
                <w:color w:val="auto"/>
              </w:rPr>
              <w:t>BroadNet Magyarorszag Kft</w:t>
            </w:r>
          </w:p>
        </w:tc>
        <w:tc>
          <w:tcPr>
            <w:tcW w:w="1480" w:type="dxa"/>
            <w:vAlign w:val="bottom"/>
            <w:gridSpan w:val="2"/>
          </w:tcPr>
          <w:p>
            <w:pPr>
              <w:ind w:left="300"/>
              <w:spacing w:after="0"/>
              <w:rPr>
                <w:sz w:val="20"/>
                <w:szCs w:val="20"/>
                <w:color w:val="auto"/>
              </w:rPr>
            </w:pPr>
            <w:r>
              <w:rPr>
                <w:rFonts w:ascii="Arial" w:cs="Arial" w:eastAsia="Arial" w:hAnsi="Arial"/>
                <w:sz w:val="18"/>
                <w:szCs w:val="18"/>
                <w:color w:val="auto"/>
              </w:rPr>
              <w:t>Hungary</w:t>
            </w:r>
          </w:p>
        </w:tc>
      </w:tr>
      <w:tr>
        <w:trPr>
          <w:trHeight w:val="324"/>
        </w:trPr>
        <w:tc>
          <w:tcPr>
            <w:tcW w:w="6500" w:type="dxa"/>
            <w:vAlign w:val="bottom"/>
          </w:tcPr>
          <w:p>
            <w:pPr>
              <w:spacing w:after="0"/>
              <w:rPr>
                <w:sz w:val="20"/>
                <w:szCs w:val="20"/>
                <w:color w:val="auto"/>
              </w:rPr>
            </w:pPr>
            <w:r>
              <w:rPr>
                <w:rFonts w:ascii="Arial" w:cs="Arial" w:eastAsia="Arial" w:hAnsi="Arial"/>
                <w:sz w:val="18"/>
                <w:szCs w:val="18"/>
                <w:color w:val="auto"/>
              </w:rPr>
              <w:t>BroadNet Norge A.S.</w:t>
            </w:r>
          </w:p>
        </w:tc>
        <w:tc>
          <w:tcPr>
            <w:tcW w:w="1480" w:type="dxa"/>
            <w:vAlign w:val="bottom"/>
            <w:gridSpan w:val="2"/>
          </w:tcPr>
          <w:p>
            <w:pPr>
              <w:ind w:left="300"/>
              <w:spacing w:after="0"/>
              <w:rPr>
                <w:sz w:val="20"/>
                <w:szCs w:val="20"/>
                <w:color w:val="auto"/>
              </w:rPr>
            </w:pPr>
            <w:r>
              <w:rPr>
                <w:rFonts w:ascii="Arial" w:cs="Arial" w:eastAsia="Arial" w:hAnsi="Arial"/>
                <w:sz w:val="18"/>
                <w:szCs w:val="18"/>
                <w:color w:val="auto"/>
              </w:rPr>
              <w:t>Norway</w:t>
            </w:r>
          </w:p>
        </w:tc>
      </w:tr>
      <w:tr>
        <w:trPr>
          <w:trHeight w:val="324"/>
        </w:trPr>
        <w:tc>
          <w:tcPr>
            <w:tcW w:w="6500" w:type="dxa"/>
            <w:vAlign w:val="bottom"/>
          </w:tcPr>
          <w:p>
            <w:pPr>
              <w:spacing w:after="0"/>
              <w:rPr>
                <w:sz w:val="20"/>
                <w:szCs w:val="20"/>
                <w:color w:val="auto"/>
              </w:rPr>
            </w:pPr>
            <w:r>
              <w:rPr>
                <w:rFonts w:ascii="Arial" w:cs="Arial" w:eastAsia="Arial" w:hAnsi="Arial"/>
                <w:sz w:val="18"/>
                <w:szCs w:val="18"/>
                <w:color w:val="auto"/>
              </w:rPr>
              <w:t>BroadNet Slovakia s.r.o.</w:t>
            </w:r>
          </w:p>
        </w:tc>
        <w:tc>
          <w:tcPr>
            <w:tcW w:w="1480" w:type="dxa"/>
            <w:vAlign w:val="bottom"/>
            <w:gridSpan w:val="2"/>
          </w:tcPr>
          <w:p>
            <w:pPr>
              <w:ind w:left="300"/>
              <w:spacing w:after="0"/>
              <w:rPr>
                <w:sz w:val="20"/>
                <w:szCs w:val="20"/>
                <w:color w:val="auto"/>
              </w:rPr>
            </w:pPr>
            <w:r>
              <w:rPr>
                <w:rFonts w:ascii="Arial" w:cs="Arial" w:eastAsia="Arial" w:hAnsi="Arial"/>
                <w:sz w:val="18"/>
                <w:szCs w:val="18"/>
                <w:color w:val="auto"/>
              </w:rPr>
              <w:t>Slovakia</w:t>
            </w:r>
          </w:p>
        </w:tc>
      </w:tr>
      <w:tr>
        <w:trPr>
          <w:trHeight w:val="324"/>
        </w:trPr>
        <w:tc>
          <w:tcPr>
            <w:tcW w:w="6500" w:type="dxa"/>
            <w:vAlign w:val="bottom"/>
          </w:tcPr>
          <w:p>
            <w:pPr>
              <w:spacing w:after="0"/>
              <w:rPr>
                <w:sz w:val="20"/>
                <w:szCs w:val="20"/>
                <w:color w:val="auto"/>
              </w:rPr>
            </w:pPr>
            <w:r>
              <w:rPr>
                <w:rFonts w:ascii="Arial" w:cs="Arial" w:eastAsia="Arial" w:hAnsi="Arial"/>
                <w:sz w:val="18"/>
                <w:szCs w:val="18"/>
                <w:color w:val="auto"/>
              </w:rPr>
              <w:t>BroadNet Suisse A.S.</w:t>
            </w:r>
          </w:p>
        </w:tc>
        <w:tc>
          <w:tcPr>
            <w:tcW w:w="1480" w:type="dxa"/>
            <w:vAlign w:val="bottom"/>
            <w:gridSpan w:val="2"/>
          </w:tcPr>
          <w:p>
            <w:pPr>
              <w:ind w:left="300"/>
              <w:spacing w:after="0"/>
              <w:rPr>
                <w:sz w:val="20"/>
                <w:szCs w:val="20"/>
                <w:color w:val="auto"/>
              </w:rPr>
            </w:pPr>
            <w:r>
              <w:rPr>
                <w:rFonts w:ascii="Arial" w:cs="Arial" w:eastAsia="Arial" w:hAnsi="Arial"/>
                <w:sz w:val="18"/>
                <w:szCs w:val="18"/>
                <w:color w:val="auto"/>
              </w:rPr>
              <w:t>Switzerland</w:t>
            </w:r>
          </w:p>
        </w:tc>
      </w:tr>
      <w:tr>
        <w:trPr>
          <w:trHeight w:val="324"/>
        </w:trPr>
        <w:tc>
          <w:tcPr>
            <w:tcW w:w="6500" w:type="dxa"/>
            <w:vAlign w:val="bottom"/>
          </w:tcPr>
          <w:p>
            <w:pPr>
              <w:spacing w:after="0"/>
              <w:rPr>
                <w:sz w:val="20"/>
                <w:szCs w:val="20"/>
                <w:color w:val="auto"/>
              </w:rPr>
            </w:pPr>
            <w:r>
              <w:rPr>
                <w:rFonts w:ascii="Arial" w:cs="Arial" w:eastAsia="Arial" w:hAnsi="Arial"/>
                <w:sz w:val="18"/>
                <w:szCs w:val="18"/>
                <w:color w:val="auto"/>
              </w:rPr>
              <w:t>BroadNet UK Ltd.</w:t>
            </w:r>
          </w:p>
        </w:tc>
        <w:tc>
          <w:tcPr>
            <w:tcW w:w="1480" w:type="dxa"/>
            <w:vAlign w:val="bottom"/>
            <w:gridSpan w:val="2"/>
          </w:tcPr>
          <w:p>
            <w:pPr>
              <w:ind w:left="300"/>
              <w:spacing w:after="0"/>
              <w:rPr>
                <w:sz w:val="20"/>
                <w:szCs w:val="20"/>
                <w:color w:val="auto"/>
              </w:rPr>
            </w:pPr>
            <w:r>
              <w:rPr>
                <w:rFonts w:ascii="Arial" w:cs="Arial" w:eastAsia="Arial" w:hAnsi="Arial"/>
                <w:sz w:val="18"/>
                <w:szCs w:val="18"/>
                <w:color w:val="auto"/>
              </w:rPr>
              <w:t>UK</w:t>
            </w:r>
          </w:p>
        </w:tc>
      </w:tr>
      <w:tr>
        <w:trPr>
          <w:trHeight w:val="324"/>
        </w:trPr>
        <w:tc>
          <w:tcPr>
            <w:tcW w:w="6500" w:type="dxa"/>
            <w:vAlign w:val="bottom"/>
          </w:tcPr>
          <w:p>
            <w:pPr>
              <w:spacing w:after="0"/>
              <w:rPr>
                <w:sz w:val="20"/>
                <w:szCs w:val="20"/>
                <w:color w:val="auto"/>
              </w:rPr>
            </w:pPr>
            <w:r>
              <w:rPr>
                <w:rFonts w:ascii="Arial" w:cs="Arial" w:eastAsia="Arial" w:hAnsi="Arial"/>
                <w:sz w:val="18"/>
                <w:szCs w:val="18"/>
                <w:color w:val="auto"/>
              </w:rPr>
              <w:t>C Spectrum Investment, LLC</w:t>
            </w:r>
          </w:p>
        </w:tc>
        <w:tc>
          <w:tcPr>
            <w:tcW w:w="1480" w:type="dxa"/>
            <w:vAlign w:val="bottom"/>
            <w:gridSpan w:val="2"/>
          </w:tcPr>
          <w:p>
            <w:pPr>
              <w:ind w:left="300"/>
              <w:spacing w:after="0"/>
              <w:rPr>
                <w:sz w:val="20"/>
                <w:szCs w:val="20"/>
                <w:color w:val="auto"/>
              </w:rPr>
            </w:pPr>
            <w:r>
              <w:rPr>
                <w:rFonts w:ascii="Arial" w:cs="Arial" w:eastAsia="Arial" w:hAnsi="Arial"/>
                <w:sz w:val="18"/>
                <w:szCs w:val="18"/>
                <w:color w:val="auto"/>
              </w:rPr>
              <w:t>DE</w:t>
            </w:r>
          </w:p>
        </w:tc>
      </w:tr>
      <w:tr>
        <w:trPr>
          <w:trHeight w:val="324"/>
        </w:trPr>
        <w:tc>
          <w:tcPr>
            <w:tcW w:w="6500" w:type="dxa"/>
            <w:vAlign w:val="bottom"/>
          </w:tcPr>
          <w:p>
            <w:pPr>
              <w:spacing w:after="0"/>
              <w:rPr>
                <w:sz w:val="20"/>
                <w:szCs w:val="20"/>
                <w:color w:val="auto"/>
              </w:rPr>
            </w:pPr>
            <w:r>
              <w:rPr>
                <w:rFonts w:ascii="Arial" w:cs="Arial" w:eastAsia="Arial" w:hAnsi="Arial"/>
                <w:sz w:val="18"/>
                <w:szCs w:val="18"/>
                <w:color w:val="auto"/>
              </w:rPr>
              <w:t>Cable Accounting, Inc.</w:t>
            </w:r>
          </w:p>
        </w:tc>
        <w:tc>
          <w:tcPr>
            <w:tcW w:w="1480" w:type="dxa"/>
            <w:vAlign w:val="bottom"/>
            <w:gridSpan w:val="2"/>
          </w:tcPr>
          <w:p>
            <w:pPr>
              <w:ind w:left="300"/>
              <w:spacing w:after="0"/>
              <w:rPr>
                <w:sz w:val="20"/>
                <w:szCs w:val="20"/>
                <w:color w:val="auto"/>
              </w:rPr>
            </w:pPr>
            <w:r>
              <w:rPr>
                <w:rFonts w:ascii="Arial" w:cs="Arial" w:eastAsia="Arial" w:hAnsi="Arial"/>
                <w:sz w:val="18"/>
                <w:szCs w:val="18"/>
                <w:color w:val="auto"/>
              </w:rPr>
              <w:t>CO</w:t>
            </w:r>
          </w:p>
        </w:tc>
      </w:tr>
      <w:tr>
        <w:trPr>
          <w:trHeight w:val="324"/>
        </w:trPr>
        <w:tc>
          <w:tcPr>
            <w:tcW w:w="6500" w:type="dxa"/>
            <w:vAlign w:val="bottom"/>
          </w:tcPr>
          <w:p>
            <w:pPr>
              <w:spacing w:after="0"/>
              <w:rPr>
                <w:sz w:val="20"/>
                <w:szCs w:val="20"/>
                <w:color w:val="auto"/>
              </w:rPr>
            </w:pPr>
            <w:r>
              <w:rPr>
                <w:rFonts w:ascii="Arial" w:cs="Arial" w:eastAsia="Arial" w:hAnsi="Arial"/>
                <w:sz w:val="18"/>
                <w:szCs w:val="18"/>
                <w:color w:val="auto"/>
              </w:rPr>
              <w:t>Cable Enterprises, Inc.</w:t>
            </w:r>
          </w:p>
        </w:tc>
        <w:tc>
          <w:tcPr>
            <w:tcW w:w="1480" w:type="dxa"/>
            <w:vAlign w:val="bottom"/>
            <w:gridSpan w:val="2"/>
          </w:tcPr>
          <w:p>
            <w:pPr>
              <w:ind w:left="300"/>
              <w:spacing w:after="0"/>
              <w:rPr>
                <w:sz w:val="20"/>
                <w:szCs w:val="20"/>
                <w:color w:val="auto"/>
              </w:rPr>
            </w:pPr>
            <w:r>
              <w:rPr>
                <w:rFonts w:ascii="Arial" w:cs="Arial" w:eastAsia="Arial" w:hAnsi="Arial"/>
                <w:sz w:val="18"/>
                <w:szCs w:val="18"/>
                <w:color w:val="auto"/>
              </w:rPr>
              <w:t>DE</w:t>
            </w:r>
          </w:p>
        </w:tc>
      </w:tr>
      <w:tr>
        <w:trPr>
          <w:trHeight w:val="324"/>
        </w:trPr>
        <w:tc>
          <w:tcPr>
            <w:tcW w:w="6500" w:type="dxa"/>
            <w:vAlign w:val="bottom"/>
          </w:tcPr>
          <w:p>
            <w:pPr>
              <w:spacing w:after="0"/>
              <w:rPr>
                <w:sz w:val="20"/>
                <w:szCs w:val="20"/>
                <w:color w:val="auto"/>
              </w:rPr>
            </w:pPr>
            <w:r>
              <w:rPr>
                <w:rFonts w:ascii="Arial" w:cs="Arial" w:eastAsia="Arial" w:hAnsi="Arial"/>
                <w:sz w:val="18"/>
                <w:szCs w:val="18"/>
                <w:color w:val="auto"/>
              </w:rPr>
              <w:t>Cable Programming Ventures, LLC</w:t>
            </w:r>
          </w:p>
        </w:tc>
        <w:tc>
          <w:tcPr>
            <w:tcW w:w="1480" w:type="dxa"/>
            <w:vAlign w:val="bottom"/>
            <w:gridSpan w:val="2"/>
          </w:tcPr>
          <w:p>
            <w:pPr>
              <w:ind w:left="300"/>
              <w:spacing w:after="0"/>
              <w:rPr>
                <w:sz w:val="20"/>
                <w:szCs w:val="20"/>
                <w:color w:val="auto"/>
              </w:rPr>
            </w:pPr>
            <w:r>
              <w:rPr>
                <w:rFonts w:ascii="Arial" w:cs="Arial" w:eastAsia="Arial" w:hAnsi="Arial"/>
                <w:sz w:val="18"/>
                <w:szCs w:val="18"/>
                <w:color w:val="auto"/>
              </w:rPr>
              <w:t>DE</w:t>
            </w:r>
          </w:p>
        </w:tc>
      </w:tr>
      <w:tr>
        <w:trPr>
          <w:trHeight w:val="324"/>
        </w:trPr>
        <w:tc>
          <w:tcPr>
            <w:tcW w:w="6500" w:type="dxa"/>
            <w:vAlign w:val="bottom"/>
          </w:tcPr>
          <w:p>
            <w:pPr>
              <w:spacing w:after="0"/>
              <w:rPr>
                <w:sz w:val="20"/>
                <w:szCs w:val="20"/>
                <w:color w:val="auto"/>
              </w:rPr>
            </w:pPr>
            <w:r>
              <w:rPr>
                <w:rFonts w:ascii="Arial" w:cs="Arial" w:eastAsia="Arial" w:hAnsi="Arial"/>
                <w:sz w:val="18"/>
                <w:szCs w:val="18"/>
                <w:color w:val="auto"/>
              </w:rPr>
              <w:t>Cable Sports Southeast, LLC</w:t>
            </w:r>
          </w:p>
        </w:tc>
        <w:tc>
          <w:tcPr>
            <w:tcW w:w="1480" w:type="dxa"/>
            <w:vAlign w:val="bottom"/>
            <w:gridSpan w:val="2"/>
          </w:tcPr>
          <w:p>
            <w:pPr>
              <w:ind w:left="300"/>
              <w:spacing w:after="0"/>
              <w:rPr>
                <w:sz w:val="20"/>
                <w:szCs w:val="20"/>
                <w:color w:val="auto"/>
              </w:rPr>
            </w:pPr>
            <w:r>
              <w:rPr>
                <w:rFonts w:ascii="Arial" w:cs="Arial" w:eastAsia="Arial" w:hAnsi="Arial"/>
                <w:sz w:val="18"/>
                <w:szCs w:val="18"/>
                <w:color w:val="auto"/>
              </w:rPr>
              <w:t>DE</w:t>
            </w:r>
          </w:p>
        </w:tc>
      </w:tr>
      <w:tr>
        <w:trPr>
          <w:trHeight w:val="324"/>
        </w:trPr>
        <w:tc>
          <w:tcPr>
            <w:tcW w:w="6500" w:type="dxa"/>
            <w:vAlign w:val="bottom"/>
          </w:tcPr>
          <w:p>
            <w:pPr>
              <w:spacing w:after="0"/>
              <w:rPr>
                <w:sz w:val="20"/>
                <w:szCs w:val="20"/>
                <w:color w:val="auto"/>
              </w:rPr>
            </w:pPr>
            <w:r>
              <w:rPr>
                <w:rFonts w:ascii="Arial" w:cs="Arial" w:eastAsia="Arial" w:hAnsi="Arial"/>
                <w:sz w:val="18"/>
                <w:szCs w:val="18"/>
                <w:color w:val="auto"/>
              </w:rPr>
              <w:t>Cable Television Advertising Group, Inc.</w:t>
            </w:r>
          </w:p>
        </w:tc>
        <w:tc>
          <w:tcPr>
            <w:tcW w:w="1480" w:type="dxa"/>
            <w:vAlign w:val="bottom"/>
            <w:gridSpan w:val="2"/>
          </w:tcPr>
          <w:p>
            <w:pPr>
              <w:ind w:left="300"/>
              <w:spacing w:after="0"/>
              <w:rPr>
                <w:sz w:val="20"/>
                <w:szCs w:val="20"/>
                <w:color w:val="auto"/>
              </w:rPr>
            </w:pPr>
            <w:r>
              <w:rPr>
                <w:rFonts w:ascii="Arial" w:cs="Arial" w:eastAsia="Arial" w:hAnsi="Arial"/>
                <w:sz w:val="18"/>
                <w:szCs w:val="18"/>
                <w:color w:val="auto"/>
              </w:rPr>
              <w:t>WY</w:t>
            </w:r>
          </w:p>
        </w:tc>
      </w:tr>
      <w:tr>
        <w:trPr>
          <w:trHeight w:val="324"/>
        </w:trPr>
        <w:tc>
          <w:tcPr>
            <w:tcW w:w="6500" w:type="dxa"/>
            <w:vAlign w:val="bottom"/>
          </w:tcPr>
          <w:p>
            <w:pPr>
              <w:spacing w:after="0"/>
              <w:rPr>
                <w:sz w:val="20"/>
                <w:szCs w:val="20"/>
                <w:color w:val="auto"/>
              </w:rPr>
            </w:pPr>
            <w:r>
              <w:rPr>
                <w:rFonts w:ascii="Arial" w:cs="Arial" w:eastAsia="Arial" w:hAnsi="Arial"/>
                <w:sz w:val="18"/>
                <w:szCs w:val="18"/>
                <w:color w:val="auto"/>
              </w:rPr>
              <w:t>Cable Television of Gary, Inc.</w:t>
            </w:r>
          </w:p>
        </w:tc>
        <w:tc>
          <w:tcPr>
            <w:tcW w:w="1480" w:type="dxa"/>
            <w:vAlign w:val="bottom"/>
            <w:gridSpan w:val="2"/>
          </w:tcPr>
          <w:p>
            <w:pPr>
              <w:ind w:left="300"/>
              <w:spacing w:after="0"/>
              <w:rPr>
                <w:sz w:val="20"/>
                <w:szCs w:val="20"/>
                <w:color w:val="auto"/>
              </w:rPr>
            </w:pPr>
            <w:r>
              <w:rPr>
                <w:rFonts w:ascii="Arial" w:cs="Arial" w:eastAsia="Arial" w:hAnsi="Arial"/>
                <w:sz w:val="18"/>
                <w:szCs w:val="18"/>
                <w:color w:val="auto"/>
              </w:rPr>
              <w:t>IN</w:t>
            </w:r>
          </w:p>
        </w:tc>
      </w:tr>
      <w:tr>
        <w:trPr>
          <w:trHeight w:val="324"/>
        </w:trPr>
        <w:tc>
          <w:tcPr>
            <w:tcW w:w="6500" w:type="dxa"/>
            <w:vAlign w:val="bottom"/>
          </w:tcPr>
          <w:p>
            <w:pPr>
              <w:spacing w:after="0"/>
              <w:rPr>
                <w:sz w:val="20"/>
                <w:szCs w:val="20"/>
                <w:color w:val="auto"/>
              </w:rPr>
            </w:pPr>
            <w:r>
              <w:rPr>
                <w:rFonts w:ascii="Arial" w:cs="Arial" w:eastAsia="Arial" w:hAnsi="Arial"/>
                <w:sz w:val="18"/>
                <w:szCs w:val="18"/>
                <w:color w:val="auto"/>
              </w:rPr>
              <w:t>Cablevision Associates of Gary Joint Venture</w:t>
            </w:r>
          </w:p>
        </w:tc>
        <w:tc>
          <w:tcPr>
            <w:tcW w:w="1480" w:type="dxa"/>
            <w:vAlign w:val="bottom"/>
            <w:gridSpan w:val="2"/>
          </w:tcPr>
          <w:p>
            <w:pPr>
              <w:ind w:left="300"/>
              <w:spacing w:after="0"/>
              <w:rPr>
                <w:sz w:val="20"/>
                <w:szCs w:val="20"/>
                <w:color w:val="auto"/>
              </w:rPr>
            </w:pPr>
            <w:r>
              <w:rPr>
                <w:rFonts w:ascii="Arial" w:cs="Arial" w:eastAsia="Arial" w:hAnsi="Arial"/>
                <w:sz w:val="18"/>
                <w:szCs w:val="18"/>
                <w:color w:val="auto"/>
              </w:rPr>
              <w:t>IN</w:t>
            </w:r>
          </w:p>
        </w:tc>
      </w:tr>
      <w:tr>
        <w:trPr>
          <w:trHeight w:val="324"/>
        </w:trPr>
        <w:tc>
          <w:tcPr>
            <w:tcW w:w="6500" w:type="dxa"/>
            <w:vAlign w:val="bottom"/>
          </w:tcPr>
          <w:p>
            <w:pPr>
              <w:spacing w:after="0"/>
              <w:rPr>
                <w:sz w:val="20"/>
                <w:szCs w:val="20"/>
                <w:color w:val="auto"/>
              </w:rPr>
            </w:pPr>
            <w:r>
              <w:rPr>
                <w:rFonts w:ascii="Arial" w:cs="Arial" w:eastAsia="Arial" w:hAnsi="Arial"/>
                <w:sz w:val="18"/>
                <w:szCs w:val="18"/>
                <w:color w:val="auto"/>
              </w:rPr>
              <w:t>Cablevision Investment of Detroit, Inc.</w:t>
            </w:r>
          </w:p>
        </w:tc>
        <w:tc>
          <w:tcPr>
            <w:tcW w:w="1480" w:type="dxa"/>
            <w:vAlign w:val="bottom"/>
            <w:gridSpan w:val="2"/>
          </w:tcPr>
          <w:p>
            <w:pPr>
              <w:ind w:left="300"/>
              <w:spacing w:after="0"/>
              <w:rPr>
                <w:sz w:val="20"/>
                <w:szCs w:val="20"/>
                <w:color w:val="auto"/>
              </w:rPr>
            </w:pPr>
            <w:r>
              <w:rPr>
                <w:rFonts w:ascii="Arial" w:cs="Arial" w:eastAsia="Arial" w:hAnsi="Arial"/>
                <w:sz w:val="18"/>
                <w:szCs w:val="18"/>
                <w:color w:val="auto"/>
              </w:rPr>
              <w:t>MI</w:t>
            </w:r>
          </w:p>
        </w:tc>
      </w:tr>
      <w:tr>
        <w:trPr>
          <w:trHeight w:val="324"/>
        </w:trPr>
        <w:tc>
          <w:tcPr>
            <w:tcW w:w="6500" w:type="dxa"/>
            <w:vAlign w:val="bottom"/>
          </w:tcPr>
          <w:p>
            <w:pPr>
              <w:spacing w:after="0"/>
              <w:rPr>
                <w:sz w:val="20"/>
                <w:szCs w:val="20"/>
                <w:color w:val="auto"/>
              </w:rPr>
            </w:pPr>
            <w:r>
              <w:rPr>
                <w:rFonts w:ascii="Arial" w:cs="Arial" w:eastAsia="Arial" w:hAnsi="Arial"/>
                <w:sz w:val="18"/>
                <w:szCs w:val="18"/>
                <w:color w:val="auto"/>
              </w:rPr>
              <w:t>Cablevision of Arcadia/Sierra Madre, Inc.</w:t>
            </w:r>
          </w:p>
        </w:tc>
        <w:tc>
          <w:tcPr>
            <w:tcW w:w="1480" w:type="dxa"/>
            <w:vAlign w:val="bottom"/>
            <w:gridSpan w:val="2"/>
          </w:tcPr>
          <w:p>
            <w:pPr>
              <w:ind w:left="300"/>
              <w:spacing w:after="0"/>
              <w:rPr>
                <w:sz w:val="20"/>
                <w:szCs w:val="20"/>
                <w:color w:val="auto"/>
              </w:rPr>
            </w:pPr>
            <w:r>
              <w:rPr>
                <w:rFonts w:ascii="Arial" w:cs="Arial" w:eastAsia="Arial" w:hAnsi="Arial"/>
                <w:sz w:val="18"/>
                <w:szCs w:val="18"/>
                <w:color w:val="auto"/>
              </w:rPr>
              <w:t>DE</w:t>
            </w:r>
          </w:p>
        </w:tc>
      </w:tr>
      <w:tr>
        <w:trPr>
          <w:trHeight w:val="324"/>
        </w:trPr>
        <w:tc>
          <w:tcPr>
            <w:tcW w:w="6500" w:type="dxa"/>
            <w:vAlign w:val="bottom"/>
          </w:tcPr>
          <w:p>
            <w:pPr>
              <w:spacing w:after="0"/>
              <w:rPr>
                <w:sz w:val="20"/>
                <w:szCs w:val="20"/>
                <w:color w:val="auto"/>
              </w:rPr>
            </w:pPr>
            <w:r>
              <w:rPr>
                <w:rFonts w:ascii="Arial" w:cs="Arial" w:eastAsia="Arial" w:hAnsi="Arial"/>
                <w:sz w:val="18"/>
                <w:szCs w:val="18"/>
                <w:color w:val="auto"/>
              </w:rPr>
              <w:t>CATV Facility Co., Inc.</w:t>
            </w:r>
          </w:p>
        </w:tc>
        <w:tc>
          <w:tcPr>
            <w:tcW w:w="1480" w:type="dxa"/>
            <w:vAlign w:val="bottom"/>
            <w:gridSpan w:val="2"/>
          </w:tcPr>
          <w:p>
            <w:pPr>
              <w:ind w:left="300"/>
              <w:spacing w:after="0"/>
              <w:rPr>
                <w:sz w:val="20"/>
                <w:szCs w:val="20"/>
                <w:color w:val="auto"/>
              </w:rPr>
            </w:pPr>
            <w:r>
              <w:rPr>
                <w:rFonts w:ascii="Arial" w:cs="Arial" w:eastAsia="Arial" w:hAnsi="Arial"/>
                <w:sz w:val="18"/>
                <w:szCs w:val="18"/>
                <w:color w:val="auto"/>
              </w:rPr>
              <w:t>CO</w:t>
            </w:r>
          </w:p>
        </w:tc>
      </w:tr>
      <w:tr>
        <w:trPr>
          <w:trHeight w:val="324"/>
        </w:trPr>
        <w:tc>
          <w:tcPr>
            <w:tcW w:w="6500" w:type="dxa"/>
            <w:vAlign w:val="bottom"/>
          </w:tcPr>
          <w:p>
            <w:pPr>
              <w:spacing w:after="0"/>
              <w:rPr>
                <w:sz w:val="20"/>
                <w:szCs w:val="20"/>
                <w:color w:val="auto"/>
              </w:rPr>
            </w:pPr>
            <w:r>
              <w:rPr>
                <w:rFonts w:ascii="Arial" w:cs="Arial" w:eastAsia="Arial" w:hAnsi="Arial"/>
                <w:sz w:val="18"/>
                <w:szCs w:val="18"/>
                <w:color w:val="auto"/>
              </w:rPr>
              <w:t>CCC-NJFT, Inc.</w:t>
            </w:r>
          </w:p>
        </w:tc>
        <w:tc>
          <w:tcPr>
            <w:tcW w:w="1480" w:type="dxa"/>
            <w:vAlign w:val="bottom"/>
            <w:gridSpan w:val="2"/>
          </w:tcPr>
          <w:p>
            <w:pPr>
              <w:ind w:left="300"/>
              <w:spacing w:after="0"/>
              <w:rPr>
                <w:sz w:val="20"/>
                <w:szCs w:val="20"/>
                <w:color w:val="auto"/>
              </w:rPr>
            </w:pPr>
            <w:r>
              <w:rPr>
                <w:rFonts w:ascii="Arial" w:cs="Arial" w:eastAsia="Arial" w:hAnsi="Arial"/>
                <w:sz w:val="18"/>
                <w:szCs w:val="18"/>
                <w:color w:val="auto"/>
              </w:rPr>
              <w:t>CO</w:t>
            </w:r>
          </w:p>
        </w:tc>
      </w:tr>
      <w:tr>
        <w:trPr>
          <w:trHeight w:val="324"/>
        </w:trPr>
        <w:tc>
          <w:tcPr>
            <w:tcW w:w="6500" w:type="dxa"/>
            <w:vAlign w:val="bottom"/>
          </w:tcPr>
          <w:p>
            <w:pPr>
              <w:spacing w:after="0"/>
              <w:rPr>
                <w:sz w:val="20"/>
                <w:szCs w:val="20"/>
                <w:color w:val="auto"/>
              </w:rPr>
            </w:pPr>
            <w:r>
              <w:rPr>
                <w:rFonts w:ascii="Arial" w:cs="Arial" w:eastAsia="Arial" w:hAnsi="Arial"/>
                <w:sz w:val="18"/>
                <w:szCs w:val="18"/>
                <w:color w:val="auto"/>
              </w:rPr>
              <w:t>CCF Management Services, Inc.</w:t>
            </w:r>
          </w:p>
        </w:tc>
        <w:tc>
          <w:tcPr>
            <w:tcW w:w="1480" w:type="dxa"/>
            <w:vAlign w:val="bottom"/>
            <w:gridSpan w:val="2"/>
          </w:tcPr>
          <w:p>
            <w:pPr>
              <w:ind w:left="300"/>
              <w:spacing w:after="0"/>
              <w:rPr>
                <w:sz w:val="20"/>
                <w:szCs w:val="20"/>
                <w:color w:val="auto"/>
              </w:rPr>
            </w:pPr>
            <w:r>
              <w:rPr>
                <w:rFonts w:ascii="Arial" w:cs="Arial" w:eastAsia="Arial" w:hAnsi="Arial"/>
                <w:sz w:val="18"/>
                <w:szCs w:val="18"/>
                <w:color w:val="auto"/>
              </w:rPr>
              <w:t>DE</w:t>
            </w:r>
          </w:p>
        </w:tc>
      </w:tr>
      <w:tr>
        <w:trPr>
          <w:trHeight w:val="324"/>
        </w:trPr>
        <w:tc>
          <w:tcPr>
            <w:tcW w:w="6500" w:type="dxa"/>
            <w:vAlign w:val="bottom"/>
          </w:tcPr>
          <w:p>
            <w:pPr>
              <w:spacing w:after="0"/>
              <w:rPr>
                <w:sz w:val="20"/>
                <w:szCs w:val="20"/>
                <w:color w:val="auto"/>
              </w:rPr>
            </w:pPr>
            <w:r>
              <w:rPr>
                <w:rFonts w:ascii="Arial" w:cs="Arial" w:eastAsia="Arial" w:hAnsi="Arial"/>
                <w:sz w:val="18"/>
                <w:szCs w:val="18"/>
                <w:color w:val="auto"/>
              </w:rPr>
              <w:t>Century-TCI California Communications, L.P.</w:t>
            </w:r>
          </w:p>
        </w:tc>
        <w:tc>
          <w:tcPr>
            <w:tcW w:w="1480" w:type="dxa"/>
            <w:vAlign w:val="bottom"/>
            <w:gridSpan w:val="2"/>
          </w:tcPr>
          <w:p>
            <w:pPr>
              <w:ind w:left="300"/>
              <w:spacing w:after="0"/>
              <w:rPr>
                <w:sz w:val="20"/>
                <w:szCs w:val="20"/>
                <w:color w:val="auto"/>
              </w:rPr>
            </w:pPr>
            <w:r>
              <w:rPr>
                <w:rFonts w:ascii="Arial" w:cs="Arial" w:eastAsia="Arial" w:hAnsi="Arial"/>
                <w:sz w:val="18"/>
                <w:szCs w:val="18"/>
                <w:color w:val="auto"/>
              </w:rPr>
              <w:t>DE</w:t>
            </w:r>
          </w:p>
        </w:tc>
      </w:tr>
      <w:tr>
        <w:trPr>
          <w:trHeight w:val="324"/>
        </w:trPr>
        <w:tc>
          <w:tcPr>
            <w:tcW w:w="6500" w:type="dxa"/>
            <w:vAlign w:val="bottom"/>
          </w:tcPr>
          <w:p>
            <w:pPr>
              <w:spacing w:after="0"/>
              <w:rPr>
                <w:sz w:val="20"/>
                <w:szCs w:val="20"/>
                <w:color w:val="auto"/>
              </w:rPr>
            </w:pPr>
            <w:r>
              <w:rPr>
                <w:rFonts w:ascii="Arial" w:cs="Arial" w:eastAsia="Arial" w:hAnsi="Arial"/>
                <w:sz w:val="18"/>
                <w:szCs w:val="18"/>
                <w:color w:val="auto"/>
              </w:rPr>
              <w:t>Century-TCI Holdings, LLC</w:t>
            </w:r>
          </w:p>
        </w:tc>
        <w:tc>
          <w:tcPr>
            <w:tcW w:w="1480" w:type="dxa"/>
            <w:vAlign w:val="bottom"/>
            <w:gridSpan w:val="2"/>
          </w:tcPr>
          <w:p>
            <w:pPr>
              <w:ind w:left="300"/>
              <w:spacing w:after="0"/>
              <w:rPr>
                <w:sz w:val="20"/>
                <w:szCs w:val="20"/>
                <w:color w:val="auto"/>
              </w:rPr>
            </w:pPr>
            <w:r>
              <w:rPr>
                <w:rFonts w:ascii="Arial" w:cs="Arial" w:eastAsia="Arial" w:hAnsi="Arial"/>
                <w:sz w:val="18"/>
                <w:szCs w:val="18"/>
                <w:color w:val="auto"/>
              </w:rPr>
              <w:t>DE</w:t>
            </w:r>
          </w:p>
        </w:tc>
      </w:tr>
      <w:tr>
        <w:trPr>
          <w:trHeight w:val="324"/>
        </w:trPr>
        <w:tc>
          <w:tcPr>
            <w:tcW w:w="6500" w:type="dxa"/>
            <w:vAlign w:val="bottom"/>
          </w:tcPr>
          <w:p>
            <w:pPr>
              <w:spacing w:after="0"/>
              <w:rPr>
                <w:sz w:val="20"/>
                <w:szCs w:val="20"/>
                <w:color w:val="auto"/>
              </w:rPr>
            </w:pPr>
            <w:r>
              <w:rPr>
                <w:rFonts w:ascii="Arial" w:cs="Arial" w:eastAsia="Arial" w:hAnsi="Arial"/>
                <w:sz w:val="18"/>
                <w:szCs w:val="18"/>
                <w:color w:val="auto"/>
              </w:rPr>
              <w:t>CIC Development Corp.</w:t>
            </w:r>
          </w:p>
        </w:tc>
        <w:tc>
          <w:tcPr>
            <w:tcW w:w="1480" w:type="dxa"/>
            <w:vAlign w:val="bottom"/>
            <w:gridSpan w:val="2"/>
          </w:tcPr>
          <w:p>
            <w:pPr>
              <w:ind w:left="300"/>
              <w:spacing w:after="0"/>
              <w:rPr>
                <w:sz w:val="20"/>
                <w:szCs w:val="20"/>
                <w:color w:val="auto"/>
              </w:rPr>
            </w:pPr>
            <w:r>
              <w:rPr>
                <w:rFonts w:ascii="Arial" w:cs="Arial" w:eastAsia="Arial" w:hAnsi="Arial"/>
                <w:sz w:val="18"/>
                <w:szCs w:val="18"/>
                <w:color w:val="auto"/>
              </w:rPr>
              <w:t>DE</w:t>
            </w:r>
          </w:p>
        </w:tc>
      </w:tr>
      <w:tr>
        <w:trPr>
          <w:trHeight w:val="324"/>
        </w:trPr>
        <w:tc>
          <w:tcPr>
            <w:tcW w:w="6500" w:type="dxa"/>
            <w:vAlign w:val="bottom"/>
          </w:tcPr>
          <w:p>
            <w:pPr>
              <w:spacing w:after="0"/>
              <w:rPr>
                <w:sz w:val="20"/>
                <w:szCs w:val="20"/>
                <w:color w:val="auto"/>
              </w:rPr>
            </w:pPr>
            <w:r>
              <w:rPr>
                <w:rFonts w:ascii="Arial" w:cs="Arial" w:eastAsia="Arial" w:hAnsi="Arial"/>
                <w:sz w:val="18"/>
                <w:szCs w:val="18"/>
                <w:color w:val="auto"/>
              </w:rPr>
              <w:t>Classic Services, Inc.</w:t>
            </w:r>
          </w:p>
        </w:tc>
        <w:tc>
          <w:tcPr>
            <w:tcW w:w="1480" w:type="dxa"/>
            <w:vAlign w:val="bottom"/>
            <w:gridSpan w:val="2"/>
          </w:tcPr>
          <w:p>
            <w:pPr>
              <w:ind w:left="300"/>
              <w:spacing w:after="0"/>
              <w:rPr>
                <w:sz w:val="20"/>
                <w:szCs w:val="20"/>
                <w:color w:val="auto"/>
              </w:rPr>
            </w:pPr>
            <w:r>
              <w:rPr>
                <w:rFonts w:ascii="Arial" w:cs="Arial" w:eastAsia="Arial" w:hAnsi="Arial"/>
                <w:sz w:val="18"/>
                <w:szCs w:val="18"/>
                <w:color w:val="auto"/>
              </w:rPr>
              <w:t>DE</w:t>
            </w:r>
          </w:p>
        </w:tc>
      </w:tr>
      <w:tr>
        <w:trPr>
          <w:trHeight w:val="324"/>
        </w:trPr>
        <w:tc>
          <w:tcPr>
            <w:tcW w:w="6500" w:type="dxa"/>
            <w:vAlign w:val="bottom"/>
          </w:tcPr>
          <w:p>
            <w:pPr>
              <w:spacing w:after="0"/>
              <w:rPr>
                <w:sz w:val="20"/>
                <w:szCs w:val="20"/>
                <w:color w:val="auto"/>
              </w:rPr>
            </w:pPr>
            <w:r>
              <w:rPr>
                <w:rFonts w:ascii="Arial" w:cs="Arial" w:eastAsia="Arial" w:hAnsi="Arial"/>
                <w:sz w:val="18"/>
                <w:szCs w:val="18"/>
                <w:color w:val="auto"/>
              </w:rPr>
              <w:t>Clinton Cable TV Investors, Inc.</w:t>
            </w:r>
          </w:p>
        </w:tc>
        <w:tc>
          <w:tcPr>
            <w:tcW w:w="1480" w:type="dxa"/>
            <w:vAlign w:val="bottom"/>
            <w:gridSpan w:val="2"/>
          </w:tcPr>
          <w:p>
            <w:pPr>
              <w:ind w:left="300"/>
              <w:spacing w:after="0"/>
              <w:rPr>
                <w:sz w:val="20"/>
                <w:szCs w:val="20"/>
                <w:color w:val="auto"/>
              </w:rPr>
            </w:pPr>
            <w:r>
              <w:rPr>
                <w:rFonts w:ascii="Arial" w:cs="Arial" w:eastAsia="Arial" w:hAnsi="Arial"/>
                <w:sz w:val="18"/>
                <w:szCs w:val="18"/>
                <w:color w:val="auto"/>
              </w:rPr>
              <w:t>MI</w:t>
            </w:r>
          </w:p>
        </w:tc>
      </w:tr>
      <w:tr>
        <w:trPr>
          <w:trHeight w:val="324"/>
        </w:trPr>
        <w:tc>
          <w:tcPr>
            <w:tcW w:w="6500" w:type="dxa"/>
            <w:vAlign w:val="bottom"/>
          </w:tcPr>
          <w:p>
            <w:pPr>
              <w:spacing w:after="0"/>
              <w:rPr>
                <w:sz w:val="20"/>
                <w:szCs w:val="20"/>
                <w:color w:val="auto"/>
              </w:rPr>
            </w:pPr>
            <w:r>
              <w:rPr>
                <w:rFonts w:ascii="Arial" w:cs="Arial" w:eastAsia="Arial" w:hAnsi="Arial"/>
                <w:sz w:val="18"/>
                <w:szCs w:val="18"/>
                <w:color w:val="auto"/>
              </w:rPr>
              <w:t>Clinton TV Cable Company, LLC</w:t>
            </w:r>
          </w:p>
        </w:tc>
        <w:tc>
          <w:tcPr>
            <w:tcW w:w="1480" w:type="dxa"/>
            <w:vAlign w:val="bottom"/>
            <w:gridSpan w:val="2"/>
          </w:tcPr>
          <w:p>
            <w:pPr>
              <w:ind w:left="300"/>
              <w:spacing w:after="0"/>
              <w:rPr>
                <w:sz w:val="20"/>
                <w:szCs w:val="20"/>
                <w:color w:val="auto"/>
              </w:rPr>
            </w:pPr>
            <w:r>
              <w:rPr>
                <w:rFonts w:ascii="Arial" w:cs="Arial" w:eastAsia="Arial" w:hAnsi="Arial"/>
                <w:sz w:val="18"/>
                <w:szCs w:val="18"/>
                <w:color w:val="auto"/>
              </w:rPr>
              <w:t>IA</w:t>
            </w:r>
          </w:p>
        </w:tc>
      </w:tr>
      <w:tr>
        <w:trPr>
          <w:trHeight w:val="324"/>
        </w:trPr>
        <w:tc>
          <w:tcPr>
            <w:tcW w:w="6500" w:type="dxa"/>
            <w:vAlign w:val="bottom"/>
          </w:tcPr>
          <w:p>
            <w:pPr>
              <w:spacing w:after="0"/>
              <w:rPr>
                <w:sz w:val="20"/>
                <w:szCs w:val="20"/>
                <w:color w:val="auto"/>
              </w:rPr>
            </w:pPr>
            <w:r>
              <w:rPr>
                <w:rFonts w:ascii="Arial" w:cs="Arial" w:eastAsia="Arial" w:hAnsi="Arial"/>
                <w:sz w:val="18"/>
                <w:szCs w:val="18"/>
                <w:color w:val="auto"/>
              </w:rPr>
              <w:t>Coastal Cable TV, Inc.</w:t>
            </w:r>
          </w:p>
        </w:tc>
        <w:tc>
          <w:tcPr>
            <w:tcW w:w="1480" w:type="dxa"/>
            <w:vAlign w:val="bottom"/>
            <w:gridSpan w:val="2"/>
          </w:tcPr>
          <w:p>
            <w:pPr>
              <w:ind w:left="300"/>
              <w:spacing w:after="0"/>
              <w:rPr>
                <w:sz w:val="20"/>
                <w:szCs w:val="20"/>
                <w:color w:val="auto"/>
              </w:rPr>
            </w:pPr>
            <w:r>
              <w:rPr>
                <w:rFonts w:ascii="Arial" w:cs="Arial" w:eastAsia="Arial" w:hAnsi="Arial"/>
                <w:sz w:val="18"/>
                <w:szCs w:val="18"/>
                <w:color w:val="auto"/>
              </w:rPr>
              <w:t>CT</w:t>
            </w:r>
          </w:p>
        </w:tc>
      </w:tr>
      <w:tr>
        <w:trPr>
          <w:trHeight w:val="324"/>
        </w:trPr>
        <w:tc>
          <w:tcPr>
            <w:tcW w:w="6500" w:type="dxa"/>
            <w:vAlign w:val="bottom"/>
          </w:tcPr>
          <w:p>
            <w:pPr>
              <w:spacing w:after="0"/>
              <w:rPr>
                <w:sz w:val="20"/>
                <w:szCs w:val="20"/>
                <w:color w:val="auto"/>
              </w:rPr>
            </w:pPr>
            <w:r>
              <w:rPr>
                <w:rFonts w:ascii="Arial" w:cs="Arial" w:eastAsia="Arial" w:hAnsi="Arial"/>
                <w:sz w:val="18"/>
                <w:szCs w:val="18"/>
                <w:color w:val="auto"/>
              </w:rPr>
              <w:t>Colorado Terrace Tower II Corporation</w:t>
            </w:r>
          </w:p>
        </w:tc>
        <w:tc>
          <w:tcPr>
            <w:tcW w:w="1480" w:type="dxa"/>
            <w:vAlign w:val="bottom"/>
            <w:gridSpan w:val="2"/>
          </w:tcPr>
          <w:p>
            <w:pPr>
              <w:ind w:left="300"/>
              <w:spacing w:after="0"/>
              <w:rPr>
                <w:sz w:val="20"/>
                <w:szCs w:val="20"/>
                <w:color w:val="auto"/>
              </w:rPr>
            </w:pPr>
            <w:r>
              <w:rPr>
                <w:rFonts w:ascii="Arial" w:cs="Arial" w:eastAsia="Arial" w:hAnsi="Arial"/>
                <w:sz w:val="18"/>
                <w:szCs w:val="18"/>
                <w:color w:val="auto"/>
              </w:rPr>
              <w:t>CO</w:t>
            </w:r>
          </w:p>
        </w:tc>
      </w:tr>
    </w:tbl>
    <w:p>
      <w:pPr>
        <w:sectPr>
          <w:pgSz w:w="11900" w:h="16838" w:orient="portrait"/>
          <w:cols w:equalWidth="0" w:num="1">
            <w:col w:w="10220"/>
          </w:cols>
          <w:pgMar w:left="1440" w:top="125" w:right="239" w:bottom="0" w:gutter="0" w:footer="0" w:header="0"/>
        </w:sectPr>
      </w:pPr>
    </w:p>
    <w:bookmarkStart w:id="160" w:name="page161"/>
    <w:bookmarkEnd w:id="160"/>
    <w:p>
      <w:pPr>
        <w:ind w:left="520"/>
        <w:spacing w:after="0"/>
        <w:rPr>
          <w:sz w:val="20"/>
          <w:szCs w:val="20"/>
          <w:color w:val="auto"/>
        </w:rPr>
      </w:pPr>
      <w:r>
        <w:rPr>
          <w:rFonts w:ascii="Arial" w:cs="Arial" w:eastAsia="Arial" w:hAnsi="Arial"/>
          <w:sz w:val="16"/>
          <w:szCs w:val="16"/>
          <w:color w:val="auto"/>
        </w:rPr>
        <w:t>COM Indiana, LLC</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Arial" w:cs="Arial" w:eastAsia="Arial" w:hAnsi="Arial"/>
          <w:sz w:val="16"/>
          <w:szCs w:val="16"/>
          <w:color w:val="auto"/>
        </w:rPr>
        <w:t>DE</w:t>
      </w:r>
    </w:p>
    <w:p>
      <w:pPr>
        <w:spacing w:after="0" w:line="140" w:lineRule="exact"/>
        <w:rPr>
          <w:sz w:val="20"/>
          <w:szCs w:val="20"/>
          <w:color w:val="auto"/>
        </w:rPr>
      </w:pPr>
    </w:p>
    <w:p>
      <w:pPr>
        <w:sectPr>
          <w:pgSz w:w="11900" w:h="16838" w:orient="portrait"/>
          <w:cols w:equalWidth="0" w:num="2">
            <w:col w:w="6600" w:space="720"/>
            <w:col w:w="1699"/>
          </w:cols>
          <w:pgMar w:left="1440" w:top="131" w:right="1440" w:bottom="1440" w:gutter="0" w:footer="0" w:header="0"/>
        </w:sectPr>
      </w:pPr>
    </w:p>
    <w:p>
      <w:pPr>
        <w:ind w:left="520"/>
        <w:spacing w:after="0"/>
        <w:rPr>
          <w:sz w:val="20"/>
          <w:szCs w:val="20"/>
          <w:color w:val="auto"/>
        </w:rPr>
      </w:pPr>
      <w:r>
        <w:rPr>
          <w:rFonts w:ascii="Arial" w:cs="Arial" w:eastAsia="Arial" w:hAnsi="Arial"/>
          <w:sz w:val="16"/>
          <w:szCs w:val="16"/>
          <w:color w:val="auto"/>
        </w:rPr>
        <w:t>COM Indianapolis, LLC</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Arial" w:cs="Arial" w:eastAsia="Arial" w:hAnsi="Arial"/>
          <w:sz w:val="16"/>
          <w:szCs w:val="16"/>
          <w:color w:val="auto"/>
        </w:rPr>
        <w:t>DE</w:t>
      </w:r>
    </w:p>
    <w:p>
      <w:pPr>
        <w:sectPr>
          <w:pgSz w:w="11900" w:h="16838" w:orient="portrait"/>
          <w:cols w:equalWidth="0" w:num="2">
            <w:col w:w="6600" w:space="720"/>
            <w:col w:w="1699"/>
          </w:cols>
          <w:pgMar w:left="1440" w:top="131" w:right="1440" w:bottom="1440" w:gutter="0" w:footer="0" w:header="0"/>
          <w:type w:val="continuous"/>
        </w:sectPr>
      </w:pPr>
    </w:p>
    <w:bookmarkStart w:id="161" w:name="page162"/>
    <w:bookmarkEnd w:id="161"/>
    <w:p>
      <w:pPr>
        <w:ind w:left="520"/>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236" name="Picture 2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6"/>
                    <pic:cNvPicPr>
                      <a:picLocks noChangeAspect="1" noChangeArrowheads="1"/>
                    </pic:cNvPicPr>
                  </pic:nvPicPr>
                  <pic:blipFill>
                    <a:blip r:embed="rId243">
                      <a:extLst>
                        <a:ext uri="{28A0092B-C50C-407E-A947-70E740481C1C}"/>
                      </a:extLst>
                    </a:blip>
                    <a:srcRect/>
                    <a:stretch>
                      <a:fillRect/>
                    </a:stretch>
                  </pic:blipFill>
                  <pic:spPr bwMode="auto">
                    <a:xfrm>
                      <a:off x="0" y="0"/>
                      <a:ext cx="7267575" cy="27940"/>
                    </a:xfrm>
                    <a:prstGeom prst="rect">
                      <a:avLst/>
                    </a:prstGeom>
                    <a:noFill/>
                  </pic:spPr>
                </pic:pic>
              </a:graphicData>
            </a:graphic>
          </wp:anchor>
        </w:drawing>
        <w:t>COM Inkster, Inc.</w:t>
      </w:r>
    </w:p>
    <w:p>
      <w:pPr>
        <w:spacing w:after="0" w:line="117" w:lineRule="exact"/>
        <w:rPr>
          <w:sz w:val="20"/>
          <w:szCs w:val="20"/>
          <w:color w:val="auto"/>
        </w:rPr>
      </w:pPr>
    </w:p>
    <w:p>
      <w:pPr>
        <w:ind w:left="520"/>
        <w:spacing w:after="0"/>
        <w:rPr>
          <w:sz w:val="20"/>
          <w:szCs w:val="20"/>
          <w:color w:val="auto"/>
        </w:rPr>
      </w:pPr>
      <w:r>
        <w:rPr>
          <w:rFonts w:ascii="Arial" w:cs="Arial" w:eastAsia="Arial" w:hAnsi="Arial"/>
          <w:sz w:val="18"/>
          <w:szCs w:val="18"/>
          <w:color w:val="auto"/>
        </w:rPr>
        <w:t>COM MH, LLC</w:t>
      </w:r>
    </w:p>
    <w:p>
      <w:pPr>
        <w:spacing w:after="0" w:line="117" w:lineRule="exact"/>
        <w:rPr>
          <w:sz w:val="20"/>
          <w:szCs w:val="20"/>
          <w:color w:val="auto"/>
        </w:rPr>
      </w:pPr>
    </w:p>
    <w:p>
      <w:pPr>
        <w:ind w:left="520"/>
        <w:spacing w:after="0"/>
        <w:rPr>
          <w:sz w:val="20"/>
          <w:szCs w:val="20"/>
          <w:color w:val="auto"/>
        </w:rPr>
      </w:pPr>
      <w:r>
        <w:rPr>
          <w:rFonts w:ascii="Arial" w:cs="Arial" w:eastAsia="Arial" w:hAnsi="Arial"/>
          <w:sz w:val="18"/>
          <w:szCs w:val="18"/>
          <w:color w:val="auto"/>
        </w:rPr>
        <w:t>COM South, LLC</w:t>
      </w:r>
    </w:p>
    <w:p>
      <w:pPr>
        <w:spacing w:after="0" w:line="117" w:lineRule="exact"/>
        <w:rPr>
          <w:sz w:val="20"/>
          <w:szCs w:val="20"/>
          <w:color w:val="auto"/>
        </w:rPr>
      </w:pPr>
    </w:p>
    <w:p>
      <w:pPr>
        <w:ind w:left="520"/>
        <w:spacing w:after="0"/>
        <w:rPr>
          <w:sz w:val="20"/>
          <w:szCs w:val="20"/>
          <w:color w:val="auto"/>
        </w:rPr>
      </w:pPr>
      <w:r>
        <w:rPr>
          <w:rFonts w:ascii="Arial" w:cs="Arial" w:eastAsia="Arial" w:hAnsi="Arial"/>
          <w:sz w:val="18"/>
          <w:szCs w:val="18"/>
          <w:color w:val="auto"/>
        </w:rPr>
        <w:t>COM Sports Ventures, Inc.</w:t>
      </w:r>
    </w:p>
    <w:p>
      <w:pPr>
        <w:spacing w:after="0" w:line="117" w:lineRule="exact"/>
        <w:rPr>
          <w:sz w:val="20"/>
          <w:szCs w:val="20"/>
          <w:color w:val="auto"/>
        </w:rPr>
      </w:pPr>
    </w:p>
    <w:p>
      <w:pPr>
        <w:ind w:left="520"/>
        <w:spacing w:after="0"/>
        <w:rPr>
          <w:sz w:val="20"/>
          <w:szCs w:val="20"/>
          <w:color w:val="auto"/>
        </w:rPr>
      </w:pPr>
      <w:r>
        <w:rPr>
          <w:rFonts w:ascii="Arial" w:cs="Arial" w:eastAsia="Arial" w:hAnsi="Arial"/>
          <w:sz w:val="18"/>
          <w:szCs w:val="18"/>
          <w:color w:val="auto"/>
        </w:rPr>
        <w:t>Comcast 38GHZ, Inc.</w:t>
      </w:r>
    </w:p>
    <w:p>
      <w:pPr>
        <w:spacing w:after="0" w:line="117" w:lineRule="exact"/>
        <w:rPr>
          <w:sz w:val="20"/>
          <w:szCs w:val="20"/>
          <w:color w:val="auto"/>
        </w:rPr>
      </w:pPr>
    </w:p>
    <w:p>
      <w:pPr>
        <w:ind w:left="520"/>
        <w:spacing w:after="0"/>
        <w:rPr>
          <w:sz w:val="20"/>
          <w:szCs w:val="20"/>
          <w:color w:val="auto"/>
        </w:rPr>
      </w:pPr>
      <w:r>
        <w:rPr>
          <w:rFonts w:ascii="Arial" w:cs="Arial" w:eastAsia="Arial" w:hAnsi="Arial"/>
          <w:sz w:val="18"/>
          <w:szCs w:val="18"/>
          <w:color w:val="auto"/>
        </w:rPr>
        <w:t>Comcast A/TW Note Holdings, Inc.</w:t>
      </w:r>
    </w:p>
    <w:p>
      <w:pPr>
        <w:spacing w:after="0" w:line="117" w:lineRule="exact"/>
        <w:rPr>
          <w:sz w:val="20"/>
          <w:szCs w:val="20"/>
          <w:color w:val="auto"/>
        </w:rPr>
      </w:pPr>
    </w:p>
    <w:p>
      <w:pPr>
        <w:ind w:left="520"/>
        <w:spacing w:after="0"/>
        <w:rPr>
          <w:sz w:val="20"/>
          <w:szCs w:val="20"/>
          <w:color w:val="auto"/>
        </w:rPr>
      </w:pPr>
      <w:r>
        <w:rPr>
          <w:rFonts w:ascii="Arial" w:cs="Arial" w:eastAsia="Arial" w:hAnsi="Arial"/>
          <w:sz w:val="18"/>
          <w:szCs w:val="18"/>
          <w:color w:val="auto"/>
        </w:rPr>
        <w:t>Comcast ABB Business Services, Inc.</w:t>
      </w:r>
    </w:p>
    <w:p>
      <w:pPr>
        <w:spacing w:after="0" w:line="117" w:lineRule="exact"/>
        <w:rPr>
          <w:sz w:val="20"/>
          <w:szCs w:val="20"/>
          <w:color w:val="auto"/>
        </w:rPr>
      </w:pPr>
    </w:p>
    <w:p>
      <w:pPr>
        <w:ind w:left="520"/>
        <w:spacing w:after="0"/>
        <w:rPr>
          <w:sz w:val="20"/>
          <w:szCs w:val="20"/>
          <w:color w:val="auto"/>
        </w:rPr>
      </w:pPr>
      <w:r>
        <w:rPr>
          <w:rFonts w:ascii="Arial" w:cs="Arial" w:eastAsia="Arial" w:hAnsi="Arial"/>
          <w:sz w:val="18"/>
          <w:szCs w:val="18"/>
          <w:color w:val="auto"/>
        </w:rPr>
        <w:t>Comcast ABB Cablevision V, Inc.</w:t>
      </w:r>
    </w:p>
    <w:p>
      <w:pPr>
        <w:spacing w:after="0" w:line="117" w:lineRule="exact"/>
        <w:rPr>
          <w:sz w:val="20"/>
          <w:szCs w:val="20"/>
          <w:color w:val="auto"/>
        </w:rPr>
      </w:pPr>
    </w:p>
    <w:p>
      <w:pPr>
        <w:ind w:left="520"/>
        <w:spacing w:after="0"/>
        <w:rPr>
          <w:sz w:val="20"/>
          <w:szCs w:val="20"/>
          <w:color w:val="auto"/>
        </w:rPr>
      </w:pPr>
      <w:r>
        <w:rPr>
          <w:rFonts w:ascii="Arial" w:cs="Arial" w:eastAsia="Arial" w:hAnsi="Arial"/>
          <w:sz w:val="18"/>
          <w:szCs w:val="18"/>
          <w:color w:val="auto"/>
        </w:rPr>
        <w:t>Comcast ABB CSC Holdings, Inc.</w:t>
      </w:r>
    </w:p>
    <w:p>
      <w:pPr>
        <w:spacing w:after="0" w:line="117" w:lineRule="exact"/>
        <w:rPr>
          <w:sz w:val="20"/>
          <w:szCs w:val="20"/>
          <w:color w:val="auto"/>
        </w:rPr>
      </w:pPr>
    </w:p>
    <w:p>
      <w:pPr>
        <w:ind w:left="520"/>
        <w:spacing w:after="0"/>
        <w:rPr>
          <w:sz w:val="20"/>
          <w:szCs w:val="20"/>
          <w:color w:val="auto"/>
        </w:rPr>
      </w:pPr>
      <w:r>
        <w:rPr>
          <w:rFonts w:ascii="Arial" w:cs="Arial" w:eastAsia="Arial" w:hAnsi="Arial"/>
          <w:sz w:val="18"/>
          <w:szCs w:val="18"/>
          <w:color w:val="auto"/>
        </w:rPr>
        <w:t>Comcast ABB CSC II, Inc.</w:t>
      </w:r>
    </w:p>
    <w:p>
      <w:pPr>
        <w:spacing w:after="0" w:line="117" w:lineRule="exact"/>
        <w:rPr>
          <w:sz w:val="20"/>
          <w:szCs w:val="20"/>
          <w:color w:val="auto"/>
        </w:rPr>
      </w:pPr>
    </w:p>
    <w:p>
      <w:pPr>
        <w:ind w:left="520"/>
        <w:spacing w:after="0"/>
        <w:rPr>
          <w:sz w:val="20"/>
          <w:szCs w:val="20"/>
          <w:color w:val="auto"/>
        </w:rPr>
      </w:pPr>
      <w:r>
        <w:rPr>
          <w:rFonts w:ascii="Arial" w:cs="Arial" w:eastAsia="Arial" w:hAnsi="Arial"/>
          <w:sz w:val="18"/>
          <w:szCs w:val="18"/>
          <w:color w:val="auto"/>
        </w:rPr>
        <w:t>Comcast ABB HCI, LLC</w:t>
      </w:r>
    </w:p>
    <w:p>
      <w:pPr>
        <w:spacing w:after="0" w:line="117" w:lineRule="exact"/>
        <w:rPr>
          <w:sz w:val="20"/>
          <w:szCs w:val="20"/>
          <w:color w:val="auto"/>
        </w:rPr>
      </w:pPr>
    </w:p>
    <w:p>
      <w:pPr>
        <w:ind w:left="520"/>
        <w:spacing w:after="0"/>
        <w:rPr>
          <w:sz w:val="20"/>
          <w:szCs w:val="20"/>
          <w:color w:val="auto"/>
        </w:rPr>
      </w:pPr>
      <w:r>
        <w:rPr>
          <w:rFonts w:ascii="Arial" w:cs="Arial" w:eastAsia="Arial" w:hAnsi="Arial"/>
          <w:sz w:val="18"/>
          <w:szCs w:val="18"/>
          <w:color w:val="auto"/>
        </w:rPr>
        <w:t>Comcast ABB Holdings I, Inc.</w:t>
      </w:r>
    </w:p>
    <w:p>
      <w:pPr>
        <w:spacing w:after="0" w:line="117" w:lineRule="exact"/>
        <w:rPr>
          <w:sz w:val="20"/>
          <w:szCs w:val="20"/>
          <w:color w:val="auto"/>
        </w:rPr>
      </w:pPr>
    </w:p>
    <w:p>
      <w:pPr>
        <w:ind w:left="520"/>
        <w:spacing w:after="0"/>
        <w:rPr>
          <w:sz w:val="20"/>
          <w:szCs w:val="20"/>
          <w:color w:val="auto"/>
        </w:rPr>
      </w:pPr>
      <w:r>
        <w:rPr>
          <w:rFonts w:ascii="Arial" w:cs="Arial" w:eastAsia="Arial" w:hAnsi="Arial"/>
          <w:sz w:val="18"/>
          <w:szCs w:val="18"/>
          <w:color w:val="auto"/>
        </w:rPr>
        <w:t>Comcast ABB Holdings II, Inc.</w:t>
      </w:r>
    </w:p>
    <w:p>
      <w:pPr>
        <w:spacing w:after="0" w:line="117" w:lineRule="exact"/>
        <w:rPr>
          <w:sz w:val="20"/>
          <w:szCs w:val="20"/>
          <w:color w:val="auto"/>
        </w:rPr>
      </w:pPr>
    </w:p>
    <w:p>
      <w:pPr>
        <w:ind w:left="520"/>
        <w:spacing w:after="0"/>
        <w:rPr>
          <w:sz w:val="20"/>
          <w:szCs w:val="20"/>
          <w:color w:val="auto"/>
        </w:rPr>
      </w:pPr>
      <w:r>
        <w:rPr>
          <w:rFonts w:ascii="Arial" w:cs="Arial" w:eastAsia="Arial" w:hAnsi="Arial"/>
          <w:sz w:val="18"/>
          <w:szCs w:val="18"/>
          <w:color w:val="auto"/>
        </w:rPr>
        <w:t>Comcast ABB LCI, Inc.</w:t>
      </w:r>
    </w:p>
    <w:p>
      <w:pPr>
        <w:spacing w:after="0" w:line="117" w:lineRule="exact"/>
        <w:rPr>
          <w:sz w:val="20"/>
          <w:szCs w:val="20"/>
          <w:color w:val="auto"/>
        </w:rPr>
      </w:pPr>
    </w:p>
    <w:p>
      <w:pPr>
        <w:ind w:left="520"/>
        <w:spacing w:after="0"/>
        <w:rPr>
          <w:sz w:val="20"/>
          <w:szCs w:val="20"/>
          <w:color w:val="auto"/>
        </w:rPr>
      </w:pPr>
      <w:r>
        <w:rPr>
          <w:rFonts w:ascii="Arial" w:cs="Arial" w:eastAsia="Arial" w:hAnsi="Arial"/>
          <w:sz w:val="18"/>
          <w:szCs w:val="18"/>
          <w:color w:val="auto"/>
        </w:rPr>
        <w:t>Comcast ABB Management Corporation</w:t>
      </w:r>
    </w:p>
    <w:p>
      <w:pPr>
        <w:spacing w:after="0" w:line="117" w:lineRule="exact"/>
        <w:rPr>
          <w:sz w:val="20"/>
          <w:szCs w:val="20"/>
          <w:color w:val="auto"/>
        </w:rPr>
      </w:pPr>
    </w:p>
    <w:p>
      <w:pPr>
        <w:ind w:left="520"/>
        <w:spacing w:after="0"/>
        <w:rPr>
          <w:sz w:val="20"/>
          <w:szCs w:val="20"/>
          <w:color w:val="auto"/>
        </w:rPr>
      </w:pPr>
      <w:r>
        <w:rPr>
          <w:rFonts w:ascii="Arial" w:cs="Arial" w:eastAsia="Arial" w:hAnsi="Arial"/>
          <w:sz w:val="18"/>
          <w:szCs w:val="18"/>
          <w:color w:val="auto"/>
        </w:rPr>
        <w:t>Comcast ABB Network Solutions, Inc.</w:t>
      </w:r>
    </w:p>
    <w:p>
      <w:pPr>
        <w:spacing w:after="0" w:line="117" w:lineRule="exact"/>
        <w:rPr>
          <w:sz w:val="20"/>
          <w:szCs w:val="20"/>
          <w:color w:val="auto"/>
        </w:rPr>
      </w:pPr>
    </w:p>
    <w:p>
      <w:pPr>
        <w:ind w:left="520"/>
        <w:spacing w:after="0"/>
        <w:rPr>
          <w:sz w:val="20"/>
          <w:szCs w:val="20"/>
          <w:color w:val="auto"/>
        </w:rPr>
      </w:pPr>
      <w:r>
        <w:rPr>
          <w:rFonts w:ascii="Arial" w:cs="Arial" w:eastAsia="Arial" w:hAnsi="Arial"/>
          <w:sz w:val="18"/>
          <w:szCs w:val="18"/>
          <w:color w:val="auto"/>
        </w:rPr>
        <w:t>Comcast ABB NOC, LLC</w:t>
      </w:r>
    </w:p>
    <w:p>
      <w:pPr>
        <w:spacing w:after="0" w:line="117" w:lineRule="exact"/>
        <w:rPr>
          <w:sz w:val="20"/>
          <w:szCs w:val="20"/>
          <w:color w:val="auto"/>
        </w:rPr>
      </w:pPr>
    </w:p>
    <w:p>
      <w:pPr>
        <w:ind w:left="520"/>
        <w:spacing w:after="0"/>
        <w:rPr>
          <w:sz w:val="20"/>
          <w:szCs w:val="20"/>
          <w:color w:val="auto"/>
        </w:rPr>
      </w:pPr>
      <w:r>
        <w:rPr>
          <w:rFonts w:ascii="Arial" w:cs="Arial" w:eastAsia="Arial" w:hAnsi="Arial"/>
          <w:sz w:val="18"/>
          <w:szCs w:val="18"/>
          <w:color w:val="auto"/>
        </w:rPr>
        <w:t>Comcast ABB Note Consolidation, Inc.</w:t>
      </w:r>
    </w:p>
    <w:p>
      <w:pPr>
        <w:spacing w:after="0" w:line="117" w:lineRule="exact"/>
        <w:rPr>
          <w:sz w:val="20"/>
          <w:szCs w:val="20"/>
          <w:color w:val="auto"/>
        </w:rPr>
      </w:pPr>
    </w:p>
    <w:p>
      <w:pPr>
        <w:ind w:left="520"/>
        <w:spacing w:after="0"/>
        <w:rPr>
          <w:sz w:val="20"/>
          <w:szCs w:val="20"/>
          <w:color w:val="auto"/>
        </w:rPr>
      </w:pPr>
      <w:r>
        <w:rPr>
          <w:rFonts w:ascii="Arial" w:cs="Arial" w:eastAsia="Arial" w:hAnsi="Arial"/>
          <w:sz w:val="18"/>
          <w:szCs w:val="18"/>
          <w:color w:val="auto"/>
        </w:rPr>
        <w:t>Comcast ABB of Clinton</w:t>
      </w:r>
    </w:p>
    <w:p>
      <w:pPr>
        <w:spacing w:after="0" w:line="117" w:lineRule="exact"/>
        <w:rPr>
          <w:sz w:val="20"/>
          <w:szCs w:val="20"/>
          <w:color w:val="auto"/>
        </w:rPr>
      </w:pPr>
    </w:p>
    <w:p>
      <w:pPr>
        <w:ind w:left="520"/>
        <w:spacing w:after="0"/>
        <w:rPr>
          <w:sz w:val="20"/>
          <w:szCs w:val="20"/>
          <w:color w:val="auto"/>
        </w:rPr>
      </w:pPr>
      <w:r>
        <w:rPr>
          <w:rFonts w:ascii="Arial" w:cs="Arial" w:eastAsia="Arial" w:hAnsi="Arial"/>
          <w:sz w:val="18"/>
          <w:szCs w:val="18"/>
          <w:color w:val="auto"/>
        </w:rPr>
        <w:t>Comcast ABB of Georgia II, LLC</w:t>
      </w:r>
    </w:p>
    <w:p>
      <w:pPr>
        <w:spacing w:after="0" w:line="117" w:lineRule="exact"/>
        <w:rPr>
          <w:sz w:val="20"/>
          <w:szCs w:val="20"/>
          <w:color w:val="auto"/>
        </w:rPr>
      </w:pPr>
    </w:p>
    <w:p>
      <w:pPr>
        <w:ind w:left="520"/>
        <w:spacing w:after="0"/>
        <w:rPr>
          <w:sz w:val="20"/>
          <w:szCs w:val="20"/>
          <w:color w:val="auto"/>
        </w:rPr>
      </w:pPr>
      <w:r>
        <w:rPr>
          <w:rFonts w:ascii="Arial" w:cs="Arial" w:eastAsia="Arial" w:hAnsi="Arial"/>
          <w:sz w:val="18"/>
          <w:szCs w:val="18"/>
          <w:color w:val="auto"/>
        </w:rPr>
        <w:t>Comcast ABB of Kiowa, LLC</w:t>
      </w:r>
    </w:p>
    <w:p>
      <w:pPr>
        <w:spacing w:after="0" w:line="117" w:lineRule="exact"/>
        <w:rPr>
          <w:sz w:val="20"/>
          <w:szCs w:val="20"/>
          <w:color w:val="auto"/>
        </w:rPr>
      </w:pPr>
    </w:p>
    <w:p>
      <w:pPr>
        <w:ind w:left="520"/>
        <w:spacing w:after="0"/>
        <w:rPr>
          <w:sz w:val="20"/>
          <w:szCs w:val="20"/>
          <w:color w:val="auto"/>
        </w:rPr>
      </w:pPr>
      <w:r>
        <w:rPr>
          <w:rFonts w:ascii="Arial" w:cs="Arial" w:eastAsia="Arial" w:hAnsi="Arial"/>
          <w:sz w:val="18"/>
          <w:szCs w:val="18"/>
          <w:color w:val="auto"/>
        </w:rPr>
        <w:t>Comcast ABB of Mississippi/Iowa, LLC</w:t>
      </w:r>
    </w:p>
    <w:p>
      <w:pPr>
        <w:spacing w:after="0" w:line="117" w:lineRule="exact"/>
        <w:rPr>
          <w:sz w:val="20"/>
          <w:szCs w:val="20"/>
          <w:color w:val="auto"/>
        </w:rPr>
      </w:pPr>
    </w:p>
    <w:p>
      <w:pPr>
        <w:ind w:left="520"/>
        <w:spacing w:after="0"/>
        <w:rPr>
          <w:sz w:val="20"/>
          <w:szCs w:val="20"/>
          <w:color w:val="auto"/>
        </w:rPr>
      </w:pPr>
      <w:r>
        <w:rPr>
          <w:rFonts w:ascii="Arial" w:cs="Arial" w:eastAsia="Arial" w:hAnsi="Arial"/>
          <w:sz w:val="18"/>
          <w:szCs w:val="18"/>
          <w:color w:val="auto"/>
        </w:rPr>
        <w:t>Comcast ABB of Payette, Inc.</w:t>
      </w:r>
    </w:p>
    <w:p>
      <w:pPr>
        <w:spacing w:after="0" w:line="117" w:lineRule="exact"/>
        <w:rPr>
          <w:sz w:val="20"/>
          <w:szCs w:val="20"/>
          <w:color w:val="auto"/>
        </w:rPr>
      </w:pPr>
    </w:p>
    <w:p>
      <w:pPr>
        <w:ind w:left="520"/>
        <w:spacing w:after="0"/>
        <w:rPr>
          <w:sz w:val="20"/>
          <w:szCs w:val="20"/>
          <w:color w:val="auto"/>
        </w:rPr>
      </w:pPr>
      <w:r>
        <w:rPr>
          <w:rFonts w:ascii="Arial" w:cs="Arial" w:eastAsia="Arial" w:hAnsi="Arial"/>
          <w:sz w:val="18"/>
          <w:szCs w:val="18"/>
          <w:color w:val="auto"/>
        </w:rPr>
        <w:t>Comcast ABB Optionee Payroll, LLC</w:t>
      </w:r>
    </w:p>
    <w:p>
      <w:pPr>
        <w:spacing w:after="0" w:line="117" w:lineRule="exact"/>
        <w:rPr>
          <w:sz w:val="20"/>
          <w:szCs w:val="20"/>
          <w:color w:val="auto"/>
        </w:rPr>
      </w:pPr>
    </w:p>
    <w:p>
      <w:pPr>
        <w:ind w:left="520"/>
        <w:spacing w:after="0"/>
        <w:rPr>
          <w:sz w:val="20"/>
          <w:szCs w:val="20"/>
          <w:color w:val="auto"/>
        </w:rPr>
      </w:pPr>
      <w:r>
        <w:rPr>
          <w:rFonts w:ascii="Arial" w:cs="Arial" w:eastAsia="Arial" w:hAnsi="Arial"/>
          <w:sz w:val="18"/>
          <w:szCs w:val="18"/>
          <w:color w:val="auto"/>
        </w:rPr>
        <w:t>Comcast ABB Overseas Holdings I, LLC</w:t>
      </w:r>
    </w:p>
    <w:p>
      <w:pPr>
        <w:spacing w:after="0" w:line="117" w:lineRule="exact"/>
        <w:rPr>
          <w:sz w:val="20"/>
          <w:szCs w:val="20"/>
          <w:color w:val="auto"/>
        </w:rPr>
      </w:pPr>
    </w:p>
    <w:p>
      <w:pPr>
        <w:ind w:left="520"/>
        <w:spacing w:after="0"/>
        <w:rPr>
          <w:sz w:val="20"/>
          <w:szCs w:val="20"/>
          <w:color w:val="auto"/>
        </w:rPr>
      </w:pPr>
      <w:r>
        <w:rPr>
          <w:rFonts w:ascii="Arial" w:cs="Arial" w:eastAsia="Arial" w:hAnsi="Arial"/>
          <w:sz w:val="18"/>
          <w:szCs w:val="18"/>
          <w:color w:val="auto"/>
        </w:rPr>
        <w:t>Comcast ABB Overseas Holdings II, LLC</w:t>
      </w:r>
    </w:p>
    <w:p>
      <w:pPr>
        <w:spacing w:after="0" w:line="117" w:lineRule="exact"/>
        <w:rPr>
          <w:sz w:val="20"/>
          <w:szCs w:val="20"/>
          <w:color w:val="auto"/>
        </w:rPr>
      </w:pPr>
    </w:p>
    <w:p>
      <w:pPr>
        <w:ind w:left="520"/>
        <w:spacing w:after="0"/>
        <w:rPr>
          <w:sz w:val="20"/>
          <w:szCs w:val="20"/>
          <w:color w:val="auto"/>
        </w:rPr>
      </w:pPr>
      <w:r>
        <w:rPr>
          <w:rFonts w:ascii="Arial" w:cs="Arial" w:eastAsia="Arial" w:hAnsi="Arial"/>
          <w:sz w:val="18"/>
          <w:szCs w:val="18"/>
          <w:color w:val="auto"/>
        </w:rPr>
        <w:t>Comcast ABB Overseas Holdings, Inc.</w:t>
      </w:r>
    </w:p>
    <w:p>
      <w:pPr>
        <w:spacing w:after="0" w:line="117" w:lineRule="exact"/>
        <w:rPr>
          <w:sz w:val="20"/>
          <w:szCs w:val="20"/>
          <w:color w:val="auto"/>
        </w:rPr>
      </w:pPr>
    </w:p>
    <w:p>
      <w:pPr>
        <w:ind w:left="520"/>
        <w:spacing w:after="0"/>
        <w:rPr>
          <w:sz w:val="20"/>
          <w:szCs w:val="20"/>
          <w:color w:val="auto"/>
        </w:rPr>
      </w:pPr>
      <w:r>
        <w:rPr>
          <w:rFonts w:ascii="Arial" w:cs="Arial" w:eastAsia="Arial" w:hAnsi="Arial"/>
          <w:sz w:val="18"/>
          <w:szCs w:val="18"/>
          <w:color w:val="auto"/>
        </w:rPr>
        <w:t>Comcast ABB USC, LLC</w:t>
      </w:r>
    </w:p>
    <w:p>
      <w:pPr>
        <w:spacing w:after="0" w:line="117" w:lineRule="exact"/>
        <w:rPr>
          <w:sz w:val="20"/>
          <w:szCs w:val="20"/>
          <w:color w:val="auto"/>
        </w:rPr>
      </w:pPr>
    </w:p>
    <w:p>
      <w:pPr>
        <w:ind w:left="520"/>
        <w:spacing w:after="0"/>
        <w:rPr>
          <w:sz w:val="20"/>
          <w:szCs w:val="20"/>
          <w:color w:val="auto"/>
        </w:rPr>
      </w:pPr>
      <w:r>
        <w:rPr>
          <w:rFonts w:ascii="Arial" w:cs="Arial" w:eastAsia="Arial" w:hAnsi="Arial"/>
          <w:sz w:val="18"/>
          <w:szCs w:val="18"/>
          <w:color w:val="auto"/>
        </w:rPr>
        <w:t>Comcast Argentina, Inc.</w:t>
      </w:r>
    </w:p>
    <w:p>
      <w:pPr>
        <w:spacing w:after="0" w:line="117" w:lineRule="exact"/>
        <w:rPr>
          <w:sz w:val="20"/>
          <w:szCs w:val="20"/>
          <w:color w:val="auto"/>
        </w:rPr>
      </w:pPr>
    </w:p>
    <w:p>
      <w:pPr>
        <w:ind w:left="520"/>
        <w:spacing w:after="0"/>
        <w:rPr>
          <w:sz w:val="20"/>
          <w:szCs w:val="20"/>
          <w:color w:val="auto"/>
        </w:rPr>
      </w:pPr>
      <w:r>
        <w:rPr>
          <w:rFonts w:ascii="Arial" w:cs="Arial" w:eastAsia="Arial" w:hAnsi="Arial"/>
          <w:sz w:val="18"/>
          <w:szCs w:val="18"/>
          <w:color w:val="auto"/>
        </w:rPr>
        <w:t>Comcast ASBC, Inc.</w:t>
      </w:r>
    </w:p>
    <w:p>
      <w:pPr>
        <w:spacing w:after="0" w:line="117" w:lineRule="exact"/>
        <w:rPr>
          <w:sz w:val="20"/>
          <w:szCs w:val="20"/>
          <w:color w:val="auto"/>
        </w:rPr>
      </w:pPr>
    </w:p>
    <w:p>
      <w:pPr>
        <w:ind w:left="520"/>
        <w:spacing w:after="0"/>
        <w:rPr>
          <w:sz w:val="20"/>
          <w:szCs w:val="20"/>
          <w:color w:val="auto"/>
        </w:rPr>
      </w:pPr>
      <w:r>
        <w:rPr>
          <w:rFonts w:ascii="Arial" w:cs="Arial" w:eastAsia="Arial" w:hAnsi="Arial"/>
          <w:sz w:val="18"/>
          <w:szCs w:val="18"/>
          <w:color w:val="auto"/>
        </w:rPr>
        <w:t>Comcast Brazil, Inc.</w:t>
      </w:r>
    </w:p>
    <w:p>
      <w:pPr>
        <w:spacing w:after="0" w:line="117" w:lineRule="exact"/>
        <w:rPr>
          <w:sz w:val="20"/>
          <w:szCs w:val="20"/>
          <w:color w:val="auto"/>
        </w:rPr>
      </w:pPr>
    </w:p>
    <w:p>
      <w:pPr>
        <w:ind w:left="520"/>
        <w:spacing w:after="0"/>
        <w:rPr>
          <w:sz w:val="20"/>
          <w:szCs w:val="20"/>
          <w:color w:val="auto"/>
        </w:rPr>
      </w:pPr>
      <w:r>
        <w:rPr>
          <w:rFonts w:ascii="Arial" w:cs="Arial" w:eastAsia="Arial" w:hAnsi="Arial"/>
          <w:sz w:val="18"/>
          <w:szCs w:val="18"/>
          <w:color w:val="auto"/>
        </w:rPr>
        <w:t>Comcast BroadNet Payroll Services, Inc.</w:t>
      </w:r>
    </w:p>
    <w:p>
      <w:pPr>
        <w:spacing w:after="0" w:line="117" w:lineRule="exact"/>
        <w:rPr>
          <w:sz w:val="20"/>
          <w:szCs w:val="20"/>
          <w:color w:val="auto"/>
        </w:rPr>
      </w:pPr>
    </w:p>
    <w:p>
      <w:pPr>
        <w:ind w:left="520"/>
        <w:spacing w:after="0"/>
        <w:rPr>
          <w:sz w:val="20"/>
          <w:szCs w:val="20"/>
          <w:color w:val="auto"/>
        </w:rPr>
      </w:pPr>
      <w:r>
        <w:rPr>
          <w:rFonts w:ascii="Arial" w:cs="Arial" w:eastAsia="Arial" w:hAnsi="Arial"/>
          <w:sz w:val="16"/>
          <w:szCs w:val="16"/>
          <w:color w:val="auto"/>
        </w:rPr>
        <w:t>Comcast Business Communications of Virginia, LLC</w:t>
      </w:r>
    </w:p>
    <w:p>
      <w:pPr>
        <w:spacing w:after="0" w:line="140" w:lineRule="exact"/>
        <w:rPr>
          <w:sz w:val="20"/>
          <w:szCs w:val="20"/>
          <w:color w:val="auto"/>
        </w:rPr>
      </w:pPr>
    </w:p>
    <w:p>
      <w:pPr>
        <w:ind w:left="520"/>
        <w:spacing w:after="0"/>
        <w:rPr>
          <w:sz w:val="20"/>
          <w:szCs w:val="20"/>
          <w:color w:val="auto"/>
        </w:rPr>
      </w:pPr>
      <w:r>
        <w:rPr>
          <w:rFonts w:ascii="Arial" w:cs="Arial" w:eastAsia="Arial" w:hAnsi="Arial"/>
          <w:sz w:val="18"/>
          <w:szCs w:val="18"/>
          <w:color w:val="auto"/>
        </w:rPr>
        <w:t>Comcast Business Communications, LLC</w:t>
      </w:r>
    </w:p>
    <w:p>
      <w:pPr>
        <w:spacing w:after="0" w:line="117" w:lineRule="exact"/>
        <w:rPr>
          <w:sz w:val="20"/>
          <w:szCs w:val="20"/>
          <w:color w:val="auto"/>
        </w:rPr>
      </w:pPr>
    </w:p>
    <w:p>
      <w:pPr>
        <w:ind w:left="520"/>
        <w:spacing w:after="0"/>
        <w:rPr>
          <w:sz w:val="20"/>
          <w:szCs w:val="20"/>
          <w:color w:val="auto"/>
        </w:rPr>
      </w:pPr>
      <w:r>
        <w:rPr>
          <w:rFonts w:ascii="Arial" w:cs="Arial" w:eastAsia="Arial" w:hAnsi="Arial"/>
          <w:sz w:val="16"/>
          <w:szCs w:val="16"/>
          <w:color w:val="auto"/>
        </w:rPr>
        <w:t>Comcast Cable Communications Holdings, Inc.</w:t>
      </w:r>
    </w:p>
    <w:p>
      <w:pPr>
        <w:spacing w:after="0" w:line="140" w:lineRule="exact"/>
        <w:rPr>
          <w:sz w:val="20"/>
          <w:szCs w:val="20"/>
          <w:color w:val="auto"/>
        </w:rPr>
      </w:pPr>
    </w:p>
    <w:p>
      <w:pPr>
        <w:ind w:left="520"/>
        <w:spacing w:after="0"/>
        <w:rPr>
          <w:sz w:val="20"/>
          <w:szCs w:val="20"/>
          <w:color w:val="auto"/>
        </w:rPr>
      </w:pPr>
      <w:r>
        <w:rPr>
          <w:rFonts w:ascii="Arial" w:cs="Arial" w:eastAsia="Arial" w:hAnsi="Arial"/>
          <w:sz w:val="16"/>
          <w:szCs w:val="16"/>
          <w:color w:val="auto"/>
        </w:rPr>
        <w:t>Comcast Cable Communications Holdings, LLC</w:t>
      </w:r>
    </w:p>
    <w:p>
      <w:pPr>
        <w:spacing w:after="0" w:line="140" w:lineRule="exact"/>
        <w:rPr>
          <w:sz w:val="20"/>
          <w:szCs w:val="20"/>
          <w:color w:val="auto"/>
        </w:rPr>
      </w:pPr>
    </w:p>
    <w:p>
      <w:pPr>
        <w:ind w:left="520"/>
        <w:spacing w:after="0"/>
        <w:rPr>
          <w:sz w:val="20"/>
          <w:szCs w:val="20"/>
          <w:color w:val="auto"/>
        </w:rPr>
      </w:pPr>
      <w:r>
        <w:rPr>
          <w:rFonts w:ascii="Arial" w:cs="Arial" w:eastAsia="Arial" w:hAnsi="Arial"/>
          <w:sz w:val="16"/>
          <w:szCs w:val="16"/>
          <w:color w:val="auto"/>
        </w:rPr>
        <w:t>Comcast Cable Communications Management, LLC</w:t>
      </w:r>
    </w:p>
    <w:p>
      <w:pPr>
        <w:spacing w:after="0" w:line="140" w:lineRule="exact"/>
        <w:rPr>
          <w:sz w:val="20"/>
          <w:szCs w:val="20"/>
          <w:color w:val="auto"/>
        </w:rPr>
      </w:pPr>
    </w:p>
    <w:p>
      <w:pPr>
        <w:ind w:left="520"/>
        <w:spacing w:after="0"/>
        <w:rPr>
          <w:sz w:val="20"/>
          <w:szCs w:val="20"/>
          <w:color w:val="auto"/>
        </w:rPr>
      </w:pPr>
      <w:r>
        <w:rPr>
          <w:rFonts w:ascii="Arial" w:cs="Arial" w:eastAsia="Arial" w:hAnsi="Arial"/>
          <w:sz w:val="18"/>
          <w:szCs w:val="18"/>
          <w:color w:val="auto"/>
        </w:rPr>
        <w:t>Comcast Cable Communications, LLC</w:t>
      </w:r>
    </w:p>
    <w:p>
      <w:pPr>
        <w:spacing w:after="0" w:line="117" w:lineRule="exact"/>
        <w:rPr>
          <w:sz w:val="20"/>
          <w:szCs w:val="20"/>
          <w:color w:val="auto"/>
        </w:rPr>
      </w:pPr>
    </w:p>
    <w:p>
      <w:pPr>
        <w:ind w:left="520"/>
        <w:spacing w:after="0"/>
        <w:rPr>
          <w:sz w:val="20"/>
          <w:szCs w:val="20"/>
          <w:color w:val="auto"/>
        </w:rPr>
      </w:pPr>
      <w:r>
        <w:rPr>
          <w:rFonts w:ascii="Arial" w:cs="Arial" w:eastAsia="Arial" w:hAnsi="Arial"/>
          <w:sz w:val="18"/>
          <w:szCs w:val="18"/>
          <w:color w:val="auto"/>
        </w:rPr>
        <w:t>Comcast Cable Funding</w:t>
      </w:r>
    </w:p>
    <w:p>
      <w:pPr>
        <w:spacing w:after="0" w:line="117" w:lineRule="exact"/>
        <w:rPr>
          <w:sz w:val="20"/>
          <w:szCs w:val="20"/>
          <w:color w:val="auto"/>
        </w:rPr>
      </w:pPr>
    </w:p>
    <w:p>
      <w:pPr>
        <w:ind w:left="520"/>
        <w:spacing w:after="0"/>
        <w:rPr>
          <w:sz w:val="20"/>
          <w:szCs w:val="20"/>
          <w:color w:val="auto"/>
        </w:rPr>
      </w:pPr>
      <w:r>
        <w:rPr>
          <w:rFonts w:ascii="Arial" w:cs="Arial" w:eastAsia="Arial" w:hAnsi="Arial"/>
          <w:sz w:val="18"/>
          <w:szCs w:val="18"/>
          <w:color w:val="auto"/>
        </w:rPr>
        <w:t>Comcast Cable Funding GP, Inc.</w:t>
      </w:r>
    </w:p>
    <w:p>
      <w:pPr>
        <w:spacing w:after="0" w:line="117" w:lineRule="exact"/>
        <w:rPr>
          <w:sz w:val="20"/>
          <w:szCs w:val="20"/>
          <w:color w:val="auto"/>
        </w:rPr>
      </w:pPr>
    </w:p>
    <w:p>
      <w:pPr>
        <w:ind w:left="520"/>
        <w:spacing w:after="0"/>
        <w:rPr>
          <w:sz w:val="20"/>
          <w:szCs w:val="20"/>
          <w:color w:val="auto"/>
        </w:rPr>
      </w:pPr>
      <w:r>
        <w:rPr>
          <w:rFonts w:ascii="Arial" w:cs="Arial" w:eastAsia="Arial" w:hAnsi="Arial"/>
          <w:sz w:val="18"/>
          <w:szCs w:val="18"/>
          <w:color w:val="auto"/>
        </w:rPr>
        <w:t>Comcast Cable Funding I, Inc.</w:t>
      </w:r>
    </w:p>
    <w:p>
      <w:pPr>
        <w:spacing w:after="0" w:line="117" w:lineRule="exact"/>
        <w:rPr>
          <w:sz w:val="20"/>
          <w:szCs w:val="20"/>
          <w:color w:val="auto"/>
        </w:rPr>
      </w:pPr>
    </w:p>
    <w:p>
      <w:pPr>
        <w:ind w:left="520"/>
        <w:spacing w:after="0"/>
        <w:rPr>
          <w:sz w:val="20"/>
          <w:szCs w:val="20"/>
          <w:color w:val="auto"/>
        </w:rPr>
      </w:pPr>
      <w:r>
        <w:rPr>
          <w:rFonts w:ascii="Arial" w:cs="Arial" w:eastAsia="Arial" w:hAnsi="Arial"/>
          <w:sz w:val="18"/>
          <w:szCs w:val="18"/>
          <w:color w:val="auto"/>
        </w:rPr>
        <w:t>Comcast Cable Holdings, LLC</w:t>
      </w:r>
    </w:p>
    <w:p>
      <w:pPr>
        <w:spacing w:after="0" w:line="117" w:lineRule="exact"/>
        <w:rPr>
          <w:sz w:val="20"/>
          <w:szCs w:val="20"/>
          <w:color w:val="auto"/>
        </w:rPr>
      </w:pPr>
    </w:p>
    <w:p>
      <w:pPr>
        <w:ind w:left="520"/>
        <w:spacing w:after="0"/>
        <w:rPr>
          <w:sz w:val="20"/>
          <w:szCs w:val="20"/>
          <w:color w:val="auto"/>
        </w:rPr>
      </w:pPr>
      <w:r>
        <w:rPr>
          <w:rFonts w:ascii="Arial" w:cs="Arial" w:eastAsia="Arial" w:hAnsi="Arial"/>
          <w:sz w:val="18"/>
          <w:szCs w:val="18"/>
          <w:color w:val="auto"/>
        </w:rPr>
        <w:t>Comcast Cable of Indiana, Inc.</w:t>
      </w:r>
    </w:p>
    <w:p>
      <w:pPr>
        <w:spacing w:after="0" w:line="117" w:lineRule="exact"/>
        <w:rPr>
          <w:sz w:val="20"/>
          <w:szCs w:val="20"/>
          <w:color w:val="auto"/>
        </w:rPr>
      </w:pPr>
    </w:p>
    <w:p>
      <w:pPr>
        <w:ind w:left="520"/>
        <w:spacing w:after="0"/>
        <w:rPr>
          <w:sz w:val="20"/>
          <w:szCs w:val="20"/>
          <w:color w:val="auto"/>
        </w:rPr>
      </w:pPr>
      <w:r>
        <w:rPr>
          <w:rFonts w:ascii="Arial" w:cs="Arial" w:eastAsia="Arial" w:hAnsi="Arial"/>
          <w:sz w:val="16"/>
          <w:szCs w:val="16"/>
          <w:color w:val="auto"/>
        </w:rPr>
        <w:t>Comcast Cable of Indiana/Michigan/Texas I, LLC</w:t>
      </w:r>
    </w:p>
    <w:p>
      <w:pPr>
        <w:spacing w:after="0" w:line="140" w:lineRule="exact"/>
        <w:rPr>
          <w:sz w:val="20"/>
          <w:szCs w:val="20"/>
          <w:color w:val="auto"/>
        </w:rPr>
      </w:pPr>
    </w:p>
    <w:p>
      <w:pPr>
        <w:ind w:left="520"/>
        <w:spacing w:after="0"/>
        <w:rPr>
          <w:sz w:val="20"/>
          <w:szCs w:val="20"/>
          <w:color w:val="auto"/>
        </w:rPr>
      </w:pPr>
      <w:r>
        <w:rPr>
          <w:rFonts w:ascii="Arial" w:cs="Arial" w:eastAsia="Arial" w:hAnsi="Arial"/>
          <w:sz w:val="18"/>
          <w:szCs w:val="18"/>
          <w:color w:val="auto"/>
        </w:rPr>
        <w:t>Comcast Cable of Maryland, Inc.</w:t>
      </w:r>
    </w:p>
    <w:p>
      <w:pPr>
        <w:spacing w:after="0" w:line="117" w:lineRule="exact"/>
        <w:rPr>
          <w:sz w:val="20"/>
          <w:szCs w:val="20"/>
          <w:color w:val="auto"/>
        </w:rPr>
      </w:pPr>
    </w:p>
    <w:p>
      <w:pPr>
        <w:ind w:left="520"/>
        <w:spacing w:after="0"/>
        <w:rPr>
          <w:sz w:val="20"/>
          <w:szCs w:val="20"/>
          <w:color w:val="auto"/>
        </w:rPr>
      </w:pPr>
      <w:r>
        <w:rPr>
          <w:rFonts w:ascii="Arial" w:cs="Arial" w:eastAsia="Arial" w:hAnsi="Arial"/>
          <w:sz w:val="18"/>
          <w:szCs w:val="18"/>
          <w:color w:val="auto"/>
        </w:rPr>
        <w:t>Comcast Cable SC Investment, Inc.</w:t>
      </w:r>
    </w:p>
    <w:p>
      <w:pPr>
        <w:spacing w:after="0" w:line="117" w:lineRule="exact"/>
        <w:rPr>
          <w:sz w:val="20"/>
          <w:szCs w:val="20"/>
          <w:color w:val="auto"/>
        </w:rPr>
      </w:pPr>
    </w:p>
    <w:p>
      <w:pPr>
        <w:ind w:left="520"/>
        <w:spacing w:after="0"/>
        <w:rPr>
          <w:sz w:val="20"/>
          <w:szCs w:val="20"/>
          <w:color w:val="auto"/>
        </w:rPr>
      </w:pPr>
      <w:r>
        <w:rPr>
          <w:rFonts w:ascii="Arial" w:cs="Arial" w:eastAsia="Arial" w:hAnsi="Arial"/>
          <w:sz w:val="18"/>
          <w:szCs w:val="18"/>
          <w:color w:val="auto"/>
        </w:rPr>
        <w:t>Comcast Cable Trust I</w:t>
      </w:r>
    </w:p>
    <w:p>
      <w:pPr>
        <w:spacing w:after="0" w:line="117" w:lineRule="exact"/>
        <w:rPr>
          <w:sz w:val="20"/>
          <w:szCs w:val="20"/>
          <w:color w:val="auto"/>
        </w:rPr>
      </w:pPr>
    </w:p>
    <w:p>
      <w:pPr>
        <w:ind w:left="520"/>
        <w:spacing w:after="0"/>
        <w:rPr>
          <w:sz w:val="20"/>
          <w:szCs w:val="20"/>
          <w:color w:val="auto"/>
        </w:rPr>
      </w:pPr>
      <w:r>
        <w:rPr>
          <w:rFonts w:ascii="Arial" w:cs="Arial" w:eastAsia="Arial" w:hAnsi="Arial"/>
          <w:sz w:val="18"/>
          <w:szCs w:val="18"/>
          <w:color w:val="auto"/>
        </w:rPr>
        <w:t>Comcast Cable Trust II</w:t>
      </w:r>
    </w:p>
    <w:p>
      <w:pPr>
        <w:spacing w:after="0" w:line="117" w:lineRule="exact"/>
        <w:rPr>
          <w:sz w:val="20"/>
          <w:szCs w:val="20"/>
          <w:color w:val="auto"/>
        </w:rPr>
      </w:pPr>
    </w:p>
    <w:p>
      <w:pPr>
        <w:ind w:left="520"/>
        <w:spacing w:after="0"/>
        <w:rPr>
          <w:sz w:val="20"/>
          <w:szCs w:val="20"/>
          <w:color w:val="auto"/>
        </w:rPr>
      </w:pPr>
      <w:r>
        <w:rPr>
          <w:rFonts w:ascii="Arial" w:cs="Arial" w:eastAsia="Arial" w:hAnsi="Arial"/>
          <w:sz w:val="18"/>
          <w:szCs w:val="18"/>
          <w:color w:val="auto"/>
        </w:rPr>
        <w:t>Comcast Cable Trust III</w:t>
      </w:r>
    </w:p>
    <w:p>
      <w:pPr>
        <w:spacing w:after="0" w:line="117" w:lineRule="exact"/>
        <w:rPr>
          <w:sz w:val="20"/>
          <w:szCs w:val="20"/>
          <w:color w:val="auto"/>
        </w:rPr>
      </w:pPr>
    </w:p>
    <w:p>
      <w:pPr>
        <w:ind w:left="520"/>
        <w:spacing w:after="0"/>
        <w:rPr>
          <w:sz w:val="20"/>
          <w:szCs w:val="20"/>
          <w:color w:val="auto"/>
        </w:rPr>
      </w:pPr>
      <w:r>
        <w:rPr>
          <w:rFonts w:ascii="Arial" w:cs="Arial" w:eastAsia="Arial" w:hAnsi="Arial"/>
          <w:sz w:val="18"/>
          <w:szCs w:val="18"/>
          <w:color w:val="auto"/>
        </w:rPr>
        <w:t>Comcast Cablevision Communications, Inc.</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Arial" w:cs="Arial" w:eastAsia="Arial" w:hAnsi="Arial"/>
          <w:sz w:val="18"/>
          <w:szCs w:val="18"/>
          <w:color w:val="auto"/>
        </w:rPr>
        <w:t>MI</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color w:val="auto"/>
        </w:rPr>
        <w:t>DE</w:t>
      </w:r>
    </w:p>
    <w:p>
      <w:pPr>
        <w:spacing w:after="0" w:line="117" w:lineRule="exact"/>
        <w:rPr>
          <w:sz w:val="20"/>
          <w:szCs w:val="20"/>
          <w:color w:val="auto"/>
        </w:rPr>
      </w:pPr>
    </w:p>
    <w:p>
      <w:pPr>
        <w:spacing w:after="0"/>
        <w:rPr>
          <w:sz w:val="20"/>
          <w:szCs w:val="20"/>
          <w:color w:val="auto"/>
        </w:rPr>
      </w:pPr>
      <w:r>
        <w:rPr>
          <w:rFonts w:ascii="Arial" w:cs="Arial" w:eastAsia="Arial" w:hAnsi="Arial"/>
          <w:sz w:val="16"/>
          <w:szCs w:val="16"/>
          <w:color w:val="auto"/>
        </w:rPr>
        <w:t>CO</w:t>
      </w:r>
    </w:p>
    <w:p>
      <w:pPr>
        <w:spacing w:after="0" w:line="140" w:lineRule="exact"/>
        <w:rPr>
          <w:sz w:val="20"/>
          <w:szCs w:val="20"/>
          <w:color w:val="auto"/>
        </w:rPr>
      </w:pPr>
    </w:p>
    <w:p>
      <w:pPr>
        <w:spacing w:after="0"/>
        <w:rPr>
          <w:sz w:val="20"/>
          <w:szCs w:val="20"/>
          <w:color w:val="auto"/>
        </w:rPr>
      </w:pPr>
      <w:r>
        <w:rPr>
          <w:rFonts w:ascii="Arial" w:cs="Arial" w:eastAsia="Arial" w:hAnsi="Arial"/>
          <w:sz w:val="18"/>
          <w:szCs w:val="18"/>
          <w:color w:val="auto"/>
        </w:rPr>
        <w:t>DE</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color w:val="auto"/>
        </w:rPr>
        <w:t>DE</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color w:val="auto"/>
        </w:rPr>
        <w:t>DE</w:t>
      </w:r>
    </w:p>
    <w:p>
      <w:pPr>
        <w:spacing w:after="0" w:line="117" w:lineRule="exact"/>
        <w:rPr>
          <w:sz w:val="20"/>
          <w:szCs w:val="20"/>
          <w:color w:val="auto"/>
        </w:rPr>
      </w:pPr>
    </w:p>
    <w:p>
      <w:pPr>
        <w:spacing w:after="0"/>
        <w:rPr>
          <w:sz w:val="20"/>
          <w:szCs w:val="20"/>
          <w:color w:val="auto"/>
        </w:rPr>
      </w:pPr>
      <w:r>
        <w:rPr>
          <w:rFonts w:ascii="Arial" w:cs="Arial" w:eastAsia="Arial" w:hAnsi="Arial"/>
          <w:sz w:val="16"/>
          <w:szCs w:val="16"/>
          <w:color w:val="auto"/>
        </w:rPr>
        <w:t>CO</w:t>
      </w:r>
    </w:p>
    <w:p>
      <w:pPr>
        <w:spacing w:after="0" w:line="140" w:lineRule="exact"/>
        <w:rPr>
          <w:sz w:val="20"/>
          <w:szCs w:val="20"/>
          <w:color w:val="auto"/>
        </w:rPr>
      </w:pPr>
    </w:p>
    <w:p>
      <w:pPr>
        <w:spacing w:after="0"/>
        <w:rPr>
          <w:sz w:val="20"/>
          <w:szCs w:val="20"/>
          <w:color w:val="auto"/>
        </w:rPr>
      </w:pPr>
      <w:r>
        <w:rPr>
          <w:rFonts w:ascii="Arial" w:cs="Arial" w:eastAsia="Arial" w:hAnsi="Arial"/>
          <w:sz w:val="18"/>
          <w:szCs w:val="18"/>
          <w:color w:val="auto"/>
        </w:rPr>
        <w:t>IA</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color w:val="auto"/>
        </w:rPr>
        <w:t>DE</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color w:val="auto"/>
        </w:rPr>
        <w:t>DE</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color w:val="auto"/>
        </w:rPr>
        <w:t>IA</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color w:val="auto"/>
        </w:rPr>
        <w:t>DE</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color w:val="auto"/>
        </w:rPr>
        <w:t>DE</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color w:val="auto"/>
        </w:rPr>
        <w:t>DE</w:t>
      </w:r>
    </w:p>
    <w:p>
      <w:pPr>
        <w:spacing w:after="0" w:line="117" w:lineRule="exact"/>
        <w:rPr>
          <w:sz w:val="20"/>
          <w:szCs w:val="20"/>
          <w:color w:val="auto"/>
        </w:rPr>
      </w:pPr>
    </w:p>
    <w:p>
      <w:pPr>
        <w:spacing w:after="0"/>
        <w:rPr>
          <w:sz w:val="20"/>
          <w:szCs w:val="20"/>
          <w:color w:val="auto"/>
        </w:rPr>
      </w:pPr>
      <w:r>
        <w:rPr>
          <w:rFonts w:ascii="Arial" w:cs="Arial" w:eastAsia="Arial" w:hAnsi="Arial"/>
          <w:sz w:val="16"/>
          <w:szCs w:val="16"/>
          <w:color w:val="auto"/>
        </w:rPr>
        <w:t>CO</w:t>
      </w:r>
    </w:p>
    <w:p>
      <w:pPr>
        <w:spacing w:after="0" w:line="140" w:lineRule="exact"/>
        <w:rPr>
          <w:sz w:val="20"/>
          <w:szCs w:val="20"/>
          <w:color w:val="auto"/>
        </w:rPr>
      </w:pPr>
    </w:p>
    <w:p>
      <w:pPr>
        <w:spacing w:after="0"/>
        <w:rPr>
          <w:sz w:val="20"/>
          <w:szCs w:val="20"/>
          <w:color w:val="auto"/>
        </w:rPr>
      </w:pPr>
      <w:r>
        <w:rPr>
          <w:rFonts w:ascii="Arial" w:cs="Arial" w:eastAsia="Arial" w:hAnsi="Arial"/>
          <w:sz w:val="16"/>
          <w:szCs w:val="16"/>
          <w:color w:val="auto"/>
        </w:rPr>
        <w:t>CO</w:t>
      </w:r>
    </w:p>
    <w:p>
      <w:pPr>
        <w:spacing w:after="0" w:line="140" w:lineRule="exact"/>
        <w:rPr>
          <w:sz w:val="20"/>
          <w:szCs w:val="20"/>
          <w:color w:val="auto"/>
        </w:rPr>
      </w:pPr>
    </w:p>
    <w:p>
      <w:pPr>
        <w:spacing w:after="0"/>
        <w:rPr>
          <w:sz w:val="20"/>
          <w:szCs w:val="20"/>
          <w:color w:val="auto"/>
        </w:rPr>
      </w:pPr>
      <w:r>
        <w:rPr>
          <w:rFonts w:ascii="Arial" w:cs="Arial" w:eastAsia="Arial" w:hAnsi="Arial"/>
          <w:sz w:val="18"/>
          <w:szCs w:val="18"/>
          <w:color w:val="auto"/>
        </w:rPr>
        <w:t>DE</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color w:val="auto"/>
        </w:rPr>
        <w:t>DE</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color w:val="auto"/>
        </w:rPr>
        <w:t>IA</w:t>
      </w:r>
    </w:p>
    <w:p>
      <w:pPr>
        <w:spacing w:after="0" w:line="117" w:lineRule="exact"/>
        <w:rPr>
          <w:sz w:val="20"/>
          <w:szCs w:val="20"/>
          <w:color w:val="auto"/>
        </w:rPr>
      </w:pPr>
    </w:p>
    <w:p>
      <w:pPr>
        <w:spacing w:after="0"/>
        <w:rPr>
          <w:sz w:val="20"/>
          <w:szCs w:val="20"/>
          <w:color w:val="auto"/>
        </w:rPr>
      </w:pPr>
      <w:r>
        <w:rPr>
          <w:rFonts w:ascii="Arial" w:cs="Arial" w:eastAsia="Arial" w:hAnsi="Arial"/>
          <w:sz w:val="16"/>
          <w:szCs w:val="16"/>
          <w:color w:val="auto"/>
        </w:rPr>
        <w:t>GA</w:t>
      </w:r>
    </w:p>
    <w:p>
      <w:pPr>
        <w:spacing w:after="0" w:line="140" w:lineRule="exact"/>
        <w:rPr>
          <w:sz w:val="20"/>
          <w:szCs w:val="20"/>
          <w:color w:val="auto"/>
        </w:rPr>
      </w:pPr>
    </w:p>
    <w:p>
      <w:pPr>
        <w:spacing w:after="0"/>
        <w:rPr>
          <w:sz w:val="20"/>
          <w:szCs w:val="20"/>
          <w:color w:val="auto"/>
        </w:rPr>
      </w:pPr>
      <w:r>
        <w:rPr>
          <w:rFonts w:ascii="Arial" w:cs="Arial" w:eastAsia="Arial" w:hAnsi="Arial"/>
          <w:sz w:val="16"/>
          <w:szCs w:val="16"/>
          <w:color w:val="auto"/>
        </w:rPr>
        <w:t>CO</w:t>
      </w:r>
    </w:p>
    <w:p>
      <w:pPr>
        <w:spacing w:after="0" w:line="140" w:lineRule="exact"/>
        <w:rPr>
          <w:sz w:val="20"/>
          <w:szCs w:val="20"/>
          <w:color w:val="auto"/>
        </w:rPr>
      </w:pPr>
    </w:p>
    <w:p>
      <w:pPr>
        <w:spacing w:after="0"/>
        <w:rPr>
          <w:sz w:val="20"/>
          <w:szCs w:val="20"/>
          <w:color w:val="auto"/>
        </w:rPr>
      </w:pPr>
      <w:r>
        <w:rPr>
          <w:rFonts w:ascii="Arial" w:cs="Arial" w:eastAsia="Arial" w:hAnsi="Arial"/>
          <w:sz w:val="18"/>
          <w:szCs w:val="18"/>
          <w:color w:val="auto"/>
        </w:rPr>
        <w:t>DE</w:t>
      </w:r>
    </w:p>
    <w:p>
      <w:pPr>
        <w:spacing w:after="0" w:line="117" w:lineRule="exact"/>
        <w:rPr>
          <w:sz w:val="20"/>
          <w:szCs w:val="20"/>
          <w:color w:val="auto"/>
        </w:rPr>
      </w:pPr>
    </w:p>
    <w:p>
      <w:pPr>
        <w:spacing w:after="0"/>
        <w:rPr>
          <w:sz w:val="20"/>
          <w:szCs w:val="20"/>
          <w:color w:val="auto"/>
        </w:rPr>
      </w:pPr>
      <w:r>
        <w:rPr>
          <w:rFonts w:ascii="Arial" w:cs="Arial" w:eastAsia="Arial" w:hAnsi="Arial"/>
          <w:sz w:val="16"/>
          <w:szCs w:val="16"/>
          <w:color w:val="auto"/>
        </w:rPr>
        <w:t>OR</w:t>
      </w:r>
    </w:p>
    <w:p>
      <w:pPr>
        <w:spacing w:after="0" w:line="140" w:lineRule="exact"/>
        <w:rPr>
          <w:sz w:val="20"/>
          <w:szCs w:val="20"/>
          <w:color w:val="auto"/>
        </w:rPr>
      </w:pPr>
    </w:p>
    <w:p>
      <w:pPr>
        <w:spacing w:after="0"/>
        <w:rPr>
          <w:sz w:val="20"/>
          <w:szCs w:val="20"/>
          <w:color w:val="auto"/>
        </w:rPr>
      </w:pPr>
      <w:r>
        <w:rPr>
          <w:rFonts w:ascii="Arial" w:cs="Arial" w:eastAsia="Arial" w:hAnsi="Arial"/>
          <w:sz w:val="18"/>
          <w:szCs w:val="18"/>
          <w:color w:val="auto"/>
        </w:rPr>
        <w:t>DE</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color w:val="auto"/>
        </w:rPr>
        <w:t>DE</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color w:val="auto"/>
        </w:rPr>
        <w:t>DE</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color w:val="auto"/>
        </w:rPr>
        <w:t>DE</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color w:val="auto"/>
        </w:rPr>
        <w:t>DE</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color w:val="auto"/>
        </w:rPr>
        <w:t>DE</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color w:val="auto"/>
        </w:rPr>
        <w:t>DE</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color w:val="auto"/>
        </w:rPr>
        <w:t>DE</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color w:val="auto"/>
        </w:rPr>
        <w:t>DE</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color w:val="auto"/>
        </w:rPr>
        <w:t>VA</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color w:val="auto"/>
        </w:rPr>
        <w:t>PA</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color w:val="auto"/>
        </w:rPr>
        <w:t>DE</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color w:val="auto"/>
        </w:rPr>
        <w:t>DE</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color w:val="auto"/>
        </w:rPr>
        <w:t>DE</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color w:val="auto"/>
        </w:rPr>
        <w:t>DE</w:t>
      </w:r>
    </w:p>
    <w:p>
      <w:pPr>
        <w:spacing w:after="0" w:line="117" w:lineRule="exact"/>
        <w:rPr>
          <w:sz w:val="20"/>
          <w:szCs w:val="20"/>
          <w:color w:val="auto"/>
        </w:rPr>
      </w:pPr>
    </w:p>
    <w:p>
      <w:pPr>
        <w:ind w:left="40"/>
        <w:spacing w:after="0"/>
        <w:rPr>
          <w:sz w:val="20"/>
          <w:szCs w:val="20"/>
          <w:color w:val="auto"/>
        </w:rPr>
      </w:pPr>
      <w:r>
        <w:rPr>
          <w:rFonts w:ascii="Arial" w:cs="Arial" w:eastAsia="Arial" w:hAnsi="Arial"/>
          <w:sz w:val="15"/>
          <w:szCs w:val="15"/>
          <w:color w:val="auto"/>
        </w:rPr>
        <w:t>DE</w:t>
      </w:r>
    </w:p>
    <w:p>
      <w:pPr>
        <w:spacing w:after="0" w:line="152" w:lineRule="exact"/>
        <w:rPr>
          <w:sz w:val="20"/>
          <w:szCs w:val="20"/>
          <w:color w:val="auto"/>
        </w:rPr>
      </w:pPr>
    </w:p>
    <w:p>
      <w:pPr>
        <w:ind w:left="40"/>
        <w:spacing w:after="0"/>
        <w:rPr>
          <w:sz w:val="20"/>
          <w:szCs w:val="20"/>
          <w:color w:val="auto"/>
        </w:rPr>
      </w:pPr>
      <w:r>
        <w:rPr>
          <w:rFonts w:ascii="Arial" w:cs="Arial" w:eastAsia="Arial" w:hAnsi="Arial"/>
          <w:sz w:val="15"/>
          <w:szCs w:val="15"/>
          <w:color w:val="auto"/>
        </w:rPr>
        <w:t>DE</w:t>
      </w:r>
    </w:p>
    <w:p>
      <w:pPr>
        <w:spacing w:after="0" w:line="152" w:lineRule="exact"/>
        <w:rPr>
          <w:sz w:val="20"/>
          <w:szCs w:val="20"/>
          <w:color w:val="auto"/>
        </w:rPr>
      </w:pPr>
    </w:p>
    <w:p>
      <w:pPr>
        <w:ind w:left="40"/>
        <w:spacing w:after="0"/>
        <w:rPr>
          <w:sz w:val="20"/>
          <w:szCs w:val="20"/>
          <w:color w:val="auto"/>
        </w:rPr>
      </w:pPr>
      <w:r>
        <w:rPr>
          <w:rFonts w:ascii="Arial" w:cs="Arial" w:eastAsia="Arial" w:hAnsi="Arial"/>
          <w:sz w:val="15"/>
          <w:szCs w:val="15"/>
          <w:color w:val="auto"/>
        </w:rPr>
        <w:t>DE</w:t>
      </w:r>
    </w:p>
    <w:p>
      <w:pPr>
        <w:spacing w:after="0" w:line="152" w:lineRule="exact"/>
        <w:rPr>
          <w:sz w:val="20"/>
          <w:szCs w:val="20"/>
          <w:color w:val="auto"/>
        </w:rPr>
      </w:pPr>
    </w:p>
    <w:p>
      <w:pPr>
        <w:ind w:left="40"/>
        <w:spacing w:after="0"/>
        <w:rPr>
          <w:sz w:val="20"/>
          <w:szCs w:val="20"/>
          <w:color w:val="auto"/>
        </w:rPr>
      </w:pPr>
      <w:r>
        <w:rPr>
          <w:rFonts w:ascii="Arial" w:cs="Arial" w:eastAsia="Arial" w:hAnsi="Arial"/>
          <w:sz w:val="15"/>
          <w:szCs w:val="15"/>
          <w:color w:val="auto"/>
        </w:rPr>
        <w:t>DE</w:t>
      </w:r>
    </w:p>
    <w:p>
      <w:pPr>
        <w:spacing w:after="0" w:line="152" w:lineRule="exact"/>
        <w:rPr>
          <w:sz w:val="20"/>
          <w:szCs w:val="20"/>
          <w:color w:val="auto"/>
        </w:rPr>
      </w:pPr>
    </w:p>
    <w:p>
      <w:pPr>
        <w:ind w:left="40"/>
        <w:spacing w:after="0"/>
        <w:rPr>
          <w:sz w:val="20"/>
          <w:szCs w:val="20"/>
          <w:color w:val="auto"/>
        </w:rPr>
      </w:pPr>
      <w:r>
        <w:rPr>
          <w:rFonts w:ascii="Arial" w:cs="Arial" w:eastAsia="Arial" w:hAnsi="Arial"/>
          <w:sz w:val="15"/>
          <w:szCs w:val="15"/>
          <w:color w:val="auto"/>
        </w:rPr>
        <w:t>DE</w:t>
      </w:r>
    </w:p>
    <w:p>
      <w:pPr>
        <w:spacing w:after="0" w:line="152" w:lineRule="exact"/>
        <w:rPr>
          <w:sz w:val="20"/>
          <w:szCs w:val="20"/>
          <w:color w:val="auto"/>
        </w:rPr>
      </w:pPr>
    </w:p>
    <w:p>
      <w:pPr>
        <w:ind w:left="40"/>
        <w:spacing w:after="0"/>
        <w:rPr>
          <w:sz w:val="20"/>
          <w:szCs w:val="20"/>
          <w:color w:val="auto"/>
        </w:rPr>
      </w:pPr>
      <w:r>
        <w:rPr>
          <w:rFonts w:ascii="Arial" w:cs="Arial" w:eastAsia="Arial" w:hAnsi="Arial"/>
          <w:sz w:val="16"/>
          <w:szCs w:val="16"/>
          <w:color w:val="auto"/>
        </w:rPr>
        <w:t>TX</w:t>
      </w:r>
    </w:p>
    <w:p>
      <w:pPr>
        <w:spacing w:after="0" w:line="140" w:lineRule="exact"/>
        <w:rPr>
          <w:sz w:val="20"/>
          <w:szCs w:val="20"/>
          <w:color w:val="auto"/>
        </w:rPr>
      </w:pPr>
    </w:p>
    <w:p>
      <w:pPr>
        <w:ind w:left="40"/>
        <w:spacing w:after="0"/>
        <w:rPr>
          <w:sz w:val="20"/>
          <w:szCs w:val="20"/>
          <w:color w:val="auto"/>
        </w:rPr>
      </w:pPr>
      <w:r>
        <w:rPr>
          <w:rFonts w:ascii="Arial" w:cs="Arial" w:eastAsia="Arial" w:hAnsi="Arial"/>
          <w:sz w:val="15"/>
          <w:szCs w:val="15"/>
          <w:color w:val="auto"/>
        </w:rPr>
        <w:t>DE</w:t>
      </w:r>
    </w:p>
    <w:p>
      <w:pPr>
        <w:spacing w:after="0" w:line="152" w:lineRule="exact"/>
        <w:rPr>
          <w:sz w:val="20"/>
          <w:szCs w:val="20"/>
          <w:color w:val="auto"/>
        </w:rPr>
      </w:pPr>
    </w:p>
    <w:p>
      <w:pPr>
        <w:ind w:left="40"/>
        <w:spacing w:after="0"/>
        <w:rPr>
          <w:sz w:val="20"/>
          <w:szCs w:val="20"/>
          <w:color w:val="auto"/>
        </w:rPr>
      </w:pPr>
      <w:r>
        <w:rPr>
          <w:rFonts w:ascii="Arial" w:cs="Arial" w:eastAsia="Arial" w:hAnsi="Arial"/>
          <w:sz w:val="15"/>
          <w:szCs w:val="15"/>
          <w:color w:val="auto"/>
        </w:rPr>
        <w:t>DE</w:t>
      </w:r>
    </w:p>
    <w:p>
      <w:pPr>
        <w:spacing w:after="0" w:line="152" w:lineRule="exact"/>
        <w:rPr>
          <w:sz w:val="20"/>
          <w:szCs w:val="20"/>
          <w:color w:val="auto"/>
        </w:rPr>
      </w:pPr>
    </w:p>
    <w:p>
      <w:pPr>
        <w:ind w:left="40"/>
        <w:spacing w:after="0"/>
        <w:rPr>
          <w:sz w:val="20"/>
          <w:szCs w:val="20"/>
          <w:color w:val="auto"/>
        </w:rPr>
      </w:pPr>
      <w:r>
        <w:rPr>
          <w:rFonts w:ascii="Arial" w:cs="Arial" w:eastAsia="Arial" w:hAnsi="Arial"/>
          <w:sz w:val="15"/>
          <w:szCs w:val="15"/>
          <w:color w:val="auto"/>
        </w:rPr>
        <w:t>DE</w:t>
      </w:r>
    </w:p>
    <w:p>
      <w:pPr>
        <w:spacing w:after="0" w:line="152" w:lineRule="exact"/>
        <w:rPr>
          <w:sz w:val="20"/>
          <w:szCs w:val="20"/>
          <w:color w:val="auto"/>
        </w:rPr>
      </w:pPr>
    </w:p>
    <w:p>
      <w:pPr>
        <w:ind w:left="40"/>
        <w:spacing w:after="0"/>
        <w:rPr>
          <w:sz w:val="20"/>
          <w:szCs w:val="20"/>
          <w:color w:val="auto"/>
        </w:rPr>
      </w:pPr>
      <w:r>
        <w:rPr>
          <w:rFonts w:ascii="Arial" w:cs="Arial" w:eastAsia="Arial" w:hAnsi="Arial"/>
          <w:sz w:val="15"/>
          <w:szCs w:val="15"/>
          <w:color w:val="auto"/>
        </w:rPr>
        <w:t>DE</w:t>
      </w:r>
    </w:p>
    <w:p>
      <w:pPr>
        <w:spacing w:after="0" w:line="152" w:lineRule="exact"/>
        <w:rPr>
          <w:sz w:val="20"/>
          <w:szCs w:val="20"/>
          <w:color w:val="auto"/>
        </w:rPr>
      </w:pPr>
    </w:p>
    <w:p>
      <w:pPr>
        <w:ind w:left="40"/>
        <w:spacing w:after="0"/>
        <w:rPr>
          <w:sz w:val="20"/>
          <w:szCs w:val="20"/>
          <w:color w:val="auto"/>
        </w:rPr>
      </w:pPr>
      <w:r>
        <w:rPr>
          <w:rFonts w:ascii="Arial" w:cs="Arial" w:eastAsia="Arial" w:hAnsi="Arial"/>
          <w:sz w:val="15"/>
          <w:szCs w:val="15"/>
          <w:color w:val="auto"/>
        </w:rPr>
        <w:t>DE</w:t>
      </w:r>
    </w:p>
    <w:p>
      <w:pPr>
        <w:spacing w:after="0" w:line="152" w:lineRule="exact"/>
        <w:rPr>
          <w:sz w:val="20"/>
          <w:szCs w:val="20"/>
          <w:color w:val="auto"/>
        </w:rPr>
      </w:pPr>
    </w:p>
    <w:p>
      <w:pPr>
        <w:ind w:left="40"/>
        <w:spacing w:after="0"/>
        <w:rPr>
          <w:sz w:val="20"/>
          <w:szCs w:val="20"/>
          <w:color w:val="auto"/>
        </w:rPr>
      </w:pPr>
      <w:r>
        <w:rPr>
          <w:rFonts w:ascii="Arial" w:cs="Arial" w:eastAsia="Arial" w:hAnsi="Arial"/>
          <w:sz w:val="15"/>
          <w:szCs w:val="15"/>
          <w:color w:val="auto"/>
        </w:rPr>
        <w:t>DE</w:t>
      </w:r>
    </w:p>
    <w:p>
      <w:pPr>
        <w:sectPr>
          <w:pgSz w:w="11900" w:h="16838" w:orient="portrait"/>
          <w:cols w:equalWidth="0" w:num="2">
            <w:col w:w="7520" w:space="720"/>
            <w:col w:w="779"/>
          </w:cols>
          <w:pgMar w:left="1440" w:top="388" w:right="1440" w:bottom="0" w:gutter="0" w:footer="0" w:header="0"/>
        </w:sectPr>
      </w:pPr>
    </w:p>
    <w:bookmarkStart w:id="162" w:name="page163"/>
    <w:bookmarkEnd w:id="162"/>
    <w:p>
      <w:pPr>
        <w:ind w:left="520"/>
        <w:spacing w:after="0"/>
        <w:rPr>
          <w:sz w:val="20"/>
          <w:szCs w:val="20"/>
          <w:color w:val="auto"/>
        </w:rPr>
      </w:pPr>
      <w:r>
        <w:rPr>
          <w:rFonts w:ascii="Arial" w:cs="Arial" w:eastAsia="Arial" w:hAnsi="Arial"/>
          <w:sz w:val="16"/>
          <w:szCs w:val="16"/>
          <w:color w:val="auto"/>
        </w:rPr>
        <w:t>Comcast Cablevision of Baltimore City GP, Inc.</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Arial" w:cs="Arial" w:eastAsia="Arial" w:hAnsi="Arial"/>
          <w:sz w:val="15"/>
          <w:szCs w:val="15"/>
          <w:color w:val="auto"/>
        </w:rPr>
        <w:t>DE</w:t>
      </w:r>
    </w:p>
    <w:p>
      <w:pPr>
        <w:spacing w:after="0" w:line="151" w:lineRule="exact"/>
        <w:rPr>
          <w:sz w:val="20"/>
          <w:szCs w:val="20"/>
          <w:color w:val="auto"/>
        </w:rPr>
      </w:pPr>
    </w:p>
    <w:p>
      <w:pPr>
        <w:sectPr>
          <w:pgSz w:w="11900" w:h="16838" w:orient="portrait"/>
          <w:cols w:equalWidth="0" w:num="2">
            <w:col w:w="7560" w:space="720"/>
            <w:col w:w="739"/>
          </w:cols>
          <w:pgMar w:left="1440" w:top="131" w:right="1440" w:bottom="1440" w:gutter="0" w:footer="0" w:header="0"/>
        </w:sectPr>
      </w:pPr>
    </w:p>
    <w:p>
      <w:pPr>
        <w:ind w:left="520"/>
        <w:spacing w:after="0"/>
        <w:rPr>
          <w:sz w:val="20"/>
          <w:szCs w:val="20"/>
          <w:color w:val="auto"/>
        </w:rPr>
      </w:pPr>
      <w:r>
        <w:rPr>
          <w:rFonts w:ascii="Arial" w:cs="Arial" w:eastAsia="Arial" w:hAnsi="Arial"/>
          <w:sz w:val="15"/>
          <w:szCs w:val="15"/>
          <w:color w:val="auto"/>
        </w:rPr>
        <w:t>Comcast Cablevision of Garden State, Inc.</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Arial" w:cs="Arial" w:eastAsia="Arial" w:hAnsi="Arial"/>
          <w:sz w:val="15"/>
          <w:szCs w:val="15"/>
          <w:color w:val="auto"/>
        </w:rPr>
        <w:t>DE</w:t>
      </w:r>
    </w:p>
    <w:p>
      <w:pPr>
        <w:sectPr>
          <w:pgSz w:w="11900" w:h="16838" w:orient="portrait"/>
          <w:cols w:equalWidth="0" w:num="2">
            <w:col w:w="7560" w:space="720"/>
            <w:col w:w="739"/>
          </w:cols>
          <w:pgMar w:left="1440" w:top="131" w:right="1440" w:bottom="1440" w:gutter="0" w:footer="0" w:header="0"/>
          <w:type w:val="continuous"/>
        </w:sectPr>
      </w:pPr>
    </w:p>
    <w:bookmarkStart w:id="163" w:name="page164"/>
    <w:bookmarkEnd w:id="163"/>
    <w:p>
      <w:pPr>
        <w:ind w:left="520"/>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237" name="Picture 2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7"/>
                    <pic:cNvPicPr>
                      <a:picLocks noChangeAspect="1" noChangeArrowheads="1"/>
                    </pic:cNvPicPr>
                  </pic:nvPicPr>
                  <pic:blipFill>
                    <a:blip r:embed="rId244">
                      <a:extLst>
                        <a:ext uri="{28A0092B-C50C-407E-A947-70E740481C1C}"/>
                      </a:extLst>
                    </a:blip>
                    <a:srcRect/>
                    <a:stretch>
                      <a:fillRect/>
                    </a:stretch>
                  </pic:blipFill>
                  <pic:spPr bwMode="auto">
                    <a:xfrm>
                      <a:off x="0" y="0"/>
                      <a:ext cx="7267575" cy="27940"/>
                    </a:xfrm>
                    <a:prstGeom prst="rect">
                      <a:avLst/>
                    </a:prstGeom>
                    <a:noFill/>
                  </pic:spPr>
                </pic:pic>
              </a:graphicData>
            </a:graphic>
          </wp:anchor>
        </w:drawing>
        <w:t>Comcast Cablevision of Philadelphia Area I, LLC</w:t>
      </w:r>
    </w:p>
    <w:p>
      <w:pPr>
        <w:spacing w:after="0" w:line="117" w:lineRule="exact"/>
        <w:rPr>
          <w:sz w:val="20"/>
          <w:szCs w:val="20"/>
          <w:color w:val="auto"/>
        </w:rPr>
      </w:pPr>
    </w:p>
    <w:p>
      <w:pPr>
        <w:ind w:left="520"/>
        <w:spacing w:after="0"/>
        <w:rPr>
          <w:sz w:val="20"/>
          <w:szCs w:val="20"/>
          <w:color w:val="auto"/>
        </w:rPr>
      </w:pPr>
      <w:r>
        <w:rPr>
          <w:rFonts w:ascii="Arial" w:cs="Arial" w:eastAsia="Arial" w:hAnsi="Arial"/>
          <w:sz w:val="18"/>
          <w:szCs w:val="18"/>
          <w:color w:val="auto"/>
        </w:rPr>
        <w:t>Comcast Cablevision of Southeast Michigan, Inc.</w:t>
      </w:r>
    </w:p>
    <w:p>
      <w:pPr>
        <w:spacing w:after="0" w:line="117" w:lineRule="exact"/>
        <w:rPr>
          <w:sz w:val="20"/>
          <w:szCs w:val="20"/>
          <w:color w:val="auto"/>
        </w:rPr>
      </w:pPr>
    </w:p>
    <w:p>
      <w:pPr>
        <w:ind w:left="520"/>
        <w:spacing w:after="0"/>
        <w:rPr>
          <w:sz w:val="20"/>
          <w:szCs w:val="20"/>
          <w:color w:val="auto"/>
        </w:rPr>
      </w:pPr>
      <w:r>
        <w:rPr>
          <w:rFonts w:ascii="Arial" w:cs="Arial" w:eastAsia="Arial" w:hAnsi="Arial"/>
          <w:sz w:val="18"/>
          <w:szCs w:val="18"/>
          <w:color w:val="auto"/>
        </w:rPr>
        <w:t>Comcast Capital Corporation</w:t>
      </w:r>
    </w:p>
    <w:p>
      <w:pPr>
        <w:spacing w:after="0" w:line="117" w:lineRule="exact"/>
        <w:rPr>
          <w:sz w:val="20"/>
          <w:szCs w:val="20"/>
          <w:color w:val="auto"/>
        </w:rPr>
      </w:pPr>
    </w:p>
    <w:p>
      <w:pPr>
        <w:ind w:left="520"/>
        <w:spacing w:after="0"/>
        <w:rPr>
          <w:sz w:val="20"/>
          <w:szCs w:val="20"/>
          <w:color w:val="auto"/>
        </w:rPr>
      </w:pPr>
      <w:r>
        <w:rPr>
          <w:rFonts w:ascii="Arial" w:cs="Arial" w:eastAsia="Arial" w:hAnsi="Arial"/>
          <w:sz w:val="18"/>
          <w:szCs w:val="18"/>
          <w:color w:val="auto"/>
        </w:rPr>
        <w:t>Comcast CCH Subsidiary Holdings, Inc.</w:t>
      </w:r>
    </w:p>
    <w:p>
      <w:pPr>
        <w:spacing w:after="0" w:line="117" w:lineRule="exact"/>
        <w:rPr>
          <w:sz w:val="20"/>
          <w:szCs w:val="20"/>
          <w:color w:val="auto"/>
        </w:rPr>
      </w:pPr>
    </w:p>
    <w:p>
      <w:pPr>
        <w:ind w:left="520"/>
        <w:spacing w:after="0"/>
        <w:rPr>
          <w:sz w:val="20"/>
          <w:szCs w:val="20"/>
          <w:color w:val="auto"/>
        </w:rPr>
      </w:pPr>
      <w:r>
        <w:rPr>
          <w:rFonts w:ascii="Arial" w:cs="Arial" w:eastAsia="Arial" w:hAnsi="Arial"/>
          <w:sz w:val="18"/>
          <w:szCs w:val="18"/>
          <w:color w:val="auto"/>
        </w:rPr>
        <w:t>Comcast Cellular Holding Company, Inc.</w:t>
      </w:r>
    </w:p>
    <w:p>
      <w:pPr>
        <w:spacing w:after="0" w:line="117" w:lineRule="exact"/>
        <w:rPr>
          <w:sz w:val="20"/>
          <w:szCs w:val="20"/>
          <w:color w:val="auto"/>
        </w:rPr>
      </w:pPr>
    </w:p>
    <w:p>
      <w:pPr>
        <w:ind w:left="520"/>
        <w:spacing w:after="0"/>
        <w:rPr>
          <w:sz w:val="20"/>
          <w:szCs w:val="20"/>
          <w:color w:val="auto"/>
        </w:rPr>
      </w:pPr>
      <w:r>
        <w:rPr>
          <w:rFonts w:ascii="Arial" w:cs="Arial" w:eastAsia="Arial" w:hAnsi="Arial"/>
          <w:sz w:val="18"/>
          <w:szCs w:val="18"/>
          <w:color w:val="auto"/>
        </w:rPr>
        <w:t>Comcast Cellular Holdings Corporation</w:t>
      </w:r>
    </w:p>
    <w:p>
      <w:pPr>
        <w:spacing w:after="0" w:line="117" w:lineRule="exact"/>
        <w:rPr>
          <w:sz w:val="20"/>
          <w:szCs w:val="20"/>
          <w:color w:val="auto"/>
        </w:rPr>
      </w:pPr>
    </w:p>
    <w:p>
      <w:pPr>
        <w:ind w:left="520"/>
        <w:spacing w:after="0"/>
        <w:rPr>
          <w:sz w:val="20"/>
          <w:szCs w:val="20"/>
          <w:color w:val="auto"/>
        </w:rPr>
      </w:pPr>
      <w:r>
        <w:rPr>
          <w:rFonts w:ascii="Arial" w:cs="Arial" w:eastAsia="Arial" w:hAnsi="Arial"/>
          <w:sz w:val="18"/>
          <w:szCs w:val="18"/>
          <w:color w:val="auto"/>
        </w:rPr>
        <w:t>Comcast CHC Subsidiary Holdings, Inc.</w:t>
      </w:r>
    </w:p>
    <w:p>
      <w:pPr>
        <w:spacing w:after="0" w:line="117" w:lineRule="exact"/>
        <w:rPr>
          <w:sz w:val="20"/>
          <w:szCs w:val="20"/>
          <w:color w:val="auto"/>
        </w:rPr>
      </w:pPr>
    </w:p>
    <w:p>
      <w:pPr>
        <w:ind w:left="520"/>
        <w:spacing w:after="0"/>
        <w:rPr>
          <w:sz w:val="20"/>
          <w:szCs w:val="20"/>
          <w:color w:val="auto"/>
        </w:rPr>
      </w:pPr>
      <w:r>
        <w:rPr>
          <w:rFonts w:ascii="Arial" w:cs="Arial" w:eastAsia="Arial" w:hAnsi="Arial"/>
          <w:sz w:val="18"/>
          <w:szCs w:val="18"/>
          <w:color w:val="auto"/>
        </w:rPr>
        <w:t>Comcast Children’s Network Holdings, LLC</w:t>
      </w:r>
    </w:p>
    <w:p>
      <w:pPr>
        <w:spacing w:after="0" w:line="117" w:lineRule="exact"/>
        <w:rPr>
          <w:sz w:val="20"/>
          <w:szCs w:val="20"/>
          <w:color w:val="auto"/>
        </w:rPr>
      </w:pPr>
    </w:p>
    <w:p>
      <w:pPr>
        <w:ind w:left="520"/>
        <w:spacing w:after="0"/>
        <w:rPr>
          <w:sz w:val="20"/>
          <w:szCs w:val="20"/>
          <w:color w:val="auto"/>
        </w:rPr>
      </w:pPr>
      <w:r>
        <w:rPr>
          <w:rFonts w:ascii="Arial" w:cs="Arial" w:eastAsia="Arial" w:hAnsi="Arial"/>
          <w:sz w:val="18"/>
          <w:szCs w:val="18"/>
          <w:color w:val="auto"/>
        </w:rPr>
        <w:t>Comcast CICG GP, LLC</w:t>
      </w:r>
    </w:p>
    <w:p>
      <w:pPr>
        <w:spacing w:after="0" w:line="117" w:lineRule="exact"/>
        <w:rPr>
          <w:sz w:val="20"/>
          <w:szCs w:val="20"/>
          <w:color w:val="auto"/>
        </w:rPr>
      </w:pPr>
    </w:p>
    <w:p>
      <w:pPr>
        <w:ind w:left="520"/>
        <w:spacing w:after="0"/>
        <w:rPr>
          <w:sz w:val="20"/>
          <w:szCs w:val="20"/>
          <w:color w:val="auto"/>
        </w:rPr>
      </w:pPr>
      <w:r>
        <w:rPr>
          <w:rFonts w:ascii="Arial" w:cs="Arial" w:eastAsia="Arial" w:hAnsi="Arial"/>
          <w:sz w:val="18"/>
          <w:szCs w:val="18"/>
          <w:color w:val="auto"/>
        </w:rPr>
        <w:t>Comcast CICG, L.P.</w:t>
      </w:r>
    </w:p>
    <w:p>
      <w:pPr>
        <w:spacing w:after="0" w:line="117" w:lineRule="exact"/>
        <w:rPr>
          <w:sz w:val="20"/>
          <w:szCs w:val="20"/>
          <w:color w:val="auto"/>
        </w:rPr>
      </w:pPr>
    </w:p>
    <w:p>
      <w:pPr>
        <w:ind w:left="520"/>
        <w:spacing w:after="0"/>
        <w:rPr>
          <w:sz w:val="20"/>
          <w:szCs w:val="20"/>
          <w:color w:val="auto"/>
        </w:rPr>
      </w:pPr>
      <w:r>
        <w:rPr>
          <w:rFonts w:ascii="Arial" w:cs="Arial" w:eastAsia="Arial" w:hAnsi="Arial"/>
          <w:sz w:val="18"/>
          <w:szCs w:val="18"/>
          <w:color w:val="auto"/>
        </w:rPr>
        <w:t>Comcast CIM STS Holdings, Inc.</w:t>
      </w:r>
    </w:p>
    <w:p>
      <w:pPr>
        <w:spacing w:after="0" w:line="117" w:lineRule="exact"/>
        <w:rPr>
          <w:sz w:val="20"/>
          <w:szCs w:val="20"/>
          <w:color w:val="auto"/>
        </w:rPr>
      </w:pPr>
    </w:p>
    <w:p>
      <w:pPr>
        <w:ind w:left="520"/>
        <w:spacing w:after="0"/>
        <w:rPr>
          <w:sz w:val="20"/>
          <w:szCs w:val="20"/>
          <w:color w:val="auto"/>
        </w:rPr>
      </w:pPr>
      <w:r>
        <w:rPr>
          <w:rFonts w:ascii="Arial" w:cs="Arial" w:eastAsia="Arial" w:hAnsi="Arial"/>
          <w:sz w:val="18"/>
          <w:szCs w:val="18"/>
          <w:color w:val="auto"/>
        </w:rPr>
        <w:t>Comcast COLI Holdings, LLC</w:t>
      </w:r>
    </w:p>
    <w:p>
      <w:pPr>
        <w:spacing w:after="0" w:line="117" w:lineRule="exact"/>
        <w:rPr>
          <w:sz w:val="20"/>
          <w:szCs w:val="20"/>
          <w:color w:val="auto"/>
        </w:rPr>
      </w:pPr>
    </w:p>
    <w:p>
      <w:pPr>
        <w:ind w:left="520"/>
        <w:spacing w:after="0"/>
        <w:rPr>
          <w:sz w:val="20"/>
          <w:szCs w:val="20"/>
          <w:color w:val="auto"/>
        </w:rPr>
      </w:pPr>
      <w:r>
        <w:rPr>
          <w:rFonts w:ascii="Arial" w:cs="Arial" w:eastAsia="Arial" w:hAnsi="Arial"/>
          <w:sz w:val="18"/>
          <w:szCs w:val="18"/>
          <w:color w:val="auto"/>
        </w:rPr>
        <w:t>Comcast Commercial Services Financing, LLC</w:t>
      </w:r>
    </w:p>
    <w:p>
      <w:pPr>
        <w:spacing w:after="0" w:line="117" w:lineRule="exact"/>
        <w:rPr>
          <w:sz w:val="20"/>
          <w:szCs w:val="20"/>
          <w:color w:val="auto"/>
        </w:rPr>
      </w:pPr>
    </w:p>
    <w:p>
      <w:pPr>
        <w:ind w:left="520"/>
        <w:spacing w:after="0"/>
        <w:rPr>
          <w:sz w:val="20"/>
          <w:szCs w:val="20"/>
          <w:color w:val="auto"/>
        </w:rPr>
      </w:pPr>
      <w:r>
        <w:rPr>
          <w:rFonts w:ascii="Arial" w:cs="Arial" w:eastAsia="Arial" w:hAnsi="Arial"/>
          <w:sz w:val="18"/>
          <w:szCs w:val="18"/>
          <w:color w:val="auto"/>
        </w:rPr>
        <w:t>Comcast Commercial Services Group Holdings, LLC</w:t>
      </w:r>
    </w:p>
    <w:p>
      <w:pPr>
        <w:spacing w:after="0" w:line="117" w:lineRule="exact"/>
        <w:rPr>
          <w:sz w:val="20"/>
          <w:szCs w:val="20"/>
          <w:color w:val="auto"/>
        </w:rPr>
      </w:pPr>
    </w:p>
    <w:p>
      <w:pPr>
        <w:ind w:left="520"/>
        <w:spacing w:after="0"/>
        <w:rPr>
          <w:sz w:val="20"/>
          <w:szCs w:val="20"/>
          <w:color w:val="auto"/>
        </w:rPr>
      </w:pPr>
      <w:r>
        <w:rPr>
          <w:rFonts w:ascii="Arial" w:cs="Arial" w:eastAsia="Arial" w:hAnsi="Arial"/>
          <w:sz w:val="18"/>
          <w:szCs w:val="18"/>
          <w:color w:val="auto"/>
        </w:rPr>
        <w:t>Comcast Commercial Services, LLC</w:t>
      </w:r>
    </w:p>
    <w:p>
      <w:pPr>
        <w:spacing w:after="0" w:line="117" w:lineRule="exact"/>
        <w:rPr>
          <w:sz w:val="20"/>
          <w:szCs w:val="20"/>
          <w:color w:val="auto"/>
        </w:rPr>
      </w:pPr>
    </w:p>
    <w:p>
      <w:pPr>
        <w:ind w:left="520"/>
        <w:spacing w:after="0"/>
        <w:rPr>
          <w:sz w:val="20"/>
          <w:szCs w:val="20"/>
          <w:color w:val="auto"/>
        </w:rPr>
      </w:pPr>
      <w:r>
        <w:rPr>
          <w:rFonts w:ascii="Arial" w:cs="Arial" w:eastAsia="Arial" w:hAnsi="Arial"/>
          <w:sz w:val="18"/>
          <w:szCs w:val="18"/>
          <w:color w:val="auto"/>
        </w:rPr>
        <w:t>Comcast Concurrent Holdings, Inc.</w:t>
      </w:r>
    </w:p>
    <w:p>
      <w:pPr>
        <w:spacing w:after="0" w:line="117" w:lineRule="exact"/>
        <w:rPr>
          <w:sz w:val="20"/>
          <w:szCs w:val="20"/>
          <w:color w:val="auto"/>
        </w:rPr>
      </w:pPr>
    </w:p>
    <w:p>
      <w:pPr>
        <w:ind w:left="520"/>
        <w:spacing w:after="0"/>
        <w:rPr>
          <w:sz w:val="20"/>
          <w:szCs w:val="20"/>
          <w:color w:val="auto"/>
        </w:rPr>
      </w:pPr>
      <w:r>
        <w:rPr>
          <w:rFonts w:ascii="Arial" w:cs="Arial" w:eastAsia="Arial" w:hAnsi="Arial"/>
          <w:sz w:val="18"/>
          <w:szCs w:val="18"/>
          <w:color w:val="auto"/>
        </w:rPr>
        <w:t>Comcast Corporate Investments II, Inc.</w:t>
      </w:r>
    </w:p>
    <w:p>
      <w:pPr>
        <w:spacing w:after="0" w:line="117" w:lineRule="exact"/>
        <w:rPr>
          <w:sz w:val="20"/>
          <w:szCs w:val="20"/>
          <w:color w:val="auto"/>
        </w:rPr>
      </w:pPr>
    </w:p>
    <w:p>
      <w:pPr>
        <w:ind w:left="520"/>
        <w:spacing w:after="0"/>
        <w:rPr>
          <w:sz w:val="20"/>
          <w:szCs w:val="20"/>
          <w:color w:val="auto"/>
        </w:rPr>
      </w:pPr>
      <w:r>
        <w:rPr>
          <w:rFonts w:ascii="Arial" w:cs="Arial" w:eastAsia="Arial" w:hAnsi="Arial"/>
          <w:sz w:val="18"/>
          <w:szCs w:val="18"/>
          <w:color w:val="auto"/>
        </w:rPr>
        <w:t>Comcast Corporate Investments, Inc.</w:t>
      </w:r>
    </w:p>
    <w:p>
      <w:pPr>
        <w:spacing w:after="0" w:line="117" w:lineRule="exact"/>
        <w:rPr>
          <w:sz w:val="20"/>
          <w:szCs w:val="20"/>
          <w:color w:val="auto"/>
        </w:rPr>
      </w:pPr>
    </w:p>
    <w:p>
      <w:pPr>
        <w:ind w:left="520"/>
        <w:spacing w:after="0"/>
        <w:rPr>
          <w:sz w:val="20"/>
          <w:szCs w:val="20"/>
          <w:color w:val="auto"/>
        </w:rPr>
      </w:pPr>
      <w:r>
        <w:rPr>
          <w:rFonts w:ascii="Arial" w:cs="Arial" w:eastAsia="Arial" w:hAnsi="Arial"/>
          <w:sz w:val="18"/>
          <w:szCs w:val="18"/>
          <w:color w:val="auto"/>
        </w:rPr>
        <w:t>Comcast Corporation Political Action Committee</w:t>
      </w:r>
    </w:p>
    <w:p>
      <w:pPr>
        <w:spacing w:after="0" w:line="117" w:lineRule="exact"/>
        <w:rPr>
          <w:sz w:val="20"/>
          <w:szCs w:val="20"/>
          <w:color w:val="auto"/>
        </w:rPr>
      </w:pPr>
    </w:p>
    <w:p>
      <w:pPr>
        <w:ind w:left="520"/>
        <w:spacing w:after="0"/>
        <w:rPr>
          <w:sz w:val="20"/>
          <w:szCs w:val="20"/>
          <w:color w:val="auto"/>
        </w:rPr>
      </w:pPr>
      <w:r>
        <w:rPr>
          <w:rFonts w:ascii="Arial" w:cs="Arial" w:eastAsia="Arial" w:hAnsi="Arial"/>
          <w:sz w:val="16"/>
          <w:szCs w:val="16"/>
          <w:color w:val="auto"/>
        </w:rPr>
        <w:t>Comcast Corporation Political Action Committee of Maryland</w:t>
      </w:r>
    </w:p>
    <w:p>
      <w:pPr>
        <w:spacing w:after="0" w:line="140" w:lineRule="exact"/>
        <w:rPr>
          <w:sz w:val="20"/>
          <w:szCs w:val="20"/>
          <w:color w:val="auto"/>
        </w:rPr>
      </w:pPr>
    </w:p>
    <w:p>
      <w:pPr>
        <w:ind w:left="520"/>
        <w:spacing w:after="0"/>
        <w:rPr>
          <w:sz w:val="20"/>
          <w:szCs w:val="20"/>
          <w:color w:val="auto"/>
        </w:rPr>
      </w:pPr>
      <w:r>
        <w:rPr>
          <w:rFonts w:ascii="Arial" w:cs="Arial" w:eastAsia="Arial" w:hAnsi="Arial"/>
          <w:sz w:val="16"/>
          <w:szCs w:val="16"/>
          <w:color w:val="auto"/>
        </w:rPr>
        <w:t>Comcast Corporation Political Action Committee of Massachusetts</w:t>
      </w:r>
    </w:p>
    <w:p>
      <w:pPr>
        <w:spacing w:after="0" w:line="140" w:lineRule="exact"/>
        <w:rPr>
          <w:sz w:val="20"/>
          <w:szCs w:val="20"/>
          <w:color w:val="auto"/>
        </w:rPr>
      </w:pPr>
    </w:p>
    <w:p>
      <w:pPr>
        <w:ind w:left="520"/>
        <w:spacing w:after="0"/>
        <w:rPr>
          <w:sz w:val="20"/>
          <w:szCs w:val="20"/>
          <w:color w:val="auto"/>
        </w:rPr>
      </w:pPr>
      <w:r>
        <w:rPr>
          <w:rFonts w:ascii="Arial" w:cs="Arial" w:eastAsia="Arial" w:hAnsi="Arial"/>
          <w:sz w:val="18"/>
          <w:szCs w:val="18"/>
          <w:color w:val="auto"/>
        </w:rPr>
        <w:t>Comcast Corporation Political Action Committee-USA</w:t>
      </w:r>
    </w:p>
    <w:p>
      <w:pPr>
        <w:spacing w:after="0" w:line="117" w:lineRule="exact"/>
        <w:rPr>
          <w:sz w:val="20"/>
          <w:szCs w:val="20"/>
          <w:color w:val="auto"/>
        </w:rPr>
      </w:pPr>
    </w:p>
    <w:p>
      <w:pPr>
        <w:ind w:left="520"/>
        <w:spacing w:after="0"/>
        <w:rPr>
          <w:sz w:val="20"/>
          <w:szCs w:val="20"/>
          <w:color w:val="auto"/>
        </w:rPr>
      </w:pPr>
      <w:r>
        <w:rPr>
          <w:rFonts w:ascii="Arial" w:cs="Arial" w:eastAsia="Arial" w:hAnsi="Arial"/>
          <w:sz w:val="18"/>
          <w:szCs w:val="18"/>
          <w:color w:val="auto"/>
        </w:rPr>
        <w:t>Comcast Corporation Trust I</w:t>
      </w:r>
    </w:p>
    <w:p>
      <w:pPr>
        <w:spacing w:after="0" w:line="117" w:lineRule="exact"/>
        <w:rPr>
          <w:sz w:val="20"/>
          <w:szCs w:val="20"/>
          <w:color w:val="auto"/>
        </w:rPr>
      </w:pPr>
    </w:p>
    <w:p>
      <w:pPr>
        <w:ind w:left="520"/>
        <w:spacing w:after="0"/>
        <w:rPr>
          <w:sz w:val="20"/>
          <w:szCs w:val="20"/>
          <w:color w:val="auto"/>
        </w:rPr>
      </w:pPr>
      <w:r>
        <w:rPr>
          <w:rFonts w:ascii="Arial" w:cs="Arial" w:eastAsia="Arial" w:hAnsi="Arial"/>
          <w:sz w:val="18"/>
          <w:szCs w:val="18"/>
          <w:color w:val="auto"/>
        </w:rPr>
        <w:t>Comcast Corporation Trust II</w:t>
      </w:r>
    </w:p>
    <w:p>
      <w:pPr>
        <w:spacing w:after="0" w:line="117" w:lineRule="exact"/>
        <w:rPr>
          <w:sz w:val="20"/>
          <w:szCs w:val="20"/>
          <w:color w:val="auto"/>
        </w:rPr>
      </w:pPr>
    </w:p>
    <w:p>
      <w:pPr>
        <w:ind w:left="520"/>
        <w:spacing w:after="0"/>
        <w:rPr>
          <w:sz w:val="20"/>
          <w:szCs w:val="20"/>
          <w:color w:val="auto"/>
        </w:rPr>
      </w:pPr>
      <w:r>
        <w:rPr>
          <w:rFonts w:ascii="Arial" w:cs="Arial" w:eastAsia="Arial" w:hAnsi="Arial"/>
          <w:sz w:val="18"/>
          <w:szCs w:val="18"/>
          <w:color w:val="auto"/>
        </w:rPr>
        <w:t>Comcast Corporation Trust III</w:t>
      </w:r>
    </w:p>
    <w:p>
      <w:pPr>
        <w:spacing w:after="0" w:line="117" w:lineRule="exact"/>
        <w:rPr>
          <w:sz w:val="20"/>
          <w:szCs w:val="20"/>
          <w:color w:val="auto"/>
        </w:rPr>
      </w:pPr>
    </w:p>
    <w:p>
      <w:pPr>
        <w:ind w:left="520"/>
        <w:spacing w:after="0"/>
        <w:rPr>
          <w:sz w:val="20"/>
          <w:szCs w:val="20"/>
          <w:color w:val="auto"/>
        </w:rPr>
      </w:pPr>
      <w:r>
        <w:rPr>
          <w:rFonts w:ascii="Arial" w:cs="Arial" w:eastAsia="Arial" w:hAnsi="Arial"/>
          <w:sz w:val="18"/>
          <w:szCs w:val="18"/>
          <w:color w:val="auto"/>
        </w:rPr>
        <w:t>Comcast Crystalvision, Inc.</w:t>
      </w:r>
    </w:p>
    <w:p>
      <w:pPr>
        <w:spacing w:after="0" w:line="117" w:lineRule="exact"/>
        <w:rPr>
          <w:sz w:val="20"/>
          <w:szCs w:val="20"/>
          <w:color w:val="auto"/>
        </w:rPr>
      </w:pPr>
    </w:p>
    <w:p>
      <w:pPr>
        <w:ind w:left="520"/>
        <w:spacing w:after="0"/>
        <w:rPr>
          <w:sz w:val="20"/>
          <w:szCs w:val="20"/>
          <w:color w:val="auto"/>
        </w:rPr>
      </w:pPr>
      <w:r>
        <w:rPr>
          <w:rFonts w:ascii="Arial" w:cs="Arial" w:eastAsia="Arial" w:hAnsi="Arial"/>
          <w:sz w:val="18"/>
          <w:szCs w:val="18"/>
          <w:color w:val="auto"/>
        </w:rPr>
        <w:t>Comcast CTV Holdings, LLC</w:t>
      </w:r>
    </w:p>
    <w:p>
      <w:pPr>
        <w:spacing w:after="0" w:line="117" w:lineRule="exact"/>
        <w:rPr>
          <w:sz w:val="20"/>
          <w:szCs w:val="20"/>
          <w:color w:val="auto"/>
        </w:rPr>
      </w:pPr>
    </w:p>
    <w:p>
      <w:pPr>
        <w:ind w:left="520"/>
        <w:spacing w:after="0"/>
        <w:rPr>
          <w:sz w:val="20"/>
          <w:szCs w:val="20"/>
          <w:color w:val="auto"/>
        </w:rPr>
      </w:pPr>
      <w:r>
        <w:rPr>
          <w:rFonts w:ascii="Arial" w:cs="Arial" w:eastAsia="Arial" w:hAnsi="Arial"/>
          <w:sz w:val="18"/>
          <w:szCs w:val="18"/>
          <w:color w:val="auto"/>
        </w:rPr>
        <w:t>Comcast CVC Ventures</w:t>
      </w:r>
    </w:p>
    <w:p>
      <w:pPr>
        <w:spacing w:after="0" w:line="117" w:lineRule="exact"/>
        <w:rPr>
          <w:sz w:val="20"/>
          <w:szCs w:val="20"/>
          <w:color w:val="auto"/>
        </w:rPr>
      </w:pPr>
    </w:p>
    <w:p>
      <w:pPr>
        <w:ind w:left="520"/>
        <w:spacing w:after="0"/>
        <w:rPr>
          <w:sz w:val="20"/>
          <w:szCs w:val="20"/>
          <w:color w:val="auto"/>
        </w:rPr>
      </w:pPr>
      <w:r>
        <w:rPr>
          <w:rFonts w:ascii="Arial" w:cs="Arial" w:eastAsia="Arial" w:hAnsi="Arial"/>
          <w:sz w:val="18"/>
          <w:szCs w:val="18"/>
          <w:color w:val="auto"/>
        </w:rPr>
        <w:t>Comcast Data Services, Inc.</w:t>
      </w:r>
    </w:p>
    <w:p>
      <w:pPr>
        <w:spacing w:after="0" w:line="117" w:lineRule="exact"/>
        <w:rPr>
          <w:sz w:val="20"/>
          <w:szCs w:val="20"/>
          <w:color w:val="auto"/>
        </w:rPr>
      </w:pPr>
    </w:p>
    <w:p>
      <w:pPr>
        <w:ind w:left="520"/>
        <w:spacing w:after="0"/>
        <w:rPr>
          <w:sz w:val="20"/>
          <w:szCs w:val="20"/>
          <w:color w:val="auto"/>
        </w:rPr>
      </w:pPr>
      <w:r>
        <w:rPr>
          <w:rFonts w:ascii="Arial" w:cs="Arial" w:eastAsia="Arial" w:hAnsi="Arial"/>
          <w:sz w:val="18"/>
          <w:szCs w:val="18"/>
          <w:color w:val="auto"/>
        </w:rPr>
        <w:t>Comcast DC Radio, Inc.</w:t>
      </w:r>
    </w:p>
    <w:p>
      <w:pPr>
        <w:spacing w:after="0" w:line="117" w:lineRule="exact"/>
        <w:rPr>
          <w:sz w:val="20"/>
          <w:szCs w:val="20"/>
          <w:color w:val="auto"/>
        </w:rPr>
      </w:pPr>
    </w:p>
    <w:p>
      <w:pPr>
        <w:ind w:left="520"/>
        <w:spacing w:after="0"/>
        <w:rPr>
          <w:sz w:val="20"/>
          <w:szCs w:val="20"/>
          <w:color w:val="auto"/>
        </w:rPr>
      </w:pPr>
      <w:r>
        <w:rPr>
          <w:rFonts w:ascii="Arial" w:cs="Arial" w:eastAsia="Arial" w:hAnsi="Arial"/>
          <w:sz w:val="18"/>
          <w:szCs w:val="18"/>
          <w:color w:val="auto"/>
        </w:rPr>
        <w:t>Comcast Directory Services, Inc.</w:t>
      </w:r>
    </w:p>
    <w:p>
      <w:pPr>
        <w:spacing w:after="0" w:line="117" w:lineRule="exact"/>
        <w:rPr>
          <w:sz w:val="20"/>
          <w:szCs w:val="20"/>
          <w:color w:val="auto"/>
        </w:rPr>
      </w:pPr>
    </w:p>
    <w:p>
      <w:pPr>
        <w:ind w:left="520"/>
        <w:spacing w:after="0"/>
        <w:rPr>
          <w:sz w:val="20"/>
          <w:szCs w:val="20"/>
          <w:color w:val="auto"/>
        </w:rPr>
      </w:pPr>
      <w:r>
        <w:rPr>
          <w:rFonts w:ascii="Arial" w:cs="Arial" w:eastAsia="Arial" w:hAnsi="Arial"/>
          <w:sz w:val="18"/>
          <w:szCs w:val="18"/>
          <w:color w:val="auto"/>
        </w:rPr>
        <w:t>Comcast do Brasil Ltda.</w:t>
      </w:r>
    </w:p>
    <w:p>
      <w:pPr>
        <w:spacing w:after="0" w:line="117" w:lineRule="exact"/>
        <w:rPr>
          <w:sz w:val="20"/>
          <w:szCs w:val="20"/>
          <w:color w:val="auto"/>
        </w:rPr>
      </w:pPr>
    </w:p>
    <w:p>
      <w:pPr>
        <w:ind w:left="520"/>
        <w:spacing w:after="0"/>
        <w:rPr>
          <w:sz w:val="20"/>
          <w:szCs w:val="20"/>
          <w:color w:val="auto"/>
        </w:rPr>
      </w:pPr>
      <w:r>
        <w:rPr>
          <w:rFonts w:ascii="Arial" w:cs="Arial" w:eastAsia="Arial" w:hAnsi="Arial"/>
          <w:sz w:val="18"/>
          <w:szCs w:val="18"/>
          <w:color w:val="auto"/>
        </w:rPr>
        <w:t>Comcast Encore, Inc.</w:t>
      </w:r>
    </w:p>
    <w:p>
      <w:pPr>
        <w:spacing w:after="0" w:line="117" w:lineRule="exact"/>
        <w:rPr>
          <w:sz w:val="20"/>
          <w:szCs w:val="20"/>
          <w:color w:val="auto"/>
        </w:rPr>
      </w:pPr>
    </w:p>
    <w:p>
      <w:pPr>
        <w:ind w:left="520"/>
        <w:spacing w:after="0"/>
        <w:rPr>
          <w:sz w:val="20"/>
          <w:szCs w:val="20"/>
          <w:color w:val="auto"/>
        </w:rPr>
      </w:pPr>
      <w:r>
        <w:rPr>
          <w:rFonts w:ascii="Arial" w:cs="Arial" w:eastAsia="Arial" w:hAnsi="Arial"/>
          <w:sz w:val="18"/>
          <w:szCs w:val="18"/>
          <w:color w:val="auto"/>
        </w:rPr>
        <w:t>Comcast Entertainment Holdings LLC</w:t>
      </w:r>
    </w:p>
    <w:p>
      <w:pPr>
        <w:spacing w:after="0" w:line="117" w:lineRule="exact"/>
        <w:rPr>
          <w:sz w:val="20"/>
          <w:szCs w:val="20"/>
          <w:color w:val="auto"/>
        </w:rPr>
      </w:pPr>
    </w:p>
    <w:p>
      <w:pPr>
        <w:ind w:left="520"/>
        <w:spacing w:after="0"/>
        <w:rPr>
          <w:sz w:val="20"/>
          <w:szCs w:val="20"/>
          <w:color w:val="auto"/>
        </w:rPr>
      </w:pPr>
      <w:r>
        <w:rPr>
          <w:rFonts w:ascii="Arial" w:cs="Arial" w:eastAsia="Arial" w:hAnsi="Arial"/>
          <w:sz w:val="18"/>
          <w:szCs w:val="18"/>
          <w:color w:val="auto"/>
        </w:rPr>
        <w:t>Comcast Entertainment Networks Holdings, LLC</w:t>
      </w:r>
    </w:p>
    <w:p>
      <w:pPr>
        <w:spacing w:after="0" w:line="117" w:lineRule="exact"/>
        <w:rPr>
          <w:sz w:val="20"/>
          <w:szCs w:val="20"/>
          <w:color w:val="auto"/>
        </w:rPr>
      </w:pPr>
    </w:p>
    <w:p>
      <w:pPr>
        <w:ind w:left="520"/>
        <w:spacing w:after="0"/>
        <w:rPr>
          <w:sz w:val="20"/>
          <w:szCs w:val="20"/>
          <w:color w:val="auto"/>
        </w:rPr>
      </w:pPr>
      <w:r>
        <w:rPr>
          <w:rFonts w:ascii="Arial" w:cs="Arial" w:eastAsia="Arial" w:hAnsi="Arial"/>
          <w:sz w:val="18"/>
          <w:szCs w:val="18"/>
          <w:color w:val="auto"/>
        </w:rPr>
        <w:t>Comcast Financial Agency Corporation</w:t>
      </w:r>
    </w:p>
    <w:p>
      <w:pPr>
        <w:spacing w:after="0" w:line="117" w:lineRule="exact"/>
        <w:rPr>
          <w:sz w:val="20"/>
          <w:szCs w:val="20"/>
          <w:color w:val="auto"/>
        </w:rPr>
      </w:pPr>
    </w:p>
    <w:p>
      <w:pPr>
        <w:ind w:left="520"/>
        <w:spacing w:after="0"/>
        <w:rPr>
          <w:sz w:val="20"/>
          <w:szCs w:val="20"/>
          <w:color w:val="auto"/>
        </w:rPr>
      </w:pPr>
      <w:r>
        <w:rPr>
          <w:rFonts w:ascii="Arial" w:cs="Arial" w:eastAsia="Arial" w:hAnsi="Arial"/>
          <w:sz w:val="18"/>
          <w:szCs w:val="18"/>
          <w:color w:val="auto"/>
        </w:rPr>
        <w:t>Comcast Florida Programming Investments, Inc.</w:t>
      </w:r>
    </w:p>
    <w:p>
      <w:pPr>
        <w:spacing w:after="0" w:line="117" w:lineRule="exact"/>
        <w:rPr>
          <w:sz w:val="20"/>
          <w:szCs w:val="20"/>
          <w:color w:val="auto"/>
        </w:rPr>
      </w:pPr>
    </w:p>
    <w:p>
      <w:pPr>
        <w:ind w:left="520"/>
        <w:spacing w:after="0"/>
        <w:rPr>
          <w:sz w:val="20"/>
          <w:szCs w:val="20"/>
          <w:color w:val="auto"/>
        </w:rPr>
      </w:pPr>
      <w:r>
        <w:rPr>
          <w:rFonts w:ascii="Arial" w:cs="Arial" w:eastAsia="Arial" w:hAnsi="Arial"/>
          <w:sz w:val="18"/>
          <w:szCs w:val="18"/>
          <w:color w:val="auto"/>
        </w:rPr>
        <w:t>Comcast Funding I, Inc.</w:t>
      </w:r>
    </w:p>
    <w:p>
      <w:pPr>
        <w:spacing w:after="0" w:line="117" w:lineRule="exact"/>
        <w:rPr>
          <w:sz w:val="20"/>
          <w:szCs w:val="20"/>
          <w:color w:val="auto"/>
        </w:rPr>
      </w:pPr>
    </w:p>
    <w:p>
      <w:pPr>
        <w:ind w:left="520"/>
        <w:spacing w:after="0"/>
        <w:rPr>
          <w:sz w:val="20"/>
          <w:szCs w:val="20"/>
          <w:color w:val="auto"/>
        </w:rPr>
      </w:pPr>
      <w:r>
        <w:rPr>
          <w:rFonts w:ascii="Arial" w:cs="Arial" w:eastAsia="Arial" w:hAnsi="Arial"/>
          <w:sz w:val="18"/>
          <w:szCs w:val="18"/>
          <w:color w:val="auto"/>
        </w:rPr>
        <w:t>Comcast Garden State, LLC</w:t>
      </w:r>
    </w:p>
    <w:p>
      <w:pPr>
        <w:spacing w:after="0" w:line="117" w:lineRule="exact"/>
        <w:rPr>
          <w:sz w:val="20"/>
          <w:szCs w:val="20"/>
          <w:color w:val="auto"/>
        </w:rPr>
      </w:pPr>
    </w:p>
    <w:p>
      <w:pPr>
        <w:ind w:left="520"/>
        <w:spacing w:after="0"/>
        <w:rPr>
          <w:sz w:val="20"/>
          <w:szCs w:val="20"/>
          <w:color w:val="auto"/>
        </w:rPr>
      </w:pPr>
      <w:r>
        <w:rPr>
          <w:rFonts w:ascii="Arial" w:cs="Arial" w:eastAsia="Arial" w:hAnsi="Arial"/>
          <w:sz w:val="18"/>
          <w:szCs w:val="18"/>
          <w:color w:val="auto"/>
        </w:rPr>
        <w:t>Comcast Gateway Holdings, LLC</w:t>
      </w:r>
    </w:p>
    <w:p>
      <w:pPr>
        <w:spacing w:after="0" w:line="117" w:lineRule="exact"/>
        <w:rPr>
          <w:sz w:val="20"/>
          <w:szCs w:val="20"/>
          <w:color w:val="auto"/>
        </w:rPr>
      </w:pPr>
    </w:p>
    <w:p>
      <w:pPr>
        <w:ind w:left="520"/>
        <w:spacing w:after="0"/>
        <w:rPr>
          <w:sz w:val="20"/>
          <w:szCs w:val="20"/>
          <w:color w:val="auto"/>
        </w:rPr>
      </w:pPr>
      <w:r>
        <w:rPr>
          <w:rFonts w:ascii="Arial" w:cs="Arial" w:eastAsia="Arial" w:hAnsi="Arial"/>
          <w:sz w:val="18"/>
          <w:szCs w:val="18"/>
          <w:color w:val="auto"/>
        </w:rPr>
        <w:t>Comcast Greater Boston Advertising Holdings, LLC</w:t>
      </w:r>
    </w:p>
    <w:p>
      <w:pPr>
        <w:spacing w:after="0" w:line="117" w:lineRule="exact"/>
        <w:rPr>
          <w:sz w:val="20"/>
          <w:szCs w:val="20"/>
          <w:color w:val="auto"/>
        </w:rPr>
      </w:pPr>
    </w:p>
    <w:p>
      <w:pPr>
        <w:ind w:left="520"/>
        <w:spacing w:after="0"/>
        <w:rPr>
          <w:sz w:val="20"/>
          <w:szCs w:val="20"/>
          <w:color w:val="auto"/>
        </w:rPr>
      </w:pPr>
      <w:r>
        <w:rPr>
          <w:rFonts w:ascii="Arial" w:cs="Arial" w:eastAsia="Arial" w:hAnsi="Arial"/>
          <w:sz w:val="18"/>
          <w:szCs w:val="18"/>
          <w:color w:val="auto"/>
        </w:rPr>
        <w:t>Comcast Hockey, LLC</w:t>
      </w:r>
    </w:p>
    <w:p>
      <w:pPr>
        <w:spacing w:after="0" w:line="117" w:lineRule="exact"/>
        <w:rPr>
          <w:sz w:val="20"/>
          <w:szCs w:val="20"/>
          <w:color w:val="auto"/>
        </w:rPr>
      </w:pPr>
    </w:p>
    <w:p>
      <w:pPr>
        <w:ind w:left="520"/>
        <w:spacing w:after="0"/>
        <w:rPr>
          <w:sz w:val="20"/>
          <w:szCs w:val="20"/>
          <w:color w:val="auto"/>
        </w:rPr>
      </w:pPr>
      <w:r>
        <w:rPr>
          <w:rFonts w:ascii="Arial" w:cs="Arial" w:eastAsia="Arial" w:hAnsi="Arial"/>
          <w:sz w:val="18"/>
          <w:szCs w:val="18"/>
          <w:color w:val="auto"/>
        </w:rPr>
        <w:t>Comcast Holdings Corporation</w:t>
      </w:r>
    </w:p>
    <w:p>
      <w:pPr>
        <w:spacing w:after="0" w:line="117" w:lineRule="exact"/>
        <w:rPr>
          <w:sz w:val="20"/>
          <w:szCs w:val="20"/>
          <w:color w:val="auto"/>
        </w:rPr>
      </w:pPr>
    </w:p>
    <w:p>
      <w:pPr>
        <w:ind w:left="520"/>
        <w:spacing w:after="0"/>
        <w:rPr>
          <w:sz w:val="20"/>
          <w:szCs w:val="20"/>
          <w:color w:val="auto"/>
        </w:rPr>
      </w:pPr>
      <w:r>
        <w:rPr>
          <w:rFonts w:ascii="Arial" w:cs="Arial" w:eastAsia="Arial" w:hAnsi="Arial"/>
          <w:sz w:val="18"/>
          <w:szCs w:val="18"/>
          <w:color w:val="auto"/>
        </w:rPr>
        <w:t>Comcast Holdings II, LLC</w:t>
      </w:r>
    </w:p>
    <w:p>
      <w:pPr>
        <w:spacing w:after="0" w:line="117" w:lineRule="exact"/>
        <w:rPr>
          <w:sz w:val="20"/>
          <w:szCs w:val="20"/>
          <w:color w:val="auto"/>
        </w:rPr>
      </w:pPr>
    </w:p>
    <w:p>
      <w:pPr>
        <w:ind w:left="520"/>
        <w:spacing w:after="0"/>
        <w:rPr>
          <w:sz w:val="20"/>
          <w:szCs w:val="20"/>
          <w:color w:val="auto"/>
        </w:rPr>
      </w:pPr>
      <w:r>
        <w:rPr>
          <w:rFonts w:ascii="Arial" w:cs="Arial" w:eastAsia="Arial" w:hAnsi="Arial"/>
          <w:sz w:val="18"/>
          <w:szCs w:val="18"/>
          <w:color w:val="auto"/>
        </w:rPr>
        <w:t>Comcast Holdings III, LLC</w:t>
      </w:r>
    </w:p>
    <w:p>
      <w:pPr>
        <w:spacing w:after="0" w:line="117" w:lineRule="exact"/>
        <w:rPr>
          <w:sz w:val="20"/>
          <w:szCs w:val="20"/>
          <w:color w:val="auto"/>
        </w:rPr>
      </w:pPr>
    </w:p>
    <w:p>
      <w:pPr>
        <w:ind w:left="520"/>
        <w:spacing w:after="0"/>
        <w:rPr>
          <w:sz w:val="20"/>
          <w:szCs w:val="20"/>
          <w:color w:val="auto"/>
        </w:rPr>
      </w:pPr>
      <w:r>
        <w:rPr>
          <w:rFonts w:ascii="Arial" w:cs="Arial" w:eastAsia="Arial" w:hAnsi="Arial"/>
          <w:sz w:val="18"/>
          <w:szCs w:val="18"/>
          <w:color w:val="auto"/>
        </w:rPr>
        <w:t>Comcast Holdings IV, LLC</w:t>
      </w:r>
    </w:p>
    <w:p>
      <w:pPr>
        <w:spacing w:after="0" w:line="117" w:lineRule="exact"/>
        <w:rPr>
          <w:sz w:val="20"/>
          <w:szCs w:val="20"/>
          <w:color w:val="auto"/>
        </w:rPr>
      </w:pPr>
    </w:p>
    <w:p>
      <w:pPr>
        <w:ind w:left="520"/>
        <w:spacing w:after="0"/>
        <w:rPr>
          <w:sz w:val="20"/>
          <w:szCs w:val="20"/>
          <w:color w:val="auto"/>
        </w:rPr>
      </w:pPr>
      <w:r>
        <w:rPr>
          <w:rFonts w:ascii="Arial" w:cs="Arial" w:eastAsia="Arial" w:hAnsi="Arial"/>
          <w:sz w:val="18"/>
          <w:szCs w:val="18"/>
          <w:color w:val="auto"/>
        </w:rPr>
        <w:t>Comcast Holdings V, LLC</w:t>
      </w:r>
    </w:p>
    <w:p>
      <w:pPr>
        <w:spacing w:after="0" w:line="117" w:lineRule="exact"/>
        <w:rPr>
          <w:sz w:val="20"/>
          <w:szCs w:val="20"/>
          <w:color w:val="auto"/>
        </w:rPr>
      </w:pPr>
    </w:p>
    <w:p>
      <w:pPr>
        <w:ind w:left="520"/>
        <w:spacing w:after="0"/>
        <w:rPr>
          <w:sz w:val="20"/>
          <w:szCs w:val="20"/>
          <w:color w:val="auto"/>
        </w:rPr>
      </w:pPr>
      <w:r>
        <w:rPr>
          <w:rFonts w:ascii="Arial" w:cs="Arial" w:eastAsia="Arial" w:hAnsi="Arial"/>
          <w:sz w:val="18"/>
          <w:szCs w:val="18"/>
          <w:color w:val="auto"/>
        </w:rPr>
        <w:t>Comcast Horror Entertainment Holdings, LLC</w:t>
      </w:r>
    </w:p>
    <w:p>
      <w:pPr>
        <w:spacing w:after="0" w:line="117" w:lineRule="exact"/>
        <w:rPr>
          <w:sz w:val="20"/>
          <w:szCs w:val="20"/>
          <w:color w:val="auto"/>
        </w:rPr>
      </w:pPr>
    </w:p>
    <w:p>
      <w:pPr>
        <w:ind w:left="520"/>
        <w:spacing w:after="0"/>
        <w:rPr>
          <w:sz w:val="20"/>
          <w:szCs w:val="20"/>
          <w:color w:val="auto"/>
        </w:rPr>
      </w:pPr>
      <w:r>
        <w:rPr>
          <w:rFonts w:ascii="Arial" w:cs="Arial" w:eastAsia="Arial" w:hAnsi="Arial"/>
          <w:sz w:val="18"/>
          <w:szCs w:val="18"/>
          <w:color w:val="auto"/>
        </w:rPr>
        <w:t>Comcast ICCP, Inc.</w:t>
      </w:r>
    </w:p>
    <w:p>
      <w:pPr>
        <w:spacing w:after="0" w:line="117" w:lineRule="exact"/>
        <w:rPr>
          <w:sz w:val="20"/>
          <w:szCs w:val="20"/>
          <w:color w:val="auto"/>
        </w:rPr>
      </w:pPr>
    </w:p>
    <w:p>
      <w:pPr>
        <w:ind w:left="520"/>
        <w:spacing w:after="0"/>
        <w:rPr>
          <w:sz w:val="20"/>
          <w:szCs w:val="20"/>
          <w:color w:val="auto"/>
        </w:rPr>
      </w:pPr>
      <w:r>
        <w:rPr>
          <w:rFonts w:ascii="Arial" w:cs="Arial" w:eastAsia="Arial" w:hAnsi="Arial"/>
          <w:sz w:val="18"/>
          <w:szCs w:val="18"/>
          <w:color w:val="auto"/>
        </w:rPr>
        <w:t>Comcast ICG, Inc.</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Arial" w:cs="Arial" w:eastAsia="Arial" w:hAnsi="Arial"/>
          <w:sz w:val="18"/>
          <w:szCs w:val="18"/>
          <w:color w:val="auto"/>
        </w:rPr>
        <w:t>PA</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color w:val="auto"/>
        </w:rPr>
        <w:t>DE</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color w:val="auto"/>
        </w:rPr>
        <w:t>DE</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color w:val="auto"/>
        </w:rPr>
        <w:t>DE</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color w:val="auto"/>
        </w:rPr>
        <w:t>DE</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color w:val="auto"/>
        </w:rPr>
        <w:t>DE</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color w:val="auto"/>
        </w:rPr>
        <w:t>DE</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color w:val="auto"/>
        </w:rPr>
        <w:t>DE</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color w:val="auto"/>
        </w:rPr>
        <w:t>DE</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color w:val="auto"/>
        </w:rPr>
        <w:t>DE</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color w:val="auto"/>
        </w:rPr>
        <w:t>DE</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color w:val="auto"/>
        </w:rPr>
        <w:t>DE</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color w:val="auto"/>
        </w:rPr>
        <w:t>DE</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color w:val="auto"/>
        </w:rPr>
        <w:t>DE</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color w:val="auto"/>
        </w:rPr>
        <w:t>DE</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color w:val="auto"/>
        </w:rPr>
        <w:t>DE</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color w:val="auto"/>
        </w:rPr>
        <w:t>DE</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color w:val="auto"/>
        </w:rPr>
        <w:t>DE</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color w:val="auto"/>
        </w:rPr>
        <w:t>PA</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color w:val="auto"/>
        </w:rPr>
        <w:t>MD</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color w:val="auto"/>
        </w:rPr>
        <w:t>MA</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color w:val="auto"/>
        </w:rPr>
        <w:t>PA</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color w:val="auto"/>
        </w:rPr>
        <w:t>DE</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color w:val="auto"/>
        </w:rPr>
        <w:t>DE</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color w:val="auto"/>
        </w:rPr>
        <w:t>DE</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color w:val="auto"/>
        </w:rPr>
        <w:t>DE</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color w:val="auto"/>
        </w:rPr>
        <w:t>DE</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color w:val="auto"/>
        </w:rPr>
        <w:t>DE</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color w:val="auto"/>
        </w:rPr>
        <w:t>DE</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color w:val="auto"/>
        </w:rPr>
        <w:t>DE</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color w:val="auto"/>
        </w:rPr>
        <w:t>DE</w:t>
      </w:r>
    </w:p>
    <w:p>
      <w:pPr>
        <w:spacing w:after="0" w:line="117" w:lineRule="exact"/>
        <w:rPr>
          <w:sz w:val="20"/>
          <w:szCs w:val="20"/>
          <w:color w:val="auto"/>
        </w:rPr>
      </w:pPr>
    </w:p>
    <w:p>
      <w:pPr>
        <w:spacing w:after="0"/>
        <w:rPr>
          <w:sz w:val="20"/>
          <w:szCs w:val="20"/>
          <w:color w:val="auto"/>
        </w:rPr>
      </w:pPr>
      <w:r>
        <w:rPr>
          <w:rFonts w:ascii="Arial" w:cs="Arial" w:eastAsia="Arial" w:hAnsi="Arial"/>
          <w:sz w:val="16"/>
          <w:szCs w:val="16"/>
          <w:color w:val="auto"/>
        </w:rPr>
        <w:t>Brazil</w:t>
      </w:r>
    </w:p>
    <w:p>
      <w:pPr>
        <w:spacing w:after="0" w:line="140" w:lineRule="exact"/>
        <w:rPr>
          <w:sz w:val="20"/>
          <w:szCs w:val="20"/>
          <w:color w:val="auto"/>
        </w:rPr>
      </w:pPr>
    </w:p>
    <w:p>
      <w:pPr>
        <w:spacing w:after="0"/>
        <w:rPr>
          <w:sz w:val="20"/>
          <w:szCs w:val="20"/>
          <w:color w:val="auto"/>
        </w:rPr>
      </w:pPr>
      <w:r>
        <w:rPr>
          <w:rFonts w:ascii="Arial" w:cs="Arial" w:eastAsia="Arial" w:hAnsi="Arial"/>
          <w:sz w:val="18"/>
          <w:szCs w:val="18"/>
          <w:color w:val="auto"/>
        </w:rPr>
        <w:t>DE</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color w:val="auto"/>
        </w:rPr>
        <w:t>DE</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color w:val="auto"/>
        </w:rPr>
        <w:t>DE</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color w:val="auto"/>
        </w:rPr>
        <w:t>DE</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color w:val="auto"/>
        </w:rPr>
        <w:t>DE</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color w:val="auto"/>
        </w:rPr>
        <w:t>DE</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color w:val="auto"/>
        </w:rPr>
        <w:t>DE</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color w:val="auto"/>
        </w:rPr>
        <w:t>DE</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color w:val="auto"/>
        </w:rPr>
        <w:t>DE</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color w:val="auto"/>
        </w:rPr>
        <w:t>DE</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color w:val="auto"/>
        </w:rPr>
        <w:t>PA</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color w:val="auto"/>
        </w:rPr>
        <w:t>DE</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color w:val="auto"/>
        </w:rPr>
        <w:t>DE</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color w:val="auto"/>
        </w:rPr>
        <w:t>DE</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color w:val="auto"/>
        </w:rPr>
        <w:t>DE</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color w:val="auto"/>
        </w:rPr>
        <w:t>DE</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color w:val="auto"/>
        </w:rPr>
        <w:t>CO</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color w:val="auto"/>
        </w:rPr>
        <w:t>DE</w:t>
      </w:r>
    </w:p>
    <w:p>
      <w:pPr>
        <w:sectPr>
          <w:pgSz w:w="11900" w:h="16838" w:orient="portrait"/>
          <w:cols w:equalWidth="0" w:num="2">
            <w:col w:w="7360" w:space="720"/>
            <w:col w:w="939"/>
          </w:cols>
          <w:pgMar w:left="1440" w:top="388" w:right="1440" w:bottom="0" w:gutter="0" w:footer="0" w:header="0"/>
        </w:sectPr>
      </w:pPr>
    </w:p>
    <w:bookmarkStart w:id="164" w:name="page165"/>
    <w:bookmarkEnd w:id="164"/>
    <w:p>
      <w:pPr>
        <w:ind w:left="520"/>
        <w:spacing w:after="0"/>
        <w:rPr>
          <w:sz w:val="20"/>
          <w:szCs w:val="20"/>
          <w:color w:val="auto"/>
        </w:rPr>
      </w:pPr>
      <w:r>
        <w:rPr>
          <w:rFonts w:ascii="Arial" w:cs="Arial" w:eastAsia="Arial" w:hAnsi="Arial"/>
          <w:sz w:val="16"/>
          <w:szCs w:val="16"/>
          <w:color w:val="auto"/>
        </w:rPr>
        <w:t>Comcast In Demand Holdings, Inc.</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Arial" w:cs="Arial" w:eastAsia="Arial" w:hAnsi="Arial"/>
          <w:sz w:val="15"/>
          <w:szCs w:val="15"/>
          <w:color w:val="auto"/>
        </w:rPr>
        <w:t>DE</w:t>
      </w:r>
    </w:p>
    <w:p>
      <w:pPr>
        <w:spacing w:after="0" w:line="151" w:lineRule="exact"/>
        <w:rPr>
          <w:sz w:val="20"/>
          <w:szCs w:val="20"/>
          <w:color w:val="auto"/>
        </w:rPr>
      </w:pPr>
    </w:p>
    <w:p>
      <w:pPr>
        <w:sectPr>
          <w:pgSz w:w="11900" w:h="16838" w:orient="portrait"/>
          <w:cols w:equalWidth="0" w:num="2">
            <w:col w:w="7360" w:space="720"/>
            <w:col w:w="939"/>
          </w:cols>
          <w:pgMar w:left="1440" w:top="131" w:right="1440" w:bottom="1440" w:gutter="0" w:footer="0" w:header="0"/>
        </w:sectPr>
      </w:pPr>
    </w:p>
    <w:p>
      <w:pPr>
        <w:ind w:left="520"/>
        <w:spacing w:after="0"/>
        <w:rPr>
          <w:sz w:val="20"/>
          <w:szCs w:val="20"/>
          <w:color w:val="auto"/>
        </w:rPr>
      </w:pPr>
      <w:r>
        <w:rPr>
          <w:rFonts w:ascii="Arial" w:cs="Arial" w:eastAsia="Arial" w:hAnsi="Arial"/>
          <w:sz w:val="16"/>
          <w:szCs w:val="16"/>
          <w:color w:val="auto"/>
        </w:rPr>
        <w:t>Comcast Interactive Capital, LP</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Arial" w:cs="Arial" w:eastAsia="Arial" w:hAnsi="Arial"/>
          <w:sz w:val="15"/>
          <w:szCs w:val="15"/>
          <w:color w:val="auto"/>
        </w:rPr>
        <w:t>DE</w:t>
      </w:r>
    </w:p>
    <w:p>
      <w:pPr>
        <w:sectPr>
          <w:pgSz w:w="11900" w:h="16838" w:orient="portrait"/>
          <w:cols w:equalWidth="0" w:num="2">
            <w:col w:w="7360" w:space="720"/>
            <w:col w:w="939"/>
          </w:cols>
          <w:pgMar w:left="1440" w:top="131" w:right="1440" w:bottom="1440" w:gutter="0" w:footer="0" w:header="0"/>
          <w:type w:val="continuous"/>
        </w:sectPr>
      </w:pPr>
    </w:p>
    <w:bookmarkStart w:id="165" w:name="page166"/>
    <w:bookmarkEnd w:id="165"/>
    <w:p>
      <w:pPr>
        <w:ind w:left="520"/>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238" name="Picture 2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8"/>
                    <pic:cNvPicPr>
                      <a:picLocks noChangeAspect="1" noChangeArrowheads="1"/>
                    </pic:cNvPicPr>
                  </pic:nvPicPr>
                  <pic:blipFill>
                    <a:blip r:embed="rId245">
                      <a:extLst>
                        <a:ext uri="{28A0092B-C50C-407E-A947-70E740481C1C}"/>
                      </a:extLst>
                    </a:blip>
                    <a:srcRect/>
                    <a:stretch>
                      <a:fillRect/>
                    </a:stretch>
                  </pic:blipFill>
                  <pic:spPr bwMode="auto">
                    <a:xfrm>
                      <a:off x="0" y="0"/>
                      <a:ext cx="7267575" cy="27940"/>
                    </a:xfrm>
                    <a:prstGeom prst="rect">
                      <a:avLst/>
                    </a:prstGeom>
                    <a:noFill/>
                  </pic:spPr>
                </pic:pic>
              </a:graphicData>
            </a:graphic>
          </wp:anchor>
        </w:drawing>
        <w:t>Comcast Interactive Media, Inc.</w:t>
      </w:r>
    </w:p>
    <w:p>
      <w:pPr>
        <w:spacing w:after="0" w:line="117" w:lineRule="exact"/>
        <w:rPr>
          <w:sz w:val="20"/>
          <w:szCs w:val="20"/>
          <w:color w:val="auto"/>
        </w:rPr>
      </w:pPr>
    </w:p>
    <w:p>
      <w:pPr>
        <w:ind w:left="520"/>
        <w:spacing w:after="0"/>
        <w:rPr>
          <w:sz w:val="20"/>
          <w:szCs w:val="20"/>
          <w:color w:val="auto"/>
        </w:rPr>
      </w:pPr>
      <w:r>
        <w:rPr>
          <w:rFonts w:ascii="Arial" w:cs="Arial" w:eastAsia="Arial" w:hAnsi="Arial"/>
          <w:sz w:val="18"/>
          <w:szCs w:val="18"/>
          <w:color w:val="auto"/>
        </w:rPr>
        <w:t>Comcast International Holdings, Inc.</w:t>
      </w:r>
    </w:p>
    <w:p>
      <w:pPr>
        <w:spacing w:after="0" w:line="117" w:lineRule="exact"/>
        <w:rPr>
          <w:sz w:val="20"/>
          <w:szCs w:val="20"/>
          <w:color w:val="auto"/>
        </w:rPr>
      </w:pPr>
    </w:p>
    <w:p>
      <w:pPr>
        <w:ind w:left="520"/>
        <w:spacing w:after="0"/>
        <w:rPr>
          <w:sz w:val="20"/>
          <w:szCs w:val="20"/>
          <w:color w:val="auto"/>
        </w:rPr>
      </w:pPr>
      <w:r>
        <w:rPr>
          <w:rFonts w:ascii="Arial" w:cs="Arial" w:eastAsia="Arial" w:hAnsi="Arial"/>
          <w:sz w:val="18"/>
          <w:szCs w:val="18"/>
          <w:color w:val="auto"/>
        </w:rPr>
        <w:t>Comcast Investment Holdings, Inc.</w:t>
      </w:r>
    </w:p>
    <w:p>
      <w:pPr>
        <w:spacing w:after="0" w:line="117" w:lineRule="exact"/>
        <w:rPr>
          <w:sz w:val="20"/>
          <w:szCs w:val="20"/>
          <w:color w:val="auto"/>
        </w:rPr>
      </w:pPr>
    </w:p>
    <w:p>
      <w:pPr>
        <w:ind w:left="520"/>
        <w:spacing w:after="0"/>
        <w:rPr>
          <w:sz w:val="20"/>
          <w:szCs w:val="20"/>
          <w:color w:val="auto"/>
        </w:rPr>
      </w:pPr>
      <w:r>
        <w:rPr>
          <w:rFonts w:ascii="Arial" w:cs="Arial" w:eastAsia="Arial" w:hAnsi="Arial"/>
          <w:sz w:val="18"/>
          <w:szCs w:val="18"/>
          <w:color w:val="auto"/>
        </w:rPr>
        <w:t>Comcast IP Holdings I, LLC</w:t>
      </w:r>
    </w:p>
    <w:p>
      <w:pPr>
        <w:spacing w:after="0" w:line="117" w:lineRule="exact"/>
        <w:rPr>
          <w:sz w:val="20"/>
          <w:szCs w:val="20"/>
          <w:color w:val="auto"/>
        </w:rPr>
      </w:pPr>
    </w:p>
    <w:p>
      <w:pPr>
        <w:ind w:left="520"/>
        <w:spacing w:after="0"/>
        <w:rPr>
          <w:sz w:val="20"/>
          <w:szCs w:val="20"/>
          <w:color w:val="auto"/>
        </w:rPr>
      </w:pPr>
      <w:r>
        <w:rPr>
          <w:rFonts w:ascii="Arial" w:cs="Arial" w:eastAsia="Arial" w:hAnsi="Arial"/>
          <w:sz w:val="18"/>
          <w:szCs w:val="18"/>
          <w:color w:val="auto"/>
        </w:rPr>
        <w:t>Comcast IP Phone II, LLC</w:t>
      </w:r>
    </w:p>
    <w:p>
      <w:pPr>
        <w:spacing w:after="0" w:line="117" w:lineRule="exact"/>
        <w:rPr>
          <w:sz w:val="20"/>
          <w:szCs w:val="20"/>
          <w:color w:val="auto"/>
        </w:rPr>
      </w:pPr>
    </w:p>
    <w:p>
      <w:pPr>
        <w:ind w:left="520"/>
        <w:spacing w:after="0"/>
        <w:rPr>
          <w:sz w:val="20"/>
          <w:szCs w:val="20"/>
          <w:color w:val="auto"/>
        </w:rPr>
      </w:pPr>
      <w:r>
        <w:rPr>
          <w:rFonts w:ascii="Arial" w:cs="Arial" w:eastAsia="Arial" w:hAnsi="Arial"/>
          <w:sz w:val="18"/>
          <w:szCs w:val="18"/>
          <w:color w:val="auto"/>
        </w:rPr>
        <w:t>Comcast IP Phone, LLC</w:t>
      </w:r>
    </w:p>
    <w:p>
      <w:pPr>
        <w:spacing w:after="0" w:line="117" w:lineRule="exact"/>
        <w:rPr>
          <w:sz w:val="20"/>
          <w:szCs w:val="20"/>
          <w:color w:val="auto"/>
        </w:rPr>
      </w:pPr>
    </w:p>
    <w:p>
      <w:pPr>
        <w:ind w:left="520"/>
        <w:spacing w:after="0"/>
        <w:rPr>
          <w:sz w:val="20"/>
          <w:szCs w:val="20"/>
          <w:color w:val="auto"/>
        </w:rPr>
      </w:pPr>
      <w:r>
        <w:rPr>
          <w:rFonts w:ascii="Arial" w:cs="Arial" w:eastAsia="Arial" w:hAnsi="Arial"/>
          <w:sz w:val="18"/>
          <w:szCs w:val="18"/>
          <w:color w:val="auto"/>
        </w:rPr>
        <w:t>Comcast IP Services II, Inc.</w:t>
      </w:r>
    </w:p>
    <w:p>
      <w:pPr>
        <w:spacing w:after="0" w:line="117" w:lineRule="exact"/>
        <w:rPr>
          <w:sz w:val="20"/>
          <w:szCs w:val="20"/>
          <w:color w:val="auto"/>
        </w:rPr>
      </w:pPr>
    </w:p>
    <w:p>
      <w:pPr>
        <w:ind w:left="520"/>
        <w:spacing w:after="0"/>
        <w:rPr>
          <w:sz w:val="20"/>
          <w:szCs w:val="20"/>
          <w:color w:val="auto"/>
        </w:rPr>
      </w:pPr>
      <w:r>
        <w:rPr>
          <w:rFonts w:ascii="Arial" w:cs="Arial" w:eastAsia="Arial" w:hAnsi="Arial"/>
          <w:sz w:val="18"/>
          <w:szCs w:val="18"/>
          <w:color w:val="auto"/>
        </w:rPr>
        <w:t>Comcast IP Services, LLC</w:t>
      </w:r>
    </w:p>
    <w:p>
      <w:pPr>
        <w:spacing w:after="0" w:line="117" w:lineRule="exact"/>
        <w:rPr>
          <w:sz w:val="20"/>
          <w:szCs w:val="20"/>
          <w:color w:val="auto"/>
        </w:rPr>
      </w:pPr>
    </w:p>
    <w:p>
      <w:pPr>
        <w:ind w:left="520"/>
        <w:spacing w:after="0"/>
        <w:rPr>
          <w:sz w:val="20"/>
          <w:szCs w:val="20"/>
          <w:color w:val="auto"/>
        </w:rPr>
      </w:pPr>
      <w:r>
        <w:rPr>
          <w:rFonts w:ascii="Arial" w:cs="Arial" w:eastAsia="Arial" w:hAnsi="Arial"/>
          <w:sz w:val="18"/>
          <w:szCs w:val="18"/>
          <w:color w:val="auto"/>
        </w:rPr>
        <w:t>Comcast IPG/JV, LLC</w:t>
      </w:r>
    </w:p>
    <w:p>
      <w:pPr>
        <w:spacing w:after="0" w:line="117" w:lineRule="exact"/>
        <w:rPr>
          <w:sz w:val="20"/>
          <w:szCs w:val="20"/>
          <w:color w:val="auto"/>
        </w:rPr>
      </w:pPr>
    </w:p>
    <w:p>
      <w:pPr>
        <w:ind w:left="520"/>
        <w:spacing w:after="0"/>
        <w:rPr>
          <w:sz w:val="20"/>
          <w:szCs w:val="20"/>
          <w:color w:val="auto"/>
        </w:rPr>
      </w:pPr>
      <w:r>
        <w:rPr>
          <w:rFonts w:ascii="Arial" w:cs="Arial" w:eastAsia="Arial" w:hAnsi="Arial"/>
          <w:sz w:val="18"/>
          <w:szCs w:val="18"/>
          <w:color w:val="auto"/>
        </w:rPr>
        <w:t>Comcast ISD, Inc.</w:t>
      </w:r>
    </w:p>
    <w:p>
      <w:pPr>
        <w:spacing w:after="0" w:line="117" w:lineRule="exact"/>
        <w:rPr>
          <w:sz w:val="20"/>
          <w:szCs w:val="20"/>
          <w:color w:val="auto"/>
        </w:rPr>
      </w:pPr>
    </w:p>
    <w:p>
      <w:pPr>
        <w:ind w:left="520"/>
        <w:spacing w:after="0"/>
        <w:rPr>
          <w:sz w:val="20"/>
          <w:szCs w:val="20"/>
          <w:color w:val="auto"/>
        </w:rPr>
      </w:pPr>
      <w:r>
        <w:rPr>
          <w:rFonts w:ascii="Arial" w:cs="Arial" w:eastAsia="Arial" w:hAnsi="Arial"/>
          <w:sz w:val="18"/>
          <w:szCs w:val="18"/>
          <w:color w:val="auto"/>
        </w:rPr>
        <w:t>Comcast JR Holdings, Inc.</w:t>
      </w:r>
    </w:p>
    <w:p>
      <w:pPr>
        <w:spacing w:after="0" w:line="117" w:lineRule="exact"/>
        <w:rPr>
          <w:sz w:val="20"/>
          <w:szCs w:val="20"/>
          <w:color w:val="auto"/>
        </w:rPr>
      </w:pPr>
    </w:p>
    <w:p>
      <w:pPr>
        <w:ind w:left="520"/>
        <w:spacing w:after="0"/>
        <w:rPr>
          <w:sz w:val="20"/>
          <w:szCs w:val="20"/>
          <w:color w:val="auto"/>
        </w:rPr>
      </w:pPr>
      <w:r>
        <w:rPr>
          <w:rFonts w:ascii="Arial" w:cs="Arial" w:eastAsia="Arial" w:hAnsi="Arial"/>
          <w:sz w:val="18"/>
          <w:szCs w:val="18"/>
          <w:color w:val="auto"/>
        </w:rPr>
        <w:t>Comcast LCP, Inc.</w:t>
      </w:r>
    </w:p>
    <w:p>
      <w:pPr>
        <w:spacing w:after="0" w:line="117" w:lineRule="exact"/>
        <w:rPr>
          <w:sz w:val="20"/>
          <w:szCs w:val="20"/>
          <w:color w:val="auto"/>
        </w:rPr>
      </w:pPr>
    </w:p>
    <w:p>
      <w:pPr>
        <w:ind w:left="520"/>
        <w:spacing w:after="0"/>
        <w:rPr>
          <w:sz w:val="20"/>
          <w:szCs w:val="20"/>
          <w:color w:val="auto"/>
        </w:rPr>
      </w:pPr>
      <w:r>
        <w:rPr>
          <w:rFonts w:ascii="Arial" w:cs="Arial" w:eastAsia="Arial" w:hAnsi="Arial"/>
          <w:sz w:val="18"/>
          <w:szCs w:val="18"/>
          <w:color w:val="auto"/>
        </w:rPr>
        <w:t>Comcast Levittown Finance, Inc.</w:t>
      </w:r>
    </w:p>
    <w:p>
      <w:pPr>
        <w:spacing w:after="0" w:line="117" w:lineRule="exact"/>
        <w:rPr>
          <w:sz w:val="20"/>
          <w:szCs w:val="20"/>
          <w:color w:val="auto"/>
        </w:rPr>
      </w:pPr>
    </w:p>
    <w:p>
      <w:pPr>
        <w:ind w:left="520"/>
        <w:spacing w:after="0"/>
        <w:rPr>
          <w:sz w:val="20"/>
          <w:szCs w:val="20"/>
          <w:color w:val="auto"/>
        </w:rPr>
      </w:pPr>
      <w:r>
        <w:rPr>
          <w:rFonts w:ascii="Arial" w:cs="Arial" w:eastAsia="Arial" w:hAnsi="Arial"/>
          <w:sz w:val="18"/>
          <w:szCs w:val="18"/>
          <w:color w:val="auto"/>
        </w:rPr>
        <w:t>Comcast Life Insurance Holding Company</w:t>
      </w:r>
    </w:p>
    <w:p>
      <w:pPr>
        <w:spacing w:after="0" w:line="117" w:lineRule="exact"/>
        <w:rPr>
          <w:sz w:val="20"/>
          <w:szCs w:val="20"/>
          <w:color w:val="auto"/>
        </w:rPr>
      </w:pPr>
    </w:p>
    <w:p>
      <w:pPr>
        <w:ind w:left="520"/>
        <w:spacing w:after="0"/>
        <w:rPr>
          <w:sz w:val="20"/>
          <w:szCs w:val="20"/>
          <w:color w:val="auto"/>
        </w:rPr>
      </w:pPr>
      <w:r>
        <w:rPr>
          <w:rFonts w:ascii="Arial" w:cs="Arial" w:eastAsia="Arial" w:hAnsi="Arial"/>
          <w:sz w:val="18"/>
          <w:szCs w:val="18"/>
          <w:color w:val="auto"/>
        </w:rPr>
        <w:t>Comcast LMC E! Entertainment, Inc.</w:t>
      </w:r>
    </w:p>
    <w:p>
      <w:pPr>
        <w:spacing w:after="0" w:line="117" w:lineRule="exact"/>
        <w:rPr>
          <w:sz w:val="20"/>
          <w:szCs w:val="20"/>
          <w:color w:val="auto"/>
        </w:rPr>
      </w:pPr>
    </w:p>
    <w:p>
      <w:pPr>
        <w:ind w:left="520"/>
        <w:spacing w:after="0"/>
        <w:rPr>
          <w:sz w:val="20"/>
          <w:szCs w:val="20"/>
          <w:color w:val="auto"/>
        </w:rPr>
      </w:pPr>
      <w:r>
        <w:rPr>
          <w:rFonts w:ascii="Arial" w:cs="Arial" w:eastAsia="Arial" w:hAnsi="Arial"/>
          <w:sz w:val="18"/>
          <w:szCs w:val="18"/>
          <w:color w:val="auto"/>
        </w:rPr>
        <w:t>Comcast LMDS Communications, Inc.</w:t>
      </w:r>
    </w:p>
    <w:p>
      <w:pPr>
        <w:spacing w:after="0" w:line="117" w:lineRule="exact"/>
        <w:rPr>
          <w:sz w:val="20"/>
          <w:szCs w:val="20"/>
          <w:color w:val="auto"/>
        </w:rPr>
      </w:pPr>
    </w:p>
    <w:p>
      <w:pPr>
        <w:ind w:left="520"/>
        <w:spacing w:after="0"/>
        <w:rPr>
          <w:sz w:val="20"/>
          <w:szCs w:val="20"/>
          <w:color w:val="auto"/>
        </w:rPr>
      </w:pPr>
      <w:r>
        <w:rPr>
          <w:rFonts w:ascii="Arial" w:cs="Arial" w:eastAsia="Arial" w:hAnsi="Arial"/>
          <w:sz w:val="18"/>
          <w:szCs w:val="18"/>
          <w:color w:val="auto"/>
        </w:rPr>
        <w:t>Comcast Metatv, Inc.</w:t>
      </w:r>
    </w:p>
    <w:p>
      <w:pPr>
        <w:spacing w:after="0" w:line="117" w:lineRule="exact"/>
        <w:rPr>
          <w:sz w:val="20"/>
          <w:szCs w:val="20"/>
          <w:color w:val="auto"/>
        </w:rPr>
      </w:pPr>
    </w:p>
    <w:p>
      <w:pPr>
        <w:ind w:left="520"/>
        <w:spacing w:after="0"/>
        <w:rPr>
          <w:sz w:val="20"/>
          <w:szCs w:val="20"/>
          <w:color w:val="auto"/>
        </w:rPr>
      </w:pPr>
      <w:r>
        <w:rPr>
          <w:rFonts w:ascii="Arial" w:cs="Arial" w:eastAsia="Arial" w:hAnsi="Arial"/>
          <w:sz w:val="18"/>
          <w:szCs w:val="18"/>
          <w:color w:val="auto"/>
        </w:rPr>
        <w:t>Comcast MH Holdings, LLC</w:t>
      </w:r>
    </w:p>
    <w:p>
      <w:pPr>
        <w:spacing w:after="0" w:line="117" w:lineRule="exact"/>
        <w:rPr>
          <w:sz w:val="20"/>
          <w:szCs w:val="20"/>
          <w:color w:val="auto"/>
        </w:rPr>
      </w:pPr>
    </w:p>
    <w:p>
      <w:pPr>
        <w:ind w:left="520"/>
        <w:spacing w:after="0"/>
        <w:rPr>
          <w:sz w:val="20"/>
          <w:szCs w:val="20"/>
          <w:color w:val="auto"/>
        </w:rPr>
      </w:pPr>
      <w:r>
        <w:rPr>
          <w:rFonts w:ascii="Arial" w:cs="Arial" w:eastAsia="Arial" w:hAnsi="Arial"/>
          <w:sz w:val="18"/>
          <w:szCs w:val="18"/>
          <w:color w:val="auto"/>
        </w:rPr>
        <w:t>Comcast Michigan Holdings, Inc.</w:t>
      </w:r>
    </w:p>
    <w:p>
      <w:pPr>
        <w:spacing w:after="0" w:line="117" w:lineRule="exact"/>
        <w:rPr>
          <w:sz w:val="20"/>
          <w:szCs w:val="20"/>
          <w:color w:val="auto"/>
        </w:rPr>
      </w:pPr>
    </w:p>
    <w:p>
      <w:pPr>
        <w:ind w:left="520"/>
        <w:spacing w:after="0"/>
        <w:rPr>
          <w:sz w:val="20"/>
          <w:szCs w:val="20"/>
          <w:color w:val="auto"/>
        </w:rPr>
      </w:pPr>
      <w:r>
        <w:rPr>
          <w:rFonts w:ascii="Arial" w:cs="Arial" w:eastAsia="Arial" w:hAnsi="Arial"/>
          <w:sz w:val="18"/>
          <w:szCs w:val="18"/>
          <w:color w:val="auto"/>
        </w:rPr>
        <w:t>Comcast Midwest Management, Inc.</w:t>
      </w:r>
    </w:p>
    <w:p>
      <w:pPr>
        <w:spacing w:after="0" w:line="117" w:lineRule="exact"/>
        <w:rPr>
          <w:sz w:val="20"/>
          <w:szCs w:val="20"/>
          <w:color w:val="auto"/>
        </w:rPr>
      </w:pPr>
    </w:p>
    <w:p>
      <w:pPr>
        <w:ind w:left="520"/>
        <w:spacing w:after="0"/>
        <w:rPr>
          <w:sz w:val="20"/>
          <w:szCs w:val="20"/>
          <w:color w:val="auto"/>
        </w:rPr>
      </w:pPr>
      <w:r>
        <w:rPr>
          <w:rFonts w:ascii="Arial" w:cs="Arial" w:eastAsia="Arial" w:hAnsi="Arial"/>
          <w:sz w:val="16"/>
          <w:szCs w:val="16"/>
          <w:color w:val="auto"/>
        </w:rPr>
        <w:t>Comcast MO Cable Advertising of Metropolitan Atlanta, LLC</w:t>
      </w:r>
    </w:p>
    <w:p>
      <w:pPr>
        <w:spacing w:after="0" w:line="140" w:lineRule="exact"/>
        <w:rPr>
          <w:sz w:val="20"/>
          <w:szCs w:val="20"/>
          <w:color w:val="auto"/>
        </w:rPr>
      </w:pPr>
    </w:p>
    <w:p>
      <w:pPr>
        <w:ind w:left="520"/>
        <w:spacing w:after="0"/>
        <w:rPr>
          <w:sz w:val="20"/>
          <w:szCs w:val="20"/>
          <w:color w:val="auto"/>
        </w:rPr>
      </w:pPr>
      <w:r>
        <w:rPr>
          <w:rFonts w:ascii="Arial" w:cs="Arial" w:eastAsia="Arial" w:hAnsi="Arial"/>
          <w:sz w:val="18"/>
          <w:szCs w:val="18"/>
          <w:color w:val="auto"/>
        </w:rPr>
        <w:t>Comcast MO Cable News, Inc.</w:t>
      </w:r>
    </w:p>
    <w:p>
      <w:pPr>
        <w:spacing w:after="0" w:line="117" w:lineRule="exact"/>
        <w:rPr>
          <w:sz w:val="20"/>
          <w:szCs w:val="20"/>
          <w:color w:val="auto"/>
        </w:rPr>
      </w:pPr>
    </w:p>
    <w:p>
      <w:pPr>
        <w:ind w:left="520"/>
        <w:spacing w:after="0"/>
        <w:rPr>
          <w:sz w:val="20"/>
          <w:szCs w:val="20"/>
          <w:color w:val="auto"/>
        </w:rPr>
      </w:pPr>
      <w:r>
        <w:rPr>
          <w:rFonts w:ascii="Arial" w:cs="Arial" w:eastAsia="Arial" w:hAnsi="Arial"/>
          <w:sz w:val="18"/>
          <w:szCs w:val="18"/>
          <w:color w:val="auto"/>
        </w:rPr>
        <w:t>Comcast MO Capital Corporation</w:t>
      </w:r>
    </w:p>
    <w:p>
      <w:pPr>
        <w:spacing w:after="0" w:line="117" w:lineRule="exact"/>
        <w:rPr>
          <w:sz w:val="20"/>
          <w:szCs w:val="20"/>
          <w:color w:val="auto"/>
        </w:rPr>
      </w:pPr>
    </w:p>
    <w:p>
      <w:pPr>
        <w:ind w:left="520"/>
        <w:spacing w:after="0"/>
        <w:rPr>
          <w:sz w:val="20"/>
          <w:szCs w:val="20"/>
          <w:color w:val="auto"/>
        </w:rPr>
      </w:pPr>
      <w:r>
        <w:rPr>
          <w:rFonts w:ascii="Arial" w:cs="Arial" w:eastAsia="Arial" w:hAnsi="Arial"/>
          <w:sz w:val="18"/>
          <w:szCs w:val="18"/>
          <w:color w:val="auto"/>
        </w:rPr>
        <w:t>Comcast MO Communications Holding Company, Inc.</w:t>
      </w:r>
    </w:p>
    <w:p>
      <w:pPr>
        <w:spacing w:after="0" w:line="117" w:lineRule="exact"/>
        <w:rPr>
          <w:sz w:val="20"/>
          <w:szCs w:val="20"/>
          <w:color w:val="auto"/>
        </w:rPr>
      </w:pPr>
    </w:p>
    <w:p>
      <w:pPr>
        <w:ind w:left="520"/>
        <w:spacing w:after="0"/>
        <w:rPr>
          <w:sz w:val="20"/>
          <w:szCs w:val="20"/>
          <w:color w:val="auto"/>
        </w:rPr>
      </w:pPr>
      <w:r>
        <w:rPr>
          <w:rFonts w:ascii="Arial" w:cs="Arial" w:eastAsia="Arial" w:hAnsi="Arial"/>
          <w:sz w:val="18"/>
          <w:szCs w:val="18"/>
          <w:color w:val="auto"/>
        </w:rPr>
        <w:t>Comcast MO Delta, Inc.</w:t>
      </w:r>
    </w:p>
    <w:p>
      <w:pPr>
        <w:spacing w:after="0" w:line="117" w:lineRule="exact"/>
        <w:rPr>
          <w:sz w:val="20"/>
          <w:szCs w:val="20"/>
          <w:color w:val="auto"/>
        </w:rPr>
      </w:pPr>
    </w:p>
    <w:p>
      <w:pPr>
        <w:ind w:left="520"/>
        <w:spacing w:after="0"/>
        <w:rPr>
          <w:sz w:val="20"/>
          <w:szCs w:val="20"/>
          <w:color w:val="auto"/>
        </w:rPr>
      </w:pPr>
      <w:r>
        <w:rPr>
          <w:rFonts w:ascii="Arial" w:cs="Arial" w:eastAsia="Arial" w:hAnsi="Arial"/>
          <w:sz w:val="18"/>
          <w:szCs w:val="18"/>
          <w:color w:val="auto"/>
        </w:rPr>
        <w:t>Comcast MO Digital Radio, Inc.</w:t>
      </w:r>
    </w:p>
    <w:p>
      <w:pPr>
        <w:spacing w:after="0" w:line="117" w:lineRule="exact"/>
        <w:rPr>
          <w:sz w:val="20"/>
          <w:szCs w:val="20"/>
          <w:color w:val="auto"/>
        </w:rPr>
      </w:pPr>
    </w:p>
    <w:p>
      <w:pPr>
        <w:ind w:left="520"/>
        <w:spacing w:after="0"/>
        <w:rPr>
          <w:sz w:val="20"/>
          <w:szCs w:val="20"/>
          <w:color w:val="auto"/>
        </w:rPr>
      </w:pPr>
      <w:r>
        <w:rPr>
          <w:rFonts w:ascii="Arial" w:cs="Arial" w:eastAsia="Arial" w:hAnsi="Arial"/>
          <w:sz w:val="18"/>
          <w:szCs w:val="18"/>
          <w:color w:val="auto"/>
        </w:rPr>
        <w:t>Comcast MO Europe, Inc.</w:t>
      </w:r>
    </w:p>
    <w:p>
      <w:pPr>
        <w:spacing w:after="0" w:line="117" w:lineRule="exact"/>
        <w:rPr>
          <w:sz w:val="20"/>
          <w:szCs w:val="20"/>
          <w:color w:val="auto"/>
        </w:rPr>
      </w:pPr>
    </w:p>
    <w:p>
      <w:pPr>
        <w:ind w:left="520"/>
        <w:spacing w:after="0"/>
        <w:rPr>
          <w:sz w:val="20"/>
          <w:szCs w:val="20"/>
          <w:color w:val="auto"/>
        </w:rPr>
      </w:pPr>
      <w:r>
        <w:rPr>
          <w:rFonts w:ascii="Arial" w:cs="Arial" w:eastAsia="Arial" w:hAnsi="Arial"/>
          <w:sz w:val="18"/>
          <w:szCs w:val="18"/>
          <w:color w:val="auto"/>
        </w:rPr>
        <w:t>Comcast MO Express Midwest, Inc.</w:t>
      </w:r>
    </w:p>
    <w:p>
      <w:pPr>
        <w:spacing w:after="0" w:line="117" w:lineRule="exact"/>
        <w:rPr>
          <w:sz w:val="20"/>
          <w:szCs w:val="20"/>
          <w:color w:val="auto"/>
        </w:rPr>
      </w:pPr>
    </w:p>
    <w:p>
      <w:pPr>
        <w:ind w:left="520"/>
        <w:spacing w:after="0"/>
        <w:rPr>
          <w:sz w:val="20"/>
          <w:szCs w:val="20"/>
          <w:color w:val="auto"/>
        </w:rPr>
      </w:pPr>
      <w:r>
        <w:rPr>
          <w:rFonts w:ascii="Arial" w:cs="Arial" w:eastAsia="Arial" w:hAnsi="Arial"/>
          <w:sz w:val="18"/>
          <w:szCs w:val="18"/>
          <w:color w:val="auto"/>
        </w:rPr>
        <w:t>Comcast MO Express of California, Inc.</w:t>
      </w:r>
    </w:p>
    <w:p>
      <w:pPr>
        <w:spacing w:after="0" w:line="117" w:lineRule="exact"/>
        <w:rPr>
          <w:sz w:val="20"/>
          <w:szCs w:val="20"/>
          <w:color w:val="auto"/>
        </w:rPr>
      </w:pPr>
    </w:p>
    <w:p>
      <w:pPr>
        <w:ind w:left="520"/>
        <w:spacing w:after="0"/>
        <w:rPr>
          <w:sz w:val="20"/>
          <w:szCs w:val="20"/>
          <w:color w:val="auto"/>
        </w:rPr>
      </w:pPr>
      <w:r>
        <w:rPr>
          <w:rFonts w:ascii="Arial" w:cs="Arial" w:eastAsia="Arial" w:hAnsi="Arial"/>
          <w:sz w:val="18"/>
          <w:szCs w:val="18"/>
          <w:color w:val="auto"/>
        </w:rPr>
        <w:t>Comcast MO Express of Florida, Inc.</w:t>
      </w:r>
    </w:p>
    <w:p>
      <w:pPr>
        <w:spacing w:after="0" w:line="117" w:lineRule="exact"/>
        <w:rPr>
          <w:sz w:val="20"/>
          <w:szCs w:val="20"/>
          <w:color w:val="auto"/>
        </w:rPr>
      </w:pPr>
    </w:p>
    <w:p>
      <w:pPr>
        <w:ind w:left="520"/>
        <w:spacing w:after="0"/>
        <w:rPr>
          <w:sz w:val="20"/>
          <w:szCs w:val="20"/>
          <w:color w:val="auto"/>
        </w:rPr>
      </w:pPr>
      <w:r>
        <w:rPr>
          <w:rFonts w:ascii="Arial" w:cs="Arial" w:eastAsia="Arial" w:hAnsi="Arial"/>
          <w:sz w:val="18"/>
          <w:szCs w:val="18"/>
          <w:color w:val="auto"/>
        </w:rPr>
        <w:t>Comcast MO Express of New England, Inc.</w:t>
      </w:r>
    </w:p>
    <w:p>
      <w:pPr>
        <w:spacing w:after="0" w:line="117" w:lineRule="exact"/>
        <w:rPr>
          <w:sz w:val="20"/>
          <w:szCs w:val="20"/>
          <w:color w:val="auto"/>
        </w:rPr>
      </w:pPr>
    </w:p>
    <w:p>
      <w:pPr>
        <w:ind w:left="520"/>
        <w:spacing w:after="0"/>
        <w:rPr>
          <w:sz w:val="20"/>
          <w:szCs w:val="20"/>
          <w:color w:val="auto"/>
        </w:rPr>
      </w:pPr>
      <w:r>
        <w:rPr>
          <w:rFonts w:ascii="Arial" w:cs="Arial" w:eastAsia="Arial" w:hAnsi="Arial"/>
          <w:sz w:val="18"/>
          <w:szCs w:val="18"/>
          <w:color w:val="auto"/>
        </w:rPr>
        <w:t>Comcast MO Express of Virginia, Inc.</w:t>
      </w:r>
    </w:p>
    <w:p>
      <w:pPr>
        <w:spacing w:after="0" w:line="117" w:lineRule="exact"/>
        <w:rPr>
          <w:sz w:val="20"/>
          <w:szCs w:val="20"/>
          <w:color w:val="auto"/>
        </w:rPr>
      </w:pPr>
    </w:p>
    <w:p>
      <w:pPr>
        <w:ind w:left="520"/>
        <w:spacing w:after="0"/>
        <w:rPr>
          <w:sz w:val="20"/>
          <w:szCs w:val="20"/>
          <w:color w:val="auto"/>
        </w:rPr>
      </w:pPr>
      <w:r>
        <w:rPr>
          <w:rFonts w:ascii="Arial" w:cs="Arial" w:eastAsia="Arial" w:hAnsi="Arial"/>
          <w:sz w:val="18"/>
          <w:szCs w:val="18"/>
          <w:color w:val="auto"/>
        </w:rPr>
        <w:t>Comcast MO Federal Relations, Inc.</w:t>
      </w:r>
    </w:p>
    <w:p>
      <w:pPr>
        <w:spacing w:after="0" w:line="117" w:lineRule="exact"/>
        <w:rPr>
          <w:sz w:val="20"/>
          <w:szCs w:val="20"/>
          <w:color w:val="auto"/>
        </w:rPr>
      </w:pPr>
    </w:p>
    <w:p>
      <w:pPr>
        <w:ind w:left="520"/>
        <w:spacing w:after="0"/>
        <w:rPr>
          <w:sz w:val="20"/>
          <w:szCs w:val="20"/>
          <w:color w:val="auto"/>
        </w:rPr>
      </w:pPr>
      <w:r>
        <w:rPr>
          <w:rFonts w:ascii="Arial" w:cs="Arial" w:eastAsia="Arial" w:hAnsi="Arial"/>
          <w:sz w:val="18"/>
          <w:szCs w:val="18"/>
          <w:color w:val="auto"/>
        </w:rPr>
        <w:t>Comcast MO Finance Corporation</w:t>
      </w:r>
    </w:p>
    <w:p>
      <w:pPr>
        <w:spacing w:after="0" w:line="117" w:lineRule="exact"/>
        <w:rPr>
          <w:sz w:val="20"/>
          <w:szCs w:val="20"/>
          <w:color w:val="auto"/>
        </w:rPr>
      </w:pPr>
    </w:p>
    <w:p>
      <w:pPr>
        <w:ind w:left="520"/>
        <w:spacing w:after="0"/>
        <w:rPr>
          <w:sz w:val="20"/>
          <w:szCs w:val="20"/>
          <w:color w:val="auto"/>
        </w:rPr>
      </w:pPr>
      <w:r>
        <w:rPr>
          <w:rFonts w:ascii="Arial" w:cs="Arial" w:eastAsia="Arial" w:hAnsi="Arial"/>
          <w:sz w:val="18"/>
          <w:szCs w:val="18"/>
          <w:color w:val="auto"/>
        </w:rPr>
        <w:t>Comcast MO Finance Trust I</w:t>
      </w:r>
    </w:p>
    <w:p>
      <w:pPr>
        <w:spacing w:after="0" w:line="117" w:lineRule="exact"/>
        <w:rPr>
          <w:sz w:val="20"/>
          <w:szCs w:val="20"/>
          <w:color w:val="auto"/>
        </w:rPr>
      </w:pPr>
    </w:p>
    <w:p>
      <w:pPr>
        <w:ind w:left="520"/>
        <w:spacing w:after="0"/>
        <w:rPr>
          <w:sz w:val="20"/>
          <w:szCs w:val="20"/>
          <w:color w:val="auto"/>
        </w:rPr>
      </w:pPr>
      <w:r>
        <w:rPr>
          <w:rFonts w:ascii="Arial" w:cs="Arial" w:eastAsia="Arial" w:hAnsi="Arial"/>
          <w:sz w:val="18"/>
          <w:szCs w:val="18"/>
          <w:color w:val="auto"/>
        </w:rPr>
        <w:t>Comcast MO Finance Trust II</w:t>
      </w:r>
    </w:p>
    <w:p>
      <w:pPr>
        <w:spacing w:after="0" w:line="117" w:lineRule="exact"/>
        <w:rPr>
          <w:sz w:val="20"/>
          <w:szCs w:val="20"/>
          <w:color w:val="auto"/>
        </w:rPr>
      </w:pPr>
    </w:p>
    <w:p>
      <w:pPr>
        <w:ind w:left="520"/>
        <w:spacing w:after="0"/>
        <w:rPr>
          <w:sz w:val="20"/>
          <w:szCs w:val="20"/>
          <w:color w:val="auto"/>
        </w:rPr>
      </w:pPr>
      <w:r>
        <w:rPr>
          <w:rFonts w:ascii="Arial" w:cs="Arial" w:eastAsia="Arial" w:hAnsi="Arial"/>
          <w:sz w:val="18"/>
          <w:szCs w:val="18"/>
          <w:color w:val="auto"/>
        </w:rPr>
        <w:t>Comcast MO Finance Trust III</w:t>
      </w:r>
    </w:p>
    <w:p>
      <w:pPr>
        <w:spacing w:after="0" w:line="117" w:lineRule="exact"/>
        <w:rPr>
          <w:sz w:val="20"/>
          <w:szCs w:val="20"/>
          <w:color w:val="auto"/>
        </w:rPr>
      </w:pPr>
    </w:p>
    <w:p>
      <w:pPr>
        <w:ind w:left="520"/>
        <w:spacing w:after="0"/>
        <w:rPr>
          <w:sz w:val="20"/>
          <w:szCs w:val="20"/>
          <w:color w:val="auto"/>
        </w:rPr>
      </w:pPr>
      <w:r>
        <w:rPr>
          <w:rFonts w:ascii="Arial" w:cs="Arial" w:eastAsia="Arial" w:hAnsi="Arial"/>
          <w:sz w:val="18"/>
          <w:szCs w:val="18"/>
          <w:color w:val="auto"/>
        </w:rPr>
        <w:t>Comcast MO Finance Trust IV</w:t>
      </w:r>
    </w:p>
    <w:p>
      <w:pPr>
        <w:spacing w:after="0" w:line="117" w:lineRule="exact"/>
        <w:rPr>
          <w:sz w:val="20"/>
          <w:szCs w:val="20"/>
          <w:color w:val="auto"/>
        </w:rPr>
      </w:pPr>
    </w:p>
    <w:p>
      <w:pPr>
        <w:ind w:left="520"/>
        <w:spacing w:after="0"/>
        <w:rPr>
          <w:sz w:val="20"/>
          <w:szCs w:val="20"/>
          <w:color w:val="auto"/>
        </w:rPr>
      </w:pPr>
      <w:r>
        <w:rPr>
          <w:rFonts w:ascii="Arial" w:cs="Arial" w:eastAsia="Arial" w:hAnsi="Arial"/>
          <w:sz w:val="18"/>
          <w:szCs w:val="18"/>
          <w:color w:val="auto"/>
        </w:rPr>
        <w:t>Comcast MO Finance Trust V</w:t>
      </w:r>
    </w:p>
    <w:p>
      <w:pPr>
        <w:spacing w:after="0" w:line="117" w:lineRule="exact"/>
        <w:rPr>
          <w:sz w:val="20"/>
          <w:szCs w:val="20"/>
          <w:color w:val="auto"/>
        </w:rPr>
      </w:pPr>
    </w:p>
    <w:p>
      <w:pPr>
        <w:ind w:left="520"/>
        <w:spacing w:after="0"/>
        <w:rPr>
          <w:sz w:val="20"/>
          <w:szCs w:val="20"/>
          <w:color w:val="auto"/>
        </w:rPr>
      </w:pPr>
      <w:r>
        <w:rPr>
          <w:rFonts w:ascii="Arial" w:cs="Arial" w:eastAsia="Arial" w:hAnsi="Arial"/>
          <w:sz w:val="18"/>
          <w:szCs w:val="18"/>
          <w:color w:val="auto"/>
        </w:rPr>
        <w:t>Comcast MO Finance Trust VI</w:t>
      </w:r>
    </w:p>
    <w:p>
      <w:pPr>
        <w:spacing w:after="0" w:line="117" w:lineRule="exact"/>
        <w:rPr>
          <w:sz w:val="20"/>
          <w:szCs w:val="20"/>
          <w:color w:val="auto"/>
        </w:rPr>
      </w:pPr>
    </w:p>
    <w:p>
      <w:pPr>
        <w:ind w:left="520"/>
        <w:spacing w:after="0"/>
        <w:rPr>
          <w:sz w:val="20"/>
          <w:szCs w:val="20"/>
          <w:color w:val="auto"/>
        </w:rPr>
      </w:pPr>
      <w:r>
        <w:rPr>
          <w:rFonts w:ascii="Arial" w:cs="Arial" w:eastAsia="Arial" w:hAnsi="Arial"/>
          <w:sz w:val="18"/>
          <w:szCs w:val="18"/>
          <w:color w:val="auto"/>
        </w:rPr>
        <w:t>Comcast MO Financial Services Foreign Sales, Inc.</w:t>
      </w:r>
    </w:p>
    <w:p>
      <w:pPr>
        <w:spacing w:after="0" w:line="117" w:lineRule="exact"/>
        <w:rPr>
          <w:sz w:val="20"/>
          <w:szCs w:val="20"/>
          <w:color w:val="auto"/>
        </w:rPr>
      </w:pPr>
    </w:p>
    <w:p>
      <w:pPr>
        <w:ind w:left="520"/>
        <w:spacing w:after="0"/>
        <w:rPr>
          <w:sz w:val="20"/>
          <w:szCs w:val="20"/>
          <w:color w:val="auto"/>
        </w:rPr>
      </w:pPr>
      <w:r>
        <w:rPr>
          <w:rFonts w:ascii="Arial" w:cs="Arial" w:eastAsia="Arial" w:hAnsi="Arial"/>
          <w:sz w:val="18"/>
          <w:szCs w:val="18"/>
          <w:color w:val="auto"/>
        </w:rPr>
        <w:t>Comcast MO Financial Services, Inc.</w:t>
      </w:r>
    </w:p>
    <w:p>
      <w:pPr>
        <w:spacing w:after="0" w:line="117" w:lineRule="exact"/>
        <w:rPr>
          <w:sz w:val="20"/>
          <w:szCs w:val="20"/>
          <w:color w:val="auto"/>
        </w:rPr>
      </w:pPr>
    </w:p>
    <w:p>
      <w:pPr>
        <w:ind w:left="520"/>
        <w:spacing w:after="0"/>
        <w:rPr>
          <w:sz w:val="20"/>
          <w:szCs w:val="20"/>
          <w:color w:val="auto"/>
        </w:rPr>
      </w:pPr>
      <w:r>
        <w:rPr>
          <w:rFonts w:ascii="Arial" w:cs="Arial" w:eastAsia="Arial" w:hAnsi="Arial"/>
          <w:sz w:val="18"/>
          <w:szCs w:val="18"/>
          <w:color w:val="auto"/>
        </w:rPr>
        <w:t>Comcast MO Financing A</w:t>
      </w:r>
    </w:p>
    <w:p>
      <w:pPr>
        <w:spacing w:after="0" w:line="117" w:lineRule="exact"/>
        <w:rPr>
          <w:sz w:val="20"/>
          <w:szCs w:val="20"/>
          <w:color w:val="auto"/>
        </w:rPr>
      </w:pPr>
    </w:p>
    <w:p>
      <w:pPr>
        <w:ind w:left="520"/>
        <w:spacing w:after="0"/>
        <w:rPr>
          <w:sz w:val="20"/>
          <w:szCs w:val="20"/>
          <w:color w:val="auto"/>
        </w:rPr>
      </w:pPr>
      <w:r>
        <w:rPr>
          <w:rFonts w:ascii="Arial" w:cs="Arial" w:eastAsia="Arial" w:hAnsi="Arial"/>
          <w:sz w:val="18"/>
          <w:szCs w:val="18"/>
          <w:color w:val="auto"/>
        </w:rPr>
        <w:t>Comcast MO Financing B</w:t>
      </w:r>
    </w:p>
    <w:p>
      <w:pPr>
        <w:spacing w:after="0" w:line="117" w:lineRule="exact"/>
        <w:rPr>
          <w:sz w:val="20"/>
          <w:szCs w:val="20"/>
          <w:color w:val="auto"/>
        </w:rPr>
      </w:pPr>
    </w:p>
    <w:p>
      <w:pPr>
        <w:ind w:left="520"/>
        <w:spacing w:after="0"/>
        <w:rPr>
          <w:sz w:val="20"/>
          <w:szCs w:val="20"/>
          <w:color w:val="auto"/>
        </w:rPr>
      </w:pPr>
      <w:r>
        <w:rPr>
          <w:rFonts w:ascii="Arial" w:cs="Arial" w:eastAsia="Arial" w:hAnsi="Arial"/>
          <w:sz w:val="18"/>
          <w:szCs w:val="18"/>
          <w:color w:val="auto"/>
        </w:rPr>
        <w:t>Comcast MO Foreign Investments, Inc.</w:t>
      </w:r>
    </w:p>
    <w:p>
      <w:pPr>
        <w:spacing w:after="0" w:line="117" w:lineRule="exact"/>
        <w:rPr>
          <w:sz w:val="20"/>
          <w:szCs w:val="20"/>
          <w:color w:val="auto"/>
        </w:rPr>
      </w:pPr>
    </w:p>
    <w:p>
      <w:pPr>
        <w:ind w:left="520"/>
        <w:spacing w:after="0"/>
        <w:rPr>
          <w:sz w:val="20"/>
          <w:szCs w:val="20"/>
          <w:color w:val="auto"/>
        </w:rPr>
      </w:pPr>
      <w:r>
        <w:rPr>
          <w:rFonts w:ascii="Arial" w:cs="Arial" w:eastAsia="Arial" w:hAnsi="Arial"/>
          <w:sz w:val="18"/>
          <w:szCs w:val="18"/>
          <w:color w:val="auto"/>
        </w:rPr>
        <w:t>Comcast MO FS Leasing 1995, Inc.</w:t>
      </w:r>
    </w:p>
    <w:p>
      <w:pPr>
        <w:spacing w:after="0" w:line="117" w:lineRule="exact"/>
        <w:rPr>
          <w:sz w:val="20"/>
          <w:szCs w:val="20"/>
          <w:color w:val="auto"/>
        </w:rPr>
      </w:pPr>
    </w:p>
    <w:p>
      <w:pPr>
        <w:ind w:left="520"/>
        <w:spacing w:after="0"/>
        <w:rPr>
          <w:sz w:val="20"/>
          <w:szCs w:val="20"/>
          <w:color w:val="auto"/>
        </w:rPr>
      </w:pPr>
      <w:r>
        <w:rPr>
          <w:rFonts w:ascii="Arial" w:cs="Arial" w:eastAsia="Arial" w:hAnsi="Arial"/>
          <w:sz w:val="18"/>
          <w:szCs w:val="18"/>
          <w:color w:val="auto"/>
        </w:rPr>
        <w:t>Comcast MO FSC One, Ltd.</w:t>
      </w:r>
    </w:p>
    <w:p>
      <w:pPr>
        <w:spacing w:after="0" w:line="117" w:lineRule="exact"/>
        <w:rPr>
          <w:sz w:val="20"/>
          <w:szCs w:val="20"/>
          <w:color w:val="auto"/>
        </w:rPr>
      </w:pPr>
    </w:p>
    <w:p>
      <w:pPr>
        <w:ind w:left="520"/>
        <w:spacing w:after="0"/>
        <w:rPr>
          <w:sz w:val="20"/>
          <w:szCs w:val="20"/>
          <w:color w:val="auto"/>
        </w:rPr>
      </w:pPr>
      <w:r>
        <w:rPr>
          <w:rFonts w:ascii="Arial" w:cs="Arial" w:eastAsia="Arial" w:hAnsi="Arial"/>
          <w:sz w:val="18"/>
          <w:szCs w:val="18"/>
          <w:color w:val="auto"/>
        </w:rPr>
        <w:t>Comcast MO FSC Three, Ltd.</w:t>
      </w:r>
    </w:p>
    <w:p>
      <w:pPr>
        <w:spacing w:after="0" w:line="117" w:lineRule="exact"/>
        <w:rPr>
          <w:sz w:val="20"/>
          <w:szCs w:val="20"/>
          <w:color w:val="auto"/>
        </w:rPr>
      </w:pPr>
    </w:p>
    <w:p>
      <w:pPr>
        <w:ind w:left="520"/>
        <w:spacing w:after="0"/>
        <w:rPr>
          <w:sz w:val="20"/>
          <w:szCs w:val="20"/>
          <w:color w:val="auto"/>
        </w:rPr>
      </w:pPr>
      <w:r>
        <w:rPr>
          <w:rFonts w:ascii="Arial" w:cs="Arial" w:eastAsia="Arial" w:hAnsi="Arial"/>
          <w:sz w:val="18"/>
          <w:szCs w:val="18"/>
          <w:color w:val="auto"/>
        </w:rPr>
        <w:t>Comcast MO Group Funding, Inc.</w:t>
      </w:r>
    </w:p>
    <w:p>
      <w:pPr>
        <w:spacing w:after="0" w:line="117" w:lineRule="exact"/>
        <w:rPr>
          <w:sz w:val="20"/>
          <w:szCs w:val="20"/>
          <w:color w:val="auto"/>
        </w:rPr>
      </w:pPr>
    </w:p>
    <w:p>
      <w:pPr>
        <w:ind w:left="520"/>
        <w:spacing w:after="0"/>
        <w:rPr>
          <w:sz w:val="20"/>
          <w:szCs w:val="20"/>
          <w:color w:val="auto"/>
        </w:rPr>
      </w:pPr>
      <w:r>
        <w:rPr>
          <w:rFonts w:ascii="Arial" w:cs="Arial" w:eastAsia="Arial" w:hAnsi="Arial"/>
          <w:sz w:val="18"/>
          <w:szCs w:val="18"/>
          <w:color w:val="auto"/>
        </w:rPr>
        <w:t>Comcast MO Group, Inc.</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Arial" w:cs="Arial" w:eastAsia="Arial" w:hAnsi="Arial"/>
          <w:sz w:val="18"/>
          <w:szCs w:val="18"/>
          <w:color w:val="auto"/>
        </w:rPr>
        <w:t>DE</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color w:val="auto"/>
        </w:rPr>
        <w:t>DE</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color w:val="auto"/>
        </w:rPr>
        <w:t>DE</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color w:val="auto"/>
        </w:rPr>
        <w:t>DE</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color w:val="auto"/>
        </w:rPr>
        <w:t>DE</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color w:val="auto"/>
        </w:rPr>
        <w:t>PA</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color w:val="auto"/>
        </w:rPr>
        <w:t>DE</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color w:val="auto"/>
        </w:rPr>
        <w:t>DE</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color w:val="auto"/>
        </w:rPr>
        <w:t>DE</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color w:val="auto"/>
        </w:rPr>
        <w:t>DE</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color w:val="auto"/>
        </w:rPr>
        <w:t>DE</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color w:val="auto"/>
        </w:rPr>
        <w:t>DE</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color w:val="auto"/>
        </w:rPr>
        <w:t>DE</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color w:val="auto"/>
        </w:rPr>
        <w:t>DE</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color w:val="auto"/>
        </w:rPr>
        <w:t>CO</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color w:val="auto"/>
        </w:rPr>
        <w:t>DE</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color w:val="auto"/>
        </w:rPr>
        <w:t>DE</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color w:val="auto"/>
        </w:rPr>
        <w:t>DE</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color w:val="auto"/>
        </w:rPr>
        <w:t>MI</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color w:val="auto"/>
        </w:rPr>
        <w:t>DE</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color w:val="auto"/>
        </w:rPr>
        <w:t>CO</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color w:val="auto"/>
        </w:rPr>
        <w:t>MA</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color w:val="auto"/>
        </w:rPr>
        <w:t>CO</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color w:val="auto"/>
        </w:rPr>
        <w:t>DE</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color w:val="auto"/>
        </w:rPr>
        <w:t>CO</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color w:val="auto"/>
        </w:rPr>
        <w:t>MA</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color w:val="auto"/>
        </w:rPr>
        <w:t>CO</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color w:val="auto"/>
        </w:rPr>
        <w:t>OH</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color w:val="auto"/>
        </w:rPr>
        <w:t>CA</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color w:val="auto"/>
        </w:rPr>
        <w:t>DE</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color w:val="auto"/>
        </w:rPr>
        <w:t>MA</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color w:val="auto"/>
        </w:rPr>
        <w:t>VA</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color w:val="auto"/>
        </w:rPr>
        <w:t>DE</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color w:val="auto"/>
        </w:rPr>
        <w:t>CO</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color w:val="auto"/>
        </w:rPr>
        <w:t>DE</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color w:val="auto"/>
        </w:rPr>
        <w:t>DE</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color w:val="auto"/>
        </w:rPr>
        <w:t>DE</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color w:val="auto"/>
        </w:rPr>
        <w:t>DE</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color w:val="auto"/>
        </w:rPr>
        <w:t>DE</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color w:val="auto"/>
        </w:rPr>
        <w:t>DE</w:t>
      </w:r>
    </w:p>
    <w:p>
      <w:pPr>
        <w:spacing w:after="0" w:line="117" w:lineRule="exact"/>
        <w:rPr>
          <w:sz w:val="20"/>
          <w:szCs w:val="20"/>
          <w:color w:val="auto"/>
        </w:rPr>
      </w:pPr>
    </w:p>
    <w:p>
      <w:pPr>
        <w:spacing w:after="0"/>
        <w:rPr>
          <w:sz w:val="20"/>
          <w:szCs w:val="20"/>
          <w:color w:val="auto"/>
        </w:rPr>
      </w:pPr>
      <w:r>
        <w:rPr>
          <w:rFonts w:ascii="Arial" w:cs="Arial" w:eastAsia="Arial" w:hAnsi="Arial"/>
          <w:sz w:val="15"/>
          <w:szCs w:val="15"/>
          <w:color w:val="auto"/>
        </w:rPr>
        <w:t>United States Virgin Islands</w:t>
      </w:r>
    </w:p>
    <w:p>
      <w:pPr>
        <w:spacing w:after="0" w:line="152" w:lineRule="exact"/>
        <w:rPr>
          <w:sz w:val="20"/>
          <w:szCs w:val="20"/>
          <w:color w:val="auto"/>
        </w:rPr>
      </w:pPr>
    </w:p>
    <w:p>
      <w:pPr>
        <w:spacing w:after="0"/>
        <w:rPr>
          <w:sz w:val="20"/>
          <w:szCs w:val="20"/>
          <w:color w:val="auto"/>
        </w:rPr>
      </w:pPr>
      <w:r>
        <w:rPr>
          <w:rFonts w:ascii="Arial" w:cs="Arial" w:eastAsia="Arial" w:hAnsi="Arial"/>
          <w:sz w:val="18"/>
          <w:szCs w:val="18"/>
          <w:color w:val="auto"/>
        </w:rPr>
        <w:t>CO</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color w:val="auto"/>
        </w:rPr>
        <w:t>DE</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color w:val="auto"/>
        </w:rPr>
        <w:t>DE</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color w:val="auto"/>
        </w:rPr>
        <w:t>CO</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color w:val="auto"/>
        </w:rPr>
        <w:t>CO</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color w:val="auto"/>
        </w:rPr>
        <w:t>Bermuda</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color w:val="auto"/>
        </w:rPr>
        <w:t>Bermuda</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color w:val="auto"/>
        </w:rPr>
        <w:t>DE</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color w:val="auto"/>
        </w:rPr>
        <w:t>DE</w:t>
      </w:r>
    </w:p>
    <w:p>
      <w:pPr>
        <w:sectPr>
          <w:pgSz w:w="11900" w:h="16838" w:orient="portrait"/>
          <w:cols w:equalWidth="0" w:num="2">
            <w:col w:w="5820" w:space="720"/>
            <w:col w:w="2479"/>
          </w:cols>
          <w:pgMar w:left="1440" w:top="388" w:right="1440" w:bottom="0" w:gutter="0" w:footer="0" w:header="0"/>
        </w:sectPr>
      </w:pPr>
    </w:p>
    <w:bookmarkStart w:id="166" w:name="page167"/>
    <w:bookmarkEnd w:id="166"/>
    <w:p>
      <w:pPr>
        <w:ind w:left="520"/>
        <w:spacing w:after="0"/>
        <w:rPr>
          <w:sz w:val="20"/>
          <w:szCs w:val="20"/>
          <w:color w:val="auto"/>
        </w:rPr>
      </w:pPr>
      <w:r>
        <w:rPr>
          <w:rFonts w:ascii="Arial" w:cs="Arial" w:eastAsia="Arial" w:hAnsi="Arial"/>
          <w:sz w:val="16"/>
          <w:szCs w:val="16"/>
          <w:color w:val="auto"/>
        </w:rPr>
        <w:t>Comcast MO Holdings I, LLC</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Arial" w:cs="Arial" w:eastAsia="Arial" w:hAnsi="Arial"/>
          <w:sz w:val="15"/>
          <w:szCs w:val="15"/>
          <w:color w:val="auto"/>
        </w:rPr>
        <w:t>DE</w:t>
      </w:r>
    </w:p>
    <w:p>
      <w:pPr>
        <w:spacing w:after="0" w:line="151" w:lineRule="exact"/>
        <w:rPr>
          <w:sz w:val="20"/>
          <w:szCs w:val="20"/>
          <w:color w:val="auto"/>
        </w:rPr>
      </w:pPr>
    </w:p>
    <w:p>
      <w:pPr>
        <w:sectPr>
          <w:pgSz w:w="11900" w:h="16838" w:orient="portrait"/>
          <w:cols w:equalWidth="0" w:num="2">
            <w:col w:w="5820" w:space="720"/>
            <w:col w:w="2479"/>
          </w:cols>
          <w:pgMar w:left="1440" w:top="131" w:right="1440" w:bottom="1440" w:gutter="0" w:footer="0" w:header="0"/>
        </w:sectPr>
      </w:pPr>
    </w:p>
    <w:p>
      <w:pPr>
        <w:ind w:left="520"/>
        <w:spacing w:after="0"/>
        <w:rPr>
          <w:sz w:val="20"/>
          <w:szCs w:val="20"/>
          <w:color w:val="auto"/>
        </w:rPr>
      </w:pPr>
      <w:r>
        <w:rPr>
          <w:rFonts w:ascii="Arial" w:cs="Arial" w:eastAsia="Arial" w:hAnsi="Arial"/>
          <w:sz w:val="16"/>
          <w:szCs w:val="16"/>
          <w:color w:val="auto"/>
        </w:rPr>
        <w:t>Comcast MO Holdings II, Inc.</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Arial" w:cs="Arial" w:eastAsia="Arial" w:hAnsi="Arial"/>
          <w:sz w:val="15"/>
          <w:szCs w:val="15"/>
          <w:color w:val="auto"/>
        </w:rPr>
        <w:t>DE</w:t>
      </w:r>
    </w:p>
    <w:p>
      <w:pPr>
        <w:sectPr>
          <w:pgSz w:w="11900" w:h="16838" w:orient="portrait"/>
          <w:cols w:equalWidth="0" w:num="2">
            <w:col w:w="5820" w:space="720"/>
            <w:col w:w="2479"/>
          </w:cols>
          <w:pgMar w:left="1440" w:top="131" w:right="1440" w:bottom="1440" w:gutter="0" w:footer="0" w:header="0"/>
          <w:type w:val="continuous"/>
        </w:sectPr>
      </w:pPr>
    </w:p>
    <w:bookmarkStart w:id="167" w:name="page168"/>
    <w:bookmarkEnd w:id="167"/>
    <w:p>
      <w:pPr>
        <w:ind w:left="520"/>
        <w:spacing w:after="0"/>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239" name="Picture 2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9"/>
                    <pic:cNvPicPr>
                      <a:picLocks noChangeAspect="1" noChangeArrowheads="1"/>
                    </pic:cNvPicPr>
                  </pic:nvPicPr>
                  <pic:blipFill>
                    <a:blip r:embed="rId246">
                      <a:extLst>
                        <a:ext uri="{28A0092B-C50C-407E-A947-70E740481C1C}"/>
                      </a:extLst>
                    </a:blip>
                    <a:srcRect/>
                    <a:stretch>
                      <a:fillRect/>
                    </a:stretch>
                  </pic:blipFill>
                  <pic:spPr bwMode="auto">
                    <a:xfrm>
                      <a:off x="0" y="0"/>
                      <a:ext cx="7267575" cy="27940"/>
                    </a:xfrm>
                    <a:prstGeom prst="rect">
                      <a:avLst/>
                    </a:prstGeom>
                    <a:noFill/>
                  </pic:spPr>
                </pic:pic>
              </a:graphicData>
            </a:graphic>
          </wp:anchor>
        </w:drawing>
        <w:t>Comcast MO Information Technology Systems, Inc.</w:t>
      </w:r>
    </w:p>
    <w:p>
      <w:pPr>
        <w:spacing w:after="0" w:line="140" w:lineRule="exact"/>
        <w:rPr>
          <w:sz w:val="20"/>
          <w:szCs w:val="20"/>
          <w:color w:val="auto"/>
        </w:rPr>
      </w:pPr>
    </w:p>
    <w:p>
      <w:pPr>
        <w:ind w:left="520"/>
        <w:spacing w:after="0"/>
        <w:rPr>
          <w:sz w:val="20"/>
          <w:szCs w:val="20"/>
          <w:color w:val="auto"/>
        </w:rPr>
      </w:pPr>
      <w:r>
        <w:rPr>
          <w:rFonts w:ascii="Arial" w:cs="Arial" w:eastAsia="Arial" w:hAnsi="Arial"/>
          <w:sz w:val="18"/>
          <w:szCs w:val="18"/>
          <w:color w:val="auto"/>
        </w:rPr>
        <w:t>Comcast MO Interactive Services, Inc.</w:t>
      </w:r>
    </w:p>
    <w:p>
      <w:pPr>
        <w:spacing w:after="0" w:line="117" w:lineRule="exact"/>
        <w:rPr>
          <w:sz w:val="20"/>
          <w:szCs w:val="20"/>
          <w:color w:val="auto"/>
        </w:rPr>
      </w:pPr>
    </w:p>
    <w:p>
      <w:pPr>
        <w:ind w:left="520"/>
        <w:spacing w:after="0"/>
        <w:rPr>
          <w:sz w:val="20"/>
          <w:szCs w:val="20"/>
          <w:color w:val="auto"/>
        </w:rPr>
      </w:pPr>
      <w:r>
        <w:rPr>
          <w:rFonts w:ascii="Arial" w:cs="Arial" w:eastAsia="Arial" w:hAnsi="Arial"/>
          <w:sz w:val="18"/>
          <w:szCs w:val="18"/>
          <w:color w:val="auto"/>
        </w:rPr>
        <w:t>Comcast MO International Holdings II, Inc.</w:t>
      </w:r>
    </w:p>
    <w:p>
      <w:pPr>
        <w:spacing w:after="0" w:line="117" w:lineRule="exact"/>
        <w:rPr>
          <w:sz w:val="20"/>
          <w:szCs w:val="20"/>
          <w:color w:val="auto"/>
        </w:rPr>
      </w:pPr>
    </w:p>
    <w:p>
      <w:pPr>
        <w:ind w:left="520"/>
        <w:spacing w:after="0"/>
        <w:rPr>
          <w:sz w:val="20"/>
          <w:szCs w:val="20"/>
          <w:color w:val="auto"/>
        </w:rPr>
      </w:pPr>
      <w:r>
        <w:rPr>
          <w:rFonts w:ascii="Arial" w:cs="Arial" w:eastAsia="Arial" w:hAnsi="Arial"/>
          <w:sz w:val="18"/>
          <w:szCs w:val="18"/>
          <w:color w:val="auto"/>
        </w:rPr>
        <w:t>Comcast MO International Programming, Inc.</w:t>
      </w:r>
    </w:p>
    <w:p>
      <w:pPr>
        <w:spacing w:after="0" w:line="117" w:lineRule="exact"/>
        <w:rPr>
          <w:sz w:val="20"/>
          <w:szCs w:val="20"/>
          <w:color w:val="auto"/>
        </w:rPr>
      </w:pPr>
    </w:p>
    <w:p>
      <w:pPr>
        <w:ind w:left="520"/>
        <w:spacing w:after="0"/>
        <w:rPr>
          <w:sz w:val="20"/>
          <w:szCs w:val="20"/>
          <w:color w:val="auto"/>
        </w:rPr>
      </w:pPr>
      <w:r>
        <w:rPr>
          <w:rFonts w:ascii="Arial" w:cs="Arial" w:eastAsia="Arial" w:hAnsi="Arial"/>
          <w:sz w:val="18"/>
          <w:szCs w:val="18"/>
          <w:color w:val="auto"/>
        </w:rPr>
        <w:t>Comcast MO International, Inc.</w:t>
      </w:r>
    </w:p>
    <w:p>
      <w:pPr>
        <w:spacing w:after="0" w:line="117" w:lineRule="exact"/>
        <w:rPr>
          <w:sz w:val="20"/>
          <w:szCs w:val="20"/>
          <w:color w:val="auto"/>
        </w:rPr>
      </w:pPr>
    </w:p>
    <w:p>
      <w:pPr>
        <w:ind w:left="520"/>
        <w:spacing w:after="0"/>
        <w:rPr>
          <w:sz w:val="20"/>
          <w:szCs w:val="20"/>
          <w:color w:val="auto"/>
        </w:rPr>
      </w:pPr>
      <w:r>
        <w:rPr>
          <w:rFonts w:ascii="Arial" w:cs="Arial" w:eastAsia="Arial" w:hAnsi="Arial"/>
          <w:sz w:val="18"/>
          <w:szCs w:val="18"/>
          <w:color w:val="auto"/>
        </w:rPr>
        <w:t>Comcast MO Investments, Inc.</w:t>
      </w:r>
    </w:p>
    <w:p>
      <w:pPr>
        <w:spacing w:after="0" w:line="117" w:lineRule="exact"/>
        <w:rPr>
          <w:sz w:val="20"/>
          <w:szCs w:val="20"/>
          <w:color w:val="auto"/>
        </w:rPr>
      </w:pPr>
    </w:p>
    <w:p>
      <w:pPr>
        <w:ind w:left="520"/>
        <w:spacing w:after="0"/>
        <w:rPr>
          <w:sz w:val="20"/>
          <w:szCs w:val="20"/>
          <w:color w:val="auto"/>
        </w:rPr>
      </w:pPr>
      <w:r>
        <w:rPr>
          <w:rFonts w:ascii="Arial" w:cs="Arial" w:eastAsia="Arial" w:hAnsi="Arial"/>
          <w:sz w:val="16"/>
          <w:szCs w:val="16"/>
          <w:color w:val="auto"/>
        </w:rPr>
        <w:t>Comcast MO Leveraged Lease Partners 1997, LP</w:t>
      </w:r>
    </w:p>
    <w:p>
      <w:pPr>
        <w:spacing w:after="0" w:line="140" w:lineRule="exact"/>
        <w:rPr>
          <w:sz w:val="20"/>
          <w:szCs w:val="20"/>
          <w:color w:val="auto"/>
        </w:rPr>
      </w:pPr>
    </w:p>
    <w:p>
      <w:pPr>
        <w:ind w:left="520"/>
        <w:spacing w:after="0"/>
        <w:rPr>
          <w:sz w:val="20"/>
          <w:szCs w:val="20"/>
          <w:color w:val="auto"/>
        </w:rPr>
      </w:pPr>
      <w:r>
        <w:rPr>
          <w:rFonts w:ascii="Arial" w:cs="Arial" w:eastAsia="Arial" w:hAnsi="Arial"/>
          <w:sz w:val="18"/>
          <w:szCs w:val="18"/>
          <w:color w:val="auto"/>
        </w:rPr>
        <w:t>Comcast MO of Burnsville/Eagan, Inc.</w:t>
      </w:r>
    </w:p>
    <w:p>
      <w:pPr>
        <w:spacing w:after="0" w:line="117" w:lineRule="exact"/>
        <w:rPr>
          <w:sz w:val="20"/>
          <w:szCs w:val="20"/>
          <w:color w:val="auto"/>
        </w:rPr>
      </w:pPr>
    </w:p>
    <w:p>
      <w:pPr>
        <w:ind w:left="520"/>
        <w:spacing w:after="0"/>
        <w:rPr>
          <w:sz w:val="20"/>
          <w:szCs w:val="20"/>
          <w:color w:val="auto"/>
        </w:rPr>
      </w:pPr>
      <w:r>
        <w:rPr>
          <w:rFonts w:ascii="Arial" w:cs="Arial" w:eastAsia="Arial" w:hAnsi="Arial"/>
          <w:sz w:val="18"/>
          <w:szCs w:val="18"/>
          <w:color w:val="auto"/>
        </w:rPr>
        <w:t>Comcast MO of Delaware, LLC</w:t>
      </w:r>
    </w:p>
    <w:p>
      <w:pPr>
        <w:spacing w:after="0" w:line="117" w:lineRule="exact"/>
        <w:rPr>
          <w:sz w:val="20"/>
          <w:szCs w:val="20"/>
          <w:color w:val="auto"/>
        </w:rPr>
      </w:pPr>
    </w:p>
    <w:p>
      <w:pPr>
        <w:ind w:left="520"/>
        <w:spacing w:after="0"/>
        <w:rPr>
          <w:sz w:val="20"/>
          <w:szCs w:val="20"/>
          <w:color w:val="auto"/>
        </w:rPr>
      </w:pPr>
      <w:r>
        <w:rPr>
          <w:rFonts w:ascii="Arial" w:cs="Arial" w:eastAsia="Arial" w:hAnsi="Arial"/>
          <w:sz w:val="18"/>
          <w:szCs w:val="18"/>
          <w:color w:val="auto"/>
        </w:rPr>
        <w:t>Comcast MO of Minnesota, Inc.</w:t>
      </w:r>
    </w:p>
    <w:p>
      <w:pPr>
        <w:spacing w:after="0" w:line="117" w:lineRule="exact"/>
        <w:rPr>
          <w:sz w:val="20"/>
          <w:szCs w:val="20"/>
          <w:color w:val="auto"/>
        </w:rPr>
      </w:pPr>
    </w:p>
    <w:p>
      <w:pPr>
        <w:ind w:left="520"/>
        <w:spacing w:after="0"/>
        <w:rPr>
          <w:sz w:val="20"/>
          <w:szCs w:val="20"/>
          <w:color w:val="auto"/>
        </w:rPr>
      </w:pPr>
      <w:r>
        <w:rPr>
          <w:rFonts w:ascii="Arial" w:cs="Arial" w:eastAsia="Arial" w:hAnsi="Arial"/>
          <w:sz w:val="18"/>
          <w:szCs w:val="18"/>
          <w:color w:val="auto"/>
        </w:rPr>
        <w:t>Comcast MO of North Valley, Inc.</w:t>
      </w:r>
    </w:p>
    <w:p>
      <w:pPr>
        <w:spacing w:after="0" w:line="117" w:lineRule="exact"/>
        <w:rPr>
          <w:sz w:val="20"/>
          <w:szCs w:val="20"/>
          <w:color w:val="auto"/>
        </w:rPr>
      </w:pPr>
    </w:p>
    <w:p>
      <w:pPr>
        <w:ind w:left="520"/>
        <w:spacing w:after="0"/>
        <w:rPr>
          <w:sz w:val="20"/>
          <w:szCs w:val="20"/>
          <w:color w:val="auto"/>
        </w:rPr>
      </w:pPr>
      <w:r>
        <w:rPr>
          <w:rFonts w:ascii="Arial" w:cs="Arial" w:eastAsia="Arial" w:hAnsi="Arial"/>
          <w:sz w:val="18"/>
          <w:szCs w:val="18"/>
          <w:color w:val="auto"/>
        </w:rPr>
        <w:t>Comcast MO of Quad Cities, Inc.</w:t>
      </w:r>
    </w:p>
    <w:p>
      <w:pPr>
        <w:spacing w:after="0" w:line="117" w:lineRule="exact"/>
        <w:rPr>
          <w:sz w:val="20"/>
          <w:szCs w:val="20"/>
          <w:color w:val="auto"/>
        </w:rPr>
      </w:pPr>
    </w:p>
    <w:p>
      <w:pPr>
        <w:ind w:left="520"/>
        <w:spacing w:after="0"/>
        <w:rPr>
          <w:sz w:val="20"/>
          <w:szCs w:val="20"/>
          <w:color w:val="auto"/>
        </w:rPr>
      </w:pPr>
      <w:r>
        <w:rPr>
          <w:rFonts w:ascii="Arial" w:cs="Arial" w:eastAsia="Arial" w:hAnsi="Arial"/>
          <w:sz w:val="18"/>
          <w:szCs w:val="18"/>
          <w:color w:val="auto"/>
        </w:rPr>
        <w:t>Comcast MO of the North Suburbs, Inc.</w:t>
      </w:r>
    </w:p>
    <w:p>
      <w:pPr>
        <w:spacing w:after="0" w:line="117" w:lineRule="exact"/>
        <w:rPr>
          <w:sz w:val="20"/>
          <w:szCs w:val="20"/>
          <w:color w:val="auto"/>
        </w:rPr>
      </w:pPr>
    </w:p>
    <w:p>
      <w:pPr>
        <w:ind w:left="520"/>
        <w:spacing w:after="0"/>
        <w:rPr>
          <w:sz w:val="20"/>
          <w:szCs w:val="20"/>
          <w:color w:val="auto"/>
        </w:rPr>
      </w:pPr>
      <w:r>
        <w:rPr>
          <w:rFonts w:ascii="Arial" w:cs="Arial" w:eastAsia="Arial" w:hAnsi="Arial"/>
          <w:sz w:val="18"/>
          <w:szCs w:val="18"/>
          <w:color w:val="auto"/>
        </w:rPr>
        <w:t>Comcast MO Racing, Inc.</w:t>
      </w:r>
    </w:p>
    <w:p>
      <w:pPr>
        <w:spacing w:after="0" w:line="117" w:lineRule="exact"/>
        <w:rPr>
          <w:sz w:val="20"/>
          <w:szCs w:val="20"/>
          <w:color w:val="auto"/>
        </w:rPr>
      </w:pPr>
    </w:p>
    <w:p>
      <w:pPr>
        <w:ind w:left="520"/>
        <w:spacing w:after="0"/>
        <w:rPr>
          <w:sz w:val="20"/>
          <w:szCs w:val="20"/>
          <w:color w:val="auto"/>
        </w:rPr>
      </w:pPr>
      <w:r>
        <w:rPr>
          <w:rFonts w:ascii="Arial" w:cs="Arial" w:eastAsia="Arial" w:hAnsi="Arial"/>
          <w:sz w:val="18"/>
          <w:szCs w:val="18"/>
          <w:color w:val="auto"/>
        </w:rPr>
        <w:t>Comcast MO Real Estate, Inc.</w:t>
      </w:r>
    </w:p>
    <w:p>
      <w:pPr>
        <w:spacing w:after="0" w:line="117" w:lineRule="exact"/>
        <w:rPr>
          <w:sz w:val="20"/>
          <w:szCs w:val="20"/>
          <w:color w:val="auto"/>
        </w:rPr>
      </w:pPr>
    </w:p>
    <w:p>
      <w:pPr>
        <w:ind w:left="520"/>
        <w:spacing w:after="0"/>
        <w:rPr>
          <w:sz w:val="20"/>
          <w:szCs w:val="20"/>
          <w:color w:val="auto"/>
        </w:rPr>
      </w:pPr>
      <w:r>
        <w:rPr>
          <w:rFonts w:ascii="Arial" w:cs="Arial" w:eastAsia="Arial" w:hAnsi="Arial"/>
          <w:sz w:val="18"/>
          <w:szCs w:val="18"/>
          <w:color w:val="auto"/>
        </w:rPr>
        <w:t>Comcast MO SPC I, LLC</w:t>
      </w:r>
    </w:p>
    <w:p>
      <w:pPr>
        <w:spacing w:after="0" w:line="117" w:lineRule="exact"/>
        <w:rPr>
          <w:sz w:val="20"/>
          <w:szCs w:val="20"/>
          <w:color w:val="auto"/>
        </w:rPr>
      </w:pPr>
    </w:p>
    <w:p>
      <w:pPr>
        <w:ind w:left="520"/>
        <w:spacing w:after="0"/>
        <w:rPr>
          <w:sz w:val="20"/>
          <w:szCs w:val="20"/>
          <w:color w:val="auto"/>
        </w:rPr>
      </w:pPr>
      <w:r>
        <w:rPr>
          <w:rFonts w:ascii="Arial" w:cs="Arial" w:eastAsia="Arial" w:hAnsi="Arial"/>
          <w:sz w:val="18"/>
          <w:szCs w:val="18"/>
          <w:color w:val="auto"/>
        </w:rPr>
        <w:t>Comcast MO SPC II, LLC</w:t>
      </w:r>
    </w:p>
    <w:p>
      <w:pPr>
        <w:spacing w:after="0" w:line="117" w:lineRule="exact"/>
        <w:rPr>
          <w:sz w:val="20"/>
          <w:szCs w:val="20"/>
          <w:color w:val="auto"/>
        </w:rPr>
      </w:pPr>
    </w:p>
    <w:p>
      <w:pPr>
        <w:ind w:left="520"/>
        <w:spacing w:after="0"/>
        <w:rPr>
          <w:sz w:val="20"/>
          <w:szCs w:val="20"/>
          <w:color w:val="auto"/>
        </w:rPr>
      </w:pPr>
      <w:r>
        <w:rPr>
          <w:rFonts w:ascii="Arial" w:cs="Arial" w:eastAsia="Arial" w:hAnsi="Arial"/>
          <w:sz w:val="18"/>
          <w:szCs w:val="18"/>
          <w:color w:val="auto"/>
        </w:rPr>
        <w:t>Comcast MO SPC III, LLC</w:t>
      </w:r>
    </w:p>
    <w:p>
      <w:pPr>
        <w:spacing w:after="0" w:line="117" w:lineRule="exact"/>
        <w:rPr>
          <w:sz w:val="20"/>
          <w:szCs w:val="20"/>
          <w:color w:val="auto"/>
        </w:rPr>
      </w:pPr>
    </w:p>
    <w:p>
      <w:pPr>
        <w:ind w:left="520"/>
        <w:spacing w:after="0"/>
        <w:rPr>
          <w:sz w:val="20"/>
          <w:szCs w:val="20"/>
          <w:color w:val="auto"/>
        </w:rPr>
      </w:pPr>
      <w:r>
        <w:rPr>
          <w:rFonts w:ascii="Arial" w:cs="Arial" w:eastAsia="Arial" w:hAnsi="Arial"/>
          <w:sz w:val="18"/>
          <w:szCs w:val="18"/>
          <w:color w:val="auto"/>
        </w:rPr>
        <w:t>Comcast MO SPC IV, LLC</w:t>
      </w:r>
    </w:p>
    <w:p>
      <w:pPr>
        <w:spacing w:after="0" w:line="117" w:lineRule="exact"/>
        <w:rPr>
          <w:sz w:val="20"/>
          <w:szCs w:val="20"/>
          <w:color w:val="auto"/>
        </w:rPr>
      </w:pPr>
    </w:p>
    <w:p>
      <w:pPr>
        <w:ind w:left="520"/>
        <w:spacing w:after="0"/>
        <w:rPr>
          <w:sz w:val="20"/>
          <w:szCs w:val="20"/>
          <w:color w:val="auto"/>
        </w:rPr>
      </w:pPr>
      <w:r>
        <w:rPr>
          <w:rFonts w:ascii="Arial" w:cs="Arial" w:eastAsia="Arial" w:hAnsi="Arial"/>
          <w:sz w:val="18"/>
          <w:szCs w:val="18"/>
          <w:color w:val="auto"/>
        </w:rPr>
        <w:t>Comcast MO SPC V, LLC</w:t>
      </w:r>
    </w:p>
    <w:p>
      <w:pPr>
        <w:spacing w:after="0" w:line="117" w:lineRule="exact"/>
        <w:rPr>
          <w:sz w:val="20"/>
          <w:szCs w:val="20"/>
          <w:color w:val="auto"/>
        </w:rPr>
      </w:pPr>
    </w:p>
    <w:p>
      <w:pPr>
        <w:ind w:left="520"/>
        <w:spacing w:after="0"/>
        <w:rPr>
          <w:sz w:val="20"/>
          <w:szCs w:val="20"/>
          <w:color w:val="auto"/>
        </w:rPr>
      </w:pPr>
      <w:r>
        <w:rPr>
          <w:rFonts w:ascii="Arial" w:cs="Arial" w:eastAsia="Arial" w:hAnsi="Arial"/>
          <w:sz w:val="18"/>
          <w:szCs w:val="18"/>
          <w:color w:val="auto"/>
        </w:rPr>
        <w:t>Comcast MO SPC VI, LLC</w:t>
      </w:r>
    </w:p>
    <w:p>
      <w:pPr>
        <w:spacing w:after="0" w:line="117" w:lineRule="exact"/>
        <w:rPr>
          <w:sz w:val="20"/>
          <w:szCs w:val="20"/>
          <w:color w:val="auto"/>
        </w:rPr>
      </w:pPr>
    </w:p>
    <w:p>
      <w:pPr>
        <w:ind w:left="520"/>
        <w:spacing w:after="0"/>
        <w:rPr>
          <w:sz w:val="20"/>
          <w:szCs w:val="20"/>
          <w:color w:val="auto"/>
        </w:rPr>
      </w:pPr>
      <w:r>
        <w:rPr>
          <w:rFonts w:ascii="Arial" w:cs="Arial" w:eastAsia="Arial" w:hAnsi="Arial"/>
          <w:sz w:val="18"/>
          <w:szCs w:val="18"/>
          <w:color w:val="auto"/>
        </w:rPr>
        <w:t>Comcast MO SPE, Inc.</w:t>
      </w:r>
    </w:p>
    <w:p>
      <w:pPr>
        <w:spacing w:after="0" w:line="117" w:lineRule="exact"/>
        <w:rPr>
          <w:sz w:val="20"/>
          <w:szCs w:val="20"/>
          <w:color w:val="auto"/>
        </w:rPr>
      </w:pPr>
    </w:p>
    <w:p>
      <w:pPr>
        <w:ind w:left="520"/>
        <w:spacing w:after="0"/>
        <w:rPr>
          <w:sz w:val="20"/>
          <w:szCs w:val="20"/>
          <w:color w:val="auto"/>
        </w:rPr>
      </w:pPr>
      <w:r>
        <w:rPr>
          <w:rFonts w:ascii="Arial" w:cs="Arial" w:eastAsia="Arial" w:hAnsi="Arial"/>
          <w:sz w:val="18"/>
          <w:szCs w:val="18"/>
          <w:color w:val="auto"/>
        </w:rPr>
        <w:t>Comcast MO Telecommunications Corp.</w:t>
      </w:r>
    </w:p>
    <w:p>
      <w:pPr>
        <w:spacing w:after="0" w:line="117" w:lineRule="exact"/>
        <w:rPr>
          <w:sz w:val="20"/>
          <w:szCs w:val="20"/>
          <w:color w:val="auto"/>
        </w:rPr>
      </w:pPr>
    </w:p>
    <w:p>
      <w:pPr>
        <w:ind w:left="520"/>
        <w:spacing w:after="0"/>
        <w:rPr>
          <w:sz w:val="20"/>
          <w:szCs w:val="20"/>
          <w:color w:val="auto"/>
        </w:rPr>
      </w:pPr>
      <w:r>
        <w:rPr>
          <w:rFonts w:ascii="Arial" w:cs="Arial" w:eastAsia="Arial" w:hAnsi="Arial"/>
          <w:sz w:val="18"/>
          <w:szCs w:val="18"/>
          <w:color w:val="auto"/>
        </w:rPr>
        <w:t>Comcast Multicable Media, Inc.</w:t>
      </w:r>
    </w:p>
    <w:p>
      <w:pPr>
        <w:spacing w:after="0" w:line="117" w:lineRule="exact"/>
        <w:rPr>
          <w:sz w:val="20"/>
          <w:szCs w:val="20"/>
          <w:color w:val="auto"/>
        </w:rPr>
      </w:pPr>
    </w:p>
    <w:p>
      <w:pPr>
        <w:ind w:left="520"/>
        <w:spacing w:after="0"/>
        <w:rPr>
          <w:sz w:val="20"/>
          <w:szCs w:val="20"/>
          <w:color w:val="auto"/>
        </w:rPr>
      </w:pPr>
      <w:r>
        <w:rPr>
          <w:rFonts w:ascii="Arial" w:cs="Arial" w:eastAsia="Arial" w:hAnsi="Arial"/>
          <w:sz w:val="18"/>
          <w:szCs w:val="18"/>
          <w:color w:val="auto"/>
        </w:rPr>
        <w:t>Comcast Nashville Finance</w:t>
      </w:r>
    </w:p>
    <w:p>
      <w:pPr>
        <w:spacing w:after="0" w:line="117" w:lineRule="exact"/>
        <w:rPr>
          <w:sz w:val="20"/>
          <w:szCs w:val="20"/>
          <w:color w:val="auto"/>
        </w:rPr>
      </w:pPr>
    </w:p>
    <w:p>
      <w:pPr>
        <w:ind w:left="520"/>
        <w:spacing w:after="0"/>
        <w:rPr>
          <w:sz w:val="20"/>
          <w:szCs w:val="20"/>
          <w:color w:val="auto"/>
        </w:rPr>
      </w:pPr>
      <w:r>
        <w:rPr>
          <w:rFonts w:ascii="Arial" w:cs="Arial" w:eastAsia="Arial" w:hAnsi="Arial"/>
          <w:sz w:val="16"/>
          <w:szCs w:val="16"/>
          <w:color w:val="auto"/>
        </w:rPr>
        <w:t>Comcast National Communications Services, LLC</w:t>
      </w:r>
    </w:p>
    <w:p>
      <w:pPr>
        <w:spacing w:after="0" w:line="140" w:lineRule="exact"/>
        <w:rPr>
          <w:sz w:val="20"/>
          <w:szCs w:val="20"/>
          <w:color w:val="auto"/>
        </w:rPr>
      </w:pPr>
    </w:p>
    <w:p>
      <w:pPr>
        <w:ind w:left="520"/>
        <w:spacing w:after="0"/>
        <w:rPr>
          <w:sz w:val="20"/>
          <w:szCs w:val="20"/>
          <w:color w:val="auto"/>
        </w:rPr>
      </w:pPr>
      <w:r>
        <w:rPr>
          <w:rFonts w:ascii="Arial" w:cs="Arial" w:eastAsia="Arial" w:hAnsi="Arial"/>
          <w:sz w:val="18"/>
          <w:szCs w:val="18"/>
          <w:color w:val="auto"/>
        </w:rPr>
        <w:t>Comcast NCC Holdings I, LLC</w:t>
      </w:r>
    </w:p>
    <w:p>
      <w:pPr>
        <w:spacing w:after="0" w:line="117" w:lineRule="exact"/>
        <w:rPr>
          <w:sz w:val="20"/>
          <w:szCs w:val="20"/>
          <w:color w:val="auto"/>
        </w:rPr>
      </w:pPr>
    </w:p>
    <w:p>
      <w:pPr>
        <w:ind w:left="520"/>
        <w:spacing w:after="0"/>
        <w:rPr>
          <w:sz w:val="20"/>
          <w:szCs w:val="20"/>
          <w:color w:val="auto"/>
        </w:rPr>
      </w:pPr>
      <w:r>
        <w:rPr>
          <w:rFonts w:ascii="Arial" w:cs="Arial" w:eastAsia="Arial" w:hAnsi="Arial"/>
          <w:sz w:val="18"/>
          <w:szCs w:val="18"/>
          <w:color w:val="auto"/>
        </w:rPr>
        <w:t>Comcast NCC Holdings II, LLC</w:t>
      </w:r>
    </w:p>
    <w:p>
      <w:pPr>
        <w:spacing w:after="0" w:line="117" w:lineRule="exact"/>
        <w:rPr>
          <w:sz w:val="20"/>
          <w:szCs w:val="20"/>
          <w:color w:val="auto"/>
        </w:rPr>
      </w:pPr>
    </w:p>
    <w:p>
      <w:pPr>
        <w:ind w:left="520"/>
        <w:spacing w:after="0"/>
        <w:rPr>
          <w:sz w:val="20"/>
          <w:szCs w:val="20"/>
          <w:color w:val="auto"/>
        </w:rPr>
      </w:pPr>
      <w:r>
        <w:rPr>
          <w:rFonts w:ascii="Arial" w:cs="Arial" w:eastAsia="Arial" w:hAnsi="Arial"/>
          <w:sz w:val="18"/>
          <w:szCs w:val="18"/>
          <w:color w:val="auto"/>
        </w:rPr>
        <w:t>Comcast NCC Holdings III, LLC</w:t>
      </w:r>
    </w:p>
    <w:p>
      <w:pPr>
        <w:spacing w:after="0" w:line="117" w:lineRule="exact"/>
        <w:rPr>
          <w:sz w:val="20"/>
          <w:szCs w:val="20"/>
          <w:color w:val="auto"/>
        </w:rPr>
      </w:pPr>
    </w:p>
    <w:p>
      <w:pPr>
        <w:ind w:left="520"/>
        <w:spacing w:after="0"/>
        <w:rPr>
          <w:sz w:val="20"/>
          <w:szCs w:val="20"/>
          <w:color w:val="auto"/>
        </w:rPr>
      </w:pPr>
      <w:r>
        <w:rPr>
          <w:rFonts w:ascii="Arial" w:cs="Arial" w:eastAsia="Arial" w:hAnsi="Arial"/>
          <w:sz w:val="18"/>
          <w:szCs w:val="18"/>
          <w:color w:val="auto"/>
        </w:rPr>
        <w:t>Comcast Netherlands, Inc.</w:t>
      </w:r>
    </w:p>
    <w:p>
      <w:pPr>
        <w:spacing w:after="0" w:line="117" w:lineRule="exact"/>
        <w:rPr>
          <w:sz w:val="20"/>
          <w:szCs w:val="20"/>
          <w:color w:val="auto"/>
        </w:rPr>
      </w:pPr>
    </w:p>
    <w:p>
      <w:pPr>
        <w:ind w:left="520"/>
        <w:spacing w:after="0"/>
        <w:rPr>
          <w:sz w:val="20"/>
          <w:szCs w:val="20"/>
          <w:color w:val="auto"/>
        </w:rPr>
      </w:pPr>
      <w:r>
        <w:rPr>
          <w:rFonts w:ascii="Arial" w:cs="Arial" w:eastAsia="Arial" w:hAnsi="Arial"/>
          <w:sz w:val="18"/>
          <w:szCs w:val="18"/>
          <w:color w:val="auto"/>
        </w:rPr>
        <w:t>Comcast New Media Development, Inc.</w:t>
      </w:r>
    </w:p>
    <w:p>
      <w:pPr>
        <w:spacing w:after="0" w:line="117" w:lineRule="exact"/>
        <w:rPr>
          <w:sz w:val="20"/>
          <w:szCs w:val="20"/>
          <w:color w:val="auto"/>
        </w:rPr>
      </w:pPr>
    </w:p>
    <w:p>
      <w:pPr>
        <w:ind w:left="520"/>
        <w:spacing w:after="0"/>
        <w:rPr>
          <w:sz w:val="20"/>
          <w:szCs w:val="20"/>
          <w:color w:val="auto"/>
        </w:rPr>
      </w:pPr>
      <w:r>
        <w:rPr>
          <w:rFonts w:ascii="Arial" w:cs="Arial" w:eastAsia="Arial" w:hAnsi="Arial"/>
          <w:sz w:val="16"/>
          <w:szCs w:val="16"/>
          <w:color w:val="auto"/>
        </w:rPr>
        <w:t>Comcast New Mexico/Pennsylvania Finance, Inc.</w:t>
      </w:r>
    </w:p>
    <w:p>
      <w:pPr>
        <w:spacing w:after="0" w:line="140" w:lineRule="exact"/>
        <w:rPr>
          <w:sz w:val="20"/>
          <w:szCs w:val="20"/>
          <w:color w:val="auto"/>
        </w:rPr>
      </w:pPr>
    </w:p>
    <w:p>
      <w:pPr>
        <w:ind w:left="520"/>
        <w:spacing w:after="0"/>
        <w:rPr>
          <w:sz w:val="20"/>
          <w:szCs w:val="20"/>
          <w:color w:val="auto"/>
        </w:rPr>
      </w:pPr>
      <w:r>
        <w:rPr>
          <w:rFonts w:ascii="Arial" w:cs="Arial" w:eastAsia="Arial" w:hAnsi="Arial"/>
          <w:sz w:val="18"/>
          <w:szCs w:val="18"/>
          <w:color w:val="auto"/>
        </w:rPr>
        <w:t>Comcast Newco 13, Inc.</w:t>
      </w:r>
    </w:p>
    <w:p>
      <w:pPr>
        <w:spacing w:after="0" w:line="117" w:lineRule="exact"/>
        <w:rPr>
          <w:sz w:val="20"/>
          <w:szCs w:val="20"/>
          <w:color w:val="auto"/>
        </w:rPr>
      </w:pPr>
    </w:p>
    <w:p>
      <w:pPr>
        <w:ind w:left="520"/>
        <w:spacing w:after="0"/>
        <w:rPr>
          <w:sz w:val="20"/>
          <w:szCs w:val="20"/>
          <w:color w:val="auto"/>
        </w:rPr>
      </w:pPr>
      <w:r>
        <w:rPr>
          <w:rFonts w:ascii="Arial" w:cs="Arial" w:eastAsia="Arial" w:hAnsi="Arial"/>
          <w:sz w:val="18"/>
          <w:szCs w:val="18"/>
          <w:color w:val="auto"/>
        </w:rPr>
        <w:t>Comcast Newco 15, Inc.</w:t>
      </w:r>
    </w:p>
    <w:p>
      <w:pPr>
        <w:spacing w:after="0" w:line="117" w:lineRule="exact"/>
        <w:rPr>
          <w:sz w:val="20"/>
          <w:szCs w:val="20"/>
          <w:color w:val="auto"/>
        </w:rPr>
      </w:pPr>
    </w:p>
    <w:p>
      <w:pPr>
        <w:ind w:left="520"/>
        <w:spacing w:after="0"/>
        <w:rPr>
          <w:sz w:val="20"/>
          <w:szCs w:val="20"/>
          <w:color w:val="auto"/>
        </w:rPr>
      </w:pPr>
      <w:r>
        <w:rPr>
          <w:rFonts w:ascii="Arial" w:cs="Arial" w:eastAsia="Arial" w:hAnsi="Arial"/>
          <w:sz w:val="18"/>
          <w:szCs w:val="18"/>
          <w:color w:val="auto"/>
        </w:rPr>
        <w:t>Comcast Newco 16, Inc.</w:t>
      </w:r>
    </w:p>
    <w:p>
      <w:pPr>
        <w:spacing w:after="0" w:line="117" w:lineRule="exact"/>
        <w:rPr>
          <w:sz w:val="20"/>
          <w:szCs w:val="20"/>
          <w:color w:val="auto"/>
        </w:rPr>
      </w:pPr>
    </w:p>
    <w:p>
      <w:pPr>
        <w:ind w:left="520"/>
        <w:spacing w:after="0"/>
        <w:rPr>
          <w:sz w:val="20"/>
          <w:szCs w:val="20"/>
          <w:color w:val="auto"/>
        </w:rPr>
      </w:pPr>
      <w:r>
        <w:rPr>
          <w:rFonts w:ascii="Arial" w:cs="Arial" w:eastAsia="Arial" w:hAnsi="Arial"/>
          <w:sz w:val="18"/>
          <w:szCs w:val="18"/>
          <w:color w:val="auto"/>
        </w:rPr>
        <w:t>Comcast Newco 17, Inc.</w:t>
      </w:r>
    </w:p>
    <w:p>
      <w:pPr>
        <w:spacing w:after="0" w:line="117" w:lineRule="exact"/>
        <w:rPr>
          <w:sz w:val="20"/>
          <w:szCs w:val="20"/>
          <w:color w:val="auto"/>
        </w:rPr>
      </w:pPr>
    </w:p>
    <w:p>
      <w:pPr>
        <w:ind w:left="520"/>
        <w:spacing w:after="0"/>
        <w:rPr>
          <w:sz w:val="20"/>
          <w:szCs w:val="20"/>
          <w:color w:val="auto"/>
        </w:rPr>
      </w:pPr>
      <w:r>
        <w:rPr>
          <w:rFonts w:ascii="Arial" w:cs="Arial" w:eastAsia="Arial" w:hAnsi="Arial"/>
          <w:sz w:val="18"/>
          <w:szCs w:val="18"/>
          <w:color w:val="auto"/>
        </w:rPr>
        <w:t>Comcast Newco 18, Inc.</w:t>
      </w:r>
    </w:p>
    <w:p>
      <w:pPr>
        <w:spacing w:after="0" w:line="117" w:lineRule="exact"/>
        <w:rPr>
          <w:sz w:val="20"/>
          <w:szCs w:val="20"/>
          <w:color w:val="auto"/>
        </w:rPr>
      </w:pPr>
    </w:p>
    <w:p>
      <w:pPr>
        <w:ind w:left="520"/>
        <w:spacing w:after="0"/>
        <w:rPr>
          <w:sz w:val="20"/>
          <w:szCs w:val="20"/>
          <w:color w:val="auto"/>
        </w:rPr>
      </w:pPr>
      <w:r>
        <w:rPr>
          <w:rFonts w:ascii="Arial" w:cs="Arial" w:eastAsia="Arial" w:hAnsi="Arial"/>
          <w:sz w:val="18"/>
          <w:szCs w:val="18"/>
          <w:color w:val="auto"/>
        </w:rPr>
        <w:t>Comcast Newco 19, Inc.</w:t>
      </w:r>
    </w:p>
    <w:p>
      <w:pPr>
        <w:spacing w:after="0" w:line="117" w:lineRule="exact"/>
        <w:rPr>
          <w:sz w:val="20"/>
          <w:szCs w:val="20"/>
          <w:color w:val="auto"/>
        </w:rPr>
      </w:pPr>
    </w:p>
    <w:p>
      <w:pPr>
        <w:ind w:left="520"/>
        <w:spacing w:after="0"/>
        <w:rPr>
          <w:sz w:val="20"/>
          <w:szCs w:val="20"/>
          <w:color w:val="auto"/>
        </w:rPr>
      </w:pPr>
      <w:r>
        <w:rPr>
          <w:rFonts w:ascii="Arial" w:cs="Arial" w:eastAsia="Arial" w:hAnsi="Arial"/>
          <w:sz w:val="18"/>
          <w:szCs w:val="18"/>
          <w:color w:val="auto"/>
        </w:rPr>
        <w:t>Comcast Newco 2, Inc.</w:t>
      </w:r>
    </w:p>
    <w:p>
      <w:pPr>
        <w:spacing w:after="0" w:line="117" w:lineRule="exact"/>
        <w:rPr>
          <w:sz w:val="20"/>
          <w:szCs w:val="20"/>
          <w:color w:val="auto"/>
        </w:rPr>
      </w:pPr>
    </w:p>
    <w:p>
      <w:pPr>
        <w:ind w:left="520"/>
        <w:spacing w:after="0"/>
        <w:rPr>
          <w:sz w:val="20"/>
          <w:szCs w:val="20"/>
          <w:color w:val="auto"/>
        </w:rPr>
      </w:pPr>
      <w:r>
        <w:rPr>
          <w:rFonts w:ascii="Arial" w:cs="Arial" w:eastAsia="Arial" w:hAnsi="Arial"/>
          <w:sz w:val="18"/>
          <w:szCs w:val="18"/>
          <w:color w:val="auto"/>
        </w:rPr>
        <w:t>Comcast Newco 20, Inc.</w:t>
      </w:r>
    </w:p>
    <w:p>
      <w:pPr>
        <w:spacing w:after="0" w:line="117" w:lineRule="exact"/>
        <w:rPr>
          <w:sz w:val="20"/>
          <w:szCs w:val="20"/>
          <w:color w:val="auto"/>
        </w:rPr>
      </w:pPr>
    </w:p>
    <w:p>
      <w:pPr>
        <w:ind w:left="520"/>
        <w:spacing w:after="0"/>
        <w:rPr>
          <w:sz w:val="20"/>
          <w:szCs w:val="20"/>
          <w:color w:val="auto"/>
        </w:rPr>
      </w:pPr>
      <w:r>
        <w:rPr>
          <w:rFonts w:ascii="Arial" w:cs="Arial" w:eastAsia="Arial" w:hAnsi="Arial"/>
          <w:sz w:val="18"/>
          <w:szCs w:val="18"/>
          <w:color w:val="auto"/>
        </w:rPr>
        <w:t>Comcast Newco 21, Inc.</w:t>
      </w:r>
    </w:p>
    <w:p>
      <w:pPr>
        <w:spacing w:after="0" w:line="117" w:lineRule="exact"/>
        <w:rPr>
          <w:sz w:val="20"/>
          <w:szCs w:val="20"/>
          <w:color w:val="auto"/>
        </w:rPr>
      </w:pPr>
    </w:p>
    <w:p>
      <w:pPr>
        <w:ind w:left="520"/>
        <w:spacing w:after="0"/>
        <w:rPr>
          <w:sz w:val="20"/>
          <w:szCs w:val="20"/>
          <w:color w:val="auto"/>
        </w:rPr>
      </w:pPr>
      <w:r>
        <w:rPr>
          <w:rFonts w:ascii="Arial" w:cs="Arial" w:eastAsia="Arial" w:hAnsi="Arial"/>
          <w:sz w:val="18"/>
          <w:szCs w:val="18"/>
          <w:color w:val="auto"/>
        </w:rPr>
        <w:t>Comcast Newco 22, Inc.</w:t>
      </w:r>
    </w:p>
    <w:p>
      <w:pPr>
        <w:spacing w:after="0" w:line="117" w:lineRule="exact"/>
        <w:rPr>
          <w:sz w:val="20"/>
          <w:szCs w:val="20"/>
          <w:color w:val="auto"/>
        </w:rPr>
      </w:pPr>
    </w:p>
    <w:p>
      <w:pPr>
        <w:ind w:left="520"/>
        <w:spacing w:after="0"/>
        <w:rPr>
          <w:sz w:val="20"/>
          <w:szCs w:val="20"/>
          <w:color w:val="auto"/>
        </w:rPr>
      </w:pPr>
      <w:r>
        <w:rPr>
          <w:rFonts w:ascii="Arial" w:cs="Arial" w:eastAsia="Arial" w:hAnsi="Arial"/>
          <w:sz w:val="18"/>
          <w:szCs w:val="18"/>
          <w:color w:val="auto"/>
        </w:rPr>
        <w:t>Comcast Newco 23, Inc.</w:t>
      </w:r>
    </w:p>
    <w:p>
      <w:pPr>
        <w:spacing w:after="0" w:line="117" w:lineRule="exact"/>
        <w:rPr>
          <w:sz w:val="20"/>
          <w:szCs w:val="20"/>
          <w:color w:val="auto"/>
        </w:rPr>
      </w:pPr>
    </w:p>
    <w:p>
      <w:pPr>
        <w:ind w:left="520"/>
        <w:spacing w:after="0"/>
        <w:rPr>
          <w:sz w:val="20"/>
          <w:szCs w:val="20"/>
          <w:color w:val="auto"/>
        </w:rPr>
      </w:pPr>
      <w:r>
        <w:rPr>
          <w:rFonts w:ascii="Arial" w:cs="Arial" w:eastAsia="Arial" w:hAnsi="Arial"/>
          <w:sz w:val="18"/>
          <w:szCs w:val="18"/>
          <w:color w:val="auto"/>
        </w:rPr>
        <w:t>Comcast Newco 3, Inc.</w:t>
      </w:r>
    </w:p>
    <w:p>
      <w:pPr>
        <w:spacing w:after="0" w:line="117" w:lineRule="exact"/>
        <w:rPr>
          <w:sz w:val="20"/>
          <w:szCs w:val="20"/>
          <w:color w:val="auto"/>
        </w:rPr>
      </w:pPr>
    </w:p>
    <w:p>
      <w:pPr>
        <w:ind w:left="520"/>
        <w:spacing w:after="0"/>
        <w:rPr>
          <w:sz w:val="20"/>
          <w:szCs w:val="20"/>
          <w:color w:val="auto"/>
        </w:rPr>
      </w:pPr>
      <w:r>
        <w:rPr>
          <w:rFonts w:ascii="Arial" w:cs="Arial" w:eastAsia="Arial" w:hAnsi="Arial"/>
          <w:sz w:val="18"/>
          <w:szCs w:val="18"/>
          <w:color w:val="auto"/>
        </w:rPr>
        <w:t>Comcast Newco 4, Inc.</w:t>
      </w:r>
    </w:p>
    <w:p>
      <w:pPr>
        <w:spacing w:after="0" w:line="117" w:lineRule="exact"/>
        <w:rPr>
          <w:sz w:val="20"/>
          <w:szCs w:val="20"/>
          <w:color w:val="auto"/>
        </w:rPr>
      </w:pPr>
    </w:p>
    <w:p>
      <w:pPr>
        <w:ind w:left="520"/>
        <w:spacing w:after="0"/>
        <w:rPr>
          <w:sz w:val="20"/>
          <w:szCs w:val="20"/>
          <w:color w:val="auto"/>
        </w:rPr>
      </w:pPr>
      <w:r>
        <w:rPr>
          <w:rFonts w:ascii="Arial" w:cs="Arial" w:eastAsia="Arial" w:hAnsi="Arial"/>
          <w:sz w:val="18"/>
          <w:szCs w:val="18"/>
          <w:color w:val="auto"/>
        </w:rPr>
        <w:t>Comcast Newco 5, Inc.</w:t>
      </w:r>
    </w:p>
    <w:p>
      <w:pPr>
        <w:spacing w:after="0" w:line="117" w:lineRule="exact"/>
        <w:rPr>
          <w:sz w:val="20"/>
          <w:szCs w:val="20"/>
          <w:color w:val="auto"/>
        </w:rPr>
      </w:pPr>
    </w:p>
    <w:p>
      <w:pPr>
        <w:ind w:left="520"/>
        <w:spacing w:after="0"/>
        <w:rPr>
          <w:sz w:val="20"/>
          <w:szCs w:val="20"/>
          <w:color w:val="auto"/>
        </w:rPr>
      </w:pPr>
      <w:r>
        <w:rPr>
          <w:rFonts w:ascii="Arial" w:cs="Arial" w:eastAsia="Arial" w:hAnsi="Arial"/>
          <w:sz w:val="18"/>
          <w:szCs w:val="18"/>
          <w:color w:val="auto"/>
        </w:rPr>
        <w:t>Comcast Newco 6, Inc.</w:t>
      </w:r>
    </w:p>
    <w:p>
      <w:pPr>
        <w:spacing w:after="0" w:line="117" w:lineRule="exact"/>
        <w:rPr>
          <w:sz w:val="20"/>
          <w:szCs w:val="20"/>
          <w:color w:val="auto"/>
        </w:rPr>
      </w:pPr>
    </w:p>
    <w:p>
      <w:pPr>
        <w:ind w:left="520"/>
        <w:spacing w:after="0"/>
        <w:rPr>
          <w:sz w:val="20"/>
          <w:szCs w:val="20"/>
          <w:color w:val="auto"/>
        </w:rPr>
      </w:pPr>
      <w:r>
        <w:rPr>
          <w:rFonts w:ascii="Arial" w:cs="Arial" w:eastAsia="Arial" w:hAnsi="Arial"/>
          <w:sz w:val="18"/>
          <w:szCs w:val="18"/>
          <w:color w:val="auto"/>
        </w:rPr>
        <w:t>Comcast Newco 7, Inc.</w:t>
      </w:r>
    </w:p>
    <w:p>
      <w:pPr>
        <w:spacing w:after="0" w:line="117" w:lineRule="exact"/>
        <w:rPr>
          <w:sz w:val="20"/>
          <w:szCs w:val="20"/>
          <w:color w:val="auto"/>
        </w:rPr>
      </w:pPr>
    </w:p>
    <w:p>
      <w:pPr>
        <w:ind w:left="520"/>
        <w:spacing w:after="0"/>
        <w:rPr>
          <w:sz w:val="20"/>
          <w:szCs w:val="20"/>
          <w:color w:val="auto"/>
        </w:rPr>
      </w:pPr>
      <w:r>
        <w:rPr>
          <w:rFonts w:ascii="Arial" w:cs="Arial" w:eastAsia="Arial" w:hAnsi="Arial"/>
          <w:sz w:val="18"/>
          <w:szCs w:val="18"/>
          <w:color w:val="auto"/>
        </w:rPr>
        <w:t>Comcast Newco 8, Inc.</w:t>
      </w:r>
    </w:p>
    <w:p>
      <w:pPr>
        <w:spacing w:after="0" w:line="117" w:lineRule="exact"/>
        <w:rPr>
          <w:sz w:val="20"/>
          <w:szCs w:val="20"/>
          <w:color w:val="auto"/>
        </w:rPr>
      </w:pPr>
    </w:p>
    <w:p>
      <w:pPr>
        <w:ind w:left="520"/>
        <w:spacing w:after="0"/>
        <w:rPr>
          <w:sz w:val="20"/>
          <w:szCs w:val="20"/>
          <w:color w:val="auto"/>
        </w:rPr>
      </w:pPr>
      <w:r>
        <w:rPr>
          <w:rFonts w:ascii="Arial" w:cs="Arial" w:eastAsia="Arial" w:hAnsi="Arial"/>
          <w:sz w:val="18"/>
          <w:szCs w:val="18"/>
          <w:color w:val="auto"/>
        </w:rPr>
        <w:t>Comcast Newco 9, Inc.</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Arial" w:cs="Arial" w:eastAsia="Arial" w:hAnsi="Arial"/>
          <w:sz w:val="18"/>
          <w:szCs w:val="18"/>
          <w:color w:val="auto"/>
        </w:rPr>
        <w:t>MA</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color w:val="auto"/>
        </w:rPr>
        <w:t>CO</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color w:val="auto"/>
        </w:rPr>
        <w:t>DE</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color w:val="auto"/>
        </w:rPr>
        <w:t>MA</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color w:val="auto"/>
        </w:rPr>
        <w:t>CO</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color w:val="auto"/>
        </w:rPr>
        <w:t>DE</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color w:val="auto"/>
        </w:rPr>
        <w:t>DE</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color w:val="auto"/>
        </w:rPr>
        <w:t>MN</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color w:val="auto"/>
        </w:rPr>
        <w:t>DE</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color w:val="auto"/>
        </w:rPr>
        <w:t>MN</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color w:val="auto"/>
        </w:rPr>
        <w:t>CA</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color w:val="auto"/>
        </w:rPr>
        <w:t>MN</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color w:val="auto"/>
        </w:rPr>
        <w:t>MN</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color w:val="auto"/>
        </w:rPr>
        <w:t>DE</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color w:val="auto"/>
        </w:rPr>
        <w:t>CO</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color w:val="auto"/>
        </w:rPr>
        <w:t>DE</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color w:val="auto"/>
        </w:rPr>
        <w:t>DE</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color w:val="auto"/>
        </w:rPr>
        <w:t>DE</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color w:val="auto"/>
        </w:rPr>
        <w:t>DE</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color w:val="auto"/>
        </w:rPr>
        <w:t>DE</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color w:val="auto"/>
        </w:rPr>
        <w:t>DE</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color w:val="auto"/>
        </w:rPr>
        <w:t>DE</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color w:val="auto"/>
        </w:rPr>
        <w:t>DE</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color w:val="auto"/>
        </w:rPr>
        <w:t>DE</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color w:val="auto"/>
        </w:rPr>
        <w:t>DE</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color w:val="auto"/>
        </w:rPr>
        <w:t>DE</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color w:val="auto"/>
        </w:rPr>
        <w:t>DE</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color w:val="auto"/>
        </w:rPr>
        <w:t>DE</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color w:val="auto"/>
        </w:rPr>
        <w:t>DE</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color w:val="auto"/>
        </w:rPr>
        <w:t>DE</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color w:val="auto"/>
        </w:rPr>
        <w:t>PA</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color w:val="auto"/>
        </w:rPr>
        <w:t>DE</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color w:val="auto"/>
        </w:rPr>
        <w:t>DE</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color w:val="auto"/>
        </w:rPr>
        <w:t>DE</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color w:val="auto"/>
        </w:rPr>
        <w:t>DE</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color w:val="auto"/>
        </w:rPr>
        <w:t>DE</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color w:val="auto"/>
        </w:rPr>
        <w:t>DE</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color w:val="auto"/>
        </w:rPr>
        <w:t>DE</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color w:val="auto"/>
        </w:rPr>
        <w:t>DE</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color w:val="auto"/>
        </w:rPr>
        <w:t>DE</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color w:val="auto"/>
        </w:rPr>
        <w:t>DE</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color w:val="auto"/>
        </w:rPr>
        <w:t>DE</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color w:val="auto"/>
        </w:rPr>
        <w:t>DE</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color w:val="auto"/>
        </w:rPr>
        <w:t>DE</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color w:val="auto"/>
        </w:rPr>
        <w:t>DE</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color w:val="auto"/>
        </w:rPr>
        <w:t>DE</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color w:val="auto"/>
        </w:rPr>
        <w:t>DE</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color w:val="auto"/>
        </w:rPr>
        <w:t>DE</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color w:val="auto"/>
        </w:rPr>
        <w:t>DE</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color w:val="auto"/>
        </w:rPr>
        <w:t>DE</w:t>
      </w:r>
    </w:p>
    <w:p>
      <w:pPr>
        <w:sectPr>
          <w:pgSz w:w="11900" w:h="16838" w:orient="portrait"/>
          <w:cols w:equalWidth="0" w:num="2">
            <w:col w:w="7500" w:space="720"/>
            <w:col w:w="799"/>
          </w:cols>
          <w:pgMar w:left="1440" w:top="388" w:right="1440" w:bottom="0" w:gutter="0" w:footer="0" w:header="0"/>
        </w:sectPr>
      </w:pPr>
    </w:p>
    <w:bookmarkStart w:id="168" w:name="page169"/>
    <w:bookmarkEnd w:id="168"/>
    <w:p>
      <w:pPr>
        <w:ind w:left="520"/>
        <w:spacing w:after="0"/>
        <w:rPr>
          <w:sz w:val="20"/>
          <w:szCs w:val="20"/>
          <w:color w:val="auto"/>
        </w:rPr>
      </w:pPr>
      <w:r>
        <w:rPr>
          <w:rFonts w:ascii="Arial" w:cs="Arial" w:eastAsia="Arial" w:hAnsi="Arial"/>
          <w:sz w:val="16"/>
          <w:szCs w:val="16"/>
          <w:color w:val="auto"/>
        </w:rPr>
        <w:t>Comcast of Alabama, Inc.</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Arial" w:cs="Arial" w:eastAsia="Arial" w:hAnsi="Arial"/>
          <w:sz w:val="18"/>
          <w:szCs w:val="18"/>
          <w:color w:val="auto"/>
        </w:rPr>
        <w:t>AL</w:t>
      </w:r>
    </w:p>
    <w:p>
      <w:pPr>
        <w:spacing w:after="0" w:line="117" w:lineRule="exact"/>
        <w:rPr>
          <w:sz w:val="20"/>
          <w:szCs w:val="20"/>
          <w:color w:val="auto"/>
        </w:rPr>
      </w:pPr>
    </w:p>
    <w:p>
      <w:pPr>
        <w:sectPr>
          <w:pgSz w:w="11900" w:h="16838" w:orient="portrait"/>
          <w:cols w:equalWidth="0" w:num="2">
            <w:col w:w="7500" w:space="720"/>
            <w:col w:w="799"/>
          </w:cols>
          <w:pgMar w:left="1440" w:top="131" w:right="1440" w:bottom="1440" w:gutter="0" w:footer="0" w:header="0"/>
        </w:sectPr>
      </w:pPr>
    </w:p>
    <w:p>
      <w:pPr>
        <w:ind w:left="520"/>
        <w:spacing w:after="0"/>
        <w:rPr>
          <w:sz w:val="20"/>
          <w:szCs w:val="20"/>
          <w:color w:val="auto"/>
        </w:rPr>
      </w:pPr>
      <w:r>
        <w:rPr>
          <w:rFonts w:ascii="Arial" w:cs="Arial" w:eastAsia="Arial" w:hAnsi="Arial"/>
          <w:sz w:val="16"/>
          <w:szCs w:val="16"/>
          <w:color w:val="auto"/>
        </w:rPr>
        <w:t>Comcast of Alameda, Inc.</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Arial" w:cs="Arial" w:eastAsia="Arial" w:hAnsi="Arial"/>
          <w:sz w:val="16"/>
          <w:szCs w:val="16"/>
          <w:color w:val="auto"/>
        </w:rPr>
        <w:t>CA</w:t>
      </w:r>
    </w:p>
    <w:p>
      <w:pPr>
        <w:sectPr>
          <w:pgSz w:w="11900" w:h="16838" w:orient="portrait"/>
          <w:cols w:equalWidth="0" w:num="2">
            <w:col w:w="7500" w:space="720"/>
            <w:col w:w="799"/>
          </w:cols>
          <w:pgMar w:left="1440" w:top="131" w:right="1440" w:bottom="1440" w:gutter="0" w:footer="0" w:header="0"/>
          <w:type w:val="continuous"/>
        </w:sectPr>
      </w:pPr>
    </w:p>
    <w:bookmarkStart w:id="169" w:name="page170"/>
    <w:bookmarkEnd w:id="169"/>
    <w:p>
      <w:pPr>
        <w:ind w:left="520"/>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240" name="Picture 2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0"/>
                    <pic:cNvPicPr>
                      <a:picLocks noChangeAspect="1" noChangeArrowheads="1"/>
                    </pic:cNvPicPr>
                  </pic:nvPicPr>
                  <pic:blipFill>
                    <a:blip r:embed="rId247">
                      <a:extLst>
                        <a:ext uri="{28A0092B-C50C-407E-A947-70E740481C1C}"/>
                      </a:extLst>
                    </a:blip>
                    <a:srcRect/>
                    <a:stretch>
                      <a:fillRect/>
                    </a:stretch>
                  </pic:blipFill>
                  <pic:spPr bwMode="auto">
                    <a:xfrm>
                      <a:off x="0" y="0"/>
                      <a:ext cx="7267575" cy="27940"/>
                    </a:xfrm>
                    <a:prstGeom prst="rect">
                      <a:avLst/>
                    </a:prstGeom>
                    <a:noFill/>
                  </pic:spPr>
                </pic:pic>
              </a:graphicData>
            </a:graphic>
          </wp:anchor>
        </w:drawing>
        <w:t>Comcast of Arizona, Inc.</w:t>
      </w:r>
    </w:p>
    <w:p>
      <w:pPr>
        <w:spacing w:after="0" w:line="117" w:lineRule="exact"/>
        <w:rPr>
          <w:sz w:val="20"/>
          <w:szCs w:val="20"/>
          <w:color w:val="auto"/>
        </w:rPr>
      </w:pPr>
    </w:p>
    <w:p>
      <w:pPr>
        <w:ind w:left="520"/>
        <w:spacing w:after="0"/>
        <w:rPr>
          <w:sz w:val="20"/>
          <w:szCs w:val="20"/>
          <w:color w:val="auto"/>
        </w:rPr>
      </w:pPr>
      <w:r>
        <w:rPr>
          <w:rFonts w:ascii="Arial" w:cs="Arial" w:eastAsia="Arial" w:hAnsi="Arial"/>
          <w:sz w:val="18"/>
          <w:szCs w:val="18"/>
          <w:color w:val="auto"/>
        </w:rPr>
        <w:t>Comcast of Arkansas, Inc.</w:t>
      </w:r>
    </w:p>
    <w:p>
      <w:pPr>
        <w:spacing w:after="0" w:line="117" w:lineRule="exact"/>
        <w:rPr>
          <w:sz w:val="20"/>
          <w:szCs w:val="20"/>
          <w:color w:val="auto"/>
        </w:rPr>
      </w:pPr>
    </w:p>
    <w:p>
      <w:pPr>
        <w:ind w:left="520"/>
        <w:spacing w:after="0"/>
        <w:rPr>
          <w:sz w:val="20"/>
          <w:szCs w:val="20"/>
          <w:color w:val="auto"/>
        </w:rPr>
      </w:pPr>
      <w:r>
        <w:rPr>
          <w:rFonts w:ascii="Arial" w:cs="Arial" w:eastAsia="Arial" w:hAnsi="Arial"/>
          <w:sz w:val="15"/>
          <w:szCs w:val="15"/>
          <w:color w:val="auto"/>
        </w:rPr>
        <w:t>Comcast of Arkansas/Florida/Louisiana/Minnesota/Mississippi/Tennessee, Inc.</w:t>
      </w:r>
    </w:p>
    <w:p>
      <w:pPr>
        <w:spacing w:after="0" w:line="152" w:lineRule="exact"/>
        <w:rPr>
          <w:sz w:val="20"/>
          <w:szCs w:val="20"/>
          <w:color w:val="auto"/>
        </w:rPr>
      </w:pPr>
    </w:p>
    <w:p>
      <w:pPr>
        <w:ind w:left="520"/>
        <w:spacing w:after="0"/>
        <w:rPr>
          <w:sz w:val="20"/>
          <w:szCs w:val="20"/>
          <w:color w:val="auto"/>
        </w:rPr>
      </w:pPr>
      <w:r>
        <w:rPr>
          <w:rFonts w:ascii="Arial" w:cs="Arial" w:eastAsia="Arial" w:hAnsi="Arial"/>
          <w:sz w:val="18"/>
          <w:szCs w:val="18"/>
          <w:color w:val="auto"/>
        </w:rPr>
        <w:t>Comcast of Avalon, LLC</w:t>
      </w:r>
    </w:p>
    <w:p>
      <w:pPr>
        <w:spacing w:after="0" w:line="117" w:lineRule="exact"/>
        <w:rPr>
          <w:sz w:val="20"/>
          <w:szCs w:val="20"/>
          <w:color w:val="auto"/>
        </w:rPr>
      </w:pPr>
    </w:p>
    <w:p>
      <w:pPr>
        <w:ind w:left="520"/>
        <w:spacing w:after="0"/>
        <w:rPr>
          <w:sz w:val="20"/>
          <w:szCs w:val="20"/>
          <w:color w:val="auto"/>
        </w:rPr>
      </w:pPr>
      <w:r>
        <w:rPr>
          <w:rFonts w:ascii="Arial" w:cs="Arial" w:eastAsia="Arial" w:hAnsi="Arial"/>
          <w:sz w:val="18"/>
          <w:szCs w:val="18"/>
          <w:color w:val="auto"/>
        </w:rPr>
        <w:t>Comcast of Baltimore City, Inc.</w:t>
      </w:r>
    </w:p>
    <w:p>
      <w:pPr>
        <w:spacing w:after="0" w:line="117" w:lineRule="exact"/>
        <w:rPr>
          <w:sz w:val="20"/>
          <w:szCs w:val="20"/>
          <w:color w:val="auto"/>
        </w:rPr>
      </w:pPr>
    </w:p>
    <w:p>
      <w:pPr>
        <w:ind w:left="520"/>
        <w:spacing w:after="0"/>
        <w:rPr>
          <w:sz w:val="20"/>
          <w:szCs w:val="20"/>
          <w:color w:val="auto"/>
        </w:rPr>
      </w:pPr>
      <w:r>
        <w:rPr>
          <w:rFonts w:ascii="Arial" w:cs="Arial" w:eastAsia="Arial" w:hAnsi="Arial"/>
          <w:sz w:val="18"/>
          <w:szCs w:val="18"/>
          <w:color w:val="auto"/>
        </w:rPr>
        <w:t>Comcast of Baltimore City, L.P.</w:t>
      </w:r>
    </w:p>
    <w:p>
      <w:pPr>
        <w:spacing w:after="0" w:line="117" w:lineRule="exact"/>
        <w:rPr>
          <w:sz w:val="20"/>
          <w:szCs w:val="20"/>
          <w:color w:val="auto"/>
        </w:rPr>
      </w:pPr>
    </w:p>
    <w:p>
      <w:pPr>
        <w:ind w:left="520"/>
        <w:spacing w:after="0"/>
        <w:rPr>
          <w:sz w:val="20"/>
          <w:szCs w:val="20"/>
          <w:color w:val="auto"/>
        </w:rPr>
      </w:pPr>
      <w:r>
        <w:rPr>
          <w:rFonts w:ascii="Arial" w:cs="Arial" w:eastAsia="Arial" w:hAnsi="Arial"/>
          <w:sz w:val="18"/>
          <w:szCs w:val="18"/>
          <w:color w:val="auto"/>
        </w:rPr>
        <w:t>Comcast of Bellevue, Inc.</w:t>
      </w:r>
    </w:p>
    <w:p>
      <w:pPr>
        <w:spacing w:after="0" w:line="117" w:lineRule="exact"/>
        <w:rPr>
          <w:sz w:val="20"/>
          <w:szCs w:val="20"/>
          <w:color w:val="auto"/>
        </w:rPr>
      </w:pPr>
    </w:p>
    <w:p>
      <w:pPr>
        <w:ind w:left="520"/>
        <w:spacing w:after="0"/>
        <w:rPr>
          <w:sz w:val="20"/>
          <w:szCs w:val="20"/>
          <w:color w:val="auto"/>
        </w:rPr>
      </w:pPr>
      <w:r>
        <w:rPr>
          <w:rFonts w:ascii="Arial" w:cs="Arial" w:eastAsia="Arial" w:hAnsi="Arial"/>
          <w:sz w:val="18"/>
          <w:szCs w:val="18"/>
          <w:color w:val="auto"/>
        </w:rPr>
        <w:t>Comcast of Boston, Inc.</w:t>
      </w:r>
    </w:p>
    <w:p>
      <w:pPr>
        <w:spacing w:after="0" w:line="117" w:lineRule="exact"/>
        <w:rPr>
          <w:sz w:val="20"/>
          <w:szCs w:val="20"/>
          <w:color w:val="auto"/>
        </w:rPr>
      </w:pPr>
    </w:p>
    <w:p>
      <w:pPr>
        <w:ind w:left="520"/>
        <w:spacing w:after="0"/>
        <w:rPr>
          <w:sz w:val="20"/>
          <w:szCs w:val="20"/>
          <w:color w:val="auto"/>
        </w:rPr>
      </w:pPr>
      <w:r>
        <w:rPr>
          <w:rFonts w:ascii="Arial" w:cs="Arial" w:eastAsia="Arial" w:hAnsi="Arial"/>
          <w:sz w:val="18"/>
          <w:szCs w:val="18"/>
          <w:color w:val="auto"/>
        </w:rPr>
        <w:t>Comcast of Brockton, Inc.</w:t>
      </w:r>
    </w:p>
    <w:p>
      <w:pPr>
        <w:spacing w:after="0" w:line="117" w:lineRule="exact"/>
        <w:rPr>
          <w:sz w:val="20"/>
          <w:szCs w:val="20"/>
          <w:color w:val="auto"/>
        </w:rPr>
      </w:pPr>
    </w:p>
    <w:p>
      <w:pPr>
        <w:ind w:left="520"/>
        <w:spacing w:after="0"/>
        <w:rPr>
          <w:sz w:val="20"/>
          <w:szCs w:val="20"/>
          <w:color w:val="auto"/>
        </w:rPr>
      </w:pPr>
      <w:r>
        <w:rPr>
          <w:rFonts w:ascii="Arial" w:cs="Arial" w:eastAsia="Arial" w:hAnsi="Arial"/>
          <w:sz w:val="18"/>
          <w:szCs w:val="18"/>
          <w:color w:val="auto"/>
        </w:rPr>
        <w:t>Comcast of Bryant, Inc.</w:t>
      </w:r>
    </w:p>
    <w:p>
      <w:pPr>
        <w:spacing w:after="0" w:line="117" w:lineRule="exact"/>
        <w:rPr>
          <w:sz w:val="20"/>
          <w:szCs w:val="20"/>
          <w:color w:val="auto"/>
        </w:rPr>
      </w:pPr>
    </w:p>
    <w:p>
      <w:pPr>
        <w:ind w:left="520"/>
        <w:spacing w:after="0"/>
        <w:rPr>
          <w:sz w:val="20"/>
          <w:szCs w:val="20"/>
          <w:color w:val="auto"/>
        </w:rPr>
      </w:pPr>
      <w:r>
        <w:rPr>
          <w:rFonts w:ascii="Arial" w:cs="Arial" w:eastAsia="Arial" w:hAnsi="Arial"/>
          <w:sz w:val="18"/>
          <w:szCs w:val="18"/>
          <w:color w:val="auto"/>
        </w:rPr>
        <w:t>Comcast of Burlington County, LLC</w:t>
      </w:r>
    </w:p>
    <w:p>
      <w:pPr>
        <w:spacing w:after="0" w:line="117" w:lineRule="exact"/>
        <w:rPr>
          <w:sz w:val="20"/>
          <w:szCs w:val="20"/>
          <w:color w:val="auto"/>
        </w:rPr>
      </w:pPr>
    </w:p>
    <w:p>
      <w:pPr>
        <w:ind w:left="520"/>
        <w:spacing w:after="0"/>
        <w:rPr>
          <w:sz w:val="20"/>
          <w:szCs w:val="20"/>
          <w:color w:val="auto"/>
        </w:rPr>
      </w:pPr>
      <w:r>
        <w:rPr>
          <w:rFonts w:ascii="Arial" w:cs="Arial" w:eastAsia="Arial" w:hAnsi="Arial"/>
          <w:sz w:val="18"/>
          <w:szCs w:val="18"/>
          <w:color w:val="auto"/>
        </w:rPr>
        <w:t>Comcast of California I, Inc.</w:t>
      </w:r>
    </w:p>
    <w:p>
      <w:pPr>
        <w:spacing w:after="0" w:line="117" w:lineRule="exact"/>
        <w:rPr>
          <w:sz w:val="20"/>
          <w:szCs w:val="20"/>
          <w:color w:val="auto"/>
        </w:rPr>
      </w:pPr>
    </w:p>
    <w:p>
      <w:pPr>
        <w:ind w:left="520"/>
        <w:spacing w:after="0"/>
        <w:rPr>
          <w:sz w:val="20"/>
          <w:szCs w:val="20"/>
          <w:color w:val="auto"/>
        </w:rPr>
      </w:pPr>
      <w:r>
        <w:rPr>
          <w:rFonts w:ascii="Arial" w:cs="Arial" w:eastAsia="Arial" w:hAnsi="Arial"/>
          <w:sz w:val="18"/>
          <w:szCs w:val="18"/>
          <w:color w:val="auto"/>
        </w:rPr>
        <w:t>Comcast of California II, Inc.</w:t>
      </w:r>
    </w:p>
    <w:p>
      <w:pPr>
        <w:spacing w:after="0" w:line="117" w:lineRule="exact"/>
        <w:rPr>
          <w:sz w:val="20"/>
          <w:szCs w:val="20"/>
          <w:color w:val="auto"/>
        </w:rPr>
      </w:pPr>
    </w:p>
    <w:p>
      <w:pPr>
        <w:ind w:left="520"/>
        <w:spacing w:after="0"/>
        <w:rPr>
          <w:sz w:val="20"/>
          <w:szCs w:val="20"/>
          <w:color w:val="auto"/>
        </w:rPr>
      </w:pPr>
      <w:r>
        <w:rPr>
          <w:rFonts w:ascii="Arial" w:cs="Arial" w:eastAsia="Arial" w:hAnsi="Arial"/>
          <w:sz w:val="18"/>
          <w:szCs w:val="18"/>
          <w:color w:val="auto"/>
        </w:rPr>
        <w:t>Comcast of California II, LLC</w:t>
      </w:r>
    </w:p>
    <w:p>
      <w:pPr>
        <w:spacing w:after="0" w:line="117" w:lineRule="exact"/>
        <w:rPr>
          <w:sz w:val="20"/>
          <w:szCs w:val="20"/>
          <w:color w:val="auto"/>
        </w:rPr>
      </w:pPr>
    </w:p>
    <w:p>
      <w:pPr>
        <w:ind w:left="520"/>
        <w:spacing w:after="0"/>
        <w:rPr>
          <w:sz w:val="20"/>
          <w:szCs w:val="20"/>
          <w:color w:val="auto"/>
        </w:rPr>
      </w:pPr>
      <w:r>
        <w:rPr>
          <w:rFonts w:ascii="Arial" w:cs="Arial" w:eastAsia="Arial" w:hAnsi="Arial"/>
          <w:sz w:val="18"/>
          <w:szCs w:val="18"/>
          <w:color w:val="auto"/>
        </w:rPr>
        <w:t>Comcast of California III, Inc.</w:t>
      </w:r>
    </w:p>
    <w:p>
      <w:pPr>
        <w:spacing w:after="0" w:line="117" w:lineRule="exact"/>
        <w:rPr>
          <w:sz w:val="20"/>
          <w:szCs w:val="20"/>
          <w:color w:val="auto"/>
        </w:rPr>
      </w:pPr>
    </w:p>
    <w:p>
      <w:pPr>
        <w:ind w:left="520"/>
        <w:spacing w:after="0"/>
        <w:rPr>
          <w:sz w:val="20"/>
          <w:szCs w:val="20"/>
          <w:color w:val="auto"/>
        </w:rPr>
      </w:pPr>
      <w:r>
        <w:rPr>
          <w:rFonts w:ascii="Arial" w:cs="Arial" w:eastAsia="Arial" w:hAnsi="Arial"/>
          <w:sz w:val="18"/>
          <w:szCs w:val="18"/>
          <w:color w:val="auto"/>
        </w:rPr>
        <w:t>Comcast of California III, LLC</w:t>
      </w:r>
    </w:p>
    <w:p>
      <w:pPr>
        <w:spacing w:after="0" w:line="117" w:lineRule="exact"/>
        <w:rPr>
          <w:sz w:val="20"/>
          <w:szCs w:val="20"/>
          <w:color w:val="auto"/>
        </w:rPr>
      </w:pPr>
    </w:p>
    <w:p>
      <w:pPr>
        <w:ind w:left="520"/>
        <w:spacing w:after="0"/>
        <w:rPr>
          <w:sz w:val="20"/>
          <w:szCs w:val="20"/>
          <w:color w:val="auto"/>
        </w:rPr>
      </w:pPr>
      <w:r>
        <w:rPr>
          <w:rFonts w:ascii="Arial" w:cs="Arial" w:eastAsia="Arial" w:hAnsi="Arial"/>
          <w:sz w:val="18"/>
          <w:szCs w:val="18"/>
          <w:color w:val="auto"/>
        </w:rPr>
        <w:t>Comcast of California IV, Inc.</w:t>
      </w:r>
    </w:p>
    <w:p>
      <w:pPr>
        <w:spacing w:after="0" w:line="117" w:lineRule="exact"/>
        <w:rPr>
          <w:sz w:val="20"/>
          <w:szCs w:val="20"/>
          <w:color w:val="auto"/>
        </w:rPr>
      </w:pPr>
    </w:p>
    <w:p>
      <w:pPr>
        <w:ind w:left="520"/>
        <w:spacing w:after="0"/>
        <w:rPr>
          <w:sz w:val="20"/>
          <w:szCs w:val="20"/>
          <w:color w:val="auto"/>
        </w:rPr>
      </w:pPr>
      <w:r>
        <w:rPr>
          <w:rFonts w:ascii="Arial" w:cs="Arial" w:eastAsia="Arial" w:hAnsi="Arial"/>
          <w:sz w:val="18"/>
          <w:szCs w:val="18"/>
          <w:color w:val="auto"/>
        </w:rPr>
        <w:t>Comcast of California IX, Inc.</w:t>
      </w:r>
    </w:p>
    <w:p>
      <w:pPr>
        <w:spacing w:after="0" w:line="117" w:lineRule="exact"/>
        <w:rPr>
          <w:sz w:val="20"/>
          <w:szCs w:val="20"/>
          <w:color w:val="auto"/>
        </w:rPr>
      </w:pPr>
    </w:p>
    <w:p>
      <w:pPr>
        <w:ind w:left="520"/>
        <w:spacing w:after="0"/>
        <w:rPr>
          <w:sz w:val="20"/>
          <w:szCs w:val="20"/>
          <w:color w:val="auto"/>
        </w:rPr>
      </w:pPr>
      <w:r>
        <w:rPr>
          <w:rFonts w:ascii="Arial" w:cs="Arial" w:eastAsia="Arial" w:hAnsi="Arial"/>
          <w:sz w:val="18"/>
          <w:szCs w:val="18"/>
          <w:color w:val="auto"/>
        </w:rPr>
        <w:t>Comcast of California V, Inc.</w:t>
      </w:r>
    </w:p>
    <w:p>
      <w:pPr>
        <w:spacing w:after="0" w:line="117" w:lineRule="exact"/>
        <w:rPr>
          <w:sz w:val="20"/>
          <w:szCs w:val="20"/>
          <w:color w:val="auto"/>
        </w:rPr>
      </w:pPr>
    </w:p>
    <w:p>
      <w:pPr>
        <w:ind w:left="520"/>
        <w:spacing w:after="0"/>
        <w:rPr>
          <w:sz w:val="20"/>
          <w:szCs w:val="20"/>
          <w:color w:val="auto"/>
        </w:rPr>
      </w:pPr>
      <w:r>
        <w:rPr>
          <w:rFonts w:ascii="Arial" w:cs="Arial" w:eastAsia="Arial" w:hAnsi="Arial"/>
          <w:sz w:val="18"/>
          <w:szCs w:val="18"/>
          <w:color w:val="auto"/>
        </w:rPr>
        <w:t>Comcast of California VI, Inc.</w:t>
      </w:r>
    </w:p>
    <w:p>
      <w:pPr>
        <w:spacing w:after="0" w:line="117" w:lineRule="exact"/>
        <w:rPr>
          <w:sz w:val="20"/>
          <w:szCs w:val="20"/>
          <w:color w:val="auto"/>
        </w:rPr>
      </w:pPr>
    </w:p>
    <w:p>
      <w:pPr>
        <w:ind w:left="520"/>
        <w:spacing w:after="0"/>
        <w:rPr>
          <w:sz w:val="20"/>
          <w:szCs w:val="20"/>
          <w:color w:val="auto"/>
        </w:rPr>
      </w:pPr>
      <w:r>
        <w:rPr>
          <w:rFonts w:ascii="Arial" w:cs="Arial" w:eastAsia="Arial" w:hAnsi="Arial"/>
          <w:sz w:val="18"/>
          <w:szCs w:val="18"/>
          <w:color w:val="auto"/>
        </w:rPr>
        <w:t>Comcast of California VIII, Inc.</w:t>
      </w:r>
    </w:p>
    <w:p>
      <w:pPr>
        <w:spacing w:after="0" w:line="117" w:lineRule="exact"/>
        <w:rPr>
          <w:sz w:val="20"/>
          <w:szCs w:val="20"/>
          <w:color w:val="auto"/>
        </w:rPr>
      </w:pPr>
    </w:p>
    <w:p>
      <w:pPr>
        <w:ind w:left="520"/>
        <w:spacing w:after="0"/>
        <w:rPr>
          <w:sz w:val="20"/>
          <w:szCs w:val="20"/>
          <w:color w:val="auto"/>
        </w:rPr>
      </w:pPr>
      <w:r>
        <w:rPr>
          <w:rFonts w:ascii="Arial" w:cs="Arial" w:eastAsia="Arial" w:hAnsi="Arial"/>
          <w:sz w:val="18"/>
          <w:szCs w:val="18"/>
          <w:color w:val="auto"/>
        </w:rPr>
        <w:t>Comcast of California X, Inc.</w:t>
      </w:r>
    </w:p>
    <w:p>
      <w:pPr>
        <w:spacing w:after="0" w:line="117" w:lineRule="exact"/>
        <w:rPr>
          <w:sz w:val="20"/>
          <w:szCs w:val="20"/>
          <w:color w:val="auto"/>
        </w:rPr>
      </w:pPr>
    </w:p>
    <w:p>
      <w:pPr>
        <w:ind w:left="520"/>
        <w:spacing w:after="0"/>
        <w:rPr>
          <w:sz w:val="20"/>
          <w:szCs w:val="20"/>
          <w:color w:val="auto"/>
        </w:rPr>
      </w:pPr>
      <w:r>
        <w:rPr>
          <w:rFonts w:ascii="Arial" w:cs="Arial" w:eastAsia="Arial" w:hAnsi="Arial"/>
          <w:sz w:val="18"/>
          <w:szCs w:val="18"/>
          <w:color w:val="auto"/>
        </w:rPr>
        <w:t>Comcast of California XI, Inc.</w:t>
      </w:r>
    </w:p>
    <w:p>
      <w:pPr>
        <w:spacing w:after="0" w:line="117" w:lineRule="exact"/>
        <w:rPr>
          <w:sz w:val="20"/>
          <w:szCs w:val="20"/>
          <w:color w:val="auto"/>
        </w:rPr>
      </w:pPr>
    </w:p>
    <w:p>
      <w:pPr>
        <w:ind w:left="520"/>
        <w:spacing w:after="0"/>
        <w:rPr>
          <w:sz w:val="20"/>
          <w:szCs w:val="20"/>
          <w:color w:val="auto"/>
        </w:rPr>
      </w:pPr>
      <w:r>
        <w:rPr>
          <w:rFonts w:ascii="Arial" w:cs="Arial" w:eastAsia="Arial" w:hAnsi="Arial"/>
          <w:sz w:val="18"/>
          <w:szCs w:val="18"/>
          <w:color w:val="auto"/>
        </w:rPr>
        <w:t>Comcast of California XII, Inc.</w:t>
      </w:r>
    </w:p>
    <w:p>
      <w:pPr>
        <w:spacing w:after="0" w:line="117" w:lineRule="exact"/>
        <w:rPr>
          <w:sz w:val="20"/>
          <w:szCs w:val="20"/>
          <w:color w:val="auto"/>
        </w:rPr>
      </w:pPr>
    </w:p>
    <w:p>
      <w:pPr>
        <w:ind w:left="520"/>
        <w:spacing w:after="0"/>
        <w:rPr>
          <w:sz w:val="20"/>
          <w:szCs w:val="20"/>
          <w:color w:val="auto"/>
        </w:rPr>
      </w:pPr>
      <w:r>
        <w:rPr>
          <w:rFonts w:ascii="Arial" w:cs="Arial" w:eastAsia="Arial" w:hAnsi="Arial"/>
          <w:sz w:val="18"/>
          <w:szCs w:val="18"/>
          <w:color w:val="auto"/>
        </w:rPr>
        <w:t>Comcast of California XIII, Inc.</w:t>
      </w:r>
    </w:p>
    <w:p>
      <w:pPr>
        <w:spacing w:after="0" w:line="117" w:lineRule="exact"/>
        <w:rPr>
          <w:sz w:val="20"/>
          <w:szCs w:val="20"/>
          <w:color w:val="auto"/>
        </w:rPr>
      </w:pPr>
    </w:p>
    <w:p>
      <w:pPr>
        <w:ind w:left="520"/>
        <w:spacing w:after="0"/>
        <w:rPr>
          <w:sz w:val="20"/>
          <w:szCs w:val="20"/>
          <w:color w:val="auto"/>
        </w:rPr>
      </w:pPr>
      <w:r>
        <w:rPr>
          <w:rFonts w:ascii="Arial" w:cs="Arial" w:eastAsia="Arial" w:hAnsi="Arial"/>
          <w:sz w:val="18"/>
          <w:szCs w:val="18"/>
          <w:color w:val="auto"/>
        </w:rPr>
        <w:t>Comcast of California XIV, LLC</w:t>
      </w:r>
    </w:p>
    <w:p>
      <w:pPr>
        <w:spacing w:after="0" w:line="117" w:lineRule="exact"/>
        <w:rPr>
          <w:sz w:val="20"/>
          <w:szCs w:val="20"/>
          <w:color w:val="auto"/>
        </w:rPr>
      </w:pPr>
    </w:p>
    <w:p>
      <w:pPr>
        <w:ind w:left="520"/>
        <w:spacing w:after="0"/>
        <w:rPr>
          <w:sz w:val="20"/>
          <w:szCs w:val="20"/>
          <w:color w:val="auto"/>
        </w:rPr>
      </w:pPr>
      <w:r>
        <w:rPr>
          <w:rFonts w:ascii="Arial" w:cs="Arial" w:eastAsia="Arial" w:hAnsi="Arial"/>
          <w:sz w:val="18"/>
          <w:szCs w:val="18"/>
          <w:color w:val="auto"/>
        </w:rPr>
        <w:t>Comcast of California XV, LLC</w:t>
      </w:r>
    </w:p>
    <w:p>
      <w:pPr>
        <w:spacing w:after="0" w:line="117" w:lineRule="exact"/>
        <w:rPr>
          <w:sz w:val="20"/>
          <w:szCs w:val="20"/>
          <w:color w:val="auto"/>
        </w:rPr>
      </w:pPr>
    </w:p>
    <w:p>
      <w:pPr>
        <w:ind w:left="520"/>
        <w:spacing w:after="0"/>
        <w:rPr>
          <w:sz w:val="20"/>
          <w:szCs w:val="20"/>
          <w:color w:val="auto"/>
        </w:rPr>
      </w:pPr>
      <w:r>
        <w:rPr>
          <w:rFonts w:ascii="Arial" w:cs="Arial" w:eastAsia="Arial" w:hAnsi="Arial"/>
          <w:sz w:val="18"/>
          <w:szCs w:val="18"/>
          <w:color w:val="auto"/>
        </w:rPr>
        <w:t>Comcast of California/Colorado, LLC</w:t>
      </w:r>
    </w:p>
    <w:p>
      <w:pPr>
        <w:spacing w:after="0" w:line="117" w:lineRule="exact"/>
        <w:rPr>
          <w:sz w:val="20"/>
          <w:szCs w:val="20"/>
          <w:color w:val="auto"/>
        </w:rPr>
      </w:pPr>
    </w:p>
    <w:p>
      <w:pPr>
        <w:ind w:left="520"/>
        <w:spacing w:after="0"/>
        <w:rPr>
          <w:sz w:val="20"/>
          <w:szCs w:val="20"/>
          <w:color w:val="auto"/>
        </w:rPr>
      </w:pPr>
      <w:r>
        <w:rPr>
          <w:rFonts w:ascii="Arial" w:cs="Arial" w:eastAsia="Arial" w:hAnsi="Arial"/>
          <w:sz w:val="18"/>
          <w:szCs w:val="18"/>
          <w:color w:val="auto"/>
        </w:rPr>
        <w:t>Comcast of California/Colorado/Florida/Oregon, Inc.</w:t>
      </w:r>
    </w:p>
    <w:p>
      <w:pPr>
        <w:spacing w:after="0" w:line="117" w:lineRule="exact"/>
        <w:rPr>
          <w:sz w:val="20"/>
          <w:szCs w:val="20"/>
          <w:color w:val="auto"/>
        </w:rPr>
      </w:pPr>
    </w:p>
    <w:p>
      <w:pPr>
        <w:ind w:left="520"/>
        <w:spacing w:after="0"/>
        <w:rPr>
          <w:sz w:val="20"/>
          <w:szCs w:val="20"/>
          <w:color w:val="auto"/>
        </w:rPr>
      </w:pPr>
      <w:r>
        <w:rPr>
          <w:rFonts w:ascii="Arial" w:cs="Arial" w:eastAsia="Arial" w:hAnsi="Arial"/>
          <w:sz w:val="18"/>
          <w:szCs w:val="18"/>
          <w:color w:val="auto"/>
        </w:rPr>
        <w:t>Comcast of California/Colorado/Illinois/Indiana/Michigan GP, LLC</w:t>
      </w:r>
    </w:p>
    <w:p>
      <w:pPr>
        <w:spacing w:after="0" w:line="117" w:lineRule="exact"/>
        <w:rPr>
          <w:sz w:val="20"/>
          <w:szCs w:val="20"/>
          <w:color w:val="auto"/>
        </w:rPr>
      </w:pPr>
    </w:p>
    <w:p>
      <w:pPr>
        <w:ind w:left="520"/>
        <w:spacing w:after="0"/>
        <w:rPr>
          <w:sz w:val="20"/>
          <w:szCs w:val="20"/>
          <w:color w:val="auto"/>
        </w:rPr>
      </w:pPr>
      <w:r>
        <w:rPr>
          <w:rFonts w:ascii="Arial" w:cs="Arial" w:eastAsia="Arial" w:hAnsi="Arial"/>
          <w:sz w:val="18"/>
          <w:szCs w:val="18"/>
          <w:color w:val="auto"/>
        </w:rPr>
        <w:t>Comcast of California/Colorado/Illinois/Indiana/Michigan, LP</w:t>
      </w:r>
    </w:p>
    <w:p>
      <w:pPr>
        <w:spacing w:after="0" w:line="117" w:lineRule="exact"/>
        <w:rPr>
          <w:sz w:val="20"/>
          <w:szCs w:val="20"/>
          <w:color w:val="auto"/>
        </w:rPr>
      </w:pPr>
    </w:p>
    <w:p>
      <w:pPr>
        <w:ind w:left="520"/>
        <w:spacing w:after="0"/>
        <w:rPr>
          <w:sz w:val="20"/>
          <w:szCs w:val="20"/>
          <w:color w:val="auto"/>
        </w:rPr>
      </w:pPr>
      <w:r>
        <w:rPr>
          <w:rFonts w:ascii="Arial" w:cs="Arial" w:eastAsia="Arial" w:hAnsi="Arial"/>
          <w:sz w:val="18"/>
          <w:szCs w:val="18"/>
          <w:color w:val="auto"/>
        </w:rPr>
        <w:t>Comcast of California/Colorado/Washington I, Inc.</w:t>
      </w:r>
    </w:p>
    <w:p>
      <w:pPr>
        <w:spacing w:after="0" w:line="117" w:lineRule="exact"/>
        <w:rPr>
          <w:sz w:val="20"/>
          <w:szCs w:val="20"/>
          <w:color w:val="auto"/>
        </w:rPr>
      </w:pPr>
    </w:p>
    <w:p>
      <w:pPr>
        <w:ind w:left="520"/>
        <w:spacing w:after="0"/>
        <w:rPr>
          <w:sz w:val="20"/>
          <w:szCs w:val="20"/>
          <w:color w:val="auto"/>
        </w:rPr>
      </w:pPr>
      <w:r>
        <w:rPr>
          <w:rFonts w:ascii="Arial" w:cs="Arial" w:eastAsia="Arial" w:hAnsi="Arial"/>
          <w:sz w:val="18"/>
          <w:szCs w:val="18"/>
          <w:color w:val="auto"/>
        </w:rPr>
        <w:t>Comcast of California/Colorado/Washington, LP</w:t>
      </w:r>
    </w:p>
    <w:p>
      <w:pPr>
        <w:spacing w:after="0" w:line="117" w:lineRule="exact"/>
        <w:rPr>
          <w:sz w:val="20"/>
          <w:szCs w:val="20"/>
          <w:color w:val="auto"/>
        </w:rPr>
      </w:pPr>
    </w:p>
    <w:p>
      <w:pPr>
        <w:ind w:left="520"/>
        <w:spacing w:after="0"/>
        <w:rPr>
          <w:sz w:val="20"/>
          <w:szCs w:val="20"/>
          <w:color w:val="auto"/>
        </w:rPr>
      </w:pPr>
      <w:r>
        <w:rPr>
          <w:rFonts w:ascii="Arial" w:cs="Arial" w:eastAsia="Arial" w:hAnsi="Arial"/>
          <w:sz w:val="18"/>
          <w:szCs w:val="18"/>
          <w:color w:val="auto"/>
        </w:rPr>
        <w:t>Comcast of California/Connecticut/Michigan</w:t>
      </w:r>
    </w:p>
    <w:p>
      <w:pPr>
        <w:spacing w:after="0" w:line="117" w:lineRule="exact"/>
        <w:rPr>
          <w:sz w:val="20"/>
          <w:szCs w:val="20"/>
          <w:color w:val="auto"/>
        </w:rPr>
      </w:pPr>
    </w:p>
    <w:p>
      <w:pPr>
        <w:ind w:left="520"/>
        <w:spacing w:after="0"/>
        <w:rPr>
          <w:sz w:val="20"/>
          <w:szCs w:val="20"/>
          <w:color w:val="auto"/>
        </w:rPr>
      </w:pPr>
      <w:r>
        <w:rPr>
          <w:rFonts w:ascii="Arial" w:cs="Arial" w:eastAsia="Arial" w:hAnsi="Arial"/>
          <w:sz w:val="18"/>
          <w:szCs w:val="18"/>
          <w:color w:val="auto"/>
        </w:rPr>
        <w:t>Comcast of California/Idaho, Inc.</w:t>
      </w:r>
    </w:p>
    <w:p>
      <w:pPr>
        <w:spacing w:after="0" w:line="117" w:lineRule="exact"/>
        <w:rPr>
          <w:sz w:val="20"/>
          <w:szCs w:val="20"/>
          <w:color w:val="auto"/>
        </w:rPr>
      </w:pPr>
    </w:p>
    <w:p>
      <w:pPr>
        <w:ind w:left="520"/>
        <w:spacing w:after="0"/>
        <w:rPr>
          <w:sz w:val="20"/>
          <w:szCs w:val="20"/>
          <w:color w:val="auto"/>
        </w:rPr>
      </w:pPr>
      <w:r>
        <w:rPr>
          <w:rFonts w:ascii="Arial" w:cs="Arial" w:eastAsia="Arial" w:hAnsi="Arial"/>
          <w:sz w:val="18"/>
          <w:szCs w:val="18"/>
          <w:color w:val="auto"/>
        </w:rPr>
        <w:t>Comcast of California/Illinois, LP</w:t>
      </w:r>
    </w:p>
    <w:p>
      <w:pPr>
        <w:spacing w:after="0" w:line="117" w:lineRule="exact"/>
        <w:rPr>
          <w:sz w:val="20"/>
          <w:szCs w:val="20"/>
          <w:color w:val="auto"/>
        </w:rPr>
      </w:pPr>
    </w:p>
    <w:p>
      <w:pPr>
        <w:ind w:left="520"/>
        <w:spacing w:after="0"/>
        <w:rPr>
          <w:sz w:val="20"/>
          <w:szCs w:val="20"/>
          <w:color w:val="auto"/>
        </w:rPr>
      </w:pPr>
      <w:r>
        <w:rPr>
          <w:rFonts w:ascii="Arial" w:cs="Arial" w:eastAsia="Arial" w:hAnsi="Arial"/>
          <w:sz w:val="16"/>
          <w:szCs w:val="16"/>
          <w:color w:val="auto"/>
        </w:rPr>
        <w:t>Comcast of California/Maryland/Pennsylvania/Virginia/West Virginia, LLC</w:t>
      </w:r>
    </w:p>
    <w:p>
      <w:pPr>
        <w:spacing w:after="0" w:line="140" w:lineRule="exact"/>
        <w:rPr>
          <w:sz w:val="20"/>
          <w:szCs w:val="20"/>
          <w:color w:val="auto"/>
        </w:rPr>
      </w:pPr>
    </w:p>
    <w:p>
      <w:pPr>
        <w:ind w:left="520"/>
        <w:spacing w:after="0"/>
        <w:rPr>
          <w:sz w:val="20"/>
          <w:szCs w:val="20"/>
          <w:color w:val="auto"/>
        </w:rPr>
      </w:pPr>
      <w:r>
        <w:rPr>
          <w:rFonts w:ascii="Arial" w:cs="Arial" w:eastAsia="Arial" w:hAnsi="Arial"/>
          <w:sz w:val="18"/>
          <w:szCs w:val="18"/>
          <w:color w:val="auto"/>
        </w:rPr>
        <w:t>Comcast of California/Massachusetts/Michigan/Utah, Inc.</w:t>
      </w:r>
    </w:p>
    <w:p>
      <w:pPr>
        <w:spacing w:after="0" w:line="117" w:lineRule="exact"/>
        <w:rPr>
          <w:sz w:val="20"/>
          <w:szCs w:val="20"/>
          <w:color w:val="auto"/>
        </w:rPr>
      </w:pPr>
    </w:p>
    <w:p>
      <w:pPr>
        <w:ind w:left="520"/>
        <w:spacing w:after="0"/>
        <w:rPr>
          <w:sz w:val="20"/>
          <w:szCs w:val="20"/>
          <w:color w:val="auto"/>
        </w:rPr>
      </w:pPr>
      <w:r>
        <w:rPr>
          <w:rFonts w:ascii="Arial" w:cs="Arial" w:eastAsia="Arial" w:hAnsi="Arial"/>
          <w:sz w:val="18"/>
          <w:szCs w:val="18"/>
          <w:color w:val="auto"/>
        </w:rPr>
        <w:t>Comcast of California/Pennsylvania/Utah/Washington, Inc.</w:t>
      </w:r>
    </w:p>
    <w:p>
      <w:pPr>
        <w:spacing w:after="0" w:line="117" w:lineRule="exact"/>
        <w:rPr>
          <w:sz w:val="20"/>
          <w:szCs w:val="20"/>
          <w:color w:val="auto"/>
        </w:rPr>
      </w:pPr>
    </w:p>
    <w:p>
      <w:pPr>
        <w:ind w:left="520"/>
        <w:spacing w:after="0"/>
        <w:rPr>
          <w:sz w:val="20"/>
          <w:szCs w:val="20"/>
          <w:color w:val="auto"/>
        </w:rPr>
      </w:pPr>
      <w:r>
        <w:rPr>
          <w:rFonts w:ascii="Arial" w:cs="Arial" w:eastAsia="Arial" w:hAnsi="Arial"/>
          <w:sz w:val="18"/>
          <w:szCs w:val="18"/>
          <w:color w:val="auto"/>
        </w:rPr>
        <w:t>Comcast of Carolina, Inc.</w:t>
      </w:r>
    </w:p>
    <w:p>
      <w:pPr>
        <w:spacing w:after="0" w:line="117" w:lineRule="exact"/>
        <w:rPr>
          <w:sz w:val="20"/>
          <w:szCs w:val="20"/>
          <w:color w:val="auto"/>
        </w:rPr>
      </w:pPr>
    </w:p>
    <w:p>
      <w:pPr>
        <w:ind w:left="520"/>
        <w:spacing w:after="0"/>
        <w:rPr>
          <w:sz w:val="20"/>
          <w:szCs w:val="20"/>
          <w:color w:val="auto"/>
        </w:rPr>
      </w:pPr>
      <w:r>
        <w:rPr>
          <w:rFonts w:ascii="Arial" w:cs="Arial" w:eastAsia="Arial" w:hAnsi="Arial"/>
          <w:sz w:val="18"/>
          <w:szCs w:val="18"/>
          <w:color w:val="auto"/>
        </w:rPr>
        <w:t>Comcast of Celebration, LLC</w:t>
      </w:r>
    </w:p>
    <w:p>
      <w:pPr>
        <w:spacing w:after="0" w:line="117" w:lineRule="exact"/>
        <w:rPr>
          <w:sz w:val="20"/>
          <w:szCs w:val="20"/>
          <w:color w:val="auto"/>
        </w:rPr>
      </w:pPr>
    </w:p>
    <w:p>
      <w:pPr>
        <w:ind w:left="520"/>
        <w:spacing w:after="0"/>
        <w:rPr>
          <w:sz w:val="20"/>
          <w:szCs w:val="20"/>
          <w:color w:val="auto"/>
        </w:rPr>
      </w:pPr>
      <w:r>
        <w:rPr>
          <w:rFonts w:ascii="Arial" w:cs="Arial" w:eastAsia="Arial" w:hAnsi="Arial"/>
          <w:sz w:val="18"/>
          <w:szCs w:val="18"/>
          <w:color w:val="auto"/>
        </w:rPr>
        <w:t>Comcast of Central New Jersey, LLC</w:t>
      </w:r>
    </w:p>
    <w:p>
      <w:pPr>
        <w:spacing w:after="0" w:line="117" w:lineRule="exact"/>
        <w:rPr>
          <w:sz w:val="20"/>
          <w:szCs w:val="20"/>
          <w:color w:val="auto"/>
        </w:rPr>
      </w:pPr>
    </w:p>
    <w:p>
      <w:pPr>
        <w:ind w:left="520"/>
        <w:spacing w:after="0"/>
        <w:rPr>
          <w:sz w:val="20"/>
          <w:szCs w:val="20"/>
          <w:color w:val="auto"/>
        </w:rPr>
      </w:pPr>
      <w:r>
        <w:rPr>
          <w:rFonts w:ascii="Arial" w:cs="Arial" w:eastAsia="Arial" w:hAnsi="Arial"/>
          <w:sz w:val="18"/>
          <w:szCs w:val="18"/>
          <w:color w:val="auto"/>
        </w:rPr>
        <w:t>Comcast of Chesterfield County, Inc.</w:t>
      </w:r>
    </w:p>
    <w:p>
      <w:pPr>
        <w:spacing w:after="0" w:line="117" w:lineRule="exact"/>
        <w:rPr>
          <w:sz w:val="20"/>
          <w:szCs w:val="20"/>
          <w:color w:val="auto"/>
        </w:rPr>
      </w:pPr>
    </w:p>
    <w:p>
      <w:pPr>
        <w:ind w:left="520"/>
        <w:spacing w:after="0"/>
        <w:rPr>
          <w:sz w:val="20"/>
          <w:szCs w:val="20"/>
          <w:color w:val="auto"/>
        </w:rPr>
      </w:pPr>
      <w:r>
        <w:rPr>
          <w:rFonts w:ascii="Arial" w:cs="Arial" w:eastAsia="Arial" w:hAnsi="Arial"/>
          <w:sz w:val="18"/>
          <w:szCs w:val="18"/>
          <w:color w:val="auto"/>
        </w:rPr>
        <w:t>Comcast of Chicago, Inc.</w:t>
      </w:r>
    </w:p>
    <w:p>
      <w:pPr>
        <w:spacing w:after="0" w:line="117" w:lineRule="exact"/>
        <w:rPr>
          <w:sz w:val="20"/>
          <w:szCs w:val="20"/>
          <w:color w:val="auto"/>
        </w:rPr>
      </w:pPr>
    </w:p>
    <w:p>
      <w:pPr>
        <w:ind w:left="520"/>
        <w:spacing w:after="0"/>
        <w:rPr>
          <w:sz w:val="20"/>
          <w:szCs w:val="20"/>
          <w:color w:val="auto"/>
        </w:rPr>
      </w:pPr>
      <w:r>
        <w:rPr>
          <w:rFonts w:ascii="Arial" w:cs="Arial" w:eastAsia="Arial" w:hAnsi="Arial"/>
          <w:sz w:val="18"/>
          <w:szCs w:val="18"/>
          <w:color w:val="auto"/>
        </w:rPr>
        <w:t>Comcast of Clinton</w:t>
      </w:r>
    </w:p>
    <w:p>
      <w:pPr>
        <w:spacing w:after="0" w:line="117" w:lineRule="exact"/>
        <w:rPr>
          <w:sz w:val="20"/>
          <w:szCs w:val="20"/>
          <w:color w:val="auto"/>
        </w:rPr>
      </w:pPr>
    </w:p>
    <w:p>
      <w:pPr>
        <w:ind w:left="520"/>
        <w:spacing w:after="0"/>
        <w:rPr>
          <w:sz w:val="20"/>
          <w:szCs w:val="20"/>
          <w:color w:val="auto"/>
        </w:rPr>
      </w:pPr>
      <w:r>
        <w:rPr>
          <w:rFonts w:ascii="Arial" w:cs="Arial" w:eastAsia="Arial" w:hAnsi="Arial"/>
          <w:sz w:val="18"/>
          <w:szCs w:val="18"/>
          <w:color w:val="auto"/>
        </w:rPr>
        <w:t>Comcast of Clinton CT, Inc.</w:t>
      </w:r>
    </w:p>
    <w:p>
      <w:pPr>
        <w:spacing w:after="0" w:line="117" w:lineRule="exact"/>
        <w:rPr>
          <w:sz w:val="20"/>
          <w:szCs w:val="20"/>
          <w:color w:val="auto"/>
        </w:rPr>
      </w:pPr>
    </w:p>
    <w:p>
      <w:pPr>
        <w:ind w:left="520"/>
        <w:spacing w:after="0"/>
        <w:rPr>
          <w:sz w:val="20"/>
          <w:szCs w:val="20"/>
          <w:color w:val="auto"/>
        </w:rPr>
      </w:pPr>
      <w:r>
        <w:rPr>
          <w:rFonts w:ascii="Arial" w:cs="Arial" w:eastAsia="Arial" w:hAnsi="Arial"/>
          <w:sz w:val="18"/>
          <w:szCs w:val="18"/>
          <w:color w:val="auto"/>
        </w:rPr>
        <w:t>Comcast of Clinton MI, Inc.</w:t>
      </w:r>
    </w:p>
    <w:p>
      <w:pPr>
        <w:spacing w:after="0" w:line="117" w:lineRule="exact"/>
        <w:rPr>
          <w:sz w:val="20"/>
          <w:szCs w:val="20"/>
          <w:color w:val="auto"/>
        </w:rPr>
      </w:pPr>
    </w:p>
    <w:p>
      <w:pPr>
        <w:ind w:left="520"/>
        <w:spacing w:after="0"/>
        <w:rPr>
          <w:sz w:val="20"/>
          <w:szCs w:val="20"/>
          <w:color w:val="auto"/>
        </w:rPr>
      </w:pPr>
      <w:r>
        <w:rPr>
          <w:rFonts w:ascii="Arial" w:cs="Arial" w:eastAsia="Arial" w:hAnsi="Arial"/>
          <w:sz w:val="18"/>
          <w:szCs w:val="18"/>
          <w:color w:val="auto"/>
        </w:rPr>
        <w:t>Comcast of Coconut Creek, Inc.</w:t>
      </w:r>
    </w:p>
    <w:p>
      <w:pPr>
        <w:spacing w:after="0" w:line="117" w:lineRule="exact"/>
        <w:rPr>
          <w:sz w:val="20"/>
          <w:szCs w:val="20"/>
          <w:color w:val="auto"/>
        </w:rPr>
      </w:pPr>
    </w:p>
    <w:p>
      <w:pPr>
        <w:ind w:left="520"/>
        <w:spacing w:after="0"/>
        <w:rPr>
          <w:sz w:val="20"/>
          <w:szCs w:val="20"/>
          <w:color w:val="auto"/>
        </w:rPr>
      </w:pPr>
      <w:r>
        <w:rPr>
          <w:rFonts w:ascii="Arial" w:cs="Arial" w:eastAsia="Arial" w:hAnsi="Arial"/>
          <w:sz w:val="18"/>
          <w:szCs w:val="18"/>
          <w:color w:val="auto"/>
        </w:rPr>
        <w:t>Comcast of Colorado I, LLC</w:t>
      </w:r>
    </w:p>
    <w:p>
      <w:pPr>
        <w:spacing w:after="0" w:line="117" w:lineRule="exact"/>
        <w:rPr>
          <w:sz w:val="20"/>
          <w:szCs w:val="20"/>
          <w:color w:val="auto"/>
        </w:rPr>
      </w:pPr>
    </w:p>
    <w:p>
      <w:pPr>
        <w:ind w:left="520"/>
        <w:spacing w:after="0"/>
        <w:rPr>
          <w:sz w:val="20"/>
          <w:szCs w:val="20"/>
          <w:color w:val="auto"/>
        </w:rPr>
      </w:pPr>
      <w:r>
        <w:rPr>
          <w:rFonts w:ascii="Arial" w:cs="Arial" w:eastAsia="Arial" w:hAnsi="Arial"/>
          <w:sz w:val="18"/>
          <w:szCs w:val="18"/>
          <w:color w:val="auto"/>
        </w:rPr>
        <w:t>Comcast of Colorado II, LLC</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Arial" w:cs="Arial" w:eastAsia="Arial" w:hAnsi="Arial"/>
          <w:sz w:val="18"/>
          <w:szCs w:val="18"/>
          <w:color w:val="auto"/>
        </w:rPr>
        <w:t>CO</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color w:val="auto"/>
        </w:rPr>
        <w:t>DE</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color w:val="auto"/>
        </w:rPr>
        <w:t>DE</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color w:val="auto"/>
        </w:rPr>
        <w:t>DE</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color w:val="auto"/>
        </w:rPr>
        <w:t>MD</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color w:val="auto"/>
        </w:rPr>
        <w:t>CO</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color w:val="auto"/>
        </w:rPr>
        <w:t>WA</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color w:val="auto"/>
        </w:rPr>
        <w:t>NY</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color w:val="auto"/>
        </w:rPr>
        <w:t>DE</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color w:val="auto"/>
        </w:rPr>
        <w:t>AR</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color w:val="auto"/>
        </w:rPr>
        <w:t>DE</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color w:val="auto"/>
        </w:rPr>
        <w:t>NV</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color w:val="auto"/>
        </w:rPr>
        <w:t>CA</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color w:val="auto"/>
        </w:rPr>
        <w:t>DE</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color w:val="auto"/>
        </w:rPr>
        <w:t>CA</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color w:val="auto"/>
        </w:rPr>
        <w:t>CO</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color w:val="auto"/>
        </w:rPr>
        <w:t>WY</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color w:val="auto"/>
        </w:rPr>
        <w:t>CA</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color w:val="auto"/>
        </w:rPr>
        <w:t>CA</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color w:val="auto"/>
        </w:rPr>
        <w:t>CA</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color w:val="auto"/>
        </w:rPr>
        <w:t>WA</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color w:val="auto"/>
        </w:rPr>
        <w:t>CA</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color w:val="auto"/>
        </w:rPr>
        <w:t>TN</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color w:val="auto"/>
        </w:rPr>
        <w:t>DE</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color w:val="auto"/>
        </w:rPr>
        <w:t>CA</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color w:val="auto"/>
        </w:rPr>
        <w:t>DE</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color w:val="auto"/>
        </w:rPr>
        <w:t>DE</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color w:val="auto"/>
        </w:rPr>
        <w:t>DE</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color w:val="auto"/>
        </w:rPr>
        <w:t>GA</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color w:val="auto"/>
        </w:rPr>
        <w:t>DE</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color w:val="auto"/>
        </w:rPr>
        <w:t>DE</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color w:val="auto"/>
        </w:rPr>
        <w:t>WA</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color w:val="auto"/>
        </w:rPr>
        <w:t>CO</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color w:val="auto"/>
        </w:rPr>
        <w:t>CO</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color w:val="auto"/>
        </w:rPr>
        <w:t>ID</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color w:val="auto"/>
        </w:rPr>
        <w:t>CO</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color w:val="auto"/>
        </w:rPr>
        <w:t>DE</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color w:val="auto"/>
        </w:rPr>
        <w:t>DE</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color w:val="auto"/>
        </w:rPr>
        <w:t>PA</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color w:val="auto"/>
        </w:rPr>
        <w:t>SC</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color w:val="auto"/>
        </w:rPr>
        <w:t>DE</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color w:val="auto"/>
        </w:rPr>
        <w:t>DE</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color w:val="auto"/>
        </w:rPr>
        <w:t>VA</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color w:val="auto"/>
        </w:rPr>
        <w:t>IL</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color w:val="auto"/>
        </w:rPr>
        <w:t>MI</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color w:val="auto"/>
        </w:rPr>
        <w:t>CT</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color w:val="auto"/>
        </w:rPr>
        <w:t>MI</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color w:val="auto"/>
        </w:rPr>
        <w:t>FL</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color w:val="auto"/>
        </w:rPr>
        <w:t>CO</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color w:val="auto"/>
        </w:rPr>
        <w:t>CO</w:t>
      </w:r>
    </w:p>
    <w:p>
      <w:pPr>
        <w:sectPr>
          <w:pgSz w:w="11900" w:h="16838" w:orient="portrait"/>
          <w:cols w:equalWidth="0" w:num="2">
            <w:col w:w="7480" w:space="720"/>
            <w:col w:w="819"/>
          </w:cols>
          <w:pgMar w:left="1440" w:top="388" w:right="1440" w:bottom="0" w:gutter="0" w:footer="0" w:header="0"/>
        </w:sectPr>
      </w:pPr>
    </w:p>
    <w:bookmarkStart w:id="170" w:name="page171"/>
    <w:bookmarkEnd w:id="170"/>
    <w:p>
      <w:pPr>
        <w:ind w:left="520"/>
        <w:spacing w:after="0"/>
        <w:rPr>
          <w:sz w:val="20"/>
          <w:szCs w:val="20"/>
          <w:color w:val="auto"/>
        </w:rPr>
      </w:pPr>
      <w:r>
        <w:rPr>
          <w:rFonts w:ascii="Arial" w:cs="Arial" w:eastAsia="Arial" w:hAnsi="Arial"/>
          <w:sz w:val="16"/>
          <w:szCs w:val="16"/>
          <w:color w:val="auto"/>
        </w:rPr>
        <w:t>Comcast of Colorado III, LLC</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Arial" w:cs="Arial" w:eastAsia="Arial" w:hAnsi="Arial"/>
          <w:sz w:val="16"/>
          <w:szCs w:val="16"/>
          <w:color w:val="auto"/>
        </w:rPr>
        <w:t>CO</w:t>
      </w:r>
    </w:p>
    <w:p>
      <w:pPr>
        <w:spacing w:after="0" w:line="140" w:lineRule="exact"/>
        <w:rPr>
          <w:sz w:val="20"/>
          <w:szCs w:val="20"/>
          <w:color w:val="auto"/>
        </w:rPr>
      </w:pPr>
    </w:p>
    <w:p>
      <w:pPr>
        <w:sectPr>
          <w:pgSz w:w="11900" w:h="16838" w:orient="portrait"/>
          <w:cols w:equalWidth="0" w:num="2">
            <w:col w:w="7480" w:space="720"/>
            <w:col w:w="819"/>
          </w:cols>
          <w:pgMar w:left="1440" w:top="131" w:right="1440" w:bottom="1440" w:gutter="0" w:footer="0" w:header="0"/>
        </w:sectPr>
      </w:pPr>
    </w:p>
    <w:p>
      <w:pPr>
        <w:ind w:left="520"/>
        <w:spacing w:after="0"/>
        <w:rPr>
          <w:sz w:val="20"/>
          <w:szCs w:val="20"/>
          <w:color w:val="auto"/>
        </w:rPr>
      </w:pPr>
      <w:r>
        <w:rPr>
          <w:rFonts w:ascii="Arial" w:cs="Arial" w:eastAsia="Arial" w:hAnsi="Arial"/>
          <w:sz w:val="16"/>
          <w:szCs w:val="16"/>
          <w:color w:val="auto"/>
        </w:rPr>
        <w:t>Comcast of Colorado IV, LLC</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Arial" w:cs="Arial" w:eastAsia="Arial" w:hAnsi="Arial"/>
          <w:sz w:val="16"/>
          <w:szCs w:val="16"/>
          <w:color w:val="auto"/>
        </w:rPr>
        <w:t>DE</w:t>
      </w:r>
    </w:p>
    <w:p>
      <w:pPr>
        <w:sectPr>
          <w:pgSz w:w="11900" w:h="16838" w:orient="portrait"/>
          <w:cols w:equalWidth="0" w:num="2">
            <w:col w:w="7480" w:space="720"/>
            <w:col w:w="819"/>
          </w:cols>
          <w:pgMar w:left="1440" w:top="131" w:right="1440" w:bottom="1440" w:gutter="0" w:footer="0" w:header="0"/>
          <w:type w:val="continuous"/>
        </w:sectPr>
      </w:pPr>
    </w:p>
    <w:bookmarkStart w:id="171" w:name="page172"/>
    <w:bookmarkEnd w:id="171"/>
    <w:p>
      <w:pPr>
        <w:ind w:left="460" w:right="459"/>
        <w:spacing w:after="0" w:line="380"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241" name="Picture 2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1"/>
                    <pic:cNvPicPr>
                      <a:picLocks noChangeAspect="1" noChangeArrowheads="1"/>
                    </pic:cNvPicPr>
                  </pic:nvPicPr>
                  <pic:blipFill>
                    <a:blip r:embed="rId248">
                      <a:extLst>
                        <a:ext uri="{28A0092B-C50C-407E-A947-70E740481C1C}"/>
                      </a:extLst>
                    </a:blip>
                    <a:srcRect/>
                    <a:stretch>
                      <a:fillRect/>
                    </a:stretch>
                  </pic:blipFill>
                  <pic:spPr bwMode="auto">
                    <a:xfrm>
                      <a:off x="0" y="0"/>
                      <a:ext cx="7267575" cy="27940"/>
                    </a:xfrm>
                    <a:prstGeom prst="rect">
                      <a:avLst/>
                    </a:prstGeom>
                    <a:noFill/>
                  </pic:spPr>
                </pic:pic>
              </a:graphicData>
            </a:graphic>
          </wp:anchor>
        </w:drawing>
        <w:t>Comcast of Colorado IX, LLC DE Comcast of Colorado V, LLC CO Comcast of Colorado VI, LLC IA Comcast of Colorado VII, LLC IA Comcast of Colorado VIII, LLC CO Comcast of Colorado X, LLC CO Comcast of Colorado XI, Inc. CO Comcast of Colorado XII, Inc. MD Comcast of Colorado, LP CO Comcast of Colorado/Florida, Inc. WA Comcast of Colorado/Pennsylvania/West Virginia, LLC DE Comcast of Connecticut II, Inc. CT Comcast of Connecticut, Inc. OK Comcast of Connecticut, LLC DE Comcast of Connecticut/Georgia/Massachusetts/New Hampshire/New York/North Carolina/Virginia/Vermont, DE Comcast of Contra Costa, Inc. WA Comcast of Cupertino, Inc. CA Comcast of Danbury, Inc. DE Comcast of Davis County, Inc. UT Comcast of Delmarva, Inc. DE Comcast of Detroit MI Comcast of Detroit, Inc. MI Comcast of East San Fernando Valley, LP CO Comcast of Eastern Connecticut, Inc. CT Comcast of Eastern Shore, LLC DE Comcast of Elkton, LLC DE Comcast of Everett, Inc. WA Comcast of Flint, Inc. MI Comcast of Florida WY Comcast of Florida I, Inc. MO Comcast of Florida II, Inc. DE Comcast of Florida III, Inc. MI Comcast of Florida, LP DE Comcast of Florida/Georgia MI Comcast of Florida/Georgia, LLC DE Comcast of Florida/Illinois/Michigan, Inc. DE Comcast of Florida/Pennsylvania, LP DE Comcast of Florida/Washington, LLC DE Comcast of Fort Wayne Limited Partnership IN Comcast of Fresno, Inc. CA Comcast of Garden State L.P. DE Comcast of Georgia I, LLC GA Comcast of Georgia/Massachusetts, LLC DE Comcast of Georgia/Michigan, LP CA Comcast of Georgia/South Carolina II, LLC DE Comcast of Georgia/South Carolina, Inc. CO Comcast of Georgia/Virginia, Inc. CO Comcast of Gloucester County, LLC DE Comcast of Greater Florida/Georgia, Inc. FL Comcast of Grosse Pointe, Inc. MI</w:t>
      </w:r>
    </w:p>
    <w:p>
      <w:pPr>
        <w:sectPr>
          <w:pgSz w:w="11900" w:h="16838" w:orient="portrait"/>
          <w:cols w:equalWidth="0" w:num="1">
            <w:col w:w="9019"/>
          </w:cols>
          <w:pgMar w:left="1440" w:top="388" w:right="1440" w:bottom="1440" w:gutter="0" w:footer="0" w:header="0"/>
        </w:sectPr>
      </w:pPr>
    </w:p>
    <w:bookmarkStart w:id="172" w:name="page173"/>
    <w:bookmarkEnd w:id="172"/>
    <w:p>
      <w:pPr>
        <w:ind w:left="460"/>
        <w:spacing w:after="0"/>
        <w:rPr>
          <w:sz w:val="20"/>
          <w:szCs w:val="20"/>
          <w:color w:val="auto"/>
        </w:rPr>
      </w:pPr>
      <w:r>
        <w:rPr>
          <w:rFonts w:ascii="Arial" w:cs="Arial" w:eastAsia="Arial" w:hAnsi="Arial"/>
          <w:sz w:val="16"/>
          <w:szCs w:val="16"/>
          <w:color w:val="auto"/>
        </w:rPr>
        <w:t>Comcast of Groton, Inc.</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Arial" w:cs="Arial" w:eastAsia="Arial" w:hAnsi="Arial"/>
          <w:sz w:val="16"/>
          <w:szCs w:val="16"/>
          <w:color w:val="auto"/>
        </w:rPr>
        <w:t>CT</w:t>
      </w:r>
    </w:p>
    <w:p>
      <w:pPr>
        <w:spacing w:after="0" w:line="140" w:lineRule="exact"/>
        <w:rPr>
          <w:sz w:val="20"/>
          <w:szCs w:val="20"/>
          <w:color w:val="auto"/>
        </w:rPr>
      </w:pPr>
    </w:p>
    <w:p>
      <w:pPr>
        <w:sectPr>
          <w:pgSz w:w="11900" w:h="16838" w:orient="portrait"/>
          <w:cols w:equalWidth="0" w:num="2">
            <w:col w:w="7540" w:space="720"/>
            <w:col w:w="759"/>
          </w:cols>
          <w:pgMar w:left="1440" w:top="131" w:right="1440" w:bottom="1440" w:gutter="0" w:footer="0" w:header="0"/>
        </w:sectPr>
      </w:pPr>
    </w:p>
    <w:p>
      <w:pPr>
        <w:ind w:left="460"/>
        <w:spacing w:after="0"/>
        <w:rPr>
          <w:sz w:val="20"/>
          <w:szCs w:val="20"/>
          <w:color w:val="auto"/>
        </w:rPr>
      </w:pPr>
      <w:r>
        <w:rPr>
          <w:rFonts w:ascii="Arial" w:cs="Arial" w:eastAsia="Arial" w:hAnsi="Arial"/>
          <w:sz w:val="16"/>
          <w:szCs w:val="16"/>
          <w:color w:val="auto"/>
        </w:rPr>
        <w:t>Comcast of Harford County, LLC</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Arial" w:cs="Arial" w:eastAsia="Arial" w:hAnsi="Arial"/>
          <w:sz w:val="18"/>
          <w:szCs w:val="18"/>
          <w:color w:val="auto"/>
        </w:rPr>
        <w:t>MD</w:t>
      </w:r>
    </w:p>
    <w:p>
      <w:pPr>
        <w:sectPr>
          <w:pgSz w:w="11900" w:h="16838" w:orient="portrait"/>
          <w:cols w:equalWidth="0" w:num="2">
            <w:col w:w="7540" w:space="720"/>
            <w:col w:w="759"/>
          </w:cols>
          <w:pgMar w:left="1440" w:top="131" w:right="1440" w:bottom="1440" w:gutter="0" w:footer="0" w:header="0"/>
          <w:type w:val="continuous"/>
        </w:sectPr>
      </w:pPr>
    </w:p>
    <w:bookmarkStart w:id="173" w:name="page174"/>
    <w:bookmarkEnd w:id="173"/>
    <w:p>
      <w:pPr>
        <w:ind w:left="520"/>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242" name="Picture 2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2"/>
                    <pic:cNvPicPr>
                      <a:picLocks noChangeAspect="1" noChangeArrowheads="1"/>
                    </pic:cNvPicPr>
                  </pic:nvPicPr>
                  <pic:blipFill>
                    <a:blip r:embed="rId249">
                      <a:extLst>
                        <a:ext uri="{28A0092B-C50C-407E-A947-70E740481C1C}"/>
                      </a:extLst>
                    </a:blip>
                    <a:srcRect/>
                    <a:stretch>
                      <a:fillRect/>
                    </a:stretch>
                  </pic:blipFill>
                  <pic:spPr bwMode="auto">
                    <a:xfrm>
                      <a:off x="0" y="0"/>
                      <a:ext cx="7267575" cy="27940"/>
                    </a:xfrm>
                    <a:prstGeom prst="rect">
                      <a:avLst/>
                    </a:prstGeom>
                    <a:noFill/>
                  </pic:spPr>
                </pic:pic>
              </a:graphicData>
            </a:graphic>
          </wp:anchor>
        </w:drawing>
        <w:t>Comcast of Hopewell Valley, Inc.</w:t>
      </w:r>
    </w:p>
    <w:p>
      <w:pPr>
        <w:spacing w:after="0" w:line="117" w:lineRule="exact"/>
        <w:rPr>
          <w:sz w:val="20"/>
          <w:szCs w:val="20"/>
          <w:color w:val="auto"/>
        </w:rPr>
      </w:pPr>
    </w:p>
    <w:p>
      <w:pPr>
        <w:ind w:left="520"/>
        <w:spacing w:after="0"/>
        <w:rPr>
          <w:sz w:val="20"/>
          <w:szCs w:val="20"/>
          <w:color w:val="auto"/>
        </w:rPr>
      </w:pPr>
      <w:r>
        <w:rPr>
          <w:rFonts w:ascii="Arial" w:cs="Arial" w:eastAsia="Arial" w:hAnsi="Arial"/>
          <w:sz w:val="18"/>
          <w:szCs w:val="18"/>
          <w:color w:val="auto"/>
        </w:rPr>
        <w:t>Comcast of Howard County, LLC</w:t>
      </w:r>
    </w:p>
    <w:p>
      <w:pPr>
        <w:spacing w:after="0" w:line="117" w:lineRule="exact"/>
        <w:rPr>
          <w:sz w:val="20"/>
          <w:szCs w:val="20"/>
          <w:color w:val="auto"/>
        </w:rPr>
      </w:pPr>
    </w:p>
    <w:p>
      <w:pPr>
        <w:ind w:left="520"/>
        <w:spacing w:after="0"/>
        <w:rPr>
          <w:sz w:val="20"/>
          <w:szCs w:val="20"/>
          <w:color w:val="auto"/>
        </w:rPr>
      </w:pPr>
      <w:r>
        <w:rPr>
          <w:rFonts w:ascii="Arial" w:cs="Arial" w:eastAsia="Arial" w:hAnsi="Arial"/>
          <w:sz w:val="18"/>
          <w:szCs w:val="18"/>
          <w:color w:val="auto"/>
        </w:rPr>
        <w:t>Comcast of Illinois I, Inc.</w:t>
      </w:r>
    </w:p>
    <w:p>
      <w:pPr>
        <w:spacing w:after="0" w:line="117" w:lineRule="exact"/>
        <w:rPr>
          <w:sz w:val="20"/>
          <w:szCs w:val="20"/>
          <w:color w:val="auto"/>
        </w:rPr>
      </w:pPr>
    </w:p>
    <w:p>
      <w:pPr>
        <w:ind w:left="520"/>
        <w:spacing w:after="0"/>
        <w:rPr>
          <w:sz w:val="20"/>
          <w:szCs w:val="20"/>
          <w:color w:val="auto"/>
        </w:rPr>
      </w:pPr>
      <w:r>
        <w:rPr>
          <w:rFonts w:ascii="Arial" w:cs="Arial" w:eastAsia="Arial" w:hAnsi="Arial"/>
          <w:sz w:val="18"/>
          <w:szCs w:val="18"/>
          <w:color w:val="auto"/>
        </w:rPr>
        <w:t>Comcast of Illinois II, Inc.</w:t>
      </w:r>
    </w:p>
    <w:p>
      <w:pPr>
        <w:spacing w:after="0" w:line="117" w:lineRule="exact"/>
        <w:rPr>
          <w:sz w:val="20"/>
          <w:szCs w:val="20"/>
          <w:color w:val="auto"/>
        </w:rPr>
      </w:pPr>
    </w:p>
    <w:p>
      <w:pPr>
        <w:ind w:left="520"/>
        <w:spacing w:after="0"/>
        <w:rPr>
          <w:sz w:val="20"/>
          <w:szCs w:val="20"/>
          <w:color w:val="auto"/>
        </w:rPr>
      </w:pPr>
      <w:r>
        <w:rPr>
          <w:rFonts w:ascii="Arial" w:cs="Arial" w:eastAsia="Arial" w:hAnsi="Arial"/>
          <w:sz w:val="18"/>
          <w:szCs w:val="18"/>
          <w:color w:val="auto"/>
        </w:rPr>
        <w:t>Comcast of Illinois III, Inc.</w:t>
      </w:r>
    </w:p>
    <w:p>
      <w:pPr>
        <w:spacing w:after="0" w:line="117" w:lineRule="exact"/>
        <w:rPr>
          <w:sz w:val="20"/>
          <w:szCs w:val="20"/>
          <w:color w:val="auto"/>
        </w:rPr>
      </w:pPr>
    </w:p>
    <w:p>
      <w:pPr>
        <w:ind w:left="520"/>
        <w:spacing w:after="0"/>
        <w:rPr>
          <w:sz w:val="20"/>
          <w:szCs w:val="20"/>
          <w:color w:val="auto"/>
        </w:rPr>
      </w:pPr>
      <w:r>
        <w:rPr>
          <w:rFonts w:ascii="Arial" w:cs="Arial" w:eastAsia="Arial" w:hAnsi="Arial"/>
          <w:sz w:val="18"/>
          <w:szCs w:val="18"/>
          <w:color w:val="auto"/>
        </w:rPr>
        <w:t>Comcast of Illinois IV, Inc.</w:t>
      </w:r>
    </w:p>
    <w:p>
      <w:pPr>
        <w:spacing w:after="0" w:line="117" w:lineRule="exact"/>
        <w:rPr>
          <w:sz w:val="20"/>
          <w:szCs w:val="20"/>
          <w:color w:val="auto"/>
        </w:rPr>
      </w:pPr>
    </w:p>
    <w:p>
      <w:pPr>
        <w:ind w:left="520"/>
        <w:spacing w:after="0"/>
        <w:rPr>
          <w:sz w:val="20"/>
          <w:szCs w:val="20"/>
          <w:color w:val="auto"/>
        </w:rPr>
      </w:pPr>
      <w:r>
        <w:rPr>
          <w:rFonts w:ascii="Arial" w:cs="Arial" w:eastAsia="Arial" w:hAnsi="Arial"/>
          <w:sz w:val="18"/>
          <w:szCs w:val="18"/>
          <w:color w:val="auto"/>
        </w:rPr>
        <w:t>Comcast of Illinois IX, LLC</w:t>
      </w:r>
    </w:p>
    <w:p>
      <w:pPr>
        <w:spacing w:after="0" w:line="117" w:lineRule="exact"/>
        <w:rPr>
          <w:sz w:val="20"/>
          <w:szCs w:val="20"/>
          <w:color w:val="auto"/>
        </w:rPr>
      </w:pPr>
    </w:p>
    <w:p>
      <w:pPr>
        <w:ind w:left="520"/>
        <w:spacing w:after="0"/>
        <w:rPr>
          <w:sz w:val="20"/>
          <w:szCs w:val="20"/>
          <w:color w:val="auto"/>
        </w:rPr>
      </w:pPr>
      <w:r>
        <w:rPr>
          <w:rFonts w:ascii="Arial" w:cs="Arial" w:eastAsia="Arial" w:hAnsi="Arial"/>
          <w:sz w:val="18"/>
          <w:szCs w:val="18"/>
          <w:color w:val="auto"/>
        </w:rPr>
        <w:t>Comcast of Illinois V, Inc.</w:t>
      </w:r>
    </w:p>
    <w:p>
      <w:pPr>
        <w:spacing w:after="0" w:line="117" w:lineRule="exact"/>
        <w:rPr>
          <w:sz w:val="20"/>
          <w:szCs w:val="20"/>
          <w:color w:val="auto"/>
        </w:rPr>
      </w:pPr>
    </w:p>
    <w:p>
      <w:pPr>
        <w:ind w:left="520"/>
        <w:spacing w:after="0"/>
        <w:rPr>
          <w:sz w:val="20"/>
          <w:szCs w:val="20"/>
          <w:color w:val="auto"/>
        </w:rPr>
      </w:pPr>
      <w:r>
        <w:rPr>
          <w:rFonts w:ascii="Arial" w:cs="Arial" w:eastAsia="Arial" w:hAnsi="Arial"/>
          <w:sz w:val="18"/>
          <w:szCs w:val="18"/>
          <w:color w:val="auto"/>
        </w:rPr>
        <w:t>Comcast of Illinois VI, LLC</w:t>
      </w:r>
    </w:p>
    <w:p>
      <w:pPr>
        <w:spacing w:after="0" w:line="117" w:lineRule="exact"/>
        <w:rPr>
          <w:sz w:val="20"/>
          <w:szCs w:val="20"/>
          <w:color w:val="auto"/>
        </w:rPr>
      </w:pPr>
    </w:p>
    <w:p>
      <w:pPr>
        <w:ind w:left="520"/>
        <w:spacing w:after="0"/>
        <w:rPr>
          <w:sz w:val="20"/>
          <w:szCs w:val="20"/>
          <w:color w:val="auto"/>
        </w:rPr>
      </w:pPr>
      <w:r>
        <w:rPr>
          <w:rFonts w:ascii="Arial" w:cs="Arial" w:eastAsia="Arial" w:hAnsi="Arial"/>
          <w:sz w:val="18"/>
          <w:szCs w:val="18"/>
          <w:color w:val="auto"/>
        </w:rPr>
        <w:t>Comcast of Illinois VII, Inc.</w:t>
      </w:r>
    </w:p>
    <w:p>
      <w:pPr>
        <w:spacing w:after="0" w:line="117" w:lineRule="exact"/>
        <w:rPr>
          <w:sz w:val="20"/>
          <w:szCs w:val="20"/>
          <w:color w:val="auto"/>
        </w:rPr>
      </w:pPr>
    </w:p>
    <w:p>
      <w:pPr>
        <w:ind w:left="520"/>
        <w:spacing w:after="0"/>
        <w:rPr>
          <w:sz w:val="20"/>
          <w:szCs w:val="20"/>
          <w:color w:val="auto"/>
        </w:rPr>
      </w:pPr>
      <w:r>
        <w:rPr>
          <w:rFonts w:ascii="Arial" w:cs="Arial" w:eastAsia="Arial" w:hAnsi="Arial"/>
          <w:sz w:val="18"/>
          <w:szCs w:val="18"/>
          <w:color w:val="auto"/>
        </w:rPr>
        <w:t>Comcast of Illinois VIII, LLC</w:t>
      </w:r>
    </w:p>
    <w:p>
      <w:pPr>
        <w:spacing w:after="0" w:line="117" w:lineRule="exact"/>
        <w:rPr>
          <w:sz w:val="20"/>
          <w:szCs w:val="20"/>
          <w:color w:val="auto"/>
        </w:rPr>
      </w:pPr>
    </w:p>
    <w:p>
      <w:pPr>
        <w:ind w:left="520"/>
        <w:spacing w:after="0"/>
        <w:rPr>
          <w:sz w:val="20"/>
          <w:szCs w:val="20"/>
          <w:color w:val="auto"/>
        </w:rPr>
      </w:pPr>
      <w:r>
        <w:rPr>
          <w:rFonts w:ascii="Arial" w:cs="Arial" w:eastAsia="Arial" w:hAnsi="Arial"/>
          <w:sz w:val="18"/>
          <w:szCs w:val="18"/>
          <w:color w:val="auto"/>
        </w:rPr>
        <w:t>Comcast of Illinois X, LLC</w:t>
      </w:r>
    </w:p>
    <w:p>
      <w:pPr>
        <w:spacing w:after="0" w:line="117" w:lineRule="exact"/>
        <w:rPr>
          <w:sz w:val="20"/>
          <w:szCs w:val="20"/>
          <w:color w:val="auto"/>
        </w:rPr>
      </w:pPr>
    </w:p>
    <w:p>
      <w:pPr>
        <w:ind w:left="520"/>
        <w:spacing w:after="0"/>
        <w:rPr>
          <w:sz w:val="20"/>
          <w:szCs w:val="20"/>
          <w:color w:val="auto"/>
        </w:rPr>
      </w:pPr>
      <w:r>
        <w:rPr>
          <w:rFonts w:ascii="Arial" w:cs="Arial" w:eastAsia="Arial" w:hAnsi="Arial"/>
          <w:sz w:val="18"/>
          <w:szCs w:val="18"/>
          <w:color w:val="auto"/>
        </w:rPr>
        <w:t>Comcast of Illinois XI, LLC</w:t>
      </w:r>
    </w:p>
    <w:p>
      <w:pPr>
        <w:spacing w:after="0" w:line="117" w:lineRule="exact"/>
        <w:rPr>
          <w:sz w:val="20"/>
          <w:szCs w:val="20"/>
          <w:color w:val="auto"/>
        </w:rPr>
      </w:pPr>
    </w:p>
    <w:p>
      <w:pPr>
        <w:ind w:left="520"/>
        <w:spacing w:after="0"/>
        <w:rPr>
          <w:sz w:val="20"/>
          <w:szCs w:val="20"/>
          <w:color w:val="auto"/>
        </w:rPr>
      </w:pPr>
      <w:r>
        <w:rPr>
          <w:rFonts w:ascii="Arial" w:cs="Arial" w:eastAsia="Arial" w:hAnsi="Arial"/>
          <w:sz w:val="18"/>
          <w:szCs w:val="18"/>
          <w:color w:val="auto"/>
        </w:rPr>
        <w:t>Comcast of Illinois XII, L.P.</w:t>
      </w:r>
    </w:p>
    <w:p>
      <w:pPr>
        <w:spacing w:after="0" w:line="117" w:lineRule="exact"/>
        <w:rPr>
          <w:sz w:val="20"/>
          <w:szCs w:val="20"/>
          <w:color w:val="auto"/>
        </w:rPr>
      </w:pPr>
    </w:p>
    <w:p>
      <w:pPr>
        <w:ind w:left="520"/>
        <w:spacing w:after="0"/>
        <w:rPr>
          <w:sz w:val="20"/>
          <w:szCs w:val="20"/>
          <w:color w:val="auto"/>
        </w:rPr>
      </w:pPr>
      <w:r>
        <w:rPr>
          <w:rFonts w:ascii="Arial" w:cs="Arial" w:eastAsia="Arial" w:hAnsi="Arial"/>
          <w:sz w:val="18"/>
          <w:szCs w:val="18"/>
          <w:color w:val="auto"/>
        </w:rPr>
        <w:t>Comcast of Illinois XIII, L.P.</w:t>
      </w:r>
    </w:p>
    <w:p>
      <w:pPr>
        <w:spacing w:after="0" w:line="117" w:lineRule="exact"/>
        <w:rPr>
          <w:sz w:val="20"/>
          <w:szCs w:val="20"/>
          <w:color w:val="auto"/>
        </w:rPr>
      </w:pPr>
    </w:p>
    <w:p>
      <w:pPr>
        <w:ind w:left="520"/>
        <w:spacing w:after="0"/>
        <w:rPr>
          <w:sz w:val="20"/>
          <w:szCs w:val="20"/>
          <w:color w:val="auto"/>
        </w:rPr>
      </w:pPr>
      <w:r>
        <w:rPr>
          <w:rFonts w:ascii="Arial" w:cs="Arial" w:eastAsia="Arial" w:hAnsi="Arial"/>
          <w:sz w:val="18"/>
          <w:szCs w:val="18"/>
          <w:color w:val="auto"/>
        </w:rPr>
        <w:t>Comcast of Illinois/Indiana</w:t>
      </w:r>
    </w:p>
    <w:p>
      <w:pPr>
        <w:spacing w:after="0" w:line="117" w:lineRule="exact"/>
        <w:rPr>
          <w:sz w:val="20"/>
          <w:szCs w:val="20"/>
          <w:color w:val="auto"/>
        </w:rPr>
      </w:pPr>
    </w:p>
    <w:p>
      <w:pPr>
        <w:ind w:left="520"/>
        <w:spacing w:after="0"/>
        <w:rPr>
          <w:sz w:val="20"/>
          <w:szCs w:val="20"/>
          <w:color w:val="auto"/>
        </w:rPr>
      </w:pPr>
      <w:r>
        <w:rPr>
          <w:rFonts w:ascii="Arial" w:cs="Arial" w:eastAsia="Arial" w:hAnsi="Arial"/>
          <w:sz w:val="18"/>
          <w:szCs w:val="18"/>
          <w:color w:val="auto"/>
        </w:rPr>
        <w:t>Comcast of Illinois/Indiana/Michigan, Inc.</w:t>
      </w:r>
    </w:p>
    <w:p>
      <w:pPr>
        <w:spacing w:after="0" w:line="117" w:lineRule="exact"/>
        <w:rPr>
          <w:sz w:val="20"/>
          <w:szCs w:val="20"/>
          <w:color w:val="auto"/>
        </w:rPr>
      </w:pPr>
    </w:p>
    <w:p>
      <w:pPr>
        <w:ind w:left="520"/>
        <w:spacing w:after="0"/>
        <w:rPr>
          <w:sz w:val="20"/>
          <w:szCs w:val="20"/>
          <w:color w:val="auto"/>
        </w:rPr>
      </w:pPr>
      <w:r>
        <w:rPr>
          <w:rFonts w:ascii="Arial" w:cs="Arial" w:eastAsia="Arial" w:hAnsi="Arial"/>
          <w:sz w:val="18"/>
          <w:szCs w:val="18"/>
          <w:color w:val="auto"/>
        </w:rPr>
        <w:t>Comcast of Illinois/Ohio/Oregon, LLC</w:t>
      </w:r>
    </w:p>
    <w:p>
      <w:pPr>
        <w:spacing w:after="0" w:line="117" w:lineRule="exact"/>
        <w:rPr>
          <w:sz w:val="20"/>
          <w:szCs w:val="20"/>
          <w:color w:val="auto"/>
        </w:rPr>
      </w:pPr>
    </w:p>
    <w:p>
      <w:pPr>
        <w:ind w:left="520"/>
        <w:spacing w:after="0"/>
        <w:rPr>
          <w:sz w:val="20"/>
          <w:szCs w:val="20"/>
          <w:color w:val="auto"/>
        </w:rPr>
      </w:pPr>
      <w:r>
        <w:rPr>
          <w:rFonts w:ascii="Arial" w:cs="Arial" w:eastAsia="Arial" w:hAnsi="Arial"/>
          <w:sz w:val="18"/>
          <w:szCs w:val="18"/>
          <w:color w:val="auto"/>
        </w:rPr>
        <w:t>Comcast of Illinois/West Virginia, LLC</w:t>
      </w:r>
    </w:p>
    <w:p>
      <w:pPr>
        <w:spacing w:after="0" w:line="117" w:lineRule="exact"/>
        <w:rPr>
          <w:sz w:val="20"/>
          <w:szCs w:val="20"/>
          <w:color w:val="auto"/>
        </w:rPr>
      </w:pPr>
    </w:p>
    <w:p>
      <w:pPr>
        <w:ind w:left="520"/>
        <w:spacing w:after="0"/>
        <w:rPr>
          <w:sz w:val="20"/>
          <w:szCs w:val="20"/>
          <w:color w:val="auto"/>
        </w:rPr>
      </w:pPr>
      <w:r>
        <w:rPr>
          <w:rFonts w:ascii="Arial" w:cs="Arial" w:eastAsia="Arial" w:hAnsi="Arial"/>
          <w:sz w:val="18"/>
          <w:szCs w:val="18"/>
          <w:color w:val="auto"/>
        </w:rPr>
        <w:t>Comcast of Indiana, LLC</w:t>
      </w:r>
    </w:p>
    <w:p>
      <w:pPr>
        <w:spacing w:after="0" w:line="117" w:lineRule="exact"/>
        <w:rPr>
          <w:sz w:val="20"/>
          <w:szCs w:val="20"/>
          <w:color w:val="auto"/>
        </w:rPr>
      </w:pPr>
    </w:p>
    <w:p>
      <w:pPr>
        <w:ind w:left="520"/>
        <w:spacing w:after="0"/>
        <w:rPr>
          <w:sz w:val="20"/>
          <w:szCs w:val="20"/>
          <w:color w:val="auto"/>
        </w:rPr>
      </w:pPr>
      <w:r>
        <w:rPr>
          <w:rFonts w:ascii="Arial" w:cs="Arial" w:eastAsia="Arial" w:hAnsi="Arial"/>
          <w:sz w:val="18"/>
          <w:szCs w:val="18"/>
          <w:color w:val="auto"/>
        </w:rPr>
        <w:t>Comcast of Indiana/Kentucky/Utah</w:t>
      </w:r>
    </w:p>
    <w:p>
      <w:pPr>
        <w:spacing w:after="0" w:line="117" w:lineRule="exact"/>
        <w:rPr>
          <w:sz w:val="20"/>
          <w:szCs w:val="20"/>
          <w:color w:val="auto"/>
        </w:rPr>
      </w:pPr>
    </w:p>
    <w:p>
      <w:pPr>
        <w:ind w:left="520"/>
        <w:spacing w:after="0"/>
        <w:rPr>
          <w:sz w:val="20"/>
          <w:szCs w:val="20"/>
          <w:color w:val="auto"/>
        </w:rPr>
      </w:pPr>
      <w:r>
        <w:rPr>
          <w:rFonts w:ascii="Arial" w:cs="Arial" w:eastAsia="Arial" w:hAnsi="Arial"/>
          <w:sz w:val="18"/>
          <w:szCs w:val="18"/>
          <w:color w:val="auto"/>
        </w:rPr>
        <w:t>Comcast of Indiana/Michigan, LLC</w:t>
      </w:r>
    </w:p>
    <w:p>
      <w:pPr>
        <w:spacing w:after="0" w:line="117" w:lineRule="exact"/>
        <w:rPr>
          <w:sz w:val="20"/>
          <w:szCs w:val="20"/>
          <w:color w:val="auto"/>
        </w:rPr>
      </w:pPr>
    </w:p>
    <w:p>
      <w:pPr>
        <w:ind w:left="520"/>
        <w:spacing w:after="0"/>
        <w:rPr>
          <w:sz w:val="20"/>
          <w:szCs w:val="20"/>
          <w:color w:val="auto"/>
        </w:rPr>
      </w:pPr>
      <w:r>
        <w:rPr>
          <w:rFonts w:ascii="Arial" w:cs="Arial" w:eastAsia="Arial" w:hAnsi="Arial"/>
          <w:sz w:val="16"/>
          <w:szCs w:val="16"/>
          <w:color w:val="auto"/>
        </w:rPr>
        <w:t>Comcast of Indiana/Michigan/Pennsylvania, LLC</w:t>
      </w:r>
    </w:p>
    <w:p>
      <w:pPr>
        <w:spacing w:after="0" w:line="140" w:lineRule="exact"/>
        <w:rPr>
          <w:sz w:val="20"/>
          <w:szCs w:val="20"/>
          <w:color w:val="auto"/>
        </w:rPr>
      </w:pPr>
    </w:p>
    <w:p>
      <w:pPr>
        <w:ind w:left="520"/>
        <w:spacing w:after="0"/>
        <w:rPr>
          <w:sz w:val="20"/>
          <w:szCs w:val="20"/>
          <w:color w:val="auto"/>
        </w:rPr>
      </w:pPr>
      <w:r>
        <w:rPr>
          <w:rFonts w:ascii="Arial" w:cs="Arial" w:eastAsia="Arial" w:hAnsi="Arial"/>
          <w:sz w:val="18"/>
          <w:szCs w:val="18"/>
          <w:color w:val="auto"/>
        </w:rPr>
        <w:t>Comcast of Indianapolis, Inc.</w:t>
      </w:r>
    </w:p>
    <w:p>
      <w:pPr>
        <w:spacing w:after="0" w:line="117" w:lineRule="exact"/>
        <w:rPr>
          <w:sz w:val="20"/>
          <w:szCs w:val="20"/>
          <w:color w:val="auto"/>
        </w:rPr>
      </w:pPr>
    </w:p>
    <w:p>
      <w:pPr>
        <w:ind w:left="520"/>
        <w:spacing w:after="0"/>
        <w:rPr>
          <w:sz w:val="20"/>
          <w:szCs w:val="20"/>
          <w:color w:val="auto"/>
        </w:rPr>
      </w:pPr>
      <w:r>
        <w:rPr>
          <w:rFonts w:ascii="Arial" w:cs="Arial" w:eastAsia="Arial" w:hAnsi="Arial"/>
          <w:sz w:val="18"/>
          <w:szCs w:val="18"/>
          <w:color w:val="auto"/>
        </w:rPr>
        <w:t>Comcast of Indianapolis, L.P.</w:t>
      </w:r>
    </w:p>
    <w:p>
      <w:pPr>
        <w:spacing w:after="0" w:line="117" w:lineRule="exact"/>
        <w:rPr>
          <w:sz w:val="20"/>
          <w:szCs w:val="20"/>
          <w:color w:val="auto"/>
        </w:rPr>
      </w:pPr>
    </w:p>
    <w:p>
      <w:pPr>
        <w:ind w:left="520"/>
        <w:spacing w:after="0"/>
        <w:rPr>
          <w:sz w:val="20"/>
          <w:szCs w:val="20"/>
          <w:color w:val="auto"/>
        </w:rPr>
      </w:pPr>
      <w:r>
        <w:rPr>
          <w:rFonts w:ascii="Arial" w:cs="Arial" w:eastAsia="Arial" w:hAnsi="Arial"/>
          <w:sz w:val="18"/>
          <w:szCs w:val="18"/>
          <w:color w:val="auto"/>
        </w:rPr>
        <w:t>Comcast of Inkster Limited Partnership</w:t>
      </w:r>
    </w:p>
    <w:p>
      <w:pPr>
        <w:spacing w:after="0" w:line="117" w:lineRule="exact"/>
        <w:rPr>
          <w:sz w:val="20"/>
          <w:szCs w:val="20"/>
          <w:color w:val="auto"/>
        </w:rPr>
      </w:pPr>
    </w:p>
    <w:p>
      <w:pPr>
        <w:ind w:left="520"/>
        <w:spacing w:after="0"/>
        <w:rPr>
          <w:sz w:val="20"/>
          <w:szCs w:val="20"/>
          <w:color w:val="auto"/>
        </w:rPr>
      </w:pPr>
      <w:r>
        <w:rPr>
          <w:rFonts w:ascii="Arial" w:cs="Arial" w:eastAsia="Arial" w:hAnsi="Arial"/>
          <w:sz w:val="18"/>
          <w:szCs w:val="18"/>
          <w:color w:val="auto"/>
        </w:rPr>
        <w:t>Comcast of Jersey City, LLC</w:t>
      </w:r>
    </w:p>
    <w:p>
      <w:pPr>
        <w:spacing w:after="0" w:line="117" w:lineRule="exact"/>
        <w:rPr>
          <w:sz w:val="20"/>
          <w:szCs w:val="20"/>
          <w:color w:val="auto"/>
        </w:rPr>
      </w:pPr>
    </w:p>
    <w:p>
      <w:pPr>
        <w:ind w:left="520"/>
        <w:spacing w:after="0"/>
        <w:rPr>
          <w:sz w:val="20"/>
          <w:szCs w:val="20"/>
          <w:color w:val="auto"/>
        </w:rPr>
      </w:pPr>
      <w:r>
        <w:rPr>
          <w:rFonts w:ascii="Arial" w:cs="Arial" w:eastAsia="Arial" w:hAnsi="Arial"/>
          <w:sz w:val="16"/>
          <w:szCs w:val="16"/>
          <w:color w:val="auto"/>
        </w:rPr>
        <w:t>Comcast of Kentucky/Tennessee/Virginia, LLC</w:t>
      </w:r>
    </w:p>
    <w:p>
      <w:pPr>
        <w:spacing w:after="0" w:line="140" w:lineRule="exact"/>
        <w:rPr>
          <w:sz w:val="20"/>
          <w:szCs w:val="20"/>
          <w:color w:val="auto"/>
        </w:rPr>
      </w:pPr>
    </w:p>
    <w:p>
      <w:pPr>
        <w:ind w:left="520"/>
        <w:spacing w:after="0"/>
        <w:rPr>
          <w:sz w:val="20"/>
          <w:szCs w:val="20"/>
          <w:color w:val="auto"/>
        </w:rPr>
      </w:pPr>
      <w:r>
        <w:rPr>
          <w:rFonts w:ascii="Arial" w:cs="Arial" w:eastAsia="Arial" w:hAnsi="Arial"/>
          <w:sz w:val="18"/>
          <w:szCs w:val="18"/>
          <w:color w:val="auto"/>
        </w:rPr>
        <w:t>Comcast of Laurel, Inc.</w:t>
      </w:r>
    </w:p>
    <w:p>
      <w:pPr>
        <w:spacing w:after="0" w:line="117" w:lineRule="exact"/>
        <w:rPr>
          <w:sz w:val="20"/>
          <w:szCs w:val="20"/>
          <w:color w:val="auto"/>
        </w:rPr>
      </w:pPr>
    </w:p>
    <w:p>
      <w:pPr>
        <w:ind w:left="520"/>
        <w:spacing w:after="0"/>
        <w:rPr>
          <w:sz w:val="20"/>
          <w:szCs w:val="20"/>
          <w:color w:val="auto"/>
        </w:rPr>
      </w:pPr>
      <w:r>
        <w:rPr>
          <w:rFonts w:ascii="Arial" w:cs="Arial" w:eastAsia="Arial" w:hAnsi="Arial"/>
          <w:sz w:val="18"/>
          <w:szCs w:val="18"/>
          <w:color w:val="auto"/>
        </w:rPr>
        <w:t>Comcast of Lawrence, LLC</w:t>
      </w:r>
    </w:p>
    <w:p>
      <w:pPr>
        <w:spacing w:after="0" w:line="117" w:lineRule="exact"/>
        <w:rPr>
          <w:sz w:val="20"/>
          <w:szCs w:val="20"/>
          <w:color w:val="auto"/>
        </w:rPr>
      </w:pPr>
    </w:p>
    <w:p>
      <w:pPr>
        <w:ind w:left="520"/>
        <w:spacing w:after="0"/>
        <w:rPr>
          <w:sz w:val="20"/>
          <w:szCs w:val="20"/>
          <w:color w:val="auto"/>
        </w:rPr>
      </w:pPr>
      <w:r>
        <w:rPr>
          <w:rFonts w:ascii="Arial" w:cs="Arial" w:eastAsia="Arial" w:hAnsi="Arial"/>
          <w:sz w:val="18"/>
          <w:szCs w:val="18"/>
          <w:color w:val="auto"/>
        </w:rPr>
        <w:t>Comcast of Levittown, LLC</w:t>
      </w:r>
    </w:p>
    <w:p>
      <w:pPr>
        <w:spacing w:after="0" w:line="117" w:lineRule="exact"/>
        <w:rPr>
          <w:sz w:val="20"/>
          <w:szCs w:val="20"/>
          <w:color w:val="auto"/>
        </w:rPr>
      </w:pPr>
    </w:p>
    <w:p>
      <w:pPr>
        <w:ind w:left="520"/>
        <w:spacing w:after="0"/>
        <w:rPr>
          <w:sz w:val="20"/>
          <w:szCs w:val="20"/>
          <w:color w:val="auto"/>
        </w:rPr>
      </w:pPr>
      <w:r>
        <w:rPr>
          <w:rFonts w:ascii="Arial" w:cs="Arial" w:eastAsia="Arial" w:hAnsi="Arial"/>
          <w:sz w:val="18"/>
          <w:szCs w:val="18"/>
          <w:color w:val="auto"/>
        </w:rPr>
        <w:t>Comcast of Little Rock, Inc.</w:t>
      </w:r>
    </w:p>
    <w:p>
      <w:pPr>
        <w:spacing w:after="0" w:line="117" w:lineRule="exact"/>
        <w:rPr>
          <w:sz w:val="20"/>
          <w:szCs w:val="20"/>
          <w:color w:val="auto"/>
        </w:rPr>
      </w:pPr>
    </w:p>
    <w:p>
      <w:pPr>
        <w:ind w:left="520"/>
        <w:spacing w:after="0"/>
        <w:rPr>
          <w:sz w:val="20"/>
          <w:szCs w:val="20"/>
          <w:color w:val="auto"/>
        </w:rPr>
      </w:pPr>
      <w:r>
        <w:rPr>
          <w:rFonts w:ascii="Arial" w:cs="Arial" w:eastAsia="Arial" w:hAnsi="Arial"/>
          <w:sz w:val="18"/>
          <w:szCs w:val="18"/>
          <w:color w:val="auto"/>
        </w:rPr>
        <w:t>Comcast of Lompoc, LLC</w:t>
      </w:r>
    </w:p>
    <w:p>
      <w:pPr>
        <w:spacing w:after="0" w:line="117" w:lineRule="exact"/>
        <w:rPr>
          <w:sz w:val="20"/>
          <w:szCs w:val="20"/>
          <w:color w:val="auto"/>
        </w:rPr>
      </w:pPr>
    </w:p>
    <w:p>
      <w:pPr>
        <w:ind w:left="520"/>
        <w:spacing w:after="0"/>
        <w:rPr>
          <w:sz w:val="20"/>
          <w:szCs w:val="20"/>
          <w:color w:val="auto"/>
        </w:rPr>
      </w:pPr>
      <w:r>
        <w:rPr>
          <w:rFonts w:ascii="Arial" w:cs="Arial" w:eastAsia="Arial" w:hAnsi="Arial"/>
          <w:sz w:val="18"/>
          <w:szCs w:val="18"/>
          <w:color w:val="auto"/>
        </w:rPr>
        <w:t>Comcast of Long Beach Island, LLC</w:t>
      </w:r>
    </w:p>
    <w:p>
      <w:pPr>
        <w:spacing w:after="0" w:line="117" w:lineRule="exact"/>
        <w:rPr>
          <w:sz w:val="20"/>
          <w:szCs w:val="20"/>
          <w:color w:val="auto"/>
        </w:rPr>
      </w:pPr>
    </w:p>
    <w:p>
      <w:pPr>
        <w:ind w:left="520"/>
        <w:spacing w:after="0"/>
        <w:rPr>
          <w:sz w:val="20"/>
          <w:szCs w:val="20"/>
          <w:color w:val="auto"/>
        </w:rPr>
      </w:pPr>
      <w:r>
        <w:rPr>
          <w:rFonts w:ascii="Arial" w:cs="Arial" w:eastAsia="Arial" w:hAnsi="Arial"/>
          <w:sz w:val="16"/>
          <w:szCs w:val="16"/>
          <w:color w:val="auto"/>
        </w:rPr>
        <w:t>Comcast of Louisiana/Mississippi/Texas, LLC</w:t>
      </w:r>
    </w:p>
    <w:p>
      <w:pPr>
        <w:spacing w:after="0" w:line="140" w:lineRule="exact"/>
        <w:rPr>
          <w:sz w:val="20"/>
          <w:szCs w:val="20"/>
          <w:color w:val="auto"/>
        </w:rPr>
      </w:pPr>
    </w:p>
    <w:p>
      <w:pPr>
        <w:ind w:left="520"/>
        <w:spacing w:after="0"/>
        <w:rPr>
          <w:sz w:val="20"/>
          <w:szCs w:val="20"/>
          <w:color w:val="auto"/>
        </w:rPr>
      </w:pPr>
      <w:r>
        <w:rPr>
          <w:rFonts w:ascii="Arial" w:cs="Arial" w:eastAsia="Arial" w:hAnsi="Arial"/>
          <w:sz w:val="18"/>
          <w:szCs w:val="18"/>
          <w:color w:val="auto"/>
        </w:rPr>
        <w:t>Comcast of Lower Merion, Inc.</w:t>
      </w:r>
    </w:p>
    <w:p>
      <w:pPr>
        <w:spacing w:after="0" w:line="117" w:lineRule="exact"/>
        <w:rPr>
          <w:sz w:val="20"/>
          <w:szCs w:val="20"/>
          <w:color w:val="auto"/>
        </w:rPr>
      </w:pPr>
    </w:p>
    <w:p>
      <w:pPr>
        <w:ind w:left="520"/>
        <w:spacing w:after="0"/>
        <w:rPr>
          <w:sz w:val="20"/>
          <w:szCs w:val="20"/>
          <w:color w:val="auto"/>
        </w:rPr>
      </w:pPr>
      <w:r>
        <w:rPr>
          <w:rFonts w:ascii="Arial" w:cs="Arial" w:eastAsia="Arial" w:hAnsi="Arial"/>
          <w:sz w:val="18"/>
          <w:szCs w:val="18"/>
          <w:color w:val="auto"/>
        </w:rPr>
        <w:t>Comcast of Macomb County, Inc.</w:t>
      </w:r>
    </w:p>
    <w:p>
      <w:pPr>
        <w:spacing w:after="0" w:line="117" w:lineRule="exact"/>
        <w:rPr>
          <w:sz w:val="20"/>
          <w:szCs w:val="20"/>
          <w:color w:val="auto"/>
        </w:rPr>
      </w:pPr>
    </w:p>
    <w:p>
      <w:pPr>
        <w:ind w:left="520"/>
        <w:spacing w:after="0"/>
        <w:rPr>
          <w:sz w:val="20"/>
          <w:szCs w:val="20"/>
          <w:color w:val="auto"/>
        </w:rPr>
      </w:pPr>
      <w:r>
        <w:rPr>
          <w:rFonts w:ascii="Arial" w:cs="Arial" w:eastAsia="Arial" w:hAnsi="Arial"/>
          <w:sz w:val="18"/>
          <w:szCs w:val="18"/>
          <w:color w:val="auto"/>
        </w:rPr>
        <w:t>Comcast of Macomb, Inc.</w:t>
      </w:r>
    </w:p>
    <w:p>
      <w:pPr>
        <w:spacing w:after="0" w:line="117" w:lineRule="exact"/>
        <w:rPr>
          <w:sz w:val="20"/>
          <w:szCs w:val="20"/>
          <w:color w:val="auto"/>
        </w:rPr>
      </w:pPr>
    </w:p>
    <w:p>
      <w:pPr>
        <w:ind w:left="520"/>
        <w:spacing w:after="0"/>
        <w:rPr>
          <w:sz w:val="20"/>
          <w:szCs w:val="20"/>
          <w:color w:val="auto"/>
        </w:rPr>
      </w:pPr>
      <w:r>
        <w:rPr>
          <w:rFonts w:ascii="Arial" w:cs="Arial" w:eastAsia="Arial" w:hAnsi="Arial"/>
          <w:sz w:val="18"/>
          <w:szCs w:val="18"/>
          <w:color w:val="auto"/>
        </w:rPr>
        <w:t>Comcast of Maine/New Hampshire, Inc.</w:t>
      </w:r>
    </w:p>
    <w:p>
      <w:pPr>
        <w:spacing w:after="0" w:line="117" w:lineRule="exact"/>
        <w:rPr>
          <w:sz w:val="20"/>
          <w:szCs w:val="20"/>
          <w:color w:val="auto"/>
        </w:rPr>
      </w:pPr>
    </w:p>
    <w:p>
      <w:pPr>
        <w:ind w:left="520"/>
        <w:spacing w:after="0"/>
        <w:rPr>
          <w:sz w:val="20"/>
          <w:szCs w:val="20"/>
          <w:color w:val="auto"/>
        </w:rPr>
      </w:pPr>
      <w:r>
        <w:rPr>
          <w:rFonts w:ascii="Arial" w:cs="Arial" w:eastAsia="Arial" w:hAnsi="Arial"/>
          <w:sz w:val="18"/>
          <w:szCs w:val="18"/>
          <w:color w:val="auto"/>
        </w:rPr>
        <w:t>Comcast of Margate, Inc.</w:t>
      </w:r>
    </w:p>
    <w:p>
      <w:pPr>
        <w:spacing w:after="0" w:line="117" w:lineRule="exact"/>
        <w:rPr>
          <w:sz w:val="20"/>
          <w:szCs w:val="20"/>
          <w:color w:val="auto"/>
        </w:rPr>
      </w:pPr>
    </w:p>
    <w:p>
      <w:pPr>
        <w:ind w:left="520"/>
        <w:spacing w:after="0"/>
        <w:rPr>
          <w:sz w:val="20"/>
          <w:szCs w:val="20"/>
          <w:color w:val="auto"/>
        </w:rPr>
      </w:pPr>
      <w:r>
        <w:rPr>
          <w:rFonts w:ascii="Arial" w:cs="Arial" w:eastAsia="Arial" w:hAnsi="Arial"/>
          <w:sz w:val="18"/>
          <w:szCs w:val="18"/>
          <w:color w:val="auto"/>
        </w:rPr>
        <w:t>Comcast of Marianna, Inc.</w:t>
      </w:r>
    </w:p>
    <w:p>
      <w:pPr>
        <w:spacing w:after="0" w:line="117" w:lineRule="exact"/>
        <w:rPr>
          <w:sz w:val="20"/>
          <w:szCs w:val="20"/>
          <w:color w:val="auto"/>
        </w:rPr>
      </w:pPr>
    </w:p>
    <w:p>
      <w:pPr>
        <w:ind w:left="520"/>
        <w:spacing w:after="0"/>
        <w:rPr>
          <w:sz w:val="20"/>
          <w:szCs w:val="20"/>
          <w:color w:val="auto"/>
        </w:rPr>
      </w:pPr>
      <w:r>
        <w:rPr>
          <w:rFonts w:ascii="Arial" w:cs="Arial" w:eastAsia="Arial" w:hAnsi="Arial"/>
          <w:sz w:val="18"/>
          <w:szCs w:val="18"/>
          <w:color w:val="auto"/>
        </w:rPr>
        <w:t>Comcast of Marin I, Inc.</w:t>
      </w:r>
    </w:p>
    <w:p>
      <w:pPr>
        <w:spacing w:after="0" w:line="117" w:lineRule="exact"/>
        <w:rPr>
          <w:sz w:val="20"/>
          <w:szCs w:val="20"/>
          <w:color w:val="auto"/>
        </w:rPr>
      </w:pPr>
    </w:p>
    <w:p>
      <w:pPr>
        <w:ind w:left="520"/>
        <w:spacing w:after="0"/>
        <w:rPr>
          <w:sz w:val="20"/>
          <w:szCs w:val="20"/>
          <w:color w:val="auto"/>
        </w:rPr>
      </w:pPr>
      <w:r>
        <w:rPr>
          <w:rFonts w:ascii="Arial" w:cs="Arial" w:eastAsia="Arial" w:hAnsi="Arial"/>
          <w:sz w:val="18"/>
          <w:szCs w:val="18"/>
          <w:color w:val="auto"/>
        </w:rPr>
        <w:t>Comcast of Marin II, Inc.</w:t>
      </w:r>
    </w:p>
    <w:p>
      <w:pPr>
        <w:spacing w:after="0" w:line="117" w:lineRule="exact"/>
        <w:rPr>
          <w:sz w:val="20"/>
          <w:szCs w:val="20"/>
          <w:color w:val="auto"/>
        </w:rPr>
      </w:pPr>
    </w:p>
    <w:p>
      <w:pPr>
        <w:ind w:left="520"/>
        <w:spacing w:after="0"/>
        <w:rPr>
          <w:sz w:val="20"/>
          <w:szCs w:val="20"/>
          <w:color w:val="auto"/>
        </w:rPr>
      </w:pPr>
      <w:r>
        <w:rPr>
          <w:rFonts w:ascii="Arial" w:cs="Arial" w:eastAsia="Arial" w:hAnsi="Arial"/>
          <w:sz w:val="18"/>
          <w:szCs w:val="18"/>
          <w:color w:val="auto"/>
        </w:rPr>
        <w:t>Comcast of Maryland Limited Partnership</w:t>
      </w:r>
    </w:p>
    <w:p>
      <w:pPr>
        <w:spacing w:after="0" w:line="117" w:lineRule="exact"/>
        <w:rPr>
          <w:sz w:val="20"/>
          <w:szCs w:val="20"/>
          <w:color w:val="auto"/>
        </w:rPr>
      </w:pPr>
    </w:p>
    <w:p>
      <w:pPr>
        <w:ind w:left="520"/>
        <w:spacing w:after="0"/>
        <w:rPr>
          <w:sz w:val="20"/>
          <w:szCs w:val="20"/>
          <w:color w:val="auto"/>
        </w:rPr>
      </w:pPr>
      <w:r>
        <w:rPr>
          <w:rFonts w:ascii="Arial" w:cs="Arial" w:eastAsia="Arial" w:hAnsi="Arial"/>
          <w:sz w:val="18"/>
          <w:szCs w:val="18"/>
          <w:color w:val="auto"/>
        </w:rPr>
        <w:t>Comcast of Maryland, Inc.</w:t>
      </w:r>
    </w:p>
    <w:p>
      <w:pPr>
        <w:spacing w:after="0" w:line="117" w:lineRule="exact"/>
        <w:rPr>
          <w:sz w:val="20"/>
          <w:szCs w:val="20"/>
          <w:color w:val="auto"/>
        </w:rPr>
      </w:pPr>
    </w:p>
    <w:p>
      <w:pPr>
        <w:ind w:left="520"/>
        <w:spacing w:after="0"/>
        <w:rPr>
          <w:sz w:val="20"/>
          <w:szCs w:val="20"/>
          <w:color w:val="auto"/>
        </w:rPr>
      </w:pPr>
      <w:r>
        <w:rPr>
          <w:rFonts w:ascii="Arial" w:cs="Arial" w:eastAsia="Arial" w:hAnsi="Arial"/>
          <w:sz w:val="18"/>
          <w:szCs w:val="18"/>
          <w:color w:val="auto"/>
        </w:rPr>
        <w:t>Comcast of Maryland, LLC</w:t>
      </w:r>
    </w:p>
    <w:p>
      <w:pPr>
        <w:spacing w:after="0" w:line="117" w:lineRule="exact"/>
        <w:rPr>
          <w:sz w:val="20"/>
          <w:szCs w:val="20"/>
          <w:color w:val="auto"/>
        </w:rPr>
      </w:pPr>
    </w:p>
    <w:p>
      <w:pPr>
        <w:ind w:left="520"/>
        <w:spacing w:after="0"/>
        <w:rPr>
          <w:sz w:val="20"/>
          <w:szCs w:val="20"/>
          <w:color w:val="auto"/>
        </w:rPr>
      </w:pPr>
      <w:r>
        <w:rPr>
          <w:rFonts w:ascii="Arial" w:cs="Arial" w:eastAsia="Arial" w:hAnsi="Arial"/>
          <w:sz w:val="18"/>
          <w:szCs w:val="18"/>
          <w:color w:val="auto"/>
        </w:rPr>
        <w:t>Comcast of Massachusetts I, Inc.</w:t>
      </w:r>
    </w:p>
    <w:p>
      <w:pPr>
        <w:spacing w:after="0" w:line="117" w:lineRule="exact"/>
        <w:rPr>
          <w:sz w:val="20"/>
          <w:szCs w:val="20"/>
          <w:color w:val="auto"/>
        </w:rPr>
      </w:pPr>
    </w:p>
    <w:p>
      <w:pPr>
        <w:ind w:left="520"/>
        <w:spacing w:after="0"/>
        <w:rPr>
          <w:sz w:val="20"/>
          <w:szCs w:val="20"/>
          <w:color w:val="auto"/>
        </w:rPr>
      </w:pPr>
      <w:r>
        <w:rPr>
          <w:rFonts w:ascii="Arial" w:cs="Arial" w:eastAsia="Arial" w:hAnsi="Arial"/>
          <w:sz w:val="18"/>
          <w:szCs w:val="18"/>
          <w:color w:val="auto"/>
        </w:rPr>
        <w:t>Comcast of Massachusetts II, Inc.</w:t>
      </w:r>
    </w:p>
    <w:p>
      <w:pPr>
        <w:spacing w:after="0" w:line="117" w:lineRule="exact"/>
        <w:rPr>
          <w:sz w:val="20"/>
          <w:szCs w:val="20"/>
          <w:color w:val="auto"/>
        </w:rPr>
      </w:pPr>
    </w:p>
    <w:p>
      <w:pPr>
        <w:ind w:left="520"/>
        <w:spacing w:after="0"/>
        <w:rPr>
          <w:sz w:val="20"/>
          <w:szCs w:val="20"/>
          <w:color w:val="auto"/>
        </w:rPr>
      </w:pPr>
      <w:r>
        <w:rPr>
          <w:rFonts w:ascii="Arial" w:cs="Arial" w:eastAsia="Arial" w:hAnsi="Arial"/>
          <w:sz w:val="18"/>
          <w:szCs w:val="18"/>
          <w:color w:val="auto"/>
        </w:rPr>
        <w:t>Comcast of Massachusetts III, Inc.</w:t>
      </w:r>
    </w:p>
    <w:p>
      <w:pPr>
        <w:spacing w:after="0" w:line="117" w:lineRule="exact"/>
        <w:rPr>
          <w:sz w:val="20"/>
          <w:szCs w:val="20"/>
          <w:color w:val="auto"/>
        </w:rPr>
      </w:pPr>
    </w:p>
    <w:p>
      <w:pPr>
        <w:ind w:left="520"/>
        <w:spacing w:after="0"/>
        <w:rPr>
          <w:sz w:val="20"/>
          <w:szCs w:val="20"/>
          <w:color w:val="auto"/>
        </w:rPr>
      </w:pPr>
      <w:r>
        <w:rPr>
          <w:rFonts w:ascii="Arial" w:cs="Arial" w:eastAsia="Arial" w:hAnsi="Arial"/>
          <w:sz w:val="16"/>
          <w:szCs w:val="16"/>
          <w:color w:val="auto"/>
        </w:rPr>
        <w:t>Comcast of Massachusetts/New Hampshire, LLC</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Arial" w:cs="Arial" w:eastAsia="Arial" w:hAnsi="Arial"/>
          <w:sz w:val="18"/>
          <w:szCs w:val="18"/>
          <w:color w:val="auto"/>
        </w:rPr>
        <w:t>NJ</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color w:val="auto"/>
        </w:rPr>
        <w:t>MD</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color w:val="auto"/>
        </w:rPr>
        <w:t>IL</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color w:val="auto"/>
        </w:rPr>
        <w:t>KS</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color w:val="auto"/>
        </w:rPr>
        <w:t>IL</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color w:val="auto"/>
        </w:rPr>
        <w:t>IL</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color w:val="auto"/>
        </w:rPr>
        <w:t>DE</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color w:val="auto"/>
        </w:rPr>
        <w:t>MD</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color w:val="auto"/>
        </w:rPr>
        <w:t>DE</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color w:val="auto"/>
        </w:rPr>
        <w:t>FL</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color w:val="auto"/>
        </w:rPr>
        <w:t>DE</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color w:val="auto"/>
        </w:rPr>
        <w:t>DE</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color w:val="auto"/>
        </w:rPr>
        <w:t>DE</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color w:val="auto"/>
        </w:rPr>
        <w:t>NJ</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color w:val="auto"/>
        </w:rPr>
        <w:t>AZ</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color w:val="auto"/>
        </w:rPr>
        <w:t>FL</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color w:val="auto"/>
        </w:rPr>
        <w:t>AR</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color w:val="auto"/>
        </w:rPr>
        <w:t>DE</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color w:val="auto"/>
        </w:rPr>
        <w:t>DE</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color w:val="auto"/>
        </w:rPr>
        <w:t>CO</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color w:val="auto"/>
        </w:rPr>
        <w:t>CA</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color w:val="auto"/>
        </w:rPr>
        <w:t>IA</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color w:val="auto"/>
        </w:rPr>
        <w:t>IA</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color w:val="auto"/>
        </w:rPr>
        <w:t>DE</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color w:val="auto"/>
        </w:rPr>
        <w:t>DE</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color w:val="auto"/>
        </w:rPr>
        <w:t>MI</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color w:val="auto"/>
        </w:rPr>
        <w:t>DE</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color w:val="auto"/>
        </w:rPr>
        <w:t>DE</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color w:val="auto"/>
        </w:rPr>
        <w:t>MS</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color w:val="auto"/>
        </w:rPr>
        <w:t>DE</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color w:val="auto"/>
        </w:rPr>
        <w:t>DE</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color w:val="auto"/>
        </w:rPr>
        <w:t>AR</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color w:val="auto"/>
        </w:rPr>
        <w:t>DE</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color w:val="auto"/>
        </w:rPr>
        <w:t>DE</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color w:val="auto"/>
        </w:rPr>
        <w:t>DE</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color w:val="auto"/>
        </w:rPr>
        <w:t>PA</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color w:val="auto"/>
        </w:rPr>
        <w:t>MI</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color w:val="auto"/>
        </w:rPr>
        <w:t>MI</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color w:val="auto"/>
        </w:rPr>
        <w:t>NH</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color w:val="auto"/>
        </w:rPr>
        <w:t>FL</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color w:val="auto"/>
        </w:rPr>
        <w:t>DE</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color w:val="auto"/>
        </w:rPr>
        <w:t>CA</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color w:val="auto"/>
        </w:rPr>
        <w:t>CA</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color w:val="auto"/>
        </w:rPr>
        <w:t>MD</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color w:val="auto"/>
        </w:rPr>
        <w:t>CO</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color w:val="auto"/>
        </w:rPr>
        <w:t>DE</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color w:val="auto"/>
        </w:rPr>
        <w:t>MA</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color w:val="auto"/>
        </w:rPr>
        <w:t>DE</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color w:val="auto"/>
        </w:rPr>
        <w:t>DE</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color w:val="auto"/>
        </w:rPr>
        <w:t>DE</w:t>
      </w:r>
    </w:p>
    <w:p>
      <w:pPr>
        <w:sectPr>
          <w:pgSz w:w="11900" w:h="16838" w:orient="portrait"/>
          <w:cols w:equalWidth="0" w:num="2">
            <w:col w:w="7500" w:space="720"/>
            <w:col w:w="799"/>
          </w:cols>
          <w:pgMar w:left="1440" w:top="388" w:right="1440" w:bottom="0" w:gutter="0" w:footer="0" w:header="0"/>
        </w:sectPr>
      </w:pPr>
    </w:p>
    <w:bookmarkStart w:id="174" w:name="page175"/>
    <w:bookmarkEnd w:id="174"/>
    <w:p>
      <w:pPr>
        <w:ind w:left="520"/>
        <w:spacing w:after="0"/>
        <w:rPr>
          <w:sz w:val="20"/>
          <w:szCs w:val="20"/>
          <w:color w:val="auto"/>
        </w:rPr>
      </w:pPr>
      <w:r>
        <w:rPr>
          <w:rFonts w:ascii="Arial" w:cs="Arial" w:eastAsia="Arial" w:hAnsi="Arial"/>
          <w:sz w:val="15"/>
          <w:szCs w:val="15"/>
          <w:color w:val="auto"/>
        </w:rPr>
        <w:t>Comcast of Massachusetts/Virginia, Inc.</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Arial" w:cs="Arial" w:eastAsia="Arial" w:hAnsi="Arial"/>
          <w:sz w:val="16"/>
          <w:szCs w:val="16"/>
          <w:color w:val="auto"/>
        </w:rPr>
        <w:t>VA</w:t>
      </w:r>
    </w:p>
    <w:p>
      <w:pPr>
        <w:spacing w:after="0" w:line="140" w:lineRule="exact"/>
        <w:rPr>
          <w:sz w:val="20"/>
          <w:szCs w:val="20"/>
          <w:color w:val="auto"/>
        </w:rPr>
      </w:pPr>
    </w:p>
    <w:p>
      <w:pPr>
        <w:sectPr>
          <w:pgSz w:w="11900" w:h="16838" w:orient="portrait"/>
          <w:cols w:equalWidth="0" w:num="2">
            <w:col w:w="7500" w:space="720"/>
            <w:col w:w="799"/>
          </w:cols>
          <w:pgMar w:left="1440" w:top="131" w:right="1440" w:bottom="1440" w:gutter="0" w:footer="0" w:header="0"/>
        </w:sectPr>
      </w:pPr>
    </w:p>
    <w:p>
      <w:pPr>
        <w:ind w:left="520"/>
        <w:spacing w:after="0"/>
        <w:rPr>
          <w:sz w:val="20"/>
          <w:szCs w:val="20"/>
          <w:color w:val="auto"/>
        </w:rPr>
      </w:pPr>
      <w:r>
        <w:rPr>
          <w:rFonts w:ascii="Arial" w:cs="Arial" w:eastAsia="Arial" w:hAnsi="Arial"/>
          <w:sz w:val="16"/>
          <w:szCs w:val="16"/>
          <w:color w:val="auto"/>
        </w:rPr>
        <w:t>Comcast of Mercer County, LLC</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Arial" w:cs="Arial" w:eastAsia="Arial" w:hAnsi="Arial"/>
          <w:sz w:val="16"/>
          <w:szCs w:val="16"/>
          <w:color w:val="auto"/>
        </w:rPr>
        <w:t>DE</w:t>
      </w:r>
    </w:p>
    <w:p>
      <w:pPr>
        <w:sectPr>
          <w:pgSz w:w="11900" w:h="16838" w:orient="portrait"/>
          <w:cols w:equalWidth="0" w:num="2">
            <w:col w:w="7500" w:space="720"/>
            <w:col w:w="799"/>
          </w:cols>
          <w:pgMar w:left="1440" w:top="131" w:right="1440" w:bottom="1440" w:gutter="0" w:footer="0" w:header="0"/>
          <w:type w:val="continuous"/>
        </w:sectPr>
      </w:pPr>
    </w:p>
    <w:bookmarkStart w:id="175" w:name="page176"/>
    <w:bookmarkEnd w:id="175"/>
    <w:p>
      <w:pPr>
        <w:ind w:left="520"/>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243" name="Picture 2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3"/>
                    <pic:cNvPicPr>
                      <a:picLocks noChangeAspect="1" noChangeArrowheads="1"/>
                    </pic:cNvPicPr>
                  </pic:nvPicPr>
                  <pic:blipFill>
                    <a:blip r:embed="rId250">
                      <a:extLst>
                        <a:ext uri="{28A0092B-C50C-407E-A947-70E740481C1C}"/>
                      </a:extLst>
                    </a:blip>
                    <a:srcRect/>
                    <a:stretch>
                      <a:fillRect/>
                    </a:stretch>
                  </pic:blipFill>
                  <pic:spPr bwMode="auto">
                    <a:xfrm>
                      <a:off x="0" y="0"/>
                      <a:ext cx="7267575" cy="27940"/>
                    </a:xfrm>
                    <a:prstGeom prst="rect">
                      <a:avLst/>
                    </a:prstGeom>
                    <a:noFill/>
                  </pic:spPr>
                </pic:pic>
              </a:graphicData>
            </a:graphic>
          </wp:anchor>
        </w:drawing>
        <w:t>Comcast of Meridian, Inc.</w:t>
      </w:r>
    </w:p>
    <w:p>
      <w:pPr>
        <w:spacing w:after="0" w:line="117" w:lineRule="exact"/>
        <w:rPr>
          <w:sz w:val="20"/>
          <w:szCs w:val="20"/>
          <w:color w:val="auto"/>
        </w:rPr>
      </w:pPr>
    </w:p>
    <w:p>
      <w:pPr>
        <w:ind w:left="520"/>
        <w:spacing w:after="0"/>
        <w:rPr>
          <w:sz w:val="20"/>
          <w:szCs w:val="20"/>
          <w:color w:val="auto"/>
        </w:rPr>
      </w:pPr>
      <w:r>
        <w:rPr>
          <w:rFonts w:ascii="Arial" w:cs="Arial" w:eastAsia="Arial" w:hAnsi="Arial"/>
          <w:sz w:val="18"/>
          <w:szCs w:val="18"/>
          <w:color w:val="auto"/>
        </w:rPr>
        <w:t>Comcast of Miami, Inc.</w:t>
      </w:r>
    </w:p>
    <w:p>
      <w:pPr>
        <w:spacing w:after="0" w:line="117" w:lineRule="exact"/>
        <w:rPr>
          <w:sz w:val="20"/>
          <w:szCs w:val="20"/>
          <w:color w:val="auto"/>
        </w:rPr>
      </w:pPr>
    </w:p>
    <w:p>
      <w:pPr>
        <w:ind w:left="520"/>
        <w:spacing w:after="0"/>
        <w:rPr>
          <w:sz w:val="20"/>
          <w:szCs w:val="20"/>
          <w:color w:val="auto"/>
        </w:rPr>
      </w:pPr>
      <w:r>
        <w:rPr>
          <w:rFonts w:ascii="Arial" w:cs="Arial" w:eastAsia="Arial" w:hAnsi="Arial"/>
          <w:sz w:val="18"/>
          <w:szCs w:val="18"/>
          <w:color w:val="auto"/>
        </w:rPr>
        <w:t>Comcast of Michigan I, Inc.</w:t>
      </w:r>
    </w:p>
    <w:p>
      <w:pPr>
        <w:spacing w:after="0" w:line="117" w:lineRule="exact"/>
        <w:rPr>
          <w:sz w:val="20"/>
          <w:szCs w:val="20"/>
          <w:color w:val="auto"/>
        </w:rPr>
      </w:pPr>
    </w:p>
    <w:p>
      <w:pPr>
        <w:ind w:left="520"/>
        <w:spacing w:after="0"/>
        <w:rPr>
          <w:sz w:val="20"/>
          <w:szCs w:val="20"/>
          <w:color w:val="auto"/>
        </w:rPr>
      </w:pPr>
      <w:r>
        <w:rPr>
          <w:rFonts w:ascii="Arial" w:cs="Arial" w:eastAsia="Arial" w:hAnsi="Arial"/>
          <w:sz w:val="18"/>
          <w:szCs w:val="18"/>
          <w:color w:val="auto"/>
        </w:rPr>
        <w:t>Comcast of Michigan II, Inc.</w:t>
      </w:r>
    </w:p>
    <w:p>
      <w:pPr>
        <w:spacing w:after="0" w:line="117" w:lineRule="exact"/>
        <w:rPr>
          <w:sz w:val="20"/>
          <w:szCs w:val="20"/>
          <w:color w:val="auto"/>
        </w:rPr>
      </w:pPr>
    </w:p>
    <w:p>
      <w:pPr>
        <w:ind w:left="520"/>
        <w:spacing w:after="0"/>
        <w:rPr>
          <w:sz w:val="20"/>
          <w:szCs w:val="20"/>
          <w:color w:val="auto"/>
        </w:rPr>
      </w:pPr>
      <w:r>
        <w:rPr>
          <w:rFonts w:ascii="Arial" w:cs="Arial" w:eastAsia="Arial" w:hAnsi="Arial"/>
          <w:sz w:val="18"/>
          <w:szCs w:val="18"/>
          <w:color w:val="auto"/>
        </w:rPr>
        <w:t>Comcast of Michigan III, Inc.</w:t>
      </w:r>
    </w:p>
    <w:p>
      <w:pPr>
        <w:spacing w:after="0" w:line="117" w:lineRule="exact"/>
        <w:rPr>
          <w:sz w:val="20"/>
          <w:szCs w:val="20"/>
          <w:color w:val="auto"/>
        </w:rPr>
      </w:pPr>
    </w:p>
    <w:p>
      <w:pPr>
        <w:ind w:left="520"/>
        <w:spacing w:after="0"/>
        <w:rPr>
          <w:sz w:val="20"/>
          <w:szCs w:val="20"/>
          <w:color w:val="auto"/>
        </w:rPr>
      </w:pPr>
      <w:r>
        <w:rPr>
          <w:rFonts w:ascii="Arial" w:cs="Arial" w:eastAsia="Arial" w:hAnsi="Arial"/>
          <w:sz w:val="18"/>
          <w:szCs w:val="18"/>
          <w:color w:val="auto"/>
        </w:rPr>
        <w:t>Comcast of Michigan IV, LLC</w:t>
      </w:r>
    </w:p>
    <w:p>
      <w:pPr>
        <w:spacing w:after="0" w:line="117" w:lineRule="exact"/>
        <w:rPr>
          <w:sz w:val="20"/>
          <w:szCs w:val="20"/>
          <w:color w:val="auto"/>
        </w:rPr>
      </w:pPr>
    </w:p>
    <w:p>
      <w:pPr>
        <w:ind w:left="520"/>
        <w:spacing w:after="0"/>
        <w:rPr>
          <w:sz w:val="20"/>
          <w:szCs w:val="20"/>
          <w:color w:val="auto"/>
        </w:rPr>
      </w:pPr>
      <w:r>
        <w:rPr>
          <w:rFonts w:ascii="Arial" w:cs="Arial" w:eastAsia="Arial" w:hAnsi="Arial"/>
          <w:sz w:val="18"/>
          <w:szCs w:val="18"/>
          <w:color w:val="auto"/>
        </w:rPr>
        <w:t>Comcast of Michigan, LLC</w:t>
      </w:r>
    </w:p>
    <w:p>
      <w:pPr>
        <w:spacing w:after="0" w:line="117" w:lineRule="exact"/>
        <w:rPr>
          <w:sz w:val="20"/>
          <w:szCs w:val="20"/>
          <w:color w:val="auto"/>
        </w:rPr>
      </w:pPr>
    </w:p>
    <w:p>
      <w:pPr>
        <w:ind w:left="520"/>
        <w:spacing w:after="0"/>
        <w:rPr>
          <w:sz w:val="20"/>
          <w:szCs w:val="20"/>
          <w:color w:val="auto"/>
        </w:rPr>
      </w:pPr>
      <w:r>
        <w:rPr>
          <w:rFonts w:ascii="Arial" w:cs="Arial" w:eastAsia="Arial" w:hAnsi="Arial"/>
          <w:sz w:val="16"/>
          <w:szCs w:val="16"/>
          <w:color w:val="auto"/>
        </w:rPr>
        <w:t>Comcast of Michigan/Mississippi/Tennessee, Inc.</w:t>
      </w:r>
    </w:p>
    <w:p>
      <w:pPr>
        <w:spacing w:after="0" w:line="140" w:lineRule="exact"/>
        <w:rPr>
          <w:sz w:val="20"/>
          <w:szCs w:val="20"/>
          <w:color w:val="auto"/>
        </w:rPr>
      </w:pPr>
    </w:p>
    <w:p>
      <w:pPr>
        <w:ind w:left="520"/>
        <w:spacing w:after="0"/>
        <w:rPr>
          <w:sz w:val="20"/>
          <w:szCs w:val="20"/>
          <w:color w:val="auto"/>
        </w:rPr>
      </w:pPr>
      <w:r>
        <w:rPr>
          <w:rFonts w:ascii="Arial" w:cs="Arial" w:eastAsia="Arial" w:hAnsi="Arial"/>
          <w:sz w:val="18"/>
          <w:szCs w:val="18"/>
          <w:color w:val="auto"/>
        </w:rPr>
        <w:t>Comcast of Middletown, Inc.</w:t>
      </w:r>
    </w:p>
    <w:p>
      <w:pPr>
        <w:spacing w:after="0" w:line="117" w:lineRule="exact"/>
        <w:rPr>
          <w:sz w:val="20"/>
          <w:szCs w:val="20"/>
          <w:color w:val="auto"/>
        </w:rPr>
      </w:pPr>
    </w:p>
    <w:p>
      <w:pPr>
        <w:ind w:left="520"/>
        <w:spacing w:after="0"/>
        <w:rPr>
          <w:sz w:val="20"/>
          <w:szCs w:val="20"/>
          <w:color w:val="auto"/>
        </w:rPr>
      </w:pPr>
      <w:r>
        <w:rPr>
          <w:rFonts w:ascii="Arial" w:cs="Arial" w:eastAsia="Arial" w:hAnsi="Arial"/>
          <w:sz w:val="18"/>
          <w:szCs w:val="18"/>
          <w:color w:val="auto"/>
        </w:rPr>
        <w:t>Comcast of Milton, Inc.</w:t>
      </w:r>
    </w:p>
    <w:p>
      <w:pPr>
        <w:spacing w:after="0" w:line="117" w:lineRule="exact"/>
        <w:rPr>
          <w:sz w:val="20"/>
          <w:szCs w:val="20"/>
          <w:color w:val="auto"/>
        </w:rPr>
      </w:pPr>
    </w:p>
    <w:p>
      <w:pPr>
        <w:ind w:left="520"/>
        <w:spacing w:after="0"/>
        <w:rPr>
          <w:sz w:val="20"/>
          <w:szCs w:val="20"/>
          <w:color w:val="auto"/>
        </w:rPr>
      </w:pPr>
      <w:r>
        <w:rPr>
          <w:rFonts w:ascii="Arial" w:cs="Arial" w:eastAsia="Arial" w:hAnsi="Arial"/>
          <w:sz w:val="18"/>
          <w:szCs w:val="18"/>
          <w:color w:val="auto"/>
        </w:rPr>
        <w:t>Comcast of Minnesota, Inc.</w:t>
      </w:r>
    </w:p>
    <w:p>
      <w:pPr>
        <w:spacing w:after="0" w:line="117" w:lineRule="exact"/>
        <w:rPr>
          <w:sz w:val="20"/>
          <w:szCs w:val="20"/>
          <w:color w:val="auto"/>
        </w:rPr>
      </w:pPr>
    </w:p>
    <w:p>
      <w:pPr>
        <w:ind w:left="520"/>
        <w:spacing w:after="0"/>
        <w:rPr>
          <w:sz w:val="20"/>
          <w:szCs w:val="20"/>
          <w:color w:val="auto"/>
        </w:rPr>
      </w:pPr>
      <w:r>
        <w:rPr>
          <w:rFonts w:ascii="Arial" w:cs="Arial" w:eastAsia="Arial" w:hAnsi="Arial"/>
          <w:sz w:val="18"/>
          <w:szCs w:val="18"/>
          <w:color w:val="auto"/>
        </w:rPr>
        <w:t>Comcast of Minnesota/Wisconsin, Inc.</w:t>
      </w:r>
    </w:p>
    <w:p>
      <w:pPr>
        <w:spacing w:after="0" w:line="117" w:lineRule="exact"/>
        <w:rPr>
          <w:sz w:val="20"/>
          <w:szCs w:val="20"/>
          <w:color w:val="auto"/>
        </w:rPr>
      </w:pPr>
    </w:p>
    <w:p>
      <w:pPr>
        <w:ind w:left="520"/>
        <w:spacing w:after="0"/>
        <w:rPr>
          <w:sz w:val="20"/>
          <w:szCs w:val="20"/>
          <w:color w:val="auto"/>
        </w:rPr>
      </w:pPr>
      <w:r>
        <w:rPr>
          <w:rFonts w:ascii="Arial" w:cs="Arial" w:eastAsia="Arial" w:hAnsi="Arial"/>
          <w:sz w:val="18"/>
          <w:szCs w:val="18"/>
          <w:color w:val="auto"/>
        </w:rPr>
        <w:t>Comcast of Missouri, Inc.</w:t>
      </w:r>
    </w:p>
    <w:p>
      <w:pPr>
        <w:spacing w:after="0" w:line="117" w:lineRule="exact"/>
        <w:rPr>
          <w:sz w:val="20"/>
          <w:szCs w:val="20"/>
          <w:color w:val="auto"/>
        </w:rPr>
      </w:pPr>
    </w:p>
    <w:p>
      <w:pPr>
        <w:ind w:left="520"/>
        <w:spacing w:after="0"/>
        <w:rPr>
          <w:sz w:val="20"/>
          <w:szCs w:val="20"/>
          <w:color w:val="auto"/>
        </w:rPr>
      </w:pPr>
      <w:r>
        <w:rPr>
          <w:rFonts w:ascii="Arial" w:cs="Arial" w:eastAsia="Arial" w:hAnsi="Arial"/>
          <w:sz w:val="18"/>
          <w:szCs w:val="18"/>
          <w:color w:val="auto"/>
        </w:rPr>
        <w:t>Comcast of Monmouth County, LLC</w:t>
      </w:r>
    </w:p>
    <w:p>
      <w:pPr>
        <w:spacing w:after="0" w:line="117" w:lineRule="exact"/>
        <w:rPr>
          <w:sz w:val="20"/>
          <w:szCs w:val="20"/>
          <w:color w:val="auto"/>
        </w:rPr>
      </w:pPr>
    </w:p>
    <w:p>
      <w:pPr>
        <w:ind w:left="520"/>
        <w:spacing w:after="0"/>
        <w:rPr>
          <w:sz w:val="20"/>
          <w:szCs w:val="20"/>
          <w:color w:val="auto"/>
        </w:rPr>
      </w:pPr>
      <w:r>
        <w:rPr>
          <w:rFonts w:ascii="Arial" w:cs="Arial" w:eastAsia="Arial" w:hAnsi="Arial"/>
          <w:sz w:val="18"/>
          <w:szCs w:val="18"/>
          <w:color w:val="auto"/>
        </w:rPr>
        <w:t>Comcast of Montana I, Inc.</w:t>
      </w:r>
    </w:p>
    <w:p>
      <w:pPr>
        <w:spacing w:after="0" w:line="117" w:lineRule="exact"/>
        <w:rPr>
          <w:sz w:val="20"/>
          <w:szCs w:val="20"/>
          <w:color w:val="auto"/>
        </w:rPr>
      </w:pPr>
    </w:p>
    <w:p>
      <w:pPr>
        <w:ind w:left="520"/>
        <w:spacing w:after="0"/>
        <w:rPr>
          <w:sz w:val="20"/>
          <w:szCs w:val="20"/>
          <w:color w:val="auto"/>
        </w:rPr>
      </w:pPr>
      <w:r>
        <w:rPr>
          <w:rFonts w:ascii="Arial" w:cs="Arial" w:eastAsia="Arial" w:hAnsi="Arial"/>
          <w:sz w:val="18"/>
          <w:szCs w:val="18"/>
          <w:color w:val="auto"/>
        </w:rPr>
        <w:t>Comcast of Montana II, Inc.</w:t>
      </w:r>
    </w:p>
    <w:p>
      <w:pPr>
        <w:spacing w:after="0" w:line="117" w:lineRule="exact"/>
        <w:rPr>
          <w:sz w:val="20"/>
          <w:szCs w:val="20"/>
          <w:color w:val="auto"/>
        </w:rPr>
      </w:pPr>
    </w:p>
    <w:p>
      <w:pPr>
        <w:ind w:left="520"/>
        <w:spacing w:after="0"/>
        <w:rPr>
          <w:sz w:val="20"/>
          <w:szCs w:val="20"/>
          <w:color w:val="auto"/>
        </w:rPr>
      </w:pPr>
      <w:r>
        <w:rPr>
          <w:rFonts w:ascii="Arial" w:cs="Arial" w:eastAsia="Arial" w:hAnsi="Arial"/>
          <w:sz w:val="18"/>
          <w:szCs w:val="18"/>
          <w:color w:val="auto"/>
        </w:rPr>
        <w:t>Comcast of Montana III, Inc.</w:t>
      </w:r>
    </w:p>
    <w:p>
      <w:pPr>
        <w:spacing w:after="0" w:line="117" w:lineRule="exact"/>
        <w:rPr>
          <w:sz w:val="20"/>
          <w:szCs w:val="20"/>
          <w:color w:val="auto"/>
        </w:rPr>
      </w:pPr>
    </w:p>
    <w:p>
      <w:pPr>
        <w:ind w:left="520"/>
        <w:spacing w:after="0"/>
        <w:rPr>
          <w:sz w:val="20"/>
          <w:szCs w:val="20"/>
          <w:color w:val="auto"/>
        </w:rPr>
      </w:pPr>
      <w:r>
        <w:rPr>
          <w:rFonts w:ascii="Arial" w:cs="Arial" w:eastAsia="Arial" w:hAnsi="Arial"/>
          <w:sz w:val="18"/>
          <w:szCs w:val="18"/>
          <w:color w:val="auto"/>
        </w:rPr>
        <w:t>Comcast of Mt. Clemens</w:t>
      </w:r>
    </w:p>
    <w:p>
      <w:pPr>
        <w:spacing w:after="0" w:line="117" w:lineRule="exact"/>
        <w:rPr>
          <w:sz w:val="20"/>
          <w:szCs w:val="20"/>
          <w:color w:val="auto"/>
        </w:rPr>
      </w:pPr>
    </w:p>
    <w:p>
      <w:pPr>
        <w:ind w:left="520"/>
        <w:spacing w:after="0"/>
        <w:rPr>
          <w:sz w:val="20"/>
          <w:szCs w:val="20"/>
          <w:color w:val="auto"/>
        </w:rPr>
      </w:pPr>
      <w:r>
        <w:rPr>
          <w:rFonts w:ascii="Arial" w:cs="Arial" w:eastAsia="Arial" w:hAnsi="Arial"/>
          <w:sz w:val="18"/>
          <w:szCs w:val="18"/>
          <w:color w:val="auto"/>
        </w:rPr>
        <w:t>Comcast of Mt. Clemens, Inc.</w:t>
      </w:r>
    </w:p>
    <w:p>
      <w:pPr>
        <w:spacing w:after="0" w:line="117" w:lineRule="exact"/>
        <w:rPr>
          <w:sz w:val="20"/>
          <w:szCs w:val="20"/>
          <w:color w:val="auto"/>
        </w:rPr>
      </w:pPr>
    </w:p>
    <w:p>
      <w:pPr>
        <w:ind w:left="520"/>
        <w:spacing w:after="0"/>
        <w:rPr>
          <w:sz w:val="20"/>
          <w:szCs w:val="20"/>
          <w:color w:val="auto"/>
        </w:rPr>
      </w:pPr>
      <w:r>
        <w:rPr>
          <w:rFonts w:ascii="Arial" w:cs="Arial" w:eastAsia="Arial" w:hAnsi="Arial"/>
          <w:sz w:val="18"/>
          <w:szCs w:val="18"/>
          <w:color w:val="auto"/>
        </w:rPr>
        <w:t>Comcast of Muncie, LLC</w:t>
      </w:r>
    </w:p>
    <w:p>
      <w:pPr>
        <w:spacing w:after="0" w:line="117" w:lineRule="exact"/>
        <w:rPr>
          <w:sz w:val="20"/>
          <w:szCs w:val="20"/>
          <w:color w:val="auto"/>
        </w:rPr>
      </w:pPr>
    </w:p>
    <w:p>
      <w:pPr>
        <w:ind w:left="520"/>
        <w:spacing w:after="0"/>
        <w:rPr>
          <w:sz w:val="20"/>
          <w:szCs w:val="20"/>
          <w:color w:val="auto"/>
        </w:rPr>
      </w:pPr>
      <w:r>
        <w:rPr>
          <w:rFonts w:ascii="Arial" w:cs="Arial" w:eastAsia="Arial" w:hAnsi="Arial"/>
          <w:sz w:val="18"/>
          <w:szCs w:val="18"/>
          <w:color w:val="auto"/>
        </w:rPr>
        <w:t>Comcast of Muncie, LP</w:t>
      </w:r>
    </w:p>
    <w:p>
      <w:pPr>
        <w:spacing w:after="0" w:line="117" w:lineRule="exact"/>
        <w:rPr>
          <w:sz w:val="20"/>
          <w:szCs w:val="20"/>
          <w:color w:val="auto"/>
        </w:rPr>
      </w:pPr>
    </w:p>
    <w:p>
      <w:pPr>
        <w:ind w:left="520"/>
        <w:spacing w:after="0"/>
        <w:rPr>
          <w:sz w:val="20"/>
          <w:szCs w:val="20"/>
          <w:color w:val="auto"/>
        </w:rPr>
      </w:pPr>
      <w:r>
        <w:rPr>
          <w:rFonts w:ascii="Arial" w:cs="Arial" w:eastAsia="Arial" w:hAnsi="Arial"/>
          <w:sz w:val="18"/>
          <w:szCs w:val="18"/>
          <w:color w:val="auto"/>
        </w:rPr>
        <w:t>Comcast of Muskegon</w:t>
      </w:r>
    </w:p>
    <w:p>
      <w:pPr>
        <w:spacing w:after="0" w:line="117" w:lineRule="exact"/>
        <w:rPr>
          <w:sz w:val="20"/>
          <w:szCs w:val="20"/>
          <w:color w:val="auto"/>
        </w:rPr>
      </w:pPr>
    </w:p>
    <w:p>
      <w:pPr>
        <w:ind w:left="520"/>
        <w:spacing w:after="0"/>
        <w:rPr>
          <w:sz w:val="20"/>
          <w:szCs w:val="20"/>
          <w:color w:val="auto"/>
        </w:rPr>
      </w:pPr>
      <w:r>
        <w:rPr>
          <w:rFonts w:ascii="Arial" w:cs="Arial" w:eastAsia="Arial" w:hAnsi="Arial"/>
          <w:sz w:val="18"/>
          <w:szCs w:val="18"/>
          <w:color w:val="auto"/>
        </w:rPr>
        <w:t>Comcast of Nashville I, LLC</w:t>
      </w:r>
    </w:p>
    <w:p>
      <w:pPr>
        <w:spacing w:after="0" w:line="117" w:lineRule="exact"/>
        <w:rPr>
          <w:sz w:val="20"/>
          <w:szCs w:val="20"/>
          <w:color w:val="auto"/>
        </w:rPr>
      </w:pPr>
    </w:p>
    <w:p>
      <w:pPr>
        <w:ind w:left="520"/>
        <w:spacing w:after="0"/>
        <w:rPr>
          <w:sz w:val="20"/>
          <w:szCs w:val="20"/>
          <w:color w:val="auto"/>
        </w:rPr>
      </w:pPr>
      <w:r>
        <w:rPr>
          <w:rFonts w:ascii="Arial" w:cs="Arial" w:eastAsia="Arial" w:hAnsi="Arial"/>
          <w:sz w:val="18"/>
          <w:szCs w:val="18"/>
          <w:color w:val="auto"/>
        </w:rPr>
        <w:t>Comcast of Nashville II, LLC</w:t>
      </w:r>
    </w:p>
    <w:p>
      <w:pPr>
        <w:spacing w:after="0" w:line="117" w:lineRule="exact"/>
        <w:rPr>
          <w:sz w:val="20"/>
          <w:szCs w:val="20"/>
          <w:color w:val="auto"/>
        </w:rPr>
      </w:pPr>
    </w:p>
    <w:p>
      <w:pPr>
        <w:ind w:left="520"/>
        <w:spacing w:after="0"/>
        <w:rPr>
          <w:sz w:val="20"/>
          <w:szCs w:val="20"/>
          <w:color w:val="auto"/>
        </w:rPr>
      </w:pPr>
      <w:r>
        <w:rPr>
          <w:rFonts w:ascii="Arial" w:cs="Arial" w:eastAsia="Arial" w:hAnsi="Arial"/>
          <w:sz w:val="18"/>
          <w:szCs w:val="18"/>
          <w:color w:val="auto"/>
        </w:rPr>
        <w:t>Comcast of Needham, Inc.</w:t>
      </w:r>
    </w:p>
    <w:p>
      <w:pPr>
        <w:spacing w:after="0" w:line="117" w:lineRule="exact"/>
        <w:rPr>
          <w:sz w:val="20"/>
          <w:szCs w:val="20"/>
          <w:color w:val="auto"/>
        </w:rPr>
      </w:pPr>
    </w:p>
    <w:p>
      <w:pPr>
        <w:ind w:left="520"/>
        <w:spacing w:after="0"/>
        <w:rPr>
          <w:sz w:val="20"/>
          <w:szCs w:val="20"/>
          <w:color w:val="auto"/>
        </w:rPr>
      </w:pPr>
      <w:r>
        <w:rPr>
          <w:rFonts w:ascii="Arial" w:cs="Arial" w:eastAsia="Arial" w:hAnsi="Arial"/>
          <w:sz w:val="18"/>
          <w:szCs w:val="18"/>
          <w:color w:val="auto"/>
        </w:rPr>
        <w:t>Comcast of New Castle County, LLC</w:t>
      </w:r>
    </w:p>
    <w:p>
      <w:pPr>
        <w:spacing w:after="0" w:line="117" w:lineRule="exact"/>
        <w:rPr>
          <w:sz w:val="20"/>
          <w:szCs w:val="20"/>
          <w:color w:val="auto"/>
        </w:rPr>
      </w:pPr>
    </w:p>
    <w:p>
      <w:pPr>
        <w:ind w:left="520"/>
        <w:spacing w:after="0"/>
        <w:rPr>
          <w:sz w:val="20"/>
          <w:szCs w:val="20"/>
          <w:color w:val="auto"/>
        </w:rPr>
      </w:pPr>
      <w:r>
        <w:rPr>
          <w:rFonts w:ascii="Arial" w:cs="Arial" w:eastAsia="Arial" w:hAnsi="Arial"/>
          <w:sz w:val="18"/>
          <w:szCs w:val="18"/>
          <w:color w:val="auto"/>
        </w:rPr>
        <w:t>Comcast of New Hampshire, Inc.</w:t>
      </w:r>
    </w:p>
    <w:p>
      <w:pPr>
        <w:spacing w:after="0" w:line="117" w:lineRule="exact"/>
        <w:rPr>
          <w:sz w:val="20"/>
          <w:szCs w:val="20"/>
          <w:color w:val="auto"/>
        </w:rPr>
      </w:pPr>
    </w:p>
    <w:p>
      <w:pPr>
        <w:ind w:left="520"/>
        <w:spacing w:after="0"/>
        <w:rPr>
          <w:sz w:val="20"/>
          <w:szCs w:val="20"/>
          <w:color w:val="auto"/>
        </w:rPr>
      </w:pPr>
      <w:r>
        <w:rPr>
          <w:rFonts w:ascii="Arial" w:cs="Arial" w:eastAsia="Arial" w:hAnsi="Arial"/>
          <w:sz w:val="18"/>
          <w:szCs w:val="18"/>
          <w:color w:val="auto"/>
        </w:rPr>
        <w:t>Comcast of New Haven, Inc.</w:t>
      </w:r>
    </w:p>
    <w:p>
      <w:pPr>
        <w:spacing w:after="0" w:line="117" w:lineRule="exact"/>
        <w:rPr>
          <w:sz w:val="20"/>
          <w:szCs w:val="20"/>
          <w:color w:val="auto"/>
        </w:rPr>
      </w:pPr>
    </w:p>
    <w:p>
      <w:pPr>
        <w:ind w:left="520"/>
        <w:spacing w:after="0"/>
        <w:rPr>
          <w:sz w:val="20"/>
          <w:szCs w:val="20"/>
          <w:color w:val="auto"/>
        </w:rPr>
      </w:pPr>
      <w:r>
        <w:rPr>
          <w:rFonts w:ascii="Arial" w:cs="Arial" w:eastAsia="Arial" w:hAnsi="Arial"/>
          <w:sz w:val="18"/>
          <w:szCs w:val="18"/>
          <w:color w:val="auto"/>
        </w:rPr>
        <w:t>Comcast of New Jersey II, LLC</w:t>
      </w:r>
    </w:p>
    <w:p>
      <w:pPr>
        <w:spacing w:after="0" w:line="117" w:lineRule="exact"/>
        <w:rPr>
          <w:sz w:val="20"/>
          <w:szCs w:val="20"/>
          <w:color w:val="auto"/>
        </w:rPr>
      </w:pPr>
    </w:p>
    <w:p>
      <w:pPr>
        <w:ind w:left="520"/>
        <w:spacing w:after="0"/>
        <w:rPr>
          <w:sz w:val="20"/>
          <w:szCs w:val="20"/>
          <w:color w:val="auto"/>
        </w:rPr>
      </w:pPr>
      <w:r>
        <w:rPr>
          <w:rFonts w:ascii="Arial" w:cs="Arial" w:eastAsia="Arial" w:hAnsi="Arial"/>
          <w:sz w:val="18"/>
          <w:szCs w:val="18"/>
          <w:color w:val="auto"/>
        </w:rPr>
        <w:t>Comcast of New Jersey, LLC</w:t>
      </w:r>
    </w:p>
    <w:p>
      <w:pPr>
        <w:spacing w:after="0" w:line="117" w:lineRule="exact"/>
        <w:rPr>
          <w:sz w:val="20"/>
          <w:szCs w:val="20"/>
          <w:color w:val="auto"/>
        </w:rPr>
      </w:pPr>
    </w:p>
    <w:p>
      <w:pPr>
        <w:ind w:left="520"/>
        <w:spacing w:after="0"/>
        <w:rPr>
          <w:sz w:val="20"/>
          <w:szCs w:val="20"/>
          <w:color w:val="auto"/>
        </w:rPr>
      </w:pPr>
      <w:r>
        <w:rPr>
          <w:rFonts w:ascii="Arial" w:cs="Arial" w:eastAsia="Arial" w:hAnsi="Arial"/>
          <w:sz w:val="18"/>
          <w:szCs w:val="18"/>
          <w:color w:val="auto"/>
        </w:rPr>
        <w:t>Comcast of New Mexico, Inc.</w:t>
      </w:r>
    </w:p>
    <w:p>
      <w:pPr>
        <w:spacing w:after="0" w:line="117" w:lineRule="exact"/>
        <w:rPr>
          <w:sz w:val="20"/>
          <w:szCs w:val="20"/>
          <w:color w:val="auto"/>
        </w:rPr>
      </w:pPr>
    </w:p>
    <w:p>
      <w:pPr>
        <w:ind w:left="520"/>
        <w:spacing w:after="0"/>
        <w:rPr>
          <w:sz w:val="20"/>
          <w:szCs w:val="20"/>
          <w:color w:val="auto"/>
        </w:rPr>
      </w:pPr>
      <w:r>
        <w:rPr>
          <w:rFonts w:ascii="Arial" w:cs="Arial" w:eastAsia="Arial" w:hAnsi="Arial"/>
          <w:sz w:val="18"/>
          <w:szCs w:val="18"/>
          <w:color w:val="auto"/>
        </w:rPr>
        <w:t>Comcast of New Mexico/Pennsylvania, LLC</w:t>
      </w:r>
    </w:p>
    <w:p>
      <w:pPr>
        <w:spacing w:after="0" w:line="117" w:lineRule="exact"/>
        <w:rPr>
          <w:sz w:val="20"/>
          <w:szCs w:val="20"/>
          <w:color w:val="auto"/>
        </w:rPr>
      </w:pPr>
    </w:p>
    <w:p>
      <w:pPr>
        <w:ind w:left="520"/>
        <w:spacing w:after="0"/>
        <w:rPr>
          <w:sz w:val="20"/>
          <w:szCs w:val="20"/>
          <w:color w:val="auto"/>
        </w:rPr>
      </w:pPr>
      <w:r>
        <w:rPr>
          <w:rFonts w:ascii="Arial" w:cs="Arial" w:eastAsia="Arial" w:hAnsi="Arial"/>
          <w:sz w:val="18"/>
          <w:szCs w:val="18"/>
          <w:color w:val="auto"/>
        </w:rPr>
        <w:t>Comcast of New York, LLC</w:t>
      </w:r>
    </w:p>
    <w:p>
      <w:pPr>
        <w:spacing w:after="0" w:line="117" w:lineRule="exact"/>
        <w:rPr>
          <w:sz w:val="20"/>
          <w:szCs w:val="20"/>
          <w:color w:val="auto"/>
        </w:rPr>
      </w:pPr>
    </w:p>
    <w:p>
      <w:pPr>
        <w:ind w:left="520"/>
        <w:spacing w:after="0"/>
        <w:rPr>
          <w:sz w:val="20"/>
          <w:szCs w:val="20"/>
          <w:color w:val="auto"/>
        </w:rPr>
      </w:pPr>
      <w:r>
        <w:rPr>
          <w:rFonts w:ascii="Arial" w:cs="Arial" w:eastAsia="Arial" w:hAnsi="Arial"/>
          <w:sz w:val="18"/>
          <w:szCs w:val="18"/>
          <w:color w:val="auto"/>
        </w:rPr>
        <w:t>Comcast of North Broward, Inc.</w:t>
      </w:r>
    </w:p>
    <w:p>
      <w:pPr>
        <w:spacing w:after="0" w:line="117" w:lineRule="exact"/>
        <w:rPr>
          <w:sz w:val="20"/>
          <w:szCs w:val="20"/>
          <w:color w:val="auto"/>
        </w:rPr>
      </w:pPr>
    </w:p>
    <w:p>
      <w:pPr>
        <w:ind w:left="520"/>
        <w:spacing w:after="0"/>
        <w:rPr>
          <w:sz w:val="20"/>
          <w:szCs w:val="20"/>
          <w:color w:val="auto"/>
        </w:rPr>
      </w:pPr>
      <w:r>
        <w:rPr>
          <w:rFonts w:ascii="Arial" w:cs="Arial" w:eastAsia="Arial" w:hAnsi="Arial"/>
          <w:sz w:val="18"/>
          <w:szCs w:val="18"/>
          <w:color w:val="auto"/>
        </w:rPr>
        <w:t>Comcast of Northern California I, Inc.</w:t>
      </w:r>
    </w:p>
    <w:p>
      <w:pPr>
        <w:spacing w:after="0" w:line="117" w:lineRule="exact"/>
        <w:rPr>
          <w:sz w:val="20"/>
          <w:szCs w:val="20"/>
          <w:color w:val="auto"/>
        </w:rPr>
      </w:pPr>
    </w:p>
    <w:p>
      <w:pPr>
        <w:ind w:left="520"/>
        <w:spacing w:after="0"/>
        <w:rPr>
          <w:sz w:val="20"/>
          <w:szCs w:val="20"/>
          <w:color w:val="auto"/>
        </w:rPr>
      </w:pPr>
      <w:r>
        <w:rPr>
          <w:rFonts w:ascii="Arial" w:cs="Arial" w:eastAsia="Arial" w:hAnsi="Arial"/>
          <w:sz w:val="18"/>
          <w:szCs w:val="18"/>
          <w:color w:val="auto"/>
        </w:rPr>
        <w:t>Comcast of Northern California II, Inc.</w:t>
      </w:r>
    </w:p>
    <w:p>
      <w:pPr>
        <w:spacing w:after="0" w:line="117" w:lineRule="exact"/>
        <w:rPr>
          <w:sz w:val="20"/>
          <w:szCs w:val="20"/>
          <w:color w:val="auto"/>
        </w:rPr>
      </w:pPr>
    </w:p>
    <w:p>
      <w:pPr>
        <w:ind w:left="520"/>
        <w:spacing w:after="0"/>
        <w:rPr>
          <w:sz w:val="20"/>
          <w:szCs w:val="20"/>
          <w:color w:val="auto"/>
        </w:rPr>
      </w:pPr>
      <w:r>
        <w:rPr>
          <w:rFonts w:ascii="Arial" w:cs="Arial" w:eastAsia="Arial" w:hAnsi="Arial"/>
          <w:sz w:val="18"/>
          <w:szCs w:val="18"/>
          <w:color w:val="auto"/>
        </w:rPr>
        <w:t>Comcast of Northern Illinois, Inc.</w:t>
      </w:r>
    </w:p>
    <w:p>
      <w:pPr>
        <w:spacing w:after="0" w:line="117" w:lineRule="exact"/>
        <w:rPr>
          <w:sz w:val="20"/>
          <w:szCs w:val="20"/>
          <w:color w:val="auto"/>
        </w:rPr>
      </w:pPr>
    </w:p>
    <w:p>
      <w:pPr>
        <w:ind w:left="520"/>
        <w:spacing w:after="0"/>
        <w:rPr>
          <w:sz w:val="20"/>
          <w:szCs w:val="20"/>
          <w:color w:val="auto"/>
        </w:rPr>
      </w:pPr>
      <w:r>
        <w:rPr>
          <w:rFonts w:ascii="Arial" w:cs="Arial" w:eastAsia="Arial" w:hAnsi="Arial"/>
          <w:sz w:val="18"/>
          <w:szCs w:val="18"/>
          <w:color w:val="auto"/>
        </w:rPr>
        <w:t>Comcast of Northern Indiana, Inc.</w:t>
      </w:r>
    </w:p>
    <w:p>
      <w:pPr>
        <w:spacing w:after="0" w:line="117" w:lineRule="exact"/>
        <w:rPr>
          <w:sz w:val="20"/>
          <w:szCs w:val="20"/>
          <w:color w:val="auto"/>
        </w:rPr>
      </w:pPr>
    </w:p>
    <w:p>
      <w:pPr>
        <w:ind w:left="520"/>
        <w:spacing w:after="0"/>
        <w:rPr>
          <w:sz w:val="20"/>
          <w:szCs w:val="20"/>
          <w:color w:val="auto"/>
        </w:rPr>
      </w:pPr>
      <w:r>
        <w:rPr>
          <w:rFonts w:ascii="Arial" w:cs="Arial" w:eastAsia="Arial" w:hAnsi="Arial"/>
          <w:sz w:val="18"/>
          <w:szCs w:val="18"/>
          <w:color w:val="auto"/>
        </w:rPr>
        <w:t>Comcast of Northwest New Jersey, LLC</w:t>
      </w:r>
    </w:p>
    <w:p>
      <w:pPr>
        <w:spacing w:after="0" w:line="117" w:lineRule="exact"/>
        <w:rPr>
          <w:sz w:val="20"/>
          <w:szCs w:val="20"/>
          <w:color w:val="auto"/>
        </w:rPr>
      </w:pPr>
    </w:p>
    <w:p>
      <w:pPr>
        <w:ind w:left="520"/>
        <w:spacing w:after="0"/>
        <w:rPr>
          <w:sz w:val="20"/>
          <w:szCs w:val="20"/>
          <w:color w:val="auto"/>
        </w:rPr>
      </w:pPr>
      <w:r>
        <w:rPr>
          <w:rFonts w:ascii="Arial" w:cs="Arial" w:eastAsia="Arial" w:hAnsi="Arial"/>
          <w:sz w:val="18"/>
          <w:szCs w:val="18"/>
          <w:color w:val="auto"/>
        </w:rPr>
        <w:t>Comcast of Novato, Inc.</w:t>
      </w:r>
    </w:p>
    <w:p>
      <w:pPr>
        <w:spacing w:after="0" w:line="117" w:lineRule="exact"/>
        <w:rPr>
          <w:sz w:val="20"/>
          <w:szCs w:val="20"/>
          <w:color w:val="auto"/>
        </w:rPr>
      </w:pPr>
    </w:p>
    <w:p>
      <w:pPr>
        <w:ind w:left="520"/>
        <w:spacing w:after="0"/>
        <w:rPr>
          <w:sz w:val="20"/>
          <w:szCs w:val="20"/>
          <w:color w:val="auto"/>
        </w:rPr>
      </w:pPr>
      <w:r>
        <w:rPr>
          <w:rFonts w:ascii="Arial" w:cs="Arial" w:eastAsia="Arial" w:hAnsi="Arial"/>
          <w:sz w:val="18"/>
          <w:szCs w:val="18"/>
          <w:color w:val="auto"/>
        </w:rPr>
        <w:t>Comcast of Oakland County, Inc.</w:t>
      </w:r>
    </w:p>
    <w:p>
      <w:pPr>
        <w:spacing w:after="0" w:line="117" w:lineRule="exact"/>
        <w:rPr>
          <w:sz w:val="20"/>
          <w:szCs w:val="20"/>
          <w:color w:val="auto"/>
        </w:rPr>
      </w:pPr>
    </w:p>
    <w:p>
      <w:pPr>
        <w:ind w:left="520"/>
        <w:spacing w:after="0"/>
        <w:rPr>
          <w:sz w:val="20"/>
          <w:szCs w:val="20"/>
          <w:color w:val="auto"/>
        </w:rPr>
      </w:pPr>
      <w:r>
        <w:rPr>
          <w:rFonts w:ascii="Arial" w:cs="Arial" w:eastAsia="Arial" w:hAnsi="Arial"/>
          <w:sz w:val="18"/>
          <w:szCs w:val="18"/>
          <w:color w:val="auto"/>
        </w:rPr>
        <w:t>Comcast of Ocean County, LLC</w:t>
      </w:r>
    </w:p>
    <w:p>
      <w:pPr>
        <w:spacing w:after="0" w:line="117" w:lineRule="exact"/>
        <w:rPr>
          <w:sz w:val="20"/>
          <w:szCs w:val="20"/>
          <w:color w:val="auto"/>
        </w:rPr>
      </w:pPr>
    </w:p>
    <w:p>
      <w:pPr>
        <w:ind w:left="520"/>
        <w:spacing w:after="0"/>
        <w:rPr>
          <w:sz w:val="20"/>
          <w:szCs w:val="20"/>
          <w:color w:val="auto"/>
        </w:rPr>
      </w:pPr>
      <w:r>
        <w:rPr>
          <w:rFonts w:ascii="Arial" w:cs="Arial" w:eastAsia="Arial" w:hAnsi="Arial"/>
          <w:sz w:val="18"/>
          <w:szCs w:val="18"/>
          <w:color w:val="auto"/>
        </w:rPr>
        <w:t>Comcast of Ohio, Inc.</w:t>
      </w:r>
    </w:p>
    <w:p>
      <w:pPr>
        <w:spacing w:after="0" w:line="117" w:lineRule="exact"/>
        <w:rPr>
          <w:sz w:val="20"/>
          <w:szCs w:val="20"/>
          <w:color w:val="auto"/>
        </w:rPr>
      </w:pPr>
    </w:p>
    <w:p>
      <w:pPr>
        <w:ind w:left="520"/>
        <w:spacing w:after="0"/>
        <w:rPr>
          <w:sz w:val="20"/>
          <w:szCs w:val="20"/>
          <w:color w:val="auto"/>
        </w:rPr>
      </w:pPr>
      <w:r>
        <w:rPr>
          <w:rFonts w:ascii="Arial" w:cs="Arial" w:eastAsia="Arial" w:hAnsi="Arial"/>
          <w:sz w:val="18"/>
          <w:szCs w:val="18"/>
          <w:color w:val="auto"/>
        </w:rPr>
        <w:t>Comcast of Oregon I, Inc.</w:t>
      </w:r>
    </w:p>
    <w:p>
      <w:pPr>
        <w:spacing w:after="0" w:line="117" w:lineRule="exact"/>
        <w:rPr>
          <w:sz w:val="20"/>
          <w:szCs w:val="20"/>
          <w:color w:val="auto"/>
        </w:rPr>
      </w:pPr>
    </w:p>
    <w:p>
      <w:pPr>
        <w:ind w:left="520"/>
        <w:spacing w:after="0"/>
        <w:rPr>
          <w:sz w:val="20"/>
          <w:szCs w:val="20"/>
          <w:color w:val="auto"/>
        </w:rPr>
      </w:pPr>
      <w:r>
        <w:rPr>
          <w:rFonts w:ascii="Arial" w:cs="Arial" w:eastAsia="Arial" w:hAnsi="Arial"/>
          <w:sz w:val="18"/>
          <w:szCs w:val="18"/>
          <w:color w:val="auto"/>
        </w:rPr>
        <w:t>Comcast of Oregon II, Inc.</w:t>
      </w:r>
    </w:p>
    <w:p>
      <w:pPr>
        <w:spacing w:after="0" w:line="117" w:lineRule="exact"/>
        <w:rPr>
          <w:sz w:val="20"/>
          <w:szCs w:val="20"/>
          <w:color w:val="auto"/>
        </w:rPr>
      </w:pPr>
    </w:p>
    <w:p>
      <w:pPr>
        <w:ind w:left="520"/>
        <w:spacing w:after="0"/>
        <w:rPr>
          <w:sz w:val="20"/>
          <w:szCs w:val="20"/>
          <w:color w:val="auto"/>
        </w:rPr>
      </w:pPr>
      <w:r>
        <w:rPr>
          <w:rFonts w:ascii="Arial" w:cs="Arial" w:eastAsia="Arial" w:hAnsi="Arial"/>
          <w:sz w:val="18"/>
          <w:szCs w:val="18"/>
          <w:color w:val="auto"/>
        </w:rPr>
        <w:t>Comcast of Panama City, Inc.</w:t>
      </w:r>
    </w:p>
    <w:p>
      <w:pPr>
        <w:spacing w:after="0" w:line="117" w:lineRule="exact"/>
        <w:rPr>
          <w:sz w:val="20"/>
          <w:szCs w:val="20"/>
          <w:color w:val="auto"/>
        </w:rPr>
      </w:pPr>
    </w:p>
    <w:p>
      <w:pPr>
        <w:ind w:left="520"/>
        <w:spacing w:after="0"/>
        <w:rPr>
          <w:sz w:val="20"/>
          <w:szCs w:val="20"/>
          <w:color w:val="auto"/>
        </w:rPr>
      </w:pPr>
      <w:r>
        <w:rPr>
          <w:rFonts w:ascii="Arial" w:cs="Arial" w:eastAsia="Arial" w:hAnsi="Arial"/>
          <w:sz w:val="18"/>
          <w:szCs w:val="18"/>
          <w:color w:val="auto"/>
        </w:rPr>
        <w:t>Comcast of Parkland, Inc.</w:t>
      </w:r>
    </w:p>
    <w:p>
      <w:pPr>
        <w:spacing w:after="0" w:line="117" w:lineRule="exact"/>
        <w:rPr>
          <w:sz w:val="20"/>
          <w:szCs w:val="20"/>
          <w:color w:val="auto"/>
        </w:rPr>
      </w:pPr>
    </w:p>
    <w:p>
      <w:pPr>
        <w:ind w:left="520"/>
        <w:spacing w:after="0"/>
        <w:rPr>
          <w:sz w:val="20"/>
          <w:szCs w:val="20"/>
          <w:color w:val="auto"/>
        </w:rPr>
      </w:pPr>
      <w:r>
        <w:rPr>
          <w:rFonts w:ascii="Arial" w:cs="Arial" w:eastAsia="Arial" w:hAnsi="Arial"/>
          <w:sz w:val="18"/>
          <w:szCs w:val="18"/>
          <w:color w:val="auto"/>
        </w:rPr>
        <w:t>Comcast of Pennsylvania</w:t>
      </w:r>
    </w:p>
    <w:p>
      <w:pPr>
        <w:spacing w:after="0" w:line="117" w:lineRule="exact"/>
        <w:rPr>
          <w:sz w:val="20"/>
          <w:szCs w:val="20"/>
          <w:color w:val="auto"/>
        </w:rPr>
      </w:pPr>
    </w:p>
    <w:p>
      <w:pPr>
        <w:ind w:left="520"/>
        <w:spacing w:after="0"/>
        <w:rPr>
          <w:sz w:val="20"/>
          <w:szCs w:val="20"/>
          <w:color w:val="auto"/>
        </w:rPr>
      </w:pPr>
      <w:r>
        <w:rPr>
          <w:rFonts w:ascii="Arial" w:cs="Arial" w:eastAsia="Arial" w:hAnsi="Arial"/>
          <w:sz w:val="18"/>
          <w:szCs w:val="18"/>
          <w:color w:val="auto"/>
        </w:rPr>
        <w:t>Comcast of Pennsylvania I, Inc.</w:t>
      </w:r>
    </w:p>
    <w:p>
      <w:pPr>
        <w:spacing w:after="0" w:line="117" w:lineRule="exact"/>
        <w:rPr>
          <w:sz w:val="20"/>
          <w:szCs w:val="20"/>
          <w:color w:val="auto"/>
        </w:rPr>
      </w:pPr>
    </w:p>
    <w:p>
      <w:pPr>
        <w:ind w:left="520"/>
        <w:spacing w:after="0"/>
        <w:rPr>
          <w:sz w:val="20"/>
          <w:szCs w:val="20"/>
          <w:color w:val="auto"/>
        </w:rPr>
      </w:pPr>
      <w:r>
        <w:rPr>
          <w:rFonts w:ascii="Arial" w:cs="Arial" w:eastAsia="Arial" w:hAnsi="Arial"/>
          <w:sz w:val="18"/>
          <w:szCs w:val="18"/>
          <w:color w:val="auto"/>
        </w:rPr>
        <w:t>Comcast of Pennsylvania II, Inc.</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Arial" w:cs="Arial" w:eastAsia="Arial" w:hAnsi="Arial"/>
          <w:sz w:val="18"/>
          <w:szCs w:val="18"/>
          <w:color w:val="auto"/>
        </w:rPr>
        <w:t>MS</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color w:val="auto"/>
        </w:rPr>
        <w:t>FL</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color w:val="auto"/>
        </w:rPr>
        <w:t>VA</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color w:val="auto"/>
        </w:rPr>
        <w:t>DE</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color w:val="auto"/>
        </w:rPr>
        <w:t>DE</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color w:val="auto"/>
        </w:rPr>
        <w:t>CO</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color w:val="auto"/>
        </w:rPr>
        <w:t>DE</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color w:val="auto"/>
        </w:rPr>
        <w:t>DE</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color w:val="auto"/>
        </w:rPr>
        <w:t>DE</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color w:val="auto"/>
        </w:rPr>
        <w:t>MA</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color w:val="auto"/>
        </w:rPr>
        <w:t>DE</w:t>
      </w:r>
    </w:p>
    <w:p>
      <w:pPr>
        <w:spacing w:after="0" w:line="117" w:lineRule="exact"/>
        <w:rPr>
          <w:sz w:val="20"/>
          <w:szCs w:val="20"/>
          <w:color w:val="auto"/>
        </w:rPr>
      </w:pPr>
    </w:p>
    <w:p>
      <w:pPr>
        <w:spacing w:after="0"/>
        <w:rPr>
          <w:sz w:val="20"/>
          <w:szCs w:val="20"/>
          <w:color w:val="auto"/>
        </w:rPr>
      </w:pPr>
      <w:r>
        <w:rPr>
          <w:rFonts w:ascii="Arial" w:cs="Arial" w:eastAsia="Arial" w:hAnsi="Arial"/>
          <w:sz w:val="16"/>
          <w:szCs w:val="16"/>
          <w:color w:val="auto"/>
        </w:rPr>
        <w:t>WA</w:t>
      </w:r>
    </w:p>
    <w:p>
      <w:pPr>
        <w:spacing w:after="0" w:line="140" w:lineRule="exact"/>
        <w:rPr>
          <w:sz w:val="20"/>
          <w:szCs w:val="20"/>
          <w:color w:val="auto"/>
        </w:rPr>
      </w:pPr>
    </w:p>
    <w:p>
      <w:pPr>
        <w:spacing w:after="0"/>
        <w:rPr>
          <w:sz w:val="20"/>
          <w:szCs w:val="20"/>
          <w:color w:val="auto"/>
        </w:rPr>
      </w:pPr>
      <w:r>
        <w:rPr>
          <w:rFonts w:ascii="Arial" w:cs="Arial" w:eastAsia="Arial" w:hAnsi="Arial"/>
          <w:sz w:val="18"/>
          <w:szCs w:val="18"/>
          <w:color w:val="auto"/>
        </w:rPr>
        <w:t>CO</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color w:val="auto"/>
        </w:rPr>
        <w:t>DE</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color w:val="auto"/>
        </w:rPr>
        <w:t>MT</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color w:val="auto"/>
        </w:rPr>
        <w:t>DE</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color w:val="auto"/>
        </w:rPr>
        <w:t>OR</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color w:val="auto"/>
        </w:rPr>
        <w:t>MI</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color w:val="auto"/>
        </w:rPr>
        <w:t>MI</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color w:val="auto"/>
        </w:rPr>
        <w:t>IN</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color w:val="auto"/>
        </w:rPr>
        <w:t>IN</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color w:val="auto"/>
        </w:rPr>
        <w:t>MI</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color w:val="auto"/>
        </w:rPr>
        <w:t>DE</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color w:val="auto"/>
        </w:rPr>
        <w:t>DE</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color w:val="auto"/>
        </w:rPr>
        <w:t>DE</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color w:val="auto"/>
        </w:rPr>
        <w:t>DE</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color w:val="auto"/>
        </w:rPr>
        <w:t>MD</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color w:val="auto"/>
        </w:rPr>
        <w:t>CT</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color w:val="auto"/>
        </w:rPr>
        <w:t>DE</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color w:val="auto"/>
        </w:rPr>
        <w:t>NJ</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color w:val="auto"/>
        </w:rPr>
        <w:t>CO</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color w:val="auto"/>
        </w:rPr>
        <w:t>DE</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color w:val="auto"/>
        </w:rPr>
        <w:t>DE</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color w:val="auto"/>
        </w:rPr>
        <w:t>FL</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color w:val="auto"/>
        </w:rPr>
        <w:t>CA</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color w:val="auto"/>
        </w:rPr>
        <w:t>CA</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color w:val="auto"/>
        </w:rPr>
        <w:t>IL</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color w:val="auto"/>
        </w:rPr>
        <w:t>DE</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color w:val="auto"/>
        </w:rPr>
        <w:t>DE</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color w:val="auto"/>
        </w:rPr>
        <w:t>OR</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color w:val="auto"/>
        </w:rPr>
        <w:t>MI</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color w:val="auto"/>
        </w:rPr>
        <w:t>DE</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color w:val="auto"/>
        </w:rPr>
        <w:t>OH</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color w:val="auto"/>
        </w:rPr>
        <w:t>OR</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color w:val="auto"/>
        </w:rPr>
        <w:t>OR</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color w:val="auto"/>
        </w:rPr>
        <w:t>DE</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color w:val="auto"/>
        </w:rPr>
        <w:t>FL</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color w:val="auto"/>
        </w:rPr>
        <w:t>CO</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color w:val="auto"/>
        </w:rPr>
        <w:t>DE</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color w:val="auto"/>
        </w:rPr>
        <w:t>CO</w:t>
      </w:r>
    </w:p>
    <w:p>
      <w:pPr>
        <w:sectPr>
          <w:pgSz w:w="11900" w:h="16838" w:orient="portrait"/>
          <w:cols w:equalWidth="0" w:num="2">
            <w:col w:w="7500" w:space="720"/>
            <w:col w:w="799"/>
          </w:cols>
          <w:pgMar w:left="1440" w:top="388" w:right="1440" w:bottom="0" w:gutter="0" w:footer="0" w:header="0"/>
        </w:sectPr>
      </w:pPr>
    </w:p>
    <w:bookmarkStart w:id="176" w:name="page177"/>
    <w:bookmarkEnd w:id="176"/>
    <w:p>
      <w:pPr>
        <w:ind w:left="520"/>
        <w:spacing w:after="0"/>
        <w:rPr>
          <w:sz w:val="20"/>
          <w:szCs w:val="20"/>
          <w:color w:val="auto"/>
        </w:rPr>
      </w:pPr>
      <w:r>
        <w:rPr>
          <w:rFonts w:ascii="Arial" w:cs="Arial" w:eastAsia="Arial" w:hAnsi="Arial"/>
          <w:sz w:val="15"/>
          <w:szCs w:val="15"/>
          <w:color w:val="auto"/>
        </w:rPr>
        <w:t>Comcast of Pennsylvania II, L.P.</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Arial" w:cs="Arial" w:eastAsia="Arial" w:hAnsi="Arial"/>
          <w:sz w:val="16"/>
          <w:szCs w:val="16"/>
          <w:color w:val="auto"/>
        </w:rPr>
        <w:t>DE</w:t>
      </w:r>
    </w:p>
    <w:p>
      <w:pPr>
        <w:spacing w:after="0" w:line="140" w:lineRule="exact"/>
        <w:rPr>
          <w:sz w:val="20"/>
          <w:szCs w:val="20"/>
          <w:color w:val="auto"/>
        </w:rPr>
      </w:pPr>
    </w:p>
    <w:p>
      <w:pPr>
        <w:sectPr>
          <w:pgSz w:w="11900" w:h="16838" w:orient="portrait"/>
          <w:cols w:equalWidth="0" w:num="2">
            <w:col w:w="7500" w:space="720"/>
            <w:col w:w="799"/>
          </w:cols>
          <w:pgMar w:left="1440" w:top="131" w:right="1440" w:bottom="1440" w:gutter="0" w:footer="0" w:header="0"/>
        </w:sectPr>
      </w:pPr>
    </w:p>
    <w:p>
      <w:pPr>
        <w:ind w:left="520"/>
        <w:spacing w:after="0"/>
        <w:rPr>
          <w:sz w:val="20"/>
          <w:szCs w:val="20"/>
          <w:color w:val="auto"/>
        </w:rPr>
      </w:pPr>
      <w:r>
        <w:rPr>
          <w:rFonts w:ascii="Arial" w:cs="Arial" w:eastAsia="Arial" w:hAnsi="Arial"/>
          <w:sz w:val="16"/>
          <w:szCs w:val="16"/>
          <w:color w:val="auto"/>
        </w:rPr>
        <w:t>Comcast of Pennsylvania, LLC</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Arial" w:cs="Arial" w:eastAsia="Arial" w:hAnsi="Arial"/>
          <w:sz w:val="16"/>
          <w:szCs w:val="16"/>
          <w:color w:val="auto"/>
        </w:rPr>
        <w:t>DE</w:t>
      </w:r>
    </w:p>
    <w:p>
      <w:pPr>
        <w:sectPr>
          <w:pgSz w:w="11900" w:h="16838" w:orient="portrait"/>
          <w:cols w:equalWidth="0" w:num="2">
            <w:col w:w="7500" w:space="720"/>
            <w:col w:w="799"/>
          </w:cols>
          <w:pgMar w:left="1440" w:top="131" w:right="1440" w:bottom="1440" w:gutter="0" w:footer="0" w:header="0"/>
          <w:type w:val="continuous"/>
        </w:sectPr>
      </w:pPr>
    </w:p>
    <w:bookmarkStart w:id="177" w:name="page178"/>
    <w:bookmarkEnd w:id="177"/>
    <w:p>
      <w:pPr>
        <w:ind w:left="520"/>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244" name="Picture 2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4"/>
                    <pic:cNvPicPr>
                      <a:picLocks noChangeAspect="1" noChangeArrowheads="1"/>
                    </pic:cNvPicPr>
                  </pic:nvPicPr>
                  <pic:blipFill>
                    <a:blip r:embed="rId251">
                      <a:extLst>
                        <a:ext uri="{28A0092B-C50C-407E-A947-70E740481C1C}"/>
                      </a:extLst>
                    </a:blip>
                    <a:srcRect/>
                    <a:stretch>
                      <a:fillRect/>
                    </a:stretch>
                  </pic:blipFill>
                  <pic:spPr bwMode="auto">
                    <a:xfrm>
                      <a:off x="0" y="0"/>
                      <a:ext cx="7267575" cy="27940"/>
                    </a:xfrm>
                    <a:prstGeom prst="rect">
                      <a:avLst/>
                    </a:prstGeom>
                    <a:noFill/>
                  </pic:spPr>
                </pic:pic>
              </a:graphicData>
            </a:graphic>
          </wp:anchor>
        </w:drawing>
        <w:t>Comcast of Pennsylvania/Maryland, Inc.</w:t>
      </w:r>
    </w:p>
    <w:p>
      <w:pPr>
        <w:spacing w:after="0" w:line="117" w:lineRule="exact"/>
        <w:rPr>
          <w:sz w:val="20"/>
          <w:szCs w:val="20"/>
          <w:color w:val="auto"/>
        </w:rPr>
      </w:pPr>
    </w:p>
    <w:p>
      <w:pPr>
        <w:ind w:left="520"/>
        <w:spacing w:after="0"/>
        <w:rPr>
          <w:sz w:val="20"/>
          <w:szCs w:val="20"/>
          <w:color w:val="auto"/>
        </w:rPr>
      </w:pPr>
      <w:r>
        <w:rPr>
          <w:rFonts w:ascii="Arial" w:cs="Arial" w:eastAsia="Arial" w:hAnsi="Arial"/>
          <w:sz w:val="16"/>
          <w:szCs w:val="16"/>
          <w:color w:val="auto"/>
        </w:rPr>
        <w:t>Comcast of Pennsylvania/Washington/West Virginia, LP</w:t>
      </w:r>
    </w:p>
    <w:p>
      <w:pPr>
        <w:spacing w:after="0" w:line="140" w:lineRule="exact"/>
        <w:rPr>
          <w:sz w:val="20"/>
          <w:szCs w:val="20"/>
          <w:color w:val="auto"/>
        </w:rPr>
      </w:pPr>
    </w:p>
    <w:p>
      <w:pPr>
        <w:ind w:left="520"/>
        <w:spacing w:after="0"/>
        <w:rPr>
          <w:sz w:val="20"/>
          <w:szCs w:val="20"/>
          <w:color w:val="auto"/>
        </w:rPr>
      </w:pPr>
      <w:r>
        <w:rPr>
          <w:rFonts w:ascii="Arial" w:cs="Arial" w:eastAsia="Arial" w:hAnsi="Arial"/>
          <w:sz w:val="18"/>
          <w:szCs w:val="18"/>
          <w:color w:val="auto"/>
        </w:rPr>
        <w:t>Comcast of Perry, Inc.</w:t>
      </w:r>
    </w:p>
    <w:p>
      <w:pPr>
        <w:spacing w:after="0" w:line="117" w:lineRule="exact"/>
        <w:rPr>
          <w:sz w:val="20"/>
          <w:szCs w:val="20"/>
          <w:color w:val="auto"/>
        </w:rPr>
      </w:pPr>
    </w:p>
    <w:p>
      <w:pPr>
        <w:ind w:left="520"/>
        <w:spacing w:after="0"/>
        <w:rPr>
          <w:sz w:val="20"/>
          <w:szCs w:val="20"/>
          <w:color w:val="auto"/>
        </w:rPr>
      </w:pPr>
      <w:r>
        <w:rPr>
          <w:rFonts w:ascii="Arial" w:cs="Arial" w:eastAsia="Arial" w:hAnsi="Arial"/>
          <w:sz w:val="18"/>
          <w:szCs w:val="18"/>
          <w:color w:val="auto"/>
        </w:rPr>
        <w:t>Comcast of Philadelphia, Inc.</w:t>
      </w:r>
    </w:p>
    <w:p>
      <w:pPr>
        <w:spacing w:after="0" w:line="117" w:lineRule="exact"/>
        <w:rPr>
          <w:sz w:val="20"/>
          <w:szCs w:val="20"/>
          <w:color w:val="auto"/>
        </w:rPr>
      </w:pPr>
    </w:p>
    <w:p>
      <w:pPr>
        <w:ind w:left="520"/>
        <w:spacing w:after="0"/>
        <w:rPr>
          <w:sz w:val="20"/>
          <w:szCs w:val="20"/>
          <w:color w:val="auto"/>
        </w:rPr>
      </w:pPr>
      <w:r>
        <w:rPr>
          <w:rFonts w:ascii="Arial" w:cs="Arial" w:eastAsia="Arial" w:hAnsi="Arial"/>
          <w:sz w:val="18"/>
          <w:szCs w:val="18"/>
          <w:color w:val="auto"/>
        </w:rPr>
        <w:t>Comcast of Philadelphia, LLC</w:t>
      </w:r>
    </w:p>
    <w:p>
      <w:pPr>
        <w:spacing w:after="0" w:line="117" w:lineRule="exact"/>
        <w:rPr>
          <w:sz w:val="20"/>
          <w:szCs w:val="20"/>
          <w:color w:val="auto"/>
        </w:rPr>
      </w:pPr>
    </w:p>
    <w:p>
      <w:pPr>
        <w:ind w:left="520"/>
        <w:spacing w:after="0"/>
        <w:rPr>
          <w:sz w:val="20"/>
          <w:szCs w:val="20"/>
          <w:color w:val="auto"/>
        </w:rPr>
      </w:pPr>
      <w:r>
        <w:rPr>
          <w:rFonts w:ascii="Arial" w:cs="Arial" w:eastAsia="Arial" w:hAnsi="Arial"/>
          <w:sz w:val="18"/>
          <w:szCs w:val="18"/>
          <w:color w:val="auto"/>
        </w:rPr>
        <w:t>Comcast of Plainfield, LLC</w:t>
      </w:r>
    </w:p>
    <w:p>
      <w:pPr>
        <w:spacing w:after="0" w:line="117" w:lineRule="exact"/>
        <w:rPr>
          <w:sz w:val="20"/>
          <w:szCs w:val="20"/>
          <w:color w:val="auto"/>
        </w:rPr>
      </w:pPr>
    </w:p>
    <w:p>
      <w:pPr>
        <w:ind w:left="520"/>
        <w:spacing w:after="0"/>
        <w:rPr>
          <w:sz w:val="20"/>
          <w:szCs w:val="20"/>
          <w:color w:val="auto"/>
        </w:rPr>
      </w:pPr>
      <w:r>
        <w:rPr>
          <w:rFonts w:ascii="Arial" w:cs="Arial" w:eastAsia="Arial" w:hAnsi="Arial"/>
          <w:sz w:val="18"/>
          <w:szCs w:val="18"/>
          <w:color w:val="auto"/>
        </w:rPr>
        <w:t>Comcast of Potomac, LLC</w:t>
      </w:r>
    </w:p>
    <w:p>
      <w:pPr>
        <w:spacing w:after="0" w:line="117" w:lineRule="exact"/>
        <w:rPr>
          <w:sz w:val="20"/>
          <w:szCs w:val="20"/>
          <w:color w:val="auto"/>
        </w:rPr>
      </w:pPr>
    </w:p>
    <w:p>
      <w:pPr>
        <w:ind w:left="520"/>
        <w:spacing w:after="0"/>
        <w:rPr>
          <w:sz w:val="20"/>
          <w:szCs w:val="20"/>
          <w:color w:val="auto"/>
        </w:rPr>
      </w:pPr>
      <w:r>
        <w:rPr>
          <w:rFonts w:ascii="Arial" w:cs="Arial" w:eastAsia="Arial" w:hAnsi="Arial"/>
          <w:sz w:val="18"/>
          <w:szCs w:val="18"/>
          <w:color w:val="auto"/>
        </w:rPr>
        <w:t>Comcast of Puget Sound, Inc.</w:t>
      </w:r>
    </w:p>
    <w:p>
      <w:pPr>
        <w:spacing w:after="0" w:line="117" w:lineRule="exact"/>
        <w:rPr>
          <w:sz w:val="20"/>
          <w:szCs w:val="20"/>
          <w:color w:val="auto"/>
        </w:rPr>
      </w:pPr>
    </w:p>
    <w:p>
      <w:pPr>
        <w:ind w:left="520"/>
        <w:spacing w:after="0"/>
        <w:rPr>
          <w:sz w:val="20"/>
          <w:szCs w:val="20"/>
          <w:color w:val="auto"/>
        </w:rPr>
      </w:pPr>
      <w:r>
        <w:rPr>
          <w:rFonts w:ascii="Arial" w:cs="Arial" w:eastAsia="Arial" w:hAnsi="Arial"/>
          <w:sz w:val="18"/>
          <w:szCs w:val="18"/>
          <w:color w:val="auto"/>
        </w:rPr>
        <w:t>Comcast of Quincy, Inc.</w:t>
      </w:r>
    </w:p>
    <w:p>
      <w:pPr>
        <w:spacing w:after="0" w:line="117" w:lineRule="exact"/>
        <w:rPr>
          <w:sz w:val="20"/>
          <w:szCs w:val="20"/>
          <w:color w:val="auto"/>
        </w:rPr>
      </w:pPr>
    </w:p>
    <w:p>
      <w:pPr>
        <w:ind w:left="520"/>
        <w:spacing w:after="0"/>
        <w:rPr>
          <w:sz w:val="20"/>
          <w:szCs w:val="20"/>
          <w:color w:val="auto"/>
        </w:rPr>
      </w:pPr>
      <w:r>
        <w:rPr>
          <w:rFonts w:ascii="Arial" w:cs="Arial" w:eastAsia="Arial" w:hAnsi="Arial"/>
          <w:sz w:val="18"/>
          <w:szCs w:val="18"/>
          <w:color w:val="auto"/>
        </w:rPr>
        <w:t>Comcast of Richmond, Inc.</w:t>
      </w:r>
    </w:p>
    <w:p>
      <w:pPr>
        <w:spacing w:after="0" w:line="117" w:lineRule="exact"/>
        <w:rPr>
          <w:sz w:val="20"/>
          <w:szCs w:val="20"/>
          <w:color w:val="auto"/>
        </w:rPr>
      </w:pPr>
    </w:p>
    <w:p>
      <w:pPr>
        <w:ind w:left="520"/>
        <w:spacing w:after="0"/>
        <w:rPr>
          <w:sz w:val="20"/>
          <w:szCs w:val="20"/>
          <w:color w:val="auto"/>
        </w:rPr>
      </w:pPr>
      <w:r>
        <w:rPr>
          <w:rFonts w:ascii="Arial" w:cs="Arial" w:eastAsia="Arial" w:hAnsi="Arial"/>
          <w:sz w:val="18"/>
          <w:szCs w:val="18"/>
          <w:color w:val="auto"/>
        </w:rPr>
        <w:t>Comcast of Sacramento I, LLC</w:t>
      </w:r>
    </w:p>
    <w:p>
      <w:pPr>
        <w:spacing w:after="0" w:line="117" w:lineRule="exact"/>
        <w:rPr>
          <w:sz w:val="20"/>
          <w:szCs w:val="20"/>
          <w:color w:val="auto"/>
        </w:rPr>
      </w:pPr>
    </w:p>
    <w:p>
      <w:pPr>
        <w:ind w:left="520"/>
        <w:spacing w:after="0"/>
        <w:rPr>
          <w:sz w:val="20"/>
          <w:szCs w:val="20"/>
          <w:color w:val="auto"/>
        </w:rPr>
      </w:pPr>
      <w:r>
        <w:rPr>
          <w:rFonts w:ascii="Arial" w:cs="Arial" w:eastAsia="Arial" w:hAnsi="Arial"/>
          <w:sz w:val="18"/>
          <w:szCs w:val="18"/>
          <w:color w:val="auto"/>
        </w:rPr>
        <w:t>Comcast of Sacramento II, LLC</w:t>
      </w:r>
    </w:p>
    <w:p>
      <w:pPr>
        <w:spacing w:after="0" w:line="117" w:lineRule="exact"/>
        <w:rPr>
          <w:sz w:val="20"/>
          <w:szCs w:val="20"/>
          <w:color w:val="auto"/>
        </w:rPr>
      </w:pPr>
    </w:p>
    <w:p>
      <w:pPr>
        <w:ind w:left="520"/>
        <w:spacing w:after="0"/>
        <w:rPr>
          <w:sz w:val="20"/>
          <w:szCs w:val="20"/>
          <w:color w:val="auto"/>
        </w:rPr>
      </w:pPr>
      <w:r>
        <w:rPr>
          <w:rFonts w:ascii="Arial" w:cs="Arial" w:eastAsia="Arial" w:hAnsi="Arial"/>
          <w:sz w:val="18"/>
          <w:szCs w:val="18"/>
          <w:color w:val="auto"/>
        </w:rPr>
        <w:t>Comcast of Sacramento III, LLC</w:t>
      </w:r>
    </w:p>
    <w:p>
      <w:pPr>
        <w:spacing w:after="0" w:line="117" w:lineRule="exact"/>
        <w:rPr>
          <w:sz w:val="20"/>
          <w:szCs w:val="20"/>
          <w:color w:val="auto"/>
        </w:rPr>
      </w:pPr>
    </w:p>
    <w:p>
      <w:pPr>
        <w:ind w:left="520"/>
        <w:spacing w:after="0"/>
        <w:rPr>
          <w:sz w:val="20"/>
          <w:szCs w:val="20"/>
          <w:color w:val="auto"/>
        </w:rPr>
      </w:pPr>
      <w:r>
        <w:rPr>
          <w:rFonts w:ascii="Arial" w:cs="Arial" w:eastAsia="Arial" w:hAnsi="Arial"/>
          <w:sz w:val="18"/>
          <w:szCs w:val="18"/>
          <w:color w:val="auto"/>
        </w:rPr>
        <w:t>Comcast of San Joaquin, Inc.</w:t>
      </w:r>
    </w:p>
    <w:p>
      <w:pPr>
        <w:spacing w:after="0" w:line="117" w:lineRule="exact"/>
        <w:rPr>
          <w:sz w:val="20"/>
          <w:szCs w:val="20"/>
          <w:color w:val="auto"/>
        </w:rPr>
      </w:pPr>
    </w:p>
    <w:p>
      <w:pPr>
        <w:ind w:left="520"/>
        <w:spacing w:after="0"/>
        <w:rPr>
          <w:sz w:val="20"/>
          <w:szCs w:val="20"/>
          <w:color w:val="auto"/>
        </w:rPr>
      </w:pPr>
      <w:r>
        <w:rPr>
          <w:rFonts w:ascii="Arial" w:cs="Arial" w:eastAsia="Arial" w:hAnsi="Arial"/>
          <w:sz w:val="18"/>
          <w:szCs w:val="18"/>
          <w:color w:val="auto"/>
        </w:rPr>
        <w:t>Comcast of San Leandro, Inc.</w:t>
      </w:r>
    </w:p>
    <w:p>
      <w:pPr>
        <w:spacing w:after="0" w:line="117" w:lineRule="exact"/>
        <w:rPr>
          <w:sz w:val="20"/>
          <w:szCs w:val="20"/>
          <w:color w:val="auto"/>
        </w:rPr>
      </w:pPr>
    </w:p>
    <w:p>
      <w:pPr>
        <w:ind w:left="520"/>
        <w:spacing w:after="0"/>
        <w:rPr>
          <w:sz w:val="20"/>
          <w:szCs w:val="20"/>
          <w:color w:val="auto"/>
        </w:rPr>
      </w:pPr>
      <w:r>
        <w:rPr>
          <w:rFonts w:ascii="Arial" w:cs="Arial" w:eastAsia="Arial" w:hAnsi="Arial"/>
          <w:sz w:val="18"/>
          <w:szCs w:val="18"/>
          <w:color w:val="auto"/>
        </w:rPr>
        <w:t>Comcast of Santa Cruz, Inc.</w:t>
      </w:r>
    </w:p>
    <w:p>
      <w:pPr>
        <w:spacing w:after="0" w:line="117" w:lineRule="exact"/>
        <w:rPr>
          <w:sz w:val="20"/>
          <w:szCs w:val="20"/>
          <w:color w:val="auto"/>
        </w:rPr>
      </w:pPr>
    </w:p>
    <w:p>
      <w:pPr>
        <w:ind w:left="520"/>
        <w:spacing w:after="0"/>
        <w:rPr>
          <w:sz w:val="20"/>
          <w:szCs w:val="20"/>
          <w:color w:val="auto"/>
        </w:rPr>
      </w:pPr>
      <w:r>
        <w:rPr>
          <w:rFonts w:ascii="Arial" w:cs="Arial" w:eastAsia="Arial" w:hAnsi="Arial"/>
          <w:sz w:val="18"/>
          <w:szCs w:val="18"/>
          <w:color w:val="auto"/>
        </w:rPr>
        <w:t>Comcast of Santa Maria, LLC</w:t>
      </w:r>
    </w:p>
    <w:p>
      <w:pPr>
        <w:spacing w:after="0" w:line="117" w:lineRule="exact"/>
        <w:rPr>
          <w:sz w:val="20"/>
          <w:szCs w:val="20"/>
          <w:color w:val="auto"/>
        </w:rPr>
      </w:pPr>
    </w:p>
    <w:p>
      <w:pPr>
        <w:ind w:left="520"/>
        <w:spacing w:after="0"/>
        <w:rPr>
          <w:sz w:val="20"/>
          <w:szCs w:val="20"/>
          <w:color w:val="auto"/>
        </w:rPr>
      </w:pPr>
      <w:r>
        <w:rPr>
          <w:rFonts w:ascii="Arial" w:cs="Arial" w:eastAsia="Arial" w:hAnsi="Arial"/>
          <w:sz w:val="18"/>
          <w:szCs w:val="18"/>
          <w:color w:val="auto"/>
        </w:rPr>
        <w:t>Comcast of Shelby, Inc.</w:t>
      </w:r>
    </w:p>
    <w:p>
      <w:pPr>
        <w:spacing w:after="0" w:line="117" w:lineRule="exact"/>
        <w:rPr>
          <w:sz w:val="20"/>
          <w:szCs w:val="20"/>
          <w:color w:val="auto"/>
        </w:rPr>
      </w:pPr>
    </w:p>
    <w:p>
      <w:pPr>
        <w:ind w:left="520"/>
        <w:spacing w:after="0"/>
        <w:rPr>
          <w:sz w:val="20"/>
          <w:szCs w:val="20"/>
          <w:color w:val="auto"/>
        </w:rPr>
      </w:pPr>
      <w:r>
        <w:rPr>
          <w:rFonts w:ascii="Arial" w:cs="Arial" w:eastAsia="Arial" w:hAnsi="Arial"/>
          <w:sz w:val="18"/>
          <w:szCs w:val="18"/>
          <w:color w:val="auto"/>
        </w:rPr>
        <w:t>Comcast of Sierra Valleys, Inc.</w:t>
      </w:r>
    </w:p>
    <w:p>
      <w:pPr>
        <w:spacing w:after="0" w:line="117" w:lineRule="exact"/>
        <w:rPr>
          <w:sz w:val="20"/>
          <w:szCs w:val="20"/>
          <w:color w:val="auto"/>
        </w:rPr>
      </w:pPr>
    </w:p>
    <w:p>
      <w:pPr>
        <w:ind w:left="520"/>
        <w:spacing w:after="0"/>
        <w:rPr>
          <w:sz w:val="20"/>
          <w:szCs w:val="20"/>
          <w:color w:val="auto"/>
        </w:rPr>
      </w:pPr>
      <w:r>
        <w:rPr>
          <w:rFonts w:ascii="Arial" w:cs="Arial" w:eastAsia="Arial" w:hAnsi="Arial"/>
          <w:sz w:val="18"/>
          <w:szCs w:val="18"/>
          <w:color w:val="auto"/>
        </w:rPr>
        <w:t>Comcast of South Chicago, Inc.</w:t>
      </w:r>
    </w:p>
    <w:p>
      <w:pPr>
        <w:spacing w:after="0" w:line="117" w:lineRule="exact"/>
        <w:rPr>
          <w:sz w:val="20"/>
          <w:szCs w:val="20"/>
          <w:color w:val="auto"/>
        </w:rPr>
      </w:pPr>
    </w:p>
    <w:p>
      <w:pPr>
        <w:ind w:left="520"/>
        <w:spacing w:after="0"/>
        <w:rPr>
          <w:sz w:val="20"/>
          <w:szCs w:val="20"/>
          <w:color w:val="auto"/>
        </w:rPr>
      </w:pPr>
      <w:r>
        <w:rPr>
          <w:rFonts w:ascii="Arial" w:cs="Arial" w:eastAsia="Arial" w:hAnsi="Arial"/>
          <w:sz w:val="18"/>
          <w:szCs w:val="18"/>
          <w:color w:val="auto"/>
        </w:rPr>
        <w:t>Comcast of South Dade, Inc.</w:t>
      </w:r>
    </w:p>
    <w:p>
      <w:pPr>
        <w:spacing w:after="0" w:line="117" w:lineRule="exact"/>
        <w:rPr>
          <w:sz w:val="20"/>
          <w:szCs w:val="20"/>
          <w:color w:val="auto"/>
        </w:rPr>
      </w:pPr>
    </w:p>
    <w:p>
      <w:pPr>
        <w:ind w:left="520"/>
        <w:spacing w:after="0"/>
        <w:rPr>
          <w:sz w:val="20"/>
          <w:szCs w:val="20"/>
          <w:color w:val="auto"/>
        </w:rPr>
      </w:pPr>
      <w:r>
        <w:rPr>
          <w:rFonts w:ascii="Arial" w:cs="Arial" w:eastAsia="Arial" w:hAnsi="Arial"/>
          <w:sz w:val="18"/>
          <w:szCs w:val="18"/>
          <w:color w:val="auto"/>
        </w:rPr>
        <w:t>Comcast of South Florida I, Inc.</w:t>
      </w:r>
    </w:p>
    <w:p>
      <w:pPr>
        <w:spacing w:after="0" w:line="117" w:lineRule="exact"/>
        <w:rPr>
          <w:sz w:val="20"/>
          <w:szCs w:val="20"/>
          <w:color w:val="auto"/>
        </w:rPr>
      </w:pPr>
    </w:p>
    <w:p>
      <w:pPr>
        <w:ind w:left="520"/>
        <w:spacing w:after="0"/>
        <w:rPr>
          <w:sz w:val="20"/>
          <w:szCs w:val="20"/>
          <w:color w:val="auto"/>
        </w:rPr>
      </w:pPr>
      <w:r>
        <w:rPr>
          <w:rFonts w:ascii="Arial" w:cs="Arial" w:eastAsia="Arial" w:hAnsi="Arial"/>
          <w:sz w:val="18"/>
          <w:szCs w:val="18"/>
          <w:color w:val="auto"/>
        </w:rPr>
        <w:t>Comcast of South Florida II, Inc.</w:t>
      </w:r>
    </w:p>
    <w:p>
      <w:pPr>
        <w:spacing w:after="0" w:line="117" w:lineRule="exact"/>
        <w:rPr>
          <w:sz w:val="20"/>
          <w:szCs w:val="20"/>
          <w:color w:val="auto"/>
        </w:rPr>
      </w:pPr>
    </w:p>
    <w:p>
      <w:pPr>
        <w:ind w:left="520"/>
        <w:spacing w:after="0"/>
        <w:rPr>
          <w:sz w:val="20"/>
          <w:szCs w:val="20"/>
          <w:color w:val="auto"/>
        </w:rPr>
      </w:pPr>
      <w:r>
        <w:rPr>
          <w:rFonts w:ascii="Arial" w:cs="Arial" w:eastAsia="Arial" w:hAnsi="Arial"/>
          <w:sz w:val="18"/>
          <w:szCs w:val="18"/>
          <w:color w:val="auto"/>
        </w:rPr>
        <w:t>Comcast of South Jersey, LLC</w:t>
      </w:r>
    </w:p>
    <w:p>
      <w:pPr>
        <w:spacing w:after="0" w:line="117" w:lineRule="exact"/>
        <w:rPr>
          <w:sz w:val="20"/>
          <w:szCs w:val="20"/>
          <w:color w:val="auto"/>
        </w:rPr>
      </w:pPr>
    </w:p>
    <w:p>
      <w:pPr>
        <w:ind w:left="520"/>
        <w:spacing w:after="0"/>
        <w:rPr>
          <w:sz w:val="20"/>
          <w:szCs w:val="20"/>
          <w:color w:val="auto"/>
        </w:rPr>
      </w:pPr>
      <w:r>
        <w:rPr>
          <w:rFonts w:ascii="Arial" w:cs="Arial" w:eastAsia="Arial" w:hAnsi="Arial"/>
          <w:sz w:val="18"/>
          <w:szCs w:val="18"/>
          <w:color w:val="auto"/>
        </w:rPr>
        <w:t>Comcast of Southeast Pennsylvania, LLC</w:t>
      </w:r>
    </w:p>
    <w:p>
      <w:pPr>
        <w:spacing w:after="0" w:line="117" w:lineRule="exact"/>
        <w:rPr>
          <w:sz w:val="20"/>
          <w:szCs w:val="20"/>
          <w:color w:val="auto"/>
        </w:rPr>
      </w:pPr>
    </w:p>
    <w:p>
      <w:pPr>
        <w:ind w:left="520"/>
        <w:spacing w:after="0"/>
        <w:rPr>
          <w:sz w:val="20"/>
          <w:szCs w:val="20"/>
          <w:color w:val="auto"/>
        </w:rPr>
      </w:pPr>
      <w:r>
        <w:rPr>
          <w:rFonts w:ascii="Arial" w:cs="Arial" w:eastAsia="Arial" w:hAnsi="Arial"/>
          <w:sz w:val="18"/>
          <w:szCs w:val="18"/>
          <w:color w:val="auto"/>
        </w:rPr>
        <w:t>Comcast of Southern California, Inc.</w:t>
      </w:r>
    </w:p>
    <w:p>
      <w:pPr>
        <w:spacing w:after="0" w:line="117" w:lineRule="exact"/>
        <w:rPr>
          <w:sz w:val="20"/>
          <w:szCs w:val="20"/>
          <w:color w:val="auto"/>
        </w:rPr>
      </w:pPr>
    </w:p>
    <w:p>
      <w:pPr>
        <w:ind w:left="520"/>
        <w:spacing w:after="0"/>
        <w:rPr>
          <w:sz w:val="20"/>
          <w:szCs w:val="20"/>
          <w:color w:val="auto"/>
        </w:rPr>
      </w:pPr>
      <w:r>
        <w:rPr>
          <w:rFonts w:ascii="Arial" w:cs="Arial" w:eastAsia="Arial" w:hAnsi="Arial"/>
          <w:sz w:val="18"/>
          <w:szCs w:val="18"/>
          <w:color w:val="auto"/>
        </w:rPr>
        <w:t>Comcast of Southern Illinois, Inc.</w:t>
      </w:r>
    </w:p>
    <w:p>
      <w:pPr>
        <w:spacing w:after="0" w:line="117" w:lineRule="exact"/>
        <w:rPr>
          <w:sz w:val="20"/>
          <w:szCs w:val="20"/>
          <w:color w:val="auto"/>
        </w:rPr>
      </w:pPr>
    </w:p>
    <w:p>
      <w:pPr>
        <w:ind w:left="520"/>
        <w:spacing w:after="0"/>
        <w:rPr>
          <w:sz w:val="20"/>
          <w:szCs w:val="20"/>
          <w:color w:val="auto"/>
        </w:rPr>
      </w:pPr>
      <w:r>
        <w:rPr>
          <w:rFonts w:ascii="Arial" w:cs="Arial" w:eastAsia="Arial" w:hAnsi="Arial"/>
          <w:sz w:val="18"/>
          <w:szCs w:val="18"/>
          <w:color w:val="auto"/>
        </w:rPr>
        <w:t>Comcast of Southern Mississippi, Inc.</w:t>
      </w:r>
    </w:p>
    <w:p>
      <w:pPr>
        <w:spacing w:after="0" w:line="117" w:lineRule="exact"/>
        <w:rPr>
          <w:sz w:val="20"/>
          <w:szCs w:val="20"/>
          <w:color w:val="auto"/>
        </w:rPr>
      </w:pPr>
    </w:p>
    <w:p>
      <w:pPr>
        <w:ind w:left="520"/>
        <w:spacing w:after="0"/>
        <w:rPr>
          <w:sz w:val="20"/>
          <w:szCs w:val="20"/>
          <w:color w:val="auto"/>
        </w:rPr>
      </w:pPr>
      <w:r>
        <w:rPr>
          <w:rFonts w:ascii="Arial" w:cs="Arial" w:eastAsia="Arial" w:hAnsi="Arial"/>
          <w:sz w:val="18"/>
          <w:szCs w:val="18"/>
          <w:color w:val="auto"/>
        </w:rPr>
        <w:t>Comcast of Southern New England, Inc.</w:t>
      </w:r>
    </w:p>
    <w:p>
      <w:pPr>
        <w:spacing w:after="0" w:line="117" w:lineRule="exact"/>
        <w:rPr>
          <w:sz w:val="20"/>
          <w:szCs w:val="20"/>
          <w:color w:val="auto"/>
        </w:rPr>
      </w:pPr>
    </w:p>
    <w:p>
      <w:pPr>
        <w:ind w:left="520"/>
        <w:spacing w:after="0"/>
        <w:rPr>
          <w:sz w:val="20"/>
          <w:szCs w:val="20"/>
          <w:color w:val="auto"/>
        </w:rPr>
      </w:pPr>
      <w:r>
        <w:rPr>
          <w:rFonts w:ascii="Arial" w:cs="Arial" w:eastAsia="Arial" w:hAnsi="Arial"/>
          <w:sz w:val="18"/>
          <w:szCs w:val="18"/>
          <w:color w:val="auto"/>
        </w:rPr>
        <w:t>Comcast of Southern Tennessee, LLC</w:t>
      </w:r>
    </w:p>
    <w:p>
      <w:pPr>
        <w:spacing w:after="0" w:line="117" w:lineRule="exact"/>
        <w:rPr>
          <w:sz w:val="20"/>
          <w:szCs w:val="20"/>
          <w:color w:val="auto"/>
        </w:rPr>
      </w:pPr>
    </w:p>
    <w:p>
      <w:pPr>
        <w:ind w:left="520"/>
        <w:spacing w:after="0"/>
        <w:rPr>
          <w:sz w:val="20"/>
          <w:szCs w:val="20"/>
          <w:color w:val="auto"/>
        </w:rPr>
      </w:pPr>
      <w:r>
        <w:rPr>
          <w:rFonts w:ascii="Arial" w:cs="Arial" w:eastAsia="Arial" w:hAnsi="Arial"/>
          <w:sz w:val="18"/>
          <w:szCs w:val="18"/>
          <w:color w:val="auto"/>
        </w:rPr>
        <w:t>Comcast of Spokane, LLC</w:t>
      </w:r>
    </w:p>
    <w:p>
      <w:pPr>
        <w:spacing w:after="0" w:line="117" w:lineRule="exact"/>
        <w:rPr>
          <w:sz w:val="20"/>
          <w:szCs w:val="20"/>
          <w:color w:val="auto"/>
        </w:rPr>
      </w:pPr>
    </w:p>
    <w:p>
      <w:pPr>
        <w:ind w:left="520"/>
        <w:spacing w:after="0"/>
        <w:rPr>
          <w:sz w:val="20"/>
          <w:szCs w:val="20"/>
          <w:color w:val="auto"/>
        </w:rPr>
      </w:pPr>
      <w:r>
        <w:rPr>
          <w:rFonts w:ascii="Arial" w:cs="Arial" w:eastAsia="Arial" w:hAnsi="Arial"/>
          <w:sz w:val="18"/>
          <w:szCs w:val="18"/>
          <w:color w:val="auto"/>
        </w:rPr>
        <w:t>Comcast of St. Paul, Inc.</w:t>
      </w:r>
    </w:p>
    <w:p>
      <w:pPr>
        <w:spacing w:after="0" w:line="117" w:lineRule="exact"/>
        <w:rPr>
          <w:sz w:val="20"/>
          <w:szCs w:val="20"/>
          <w:color w:val="auto"/>
        </w:rPr>
      </w:pPr>
    </w:p>
    <w:p>
      <w:pPr>
        <w:ind w:left="520"/>
        <w:spacing w:after="0"/>
        <w:rPr>
          <w:sz w:val="20"/>
          <w:szCs w:val="20"/>
          <w:color w:val="auto"/>
        </w:rPr>
      </w:pPr>
      <w:r>
        <w:rPr>
          <w:rFonts w:ascii="Arial" w:cs="Arial" w:eastAsia="Arial" w:hAnsi="Arial"/>
          <w:sz w:val="18"/>
          <w:szCs w:val="18"/>
          <w:color w:val="auto"/>
        </w:rPr>
        <w:t>Comcast of Sterling Heights, Inc.</w:t>
      </w:r>
    </w:p>
    <w:p>
      <w:pPr>
        <w:spacing w:after="0" w:line="117" w:lineRule="exact"/>
        <w:rPr>
          <w:sz w:val="20"/>
          <w:szCs w:val="20"/>
          <w:color w:val="auto"/>
        </w:rPr>
      </w:pPr>
    </w:p>
    <w:p>
      <w:pPr>
        <w:ind w:left="520"/>
        <w:spacing w:after="0"/>
        <w:rPr>
          <w:sz w:val="20"/>
          <w:szCs w:val="20"/>
          <w:color w:val="auto"/>
        </w:rPr>
      </w:pPr>
      <w:r>
        <w:rPr>
          <w:rFonts w:ascii="Arial" w:cs="Arial" w:eastAsia="Arial" w:hAnsi="Arial"/>
          <w:sz w:val="18"/>
          <w:szCs w:val="18"/>
          <w:color w:val="auto"/>
        </w:rPr>
        <w:t>Comcast of Tacoma, Inc.</w:t>
      </w:r>
    </w:p>
    <w:p>
      <w:pPr>
        <w:spacing w:after="0" w:line="117" w:lineRule="exact"/>
        <w:rPr>
          <w:sz w:val="20"/>
          <w:szCs w:val="20"/>
          <w:color w:val="auto"/>
        </w:rPr>
      </w:pPr>
    </w:p>
    <w:p>
      <w:pPr>
        <w:ind w:left="520"/>
        <w:spacing w:after="0"/>
        <w:rPr>
          <w:sz w:val="20"/>
          <w:szCs w:val="20"/>
          <w:color w:val="auto"/>
        </w:rPr>
      </w:pPr>
      <w:r>
        <w:rPr>
          <w:rFonts w:ascii="Arial" w:cs="Arial" w:eastAsia="Arial" w:hAnsi="Arial"/>
          <w:sz w:val="18"/>
          <w:szCs w:val="18"/>
          <w:color w:val="auto"/>
        </w:rPr>
        <w:t>Comcast of Tallahassee, Inc.</w:t>
      </w:r>
    </w:p>
    <w:p>
      <w:pPr>
        <w:spacing w:after="0" w:line="117" w:lineRule="exact"/>
        <w:rPr>
          <w:sz w:val="20"/>
          <w:szCs w:val="20"/>
          <w:color w:val="auto"/>
        </w:rPr>
      </w:pPr>
    </w:p>
    <w:p>
      <w:pPr>
        <w:ind w:left="520"/>
        <w:spacing w:after="0"/>
        <w:rPr>
          <w:sz w:val="20"/>
          <w:szCs w:val="20"/>
          <w:color w:val="auto"/>
        </w:rPr>
      </w:pPr>
      <w:r>
        <w:rPr>
          <w:rFonts w:ascii="Arial" w:cs="Arial" w:eastAsia="Arial" w:hAnsi="Arial"/>
          <w:sz w:val="18"/>
          <w:szCs w:val="18"/>
          <w:color w:val="auto"/>
        </w:rPr>
        <w:t>Comcast of Taylor, LLC</w:t>
      </w:r>
    </w:p>
    <w:p>
      <w:pPr>
        <w:spacing w:after="0" w:line="117" w:lineRule="exact"/>
        <w:rPr>
          <w:sz w:val="20"/>
          <w:szCs w:val="20"/>
          <w:color w:val="auto"/>
        </w:rPr>
      </w:pPr>
    </w:p>
    <w:p>
      <w:pPr>
        <w:ind w:left="520"/>
        <w:spacing w:after="0"/>
        <w:rPr>
          <w:sz w:val="20"/>
          <w:szCs w:val="20"/>
          <w:color w:val="auto"/>
        </w:rPr>
      </w:pPr>
      <w:r>
        <w:rPr>
          <w:rFonts w:ascii="Arial" w:cs="Arial" w:eastAsia="Arial" w:hAnsi="Arial"/>
          <w:sz w:val="18"/>
          <w:szCs w:val="18"/>
          <w:color w:val="auto"/>
        </w:rPr>
        <w:t>Comcast of Tennessee, LP</w:t>
      </w:r>
    </w:p>
    <w:p>
      <w:pPr>
        <w:spacing w:after="0" w:line="117" w:lineRule="exact"/>
        <w:rPr>
          <w:sz w:val="20"/>
          <w:szCs w:val="20"/>
          <w:color w:val="auto"/>
        </w:rPr>
      </w:pPr>
    </w:p>
    <w:p>
      <w:pPr>
        <w:ind w:left="520"/>
        <w:spacing w:after="0"/>
        <w:rPr>
          <w:sz w:val="20"/>
          <w:szCs w:val="20"/>
          <w:color w:val="auto"/>
        </w:rPr>
      </w:pPr>
      <w:r>
        <w:rPr>
          <w:rFonts w:ascii="Arial" w:cs="Arial" w:eastAsia="Arial" w:hAnsi="Arial"/>
          <w:sz w:val="18"/>
          <w:szCs w:val="18"/>
          <w:color w:val="auto"/>
        </w:rPr>
        <w:t>Comcast of the District, LLC</w:t>
      </w:r>
    </w:p>
    <w:p>
      <w:pPr>
        <w:spacing w:after="0" w:line="117" w:lineRule="exact"/>
        <w:rPr>
          <w:sz w:val="20"/>
          <w:szCs w:val="20"/>
          <w:color w:val="auto"/>
        </w:rPr>
      </w:pPr>
    </w:p>
    <w:p>
      <w:pPr>
        <w:ind w:left="520"/>
        <w:spacing w:after="0"/>
        <w:rPr>
          <w:sz w:val="20"/>
          <w:szCs w:val="20"/>
          <w:color w:val="auto"/>
        </w:rPr>
      </w:pPr>
      <w:r>
        <w:rPr>
          <w:rFonts w:ascii="Arial" w:cs="Arial" w:eastAsia="Arial" w:hAnsi="Arial"/>
          <w:sz w:val="18"/>
          <w:szCs w:val="18"/>
          <w:color w:val="auto"/>
        </w:rPr>
        <w:t>Comcast of the Gulf Plains, Inc.</w:t>
      </w:r>
    </w:p>
    <w:p>
      <w:pPr>
        <w:spacing w:after="0" w:line="117" w:lineRule="exact"/>
        <w:rPr>
          <w:sz w:val="20"/>
          <w:szCs w:val="20"/>
          <w:color w:val="auto"/>
        </w:rPr>
      </w:pPr>
    </w:p>
    <w:p>
      <w:pPr>
        <w:ind w:left="520"/>
        <w:spacing w:after="0"/>
        <w:rPr>
          <w:sz w:val="20"/>
          <w:szCs w:val="20"/>
          <w:color w:val="auto"/>
        </w:rPr>
      </w:pPr>
      <w:r>
        <w:rPr>
          <w:rFonts w:ascii="Arial" w:cs="Arial" w:eastAsia="Arial" w:hAnsi="Arial"/>
          <w:sz w:val="18"/>
          <w:szCs w:val="18"/>
          <w:color w:val="auto"/>
        </w:rPr>
        <w:t>Comcast of the Meadowlands, LLC</w:t>
      </w:r>
    </w:p>
    <w:p>
      <w:pPr>
        <w:spacing w:after="0" w:line="117" w:lineRule="exact"/>
        <w:rPr>
          <w:sz w:val="20"/>
          <w:szCs w:val="20"/>
          <w:color w:val="auto"/>
        </w:rPr>
      </w:pPr>
    </w:p>
    <w:p>
      <w:pPr>
        <w:ind w:left="520"/>
        <w:spacing w:after="0"/>
        <w:rPr>
          <w:sz w:val="20"/>
          <w:szCs w:val="20"/>
          <w:color w:val="auto"/>
        </w:rPr>
      </w:pPr>
      <w:r>
        <w:rPr>
          <w:rFonts w:ascii="Arial" w:cs="Arial" w:eastAsia="Arial" w:hAnsi="Arial"/>
          <w:sz w:val="18"/>
          <w:szCs w:val="18"/>
          <w:color w:val="auto"/>
        </w:rPr>
        <w:t>Comcast of the South</w:t>
      </w:r>
    </w:p>
    <w:p>
      <w:pPr>
        <w:spacing w:after="0" w:line="117" w:lineRule="exact"/>
        <w:rPr>
          <w:sz w:val="20"/>
          <w:szCs w:val="20"/>
          <w:color w:val="auto"/>
        </w:rPr>
      </w:pPr>
    </w:p>
    <w:p>
      <w:pPr>
        <w:ind w:left="520"/>
        <w:spacing w:after="0"/>
        <w:rPr>
          <w:sz w:val="20"/>
          <w:szCs w:val="20"/>
          <w:color w:val="auto"/>
        </w:rPr>
      </w:pPr>
      <w:r>
        <w:rPr>
          <w:rFonts w:ascii="Arial" w:cs="Arial" w:eastAsia="Arial" w:hAnsi="Arial"/>
          <w:sz w:val="18"/>
          <w:szCs w:val="18"/>
          <w:color w:val="auto"/>
        </w:rPr>
        <w:t>Comcast of the South, Inc.</w:t>
      </w:r>
    </w:p>
    <w:p>
      <w:pPr>
        <w:spacing w:after="0" w:line="117" w:lineRule="exact"/>
        <w:rPr>
          <w:sz w:val="20"/>
          <w:szCs w:val="20"/>
          <w:color w:val="auto"/>
        </w:rPr>
      </w:pPr>
    </w:p>
    <w:p>
      <w:pPr>
        <w:ind w:left="520"/>
        <w:spacing w:after="0"/>
        <w:rPr>
          <w:sz w:val="20"/>
          <w:szCs w:val="20"/>
          <w:color w:val="auto"/>
        </w:rPr>
      </w:pPr>
      <w:r>
        <w:rPr>
          <w:rFonts w:ascii="Arial" w:cs="Arial" w:eastAsia="Arial" w:hAnsi="Arial"/>
          <w:sz w:val="18"/>
          <w:szCs w:val="18"/>
          <w:color w:val="auto"/>
        </w:rPr>
        <w:t>Comcast of the South, L.P.</w:t>
      </w:r>
    </w:p>
    <w:p>
      <w:pPr>
        <w:spacing w:after="0" w:line="117" w:lineRule="exact"/>
        <w:rPr>
          <w:sz w:val="20"/>
          <w:szCs w:val="20"/>
          <w:color w:val="auto"/>
        </w:rPr>
      </w:pPr>
    </w:p>
    <w:p>
      <w:pPr>
        <w:ind w:left="520"/>
        <w:spacing w:after="0"/>
        <w:rPr>
          <w:sz w:val="20"/>
          <w:szCs w:val="20"/>
          <w:color w:val="auto"/>
        </w:rPr>
      </w:pPr>
      <w:r>
        <w:rPr>
          <w:rFonts w:ascii="Arial" w:cs="Arial" w:eastAsia="Arial" w:hAnsi="Arial"/>
          <w:sz w:val="18"/>
          <w:szCs w:val="18"/>
          <w:color w:val="auto"/>
        </w:rPr>
        <w:t>Comcast of the South, LLC</w:t>
      </w:r>
    </w:p>
    <w:p>
      <w:pPr>
        <w:spacing w:after="0" w:line="117" w:lineRule="exact"/>
        <w:rPr>
          <w:sz w:val="20"/>
          <w:szCs w:val="20"/>
          <w:color w:val="auto"/>
        </w:rPr>
      </w:pPr>
    </w:p>
    <w:p>
      <w:pPr>
        <w:ind w:left="520"/>
        <w:spacing w:after="0"/>
        <w:rPr>
          <w:sz w:val="20"/>
          <w:szCs w:val="20"/>
          <w:color w:val="auto"/>
        </w:rPr>
      </w:pPr>
      <w:r>
        <w:rPr>
          <w:rFonts w:ascii="Arial" w:cs="Arial" w:eastAsia="Arial" w:hAnsi="Arial"/>
          <w:sz w:val="18"/>
          <w:szCs w:val="18"/>
          <w:color w:val="auto"/>
        </w:rPr>
        <w:t>Comcast of Tualatin Valley, Inc.</w:t>
      </w:r>
    </w:p>
    <w:p>
      <w:pPr>
        <w:spacing w:after="0" w:line="117" w:lineRule="exact"/>
        <w:rPr>
          <w:sz w:val="20"/>
          <w:szCs w:val="20"/>
          <w:color w:val="auto"/>
        </w:rPr>
      </w:pPr>
    </w:p>
    <w:p>
      <w:pPr>
        <w:ind w:left="520"/>
        <w:spacing w:after="0"/>
        <w:rPr>
          <w:sz w:val="20"/>
          <w:szCs w:val="20"/>
          <w:color w:val="auto"/>
        </w:rPr>
      </w:pPr>
      <w:r>
        <w:rPr>
          <w:rFonts w:ascii="Arial" w:cs="Arial" w:eastAsia="Arial" w:hAnsi="Arial"/>
          <w:sz w:val="18"/>
          <w:szCs w:val="18"/>
          <w:color w:val="auto"/>
        </w:rPr>
        <w:t>Comcast of Tupelo, Inc.</w:t>
      </w:r>
    </w:p>
    <w:p>
      <w:pPr>
        <w:spacing w:after="0" w:line="117" w:lineRule="exact"/>
        <w:rPr>
          <w:sz w:val="20"/>
          <w:szCs w:val="20"/>
          <w:color w:val="auto"/>
        </w:rPr>
      </w:pPr>
    </w:p>
    <w:p>
      <w:pPr>
        <w:ind w:left="520"/>
        <w:spacing w:after="0"/>
        <w:rPr>
          <w:sz w:val="20"/>
          <w:szCs w:val="20"/>
          <w:color w:val="auto"/>
        </w:rPr>
      </w:pPr>
      <w:r>
        <w:rPr>
          <w:rFonts w:ascii="Arial" w:cs="Arial" w:eastAsia="Arial" w:hAnsi="Arial"/>
          <w:sz w:val="18"/>
          <w:szCs w:val="18"/>
          <w:color w:val="auto"/>
        </w:rPr>
        <w:t>Comcast of Twin Cities, Inc.</w:t>
      </w:r>
    </w:p>
    <w:p>
      <w:pPr>
        <w:spacing w:after="0" w:line="117" w:lineRule="exact"/>
        <w:rPr>
          <w:sz w:val="20"/>
          <w:szCs w:val="20"/>
          <w:color w:val="auto"/>
        </w:rPr>
      </w:pPr>
    </w:p>
    <w:p>
      <w:pPr>
        <w:ind w:left="520"/>
        <w:spacing w:after="0"/>
        <w:rPr>
          <w:sz w:val="20"/>
          <w:szCs w:val="20"/>
          <w:color w:val="auto"/>
        </w:rPr>
      </w:pPr>
      <w:r>
        <w:rPr>
          <w:rFonts w:ascii="Arial" w:cs="Arial" w:eastAsia="Arial" w:hAnsi="Arial"/>
          <w:sz w:val="18"/>
          <w:szCs w:val="18"/>
          <w:color w:val="auto"/>
        </w:rPr>
        <w:t>Comcast of Utah I, Inc.</w:t>
      </w:r>
    </w:p>
    <w:p>
      <w:pPr>
        <w:spacing w:after="0" w:line="117" w:lineRule="exact"/>
        <w:rPr>
          <w:sz w:val="20"/>
          <w:szCs w:val="20"/>
          <w:color w:val="auto"/>
        </w:rPr>
      </w:pPr>
    </w:p>
    <w:p>
      <w:pPr>
        <w:ind w:left="520"/>
        <w:spacing w:after="0"/>
        <w:rPr>
          <w:sz w:val="20"/>
          <w:szCs w:val="20"/>
          <w:color w:val="auto"/>
        </w:rPr>
      </w:pPr>
      <w:r>
        <w:rPr>
          <w:rFonts w:ascii="Arial" w:cs="Arial" w:eastAsia="Arial" w:hAnsi="Arial"/>
          <w:sz w:val="18"/>
          <w:szCs w:val="18"/>
          <w:color w:val="auto"/>
        </w:rPr>
        <w:t>Comcast of Utah II, Inc.</w:t>
      </w:r>
    </w:p>
    <w:p>
      <w:pPr>
        <w:spacing w:after="0" w:line="117" w:lineRule="exact"/>
        <w:rPr>
          <w:sz w:val="20"/>
          <w:szCs w:val="20"/>
          <w:color w:val="auto"/>
        </w:rPr>
      </w:pPr>
    </w:p>
    <w:p>
      <w:pPr>
        <w:ind w:left="520"/>
        <w:spacing w:after="0"/>
        <w:rPr>
          <w:sz w:val="20"/>
          <w:szCs w:val="20"/>
          <w:color w:val="auto"/>
        </w:rPr>
      </w:pPr>
      <w:r>
        <w:rPr>
          <w:rFonts w:ascii="Arial" w:cs="Arial" w:eastAsia="Arial" w:hAnsi="Arial"/>
          <w:sz w:val="18"/>
          <w:szCs w:val="18"/>
          <w:color w:val="auto"/>
        </w:rPr>
        <w:t>Comcast of Utica, Inc.</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Arial" w:cs="Arial" w:eastAsia="Arial" w:hAnsi="Arial"/>
          <w:sz w:val="18"/>
          <w:szCs w:val="18"/>
          <w:color w:val="auto"/>
        </w:rPr>
        <w:t>PA</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color w:val="auto"/>
        </w:rPr>
        <w:t>CO</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color w:val="auto"/>
        </w:rPr>
        <w:t>DE</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color w:val="auto"/>
        </w:rPr>
        <w:t>PA</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color w:val="auto"/>
        </w:rPr>
        <w:t>DE</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color w:val="auto"/>
        </w:rPr>
        <w:t>DE</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color w:val="auto"/>
        </w:rPr>
        <w:t>DE</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color w:val="auto"/>
        </w:rPr>
        <w:t>WA</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color w:val="auto"/>
        </w:rPr>
        <w:t>DE</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color w:val="auto"/>
        </w:rPr>
        <w:t>VA</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color w:val="auto"/>
        </w:rPr>
        <w:t>CA</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color w:val="auto"/>
        </w:rPr>
        <w:t>CA</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color w:val="auto"/>
        </w:rPr>
        <w:t>CA</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color w:val="auto"/>
        </w:rPr>
        <w:t>WY</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color w:val="auto"/>
        </w:rPr>
        <w:t>CA</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color w:val="auto"/>
        </w:rPr>
        <w:t>CO</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color w:val="auto"/>
        </w:rPr>
        <w:t>DE</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color w:val="auto"/>
        </w:rPr>
        <w:t>MI</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color w:val="auto"/>
        </w:rPr>
        <w:t>CA</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color w:val="auto"/>
        </w:rPr>
        <w:t>IL</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color w:val="auto"/>
        </w:rPr>
        <w:t>FL</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color w:val="auto"/>
        </w:rPr>
        <w:t>FL</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color w:val="auto"/>
        </w:rPr>
        <w:t>DE</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color w:val="auto"/>
        </w:rPr>
        <w:t>DE</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color w:val="auto"/>
        </w:rPr>
        <w:t>DE</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color w:val="auto"/>
        </w:rPr>
        <w:t>OR</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color w:val="auto"/>
        </w:rPr>
        <w:t>DE</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color w:val="auto"/>
        </w:rPr>
        <w:t>DE</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color w:val="auto"/>
        </w:rPr>
        <w:t>MA</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color w:val="auto"/>
        </w:rPr>
        <w:t>DE</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color w:val="auto"/>
        </w:rPr>
        <w:t>WA</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color w:val="auto"/>
        </w:rPr>
        <w:t>MN</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color w:val="auto"/>
        </w:rPr>
        <w:t>MI</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color w:val="auto"/>
        </w:rPr>
        <w:t>DE</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color w:val="auto"/>
        </w:rPr>
        <w:t>DE</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color w:val="auto"/>
        </w:rPr>
        <w:t>DE</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color w:val="auto"/>
        </w:rPr>
        <w:t>DE</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color w:val="auto"/>
        </w:rPr>
        <w:t>DC</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color w:val="auto"/>
        </w:rPr>
        <w:t>DE</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color w:val="auto"/>
        </w:rPr>
        <w:t>DE</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color w:val="auto"/>
        </w:rPr>
        <w:t>CO</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color w:val="auto"/>
        </w:rPr>
        <w:t>CO</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color w:val="auto"/>
        </w:rPr>
        <w:t>DE</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color w:val="auto"/>
        </w:rPr>
        <w:t>DE</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color w:val="auto"/>
        </w:rPr>
        <w:t>OR</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color w:val="auto"/>
        </w:rPr>
        <w:t>MS</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color w:val="auto"/>
        </w:rPr>
        <w:t>WA</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color w:val="auto"/>
        </w:rPr>
        <w:t>IN</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color w:val="auto"/>
        </w:rPr>
        <w:t>LA</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color w:val="auto"/>
        </w:rPr>
        <w:t>MI</w:t>
      </w:r>
    </w:p>
    <w:p>
      <w:pPr>
        <w:sectPr>
          <w:pgSz w:w="11900" w:h="16838" w:orient="portrait"/>
          <w:cols w:equalWidth="0" w:num="2">
            <w:col w:w="7480" w:space="720"/>
            <w:col w:w="819"/>
          </w:cols>
          <w:pgMar w:left="1440" w:top="388" w:right="1440" w:bottom="0" w:gutter="0" w:footer="0" w:header="0"/>
        </w:sectPr>
      </w:pPr>
    </w:p>
    <w:bookmarkStart w:id="178" w:name="page179"/>
    <w:bookmarkEnd w:id="178"/>
    <w:p>
      <w:pPr>
        <w:ind w:left="520"/>
        <w:spacing w:after="0"/>
        <w:rPr>
          <w:sz w:val="20"/>
          <w:szCs w:val="20"/>
          <w:color w:val="auto"/>
        </w:rPr>
      </w:pPr>
      <w:r>
        <w:rPr>
          <w:rFonts w:ascii="Arial" w:cs="Arial" w:eastAsia="Arial" w:hAnsi="Arial"/>
          <w:sz w:val="16"/>
          <w:szCs w:val="16"/>
          <w:color w:val="auto"/>
        </w:rPr>
        <w:t>Comcast of Virginia, Inc.</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Arial" w:cs="Arial" w:eastAsia="Arial" w:hAnsi="Arial"/>
          <w:sz w:val="16"/>
          <w:szCs w:val="16"/>
          <w:color w:val="auto"/>
        </w:rPr>
        <w:t>CO</w:t>
      </w:r>
    </w:p>
    <w:p>
      <w:pPr>
        <w:spacing w:after="0" w:line="140" w:lineRule="exact"/>
        <w:rPr>
          <w:sz w:val="20"/>
          <w:szCs w:val="20"/>
          <w:color w:val="auto"/>
        </w:rPr>
      </w:pPr>
    </w:p>
    <w:p>
      <w:pPr>
        <w:sectPr>
          <w:pgSz w:w="11900" w:h="16838" w:orient="portrait"/>
          <w:cols w:equalWidth="0" w:num="2">
            <w:col w:w="7480" w:space="720"/>
            <w:col w:w="819"/>
          </w:cols>
          <w:pgMar w:left="1440" w:top="131" w:right="1440" w:bottom="1440" w:gutter="0" w:footer="0" w:header="0"/>
        </w:sectPr>
      </w:pPr>
    </w:p>
    <w:p>
      <w:pPr>
        <w:ind w:left="520"/>
        <w:spacing w:after="0"/>
        <w:rPr>
          <w:sz w:val="20"/>
          <w:szCs w:val="20"/>
          <w:color w:val="auto"/>
        </w:rPr>
      </w:pPr>
      <w:r>
        <w:rPr>
          <w:rFonts w:ascii="Arial" w:cs="Arial" w:eastAsia="Arial" w:hAnsi="Arial"/>
          <w:sz w:val="15"/>
          <w:szCs w:val="15"/>
          <w:color w:val="auto"/>
        </w:rPr>
        <w:t>Comcast of Warren</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Arial" w:cs="Arial" w:eastAsia="Arial" w:hAnsi="Arial"/>
          <w:sz w:val="18"/>
          <w:szCs w:val="18"/>
          <w:color w:val="auto"/>
        </w:rPr>
        <w:t>MI</w:t>
      </w:r>
    </w:p>
    <w:p>
      <w:pPr>
        <w:spacing w:after="0" w:line="117" w:lineRule="exact"/>
        <w:rPr>
          <w:sz w:val="20"/>
          <w:szCs w:val="20"/>
          <w:color w:val="auto"/>
        </w:rPr>
      </w:pPr>
    </w:p>
    <w:p>
      <w:pPr>
        <w:sectPr>
          <w:pgSz w:w="11900" w:h="16838" w:orient="portrait"/>
          <w:cols w:equalWidth="0" w:num="2">
            <w:col w:w="7480" w:space="720"/>
            <w:col w:w="819"/>
          </w:cols>
          <w:pgMar w:left="1440" w:top="131" w:right="1440" w:bottom="1440" w:gutter="0" w:footer="0" w:header="0"/>
          <w:type w:val="continuous"/>
        </w:sectPr>
      </w:pPr>
    </w:p>
    <w:p>
      <w:pPr>
        <w:ind w:left="520"/>
        <w:spacing w:after="0"/>
        <w:rPr>
          <w:sz w:val="20"/>
          <w:szCs w:val="20"/>
          <w:color w:val="auto"/>
        </w:rPr>
      </w:pPr>
      <w:r>
        <w:rPr>
          <w:rFonts w:ascii="Arial" w:cs="Arial" w:eastAsia="Arial" w:hAnsi="Arial"/>
          <w:sz w:val="15"/>
          <w:szCs w:val="15"/>
          <w:color w:val="auto"/>
        </w:rPr>
        <w:t>Comcast of Warren, Inc.</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Arial" w:cs="Arial" w:eastAsia="Arial" w:hAnsi="Arial"/>
          <w:sz w:val="18"/>
          <w:szCs w:val="18"/>
          <w:color w:val="auto"/>
        </w:rPr>
        <w:t>MI</w:t>
      </w:r>
    </w:p>
    <w:p>
      <w:pPr>
        <w:sectPr>
          <w:pgSz w:w="11900" w:h="16838" w:orient="portrait"/>
          <w:cols w:equalWidth="0" w:num="2">
            <w:col w:w="7480" w:space="720"/>
            <w:col w:w="819"/>
          </w:cols>
          <w:pgMar w:left="1440" w:top="131" w:right="1440" w:bottom="1440" w:gutter="0" w:footer="0" w:header="0"/>
          <w:type w:val="continuous"/>
        </w:sectPr>
      </w:pPr>
    </w:p>
    <w:bookmarkStart w:id="179" w:name="page180"/>
    <w:bookmarkEnd w:id="179"/>
    <w:p>
      <w:pPr>
        <w:ind w:left="520"/>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245" name="Picture 2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5"/>
                    <pic:cNvPicPr>
                      <a:picLocks noChangeAspect="1" noChangeArrowheads="1"/>
                    </pic:cNvPicPr>
                  </pic:nvPicPr>
                  <pic:blipFill>
                    <a:blip r:embed="rId252">
                      <a:extLst>
                        <a:ext uri="{28A0092B-C50C-407E-A947-70E740481C1C}"/>
                      </a:extLst>
                    </a:blip>
                    <a:srcRect/>
                    <a:stretch>
                      <a:fillRect/>
                    </a:stretch>
                  </pic:blipFill>
                  <pic:spPr bwMode="auto">
                    <a:xfrm>
                      <a:off x="0" y="0"/>
                      <a:ext cx="7267575" cy="27940"/>
                    </a:xfrm>
                    <a:prstGeom prst="rect">
                      <a:avLst/>
                    </a:prstGeom>
                    <a:noFill/>
                  </pic:spPr>
                </pic:pic>
              </a:graphicData>
            </a:graphic>
          </wp:anchor>
        </w:drawing>
        <w:t>Comcast of Wasatch, Inc.</w:t>
      </w:r>
    </w:p>
    <w:p>
      <w:pPr>
        <w:spacing w:after="0" w:line="117" w:lineRule="exact"/>
        <w:rPr>
          <w:sz w:val="20"/>
          <w:szCs w:val="20"/>
          <w:color w:val="auto"/>
        </w:rPr>
      </w:pPr>
    </w:p>
    <w:p>
      <w:pPr>
        <w:ind w:left="520"/>
        <w:spacing w:after="0"/>
        <w:rPr>
          <w:sz w:val="20"/>
          <w:szCs w:val="20"/>
          <w:color w:val="auto"/>
        </w:rPr>
      </w:pPr>
      <w:r>
        <w:rPr>
          <w:rFonts w:ascii="Arial" w:cs="Arial" w:eastAsia="Arial" w:hAnsi="Arial"/>
          <w:sz w:val="18"/>
          <w:szCs w:val="18"/>
          <w:color w:val="auto"/>
        </w:rPr>
        <w:t>Comcast of Washington I, Inc.</w:t>
      </w:r>
    </w:p>
    <w:p>
      <w:pPr>
        <w:spacing w:after="0" w:line="117" w:lineRule="exact"/>
        <w:rPr>
          <w:sz w:val="20"/>
          <w:szCs w:val="20"/>
          <w:color w:val="auto"/>
        </w:rPr>
      </w:pPr>
    </w:p>
    <w:p>
      <w:pPr>
        <w:ind w:left="520"/>
        <w:spacing w:after="0"/>
        <w:rPr>
          <w:sz w:val="20"/>
          <w:szCs w:val="20"/>
          <w:color w:val="auto"/>
        </w:rPr>
      </w:pPr>
      <w:r>
        <w:rPr>
          <w:rFonts w:ascii="Arial" w:cs="Arial" w:eastAsia="Arial" w:hAnsi="Arial"/>
          <w:sz w:val="18"/>
          <w:szCs w:val="18"/>
          <w:color w:val="auto"/>
        </w:rPr>
        <w:t>Comcast of Washington II, Inc.</w:t>
      </w:r>
    </w:p>
    <w:p>
      <w:pPr>
        <w:spacing w:after="0" w:line="117" w:lineRule="exact"/>
        <w:rPr>
          <w:sz w:val="20"/>
          <w:szCs w:val="20"/>
          <w:color w:val="auto"/>
        </w:rPr>
      </w:pPr>
    </w:p>
    <w:p>
      <w:pPr>
        <w:ind w:left="520"/>
        <w:spacing w:after="0"/>
        <w:rPr>
          <w:sz w:val="20"/>
          <w:szCs w:val="20"/>
          <w:color w:val="auto"/>
        </w:rPr>
      </w:pPr>
      <w:r>
        <w:rPr>
          <w:rFonts w:ascii="Arial" w:cs="Arial" w:eastAsia="Arial" w:hAnsi="Arial"/>
          <w:sz w:val="18"/>
          <w:szCs w:val="18"/>
          <w:color w:val="auto"/>
        </w:rPr>
        <w:t>Comcast of Washington III, Inc.</w:t>
      </w:r>
    </w:p>
    <w:p>
      <w:pPr>
        <w:spacing w:after="0" w:line="117" w:lineRule="exact"/>
        <w:rPr>
          <w:sz w:val="20"/>
          <w:szCs w:val="20"/>
          <w:color w:val="auto"/>
        </w:rPr>
      </w:pPr>
    </w:p>
    <w:p>
      <w:pPr>
        <w:ind w:left="520"/>
        <w:spacing w:after="0"/>
        <w:rPr>
          <w:sz w:val="20"/>
          <w:szCs w:val="20"/>
          <w:color w:val="auto"/>
        </w:rPr>
      </w:pPr>
      <w:r>
        <w:rPr>
          <w:rFonts w:ascii="Arial" w:cs="Arial" w:eastAsia="Arial" w:hAnsi="Arial"/>
          <w:sz w:val="18"/>
          <w:szCs w:val="18"/>
          <w:color w:val="auto"/>
        </w:rPr>
        <w:t>Comcast of Washington IV, Inc.</w:t>
      </w:r>
    </w:p>
    <w:p>
      <w:pPr>
        <w:spacing w:after="0" w:line="117" w:lineRule="exact"/>
        <w:rPr>
          <w:sz w:val="20"/>
          <w:szCs w:val="20"/>
          <w:color w:val="auto"/>
        </w:rPr>
      </w:pPr>
    </w:p>
    <w:p>
      <w:pPr>
        <w:ind w:left="520"/>
        <w:spacing w:after="0"/>
        <w:rPr>
          <w:sz w:val="20"/>
          <w:szCs w:val="20"/>
          <w:color w:val="auto"/>
        </w:rPr>
      </w:pPr>
      <w:r>
        <w:rPr>
          <w:rFonts w:ascii="Arial" w:cs="Arial" w:eastAsia="Arial" w:hAnsi="Arial"/>
          <w:sz w:val="18"/>
          <w:szCs w:val="18"/>
          <w:color w:val="auto"/>
        </w:rPr>
        <w:t>Comcast of Washington V, LLC</w:t>
      </w:r>
    </w:p>
    <w:p>
      <w:pPr>
        <w:spacing w:after="0" w:line="117" w:lineRule="exact"/>
        <w:rPr>
          <w:sz w:val="20"/>
          <w:szCs w:val="20"/>
          <w:color w:val="auto"/>
        </w:rPr>
      </w:pPr>
    </w:p>
    <w:p>
      <w:pPr>
        <w:ind w:left="520"/>
        <w:spacing w:after="0"/>
        <w:rPr>
          <w:sz w:val="20"/>
          <w:szCs w:val="20"/>
          <w:color w:val="auto"/>
        </w:rPr>
      </w:pPr>
      <w:r>
        <w:rPr>
          <w:rFonts w:ascii="Arial" w:cs="Arial" w:eastAsia="Arial" w:hAnsi="Arial"/>
          <w:sz w:val="18"/>
          <w:szCs w:val="18"/>
          <w:color w:val="auto"/>
        </w:rPr>
        <w:t>Comcast of Washington, LLC</w:t>
      </w:r>
    </w:p>
    <w:p>
      <w:pPr>
        <w:spacing w:after="0" w:line="117" w:lineRule="exact"/>
        <w:rPr>
          <w:sz w:val="20"/>
          <w:szCs w:val="20"/>
          <w:color w:val="auto"/>
        </w:rPr>
      </w:pPr>
    </w:p>
    <w:p>
      <w:pPr>
        <w:ind w:left="520"/>
        <w:spacing w:after="0"/>
        <w:rPr>
          <w:sz w:val="20"/>
          <w:szCs w:val="20"/>
          <w:color w:val="auto"/>
        </w:rPr>
      </w:pPr>
      <w:r>
        <w:rPr>
          <w:rFonts w:ascii="Arial" w:cs="Arial" w:eastAsia="Arial" w:hAnsi="Arial"/>
          <w:sz w:val="18"/>
          <w:szCs w:val="18"/>
          <w:color w:val="auto"/>
        </w:rPr>
        <w:t>Comcast of Washington/Oregon</w:t>
      </w:r>
    </w:p>
    <w:p>
      <w:pPr>
        <w:spacing w:after="0" w:line="117" w:lineRule="exact"/>
        <w:rPr>
          <w:sz w:val="20"/>
          <w:szCs w:val="20"/>
          <w:color w:val="auto"/>
        </w:rPr>
      </w:pPr>
    </w:p>
    <w:p>
      <w:pPr>
        <w:ind w:left="520"/>
        <w:spacing w:after="0"/>
        <w:rPr>
          <w:sz w:val="20"/>
          <w:szCs w:val="20"/>
          <w:color w:val="auto"/>
        </w:rPr>
      </w:pPr>
      <w:r>
        <w:rPr>
          <w:rFonts w:ascii="Arial" w:cs="Arial" w:eastAsia="Arial" w:hAnsi="Arial"/>
          <w:sz w:val="16"/>
          <w:szCs w:val="16"/>
          <w:color w:val="auto"/>
        </w:rPr>
        <w:t>Comcast of Washington/Oregon SMATV I , LLC</w:t>
      </w:r>
    </w:p>
    <w:p>
      <w:pPr>
        <w:spacing w:after="0" w:line="140" w:lineRule="exact"/>
        <w:rPr>
          <w:sz w:val="20"/>
          <w:szCs w:val="20"/>
          <w:color w:val="auto"/>
        </w:rPr>
      </w:pPr>
    </w:p>
    <w:p>
      <w:pPr>
        <w:ind w:left="520"/>
        <w:spacing w:after="0"/>
        <w:rPr>
          <w:sz w:val="20"/>
          <w:szCs w:val="20"/>
          <w:color w:val="auto"/>
        </w:rPr>
      </w:pPr>
      <w:r>
        <w:rPr>
          <w:rFonts w:ascii="Arial" w:cs="Arial" w:eastAsia="Arial" w:hAnsi="Arial"/>
          <w:sz w:val="16"/>
          <w:szCs w:val="16"/>
          <w:color w:val="auto"/>
        </w:rPr>
        <w:t>Comcast of Washington/Oregon SMATV II, LLC</w:t>
      </w:r>
    </w:p>
    <w:p>
      <w:pPr>
        <w:spacing w:after="0" w:line="140" w:lineRule="exact"/>
        <w:rPr>
          <w:sz w:val="20"/>
          <w:szCs w:val="20"/>
          <w:color w:val="auto"/>
        </w:rPr>
      </w:pPr>
    </w:p>
    <w:p>
      <w:pPr>
        <w:ind w:left="520"/>
        <w:spacing w:after="0"/>
        <w:rPr>
          <w:sz w:val="20"/>
          <w:szCs w:val="20"/>
          <w:color w:val="auto"/>
        </w:rPr>
      </w:pPr>
      <w:r>
        <w:rPr>
          <w:rFonts w:ascii="Arial" w:cs="Arial" w:eastAsia="Arial" w:hAnsi="Arial"/>
          <w:sz w:val="18"/>
          <w:szCs w:val="18"/>
          <w:color w:val="auto"/>
        </w:rPr>
        <w:t>Comcast of West Florida, Inc.</w:t>
      </w:r>
    </w:p>
    <w:p>
      <w:pPr>
        <w:spacing w:after="0" w:line="117" w:lineRule="exact"/>
        <w:rPr>
          <w:sz w:val="20"/>
          <w:szCs w:val="20"/>
          <w:color w:val="auto"/>
        </w:rPr>
      </w:pPr>
    </w:p>
    <w:p>
      <w:pPr>
        <w:ind w:left="520"/>
        <w:spacing w:after="0"/>
        <w:rPr>
          <w:sz w:val="20"/>
          <w:szCs w:val="20"/>
          <w:color w:val="auto"/>
        </w:rPr>
      </w:pPr>
      <w:r>
        <w:rPr>
          <w:rFonts w:ascii="Arial" w:cs="Arial" w:eastAsia="Arial" w:hAnsi="Arial"/>
          <w:sz w:val="18"/>
          <w:szCs w:val="18"/>
          <w:color w:val="auto"/>
        </w:rPr>
        <w:t>Comcast of West Virginia, LLC</w:t>
      </w:r>
    </w:p>
    <w:p>
      <w:pPr>
        <w:spacing w:after="0" w:line="117" w:lineRule="exact"/>
        <w:rPr>
          <w:sz w:val="20"/>
          <w:szCs w:val="20"/>
          <w:color w:val="auto"/>
        </w:rPr>
      </w:pPr>
    </w:p>
    <w:p>
      <w:pPr>
        <w:ind w:left="520"/>
        <w:spacing w:after="0"/>
        <w:rPr>
          <w:sz w:val="20"/>
          <w:szCs w:val="20"/>
          <w:color w:val="auto"/>
        </w:rPr>
      </w:pPr>
      <w:r>
        <w:rPr>
          <w:rFonts w:ascii="Arial" w:cs="Arial" w:eastAsia="Arial" w:hAnsi="Arial"/>
          <w:sz w:val="18"/>
          <w:szCs w:val="18"/>
          <w:color w:val="auto"/>
        </w:rPr>
        <w:t>Comcast of Western Colorado, Inc.</w:t>
      </w:r>
    </w:p>
    <w:p>
      <w:pPr>
        <w:spacing w:after="0" w:line="117" w:lineRule="exact"/>
        <w:rPr>
          <w:sz w:val="20"/>
          <w:szCs w:val="20"/>
          <w:color w:val="auto"/>
        </w:rPr>
      </w:pPr>
    </w:p>
    <w:p>
      <w:pPr>
        <w:ind w:left="520"/>
        <w:spacing w:after="0"/>
        <w:rPr>
          <w:sz w:val="20"/>
          <w:szCs w:val="20"/>
          <w:color w:val="auto"/>
        </w:rPr>
      </w:pPr>
      <w:r>
        <w:rPr>
          <w:rFonts w:ascii="Arial" w:cs="Arial" w:eastAsia="Arial" w:hAnsi="Arial"/>
          <w:sz w:val="18"/>
          <w:szCs w:val="18"/>
          <w:color w:val="auto"/>
        </w:rPr>
        <w:t>Comcast of Wildwood, LLC</w:t>
      </w:r>
    </w:p>
    <w:p>
      <w:pPr>
        <w:spacing w:after="0" w:line="117" w:lineRule="exact"/>
        <w:rPr>
          <w:sz w:val="20"/>
          <w:szCs w:val="20"/>
          <w:color w:val="auto"/>
        </w:rPr>
      </w:pPr>
    </w:p>
    <w:p>
      <w:pPr>
        <w:ind w:left="520"/>
        <w:spacing w:after="0"/>
        <w:rPr>
          <w:sz w:val="20"/>
          <w:szCs w:val="20"/>
          <w:color w:val="auto"/>
        </w:rPr>
      </w:pPr>
      <w:r>
        <w:rPr>
          <w:rFonts w:ascii="Arial" w:cs="Arial" w:eastAsia="Arial" w:hAnsi="Arial"/>
          <w:sz w:val="18"/>
          <w:szCs w:val="18"/>
          <w:color w:val="auto"/>
        </w:rPr>
        <w:t>Comcast of Willow Grove, Inc.</w:t>
      </w:r>
    </w:p>
    <w:p>
      <w:pPr>
        <w:spacing w:after="0" w:line="117" w:lineRule="exact"/>
        <w:rPr>
          <w:sz w:val="20"/>
          <w:szCs w:val="20"/>
          <w:color w:val="auto"/>
        </w:rPr>
      </w:pPr>
    </w:p>
    <w:p>
      <w:pPr>
        <w:ind w:left="520"/>
        <w:spacing w:after="0"/>
        <w:rPr>
          <w:sz w:val="20"/>
          <w:szCs w:val="20"/>
          <w:color w:val="auto"/>
        </w:rPr>
      </w:pPr>
      <w:r>
        <w:rPr>
          <w:rFonts w:ascii="Arial" w:cs="Arial" w:eastAsia="Arial" w:hAnsi="Arial"/>
          <w:sz w:val="18"/>
          <w:szCs w:val="18"/>
          <w:color w:val="auto"/>
        </w:rPr>
        <w:t>Comcast of Wisconsin, Inc.</w:t>
      </w:r>
    </w:p>
    <w:p>
      <w:pPr>
        <w:spacing w:after="0" w:line="117" w:lineRule="exact"/>
        <w:rPr>
          <w:sz w:val="20"/>
          <w:szCs w:val="20"/>
          <w:color w:val="auto"/>
        </w:rPr>
      </w:pPr>
    </w:p>
    <w:p>
      <w:pPr>
        <w:ind w:left="520"/>
        <w:spacing w:after="0"/>
        <w:rPr>
          <w:sz w:val="20"/>
          <w:szCs w:val="20"/>
          <w:color w:val="auto"/>
        </w:rPr>
      </w:pPr>
      <w:r>
        <w:rPr>
          <w:rFonts w:ascii="Arial" w:cs="Arial" w:eastAsia="Arial" w:hAnsi="Arial"/>
          <w:sz w:val="18"/>
          <w:szCs w:val="18"/>
          <w:color w:val="auto"/>
        </w:rPr>
        <w:t>Comcast of Wyoming I, Inc.</w:t>
      </w:r>
    </w:p>
    <w:p>
      <w:pPr>
        <w:spacing w:after="0" w:line="117" w:lineRule="exact"/>
        <w:rPr>
          <w:sz w:val="20"/>
          <w:szCs w:val="20"/>
          <w:color w:val="auto"/>
        </w:rPr>
      </w:pPr>
    </w:p>
    <w:p>
      <w:pPr>
        <w:ind w:left="520"/>
        <w:spacing w:after="0"/>
        <w:rPr>
          <w:sz w:val="20"/>
          <w:szCs w:val="20"/>
          <w:color w:val="auto"/>
        </w:rPr>
      </w:pPr>
      <w:r>
        <w:rPr>
          <w:rFonts w:ascii="Arial" w:cs="Arial" w:eastAsia="Arial" w:hAnsi="Arial"/>
          <w:sz w:val="18"/>
          <w:szCs w:val="18"/>
          <w:color w:val="auto"/>
        </w:rPr>
        <w:t>Comcast of Wyoming II, Inc.</w:t>
      </w:r>
    </w:p>
    <w:p>
      <w:pPr>
        <w:spacing w:after="0" w:line="117" w:lineRule="exact"/>
        <w:rPr>
          <w:sz w:val="20"/>
          <w:szCs w:val="20"/>
          <w:color w:val="auto"/>
        </w:rPr>
      </w:pPr>
    </w:p>
    <w:p>
      <w:pPr>
        <w:ind w:left="520"/>
        <w:spacing w:after="0"/>
        <w:rPr>
          <w:sz w:val="20"/>
          <w:szCs w:val="20"/>
          <w:color w:val="auto"/>
        </w:rPr>
      </w:pPr>
      <w:r>
        <w:rPr>
          <w:rFonts w:ascii="Arial" w:cs="Arial" w:eastAsia="Arial" w:hAnsi="Arial"/>
          <w:sz w:val="18"/>
          <w:szCs w:val="18"/>
          <w:color w:val="auto"/>
        </w:rPr>
        <w:t>Comcast of Wyoming, LLC</w:t>
      </w:r>
    </w:p>
    <w:p>
      <w:pPr>
        <w:spacing w:after="0" w:line="117" w:lineRule="exact"/>
        <w:rPr>
          <w:sz w:val="20"/>
          <w:szCs w:val="20"/>
          <w:color w:val="auto"/>
        </w:rPr>
      </w:pPr>
    </w:p>
    <w:p>
      <w:pPr>
        <w:ind w:left="520"/>
        <w:spacing w:after="0"/>
        <w:rPr>
          <w:sz w:val="20"/>
          <w:szCs w:val="20"/>
          <w:color w:val="auto"/>
        </w:rPr>
      </w:pPr>
      <w:r>
        <w:rPr>
          <w:rFonts w:ascii="Arial" w:cs="Arial" w:eastAsia="Arial" w:hAnsi="Arial"/>
          <w:sz w:val="18"/>
          <w:szCs w:val="18"/>
          <w:color w:val="auto"/>
        </w:rPr>
        <w:t>Comcast Palm Beach GP, LLC</w:t>
      </w:r>
    </w:p>
    <w:p>
      <w:pPr>
        <w:spacing w:after="0" w:line="117" w:lineRule="exact"/>
        <w:rPr>
          <w:sz w:val="20"/>
          <w:szCs w:val="20"/>
          <w:color w:val="auto"/>
        </w:rPr>
      </w:pPr>
    </w:p>
    <w:p>
      <w:pPr>
        <w:ind w:left="520"/>
        <w:spacing w:after="0"/>
        <w:rPr>
          <w:sz w:val="20"/>
          <w:szCs w:val="20"/>
          <w:color w:val="auto"/>
        </w:rPr>
      </w:pPr>
      <w:r>
        <w:rPr>
          <w:rFonts w:ascii="Arial" w:cs="Arial" w:eastAsia="Arial" w:hAnsi="Arial"/>
          <w:sz w:val="18"/>
          <w:szCs w:val="18"/>
          <w:color w:val="auto"/>
        </w:rPr>
        <w:t>Comcast PC Communications, Inc.</w:t>
      </w:r>
    </w:p>
    <w:p>
      <w:pPr>
        <w:spacing w:after="0" w:line="117" w:lineRule="exact"/>
        <w:rPr>
          <w:sz w:val="20"/>
          <w:szCs w:val="20"/>
          <w:color w:val="auto"/>
        </w:rPr>
      </w:pPr>
    </w:p>
    <w:p>
      <w:pPr>
        <w:ind w:left="520"/>
        <w:spacing w:after="0"/>
        <w:rPr>
          <w:sz w:val="20"/>
          <w:szCs w:val="20"/>
          <w:color w:val="auto"/>
        </w:rPr>
      </w:pPr>
      <w:r>
        <w:rPr>
          <w:rFonts w:ascii="Arial" w:cs="Arial" w:eastAsia="Arial" w:hAnsi="Arial"/>
          <w:sz w:val="18"/>
          <w:szCs w:val="18"/>
          <w:color w:val="auto"/>
        </w:rPr>
        <w:t>Comcast PC Investments, Inc.</w:t>
      </w:r>
    </w:p>
    <w:p>
      <w:pPr>
        <w:spacing w:after="0" w:line="117" w:lineRule="exact"/>
        <w:rPr>
          <w:sz w:val="20"/>
          <w:szCs w:val="20"/>
          <w:color w:val="auto"/>
        </w:rPr>
      </w:pPr>
    </w:p>
    <w:p>
      <w:pPr>
        <w:ind w:left="520"/>
        <w:spacing w:after="0"/>
        <w:rPr>
          <w:sz w:val="20"/>
          <w:szCs w:val="20"/>
          <w:color w:val="auto"/>
        </w:rPr>
      </w:pPr>
      <w:r>
        <w:rPr>
          <w:rFonts w:ascii="Arial" w:cs="Arial" w:eastAsia="Arial" w:hAnsi="Arial"/>
          <w:sz w:val="18"/>
          <w:szCs w:val="18"/>
          <w:color w:val="auto"/>
        </w:rPr>
        <w:t>Comcast Phone II, LLC</w:t>
      </w:r>
    </w:p>
    <w:p>
      <w:pPr>
        <w:spacing w:after="0" w:line="117" w:lineRule="exact"/>
        <w:rPr>
          <w:sz w:val="20"/>
          <w:szCs w:val="20"/>
          <w:color w:val="auto"/>
        </w:rPr>
      </w:pPr>
    </w:p>
    <w:p>
      <w:pPr>
        <w:ind w:left="520"/>
        <w:spacing w:after="0"/>
        <w:rPr>
          <w:sz w:val="20"/>
          <w:szCs w:val="20"/>
          <w:color w:val="auto"/>
        </w:rPr>
      </w:pPr>
      <w:r>
        <w:rPr>
          <w:rFonts w:ascii="Arial" w:cs="Arial" w:eastAsia="Arial" w:hAnsi="Arial"/>
          <w:sz w:val="18"/>
          <w:szCs w:val="18"/>
          <w:color w:val="auto"/>
        </w:rPr>
        <w:t>Comcast Phone Management, LLC</w:t>
      </w:r>
    </w:p>
    <w:p>
      <w:pPr>
        <w:spacing w:after="0" w:line="117" w:lineRule="exact"/>
        <w:rPr>
          <w:sz w:val="20"/>
          <w:szCs w:val="20"/>
          <w:color w:val="auto"/>
        </w:rPr>
      </w:pPr>
    </w:p>
    <w:p>
      <w:pPr>
        <w:ind w:left="520"/>
        <w:spacing w:after="0"/>
        <w:rPr>
          <w:sz w:val="20"/>
          <w:szCs w:val="20"/>
          <w:color w:val="auto"/>
        </w:rPr>
      </w:pPr>
      <w:r>
        <w:rPr>
          <w:rFonts w:ascii="Arial" w:cs="Arial" w:eastAsia="Arial" w:hAnsi="Arial"/>
          <w:sz w:val="18"/>
          <w:szCs w:val="18"/>
          <w:color w:val="auto"/>
        </w:rPr>
        <w:t>Comcast Phone of Alabama, LLC</w:t>
      </w:r>
    </w:p>
    <w:p>
      <w:pPr>
        <w:spacing w:after="0" w:line="117" w:lineRule="exact"/>
        <w:rPr>
          <w:sz w:val="20"/>
          <w:szCs w:val="20"/>
          <w:color w:val="auto"/>
        </w:rPr>
      </w:pPr>
    </w:p>
    <w:p>
      <w:pPr>
        <w:ind w:left="520"/>
        <w:spacing w:after="0"/>
        <w:rPr>
          <w:sz w:val="20"/>
          <w:szCs w:val="20"/>
          <w:color w:val="auto"/>
        </w:rPr>
      </w:pPr>
      <w:r>
        <w:rPr>
          <w:rFonts w:ascii="Arial" w:cs="Arial" w:eastAsia="Arial" w:hAnsi="Arial"/>
          <w:sz w:val="18"/>
          <w:szCs w:val="18"/>
          <w:color w:val="auto"/>
        </w:rPr>
        <w:t>Comcast Phone of Arizona, LLC</w:t>
      </w:r>
    </w:p>
    <w:p>
      <w:pPr>
        <w:spacing w:after="0" w:line="117" w:lineRule="exact"/>
        <w:rPr>
          <w:sz w:val="20"/>
          <w:szCs w:val="20"/>
          <w:color w:val="auto"/>
        </w:rPr>
      </w:pPr>
    </w:p>
    <w:p>
      <w:pPr>
        <w:ind w:left="520"/>
        <w:spacing w:after="0"/>
        <w:rPr>
          <w:sz w:val="20"/>
          <w:szCs w:val="20"/>
          <w:color w:val="auto"/>
        </w:rPr>
      </w:pPr>
      <w:r>
        <w:rPr>
          <w:rFonts w:ascii="Arial" w:cs="Arial" w:eastAsia="Arial" w:hAnsi="Arial"/>
          <w:sz w:val="18"/>
          <w:szCs w:val="18"/>
          <w:color w:val="auto"/>
        </w:rPr>
        <w:t>Comcast Phone of Arkansas, LLC</w:t>
      </w:r>
    </w:p>
    <w:p>
      <w:pPr>
        <w:spacing w:after="0" w:line="117" w:lineRule="exact"/>
        <w:rPr>
          <w:sz w:val="20"/>
          <w:szCs w:val="20"/>
          <w:color w:val="auto"/>
        </w:rPr>
      </w:pPr>
    </w:p>
    <w:p>
      <w:pPr>
        <w:ind w:left="520"/>
        <w:spacing w:after="0"/>
        <w:rPr>
          <w:sz w:val="20"/>
          <w:szCs w:val="20"/>
          <w:color w:val="auto"/>
        </w:rPr>
      </w:pPr>
      <w:r>
        <w:rPr>
          <w:rFonts w:ascii="Arial" w:cs="Arial" w:eastAsia="Arial" w:hAnsi="Arial"/>
          <w:sz w:val="18"/>
          <w:szCs w:val="18"/>
          <w:color w:val="auto"/>
        </w:rPr>
        <w:t>Comcast Phone of California, LLC</w:t>
      </w:r>
    </w:p>
    <w:p>
      <w:pPr>
        <w:spacing w:after="0" w:line="117" w:lineRule="exact"/>
        <w:rPr>
          <w:sz w:val="20"/>
          <w:szCs w:val="20"/>
          <w:color w:val="auto"/>
        </w:rPr>
      </w:pPr>
    </w:p>
    <w:p>
      <w:pPr>
        <w:ind w:left="520"/>
        <w:spacing w:after="0"/>
        <w:rPr>
          <w:sz w:val="20"/>
          <w:szCs w:val="20"/>
          <w:color w:val="auto"/>
        </w:rPr>
      </w:pPr>
      <w:r>
        <w:rPr>
          <w:rFonts w:ascii="Arial" w:cs="Arial" w:eastAsia="Arial" w:hAnsi="Arial"/>
          <w:sz w:val="18"/>
          <w:szCs w:val="18"/>
          <w:color w:val="auto"/>
        </w:rPr>
        <w:t>Comcast Phone of Central Indiana, LLC</w:t>
      </w:r>
    </w:p>
    <w:p>
      <w:pPr>
        <w:spacing w:after="0" w:line="117" w:lineRule="exact"/>
        <w:rPr>
          <w:sz w:val="20"/>
          <w:szCs w:val="20"/>
          <w:color w:val="auto"/>
        </w:rPr>
      </w:pPr>
    </w:p>
    <w:p>
      <w:pPr>
        <w:ind w:left="520"/>
        <w:spacing w:after="0"/>
        <w:rPr>
          <w:sz w:val="20"/>
          <w:szCs w:val="20"/>
          <w:color w:val="auto"/>
        </w:rPr>
      </w:pPr>
      <w:r>
        <w:rPr>
          <w:rFonts w:ascii="Arial" w:cs="Arial" w:eastAsia="Arial" w:hAnsi="Arial"/>
          <w:sz w:val="18"/>
          <w:szCs w:val="18"/>
          <w:color w:val="auto"/>
        </w:rPr>
        <w:t>Comcast Phone of Colorado, LLC</w:t>
      </w:r>
    </w:p>
    <w:p>
      <w:pPr>
        <w:spacing w:after="0" w:line="117" w:lineRule="exact"/>
        <w:rPr>
          <w:sz w:val="20"/>
          <w:szCs w:val="20"/>
          <w:color w:val="auto"/>
        </w:rPr>
      </w:pPr>
    </w:p>
    <w:p>
      <w:pPr>
        <w:ind w:left="520"/>
        <w:spacing w:after="0"/>
        <w:rPr>
          <w:sz w:val="20"/>
          <w:szCs w:val="20"/>
          <w:color w:val="auto"/>
        </w:rPr>
      </w:pPr>
      <w:r>
        <w:rPr>
          <w:rFonts w:ascii="Arial" w:cs="Arial" w:eastAsia="Arial" w:hAnsi="Arial"/>
          <w:sz w:val="18"/>
          <w:szCs w:val="18"/>
          <w:color w:val="auto"/>
        </w:rPr>
        <w:t>Comcast Phone of Connecticut, Inc.</w:t>
      </w:r>
    </w:p>
    <w:p>
      <w:pPr>
        <w:spacing w:after="0" w:line="117" w:lineRule="exact"/>
        <w:rPr>
          <w:sz w:val="20"/>
          <w:szCs w:val="20"/>
          <w:color w:val="auto"/>
        </w:rPr>
      </w:pPr>
    </w:p>
    <w:p>
      <w:pPr>
        <w:ind w:left="520"/>
        <w:spacing w:after="0"/>
        <w:rPr>
          <w:sz w:val="20"/>
          <w:szCs w:val="20"/>
          <w:color w:val="auto"/>
        </w:rPr>
      </w:pPr>
      <w:r>
        <w:rPr>
          <w:rFonts w:ascii="Arial" w:cs="Arial" w:eastAsia="Arial" w:hAnsi="Arial"/>
          <w:sz w:val="18"/>
          <w:szCs w:val="18"/>
          <w:color w:val="auto"/>
        </w:rPr>
        <w:t>Comcast Phone of D.C., LLC</w:t>
      </w:r>
    </w:p>
    <w:p>
      <w:pPr>
        <w:spacing w:after="0" w:line="117" w:lineRule="exact"/>
        <w:rPr>
          <w:sz w:val="20"/>
          <w:szCs w:val="20"/>
          <w:color w:val="auto"/>
        </w:rPr>
      </w:pPr>
    </w:p>
    <w:p>
      <w:pPr>
        <w:ind w:left="520"/>
        <w:spacing w:after="0"/>
        <w:rPr>
          <w:sz w:val="20"/>
          <w:szCs w:val="20"/>
          <w:color w:val="auto"/>
        </w:rPr>
      </w:pPr>
      <w:r>
        <w:rPr>
          <w:rFonts w:ascii="Arial" w:cs="Arial" w:eastAsia="Arial" w:hAnsi="Arial"/>
          <w:sz w:val="18"/>
          <w:szCs w:val="18"/>
          <w:color w:val="auto"/>
        </w:rPr>
        <w:t>Comcast Phone of Delaware, LLC</w:t>
      </w:r>
    </w:p>
    <w:p>
      <w:pPr>
        <w:spacing w:after="0" w:line="117" w:lineRule="exact"/>
        <w:rPr>
          <w:sz w:val="20"/>
          <w:szCs w:val="20"/>
          <w:color w:val="auto"/>
        </w:rPr>
      </w:pPr>
    </w:p>
    <w:p>
      <w:pPr>
        <w:ind w:left="520"/>
        <w:spacing w:after="0"/>
        <w:rPr>
          <w:sz w:val="20"/>
          <w:szCs w:val="20"/>
          <w:color w:val="auto"/>
        </w:rPr>
      </w:pPr>
      <w:r>
        <w:rPr>
          <w:rFonts w:ascii="Arial" w:cs="Arial" w:eastAsia="Arial" w:hAnsi="Arial"/>
          <w:sz w:val="18"/>
          <w:szCs w:val="18"/>
          <w:color w:val="auto"/>
        </w:rPr>
        <w:t>Comcast Phone of Florida, LLC</w:t>
      </w:r>
    </w:p>
    <w:p>
      <w:pPr>
        <w:spacing w:after="0" w:line="117" w:lineRule="exact"/>
        <w:rPr>
          <w:sz w:val="20"/>
          <w:szCs w:val="20"/>
          <w:color w:val="auto"/>
        </w:rPr>
      </w:pPr>
    </w:p>
    <w:p>
      <w:pPr>
        <w:ind w:left="520"/>
        <w:spacing w:after="0"/>
        <w:rPr>
          <w:sz w:val="20"/>
          <w:szCs w:val="20"/>
          <w:color w:val="auto"/>
        </w:rPr>
      </w:pPr>
      <w:r>
        <w:rPr>
          <w:rFonts w:ascii="Arial" w:cs="Arial" w:eastAsia="Arial" w:hAnsi="Arial"/>
          <w:sz w:val="18"/>
          <w:szCs w:val="18"/>
          <w:color w:val="auto"/>
        </w:rPr>
        <w:t>Comcast Phone of Georgia, LLC</w:t>
      </w:r>
    </w:p>
    <w:p>
      <w:pPr>
        <w:spacing w:after="0" w:line="117" w:lineRule="exact"/>
        <w:rPr>
          <w:sz w:val="20"/>
          <w:szCs w:val="20"/>
          <w:color w:val="auto"/>
        </w:rPr>
      </w:pPr>
    </w:p>
    <w:p>
      <w:pPr>
        <w:ind w:left="520"/>
        <w:spacing w:after="0"/>
        <w:rPr>
          <w:sz w:val="20"/>
          <w:szCs w:val="20"/>
          <w:color w:val="auto"/>
        </w:rPr>
      </w:pPr>
      <w:r>
        <w:rPr>
          <w:rFonts w:ascii="Arial" w:cs="Arial" w:eastAsia="Arial" w:hAnsi="Arial"/>
          <w:sz w:val="18"/>
          <w:szCs w:val="18"/>
          <w:color w:val="auto"/>
        </w:rPr>
        <w:t>Comcast Phone of Illinois, LLC</w:t>
      </w:r>
    </w:p>
    <w:p>
      <w:pPr>
        <w:spacing w:after="0" w:line="117" w:lineRule="exact"/>
        <w:rPr>
          <w:sz w:val="20"/>
          <w:szCs w:val="20"/>
          <w:color w:val="auto"/>
        </w:rPr>
      </w:pPr>
    </w:p>
    <w:p>
      <w:pPr>
        <w:ind w:left="520"/>
        <w:spacing w:after="0"/>
        <w:rPr>
          <w:sz w:val="20"/>
          <w:szCs w:val="20"/>
          <w:color w:val="auto"/>
        </w:rPr>
      </w:pPr>
      <w:r>
        <w:rPr>
          <w:rFonts w:ascii="Arial" w:cs="Arial" w:eastAsia="Arial" w:hAnsi="Arial"/>
          <w:sz w:val="18"/>
          <w:szCs w:val="18"/>
          <w:color w:val="auto"/>
        </w:rPr>
        <w:t>Comcast Phone of Kansas, LLC</w:t>
      </w:r>
    </w:p>
    <w:p>
      <w:pPr>
        <w:spacing w:after="0" w:line="117" w:lineRule="exact"/>
        <w:rPr>
          <w:sz w:val="20"/>
          <w:szCs w:val="20"/>
          <w:color w:val="auto"/>
        </w:rPr>
      </w:pPr>
    </w:p>
    <w:p>
      <w:pPr>
        <w:ind w:left="520"/>
        <w:spacing w:after="0"/>
        <w:rPr>
          <w:sz w:val="20"/>
          <w:szCs w:val="20"/>
          <w:color w:val="auto"/>
        </w:rPr>
      </w:pPr>
      <w:r>
        <w:rPr>
          <w:rFonts w:ascii="Arial" w:cs="Arial" w:eastAsia="Arial" w:hAnsi="Arial"/>
          <w:sz w:val="18"/>
          <w:szCs w:val="18"/>
          <w:color w:val="auto"/>
        </w:rPr>
        <w:t>Comcast Phone of Kentucky, LLC</w:t>
      </w:r>
    </w:p>
    <w:p>
      <w:pPr>
        <w:spacing w:after="0" w:line="117" w:lineRule="exact"/>
        <w:rPr>
          <w:sz w:val="20"/>
          <w:szCs w:val="20"/>
          <w:color w:val="auto"/>
        </w:rPr>
      </w:pPr>
    </w:p>
    <w:p>
      <w:pPr>
        <w:ind w:left="520"/>
        <w:spacing w:after="0"/>
        <w:rPr>
          <w:sz w:val="20"/>
          <w:szCs w:val="20"/>
          <w:color w:val="auto"/>
        </w:rPr>
      </w:pPr>
      <w:r>
        <w:rPr>
          <w:rFonts w:ascii="Arial" w:cs="Arial" w:eastAsia="Arial" w:hAnsi="Arial"/>
          <w:sz w:val="18"/>
          <w:szCs w:val="18"/>
          <w:color w:val="auto"/>
        </w:rPr>
        <w:t>Comcast Phone of Louisiana, LLC</w:t>
      </w:r>
    </w:p>
    <w:p>
      <w:pPr>
        <w:spacing w:after="0" w:line="117" w:lineRule="exact"/>
        <w:rPr>
          <w:sz w:val="20"/>
          <w:szCs w:val="20"/>
          <w:color w:val="auto"/>
        </w:rPr>
      </w:pPr>
    </w:p>
    <w:p>
      <w:pPr>
        <w:ind w:left="520"/>
        <w:spacing w:after="0"/>
        <w:rPr>
          <w:sz w:val="20"/>
          <w:szCs w:val="20"/>
          <w:color w:val="auto"/>
        </w:rPr>
      </w:pPr>
      <w:r>
        <w:rPr>
          <w:rFonts w:ascii="Arial" w:cs="Arial" w:eastAsia="Arial" w:hAnsi="Arial"/>
          <w:sz w:val="18"/>
          <w:szCs w:val="18"/>
          <w:color w:val="auto"/>
        </w:rPr>
        <w:t>Comcast Phone of Maine, LLC</w:t>
      </w:r>
    </w:p>
    <w:p>
      <w:pPr>
        <w:spacing w:after="0" w:line="117" w:lineRule="exact"/>
        <w:rPr>
          <w:sz w:val="20"/>
          <w:szCs w:val="20"/>
          <w:color w:val="auto"/>
        </w:rPr>
      </w:pPr>
    </w:p>
    <w:p>
      <w:pPr>
        <w:ind w:left="520"/>
        <w:spacing w:after="0"/>
        <w:rPr>
          <w:sz w:val="20"/>
          <w:szCs w:val="20"/>
          <w:color w:val="auto"/>
        </w:rPr>
      </w:pPr>
      <w:r>
        <w:rPr>
          <w:rFonts w:ascii="Arial" w:cs="Arial" w:eastAsia="Arial" w:hAnsi="Arial"/>
          <w:sz w:val="18"/>
          <w:szCs w:val="18"/>
          <w:color w:val="auto"/>
        </w:rPr>
        <w:t>Comcast Phone of Maryland, Inc.</w:t>
      </w:r>
    </w:p>
    <w:p>
      <w:pPr>
        <w:spacing w:after="0" w:line="117" w:lineRule="exact"/>
        <w:rPr>
          <w:sz w:val="20"/>
          <w:szCs w:val="20"/>
          <w:color w:val="auto"/>
        </w:rPr>
      </w:pPr>
    </w:p>
    <w:p>
      <w:pPr>
        <w:ind w:left="520"/>
        <w:spacing w:after="0"/>
        <w:rPr>
          <w:sz w:val="20"/>
          <w:szCs w:val="20"/>
          <w:color w:val="auto"/>
        </w:rPr>
      </w:pPr>
      <w:r>
        <w:rPr>
          <w:rFonts w:ascii="Arial" w:cs="Arial" w:eastAsia="Arial" w:hAnsi="Arial"/>
          <w:sz w:val="18"/>
          <w:szCs w:val="18"/>
          <w:color w:val="auto"/>
        </w:rPr>
        <w:t>Comcast Phone of Massachusetts, Inc.</w:t>
      </w:r>
    </w:p>
    <w:p>
      <w:pPr>
        <w:spacing w:after="0" w:line="117" w:lineRule="exact"/>
        <w:rPr>
          <w:sz w:val="20"/>
          <w:szCs w:val="20"/>
          <w:color w:val="auto"/>
        </w:rPr>
      </w:pPr>
    </w:p>
    <w:p>
      <w:pPr>
        <w:ind w:left="520"/>
        <w:spacing w:after="0"/>
        <w:rPr>
          <w:sz w:val="20"/>
          <w:szCs w:val="20"/>
          <w:color w:val="auto"/>
        </w:rPr>
      </w:pPr>
      <w:r>
        <w:rPr>
          <w:rFonts w:ascii="Arial" w:cs="Arial" w:eastAsia="Arial" w:hAnsi="Arial"/>
          <w:sz w:val="18"/>
          <w:szCs w:val="18"/>
          <w:color w:val="auto"/>
        </w:rPr>
        <w:t>Comcast Phone of Michigan, LLC</w:t>
      </w:r>
    </w:p>
    <w:p>
      <w:pPr>
        <w:spacing w:after="0" w:line="117" w:lineRule="exact"/>
        <w:rPr>
          <w:sz w:val="20"/>
          <w:szCs w:val="20"/>
          <w:color w:val="auto"/>
        </w:rPr>
      </w:pPr>
    </w:p>
    <w:p>
      <w:pPr>
        <w:ind w:left="520"/>
        <w:spacing w:after="0"/>
        <w:rPr>
          <w:sz w:val="20"/>
          <w:szCs w:val="20"/>
          <w:color w:val="auto"/>
        </w:rPr>
      </w:pPr>
      <w:r>
        <w:rPr>
          <w:rFonts w:ascii="Arial" w:cs="Arial" w:eastAsia="Arial" w:hAnsi="Arial"/>
          <w:sz w:val="18"/>
          <w:szCs w:val="18"/>
          <w:color w:val="auto"/>
        </w:rPr>
        <w:t>Comcast Phone of Minnesota, Inc.</w:t>
      </w:r>
    </w:p>
    <w:p>
      <w:pPr>
        <w:spacing w:after="0" w:line="117" w:lineRule="exact"/>
        <w:rPr>
          <w:sz w:val="20"/>
          <w:szCs w:val="20"/>
          <w:color w:val="auto"/>
        </w:rPr>
      </w:pPr>
    </w:p>
    <w:p>
      <w:pPr>
        <w:ind w:left="520"/>
        <w:spacing w:after="0"/>
        <w:rPr>
          <w:sz w:val="20"/>
          <w:szCs w:val="20"/>
          <w:color w:val="auto"/>
        </w:rPr>
      </w:pPr>
      <w:r>
        <w:rPr>
          <w:rFonts w:ascii="Arial" w:cs="Arial" w:eastAsia="Arial" w:hAnsi="Arial"/>
          <w:sz w:val="18"/>
          <w:szCs w:val="18"/>
          <w:color w:val="auto"/>
        </w:rPr>
        <w:t>Comcast Phone of Mississippi, LLC</w:t>
      </w:r>
    </w:p>
    <w:p>
      <w:pPr>
        <w:spacing w:after="0" w:line="117" w:lineRule="exact"/>
        <w:rPr>
          <w:sz w:val="20"/>
          <w:szCs w:val="20"/>
          <w:color w:val="auto"/>
        </w:rPr>
      </w:pPr>
    </w:p>
    <w:p>
      <w:pPr>
        <w:ind w:left="520"/>
        <w:spacing w:after="0"/>
        <w:rPr>
          <w:sz w:val="20"/>
          <w:szCs w:val="20"/>
          <w:color w:val="auto"/>
        </w:rPr>
      </w:pPr>
      <w:r>
        <w:rPr>
          <w:rFonts w:ascii="Arial" w:cs="Arial" w:eastAsia="Arial" w:hAnsi="Arial"/>
          <w:sz w:val="18"/>
          <w:szCs w:val="18"/>
          <w:color w:val="auto"/>
        </w:rPr>
        <w:t>Comcast Phone of Missouri, LLC</w:t>
      </w:r>
    </w:p>
    <w:p>
      <w:pPr>
        <w:spacing w:after="0" w:line="117" w:lineRule="exact"/>
        <w:rPr>
          <w:sz w:val="20"/>
          <w:szCs w:val="20"/>
          <w:color w:val="auto"/>
        </w:rPr>
      </w:pPr>
    </w:p>
    <w:p>
      <w:pPr>
        <w:ind w:left="520"/>
        <w:spacing w:after="0"/>
        <w:rPr>
          <w:sz w:val="20"/>
          <w:szCs w:val="20"/>
          <w:color w:val="auto"/>
        </w:rPr>
      </w:pPr>
      <w:r>
        <w:rPr>
          <w:rFonts w:ascii="Arial" w:cs="Arial" w:eastAsia="Arial" w:hAnsi="Arial"/>
          <w:sz w:val="18"/>
          <w:szCs w:val="18"/>
          <w:color w:val="auto"/>
        </w:rPr>
        <w:t>Comcast Phone of New Hampshire, LLC</w:t>
      </w:r>
    </w:p>
    <w:p>
      <w:pPr>
        <w:spacing w:after="0" w:line="117" w:lineRule="exact"/>
        <w:rPr>
          <w:sz w:val="20"/>
          <w:szCs w:val="20"/>
          <w:color w:val="auto"/>
        </w:rPr>
      </w:pPr>
    </w:p>
    <w:p>
      <w:pPr>
        <w:ind w:left="520"/>
        <w:spacing w:after="0"/>
        <w:rPr>
          <w:sz w:val="20"/>
          <w:szCs w:val="20"/>
          <w:color w:val="auto"/>
        </w:rPr>
      </w:pPr>
      <w:r>
        <w:rPr>
          <w:rFonts w:ascii="Arial" w:cs="Arial" w:eastAsia="Arial" w:hAnsi="Arial"/>
          <w:sz w:val="18"/>
          <w:szCs w:val="18"/>
          <w:color w:val="auto"/>
        </w:rPr>
        <w:t>Comcast Phone of New Jersey, LLC</w:t>
      </w:r>
    </w:p>
    <w:p>
      <w:pPr>
        <w:spacing w:after="0" w:line="117" w:lineRule="exact"/>
        <w:rPr>
          <w:sz w:val="20"/>
          <w:szCs w:val="20"/>
          <w:color w:val="auto"/>
        </w:rPr>
      </w:pPr>
    </w:p>
    <w:p>
      <w:pPr>
        <w:ind w:left="520"/>
        <w:spacing w:after="0"/>
        <w:rPr>
          <w:sz w:val="20"/>
          <w:szCs w:val="20"/>
          <w:color w:val="auto"/>
        </w:rPr>
      </w:pPr>
      <w:r>
        <w:rPr>
          <w:rFonts w:ascii="Arial" w:cs="Arial" w:eastAsia="Arial" w:hAnsi="Arial"/>
          <w:sz w:val="18"/>
          <w:szCs w:val="18"/>
          <w:color w:val="auto"/>
        </w:rPr>
        <w:t>Comcast Phone of New Mexico, LLC</w:t>
      </w:r>
    </w:p>
    <w:p>
      <w:pPr>
        <w:spacing w:after="0" w:line="117" w:lineRule="exact"/>
        <w:rPr>
          <w:sz w:val="20"/>
          <w:szCs w:val="20"/>
          <w:color w:val="auto"/>
        </w:rPr>
      </w:pPr>
    </w:p>
    <w:p>
      <w:pPr>
        <w:ind w:left="520"/>
        <w:spacing w:after="0"/>
        <w:rPr>
          <w:sz w:val="20"/>
          <w:szCs w:val="20"/>
          <w:color w:val="auto"/>
        </w:rPr>
      </w:pPr>
      <w:r>
        <w:rPr>
          <w:rFonts w:ascii="Arial" w:cs="Arial" w:eastAsia="Arial" w:hAnsi="Arial"/>
          <w:sz w:val="18"/>
          <w:szCs w:val="18"/>
          <w:color w:val="auto"/>
        </w:rPr>
        <w:t>Comcast Phone of New York, LLC</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Arial" w:cs="Arial" w:eastAsia="Arial" w:hAnsi="Arial"/>
          <w:sz w:val="18"/>
          <w:szCs w:val="18"/>
          <w:color w:val="auto"/>
        </w:rPr>
        <w:t>UT</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color w:val="auto"/>
        </w:rPr>
        <w:t>WA</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color w:val="auto"/>
        </w:rPr>
        <w:t>WA</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color w:val="auto"/>
        </w:rPr>
        <w:t>WA</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color w:val="auto"/>
        </w:rPr>
        <w:t>WA</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color w:val="auto"/>
        </w:rPr>
        <w:t>DE</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color w:val="auto"/>
        </w:rPr>
        <w:t>DE</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color w:val="auto"/>
        </w:rPr>
        <w:t>WA</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color w:val="auto"/>
        </w:rPr>
        <w:t>DE</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color w:val="auto"/>
        </w:rPr>
        <w:t>DE</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color w:val="auto"/>
        </w:rPr>
        <w:t>DE</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color w:val="auto"/>
        </w:rPr>
        <w:t>DE</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color w:val="auto"/>
        </w:rPr>
        <w:t>CO</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color w:val="auto"/>
        </w:rPr>
        <w:t>DE</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color w:val="auto"/>
        </w:rPr>
        <w:t>PA</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color w:val="auto"/>
        </w:rPr>
        <w:t>CO</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color w:val="auto"/>
        </w:rPr>
        <w:t>FL</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color w:val="auto"/>
        </w:rPr>
        <w:t>WY</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color w:val="auto"/>
        </w:rPr>
        <w:t>DE</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color w:val="auto"/>
        </w:rPr>
        <w:t>DE</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color w:val="auto"/>
        </w:rPr>
        <w:t>DE</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color w:val="auto"/>
        </w:rPr>
        <w:t>DE</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color w:val="auto"/>
        </w:rPr>
        <w:t>DE</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color w:val="auto"/>
        </w:rPr>
        <w:t>DE</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color w:val="auto"/>
        </w:rPr>
        <w:t>DE</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color w:val="auto"/>
        </w:rPr>
        <w:t>DE</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color w:val="auto"/>
        </w:rPr>
        <w:t>DE</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color w:val="auto"/>
        </w:rPr>
        <w:t>DE</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color w:val="auto"/>
        </w:rPr>
        <w:t>DE</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color w:val="auto"/>
        </w:rPr>
        <w:t>DE</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color w:val="auto"/>
        </w:rPr>
        <w:t>CO</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color w:val="auto"/>
        </w:rPr>
        <w:t>DE</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color w:val="auto"/>
        </w:rPr>
        <w:t>DE</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color w:val="auto"/>
        </w:rPr>
        <w:t>DE</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color w:val="auto"/>
        </w:rPr>
        <w:t>CO</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color w:val="auto"/>
        </w:rPr>
        <w:t>DE</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color w:val="auto"/>
        </w:rPr>
        <w:t>DE</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color w:val="auto"/>
        </w:rPr>
        <w:t>DE</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color w:val="auto"/>
        </w:rPr>
        <w:t>DE</w:t>
      </w:r>
    </w:p>
    <w:p>
      <w:pPr>
        <w:spacing w:after="0" w:line="117" w:lineRule="exact"/>
        <w:rPr>
          <w:sz w:val="20"/>
          <w:szCs w:val="20"/>
          <w:color w:val="auto"/>
        </w:rPr>
      </w:pPr>
    </w:p>
    <w:p>
      <w:pPr>
        <w:ind w:left="80"/>
        <w:spacing w:after="0"/>
        <w:rPr>
          <w:sz w:val="20"/>
          <w:szCs w:val="20"/>
          <w:color w:val="auto"/>
        </w:rPr>
      </w:pPr>
      <w:r>
        <w:rPr>
          <w:rFonts w:ascii="Arial" w:cs="Arial" w:eastAsia="Arial" w:hAnsi="Arial"/>
          <w:sz w:val="15"/>
          <w:szCs w:val="15"/>
          <w:color w:val="auto"/>
        </w:rPr>
        <w:t>DE</w:t>
      </w:r>
    </w:p>
    <w:p>
      <w:pPr>
        <w:spacing w:after="0" w:line="152" w:lineRule="exact"/>
        <w:rPr>
          <w:sz w:val="20"/>
          <w:szCs w:val="20"/>
          <w:color w:val="auto"/>
        </w:rPr>
      </w:pPr>
    </w:p>
    <w:p>
      <w:pPr>
        <w:ind w:left="60"/>
        <w:spacing w:after="0"/>
        <w:rPr>
          <w:sz w:val="20"/>
          <w:szCs w:val="20"/>
          <w:color w:val="auto"/>
        </w:rPr>
      </w:pPr>
      <w:r>
        <w:rPr>
          <w:rFonts w:ascii="Arial" w:cs="Arial" w:eastAsia="Arial" w:hAnsi="Arial"/>
          <w:sz w:val="16"/>
          <w:szCs w:val="16"/>
          <w:color w:val="auto"/>
        </w:rPr>
        <w:t>CO</w:t>
      </w:r>
    </w:p>
    <w:p>
      <w:pPr>
        <w:spacing w:after="0" w:line="140" w:lineRule="exact"/>
        <w:rPr>
          <w:sz w:val="20"/>
          <w:szCs w:val="20"/>
          <w:color w:val="auto"/>
        </w:rPr>
      </w:pPr>
    </w:p>
    <w:p>
      <w:pPr>
        <w:ind w:left="80"/>
        <w:spacing w:after="0"/>
        <w:rPr>
          <w:sz w:val="20"/>
          <w:szCs w:val="20"/>
          <w:color w:val="auto"/>
        </w:rPr>
      </w:pPr>
      <w:r>
        <w:rPr>
          <w:rFonts w:ascii="Arial" w:cs="Arial" w:eastAsia="Arial" w:hAnsi="Arial"/>
          <w:sz w:val="15"/>
          <w:szCs w:val="15"/>
          <w:color w:val="auto"/>
        </w:rPr>
        <w:t>DE</w:t>
      </w:r>
    </w:p>
    <w:p>
      <w:pPr>
        <w:spacing w:after="0" w:line="152" w:lineRule="exact"/>
        <w:rPr>
          <w:sz w:val="20"/>
          <w:szCs w:val="20"/>
          <w:color w:val="auto"/>
        </w:rPr>
      </w:pPr>
    </w:p>
    <w:p>
      <w:pPr>
        <w:ind w:left="80"/>
        <w:spacing w:after="0"/>
        <w:rPr>
          <w:sz w:val="20"/>
          <w:szCs w:val="20"/>
          <w:color w:val="auto"/>
        </w:rPr>
      </w:pPr>
      <w:r>
        <w:rPr>
          <w:rFonts w:ascii="Arial" w:cs="Arial" w:eastAsia="Arial" w:hAnsi="Arial"/>
          <w:sz w:val="15"/>
          <w:szCs w:val="15"/>
          <w:color w:val="auto"/>
        </w:rPr>
        <w:t>DE</w:t>
      </w:r>
    </w:p>
    <w:p>
      <w:pPr>
        <w:spacing w:after="0" w:line="152" w:lineRule="exact"/>
        <w:rPr>
          <w:sz w:val="20"/>
          <w:szCs w:val="20"/>
          <w:color w:val="auto"/>
        </w:rPr>
      </w:pPr>
    </w:p>
    <w:p>
      <w:pPr>
        <w:ind w:left="20"/>
        <w:spacing w:after="0"/>
        <w:rPr>
          <w:sz w:val="20"/>
          <w:szCs w:val="20"/>
          <w:color w:val="auto"/>
        </w:rPr>
      </w:pPr>
      <w:r>
        <w:rPr>
          <w:rFonts w:ascii="Arial" w:cs="Arial" w:eastAsia="Arial" w:hAnsi="Arial"/>
          <w:sz w:val="18"/>
          <w:szCs w:val="18"/>
          <w:color w:val="auto"/>
        </w:rPr>
        <w:t>MN</w:t>
      </w:r>
    </w:p>
    <w:p>
      <w:pPr>
        <w:spacing w:after="0" w:line="117" w:lineRule="exact"/>
        <w:rPr>
          <w:sz w:val="20"/>
          <w:szCs w:val="20"/>
          <w:color w:val="auto"/>
        </w:rPr>
      </w:pPr>
    </w:p>
    <w:p>
      <w:pPr>
        <w:ind w:left="80"/>
        <w:spacing w:after="0"/>
        <w:rPr>
          <w:sz w:val="20"/>
          <w:szCs w:val="20"/>
          <w:color w:val="auto"/>
        </w:rPr>
      </w:pPr>
      <w:r>
        <w:rPr>
          <w:rFonts w:ascii="Arial" w:cs="Arial" w:eastAsia="Arial" w:hAnsi="Arial"/>
          <w:sz w:val="15"/>
          <w:szCs w:val="15"/>
          <w:color w:val="auto"/>
        </w:rPr>
        <w:t>DE</w:t>
      </w:r>
    </w:p>
    <w:p>
      <w:pPr>
        <w:spacing w:after="0" w:line="152" w:lineRule="exact"/>
        <w:rPr>
          <w:sz w:val="20"/>
          <w:szCs w:val="20"/>
          <w:color w:val="auto"/>
        </w:rPr>
      </w:pPr>
    </w:p>
    <w:p>
      <w:pPr>
        <w:ind w:left="80"/>
        <w:spacing w:after="0"/>
        <w:rPr>
          <w:sz w:val="20"/>
          <w:szCs w:val="20"/>
          <w:color w:val="auto"/>
        </w:rPr>
      </w:pPr>
      <w:r>
        <w:rPr>
          <w:rFonts w:ascii="Arial" w:cs="Arial" w:eastAsia="Arial" w:hAnsi="Arial"/>
          <w:sz w:val="15"/>
          <w:szCs w:val="15"/>
          <w:color w:val="auto"/>
        </w:rPr>
        <w:t>DE</w:t>
      </w:r>
    </w:p>
    <w:p>
      <w:pPr>
        <w:spacing w:after="0" w:line="152" w:lineRule="exact"/>
        <w:rPr>
          <w:sz w:val="20"/>
          <w:szCs w:val="20"/>
          <w:color w:val="auto"/>
        </w:rPr>
      </w:pPr>
    </w:p>
    <w:p>
      <w:pPr>
        <w:ind w:left="80"/>
        <w:spacing w:after="0"/>
        <w:rPr>
          <w:sz w:val="20"/>
          <w:szCs w:val="20"/>
          <w:color w:val="auto"/>
        </w:rPr>
      </w:pPr>
      <w:r>
        <w:rPr>
          <w:rFonts w:ascii="Arial" w:cs="Arial" w:eastAsia="Arial" w:hAnsi="Arial"/>
          <w:sz w:val="15"/>
          <w:szCs w:val="15"/>
          <w:color w:val="auto"/>
        </w:rPr>
        <w:t>DE</w:t>
      </w:r>
    </w:p>
    <w:p>
      <w:pPr>
        <w:spacing w:after="0" w:line="152" w:lineRule="exact"/>
        <w:rPr>
          <w:sz w:val="20"/>
          <w:szCs w:val="20"/>
          <w:color w:val="auto"/>
        </w:rPr>
      </w:pPr>
    </w:p>
    <w:p>
      <w:pPr>
        <w:ind w:left="80"/>
        <w:spacing w:after="0"/>
        <w:rPr>
          <w:sz w:val="20"/>
          <w:szCs w:val="20"/>
          <w:color w:val="auto"/>
        </w:rPr>
      </w:pPr>
      <w:r>
        <w:rPr>
          <w:rFonts w:ascii="Arial" w:cs="Arial" w:eastAsia="Arial" w:hAnsi="Arial"/>
          <w:sz w:val="15"/>
          <w:szCs w:val="15"/>
          <w:color w:val="auto"/>
        </w:rPr>
        <w:t>DE</w:t>
      </w:r>
    </w:p>
    <w:p>
      <w:pPr>
        <w:spacing w:after="0" w:line="152" w:lineRule="exact"/>
        <w:rPr>
          <w:sz w:val="20"/>
          <w:szCs w:val="20"/>
          <w:color w:val="auto"/>
        </w:rPr>
      </w:pPr>
    </w:p>
    <w:p>
      <w:pPr>
        <w:ind w:left="80"/>
        <w:spacing w:after="0"/>
        <w:rPr>
          <w:sz w:val="20"/>
          <w:szCs w:val="20"/>
          <w:color w:val="auto"/>
        </w:rPr>
      </w:pPr>
      <w:r>
        <w:rPr>
          <w:rFonts w:ascii="Arial" w:cs="Arial" w:eastAsia="Arial" w:hAnsi="Arial"/>
          <w:sz w:val="15"/>
          <w:szCs w:val="15"/>
          <w:color w:val="auto"/>
        </w:rPr>
        <w:t>DE</w:t>
      </w:r>
    </w:p>
    <w:p>
      <w:pPr>
        <w:spacing w:after="0" w:line="152" w:lineRule="exact"/>
        <w:rPr>
          <w:sz w:val="20"/>
          <w:szCs w:val="20"/>
          <w:color w:val="auto"/>
        </w:rPr>
      </w:pPr>
    </w:p>
    <w:p>
      <w:pPr>
        <w:ind w:left="80"/>
        <w:spacing w:after="0"/>
        <w:rPr>
          <w:sz w:val="20"/>
          <w:szCs w:val="20"/>
          <w:color w:val="auto"/>
        </w:rPr>
      </w:pPr>
      <w:r>
        <w:rPr>
          <w:rFonts w:ascii="Arial" w:cs="Arial" w:eastAsia="Arial" w:hAnsi="Arial"/>
          <w:sz w:val="15"/>
          <w:szCs w:val="15"/>
          <w:color w:val="auto"/>
        </w:rPr>
        <w:t>DE</w:t>
      </w:r>
    </w:p>
    <w:p>
      <w:pPr>
        <w:sectPr>
          <w:pgSz w:w="11900" w:h="16838" w:orient="portrait"/>
          <w:cols w:equalWidth="0" w:num="2">
            <w:col w:w="7480" w:space="720"/>
            <w:col w:w="819"/>
          </w:cols>
          <w:pgMar w:left="1440" w:top="388" w:right="1440" w:bottom="0" w:gutter="0" w:footer="0" w:header="0"/>
        </w:sectPr>
      </w:pPr>
    </w:p>
    <w:bookmarkStart w:id="180" w:name="page181"/>
    <w:bookmarkEnd w:id="180"/>
    <w:p>
      <w:pPr>
        <w:ind w:left="520"/>
        <w:spacing w:after="0"/>
        <w:tabs>
          <w:tab w:leader="none" w:pos="8260" w:val="left"/>
        </w:tabs>
        <w:rPr>
          <w:sz w:val="20"/>
          <w:szCs w:val="20"/>
          <w:color w:val="auto"/>
        </w:rPr>
      </w:pPr>
      <w:r>
        <w:rPr>
          <w:rFonts w:ascii="Arial" w:cs="Arial" w:eastAsia="Arial" w:hAnsi="Arial"/>
          <w:sz w:val="18"/>
          <w:szCs w:val="18"/>
          <w:color w:val="auto"/>
        </w:rPr>
        <w:t>Comcast Phone of North Carolina, LLC</w:t>
      </w:r>
      <w:r>
        <w:rPr>
          <w:sz w:val="20"/>
          <w:szCs w:val="20"/>
          <w:color w:val="auto"/>
        </w:rPr>
        <w:tab/>
      </w:r>
      <w:r>
        <w:rPr>
          <w:rFonts w:ascii="Arial" w:cs="Arial" w:eastAsia="Arial" w:hAnsi="Arial"/>
          <w:sz w:val="15"/>
          <w:szCs w:val="15"/>
          <w:color w:val="auto"/>
        </w:rPr>
        <w:t>DE</w:t>
      </w:r>
    </w:p>
    <w:p>
      <w:pPr>
        <w:sectPr>
          <w:pgSz w:w="11900" w:h="16838" w:orient="portrait"/>
          <w:cols w:equalWidth="0" w:num="1">
            <w:col w:w="9019"/>
          </w:cols>
          <w:pgMar w:left="1440" w:top="131" w:right="1440" w:bottom="1440" w:gutter="0" w:footer="0" w:header="0"/>
        </w:sectPr>
      </w:pPr>
    </w:p>
    <w:bookmarkStart w:id="181" w:name="page182"/>
    <w:bookmarkEnd w:id="181"/>
    <w:tbl>
      <w:tblPr>
        <w:tblLayout w:type="fixed"/>
        <w:tblInd w:w="520" w:type="dxa"/>
        <w:tblCellMar>
          <w:top w:w="0" w:type="dxa"/>
          <w:left w:w="0" w:type="dxa"/>
          <w:bottom w:w="0" w:type="dxa"/>
          <w:right w:w="0" w:type="dxa"/>
        </w:tblCellMar>
      </w:tblPr>
      <w:tr>
        <w:trPr>
          <w:trHeight w:val="222"/>
        </w:trPr>
        <w:tc>
          <w:tcPr>
            <w:tcW w:w="5540" w:type="dxa"/>
            <w:vAlign w:val="bottom"/>
          </w:tcPr>
          <w:p>
            <w:pPr>
              <w:spacing w:after="0"/>
              <w:rPr>
                <w:sz w:val="20"/>
                <w:szCs w:val="20"/>
                <w:color w:val="auto"/>
              </w:rPr>
            </w:pPr>
            <w:r>
              <w:rPr>
                <w:rFonts w:ascii="Arial" w:cs="Arial" w:eastAsia="Arial" w:hAnsi="Arial"/>
                <w:sz w:val="18"/>
                <w:szCs w:val="18"/>
                <w:color w:val="auto"/>
              </w:rPr>
              <w:t>Comcast Phone of Northern Maryland, Inc.</w:t>
            </w:r>
          </w:p>
        </w:tc>
        <w:tc>
          <w:tcPr>
            <w:tcW w:w="2440" w:type="dxa"/>
            <w:vAlign w:val="bottom"/>
          </w:tcPr>
          <w:p>
            <w:pPr>
              <w:jc w:val="right"/>
              <w:spacing w:after="0"/>
              <w:rPr>
                <w:sz w:val="20"/>
                <w:szCs w:val="20"/>
                <w:color w:val="auto"/>
              </w:rPr>
            </w:pPr>
            <w:r>
              <w:rPr>
                <w:rFonts w:ascii="Arial" w:cs="Arial" w:eastAsia="Arial" w:hAnsi="Arial"/>
                <w:sz w:val="18"/>
                <w:szCs w:val="18"/>
                <w:color w:val="auto"/>
              </w:rPr>
              <w:t>MD</w:t>
            </w:r>
          </w:p>
        </w:tc>
      </w:tr>
      <w:tr>
        <w:trPr>
          <w:trHeight w:val="324"/>
        </w:trPr>
        <w:tc>
          <w:tcPr>
            <w:tcW w:w="5540" w:type="dxa"/>
            <w:vAlign w:val="bottom"/>
          </w:tcPr>
          <w:p>
            <w:pPr>
              <w:spacing w:after="0"/>
              <w:rPr>
                <w:sz w:val="20"/>
                <w:szCs w:val="20"/>
                <w:color w:val="auto"/>
              </w:rPr>
            </w:pPr>
            <w:r>
              <w:rPr>
                <w:rFonts w:ascii="Arial" w:cs="Arial" w:eastAsia="Arial" w:hAnsi="Arial"/>
                <w:sz w:val="18"/>
                <w:szCs w:val="18"/>
                <w:color w:val="auto"/>
              </w:rPr>
              <w:t>Comcast Phone of Northern Virginia, Inc.</w:t>
            </w:r>
          </w:p>
        </w:tc>
        <w:tc>
          <w:tcPr>
            <w:tcW w:w="2440" w:type="dxa"/>
            <w:vAlign w:val="bottom"/>
          </w:tcPr>
          <w:p>
            <w:pPr>
              <w:jc w:val="right"/>
              <w:spacing w:after="0"/>
              <w:rPr>
                <w:sz w:val="20"/>
                <w:szCs w:val="20"/>
                <w:color w:val="auto"/>
              </w:rPr>
            </w:pPr>
            <w:r>
              <w:rPr>
                <w:rFonts w:ascii="Arial" w:cs="Arial" w:eastAsia="Arial" w:hAnsi="Arial"/>
                <w:sz w:val="18"/>
                <w:szCs w:val="18"/>
                <w:color w:val="auto"/>
              </w:rPr>
              <w:t>VA</w:t>
            </w:r>
          </w:p>
        </w:tc>
      </w:tr>
      <w:tr>
        <w:trPr>
          <w:trHeight w:val="324"/>
        </w:trPr>
        <w:tc>
          <w:tcPr>
            <w:tcW w:w="5540" w:type="dxa"/>
            <w:vAlign w:val="bottom"/>
          </w:tcPr>
          <w:p>
            <w:pPr>
              <w:spacing w:after="0"/>
              <w:rPr>
                <w:sz w:val="20"/>
                <w:szCs w:val="20"/>
                <w:color w:val="auto"/>
              </w:rPr>
            </w:pPr>
            <w:r>
              <w:rPr>
                <w:rFonts w:ascii="Arial" w:cs="Arial" w:eastAsia="Arial" w:hAnsi="Arial"/>
                <w:sz w:val="18"/>
                <w:szCs w:val="18"/>
                <w:color w:val="auto"/>
              </w:rPr>
              <w:t>Comcast Phone of Ohio, LLC</w:t>
            </w:r>
          </w:p>
        </w:tc>
        <w:tc>
          <w:tcPr>
            <w:tcW w:w="2440" w:type="dxa"/>
            <w:vAlign w:val="bottom"/>
          </w:tcPr>
          <w:p>
            <w:pPr>
              <w:jc w:val="right"/>
              <w:spacing w:after="0"/>
              <w:rPr>
                <w:sz w:val="20"/>
                <w:szCs w:val="20"/>
                <w:color w:val="auto"/>
              </w:rPr>
            </w:pPr>
            <w:r>
              <w:rPr>
                <w:rFonts w:ascii="Arial" w:cs="Arial" w:eastAsia="Arial" w:hAnsi="Arial"/>
                <w:sz w:val="18"/>
                <w:szCs w:val="18"/>
                <w:color w:val="auto"/>
              </w:rPr>
              <w:t>DE</w:t>
            </w:r>
          </w:p>
        </w:tc>
      </w:tr>
      <w:tr>
        <w:trPr>
          <w:trHeight w:val="324"/>
        </w:trPr>
        <w:tc>
          <w:tcPr>
            <w:tcW w:w="5540" w:type="dxa"/>
            <w:vAlign w:val="bottom"/>
          </w:tcPr>
          <w:p>
            <w:pPr>
              <w:spacing w:after="0"/>
              <w:rPr>
                <w:sz w:val="20"/>
                <w:szCs w:val="20"/>
                <w:color w:val="auto"/>
              </w:rPr>
            </w:pPr>
            <w:r>
              <w:rPr>
                <w:rFonts w:ascii="Arial" w:cs="Arial" w:eastAsia="Arial" w:hAnsi="Arial"/>
                <w:sz w:val="18"/>
                <w:szCs w:val="18"/>
                <w:color w:val="auto"/>
              </w:rPr>
              <w:t>Comcast Phone of Oregon, LLC</w:t>
            </w:r>
          </w:p>
        </w:tc>
        <w:tc>
          <w:tcPr>
            <w:tcW w:w="2440" w:type="dxa"/>
            <w:vAlign w:val="bottom"/>
          </w:tcPr>
          <w:p>
            <w:pPr>
              <w:jc w:val="right"/>
              <w:spacing w:after="0"/>
              <w:rPr>
                <w:sz w:val="20"/>
                <w:szCs w:val="20"/>
                <w:color w:val="auto"/>
              </w:rPr>
            </w:pPr>
            <w:r>
              <w:rPr>
                <w:rFonts w:ascii="Arial" w:cs="Arial" w:eastAsia="Arial" w:hAnsi="Arial"/>
                <w:sz w:val="18"/>
                <w:szCs w:val="18"/>
                <w:color w:val="auto"/>
              </w:rPr>
              <w:t>DE</w:t>
            </w:r>
          </w:p>
        </w:tc>
      </w:tr>
      <w:tr>
        <w:trPr>
          <w:trHeight w:val="324"/>
        </w:trPr>
        <w:tc>
          <w:tcPr>
            <w:tcW w:w="5540" w:type="dxa"/>
            <w:vAlign w:val="bottom"/>
          </w:tcPr>
          <w:p>
            <w:pPr>
              <w:spacing w:after="0"/>
              <w:rPr>
                <w:sz w:val="20"/>
                <w:szCs w:val="20"/>
                <w:color w:val="auto"/>
              </w:rPr>
            </w:pPr>
            <w:r>
              <w:rPr>
                <w:rFonts w:ascii="Arial" w:cs="Arial" w:eastAsia="Arial" w:hAnsi="Arial"/>
                <w:sz w:val="18"/>
                <w:szCs w:val="18"/>
                <w:color w:val="auto"/>
              </w:rPr>
              <w:t>Comcast Phone of Pennsylvania, LLC</w:t>
            </w:r>
          </w:p>
        </w:tc>
        <w:tc>
          <w:tcPr>
            <w:tcW w:w="2440" w:type="dxa"/>
            <w:vAlign w:val="bottom"/>
          </w:tcPr>
          <w:p>
            <w:pPr>
              <w:jc w:val="right"/>
              <w:spacing w:after="0"/>
              <w:rPr>
                <w:sz w:val="20"/>
                <w:szCs w:val="20"/>
                <w:color w:val="auto"/>
              </w:rPr>
            </w:pPr>
            <w:r>
              <w:rPr>
                <w:rFonts w:ascii="Arial" w:cs="Arial" w:eastAsia="Arial" w:hAnsi="Arial"/>
                <w:sz w:val="18"/>
                <w:szCs w:val="18"/>
                <w:color w:val="auto"/>
              </w:rPr>
              <w:t>DE</w:t>
            </w:r>
          </w:p>
        </w:tc>
      </w:tr>
      <w:tr>
        <w:trPr>
          <w:trHeight w:val="324"/>
        </w:trPr>
        <w:tc>
          <w:tcPr>
            <w:tcW w:w="5540" w:type="dxa"/>
            <w:vAlign w:val="bottom"/>
          </w:tcPr>
          <w:p>
            <w:pPr>
              <w:spacing w:after="0"/>
              <w:rPr>
                <w:sz w:val="20"/>
                <w:szCs w:val="20"/>
                <w:color w:val="auto"/>
              </w:rPr>
            </w:pPr>
            <w:r>
              <w:rPr>
                <w:rFonts w:ascii="Arial" w:cs="Arial" w:eastAsia="Arial" w:hAnsi="Arial"/>
                <w:sz w:val="18"/>
                <w:szCs w:val="18"/>
                <w:color w:val="auto"/>
              </w:rPr>
              <w:t>Comcast Phone of South Carolina, Inc.</w:t>
            </w:r>
          </w:p>
        </w:tc>
        <w:tc>
          <w:tcPr>
            <w:tcW w:w="2440" w:type="dxa"/>
            <w:vAlign w:val="bottom"/>
          </w:tcPr>
          <w:p>
            <w:pPr>
              <w:jc w:val="right"/>
              <w:spacing w:after="0"/>
              <w:rPr>
                <w:sz w:val="20"/>
                <w:szCs w:val="20"/>
                <w:color w:val="auto"/>
              </w:rPr>
            </w:pPr>
            <w:r>
              <w:rPr>
                <w:rFonts w:ascii="Arial" w:cs="Arial" w:eastAsia="Arial" w:hAnsi="Arial"/>
                <w:sz w:val="18"/>
                <w:szCs w:val="18"/>
                <w:color w:val="auto"/>
              </w:rPr>
              <w:t>SC</w:t>
            </w:r>
          </w:p>
        </w:tc>
      </w:tr>
      <w:tr>
        <w:trPr>
          <w:trHeight w:val="324"/>
        </w:trPr>
        <w:tc>
          <w:tcPr>
            <w:tcW w:w="5540" w:type="dxa"/>
            <w:vAlign w:val="bottom"/>
          </w:tcPr>
          <w:p>
            <w:pPr>
              <w:spacing w:after="0"/>
              <w:rPr>
                <w:sz w:val="20"/>
                <w:szCs w:val="20"/>
                <w:color w:val="auto"/>
              </w:rPr>
            </w:pPr>
            <w:r>
              <w:rPr>
                <w:rFonts w:ascii="Arial" w:cs="Arial" w:eastAsia="Arial" w:hAnsi="Arial"/>
                <w:sz w:val="18"/>
                <w:szCs w:val="18"/>
                <w:color w:val="auto"/>
              </w:rPr>
              <w:t>Comcast Phone of Tennessee, LLC</w:t>
            </w:r>
          </w:p>
        </w:tc>
        <w:tc>
          <w:tcPr>
            <w:tcW w:w="2440" w:type="dxa"/>
            <w:vAlign w:val="bottom"/>
          </w:tcPr>
          <w:p>
            <w:pPr>
              <w:jc w:val="right"/>
              <w:spacing w:after="0"/>
              <w:rPr>
                <w:sz w:val="20"/>
                <w:szCs w:val="20"/>
                <w:color w:val="auto"/>
              </w:rPr>
            </w:pPr>
            <w:r>
              <w:rPr>
                <w:rFonts w:ascii="Arial" w:cs="Arial" w:eastAsia="Arial" w:hAnsi="Arial"/>
                <w:sz w:val="18"/>
                <w:szCs w:val="18"/>
                <w:color w:val="auto"/>
              </w:rPr>
              <w:t>DE</w:t>
            </w:r>
          </w:p>
        </w:tc>
      </w:tr>
      <w:tr>
        <w:trPr>
          <w:trHeight w:val="324"/>
        </w:trPr>
        <w:tc>
          <w:tcPr>
            <w:tcW w:w="5540" w:type="dxa"/>
            <w:vAlign w:val="bottom"/>
          </w:tcPr>
          <w:p>
            <w:pPr>
              <w:spacing w:after="0"/>
              <w:rPr>
                <w:sz w:val="20"/>
                <w:szCs w:val="20"/>
                <w:color w:val="auto"/>
              </w:rPr>
            </w:pPr>
            <w:r>
              <w:rPr>
                <w:rFonts w:ascii="Arial" w:cs="Arial" w:eastAsia="Arial" w:hAnsi="Arial"/>
                <w:sz w:val="18"/>
                <w:szCs w:val="18"/>
                <w:color w:val="auto"/>
              </w:rPr>
              <w:t>Comcast Phone of Texas, LLC</w:t>
            </w:r>
          </w:p>
        </w:tc>
        <w:tc>
          <w:tcPr>
            <w:tcW w:w="2440" w:type="dxa"/>
            <w:vAlign w:val="bottom"/>
          </w:tcPr>
          <w:p>
            <w:pPr>
              <w:jc w:val="right"/>
              <w:spacing w:after="0"/>
              <w:rPr>
                <w:sz w:val="20"/>
                <w:szCs w:val="20"/>
                <w:color w:val="auto"/>
              </w:rPr>
            </w:pPr>
            <w:r>
              <w:rPr>
                <w:rFonts w:ascii="Arial" w:cs="Arial" w:eastAsia="Arial" w:hAnsi="Arial"/>
                <w:sz w:val="18"/>
                <w:szCs w:val="18"/>
                <w:color w:val="auto"/>
              </w:rPr>
              <w:t>DE</w:t>
            </w:r>
          </w:p>
        </w:tc>
      </w:tr>
      <w:tr>
        <w:trPr>
          <w:trHeight w:val="324"/>
        </w:trPr>
        <w:tc>
          <w:tcPr>
            <w:tcW w:w="5540" w:type="dxa"/>
            <w:vAlign w:val="bottom"/>
          </w:tcPr>
          <w:p>
            <w:pPr>
              <w:spacing w:after="0"/>
              <w:rPr>
                <w:sz w:val="20"/>
                <w:szCs w:val="20"/>
                <w:color w:val="auto"/>
              </w:rPr>
            </w:pPr>
            <w:r>
              <w:rPr>
                <w:rFonts w:ascii="Arial" w:cs="Arial" w:eastAsia="Arial" w:hAnsi="Arial"/>
                <w:sz w:val="18"/>
                <w:szCs w:val="18"/>
                <w:color w:val="auto"/>
              </w:rPr>
              <w:t>Comcast Phone of Utah, LLC</w:t>
            </w:r>
          </w:p>
        </w:tc>
        <w:tc>
          <w:tcPr>
            <w:tcW w:w="2440" w:type="dxa"/>
            <w:vAlign w:val="bottom"/>
          </w:tcPr>
          <w:p>
            <w:pPr>
              <w:jc w:val="right"/>
              <w:spacing w:after="0"/>
              <w:rPr>
                <w:sz w:val="20"/>
                <w:szCs w:val="20"/>
                <w:color w:val="auto"/>
              </w:rPr>
            </w:pPr>
            <w:r>
              <w:rPr>
                <w:rFonts w:ascii="Arial" w:cs="Arial" w:eastAsia="Arial" w:hAnsi="Arial"/>
                <w:sz w:val="18"/>
                <w:szCs w:val="18"/>
                <w:color w:val="auto"/>
              </w:rPr>
              <w:t>DE</w:t>
            </w:r>
          </w:p>
        </w:tc>
      </w:tr>
      <w:tr>
        <w:trPr>
          <w:trHeight w:val="324"/>
        </w:trPr>
        <w:tc>
          <w:tcPr>
            <w:tcW w:w="5540" w:type="dxa"/>
            <w:vAlign w:val="bottom"/>
          </w:tcPr>
          <w:p>
            <w:pPr>
              <w:spacing w:after="0"/>
              <w:rPr>
                <w:sz w:val="20"/>
                <w:szCs w:val="20"/>
                <w:color w:val="auto"/>
              </w:rPr>
            </w:pPr>
            <w:r>
              <w:rPr>
                <w:rFonts w:ascii="Arial" w:cs="Arial" w:eastAsia="Arial" w:hAnsi="Arial"/>
                <w:sz w:val="18"/>
                <w:szCs w:val="18"/>
                <w:color w:val="auto"/>
              </w:rPr>
              <w:t>Comcast Phone of Vermont, LLC</w:t>
            </w:r>
          </w:p>
        </w:tc>
        <w:tc>
          <w:tcPr>
            <w:tcW w:w="2440" w:type="dxa"/>
            <w:vAlign w:val="bottom"/>
          </w:tcPr>
          <w:p>
            <w:pPr>
              <w:jc w:val="right"/>
              <w:spacing w:after="0"/>
              <w:rPr>
                <w:sz w:val="20"/>
                <w:szCs w:val="20"/>
                <w:color w:val="auto"/>
              </w:rPr>
            </w:pPr>
            <w:r>
              <w:rPr>
                <w:rFonts w:ascii="Arial" w:cs="Arial" w:eastAsia="Arial" w:hAnsi="Arial"/>
                <w:sz w:val="18"/>
                <w:szCs w:val="18"/>
                <w:color w:val="auto"/>
              </w:rPr>
              <w:t>DE</w:t>
            </w:r>
          </w:p>
        </w:tc>
      </w:tr>
      <w:tr>
        <w:trPr>
          <w:trHeight w:val="324"/>
        </w:trPr>
        <w:tc>
          <w:tcPr>
            <w:tcW w:w="5540" w:type="dxa"/>
            <w:vAlign w:val="bottom"/>
          </w:tcPr>
          <w:p>
            <w:pPr>
              <w:spacing w:after="0"/>
              <w:rPr>
                <w:sz w:val="20"/>
                <w:szCs w:val="20"/>
                <w:color w:val="auto"/>
              </w:rPr>
            </w:pPr>
            <w:r>
              <w:rPr>
                <w:rFonts w:ascii="Arial" w:cs="Arial" w:eastAsia="Arial" w:hAnsi="Arial"/>
                <w:sz w:val="18"/>
                <w:szCs w:val="18"/>
                <w:color w:val="auto"/>
              </w:rPr>
              <w:t>Comcast Phone of Virginia, Inc.</w:t>
            </w:r>
          </w:p>
        </w:tc>
        <w:tc>
          <w:tcPr>
            <w:tcW w:w="2440" w:type="dxa"/>
            <w:vAlign w:val="bottom"/>
          </w:tcPr>
          <w:p>
            <w:pPr>
              <w:jc w:val="right"/>
              <w:spacing w:after="0"/>
              <w:rPr>
                <w:sz w:val="20"/>
                <w:szCs w:val="20"/>
                <w:color w:val="auto"/>
              </w:rPr>
            </w:pPr>
            <w:r>
              <w:rPr>
                <w:rFonts w:ascii="Arial" w:cs="Arial" w:eastAsia="Arial" w:hAnsi="Arial"/>
                <w:sz w:val="18"/>
                <w:szCs w:val="18"/>
                <w:color w:val="auto"/>
              </w:rPr>
              <w:t>VA</w:t>
            </w:r>
          </w:p>
        </w:tc>
      </w:tr>
      <w:tr>
        <w:trPr>
          <w:trHeight w:val="324"/>
        </w:trPr>
        <w:tc>
          <w:tcPr>
            <w:tcW w:w="5540" w:type="dxa"/>
            <w:vAlign w:val="bottom"/>
          </w:tcPr>
          <w:p>
            <w:pPr>
              <w:spacing w:after="0"/>
              <w:rPr>
                <w:sz w:val="20"/>
                <w:szCs w:val="20"/>
                <w:color w:val="auto"/>
              </w:rPr>
            </w:pPr>
            <w:r>
              <w:rPr>
                <w:rFonts w:ascii="Arial" w:cs="Arial" w:eastAsia="Arial" w:hAnsi="Arial"/>
                <w:sz w:val="18"/>
                <w:szCs w:val="18"/>
                <w:color w:val="auto"/>
              </w:rPr>
              <w:t>Comcast Phone of Washington, LLC</w:t>
            </w:r>
          </w:p>
        </w:tc>
        <w:tc>
          <w:tcPr>
            <w:tcW w:w="2440" w:type="dxa"/>
            <w:vAlign w:val="bottom"/>
          </w:tcPr>
          <w:p>
            <w:pPr>
              <w:jc w:val="right"/>
              <w:spacing w:after="0"/>
              <w:rPr>
                <w:sz w:val="20"/>
                <w:szCs w:val="20"/>
                <w:color w:val="auto"/>
              </w:rPr>
            </w:pPr>
            <w:r>
              <w:rPr>
                <w:rFonts w:ascii="Arial" w:cs="Arial" w:eastAsia="Arial" w:hAnsi="Arial"/>
                <w:sz w:val="18"/>
                <w:szCs w:val="18"/>
                <w:color w:val="auto"/>
              </w:rPr>
              <w:t>DE</w:t>
            </w:r>
          </w:p>
        </w:tc>
      </w:tr>
      <w:tr>
        <w:trPr>
          <w:trHeight w:val="324"/>
        </w:trPr>
        <w:tc>
          <w:tcPr>
            <w:tcW w:w="5540" w:type="dxa"/>
            <w:vAlign w:val="bottom"/>
          </w:tcPr>
          <w:p>
            <w:pPr>
              <w:spacing w:after="0"/>
              <w:rPr>
                <w:sz w:val="20"/>
                <w:szCs w:val="20"/>
                <w:color w:val="auto"/>
              </w:rPr>
            </w:pPr>
            <w:r>
              <w:rPr>
                <w:rFonts w:ascii="Arial" w:cs="Arial" w:eastAsia="Arial" w:hAnsi="Arial"/>
                <w:sz w:val="18"/>
                <w:szCs w:val="18"/>
                <w:color w:val="auto"/>
              </w:rPr>
              <w:t>Comcast Phone of West Virginia, LLC</w:t>
            </w:r>
          </w:p>
        </w:tc>
        <w:tc>
          <w:tcPr>
            <w:tcW w:w="2440" w:type="dxa"/>
            <w:vAlign w:val="bottom"/>
          </w:tcPr>
          <w:p>
            <w:pPr>
              <w:jc w:val="right"/>
              <w:spacing w:after="0"/>
              <w:rPr>
                <w:sz w:val="20"/>
                <w:szCs w:val="20"/>
                <w:color w:val="auto"/>
              </w:rPr>
            </w:pPr>
            <w:r>
              <w:rPr>
                <w:rFonts w:ascii="Arial" w:cs="Arial" w:eastAsia="Arial" w:hAnsi="Arial"/>
                <w:sz w:val="18"/>
                <w:szCs w:val="18"/>
                <w:color w:val="auto"/>
              </w:rPr>
              <w:t>DE</w:t>
            </w:r>
          </w:p>
        </w:tc>
      </w:tr>
      <w:tr>
        <w:trPr>
          <w:trHeight w:val="324"/>
        </w:trPr>
        <w:tc>
          <w:tcPr>
            <w:tcW w:w="5540" w:type="dxa"/>
            <w:vAlign w:val="bottom"/>
          </w:tcPr>
          <w:p>
            <w:pPr>
              <w:spacing w:after="0"/>
              <w:rPr>
                <w:sz w:val="20"/>
                <w:szCs w:val="20"/>
                <w:color w:val="auto"/>
              </w:rPr>
            </w:pPr>
            <w:r>
              <w:rPr>
                <w:rFonts w:ascii="Arial" w:cs="Arial" w:eastAsia="Arial" w:hAnsi="Arial"/>
                <w:sz w:val="18"/>
                <w:szCs w:val="18"/>
                <w:color w:val="auto"/>
              </w:rPr>
              <w:t>Comcast Phone of Wisconsin, LLC</w:t>
            </w:r>
          </w:p>
        </w:tc>
        <w:tc>
          <w:tcPr>
            <w:tcW w:w="2440" w:type="dxa"/>
            <w:vAlign w:val="bottom"/>
          </w:tcPr>
          <w:p>
            <w:pPr>
              <w:jc w:val="right"/>
              <w:spacing w:after="0"/>
              <w:rPr>
                <w:sz w:val="20"/>
                <w:szCs w:val="20"/>
                <w:color w:val="auto"/>
              </w:rPr>
            </w:pPr>
            <w:r>
              <w:rPr>
                <w:rFonts w:ascii="Arial" w:cs="Arial" w:eastAsia="Arial" w:hAnsi="Arial"/>
                <w:sz w:val="18"/>
                <w:szCs w:val="18"/>
                <w:color w:val="auto"/>
              </w:rPr>
              <w:t>DE</w:t>
            </w:r>
          </w:p>
        </w:tc>
      </w:tr>
      <w:tr>
        <w:trPr>
          <w:trHeight w:val="324"/>
        </w:trPr>
        <w:tc>
          <w:tcPr>
            <w:tcW w:w="5540" w:type="dxa"/>
            <w:vAlign w:val="bottom"/>
          </w:tcPr>
          <w:p>
            <w:pPr>
              <w:spacing w:after="0"/>
              <w:rPr>
                <w:sz w:val="20"/>
                <w:szCs w:val="20"/>
                <w:color w:val="auto"/>
              </w:rPr>
            </w:pPr>
            <w:r>
              <w:rPr>
                <w:rFonts w:ascii="Arial" w:cs="Arial" w:eastAsia="Arial" w:hAnsi="Arial"/>
                <w:sz w:val="18"/>
                <w:szCs w:val="18"/>
                <w:color w:val="auto"/>
              </w:rPr>
              <w:t>Comcast Phone, LLC</w:t>
            </w:r>
          </w:p>
        </w:tc>
        <w:tc>
          <w:tcPr>
            <w:tcW w:w="2440" w:type="dxa"/>
            <w:vAlign w:val="bottom"/>
          </w:tcPr>
          <w:p>
            <w:pPr>
              <w:jc w:val="right"/>
              <w:spacing w:after="0"/>
              <w:rPr>
                <w:sz w:val="20"/>
                <w:szCs w:val="20"/>
                <w:color w:val="auto"/>
              </w:rPr>
            </w:pPr>
            <w:r>
              <w:rPr>
                <w:rFonts w:ascii="Arial" w:cs="Arial" w:eastAsia="Arial" w:hAnsi="Arial"/>
                <w:sz w:val="18"/>
                <w:szCs w:val="18"/>
                <w:color w:val="auto"/>
              </w:rPr>
              <w:t>DE</w:t>
            </w:r>
          </w:p>
        </w:tc>
      </w:tr>
      <w:tr>
        <w:trPr>
          <w:trHeight w:val="324"/>
        </w:trPr>
        <w:tc>
          <w:tcPr>
            <w:tcW w:w="5540" w:type="dxa"/>
            <w:vAlign w:val="bottom"/>
          </w:tcPr>
          <w:p>
            <w:pPr>
              <w:spacing w:after="0"/>
              <w:rPr>
                <w:sz w:val="20"/>
                <w:szCs w:val="20"/>
                <w:color w:val="auto"/>
              </w:rPr>
            </w:pPr>
            <w:r>
              <w:rPr>
                <w:rFonts w:ascii="Arial" w:cs="Arial" w:eastAsia="Arial" w:hAnsi="Arial"/>
                <w:sz w:val="18"/>
                <w:szCs w:val="18"/>
                <w:color w:val="auto"/>
              </w:rPr>
              <w:t>Comcast Primestar Holdings, Inc.</w:t>
            </w:r>
          </w:p>
        </w:tc>
        <w:tc>
          <w:tcPr>
            <w:tcW w:w="2440" w:type="dxa"/>
            <w:vAlign w:val="bottom"/>
          </w:tcPr>
          <w:p>
            <w:pPr>
              <w:jc w:val="right"/>
              <w:spacing w:after="0"/>
              <w:rPr>
                <w:sz w:val="20"/>
                <w:szCs w:val="20"/>
                <w:color w:val="auto"/>
              </w:rPr>
            </w:pPr>
            <w:r>
              <w:rPr>
                <w:rFonts w:ascii="Arial" w:cs="Arial" w:eastAsia="Arial" w:hAnsi="Arial"/>
                <w:sz w:val="18"/>
                <w:szCs w:val="18"/>
                <w:color w:val="auto"/>
              </w:rPr>
              <w:t>DE</w:t>
            </w:r>
          </w:p>
        </w:tc>
      </w:tr>
      <w:tr>
        <w:trPr>
          <w:trHeight w:val="324"/>
        </w:trPr>
        <w:tc>
          <w:tcPr>
            <w:tcW w:w="5540" w:type="dxa"/>
            <w:vAlign w:val="bottom"/>
          </w:tcPr>
          <w:p>
            <w:pPr>
              <w:spacing w:after="0"/>
              <w:rPr>
                <w:sz w:val="20"/>
                <w:szCs w:val="20"/>
                <w:color w:val="auto"/>
              </w:rPr>
            </w:pPr>
            <w:r>
              <w:rPr>
                <w:rFonts w:ascii="Arial" w:cs="Arial" w:eastAsia="Arial" w:hAnsi="Arial"/>
                <w:sz w:val="18"/>
                <w:szCs w:val="18"/>
                <w:color w:val="auto"/>
              </w:rPr>
              <w:t>Comcast Programming Development, Inc.</w:t>
            </w:r>
          </w:p>
        </w:tc>
        <w:tc>
          <w:tcPr>
            <w:tcW w:w="2440" w:type="dxa"/>
            <w:vAlign w:val="bottom"/>
          </w:tcPr>
          <w:p>
            <w:pPr>
              <w:jc w:val="right"/>
              <w:spacing w:after="0"/>
              <w:rPr>
                <w:sz w:val="20"/>
                <w:szCs w:val="20"/>
                <w:color w:val="auto"/>
              </w:rPr>
            </w:pPr>
            <w:r>
              <w:rPr>
                <w:rFonts w:ascii="Arial" w:cs="Arial" w:eastAsia="Arial" w:hAnsi="Arial"/>
                <w:sz w:val="18"/>
                <w:szCs w:val="18"/>
                <w:color w:val="auto"/>
              </w:rPr>
              <w:t>DE</w:t>
            </w:r>
          </w:p>
        </w:tc>
      </w:tr>
      <w:tr>
        <w:trPr>
          <w:trHeight w:val="324"/>
        </w:trPr>
        <w:tc>
          <w:tcPr>
            <w:tcW w:w="5540" w:type="dxa"/>
            <w:vAlign w:val="bottom"/>
          </w:tcPr>
          <w:p>
            <w:pPr>
              <w:spacing w:after="0"/>
              <w:rPr>
                <w:sz w:val="20"/>
                <w:szCs w:val="20"/>
                <w:color w:val="auto"/>
              </w:rPr>
            </w:pPr>
            <w:r>
              <w:rPr>
                <w:rFonts w:ascii="Arial" w:cs="Arial" w:eastAsia="Arial" w:hAnsi="Arial"/>
                <w:sz w:val="18"/>
                <w:szCs w:val="18"/>
                <w:color w:val="auto"/>
              </w:rPr>
              <w:t>Comcast Programming Holdings, Inc.</w:t>
            </w:r>
          </w:p>
        </w:tc>
        <w:tc>
          <w:tcPr>
            <w:tcW w:w="2440" w:type="dxa"/>
            <w:vAlign w:val="bottom"/>
          </w:tcPr>
          <w:p>
            <w:pPr>
              <w:jc w:val="right"/>
              <w:spacing w:after="0"/>
              <w:rPr>
                <w:sz w:val="20"/>
                <w:szCs w:val="20"/>
                <w:color w:val="auto"/>
              </w:rPr>
            </w:pPr>
            <w:r>
              <w:rPr>
                <w:rFonts w:ascii="Arial" w:cs="Arial" w:eastAsia="Arial" w:hAnsi="Arial"/>
                <w:sz w:val="18"/>
                <w:szCs w:val="18"/>
                <w:color w:val="auto"/>
              </w:rPr>
              <w:t>DE</w:t>
            </w:r>
          </w:p>
        </w:tc>
      </w:tr>
      <w:tr>
        <w:trPr>
          <w:trHeight w:val="324"/>
        </w:trPr>
        <w:tc>
          <w:tcPr>
            <w:tcW w:w="5540" w:type="dxa"/>
            <w:vAlign w:val="bottom"/>
          </w:tcPr>
          <w:p>
            <w:pPr>
              <w:spacing w:after="0"/>
              <w:rPr>
                <w:sz w:val="20"/>
                <w:szCs w:val="20"/>
                <w:color w:val="auto"/>
              </w:rPr>
            </w:pPr>
            <w:r>
              <w:rPr>
                <w:rFonts w:ascii="Arial" w:cs="Arial" w:eastAsia="Arial" w:hAnsi="Arial"/>
                <w:sz w:val="18"/>
                <w:szCs w:val="18"/>
                <w:color w:val="auto"/>
              </w:rPr>
              <w:t>Comcast Programming Management, LLC</w:t>
            </w:r>
          </w:p>
        </w:tc>
        <w:tc>
          <w:tcPr>
            <w:tcW w:w="2440" w:type="dxa"/>
            <w:vAlign w:val="bottom"/>
          </w:tcPr>
          <w:p>
            <w:pPr>
              <w:jc w:val="right"/>
              <w:spacing w:after="0"/>
              <w:rPr>
                <w:sz w:val="20"/>
                <w:szCs w:val="20"/>
                <w:color w:val="auto"/>
              </w:rPr>
            </w:pPr>
            <w:r>
              <w:rPr>
                <w:rFonts w:ascii="Arial" w:cs="Arial" w:eastAsia="Arial" w:hAnsi="Arial"/>
                <w:sz w:val="18"/>
                <w:szCs w:val="18"/>
                <w:color w:val="auto"/>
              </w:rPr>
              <w:t>DE</w:t>
            </w:r>
          </w:p>
        </w:tc>
      </w:tr>
      <w:tr>
        <w:trPr>
          <w:trHeight w:val="324"/>
        </w:trPr>
        <w:tc>
          <w:tcPr>
            <w:tcW w:w="5540" w:type="dxa"/>
            <w:vAlign w:val="bottom"/>
          </w:tcPr>
          <w:p>
            <w:pPr>
              <w:spacing w:after="0"/>
              <w:rPr>
                <w:sz w:val="20"/>
                <w:szCs w:val="20"/>
                <w:color w:val="auto"/>
              </w:rPr>
            </w:pPr>
            <w:r>
              <w:rPr>
                <w:rFonts w:ascii="Arial" w:cs="Arial" w:eastAsia="Arial" w:hAnsi="Arial"/>
                <w:sz w:val="18"/>
                <w:szCs w:val="18"/>
                <w:color w:val="auto"/>
              </w:rPr>
              <w:t>Comcast Programming Ventures II, Inc.</w:t>
            </w:r>
          </w:p>
        </w:tc>
        <w:tc>
          <w:tcPr>
            <w:tcW w:w="2440" w:type="dxa"/>
            <w:vAlign w:val="bottom"/>
          </w:tcPr>
          <w:p>
            <w:pPr>
              <w:jc w:val="right"/>
              <w:spacing w:after="0"/>
              <w:rPr>
                <w:sz w:val="20"/>
                <w:szCs w:val="20"/>
                <w:color w:val="auto"/>
              </w:rPr>
            </w:pPr>
            <w:r>
              <w:rPr>
                <w:rFonts w:ascii="Arial" w:cs="Arial" w:eastAsia="Arial" w:hAnsi="Arial"/>
                <w:sz w:val="18"/>
                <w:szCs w:val="18"/>
                <w:color w:val="auto"/>
              </w:rPr>
              <w:t>DE</w:t>
            </w:r>
          </w:p>
        </w:tc>
      </w:tr>
      <w:tr>
        <w:trPr>
          <w:trHeight w:val="324"/>
        </w:trPr>
        <w:tc>
          <w:tcPr>
            <w:tcW w:w="5540" w:type="dxa"/>
            <w:vAlign w:val="bottom"/>
          </w:tcPr>
          <w:p>
            <w:pPr>
              <w:spacing w:after="0"/>
              <w:rPr>
                <w:sz w:val="20"/>
                <w:szCs w:val="20"/>
                <w:color w:val="auto"/>
              </w:rPr>
            </w:pPr>
            <w:r>
              <w:rPr>
                <w:rFonts w:ascii="Arial" w:cs="Arial" w:eastAsia="Arial" w:hAnsi="Arial"/>
                <w:sz w:val="18"/>
                <w:szCs w:val="18"/>
                <w:color w:val="auto"/>
              </w:rPr>
              <w:t>Comcast Programming Ventures III, Inc.</w:t>
            </w:r>
          </w:p>
        </w:tc>
        <w:tc>
          <w:tcPr>
            <w:tcW w:w="2440" w:type="dxa"/>
            <w:vAlign w:val="bottom"/>
          </w:tcPr>
          <w:p>
            <w:pPr>
              <w:jc w:val="right"/>
              <w:spacing w:after="0"/>
              <w:rPr>
                <w:sz w:val="20"/>
                <w:szCs w:val="20"/>
                <w:color w:val="auto"/>
              </w:rPr>
            </w:pPr>
            <w:r>
              <w:rPr>
                <w:rFonts w:ascii="Arial" w:cs="Arial" w:eastAsia="Arial" w:hAnsi="Arial"/>
                <w:sz w:val="18"/>
                <w:szCs w:val="18"/>
                <w:color w:val="auto"/>
              </w:rPr>
              <w:t>DE</w:t>
            </w:r>
          </w:p>
        </w:tc>
      </w:tr>
      <w:tr>
        <w:trPr>
          <w:trHeight w:val="324"/>
        </w:trPr>
        <w:tc>
          <w:tcPr>
            <w:tcW w:w="5540" w:type="dxa"/>
            <w:vAlign w:val="bottom"/>
          </w:tcPr>
          <w:p>
            <w:pPr>
              <w:spacing w:after="0"/>
              <w:rPr>
                <w:sz w:val="20"/>
                <w:szCs w:val="20"/>
                <w:color w:val="auto"/>
              </w:rPr>
            </w:pPr>
            <w:r>
              <w:rPr>
                <w:rFonts w:ascii="Arial" w:cs="Arial" w:eastAsia="Arial" w:hAnsi="Arial"/>
                <w:sz w:val="18"/>
                <w:szCs w:val="18"/>
                <w:color w:val="auto"/>
              </w:rPr>
              <w:t>Comcast Programming Ventures IV, LLC</w:t>
            </w:r>
          </w:p>
        </w:tc>
        <w:tc>
          <w:tcPr>
            <w:tcW w:w="2440" w:type="dxa"/>
            <w:vAlign w:val="bottom"/>
          </w:tcPr>
          <w:p>
            <w:pPr>
              <w:jc w:val="right"/>
              <w:spacing w:after="0"/>
              <w:rPr>
                <w:sz w:val="20"/>
                <w:szCs w:val="20"/>
                <w:color w:val="auto"/>
              </w:rPr>
            </w:pPr>
            <w:r>
              <w:rPr>
                <w:rFonts w:ascii="Arial" w:cs="Arial" w:eastAsia="Arial" w:hAnsi="Arial"/>
                <w:sz w:val="18"/>
                <w:szCs w:val="18"/>
                <w:color w:val="auto"/>
              </w:rPr>
              <w:t>DE</w:t>
            </w:r>
          </w:p>
        </w:tc>
      </w:tr>
      <w:tr>
        <w:trPr>
          <w:trHeight w:val="324"/>
        </w:trPr>
        <w:tc>
          <w:tcPr>
            <w:tcW w:w="5540" w:type="dxa"/>
            <w:vAlign w:val="bottom"/>
          </w:tcPr>
          <w:p>
            <w:pPr>
              <w:spacing w:after="0"/>
              <w:rPr>
                <w:sz w:val="20"/>
                <w:szCs w:val="20"/>
                <w:color w:val="auto"/>
              </w:rPr>
            </w:pPr>
            <w:r>
              <w:rPr>
                <w:rFonts w:ascii="Arial" w:cs="Arial" w:eastAsia="Arial" w:hAnsi="Arial"/>
                <w:sz w:val="18"/>
                <w:szCs w:val="18"/>
                <w:color w:val="auto"/>
              </w:rPr>
              <w:t>Comcast Programming Ventures V, Inc.</w:t>
            </w:r>
          </w:p>
        </w:tc>
        <w:tc>
          <w:tcPr>
            <w:tcW w:w="2440" w:type="dxa"/>
            <w:vAlign w:val="bottom"/>
          </w:tcPr>
          <w:p>
            <w:pPr>
              <w:jc w:val="right"/>
              <w:spacing w:after="0"/>
              <w:rPr>
                <w:sz w:val="20"/>
                <w:szCs w:val="20"/>
                <w:color w:val="auto"/>
              </w:rPr>
            </w:pPr>
            <w:r>
              <w:rPr>
                <w:rFonts w:ascii="Arial" w:cs="Arial" w:eastAsia="Arial" w:hAnsi="Arial"/>
                <w:sz w:val="18"/>
                <w:szCs w:val="18"/>
                <w:color w:val="auto"/>
              </w:rPr>
              <w:t>DE</w:t>
            </w:r>
          </w:p>
        </w:tc>
      </w:tr>
      <w:tr>
        <w:trPr>
          <w:trHeight w:val="324"/>
        </w:trPr>
        <w:tc>
          <w:tcPr>
            <w:tcW w:w="5540" w:type="dxa"/>
            <w:vAlign w:val="bottom"/>
          </w:tcPr>
          <w:p>
            <w:pPr>
              <w:spacing w:after="0"/>
              <w:rPr>
                <w:sz w:val="20"/>
                <w:szCs w:val="20"/>
                <w:color w:val="auto"/>
              </w:rPr>
            </w:pPr>
            <w:r>
              <w:rPr>
                <w:rFonts w:ascii="Arial" w:cs="Arial" w:eastAsia="Arial" w:hAnsi="Arial"/>
                <w:sz w:val="18"/>
                <w:szCs w:val="18"/>
                <w:color w:val="auto"/>
              </w:rPr>
              <w:t>Comcast Programming Ventures, Inc.</w:t>
            </w:r>
          </w:p>
        </w:tc>
        <w:tc>
          <w:tcPr>
            <w:tcW w:w="2440" w:type="dxa"/>
            <w:vAlign w:val="bottom"/>
          </w:tcPr>
          <w:p>
            <w:pPr>
              <w:jc w:val="right"/>
              <w:spacing w:after="0"/>
              <w:rPr>
                <w:sz w:val="20"/>
                <w:szCs w:val="20"/>
                <w:color w:val="auto"/>
              </w:rPr>
            </w:pPr>
            <w:r>
              <w:rPr>
                <w:rFonts w:ascii="Arial" w:cs="Arial" w:eastAsia="Arial" w:hAnsi="Arial"/>
                <w:sz w:val="18"/>
                <w:szCs w:val="18"/>
                <w:color w:val="auto"/>
              </w:rPr>
              <w:t>DE</w:t>
            </w:r>
          </w:p>
        </w:tc>
      </w:tr>
      <w:tr>
        <w:trPr>
          <w:trHeight w:val="324"/>
        </w:trPr>
        <w:tc>
          <w:tcPr>
            <w:tcW w:w="5540" w:type="dxa"/>
            <w:vAlign w:val="bottom"/>
          </w:tcPr>
          <w:p>
            <w:pPr>
              <w:spacing w:after="0"/>
              <w:rPr>
                <w:sz w:val="20"/>
                <w:szCs w:val="20"/>
                <w:color w:val="auto"/>
              </w:rPr>
            </w:pPr>
            <w:r>
              <w:rPr>
                <w:rFonts w:ascii="Arial" w:cs="Arial" w:eastAsia="Arial" w:hAnsi="Arial"/>
                <w:sz w:val="18"/>
                <w:szCs w:val="18"/>
                <w:color w:val="auto"/>
              </w:rPr>
              <w:t>Comcast PSM Holdings, Inc.</w:t>
            </w:r>
          </w:p>
        </w:tc>
        <w:tc>
          <w:tcPr>
            <w:tcW w:w="2440" w:type="dxa"/>
            <w:vAlign w:val="bottom"/>
          </w:tcPr>
          <w:p>
            <w:pPr>
              <w:jc w:val="right"/>
              <w:spacing w:after="0"/>
              <w:rPr>
                <w:sz w:val="20"/>
                <w:szCs w:val="20"/>
                <w:color w:val="auto"/>
              </w:rPr>
            </w:pPr>
            <w:r>
              <w:rPr>
                <w:rFonts w:ascii="Arial" w:cs="Arial" w:eastAsia="Arial" w:hAnsi="Arial"/>
                <w:sz w:val="18"/>
                <w:szCs w:val="18"/>
                <w:color w:val="auto"/>
              </w:rPr>
              <w:t>PA</w:t>
            </w:r>
          </w:p>
        </w:tc>
      </w:tr>
      <w:tr>
        <w:trPr>
          <w:trHeight w:val="324"/>
        </w:trPr>
        <w:tc>
          <w:tcPr>
            <w:tcW w:w="5540" w:type="dxa"/>
            <w:vAlign w:val="bottom"/>
          </w:tcPr>
          <w:p>
            <w:pPr>
              <w:spacing w:after="0"/>
              <w:rPr>
                <w:sz w:val="20"/>
                <w:szCs w:val="20"/>
                <w:color w:val="auto"/>
              </w:rPr>
            </w:pPr>
            <w:r>
              <w:rPr>
                <w:rFonts w:ascii="Arial" w:cs="Arial" w:eastAsia="Arial" w:hAnsi="Arial"/>
                <w:sz w:val="18"/>
                <w:szCs w:val="18"/>
                <w:color w:val="auto"/>
              </w:rPr>
              <w:t>Comcast Publishing Holdings Corporation</w:t>
            </w:r>
          </w:p>
        </w:tc>
        <w:tc>
          <w:tcPr>
            <w:tcW w:w="2440" w:type="dxa"/>
            <w:vAlign w:val="bottom"/>
          </w:tcPr>
          <w:p>
            <w:pPr>
              <w:jc w:val="right"/>
              <w:spacing w:after="0"/>
              <w:rPr>
                <w:sz w:val="20"/>
                <w:szCs w:val="20"/>
                <w:color w:val="auto"/>
              </w:rPr>
            </w:pPr>
            <w:r>
              <w:rPr>
                <w:rFonts w:ascii="Arial" w:cs="Arial" w:eastAsia="Arial" w:hAnsi="Arial"/>
                <w:sz w:val="18"/>
                <w:szCs w:val="18"/>
                <w:color w:val="auto"/>
              </w:rPr>
              <w:t>PA</w:t>
            </w:r>
          </w:p>
        </w:tc>
      </w:tr>
      <w:tr>
        <w:trPr>
          <w:trHeight w:val="324"/>
        </w:trPr>
        <w:tc>
          <w:tcPr>
            <w:tcW w:w="5540" w:type="dxa"/>
            <w:vAlign w:val="bottom"/>
          </w:tcPr>
          <w:p>
            <w:pPr>
              <w:spacing w:after="0"/>
              <w:rPr>
                <w:sz w:val="20"/>
                <w:szCs w:val="20"/>
                <w:color w:val="auto"/>
              </w:rPr>
            </w:pPr>
            <w:r>
              <w:rPr>
                <w:rFonts w:ascii="Arial" w:cs="Arial" w:eastAsia="Arial" w:hAnsi="Arial"/>
                <w:sz w:val="18"/>
                <w:szCs w:val="18"/>
                <w:color w:val="auto"/>
              </w:rPr>
              <w:t>Comcast QCOM TV Partners GP, LLC</w:t>
            </w:r>
          </w:p>
        </w:tc>
        <w:tc>
          <w:tcPr>
            <w:tcW w:w="2440" w:type="dxa"/>
            <w:vAlign w:val="bottom"/>
          </w:tcPr>
          <w:p>
            <w:pPr>
              <w:jc w:val="right"/>
              <w:spacing w:after="0"/>
              <w:rPr>
                <w:sz w:val="20"/>
                <w:szCs w:val="20"/>
                <w:color w:val="auto"/>
              </w:rPr>
            </w:pPr>
            <w:r>
              <w:rPr>
                <w:rFonts w:ascii="Arial" w:cs="Arial" w:eastAsia="Arial" w:hAnsi="Arial"/>
                <w:sz w:val="18"/>
                <w:szCs w:val="18"/>
                <w:color w:val="auto"/>
              </w:rPr>
              <w:t>DE</w:t>
            </w:r>
          </w:p>
        </w:tc>
      </w:tr>
      <w:tr>
        <w:trPr>
          <w:trHeight w:val="324"/>
        </w:trPr>
        <w:tc>
          <w:tcPr>
            <w:tcW w:w="5540" w:type="dxa"/>
            <w:vAlign w:val="bottom"/>
          </w:tcPr>
          <w:p>
            <w:pPr>
              <w:spacing w:after="0"/>
              <w:rPr>
                <w:sz w:val="20"/>
                <w:szCs w:val="20"/>
                <w:color w:val="auto"/>
              </w:rPr>
            </w:pPr>
            <w:r>
              <w:rPr>
                <w:rFonts w:ascii="Arial" w:cs="Arial" w:eastAsia="Arial" w:hAnsi="Arial"/>
                <w:sz w:val="18"/>
                <w:szCs w:val="18"/>
                <w:color w:val="auto"/>
              </w:rPr>
              <w:t>Comcast QIH, Inc.</w:t>
            </w:r>
          </w:p>
        </w:tc>
        <w:tc>
          <w:tcPr>
            <w:tcW w:w="2440" w:type="dxa"/>
            <w:vAlign w:val="bottom"/>
          </w:tcPr>
          <w:p>
            <w:pPr>
              <w:jc w:val="right"/>
              <w:spacing w:after="0"/>
              <w:rPr>
                <w:sz w:val="20"/>
                <w:szCs w:val="20"/>
                <w:color w:val="auto"/>
              </w:rPr>
            </w:pPr>
            <w:r>
              <w:rPr>
                <w:rFonts w:ascii="Arial" w:cs="Arial" w:eastAsia="Arial" w:hAnsi="Arial"/>
                <w:sz w:val="18"/>
                <w:szCs w:val="18"/>
                <w:color w:val="auto"/>
              </w:rPr>
              <w:t>DE</w:t>
            </w:r>
          </w:p>
        </w:tc>
      </w:tr>
      <w:tr>
        <w:trPr>
          <w:trHeight w:val="324"/>
        </w:trPr>
        <w:tc>
          <w:tcPr>
            <w:tcW w:w="5540" w:type="dxa"/>
            <w:vAlign w:val="bottom"/>
          </w:tcPr>
          <w:p>
            <w:pPr>
              <w:spacing w:after="0"/>
              <w:rPr>
                <w:sz w:val="20"/>
                <w:szCs w:val="20"/>
                <w:color w:val="auto"/>
              </w:rPr>
            </w:pPr>
            <w:r>
              <w:rPr>
                <w:rFonts w:ascii="Arial" w:cs="Arial" w:eastAsia="Arial" w:hAnsi="Arial"/>
                <w:sz w:val="18"/>
                <w:szCs w:val="18"/>
                <w:color w:val="auto"/>
              </w:rPr>
              <w:t>Comcast QVC, Inc.</w:t>
            </w:r>
          </w:p>
        </w:tc>
        <w:tc>
          <w:tcPr>
            <w:tcW w:w="2440" w:type="dxa"/>
            <w:vAlign w:val="bottom"/>
          </w:tcPr>
          <w:p>
            <w:pPr>
              <w:jc w:val="right"/>
              <w:spacing w:after="0"/>
              <w:rPr>
                <w:sz w:val="20"/>
                <w:szCs w:val="20"/>
                <w:color w:val="auto"/>
              </w:rPr>
            </w:pPr>
            <w:r>
              <w:rPr>
                <w:rFonts w:ascii="Arial" w:cs="Arial" w:eastAsia="Arial" w:hAnsi="Arial"/>
                <w:sz w:val="18"/>
                <w:szCs w:val="18"/>
                <w:color w:val="auto"/>
              </w:rPr>
              <w:t>DE</w:t>
            </w:r>
          </w:p>
        </w:tc>
      </w:tr>
      <w:tr>
        <w:trPr>
          <w:trHeight w:val="324"/>
        </w:trPr>
        <w:tc>
          <w:tcPr>
            <w:tcW w:w="5540" w:type="dxa"/>
            <w:vAlign w:val="bottom"/>
          </w:tcPr>
          <w:p>
            <w:pPr>
              <w:spacing w:after="0"/>
              <w:rPr>
                <w:sz w:val="20"/>
                <w:szCs w:val="20"/>
                <w:color w:val="auto"/>
              </w:rPr>
            </w:pPr>
            <w:r>
              <w:rPr>
                <w:rFonts w:ascii="Arial" w:cs="Arial" w:eastAsia="Arial" w:hAnsi="Arial"/>
                <w:sz w:val="18"/>
                <w:szCs w:val="18"/>
                <w:color w:val="auto"/>
              </w:rPr>
              <w:t>Comcast Real Estate Holdings of Alabama, Inc.</w:t>
            </w:r>
          </w:p>
        </w:tc>
        <w:tc>
          <w:tcPr>
            <w:tcW w:w="2440" w:type="dxa"/>
            <w:vAlign w:val="bottom"/>
          </w:tcPr>
          <w:p>
            <w:pPr>
              <w:jc w:val="right"/>
              <w:spacing w:after="0"/>
              <w:rPr>
                <w:sz w:val="20"/>
                <w:szCs w:val="20"/>
                <w:color w:val="auto"/>
              </w:rPr>
            </w:pPr>
            <w:r>
              <w:rPr>
                <w:rFonts w:ascii="Arial" w:cs="Arial" w:eastAsia="Arial" w:hAnsi="Arial"/>
                <w:sz w:val="18"/>
                <w:szCs w:val="18"/>
                <w:color w:val="auto"/>
              </w:rPr>
              <w:t>AL</w:t>
            </w:r>
          </w:p>
        </w:tc>
      </w:tr>
      <w:tr>
        <w:trPr>
          <w:trHeight w:val="324"/>
        </w:trPr>
        <w:tc>
          <w:tcPr>
            <w:tcW w:w="5540" w:type="dxa"/>
            <w:vAlign w:val="bottom"/>
          </w:tcPr>
          <w:p>
            <w:pPr>
              <w:spacing w:after="0"/>
              <w:rPr>
                <w:sz w:val="20"/>
                <w:szCs w:val="20"/>
                <w:color w:val="auto"/>
              </w:rPr>
            </w:pPr>
            <w:r>
              <w:rPr>
                <w:rFonts w:ascii="Arial" w:cs="Arial" w:eastAsia="Arial" w:hAnsi="Arial"/>
                <w:sz w:val="18"/>
                <w:szCs w:val="18"/>
                <w:color w:val="auto"/>
              </w:rPr>
              <w:t>Comcast Regional Programming, Inc.</w:t>
            </w:r>
          </w:p>
        </w:tc>
        <w:tc>
          <w:tcPr>
            <w:tcW w:w="2440" w:type="dxa"/>
            <w:vAlign w:val="bottom"/>
          </w:tcPr>
          <w:p>
            <w:pPr>
              <w:jc w:val="right"/>
              <w:spacing w:after="0"/>
              <w:rPr>
                <w:sz w:val="20"/>
                <w:szCs w:val="20"/>
                <w:color w:val="auto"/>
              </w:rPr>
            </w:pPr>
            <w:r>
              <w:rPr>
                <w:rFonts w:ascii="Arial" w:cs="Arial" w:eastAsia="Arial" w:hAnsi="Arial"/>
                <w:sz w:val="18"/>
                <w:szCs w:val="18"/>
                <w:color w:val="auto"/>
              </w:rPr>
              <w:t>PA</w:t>
            </w:r>
          </w:p>
        </w:tc>
      </w:tr>
      <w:tr>
        <w:trPr>
          <w:trHeight w:val="324"/>
        </w:trPr>
        <w:tc>
          <w:tcPr>
            <w:tcW w:w="5540" w:type="dxa"/>
            <w:vAlign w:val="bottom"/>
          </w:tcPr>
          <w:p>
            <w:pPr>
              <w:spacing w:after="0"/>
              <w:rPr>
                <w:sz w:val="20"/>
                <w:szCs w:val="20"/>
                <w:color w:val="auto"/>
              </w:rPr>
            </w:pPr>
            <w:r>
              <w:rPr>
                <w:rFonts w:ascii="Arial" w:cs="Arial" w:eastAsia="Arial" w:hAnsi="Arial"/>
                <w:sz w:val="18"/>
                <w:szCs w:val="18"/>
                <w:color w:val="auto"/>
              </w:rPr>
              <w:t>Comcast SC Investment, Inc.</w:t>
            </w:r>
          </w:p>
        </w:tc>
        <w:tc>
          <w:tcPr>
            <w:tcW w:w="2440" w:type="dxa"/>
            <w:vAlign w:val="bottom"/>
          </w:tcPr>
          <w:p>
            <w:pPr>
              <w:jc w:val="right"/>
              <w:spacing w:after="0"/>
              <w:rPr>
                <w:sz w:val="20"/>
                <w:szCs w:val="20"/>
                <w:color w:val="auto"/>
              </w:rPr>
            </w:pPr>
            <w:r>
              <w:rPr>
                <w:rFonts w:ascii="Arial" w:cs="Arial" w:eastAsia="Arial" w:hAnsi="Arial"/>
                <w:sz w:val="18"/>
                <w:szCs w:val="18"/>
                <w:color w:val="auto"/>
              </w:rPr>
              <w:t>DE</w:t>
            </w:r>
          </w:p>
        </w:tc>
      </w:tr>
      <w:tr>
        <w:trPr>
          <w:trHeight w:val="324"/>
        </w:trPr>
        <w:tc>
          <w:tcPr>
            <w:tcW w:w="5540" w:type="dxa"/>
            <w:vAlign w:val="bottom"/>
          </w:tcPr>
          <w:p>
            <w:pPr>
              <w:spacing w:after="0"/>
              <w:rPr>
                <w:sz w:val="20"/>
                <w:szCs w:val="20"/>
                <w:color w:val="auto"/>
              </w:rPr>
            </w:pPr>
            <w:r>
              <w:rPr>
                <w:rFonts w:ascii="Arial" w:cs="Arial" w:eastAsia="Arial" w:hAnsi="Arial"/>
                <w:sz w:val="18"/>
                <w:szCs w:val="18"/>
                <w:color w:val="auto"/>
              </w:rPr>
              <w:t>Comcast SCH Delaware Holdings, Inc.</w:t>
            </w:r>
          </w:p>
        </w:tc>
        <w:tc>
          <w:tcPr>
            <w:tcW w:w="2440" w:type="dxa"/>
            <w:vAlign w:val="bottom"/>
          </w:tcPr>
          <w:p>
            <w:pPr>
              <w:jc w:val="right"/>
              <w:spacing w:after="0"/>
              <w:rPr>
                <w:sz w:val="20"/>
                <w:szCs w:val="20"/>
                <w:color w:val="auto"/>
              </w:rPr>
            </w:pPr>
            <w:r>
              <w:rPr>
                <w:rFonts w:ascii="Arial" w:cs="Arial" w:eastAsia="Arial" w:hAnsi="Arial"/>
                <w:sz w:val="18"/>
                <w:szCs w:val="18"/>
                <w:color w:val="auto"/>
              </w:rPr>
              <w:t>DE</w:t>
            </w:r>
          </w:p>
        </w:tc>
      </w:tr>
      <w:tr>
        <w:trPr>
          <w:trHeight w:val="324"/>
        </w:trPr>
        <w:tc>
          <w:tcPr>
            <w:tcW w:w="5540" w:type="dxa"/>
            <w:vAlign w:val="bottom"/>
          </w:tcPr>
          <w:p>
            <w:pPr>
              <w:spacing w:after="0"/>
              <w:rPr>
                <w:sz w:val="20"/>
                <w:szCs w:val="20"/>
                <w:color w:val="auto"/>
              </w:rPr>
            </w:pPr>
            <w:r>
              <w:rPr>
                <w:rFonts w:ascii="Arial" w:cs="Arial" w:eastAsia="Arial" w:hAnsi="Arial"/>
                <w:sz w:val="18"/>
                <w:szCs w:val="18"/>
                <w:color w:val="auto"/>
              </w:rPr>
              <w:t>Comcast SCH Holdings, LLC</w:t>
            </w:r>
          </w:p>
        </w:tc>
        <w:tc>
          <w:tcPr>
            <w:tcW w:w="2440" w:type="dxa"/>
            <w:vAlign w:val="bottom"/>
          </w:tcPr>
          <w:p>
            <w:pPr>
              <w:jc w:val="right"/>
              <w:spacing w:after="0"/>
              <w:rPr>
                <w:sz w:val="20"/>
                <w:szCs w:val="20"/>
                <w:color w:val="auto"/>
              </w:rPr>
            </w:pPr>
            <w:r>
              <w:rPr>
                <w:rFonts w:ascii="Arial" w:cs="Arial" w:eastAsia="Arial" w:hAnsi="Arial"/>
                <w:sz w:val="18"/>
                <w:szCs w:val="18"/>
                <w:color w:val="auto"/>
              </w:rPr>
              <w:t>DE</w:t>
            </w:r>
          </w:p>
        </w:tc>
      </w:tr>
      <w:tr>
        <w:trPr>
          <w:trHeight w:val="324"/>
        </w:trPr>
        <w:tc>
          <w:tcPr>
            <w:tcW w:w="5540" w:type="dxa"/>
            <w:vAlign w:val="bottom"/>
          </w:tcPr>
          <w:p>
            <w:pPr>
              <w:spacing w:after="0"/>
              <w:rPr>
                <w:sz w:val="20"/>
                <w:szCs w:val="20"/>
                <w:color w:val="auto"/>
              </w:rPr>
            </w:pPr>
            <w:r>
              <w:rPr>
                <w:rFonts w:ascii="Arial" w:cs="Arial" w:eastAsia="Arial" w:hAnsi="Arial"/>
                <w:sz w:val="18"/>
                <w:szCs w:val="18"/>
                <w:color w:val="auto"/>
              </w:rPr>
              <w:t>Comcast Shared Services Corporation</w:t>
            </w:r>
          </w:p>
        </w:tc>
        <w:tc>
          <w:tcPr>
            <w:tcW w:w="2440" w:type="dxa"/>
            <w:vAlign w:val="bottom"/>
          </w:tcPr>
          <w:p>
            <w:pPr>
              <w:jc w:val="right"/>
              <w:spacing w:after="0"/>
              <w:rPr>
                <w:sz w:val="20"/>
                <w:szCs w:val="20"/>
                <w:color w:val="auto"/>
              </w:rPr>
            </w:pPr>
            <w:r>
              <w:rPr>
                <w:rFonts w:ascii="Arial" w:cs="Arial" w:eastAsia="Arial" w:hAnsi="Arial"/>
                <w:sz w:val="18"/>
                <w:szCs w:val="18"/>
                <w:color w:val="auto"/>
              </w:rPr>
              <w:t>DE</w:t>
            </w:r>
          </w:p>
        </w:tc>
      </w:tr>
      <w:tr>
        <w:trPr>
          <w:trHeight w:val="324"/>
        </w:trPr>
        <w:tc>
          <w:tcPr>
            <w:tcW w:w="5540" w:type="dxa"/>
            <w:vAlign w:val="bottom"/>
          </w:tcPr>
          <w:p>
            <w:pPr>
              <w:spacing w:after="0"/>
              <w:rPr>
                <w:sz w:val="20"/>
                <w:szCs w:val="20"/>
                <w:color w:val="auto"/>
              </w:rPr>
            </w:pPr>
            <w:r>
              <w:rPr>
                <w:rFonts w:ascii="Arial" w:cs="Arial" w:eastAsia="Arial" w:hAnsi="Arial"/>
                <w:sz w:val="18"/>
                <w:szCs w:val="18"/>
                <w:color w:val="auto"/>
              </w:rPr>
              <w:t>Comcast Sound Corporation</w:t>
            </w:r>
          </w:p>
        </w:tc>
        <w:tc>
          <w:tcPr>
            <w:tcW w:w="2440" w:type="dxa"/>
            <w:vAlign w:val="bottom"/>
          </w:tcPr>
          <w:p>
            <w:pPr>
              <w:jc w:val="right"/>
              <w:spacing w:after="0"/>
              <w:rPr>
                <w:sz w:val="20"/>
                <w:szCs w:val="20"/>
                <w:color w:val="auto"/>
              </w:rPr>
            </w:pPr>
            <w:r>
              <w:rPr>
                <w:rFonts w:ascii="Arial" w:cs="Arial" w:eastAsia="Arial" w:hAnsi="Arial"/>
                <w:sz w:val="18"/>
                <w:szCs w:val="18"/>
                <w:color w:val="auto"/>
              </w:rPr>
              <w:t>DE</w:t>
            </w:r>
          </w:p>
        </w:tc>
      </w:tr>
      <w:tr>
        <w:trPr>
          <w:trHeight w:val="324"/>
        </w:trPr>
        <w:tc>
          <w:tcPr>
            <w:tcW w:w="5540" w:type="dxa"/>
            <w:vAlign w:val="bottom"/>
          </w:tcPr>
          <w:p>
            <w:pPr>
              <w:spacing w:after="0"/>
              <w:rPr>
                <w:sz w:val="20"/>
                <w:szCs w:val="20"/>
                <w:color w:val="auto"/>
              </w:rPr>
            </w:pPr>
            <w:r>
              <w:rPr>
                <w:rFonts w:ascii="Arial" w:cs="Arial" w:eastAsia="Arial" w:hAnsi="Arial"/>
                <w:sz w:val="18"/>
                <w:szCs w:val="18"/>
                <w:color w:val="auto"/>
              </w:rPr>
              <w:t>Comcast Spectacor, L.P.</w:t>
            </w:r>
          </w:p>
        </w:tc>
        <w:tc>
          <w:tcPr>
            <w:tcW w:w="2440" w:type="dxa"/>
            <w:vAlign w:val="bottom"/>
          </w:tcPr>
          <w:p>
            <w:pPr>
              <w:jc w:val="right"/>
              <w:spacing w:after="0"/>
              <w:rPr>
                <w:sz w:val="20"/>
                <w:szCs w:val="20"/>
                <w:color w:val="auto"/>
              </w:rPr>
            </w:pPr>
            <w:r>
              <w:rPr>
                <w:rFonts w:ascii="Arial" w:cs="Arial" w:eastAsia="Arial" w:hAnsi="Arial"/>
                <w:sz w:val="18"/>
                <w:szCs w:val="18"/>
                <w:color w:val="auto"/>
              </w:rPr>
              <w:t>PA</w:t>
            </w:r>
          </w:p>
        </w:tc>
      </w:tr>
      <w:tr>
        <w:trPr>
          <w:trHeight w:val="324"/>
        </w:trPr>
        <w:tc>
          <w:tcPr>
            <w:tcW w:w="5540" w:type="dxa"/>
            <w:vAlign w:val="bottom"/>
          </w:tcPr>
          <w:p>
            <w:pPr>
              <w:spacing w:after="0"/>
              <w:rPr>
                <w:sz w:val="20"/>
                <w:szCs w:val="20"/>
                <w:color w:val="auto"/>
              </w:rPr>
            </w:pPr>
            <w:r>
              <w:rPr>
                <w:rFonts w:ascii="Arial" w:cs="Arial" w:eastAsia="Arial" w:hAnsi="Arial"/>
                <w:sz w:val="18"/>
                <w:szCs w:val="18"/>
                <w:color w:val="auto"/>
              </w:rPr>
              <w:t>Comcast Sports Holding Company, Inc.</w:t>
            </w:r>
          </w:p>
        </w:tc>
        <w:tc>
          <w:tcPr>
            <w:tcW w:w="2440" w:type="dxa"/>
            <w:vAlign w:val="bottom"/>
          </w:tcPr>
          <w:p>
            <w:pPr>
              <w:jc w:val="right"/>
              <w:spacing w:after="0"/>
              <w:rPr>
                <w:sz w:val="20"/>
                <w:szCs w:val="20"/>
                <w:color w:val="auto"/>
              </w:rPr>
            </w:pPr>
            <w:r>
              <w:rPr>
                <w:rFonts w:ascii="Arial" w:cs="Arial" w:eastAsia="Arial" w:hAnsi="Arial"/>
                <w:sz w:val="18"/>
                <w:szCs w:val="18"/>
                <w:color w:val="auto"/>
              </w:rPr>
              <w:t>DE</w:t>
            </w:r>
          </w:p>
        </w:tc>
      </w:tr>
      <w:tr>
        <w:trPr>
          <w:trHeight w:val="324"/>
        </w:trPr>
        <w:tc>
          <w:tcPr>
            <w:tcW w:w="5540" w:type="dxa"/>
            <w:vAlign w:val="bottom"/>
          </w:tcPr>
          <w:p>
            <w:pPr>
              <w:spacing w:after="0"/>
              <w:rPr>
                <w:sz w:val="20"/>
                <w:szCs w:val="20"/>
                <w:color w:val="auto"/>
              </w:rPr>
            </w:pPr>
            <w:r>
              <w:rPr>
                <w:rFonts w:ascii="Arial" w:cs="Arial" w:eastAsia="Arial" w:hAnsi="Arial"/>
                <w:sz w:val="18"/>
                <w:szCs w:val="18"/>
                <w:color w:val="auto"/>
              </w:rPr>
              <w:t>Comcast Sports Management Services, LLC</w:t>
            </w:r>
          </w:p>
        </w:tc>
        <w:tc>
          <w:tcPr>
            <w:tcW w:w="2440" w:type="dxa"/>
            <w:vAlign w:val="bottom"/>
          </w:tcPr>
          <w:p>
            <w:pPr>
              <w:jc w:val="right"/>
              <w:spacing w:after="0"/>
              <w:rPr>
                <w:sz w:val="20"/>
                <w:szCs w:val="20"/>
                <w:color w:val="auto"/>
              </w:rPr>
            </w:pPr>
            <w:r>
              <w:rPr>
                <w:rFonts w:ascii="Arial" w:cs="Arial" w:eastAsia="Arial" w:hAnsi="Arial"/>
                <w:sz w:val="18"/>
                <w:szCs w:val="18"/>
                <w:color w:val="auto"/>
              </w:rPr>
              <w:t>DE</w:t>
            </w:r>
          </w:p>
        </w:tc>
      </w:tr>
      <w:tr>
        <w:trPr>
          <w:trHeight w:val="324"/>
        </w:trPr>
        <w:tc>
          <w:tcPr>
            <w:tcW w:w="5540" w:type="dxa"/>
            <w:vAlign w:val="bottom"/>
          </w:tcPr>
          <w:p>
            <w:pPr>
              <w:spacing w:after="0"/>
              <w:rPr>
                <w:sz w:val="20"/>
                <w:szCs w:val="20"/>
                <w:color w:val="auto"/>
              </w:rPr>
            </w:pPr>
            <w:r>
              <w:rPr>
                <w:rFonts w:ascii="Arial" w:cs="Arial" w:eastAsia="Arial" w:hAnsi="Arial"/>
                <w:sz w:val="18"/>
                <w:szCs w:val="18"/>
                <w:color w:val="auto"/>
              </w:rPr>
              <w:t>Comcast Sports NY Holdings, Inc.</w:t>
            </w:r>
          </w:p>
        </w:tc>
        <w:tc>
          <w:tcPr>
            <w:tcW w:w="2440" w:type="dxa"/>
            <w:vAlign w:val="bottom"/>
          </w:tcPr>
          <w:p>
            <w:pPr>
              <w:jc w:val="right"/>
              <w:spacing w:after="0"/>
              <w:rPr>
                <w:sz w:val="20"/>
                <w:szCs w:val="20"/>
                <w:color w:val="auto"/>
              </w:rPr>
            </w:pPr>
            <w:r>
              <w:rPr>
                <w:rFonts w:ascii="Arial" w:cs="Arial" w:eastAsia="Arial" w:hAnsi="Arial"/>
                <w:sz w:val="18"/>
                <w:szCs w:val="18"/>
                <w:color w:val="auto"/>
              </w:rPr>
              <w:t>DE</w:t>
            </w:r>
          </w:p>
        </w:tc>
      </w:tr>
      <w:tr>
        <w:trPr>
          <w:trHeight w:val="324"/>
        </w:trPr>
        <w:tc>
          <w:tcPr>
            <w:tcW w:w="5540" w:type="dxa"/>
            <w:vAlign w:val="bottom"/>
          </w:tcPr>
          <w:p>
            <w:pPr>
              <w:spacing w:after="0"/>
              <w:rPr>
                <w:sz w:val="20"/>
                <w:szCs w:val="20"/>
                <w:color w:val="auto"/>
              </w:rPr>
            </w:pPr>
            <w:r>
              <w:rPr>
                <w:rFonts w:ascii="Arial" w:cs="Arial" w:eastAsia="Arial" w:hAnsi="Arial"/>
                <w:sz w:val="18"/>
                <w:szCs w:val="18"/>
                <w:color w:val="auto"/>
              </w:rPr>
              <w:t>Comcast SportsNet Chicago Holdings, Inc.</w:t>
            </w:r>
          </w:p>
        </w:tc>
        <w:tc>
          <w:tcPr>
            <w:tcW w:w="2440" w:type="dxa"/>
            <w:vAlign w:val="bottom"/>
          </w:tcPr>
          <w:p>
            <w:pPr>
              <w:jc w:val="right"/>
              <w:spacing w:after="0"/>
              <w:rPr>
                <w:sz w:val="20"/>
                <w:szCs w:val="20"/>
                <w:color w:val="auto"/>
              </w:rPr>
            </w:pPr>
            <w:r>
              <w:rPr>
                <w:rFonts w:ascii="Arial" w:cs="Arial" w:eastAsia="Arial" w:hAnsi="Arial"/>
                <w:sz w:val="18"/>
                <w:szCs w:val="18"/>
                <w:color w:val="auto"/>
              </w:rPr>
              <w:t>DE</w:t>
            </w:r>
          </w:p>
        </w:tc>
      </w:tr>
      <w:tr>
        <w:trPr>
          <w:trHeight w:val="324"/>
        </w:trPr>
        <w:tc>
          <w:tcPr>
            <w:tcW w:w="5540" w:type="dxa"/>
            <w:vAlign w:val="bottom"/>
          </w:tcPr>
          <w:p>
            <w:pPr>
              <w:spacing w:after="0"/>
              <w:rPr>
                <w:sz w:val="20"/>
                <w:szCs w:val="20"/>
                <w:color w:val="auto"/>
              </w:rPr>
            </w:pPr>
            <w:r>
              <w:rPr>
                <w:rFonts w:ascii="Arial" w:cs="Arial" w:eastAsia="Arial" w:hAnsi="Arial"/>
                <w:sz w:val="18"/>
                <w:szCs w:val="18"/>
                <w:color w:val="auto"/>
              </w:rPr>
              <w:t>Comcast SportsNet Mid-Atlantic GP, LLC</w:t>
            </w:r>
          </w:p>
        </w:tc>
        <w:tc>
          <w:tcPr>
            <w:tcW w:w="2440" w:type="dxa"/>
            <w:vAlign w:val="bottom"/>
          </w:tcPr>
          <w:p>
            <w:pPr>
              <w:jc w:val="right"/>
              <w:spacing w:after="0"/>
              <w:rPr>
                <w:sz w:val="20"/>
                <w:szCs w:val="20"/>
                <w:color w:val="auto"/>
              </w:rPr>
            </w:pPr>
            <w:r>
              <w:rPr>
                <w:rFonts w:ascii="Arial" w:cs="Arial" w:eastAsia="Arial" w:hAnsi="Arial"/>
                <w:sz w:val="18"/>
                <w:szCs w:val="18"/>
                <w:color w:val="auto"/>
              </w:rPr>
              <w:t>DE</w:t>
            </w:r>
          </w:p>
        </w:tc>
      </w:tr>
      <w:tr>
        <w:trPr>
          <w:trHeight w:val="324"/>
        </w:trPr>
        <w:tc>
          <w:tcPr>
            <w:tcW w:w="5540" w:type="dxa"/>
            <w:vAlign w:val="bottom"/>
          </w:tcPr>
          <w:p>
            <w:pPr>
              <w:spacing w:after="0"/>
              <w:rPr>
                <w:sz w:val="20"/>
                <w:szCs w:val="20"/>
                <w:color w:val="auto"/>
              </w:rPr>
            </w:pPr>
            <w:r>
              <w:rPr>
                <w:rFonts w:ascii="Arial" w:cs="Arial" w:eastAsia="Arial" w:hAnsi="Arial"/>
                <w:sz w:val="18"/>
                <w:szCs w:val="18"/>
                <w:color w:val="auto"/>
              </w:rPr>
              <w:t>Comcast SportsNet Mid-Atlantic LP, LLC</w:t>
            </w:r>
          </w:p>
        </w:tc>
        <w:tc>
          <w:tcPr>
            <w:tcW w:w="2440" w:type="dxa"/>
            <w:vAlign w:val="bottom"/>
          </w:tcPr>
          <w:p>
            <w:pPr>
              <w:jc w:val="right"/>
              <w:spacing w:after="0"/>
              <w:rPr>
                <w:sz w:val="20"/>
                <w:szCs w:val="20"/>
                <w:color w:val="auto"/>
              </w:rPr>
            </w:pPr>
            <w:r>
              <w:rPr>
                <w:rFonts w:ascii="Arial" w:cs="Arial" w:eastAsia="Arial" w:hAnsi="Arial"/>
                <w:sz w:val="18"/>
                <w:szCs w:val="18"/>
                <w:color w:val="auto"/>
              </w:rPr>
              <w:t>DE</w:t>
            </w:r>
          </w:p>
        </w:tc>
      </w:tr>
      <w:tr>
        <w:trPr>
          <w:trHeight w:val="324"/>
        </w:trPr>
        <w:tc>
          <w:tcPr>
            <w:tcW w:w="5540" w:type="dxa"/>
            <w:vAlign w:val="bottom"/>
          </w:tcPr>
          <w:p>
            <w:pPr>
              <w:spacing w:after="0"/>
              <w:rPr>
                <w:sz w:val="20"/>
                <w:szCs w:val="20"/>
                <w:color w:val="auto"/>
              </w:rPr>
            </w:pPr>
            <w:r>
              <w:rPr>
                <w:rFonts w:ascii="Arial" w:cs="Arial" w:eastAsia="Arial" w:hAnsi="Arial"/>
                <w:sz w:val="18"/>
                <w:szCs w:val="18"/>
                <w:color w:val="auto"/>
              </w:rPr>
              <w:t>Comcast SportsNet Mid-Atlantic, L.P.</w:t>
            </w:r>
          </w:p>
        </w:tc>
        <w:tc>
          <w:tcPr>
            <w:tcW w:w="2440" w:type="dxa"/>
            <w:vAlign w:val="bottom"/>
          </w:tcPr>
          <w:p>
            <w:pPr>
              <w:jc w:val="right"/>
              <w:spacing w:after="0"/>
              <w:rPr>
                <w:sz w:val="20"/>
                <w:szCs w:val="20"/>
                <w:color w:val="auto"/>
              </w:rPr>
            </w:pPr>
            <w:r>
              <w:rPr>
                <w:rFonts w:ascii="Arial" w:cs="Arial" w:eastAsia="Arial" w:hAnsi="Arial"/>
                <w:sz w:val="18"/>
                <w:szCs w:val="18"/>
                <w:color w:val="auto"/>
              </w:rPr>
              <w:t>DE</w:t>
            </w:r>
          </w:p>
        </w:tc>
      </w:tr>
      <w:tr>
        <w:trPr>
          <w:trHeight w:val="324"/>
        </w:trPr>
        <w:tc>
          <w:tcPr>
            <w:tcW w:w="5540" w:type="dxa"/>
            <w:vAlign w:val="bottom"/>
          </w:tcPr>
          <w:p>
            <w:pPr>
              <w:spacing w:after="0"/>
              <w:rPr>
                <w:sz w:val="20"/>
                <w:szCs w:val="20"/>
                <w:color w:val="auto"/>
              </w:rPr>
            </w:pPr>
            <w:r>
              <w:rPr>
                <w:rFonts w:ascii="Arial" w:cs="Arial" w:eastAsia="Arial" w:hAnsi="Arial"/>
                <w:sz w:val="18"/>
                <w:szCs w:val="18"/>
                <w:color w:val="auto"/>
              </w:rPr>
              <w:t>Comcast SportsNet Philadelphia, Inc.</w:t>
            </w:r>
          </w:p>
        </w:tc>
        <w:tc>
          <w:tcPr>
            <w:tcW w:w="2440" w:type="dxa"/>
            <w:vAlign w:val="bottom"/>
          </w:tcPr>
          <w:p>
            <w:pPr>
              <w:jc w:val="right"/>
              <w:spacing w:after="0"/>
              <w:rPr>
                <w:sz w:val="20"/>
                <w:szCs w:val="20"/>
                <w:color w:val="auto"/>
              </w:rPr>
            </w:pPr>
            <w:r>
              <w:rPr>
                <w:rFonts w:ascii="Arial" w:cs="Arial" w:eastAsia="Arial" w:hAnsi="Arial"/>
                <w:sz w:val="18"/>
                <w:szCs w:val="18"/>
                <w:color w:val="auto"/>
              </w:rPr>
              <w:t>PA</w:t>
            </w:r>
          </w:p>
        </w:tc>
      </w:tr>
      <w:tr>
        <w:trPr>
          <w:trHeight w:val="324"/>
        </w:trPr>
        <w:tc>
          <w:tcPr>
            <w:tcW w:w="5540" w:type="dxa"/>
            <w:vAlign w:val="bottom"/>
          </w:tcPr>
          <w:p>
            <w:pPr>
              <w:spacing w:after="0"/>
              <w:rPr>
                <w:sz w:val="20"/>
                <w:szCs w:val="20"/>
                <w:color w:val="auto"/>
              </w:rPr>
            </w:pPr>
            <w:r>
              <w:rPr>
                <w:rFonts w:ascii="Arial" w:cs="Arial" w:eastAsia="Arial" w:hAnsi="Arial"/>
                <w:sz w:val="18"/>
                <w:szCs w:val="18"/>
                <w:color w:val="auto"/>
              </w:rPr>
              <w:t>Comcast SportsNet Philadelphia, L.P.</w:t>
            </w:r>
          </w:p>
        </w:tc>
        <w:tc>
          <w:tcPr>
            <w:tcW w:w="2440" w:type="dxa"/>
            <w:vAlign w:val="bottom"/>
          </w:tcPr>
          <w:p>
            <w:pPr>
              <w:jc w:val="right"/>
              <w:spacing w:after="0"/>
              <w:rPr>
                <w:sz w:val="20"/>
                <w:szCs w:val="20"/>
                <w:color w:val="auto"/>
              </w:rPr>
            </w:pPr>
            <w:r>
              <w:rPr>
                <w:rFonts w:ascii="Arial" w:cs="Arial" w:eastAsia="Arial" w:hAnsi="Arial"/>
                <w:sz w:val="18"/>
                <w:szCs w:val="18"/>
                <w:color w:val="auto"/>
              </w:rPr>
              <w:t>PA</w:t>
            </w:r>
          </w:p>
        </w:tc>
      </w:tr>
      <w:tr>
        <w:trPr>
          <w:trHeight w:val="324"/>
        </w:trPr>
        <w:tc>
          <w:tcPr>
            <w:tcW w:w="5540" w:type="dxa"/>
            <w:vAlign w:val="bottom"/>
          </w:tcPr>
          <w:p>
            <w:pPr>
              <w:spacing w:after="0"/>
              <w:rPr>
                <w:sz w:val="20"/>
                <w:szCs w:val="20"/>
                <w:color w:val="auto"/>
              </w:rPr>
            </w:pPr>
            <w:r>
              <w:rPr>
                <w:rFonts w:ascii="Arial" w:cs="Arial" w:eastAsia="Arial" w:hAnsi="Arial"/>
                <w:sz w:val="18"/>
                <w:szCs w:val="18"/>
                <w:color w:val="auto"/>
              </w:rPr>
              <w:t>Comcast SportsNet West, Inc.</w:t>
            </w:r>
          </w:p>
        </w:tc>
        <w:tc>
          <w:tcPr>
            <w:tcW w:w="2440" w:type="dxa"/>
            <w:vAlign w:val="bottom"/>
          </w:tcPr>
          <w:p>
            <w:pPr>
              <w:jc w:val="right"/>
              <w:spacing w:after="0"/>
              <w:rPr>
                <w:sz w:val="20"/>
                <w:szCs w:val="20"/>
                <w:color w:val="auto"/>
              </w:rPr>
            </w:pPr>
            <w:r>
              <w:rPr>
                <w:rFonts w:ascii="Arial" w:cs="Arial" w:eastAsia="Arial" w:hAnsi="Arial"/>
                <w:sz w:val="18"/>
                <w:szCs w:val="18"/>
                <w:color w:val="auto"/>
              </w:rPr>
              <w:t>DE</w:t>
            </w:r>
          </w:p>
        </w:tc>
      </w:tr>
      <w:tr>
        <w:trPr>
          <w:trHeight w:val="324"/>
        </w:trPr>
        <w:tc>
          <w:tcPr>
            <w:tcW w:w="5540" w:type="dxa"/>
            <w:vAlign w:val="bottom"/>
          </w:tcPr>
          <w:p>
            <w:pPr>
              <w:spacing w:after="0"/>
              <w:rPr>
                <w:sz w:val="20"/>
                <w:szCs w:val="20"/>
                <w:color w:val="auto"/>
              </w:rPr>
            </w:pPr>
            <w:r>
              <w:rPr>
                <w:rFonts w:ascii="Arial" w:cs="Arial" w:eastAsia="Arial" w:hAnsi="Arial"/>
                <w:sz w:val="18"/>
                <w:szCs w:val="18"/>
                <w:color w:val="auto"/>
              </w:rPr>
              <w:t>Comcast Spotlight, Inc.</w:t>
            </w:r>
          </w:p>
        </w:tc>
        <w:tc>
          <w:tcPr>
            <w:tcW w:w="2440" w:type="dxa"/>
            <w:vAlign w:val="bottom"/>
          </w:tcPr>
          <w:p>
            <w:pPr>
              <w:jc w:val="right"/>
              <w:spacing w:after="0"/>
              <w:rPr>
                <w:sz w:val="20"/>
                <w:szCs w:val="20"/>
                <w:color w:val="auto"/>
              </w:rPr>
            </w:pPr>
            <w:r>
              <w:rPr>
                <w:rFonts w:ascii="Arial" w:cs="Arial" w:eastAsia="Arial" w:hAnsi="Arial"/>
                <w:sz w:val="18"/>
                <w:szCs w:val="18"/>
                <w:color w:val="auto"/>
              </w:rPr>
              <w:t>DE</w:t>
            </w:r>
          </w:p>
        </w:tc>
      </w:tr>
      <w:tr>
        <w:trPr>
          <w:trHeight w:val="324"/>
        </w:trPr>
        <w:tc>
          <w:tcPr>
            <w:tcW w:w="5540" w:type="dxa"/>
            <w:vAlign w:val="bottom"/>
          </w:tcPr>
          <w:p>
            <w:pPr>
              <w:spacing w:after="0"/>
              <w:rPr>
                <w:sz w:val="20"/>
                <w:szCs w:val="20"/>
                <w:color w:val="auto"/>
              </w:rPr>
            </w:pPr>
            <w:r>
              <w:rPr>
                <w:rFonts w:ascii="Arial" w:cs="Arial" w:eastAsia="Arial" w:hAnsi="Arial"/>
                <w:sz w:val="18"/>
                <w:szCs w:val="18"/>
                <w:color w:val="auto"/>
              </w:rPr>
              <w:t>Comcast STB Software DVR, LLC</w:t>
            </w:r>
          </w:p>
        </w:tc>
        <w:tc>
          <w:tcPr>
            <w:tcW w:w="2440" w:type="dxa"/>
            <w:vAlign w:val="bottom"/>
          </w:tcPr>
          <w:p>
            <w:pPr>
              <w:jc w:val="right"/>
              <w:spacing w:after="0"/>
              <w:rPr>
                <w:sz w:val="20"/>
                <w:szCs w:val="20"/>
                <w:color w:val="auto"/>
              </w:rPr>
            </w:pPr>
            <w:r>
              <w:rPr>
                <w:rFonts w:ascii="Arial" w:cs="Arial" w:eastAsia="Arial" w:hAnsi="Arial"/>
                <w:sz w:val="18"/>
                <w:szCs w:val="18"/>
                <w:color w:val="auto"/>
              </w:rPr>
              <w:t>DE</w:t>
            </w:r>
          </w:p>
        </w:tc>
      </w:tr>
      <w:tr>
        <w:trPr>
          <w:trHeight w:val="324"/>
        </w:trPr>
        <w:tc>
          <w:tcPr>
            <w:tcW w:w="5540" w:type="dxa"/>
            <w:vAlign w:val="bottom"/>
          </w:tcPr>
          <w:p>
            <w:pPr>
              <w:spacing w:after="0"/>
              <w:rPr>
                <w:sz w:val="20"/>
                <w:szCs w:val="20"/>
                <w:color w:val="auto"/>
              </w:rPr>
            </w:pPr>
            <w:r>
              <w:rPr>
                <w:rFonts w:ascii="Arial" w:cs="Arial" w:eastAsia="Arial" w:hAnsi="Arial"/>
                <w:sz w:val="18"/>
                <w:szCs w:val="18"/>
                <w:color w:val="auto"/>
              </w:rPr>
              <w:t>Comcast STB Software I, LLC</w:t>
            </w:r>
          </w:p>
        </w:tc>
        <w:tc>
          <w:tcPr>
            <w:tcW w:w="2440" w:type="dxa"/>
            <w:vAlign w:val="bottom"/>
          </w:tcPr>
          <w:p>
            <w:pPr>
              <w:jc w:val="right"/>
              <w:spacing w:after="0"/>
              <w:rPr>
                <w:sz w:val="20"/>
                <w:szCs w:val="20"/>
                <w:color w:val="auto"/>
              </w:rPr>
            </w:pPr>
            <w:r>
              <w:rPr>
                <w:rFonts w:ascii="Arial" w:cs="Arial" w:eastAsia="Arial" w:hAnsi="Arial"/>
                <w:sz w:val="18"/>
                <w:szCs w:val="18"/>
                <w:color w:val="auto"/>
              </w:rPr>
              <w:t>DE</w:t>
            </w:r>
          </w:p>
        </w:tc>
      </w:tr>
    </w:tbl>
    <w:p>
      <w:pPr>
        <w:jc w:val="right"/>
        <w:spacing w:after="0"/>
        <w:rPr>
          <w:sz w:val="20"/>
          <w:szCs w:val="20"/>
          <w:color w:val="auto"/>
        </w:rPr>
        <w:sectPr>
          <w:pgSz w:w="11900" w:h="16838" w:orient="portrait"/>
          <w:cols w:equalWidth="0" w:num="1">
            <w:col w:w="9019"/>
          </w:cols>
          <w:pgMar w:left="1440" w:top="388" w:right="1440" w:bottom="0" w:gutter="0" w:footer="0" w:header="0"/>
        </w:sectPr>
      </w:pPr>
      <w:r>
        <w:rPr>
          <w:sz w:val="20"/>
          <w:szCs w:val="20"/>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246" name="Picture 2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6"/>
                    <pic:cNvPicPr>
                      <a:picLocks noChangeAspect="1" noChangeArrowheads="1"/>
                    </pic:cNvPicPr>
                  </pic:nvPicPr>
                  <pic:blipFill>
                    <a:blip r:embed="rId253">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p>
    <w:bookmarkStart w:id="182" w:name="page183"/>
    <w:bookmarkEnd w:id="182"/>
    <w:p>
      <w:pPr>
        <w:ind w:left="520"/>
        <w:spacing w:after="0"/>
        <w:rPr>
          <w:sz w:val="20"/>
          <w:szCs w:val="20"/>
          <w:color w:val="auto"/>
        </w:rPr>
      </w:pPr>
      <w:r>
        <w:rPr>
          <w:rFonts w:ascii="Arial" w:cs="Arial" w:eastAsia="Arial" w:hAnsi="Arial"/>
          <w:sz w:val="16"/>
          <w:szCs w:val="16"/>
          <w:color w:val="auto"/>
        </w:rPr>
        <w:t>Comcast STB Software II, LLC</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Arial" w:cs="Arial" w:eastAsia="Arial" w:hAnsi="Arial"/>
          <w:sz w:val="15"/>
          <w:szCs w:val="15"/>
          <w:color w:val="auto"/>
        </w:rPr>
        <w:t>DE</w:t>
      </w:r>
    </w:p>
    <w:p>
      <w:pPr>
        <w:spacing w:after="0" w:line="151" w:lineRule="exact"/>
        <w:rPr>
          <w:sz w:val="20"/>
          <w:szCs w:val="20"/>
          <w:color w:val="auto"/>
        </w:rPr>
      </w:pPr>
    </w:p>
    <w:p>
      <w:pPr>
        <w:sectPr>
          <w:pgSz w:w="11900" w:h="16838" w:orient="portrait"/>
          <w:cols w:equalWidth="0" w:num="2">
            <w:col w:w="7560" w:space="720"/>
            <w:col w:w="739"/>
          </w:cols>
          <w:pgMar w:left="1440" w:top="131" w:right="1440" w:bottom="1440" w:gutter="0" w:footer="0" w:header="0"/>
        </w:sectPr>
      </w:pPr>
    </w:p>
    <w:p>
      <w:pPr>
        <w:ind w:left="520"/>
        <w:spacing w:after="0"/>
        <w:rPr>
          <w:sz w:val="20"/>
          <w:szCs w:val="20"/>
          <w:color w:val="auto"/>
        </w:rPr>
      </w:pPr>
      <w:r>
        <w:rPr>
          <w:rFonts w:ascii="Arial" w:cs="Arial" w:eastAsia="Arial" w:hAnsi="Arial"/>
          <w:sz w:val="16"/>
          <w:szCs w:val="16"/>
          <w:color w:val="auto"/>
        </w:rPr>
        <w:t>Comcast STB Software LIB, LLC</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Arial" w:cs="Arial" w:eastAsia="Arial" w:hAnsi="Arial"/>
          <w:sz w:val="15"/>
          <w:szCs w:val="15"/>
          <w:color w:val="auto"/>
        </w:rPr>
        <w:t>DE</w:t>
      </w:r>
    </w:p>
    <w:p>
      <w:pPr>
        <w:sectPr>
          <w:pgSz w:w="11900" w:h="16838" w:orient="portrait"/>
          <w:cols w:equalWidth="0" w:num="2">
            <w:col w:w="7560" w:space="720"/>
            <w:col w:w="739"/>
          </w:cols>
          <w:pgMar w:left="1440" w:top="131" w:right="1440" w:bottom="1440" w:gutter="0" w:footer="0" w:header="0"/>
          <w:type w:val="continuous"/>
        </w:sectPr>
      </w:pPr>
    </w:p>
    <w:bookmarkStart w:id="183" w:name="page184"/>
    <w:bookmarkEnd w:id="183"/>
    <w:p>
      <w:pPr>
        <w:ind w:left="520"/>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247" name="Picture 2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7"/>
                    <pic:cNvPicPr>
                      <a:picLocks noChangeAspect="1" noChangeArrowheads="1"/>
                    </pic:cNvPicPr>
                  </pic:nvPicPr>
                  <pic:blipFill>
                    <a:blip r:embed="rId254">
                      <a:extLst>
                        <a:ext uri="{28A0092B-C50C-407E-A947-70E740481C1C}"/>
                      </a:extLst>
                    </a:blip>
                    <a:srcRect/>
                    <a:stretch>
                      <a:fillRect/>
                    </a:stretch>
                  </pic:blipFill>
                  <pic:spPr bwMode="auto">
                    <a:xfrm>
                      <a:off x="0" y="0"/>
                      <a:ext cx="7267575" cy="27940"/>
                    </a:xfrm>
                    <a:prstGeom prst="rect">
                      <a:avLst/>
                    </a:prstGeom>
                    <a:noFill/>
                  </pic:spPr>
                </pic:pic>
              </a:graphicData>
            </a:graphic>
          </wp:anchor>
        </w:drawing>
        <w:t>Comcast STB Software MOT, LLC</w:t>
      </w:r>
    </w:p>
    <w:p>
      <w:pPr>
        <w:spacing w:after="0" w:line="117" w:lineRule="exact"/>
        <w:rPr>
          <w:sz w:val="20"/>
          <w:szCs w:val="20"/>
          <w:color w:val="auto"/>
        </w:rPr>
      </w:pPr>
    </w:p>
    <w:p>
      <w:pPr>
        <w:ind w:left="520"/>
        <w:spacing w:after="0"/>
        <w:rPr>
          <w:sz w:val="20"/>
          <w:szCs w:val="20"/>
          <w:color w:val="auto"/>
        </w:rPr>
      </w:pPr>
      <w:r>
        <w:rPr>
          <w:rFonts w:ascii="Arial" w:cs="Arial" w:eastAsia="Arial" w:hAnsi="Arial"/>
          <w:sz w:val="18"/>
          <w:szCs w:val="18"/>
          <w:color w:val="auto"/>
        </w:rPr>
        <w:t>Comcast STB Software PAN, LLC</w:t>
      </w:r>
    </w:p>
    <w:p>
      <w:pPr>
        <w:spacing w:after="0" w:line="117" w:lineRule="exact"/>
        <w:rPr>
          <w:sz w:val="20"/>
          <w:szCs w:val="20"/>
          <w:color w:val="auto"/>
        </w:rPr>
      </w:pPr>
    </w:p>
    <w:p>
      <w:pPr>
        <w:ind w:left="520"/>
        <w:spacing w:after="0"/>
        <w:rPr>
          <w:sz w:val="20"/>
          <w:szCs w:val="20"/>
          <w:color w:val="auto"/>
        </w:rPr>
      </w:pPr>
      <w:r>
        <w:rPr>
          <w:rFonts w:ascii="Arial" w:cs="Arial" w:eastAsia="Arial" w:hAnsi="Arial"/>
          <w:sz w:val="18"/>
          <w:szCs w:val="18"/>
          <w:color w:val="auto"/>
        </w:rPr>
        <w:t>Comcast STB Software PM, LLC</w:t>
      </w:r>
    </w:p>
    <w:p>
      <w:pPr>
        <w:spacing w:after="0" w:line="117" w:lineRule="exact"/>
        <w:rPr>
          <w:sz w:val="20"/>
          <w:szCs w:val="20"/>
          <w:color w:val="auto"/>
        </w:rPr>
      </w:pPr>
    </w:p>
    <w:p>
      <w:pPr>
        <w:ind w:left="520"/>
        <w:spacing w:after="0"/>
        <w:rPr>
          <w:sz w:val="20"/>
          <w:szCs w:val="20"/>
          <w:color w:val="auto"/>
        </w:rPr>
      </w:pPr>
      <w:r>
        <w:rPr>
          <w:rFonts w:ascii="Arial" w:cs="Arial" w:eastAsia="Arial" w:hAnsi="Arial"/>
          <w:sz w:val="18"/>
          <w:szCs w:val="18"/>
          <w:color w:val="auto"/>
        </w:rPr>
        <w:t>Comcast STB Software TW, LLC</w:t>
      </w:r>
    </w:p>
    <w:p>
      <w:pPr>
        <w:spacing w:after="0" w:line="117" w:lineRule="exact"/>
        <w:rPr>
          <w:sz w:val="20"/>
          <w:szCs w:val="20"/>
          <w:color w:val="auto"/>
        </w:rPr>
      </w:pPr>
    </w:p>
    <w:p>
      <w:pPr>
        <w:ind w:left="520"/>
        <w:spacing w:after="0"/>
        <w:rPr>
          <w:sz w:val="20"/>
          <w:szCs w:val="20"/>
          <w:color w:val="auto"/>
        </w:rPr>
      </w:pPr>
      <w:r>
        <w:rPr>
          <w:rFonts w:ascii="Arial" w:cs="Arial" w:eastAsia="Arial" w:hAnsi="Arial"/>
          <w:sz w:val="18"/>
          <w:szCs w:val="18"/>
          <w:color w:val="auto"/>
        </w:rPr>
        <w:t>Comcast Studio Investments, Inc.</w:t>
      </w:r>
    </w:p>
    <w:p>
      <w:pPr>
        <w:spacing w:after="0" w:line="117" w:lineRule="exact"/>
        <w:rPr>
          <w:sz w:val="20"/>
          <w:szCs w:val="20"/>
          <w:color w:val="auto"/>
        </w:rPr>
      </w:pPr>
    </w:p>
    <w:p>
      <w:pPr>
        <w:ind w:left="520"/>
        <w:spacing w:after="0"/>
        <w:rPr>
          <w:sz w:val="20"/>
          <w:szCs w:val="20"/>
          <w:color w:val="auto"/>
        </w:rPr>
      </w:pPr>
      <w:r>
        <w:rPr>
          <w:rFonts w:ascii="Arial" w:cs="Arial" w:eastAsia="Arial" w:hAnsi="Arial"/>
          <w:sz w:val="18"/>
          <w:szCs w:val="18"/>
          <w:color w:val="auto"/>
        </w:rPr>
        <w:t>Comcast TCP Holdings, Inc.</w:t>
      </w:r>
    </w:p>
    <w:p>
      <w:pPr>
        <w:spacing w:after="0" w:line="117" w:lineRule="exact"/>
        <w:rPr>
          <w:sz w:val="20"/>
          <w:szCs w:val="20"/>
          <w:color w:val="auto"/>
        </w:rPr>
      </w:pPr>
    </w:p>
    <w:p>
      <w:pPr>
        <w:ind w:left="520"/>
        <w:spacing w:after="0"/>
        <w:rPr>
          <w:sz w:val="20"/>
          <w:szCs w:val="20"/>
          <w:color w:val="auto"/>
        </w:rPr>
      </w:pPr>
      <w:r>
        <w:rPr>
          <w:rFonts w:ascii="Arial" w:cs="Arial" w:eastAsia="Arial" w:hAnsi="Arial"/>
          <w:sz w:val="18"/>
          <w:szCs w:val="18"/>
          <w:color w:val="auto"/>
        </w:rPr>
        <w:t>Comcast TCP Holdings, LLC</w:t>
      </w:r>
    </w:p>
    <w:p>
      <w:pPr>
        <w:spacing w:after="0" w:line="117" w:lineRule="exact"/>
        <w:rPr>
          <w:sz w:val="20"/>
          <w:szCs w:val="20"/>
          <w:color w:val="auto"/>
        </w:rPr>
      </w:pPr>
    </w:p>
    <w:p>
      <w:pPr>
        <w:ind w:left="520"/>
        <w:spacing w:after="0"/>
        <w:rPr>
          <w:sz w:val="20"/>
          <w:szCs w:val="20"/>
          <w:color w:val="auto"/>
        </w:rPr>
      </w:pPr>
      <w:r>
        <w:rPr>
          <w:rFonts w:ascii="Arial" w:cs="Arial" w:eastAsia="Arial" w:hAnsi="Arial"/>
          <w:sz w:val="18"/>
          <w:szCs w:val="18"/>
          <w:color w:val="auto"/>
        </w:rPr>
        <w:t>Comcast Technology, Inc.</w:t>
      </w:r>
    </w:p>
    <w:p>
      <w:pPr>
        <w:spacing w:after="0" w:line="117" w:lineRule="exact"/>
        <w:rPr>
          <w:sz w:val="20"/>
          <w:szCs w:val="20"/>
          <w:color w:val="auto"/>
        </w:rPr>
      </w:pPr>
    </w:p>
    <w:p>
      <w:pPr>
        <w:ind w:left="520"/>
        <w:spacing w:after="0"/>
        <w:rPr>
          <w:sz w:val="20"/>
          <w:szCs w:val="20"/>
          <w:color w:val="auto"/>
        </w:rPr>
      </w:pPr>
      <w:r>
        <w:rPr>
          <w:rFonts w:ascii="Arial" w:cs="Arial" w:eastAsia="Arial" w:hAnsi="Arial"/>
          <w:sz w:val="18"/>
          <w:szCs w:val="18"/>
          <w:color w:val="auto"/>
        </w:rPr>
        <w:t>Comcast Telephony Communications of California, Inc.</w:t>
      </w:r>
    </w:p>
    <w:p>
      <w:pPr>
        <w:spacing w:after="0" w:line="117" w:lineRule="exact"/>
        <w:rPr>
          <w:sz w:val="20"/>
          <w:szCs w:val="20"/>
          <w:color w:val="auto"/>
        </w:rPr>
      </w:pPr>
    </w:p>
    <w:p>
      <w:pPr>
        <w:ind w:left="520"/>
        <w:spacing w:after="0"/>
        <w:rPr>
          <w:sz w:val="20"/>
          <w:szCs w:val="20"/>
          <w:color w:val="auto"/>
        </w:rPr>
      </w:pPr>
      <w:r>
        <w:rPr>
          <w:rFonts w:ascii="Arial" w:cs="Arial" w:eastAsia="Arial" w:hAnsi="Arial"/>
          <w:sz w:val="18"/>
          <w:szCs w:val="18"/>
          <w:color w:val="auto"/>
        </w:rPr>
        <w:t>Comcast Telephony Communications of Connecticut, Inc.</w:t>
      </w:r>
    </w:p>
    <w:p>
      <w:pPr>
        <w:spacing w:after="0" w:line="117" w:lineRule="exact"/>
        <w:rPr>
          <w:sz w:val="20"/>
          <w:szCs w:val="20"/>
          <w:color w:val="auto"/>
        </w:rPr>
      </w:pPr>
    </w:p>
    <w:p>
      <w:pPr>
        <w:ind w:left="520"/>
        <w:spacing w:after="0"/>
        <w:rPr>
          <w:sz w:val="20"/>
          <w:szCs w:val="20"/>
          <w:color w:val="auto"/>
        </w:rPr>
      </w:pPr>
      <w:r>
        <w:rPr>
          <w:rFonts w:ascii="Arial" w:cs="Arial" w:eastAsia="Arial" w:hAnsi="Arial"/>
          <w:sz w:val="18"/>
          <w:szCs w:val="18"/>
          <w:color w:val="auto"/>
        </w:rPr>
        <w:t>Comcast Telephony Communications of Delaware, Inc.</w:t>
      </w:r>
    </w:p>
    <w:p>
      <w:pPr>
        <w:spacing w:after="0" w:line="117" w:lineRule="exact"/>
        <w:rPr>
          <w:sz w:val="20"/>
          <w:szCs w:val="20"/>
          <w:color w:val="auto"/>
        </w:rPr>
      </w:pPr>
    </w:p>
    <w:p>
      <w:pPr>
        <w:ind w:left="520"/>
        <w:spacing w:after="0"/>
        <w:rPr>
          <w:sz w:val="20"/>
          <w:szCs w:val="20"/>
          <w:color w:val="auto"/>
        </w:rPr>
      </w:pPr>
      <w:r>
        <w:rPr>
          <w:rFonts w:ascii="Arial" w:cs="Arial" w:eastAsia="Arial" w:hAnsi="Arial"/>
          <w:sz w:val="18"/>
          <w:szCs w:val="18"/>
          <w:color w:val="auto"/>
        </w:rPr>
        <w:t>Comcast Telephony Communications of Georgia, Inc.</w:t>
      </w:r>
    </w:p>
    <w:p>
      <w:pPr>
        <w:spacing w:after="0" w:line="117" w:lineRule="exact"/>
        <w:rPr>
          <w:sz w:val="20"/>
          <w:szCs w:val="20"/>
          <w:color w:val="auto"/>
        </w:rPr>
      </w:pPr>
    </w:p>
    <w:p>
      <w:pPr>
        <w:ind w:left="520"/>
        <w:spacing w:after="0"/>
        <w:rPr>
          <w:sz w:val="20"/>
          <w:szCs w:val="20"/>
          <w:color w:val="auto"/>
        </w:rPr>
      </w:pPr>
      <w:r>
        <w:rPr>
          <w:rFonts w:ascii="Arial" w:cs="Arial" w:eastAsia="Arial" w:hAnsi="Arial"/>
          <w:sz w:val="18"/>
          <w:szCs w:val="18"/>
          <w:color w:val="auto"/>
        </w:rPr>
        <w:t>Comcast Telephony Communications of Indiana, Inc.</w:t>
      </w:r>
    </w:p>
    <w:p>
      <w:pPr>
        <w:spacing w:after="0" w:line="117" w:lineRule="exact"/>
        <w:rPr>
          <w:sz w:val="20"/>
          <w:szCs w:val="20"/>
          <w:color w:val="auto"/>
        </w:rPr>
      </w:pPr>
    </w:p>
    <w:p>
      <w:pPr>
        <w:ind w:left="520"/>
        <w:spacing w:after="0"/>
        <w:rPr>
          <w:sz w:val="20"/>
          <w:szCs w:val="20"/>
          <w:color w:val="auto"/>
        </w:rPr>
      </w:pPr>
      <w:r>
        <w:rPr>
          <w:rFonts w:ascii="Arial" w:cs="Arial" w:eastAsia="Arial" w:hAnsi="Arial"/>
          <w:sz w:val="18"/>
          <w:szCs w:val="18"/>
          <w:color w:val="auto"/>
        </w:rPr>
        <w:t>Comcast Telephony Communications of Pennsylvania, Inc.</w:t>
      </w:r>
    </w:p>
    <w:p>
      <w:pPr>
        <w:spacing w:after="0" w:line="117" w:lineRule="exact"/>
        <w:rPr>
          <w:sz w:val="20"/>
          <w:szCs w:val="20"/>
          <w:color w:val="auto"/>
        </w:rPr>
      </w:pPr>
    </w:p>
    <w:p>
      <w:pPr>
        <w:ind w:left="520"/>
        <w:spacing w:after="0"/>
        <w:rPr>
          <w:sz w:val="20"/>
          <w:szCs w:val="20"/>
          <w:color w:val="auto"/>
        </w:rPr>
      </w:pPr>
      <w:r>
        <w:rPr>
          <w:rFonts w:ascii="Arial" w:cs="Arial" w:eastAsia="Arial" w:hAnsi="Arial"/>
          <w:sz w:val="18"/>
          <w:szCs w:val="18"/>
          <w:color w:val="auto"/>
        </w:rPr>
        <w:t>Comcast Telephony Communications, LLC</w:t>
      </w:r>
    </w:p>
    <w:p>
      <w:pPr>
        <w:spacing w:after="0" w:line="117" w:lineRule="exact"/>
        <w:rPr>
          <w:sz w:val="20"/>
          <w:szCs w:val="20"/>
          <w:color w:val="auto"/>
        </w:rPr>
      </w:pPr>
    </w:p>
    <w:p>
      <w:pPr>
        <w:ind w:left="520"/>
        <w:spacing w:after="0"/>
        <w:rPr>
          <w:sz w:val="20"/>
          <w:szCs w:val="20"/>
          <w:color w:val="auto"/>
        </w:rPr>
      </w:pPr>
      <w:r>
        <w:rPr>
          <w:rFonts w:ascii="Arial" w:cs="Arial" w:eastAsia="Arial" w:hAnsi="Arial"/>
          <w:sz w:val="18"/>
          <w:szCs w:val="18"/>
          <w:color w:val="auto"/>
        </w:rPr>
        <w:t>Comcast Telephony Services Holdings, Inc.</w:t>
      </w:r>
    </w:p>
    <w:p>
      <w:pPr>
        <w:spacing w:after="0" w:line="117" w:lineRule="exact"/>
        <w:rPr>
          <w:sz w:val="20"/>
          <w:szCs w:val="20"/>
          <w:color w:val="auto"/>
        </w:rPr>
      </w:pPr>
    </w:p>
    <w:p>
      <w:pPr>
        <w:ind w:left="520"/>
        <w:spacing w:after="0"/>
        <w:rPr>
          <w:sz w:val="20"/>
          <w:szCs w:val="20"/>
          <w:color w:val="auto"/>
        </w:rPr>
      </w:pPr>
      <w:r>
        <w:rPr>
          <w:rFonts w:ascii="Arial" w:cs="Arial" w:eastAsia="Arial" w:hAnsi="Arial"/>
          <w:sz w:val="18"/>
          <w:szCs w:val="18"/>
          <w:color w:val="auto"/>
        </w:rPr>
        <w:t>Comcast Telephony Services II, Inc.</w:t>
      </w:r>
    </w:p>
    <w:p>
      <w:pPr>
        <w:spacing w:after="0" w:line="117" w:lineRule="exact"/>
        <w:rPr>
          <w:sz w:val="20"/>
          <w:szCs w:val="20"/>
          <w:color w:val="auto"/>
        </w:rPr>
      </w:pPr>
    </w:p>
    <w:p>
      <w:pPr>
        <w:ind w:left="520"/>
        <w:spacing w:after="0"/>
        <w:rPr>
          <w:sz w:val="20"/>
          <w:szCs w:val="20"/>
          <w:color w:val="auto"/>
        </w:rPr>
      </w:pPr>
      <w:r>
        <w:rPr>
          <w:rFonts w:ascii="Arial" w:cs="Arial" w:eastAsia="Arial" w:hAnsi="Arial"/>
          <w:sz w:val="18"/>
          <w:szCs w:val="18"/>
          <w:color w:val="auto"/>
        </w:rPr>
        <w:t>Comcast TKI Holdings, Inc.</w:t>
      </w:r>
    </w:p>
    <w:p>
      <w:pPr>
        <w:spacing w:after="0" w:line="117" w:lineRule="exact"/>
        <w:rPr>
          <w:sz w:val="20"/>
          <w:szCs w:val="20"/>
          <w:color w:val="auto"/>
        </w:rPr>
      </w:pPr>
    </w:p>
    <w:p>
      <w:pPr>
        <w:ind w:left="520"/>
        <w:spacing w:after="0"/>
        <w:rPr>
          <w:sz w:val="20"/>
          <w:szCs w:val="20"/>
          <w:color w:val="auto"/>
        </w:rPr>
      </w:pPr>
      <w:r>
        <w:rPr>
          <w:rFonts w:ascii="Arial" w:cs="Arial" w:eastAsia="Arial" w:hAnsi="Arial"/>
          <w:sz w:val="18"/>
          <w:szCs w:val="18"/>
          <w:color w:val="auto"/>
        </w:rPr>
        <w:t>Comcast TW Exchange Holdings I GP, LLC</w:t>
      </w:r>
    </w:p>
    <w:p>
      <w:pPr>
        <w:spacing w:after="0" w:line="117" w:lineRule="exact"/>
        <w:rPr>
          <w:sz w:val="20"/>
          <w:szCs w:val="20"/>
          <w:color w:val="auto"/>
        </w:rPr>
      </w:pPr>
    </w:p>
    <w:p>
      <w:pPr>
        <w:ind w:left="520"/>
        <w:spacing w:after="0"/>
        <w:rPr>
          <w:sz w:val="20"/>
          <w:szCs w:val="20"/>
          <w:color w:val="auto"/>
        </w:rPr>
      </w:pPr>
      <w:r>
        <w:rPr>
          <w:rFonts w:ascii="Arial" w:cs="Arial" w:eastAsia="Arial" w:hAnsi="Arial"/>
          <w:sz w:val="18"/>
          <w:szCs w:val="18"/>
          <w:color w:val="auto"/>
        </w:rPr>
        <w:t>Comcast TW Exchange Holdings I, LP</w:t>
      </w:r>
    </w:p>
    <w:p>
      <w:pPr>
        <w:spacing w:after="0" w:line="117" w:lineRule="exact"/>
        <w:rPr>
          <w:sz w:val="20"/>
          <w:szCs w:val="20"/>
          <w:color w:val="auto"/>
        </w:rPr>
      </w:pPr>
    </w:p>
    <w:p>
      <w:pPr>
        <w:ind w:left="520"/>
        <w:spacing w:after="0"/>
        <w:rPr>
          <w:sz w:val="20"/>
          <w:szCs w:val="20"/>
          <w:color w:val="auto"/>
        </w:rPr>
      </w:pPr>
      <w:r>
        <w:rPr>
          <w:rFonts w:ascii="Arial" w:cs="Arial" w:eastAsia="Arial" w:hAnsi="Arial"/>
          <w:sz w:val="18"/>
          <w:szCs w:val="18"/>
          <w:color w:val="auto"/>
        </w:rPr>
        <w:t>Comcast TW Exchange Holdings II GP, LLC</w:t>
      </w:r>
    </w:p>
    <w:p>
      <w:pPr>
        <w:spacing w:after="0" w:line="117" w:lineRule="exact"/>
        <w:rPr>
          <w:sz w:val="20"/>
          <w:szCs w:val="20"/>
          <w:color w:val="auto"/>
        </w:rPr>
      </w:pPr>
    </w:p>
    <w:p>
      <w:pPr>
        <w:ind w:left="520"/>
        <w:spacing w:after="0"/>
        <w:rPr>
          <w:sz w:val="20"/>
          <w:szCs w:val="20"/>
          <w:color w:val="auto"/>
        </w:rPr>
      </w:pPr>
      <w:r>
        <w:rPr>
          <w:rFonts w:ascii="Arial" w:cs="Arial" w:eastAsia="Arial" w:hAnsi="Arial"/>
          <w:sz w:val="18"/>
          <w:szCs w:val="18"/>
          <w:color w:val="auto"/>
        </w:rPr>
        <w:t>Comcast TW Exchange Holdings II, LP</w:t>
      </w:r>
    </w:p>
    <w:p>
      <w:pPr>
        <w:spacing w:after="0" w:line="117" w:lineRule="exact"/>
        <w:rPr>
          <w:sz w:val="20"/>
          <w:szCs w:val="20"/>
          <w:color w:val="auto"/>
        </w:rPr>
      </w:pPr>
    </w:p>
    <w:p>
      <w:pPr>
        <w:ind w:left="520"/>
        <w:spacing w:after="0"/>
        <w:rPr>
          <w:sz w:val="20"/>
          <w:szCs w:val="20"/>
          <w:color w:val="auto"/>
        </w:rPr>
      </w:pPr>
      <w:r>
        <w:rPr>
          <w:rFonts w:ascii="Arial" w:cs="Arial" w:eastAsia="Arial" w:hAnsi="Arial"/>
          <w:sz w:val="18"/>
          <w:szCs w:val="18"/>
          <w:color w:val="auto"/>
        </w:rPr>
        <w:t>Comcast TW Holdings, Inc.</w:t>
      </w:r>
    </w:p>
    <w:p>
      <w:pPr>
        <w:spacing w:after="0" w:line="117" w:lineRule="exact"/>
        <w:rPr>
          <w:sz w:val="20"/>
          <w:szCs w:val="20"/>
          <w:color w:val="auto"/>
        </w:rPr>
      </w:pPr>
    </w:p>
    <w:p>
      <w:pPr>
        <w:ind w:left="520"/>
        <w:spacing w:after="0"/>
        <w:rPr>
          <w:sz w:val="20"/>
          <w:szCs w:val="20"/>
          <w:color w:val="auto"/>
        </w:rPr>
      </w:pPr>
      <w:r>
        <w:rPr>
          <w:rFonts w:ascii="Arial" w:cs="Arial" w:eastAsia="Arial" w:hAnsi="Arial"/>
          <w:sz w:val="18"/>
          <w:szCs w:val="18"/>
          <w:color w:val="auto"/>
        </w:rPr>
        <w:t>Comcast Venezuela PCS, Inc.</w:t>
      </w:r>
    </w:p>
    <w:p>
      <w:pPr>
        <w:spacing w:after="0" w:line="117" w:lineRule="exact"/>
        <w:rPr>
          <w:sz w:val="20"/>
          <w:szCs w:val="20"/>
          <w:color w:val="auto"/>
        </w:rPr>
      </w:pPr>
    </w:p>
    <w:p>
      <w:pPr>
        <w:ind w:left="520"/>
        <w:spacing w:after="0"/>
        <w:rPr>
          <w:sz w:val="20"/>
          <w:szCs w:val="20"/>
          <w:color w:val="auto"/>
        </w:rPr>
      </w:pPr>
      <w:r>
        <w:rPr>
          <w:rFonts w:ascii="Arial" w:cs="Arial" w:eastAsia="Arial" w:hAnsi="Arial"/>
          <w:sz w:val="18"/>
          <w:szCs w:val="18"/>
          <w:color w:val="auto"/>
        </w:rPr>
        <w:t>Comcast VF Holdings, Inc.</w:t>
      </w:r>
    </w:p>
    <w:p>
      <w:pPr>
        <w:spacing w:after="0" w:line="117" w:lineRule="exact"/>
        <w:rPr>
          <w:sz w:val="20"/>
          <w:szCs w:val="20"/>
          <w:color w:val="auto"/>
        </w:rPr>
      </w:pPr>
    </w:p>
    <w:p>
      <w:pPr>
        <w:ind w:left="520"/>
        <w:spacing w:after="0"/>
        <w:rPr>
          <w:sz w:val="20"/>
          <w:szCs w:val="20"/>
          <w:color w:val="auto"/>
        </w:rPr>
      </w:pPr>
      <w:r>
        <w:rPr>
          <w:rFonts w:ascii="Arial" w:cs="Arial" w:eastAsia="Arial" w:hAnsi="Arial"/>
          <w:sz w:val="18"/>
          <w:szCs w:val="18"/>
          <w:color w:val="auto"/>
        </w:rPr>
        <w:t>Comcast Visible World Holdings, Inc.</w:t>
      </w:r>
    </w:p>
    <w:p>
      <w:pPr>
        <w:spacing w:after="0" w:line="117" w:lineRule="exact"/>
        <w:rPr>
          <w:sz w:val="20"/>
          <w:szCs w:val="20"/>
          <w:color w:val="auto"/>
        </w:rPr>
      </w:pPr>
    </w:p>
    <w:p>
      <w:pPr>
        <w:ind w:left="520"/>
        <w:spacing w:after="0"/>
        <w:rPr>
          <w:sz w:val="20"/>
          <w:szCs w:val="20"/>
          <w:color w:val="auto"/>
        </w:rPr>
      </w:pPr>
      <w:r>
        <w:rPr>
          <w:rFonts w:ascii="Arial" w:cs="Arial" w:eastAsia="Arial" w:hAnsi="Arial"/>
          <w:sz w:val="18"/>
          <w:szCs w:val="18"/>
          <w:color w:val="auto"/>
        </w:rPr>
        <w:t>Comcast WCS Holdings, Inc.</w:t>
      </w:r>
    </w:p>
    <w:p>
      <w:pPr>
        <w:spacing w:after="0" w:line="117" w:lineRule="exact"/>
        <w:rPr>
          <w:sz w:val="20"/>
          <w:szCs w:val="20"/>
          <w:color w:val="auto"/>
        </w:rPr>
      </w:pPr>
    </w:p>
    <w:p>
      <w:pPr>
        <w:ind w:left="520"/>
        <w:spacing w:after="0"/>
        <w:rPr>
          <w:sz w:val="20"/>
          <w:szCs w:val="20"/>
          <w:color w:val="auto"/>
        </w:rPr>
      </w:pPr>
      <w:r>
        <w:rPr>
          <w:rFonts w:ascii="Arial" w:cs="Arial" w:eastAsia="Arial" w:hAnsi="Arial"/>
          <w:sz w:val="18"/>
          <w:szCs w:val="18"/>
          <w:color w:val="auto"/>
        </w:rPr>
        <w:t>Comcast WCS ME02, Inc.</w:t>
      </w:r>
    </w:p>
    <w:p>
      <w:pPr>
        <w:spacing w:after="0" w:line="117" w:lineRule="exact"/>
        <w:rPr>
          <w:sz w:val="20"/>
          <w:szCs w:val="20"/>
          <w:color w:val="auto"/>
        </w:rPr>
      </w:pPr>
    </w:p>
    <w:p>
      <w:pPr>
        <w:ind w:left="520"/>
        <w:spacing w:after="0"/>
        <w:rPr>
          <w:sz w:val="20"/>
          <w:szCs w:val="20"/>
          <w:color w:val="auto"/>
        </w:rPr>
      </w:pPr>
      <w:r>
        <w:rPr>
          <w:rFonts w:ascii="Arial" w:cs="Arial" w:eastAsia="Arial" w:hAnsi="Arial"/>
          <w:sz w:val="18"/>
          <w:szCs w:val="18"/>
          <w:color w:val="auto"/>
        </w:rPr>
        <w:t>Comcast WCS ME04, Inc.</w:t>
      </w:r>
    </w:p>
    <w:p>
      <w:pPr>
        <w:spacing w:after="0" w:line="117" w:lineRule="exact"/>
        <w:rPr>
          <w:sz w:val="20"/>
          <w:szCs w:val="20"/>
          <w:color w:val="auto"/>
        </w:rPr>
      </w:pPr>
    </w:p>
    <w:p>
      <w:pPr>
        <w:ind w:left="520"/>
        <w:spacing w:after="0"/>
        <w:rPr>
          <w:sz w:val="20"/>
          <w:szCs w:val="20"/>
          <w:color w:val="auto"/>
        </w:rPr>
      </w:pPr>
      <w:r>
        <w:rPr>
          <w:rFonts w:ascii="Arial" w:cs="Arial" w:eastAsia="Arial" w:hAnsi="Arial"/>
          <w:sz w:val="18"/>
          <w:szCs w:val="18"/>
          <w:color w:val="auto"/>
        </w:rPr>
        <w:t>Comcast WCS ME05, Inc.</w:t>
      </w:r>
    </w:p>
    <w:p>
      <w:pPr>
        <w:spacing w:after="0" w:line="117" w:lineRule="exact"/>
        <w:rPr>
          <w:sz w:val="20"/>
          <w:szCs w:val="20"/>
          <w:color w:val="auto"/>
        </w:rPr>
      </w:pPr>
    </w:p>
    <w:p>
      <w:pPr>
        <w:ind w:left="520"/>
        <w:spacing w:after="0"/>
        <w:rPr>
          <w:sz w:val="20"/>
          <w:szCs w:val="20"/>
          <w:color w:val="auto"/>
        </w:rPr>
      </w:pPr>
      <w:r>
        <w:rPr>
          <w:rFonts w:ascii="Arial" w:cs="Arial" w:eastAsia="Arial" w:hAnsi="Arial"/>
          <w:sz w:val="18"/>
          <w:szCs w:val="18"/>
          <w:color w:val="auto"/>
        </w:rPr>
        <w:t>Comcast WCS ME16, Inc.</w:t>
      </w:r>
    </w:p>
    <w:p>
      <w:pPr>
        <w:spacing w:after="0" w:line="117" w:lineRule="exact"/>
        <w:rPr>
          <w:sz w:val="20"/>
          <w:szCs w:val="20"/>
          <w:color w:val="auto"/>
        </w:rPr>
      </w:pPr>
    </w:p>
    <w:p>
      <w:pPr>
        <w:ind w:left="520"/>
        <w:spacing w:after="0"/>
        <w:rPr>
          <w:sz w:val="20"/>
          <w:szCs w:val="20"/>
          <w:color w:val="auto"/>
        </w:rPr>
      </w:pPr>
      <w:r>
        <w:rPr>
          <w:rFonts w:ascii="Arial" w:cs="Arial" w:eastAsia="Arial" w:hAnsi="Arial"/>
          <w:sz w:val="18"/>
          <w:szCs w:val="18"/>
          <w:color w:val="auto"/>
        </w:rPr>
        <w:t>Comcast WCS ME19, Inc.</w:t>
      </w:r>
    </w:p>
    <w:p>
      <w:pPr>
        <w:spacing w:after="0" w:line="117" w:lineRule="exact"/>
        <w:rPr>
          <w:sz w:val="20"/>
          <w:szCs w:val="20"/>
          <w:color w:val="auto"/>
        </w:rPr>
      </w:pPr>
    </w:p>
    <w:p>
      <w:pPr>
        <w:ind w:left="520"/>
        <w:spacing w:after="0"/>
        <w:rPr>
          <w:sz w:val="20"/>
          <w:szCs w:val="20"/>
          <w:color w:val="auto"/>
        </w:rPr>
      </w:pPr>
      <w:r>
        <w:rPr>
          <w:rFonts w:ascii="Arial" w:cs="Arial" w:eastAsia="Arial" w:hAnsi="Arial"/>
          <w:sz w:val="18"/>
          <w:szCs w:val="18"/>
          <w:color w:val="auto"/>
        </w:rPr>
        <w:t>Comcast WCS ME22, Inc.</w:t>
      </w:r>
    </w:p>
    <w:p>
      <w:pPr>
        <w:spacing w:after="0" w:line="117" w:lineRule="exact"/>
        <w:rPr>
          <w:sz w:val="20"/>
          <w:szCs w:val="20"/>
          <w:color w:val="auto"/>
        </w:rPr>
      </w:pPr>
    </w:p>
    <w:p>
      <w:pPr>
        <w:ind w:left="520"/>
        <w:spacing w:after="0"/>
        <w:rPr>
          <w:sz w:val="20"/>
          <w:szCs w:val="20"/>
          <w:color w:val="auto"/>
        </w:rPr>
      </w:pPr>
      <w:r>
        <w:rPr>
          <w:rFonts w:ascii="Arial" w:cs="Arial" w:eastAsia="Arial" w:hAnsi="Arial"/>
          <w:sz w:val="18"/>
          <w:szCs w:val="18"/>
          <w:color w:val="auto"/>
        </w:rPr>
        <w:t>Comcast WCS ME26, Inc.</w:t>
      </w:r>
    </w:p>
    <w:p>
      <w:pPr>
        <w:spacing w:after="0" w:line="117" w:lineRule="exact"/>
        <w:rPr>
          <w:sz w:val="20"/>
          <w:szCs w:val="20"/>
          <w:color w:val="auto"/>
        </w:rPr>
      </w:pPr>
    </w:p>
    <w:p>
      <w:pPr>
        <w:ind w:left="520"/>
        <w:spacing w:after="0"/>
        <w:rPr>
          <w:sz w:val="20"/>
          <w:szCs w:val="20"/>
          <w:color w:val="auto"/>
        </w:rPr>
      </w:pPr>
      <w:r>
        <w:rPr>
          <w:rFonts w:ascii="Arial" w:cs="Arial" w:eastAsia="Arial" w:hAnsi="Arial"/>
          <w:sz w:val="18"/>
          <w:szCs w:val="18"/>
          <w:color w:val="auto"/>
        </w:rPr>
        <w:t>Comcast WCS ME28, Inc.</w:t>
      </w:r>
    </w:p>
    <w:p>
      <w:pPr>
        <w:spacing w:after="0" w:line="117" w:lineRule="exact"/>
        <w:rPr>
          <w:sz w:val="20"/>
          <w:szCs w:val="20"/>
          <w:color w:val="auto"/>
        </w:rPr>
      </w:pPr>
    </w:p>
    <w:p>
      <w:pPr>
        <w:ind w:left="520"/>
        <w:spacing w:after="0"/>
        <w:rPr>
          <w:sz w:val="20"/>
          <w:szCs w:val="20"/>
          <w:color w:val="auto"/>
        </w:rPr>
      </w:pPr>
      <w:r>
        <w:rPr>
          <w:rFonts w:ascii="Arial" w:cs="Arial" w:eastAsia="Arial" w:hAnsi="Arial"/>
          <w:sz w:val="18"/>
          <w:szCs w:val="18"/>
          <w:color w:val="auto"/>
        </w:rPr>
        <w:t>Comcast WCS Merger Holdings, Inc.</w:t>
      </w:r>
    </w:p>
    <w:p>
      <w:pPr>
        <w:spacing w:after="0" w:line="117" w:lineRule="exact"/>
        <w:rPr>
          <w:sz w:val="20"/>
          <w:szCs w:val="20"/>
          <w:color w:val="auto"/>
        </w:rPr>
      </w:pPr>
    </w:p>
    <w:p>
      <w:pPr>
        <w:ind w:left="520"/>
        <w:spacing w:after="0"/>
        <w:rPr>
          <w:sz w:val="20"/>
          <w:szCs w:val="20"/>
          <w:color w:val="auto"/>
        </w:rPr>
      </w:pPr>
      <w:r>
        <w:rPr>
          <w:rFonts w:ascii="Arial" w:cs="Arial" w:eastAsia="Arial" w:hAnsi="Arial"/>
          <w:sz w:val="18"/>
          <w:szCs w:val="18"/>
          <w:color w:val="auto"/>
        </w:rPr>
        <w:t>Comcast/Mediacom Minneapolis Cable Advertising, LLC</w:t>
      </w:r>
    </w:p>
    <w:p>
      <w:pPr>
        <w:spacing w:after="0" w:line="117" w:lineRule="exact"/>
        <w:rPr>
          <w:sz w:val="20"/>
          <w:szCs w:val="20"/>
          <w:color w:val="auto"/>
        </w:rPr>
      </w:pPr>
    </w:p>
    <w:p>
      <w:pPr>
        <w:ind w:left="520"/>
        <w:spacing w:after="0"/>
        <w:rPr>
          <w:sz w:val="20"/>
          <w:szCs w:val="20"/>
          <w:color w:val="auto"/>
        </w:rPr>
      </w:pPr>
      <w:r>
        <w:rPr>
          <w:rFonts w:ascii="Arial" w:cs="Arial" w:eastAsia="Arial" w:hAnsi="Arial"/>
          <w:sz w:val="18"/>
          <w:szCs w:val="18"/>
          <w:color w:val="auto"/>
        </w:rPr>
        <w:t>Comcast/Time Warner Charleston Cable Advertising, LLC</w:t>
      </w:r>
    </w:p>
    <w:p>
      <w:pPr>
        <w:spacing w:after="0" w:line="117" w:lineRule="exact"/>
        <w:rPr>
          <w:sz w:val="20"/>
          <w:szCs w:val="20"/>
          <w:color w:val="auto"/>
        </w:rPr>
      </w:pPr>
    </w:p>
    <w:p>
      <w:pPr>
        <w:ind w:left="520"/>
        <w:spacing w:after="0"/>
        <w:rPr>
          <w:sz w:val="20"/>
          <w:szCs w:val="20"/>
          <w:color w:val="auto"/>
        </w:rPr>
      </w:pPr>
      <w:r>
        <w:rPr>
          <w:rFonts w:ascii="Arial" w:cs="Arial" w:eastAsia="Arial" w:hAnsi="Arial"/>
          <w:sz w:val="18"/>
          <w:szCs w:val="18"/>
          <w:color w:val="auto"/>
        </w:rPr>
        <w:t>Comcast/Time Warner Detroit Cable Advertising, LLC</w:t>
      </w:r>
    </w:p>
    <w:p>
      <w:pPr>
        <w:spacing w:after="0" w:line="117" w:lineRule="exact"/>
        <w:rPr>
          <w:sz w:val="20"/>
          <w:szCs w:val="20"/>
          <w:color w:val="auto"/>
        </w:rPr>
      </w:pPr>
    </w:p>
    <w:p>
      <w:pPr>
        <w:ind w:left="520"/>
        <w:spacing w:after="0"/>
        <w:rPr>
          <w:sz w:val="20"/>
          <w:szCs w:val="20"/>
          <w:color w:val="auto"/>
        </w:rPr>
      </w:pPr>
      <w:r>
        <w:rPr>
          <w:rFonts w:ascii="Arial" w:cs="Arial" w:eastAsia="Arial" w:hAnsi="Arial"/>
          <w:sz w:val="18"/>
          <w:szCs w:val="18"/>
          <w:color w:val="auto"/>
        </w:rPr>
        <w:t>Comcast/Time Warner Enterprise Cable Advertising, LLC</w:t>
      </w:r>
    </w:p>
    <w:p>
      <w:pPr>
        <w:spacing w:after="0" w:line="117" w:lineRule="exact"/>
        <w:rPr>
          <w:sz w:val="20"/>
          <w:szCs w:val="20"/>
          <w:color w:val="auto"/>
        </w:rPr>
      </w:pPr>
    </w:p>
    <w:p>
      <w:pPr>
        <w:ind w:left="520"/>
        <w:spacing w:after="0"/>
        <w:rPr>
          <w:sz w:val="20"/>
          <w:szCs w:val="20"/>
          <w:color w:val="auto"/>
        </w:rPr>
      </w:pPr>
      <w:r>
        <w:rPr>
          <w:rFonts w:ascii="Arial" w:cs="Arial" w:eastAsia="Arial" w:hAnsi="Arial"/>
          <w:sz w:val="18"/>
          <w:szCs w:val="18"/>
          <w:color w:val="auto"/>
        </w:rPr>
        <w:t>Comcast/Time Warner Franklin Cable Advertising, LLC</w:t>
      </w:r>
    </w:p>
    <w:p>
      <w:pPr>
        <w:spacing w:after="0" w:line="117" w:lineRule="exact"/>
        <w:rPr>
          <w:sz w:val="20"/>
          <w:szCs w:val="20"/>
          <w:color w:val="auto"/>
        </w:rPr>
      </w:pPr>
    </w:p>
    <w:p>
      <w:pPr>
        <w:ind w:left="520"/>
        <w:spacing w:after="0"/>
        <w:rPr>
          <w:sz w:val="20"/>
          <w:szCs w:val="20"/>
          <w:color w:val="auto"/>
        </w:rPr>
      </w:pPr>
      <w:r>
        <w:rPr>
          <w:rFonts w:ascii="Arial" w:cs="Arial" w:eastAsia="Arial" w:hAnsi="Arial"/>
          <w:sz w:val="16"/>
          <w:szCs w:val="16"/>
          <w:color w:val="auto"/>
        </w:rPr>
        <w:t>Comcast/Time Warner Ft. Myers-Naples Cable Advertising, LLC</w:t>
      </w:r>
    </w:p>
    <w:p>
      <w:pPr>
        <w:spacing w:after="0" w:line="140" w:lineRule="exact"/>
        <w:rPr>
          <w:sz w:val="20"/>
          <w:szCs w:val="20"/>
          <w:color w:val="auto"/>
        </w:rPr>
      </w:pPr>
    </w:p>
    <w:p>
      <w:pPr>
        <w:ind w:left="520"/>
        <w:spacing w:after="0"/>
        <w:rPr>
          <w:sz w:val="20"/>
          <w:szCs w:val="20"/>
          <w:color w:val="auto"/>
        </w:rPr>
      </w:pPr>
      <w:r>
        <w:rPr>
          <w:rFonts w:ascii="Arial" w:cs="Arial" w:eastAsia="Arial" w:hAnsi="Arial"/>
          <w:sz w:val="18"/>
          <w:szCs w:val="18"/>
          <w:color w:val="auto"/>
        </w:rPr>
        <w:t>Comcast/Time Warner Hilton Head Cable Advertising, LLC</w:t>
      </w:r>
    </w:p>
    <w:p>
      <w:pPr>
        <w:spacing w:after="0" w:line="117" w:lineRule="exact"/>
        <w:rPr>
          <w:sz w:val="20"/>
          <w:szCs w:val="20"/>
          <w:color w:val="auto"/>
        </w:rPr>
      </w:pPr>
    </w:p>
    <w:p>
      <w:pPr>
        <w:ind w:left="520"/>
        <w:spacing w:after="0"/>
        <w:rPr>
          <w:sz w:val="20"/>
          <w:szCs w:val="20"/>
          <w:color w:val="auto"/>
        </w:rPr>
      </w:pPr>
      <w:r>
        <w:rPr>
          <w:rFonts w:ascii="Arial" w:cs="Arial" w:eastAsia="Arial" w:hAnsi="Arial"/>
          <w:sz w:val="18"/>
          <w:szCs w:val="18"/>
          <w:color w:val="auto"/>
        </w:rPr>
        <w:t>Comcast/Time Warner Jacksonville Cable Advertising, LLC</w:t>
      </w:r>
    </w:p>
    <w:p>
      <w:pPr>
        <w:spacing w:after="0" w:line="117" w:lineRule="exact"/>
        <w:rPr>
          <w:sz w:val="20"/>
          <w:szCs w:val="20"/>
          <w:color w:val="auto"/>
        </w:rPr>
      </w:pPr>
    </w:p>
    <w:p>
      <w:pPr>
        <w:ind w:left="520"/>
        <w:spacing w:after="0"/>
        <w:rPr>
          <w:sz w:val="20"/>
          <w:szCs w:val="20"/>
          <w:color w:val="auto"/>
        </w:rPr>
      </w:pPr>
      <w:r>
        <w:rPr>
          <w:rFonts w:ascii="Arial" w:cs="Arial" w:eastAsia="Arial" w:hAnsi="Arial"/>
          <w:sz w:val="16"/>
          <w:szCs w:val="16"/>
          <w:color w:val="auto"/>
        </w:rPr>
        <w:t>Comcast/Time Warner Littleton/Plymouth Cable Advertising, LLC</w:t>
      </w:r>
    </w:p>
    <w:p>
      <w:pPr>
        <w:spacing w:after="0" w:line="140" w:lineRule="exact"/>
        <w:rPr>
          <w:sz w:val="20"/>
          <w:szCs w:val="20"/>
          <w:color w:val="auto"/>
        </w:rPr>
      </w:pPr>
    </w:p>
    <w:p>
      <w:pPr>
        <w:ind w:left="520"/>
        <w:spacing w:after="0"/>
        <w:rPr>
          <w:sz w:val="20"/>
          <w:szCs w:val="20"/>
          <w:color w:val="auto"/>
        </w:rPr>
      </w:pPr>
      <w:r>
        <w:rPr>
          <w:rFonts w:ascii="Arial" w:cs="Arial" w:eastAsia="Arial" w:hAnsi="Arial"/>
          <w:sz w:val="16"/>
          <w:szCs w:val="16"/>
          <w:color w:val="auto"/>
        </w:rPr>
        <w:t>Comcast/Time Warner New Hampshire Cable Advertising, LLC</w:t>
      </w:r>
    </w:p>
    <w:p>
      <w:pPr>
        <w:spacing w:after="0" w:line="140" w:lineRule="exact"/>
        <w:rPr>
          <w:sz w:val="20"/>
          <w:szCs w:val="20"/>
          <w:color w:val="auto"/>
        </w:rPr>
      </w:pPr>
    </w:p>
    <w:p>
      <w:pPr>
        <w:ind w:left="520"/>
        <w:spacing w:after="0"/>
        <w:rPr>
          <w:sz w:val="20"/>
          <w:szCs w:val="20"/>
          <w:color w:val="auto"/>
        </w:rPr>
      </w:pPr>
      <w:r>
        <w:rPr>
          <w:rFonts w:ascii="Arial" w:cs="Arial" w:eastAsia="Arial" w:hAnsi="Arial"/>
          <w:sz w:val="16"/>
          <w:szCs w:val="16"/>
          <w:color w:val="auto"/>
        </w:rPr>
        <w:t>Comcast/Time Warner Saranac Lake Cable Advertising, LLC</w:t>
      </w:r>
    </w:p>
    <w:p>
      <w:pPr>
        <w:spacing w:after="0" w:line="140" w:lineRule="exact"/>
        <w:rPr>
          <w:sz w:val="20"/>
          <w:szCs w:val="20"/>
          <w:color w:val="auto"/>
        </w:rPr>
      </w:pPr>
    </w:p>
    <w:p>
      <w:pPr>
        <w:ind w:left="520"/>
        <w:spacing w:after="0"/>
        <w:rPr>
          <w:sz w:val="20"/>
          <w:szCs w:val="20"/>
          <w:color w:val="auto"/>
        </w:rPr>
      </w:pPr>
      <w:r>
        <w:rPr>
          <w:rFonts w:ascii="Arial" w:cs="Arial" w:eastAsia="Arial" w:hAnsi="Arial"/>
          <w:sz w:val="18"/>
          <w:szCs w:val="18"/>
          <w:color w:val="auto"/>
        </w:rPr>
        <w:t>Comcast-Spectacor Foundation</w:t>
      </w:r>
    </w:p>
    <w:p>
      <w:pPr>
        <w:spacing w:after="0" w:line="117" w:lineRule="exact"/>
        <w:rPr>
          <w:sz w:val="20"/>
          <w:szCs w:val="20"/>
          <w:color w:val="auto"/>
        </w:rPr>
      </w:pPr>
    </w:p>
    <w:p>
      <w:pPr>
        <w:ind w:left="520"/>
        <w:spacing w:after="0"/>
        <w:rPr>
          <w:sz w:val="20"/>
          <w:szCs w:val="20"/>
          <w:color w:val="auto"/>
        </w:rPr>
      </w:pPr>
      <w:r>
        <w:rPr>
          <w:rFonts w:ascii="Arial" w:cs="Arial" w:eastAsia="Arial" w:hAnsi="Arial"/>
          <w:sz w:val="18"/>
          <w:szCs w:val="18"/>
          <w:color w:val="auto"/>
        </w:rPr>
        <w:t>ComCon Entertainment Holdings, Inc.</w:t>
      </w:r>
    </w:p>
    <w:p>
      <w:pPr>
        <w:spacing w:after="0" w:line="117" w:lineRule="exact"/>
        <w:rPr>
          <w:sz w:val="20"/>
          <w:szCs w:val="20"/>
          <w:color w:val="auto"/>
        </w:rPr>
      </w:pPr>
    </w:p>
    <w:p>
      <w:pPr>
        <w:ind w:left="520"/>
        <w:spacing w:after="0"/>
        <w:rPr>
          <w:sz w:val="20"/>
          <w:szCs w:val="20"/>
          <w:color w:val="auto"/>
        </w:rPr>
      </w:pPr>
      <w:r>
        <w:rPr>
          <w:rFonts w:ascii="Arial" w:cs="Arial" w:eastAsia="Arial" w:hAnsi="Arial"/>
          <w:sz w:val="18"/>
          <w:szCs w:val="18"/>
          <w:color w:val="auto"/>
        </w:rPr>
        <w:t>ComCon Production Services I, Inc.</w:t>
      </w:r>
    </w:p>
    <w:p>
      <w:pPr>
        <w:spacing w:after="0" w:line="20" w:lineRule="exact"/>
        <w:rPr>
          <w:sz w:val="20"/>
          <w:szCs w:val="20"/>
          <w:color w:val="auto"/>
        </w:rPr>
      </w:pPr>
      <w:r>
        <w:rPr>
          <w:sz w:val="20"/>
          <w:szCs w:val="20"/>
          <w:color w:val="auto"/>
        </w:rPr>
        <w:br w:type="column"/>
      </w:r>
    </w:p>
    <w:p>
      <w:pPr>
        <w:ind w:left="40"/>
        <w:spacing w:after="0"/>
        <w:rPr>
          <w:sz w:val="20"/>
          <w:szCs w:val="20"/>
          <w:color w:val="auto"/>
        </w:rPr>
      </w:pPr>
      <w:r>
        <w:rPr>
          <w:rFonts w:ascii="Arial" w:cs="Arial" w:eastAsia="Arial" w:hAnsi="Arial"/>
          <w:sz w:val="15"/>
          <w:szCs w:val="15"/>
          <w:color w:val="auto"/>
        </w:rPr>
        <w:t>DE</w:t>
      </w:r>
    </w:p>
    <w:p>
      <w:pPr>
        <w:spacing w:after="0" w:line="152" w:lineRule="exact"/>
        <w:rPr>
          <w:sz w:val="20"/>
          <w:szCs w:val="20"/>
          <w:color w:val="auto"/>
        </w:rPr>
      </w:pPr>
    </w:p>
    <w:p>
      <w:pPr>
        <w:spacing w:after="0"/>
        <w:rPr>
          <w:sz w:val="20"/>
          <w:szCs w:val="20"/>
          <w:color w:val="auto"/>
        </w:rPr>
      </w:pPr>
      <w:r>
        <w:rPr>
          <w:rFonts w:ascii="Arial" w:cs="Arial" w:eastAsia="Arial" w:hAnsi="Arial"/>
          <w:sz w:val="18"/>
          <w:szCs w:val="18"/>
          <w:color w:val="auto"/>
        </w:rPr>
        <w:t>DE</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color w:val="auto"/>
        </w:rPr>
        <w:t>DE</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color w:val="auto"/>
        </w:rPr>
        <w:t>DE</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color w:val="auto"/>
        </w:rPr>
        <w:t>DE</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color w:val="auto"/>
        </w:rPr>
        <w:t>DE</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color w:val="auto"/>
        </w:rPr>
        <w:t>DE</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color w:val="auto"/>
        </w:rPr>
        <w:t>DE</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color w:val="auto"/>
        </w:rPr>
        <w:t>CA</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color w:val="auto"/>
        </w:rPr>
        <w:t>CT</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color w:val="auto"/>
        </w:rPr>
        <w:t>DE</w:t>
      </w:r>
    </w:p>
    <w:p>
      <w:pPr>
        <w:spacing w:after="0" w:line="117" w:lineRule="exact"/>
        <w:rPr>
          <w:sz w:val="20"/>
          <w:szCs w:val="20"/>
          <w:color w:val="auto"/>
        </w:rPr>
      </w:pPr>
    </w:p>
    <w:p>
      <w:pPr>
        <w:spacing w:after="0"/>
        <w:rPr>
          <w:sz w:val="20"/>
          <w:szCs w:val="20"/>
          <w:color w:val="auto"/>
        </w:rPr>
      </w:pPr>
      <w:r>
        <w:rPr>
          <w:rFonts w:ascii="Arial" w:cs="Arial" w:eastAsia="Arial" w:hAnsi="Arial"/>
          <w:sz w:val="16"/>
          <w:szCs w:val="16"/>
          <w:color w:val="auto"/>
        </w:rPr>
        <w:t>GA</w:t>
      </w:r>
    </w:p>
    <w:p>
      <w:pPr>
        <w:spacing w:after="0" w:line="140" w:lineRule="exact"/>
        <w:rPr>
          <w:sz w:val="20"/>
          <w:szCs w:val="20"/>
          <w:color w:val="auto"/>
        </w:rPr>
      </w:pPr>
    </w:p>
    <w:p>
      <w:pPr>
        <w:spacing w:after="0"/>
        <w:rPr>
          <w:sz w:val="20"/>
          <w:szCs w:val="20"/>
          <w:color w:val="auto"/>
        </w:rPr>
      </w:pPr>
      <w:r>
        <w:rPr>
          <w:rFonts w:ascii="Arial" w:cs="Arial" w:eastAsia="Arial" w:hAnsi="Arial"/>
          <w:sz w:val="18"/>
          <w:szCs w:val="18"/>
          <w:color w:val="auto"/>
        </w:rPr>
        <w:t>IN</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color w:val="auto"/>
        </w:rPr>
        <w:t>PA</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color w:val="auto"/>
        </w:rPr>
        <w:t>DE</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color w:val="auto"/>
        </w:rPr>
        <w:t>DE</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color w:val="auto"/>
        </w:rPr>
        <w:t>DE</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color w:val="auto"/>
        </w:rPr>
        <w:t>DE</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color w:val="auto"/>
        </w:rPr>
        <w:t>DE</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color w:val="auto"/>
        </w:rPr>
        <w:t>DE</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color w:val="auto"/>
        </w:rPr>
        <w:t>DE</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color w:val="auto"/>
        </w:rPr>
        <w:t>DE</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color w:val="auto"/>
        </w:rPr>
        <w:t>DE</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color w:val="auto"/>
        </w:rPr>
        <w:t>DE</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color w:val="auto"/>
        </w:rPr>
        <w:t>DE</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color w:val="auto"/>
        </w:rPr>
        <w:t>DE</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color w:val="auto"/>
        </w:rPr>
        <w:t>DE</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color w:val="auto"/>
        </w:rPr>
        <w:t>DE</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color w:val="auto"/>
        </w:rPr>
        <w:t>DE</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color w:val="auto"/>
        </w:rPr>
        <w:t>DE</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color w:val="auto"/>
        </w:rPr>
        <w:t>DE</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color w:val="auto"/>
        </w:rPr>
        <w:t>DE</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color w:val="auto"/>
        </w:rPr>
        <w:t>DE</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color w:val="auto"/>
        </w:rPr>
        <w:t>DE</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color w:val="auto"/>
        </w:rPr>
        <w:t>DE</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color w:val="auto"/>
        </w:rPr>
        <w:t>DE</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color w:val="auto"/>
        </w:rPr>
        <w:t>DE</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color w:val="auto"/>
        </w:rPr>
        <w:t>DE</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color w:val="auto"/>
        </w:rPr>
        <w:t>DE</w:t>
      </w:r>
    </w:p>
    <w:p>
      <w:pPr>
        <w:spacing w:after="0" w:line="117" w:lineRule="exact"/>
        <w:rPr>
          <w:sz w:val="20"/>
          <w:szCs w:val="20"/>
          <w:color w:val="auto"/>
        </w:rPr>
      </w:pPr>
    </w:p>
    <w:p>
      <w:pPr>
        <w:ind w:left="40"/>
        <w:spacing w:after="0"/>
        <w:rPr>
          <w:sz w:val="20"/>
          <w:szCs w:val="20"/>
          <w:color w:val="auto"/>
        </w:rPr>
      </w:pPr>
      <w:r>
        <w:rPr>
          <w:rFonts w:ascii="Arial" w:cs="Arial" w:eastAsia="Arial" w:hAnsi="Arial"/>
          <w:sz w:val="15"/>
          <w:szCs w:val="15"/>
          <w:color w:val="auto"/>
        </w:rPr>
        <w:t>DE</w:t>
      </w:r>
    </w:p>
    <w:p>
      <w:pPr>
        <w:spacing w:after="0" w:line="152" w:lineRule="exact"/>
        <w:rPr>
          <w:sz w:val="20"/>
          <w:szCs w:val="20"/>
          <w:color w:val="auto"/>
        </w:rPr>
      </w:pPr>
    </w:p>
    <w:p>
      <w:pPr>
        <w:ind w:left="40"/>
        <w:spacing w:after="0"/>
        <w:rPr>
          <w:sz w:val="20"/>
          <w:szCs w:val="20"/>
          <w:color w:val="auto"/>
        </w:rPr>
      </w:pPr>
      <w:r>
        <w:rPr>
          <w:rFonts w:ascii="Arial" w:cs="Arial" w:eastAsia="Arial" w:hAnsi="Arial"/>
          <w:sz w:val="15"/>
          <w:szCs w:val="15"/>
          <w:color w:val="auto"/>
        </w:rPr>
        <w:t>DE</w:t>
      </w:r>
    </w:p>
    <w:p>
      <w:pPr>
        <w:spacing w:after="0" w:line="152" w:lineRule="exact"/>
        <w:rPr>
          <w:sz w:val="20"/>
          <w:szCs w:val="20"/>
          <w:color w:val="auto"/>
        </w:rPr>
      </w:pPr>
    </w:p>
    <w:p>
      <w:pPr>
        <w:ind w:left="40"/>
        <w:spacing w:after="0"/>
        <w:rPr>
          <w:sz w:val="20"/>
          <w:szCs w:val="20"/>
          <w:color w:val="auto"/>
        </w:rPr>
      </w:pPr>
      <w:r>
        <w:rPr>
          <w:rFonts w:ascii="Arial" w:cs="Arial" w:eastAsia="Arial" w:hAnsi="Arial"/>
          <w:sz w:val="15"/>
          <w:szCs w:val="15"/>
          <w:color w:val="auto"/>
        </w:rPr>
        <w:t>DE</w:t>
      </w:r>
    </w:p>
    <w:p>
      <w:pPr>
        <w:spacing w:after="0" w:line="152" w:lineRule="exact"/>
        <w:rPr>
          <w:sz w:val="20"/>
          <w:szCs w:val="20"/>
          <w:color w:val="auto"/>
        </w:rPr>
      </w:pPr>
    </w:p>
    <w:p>
      <w:pPr>
        <w:ind w:left="40"/>
        <w:spacing w:after="0"/>
        <w:rPr>
          <w:sz w:val="20"/>
          <w:szCs w:val="20"/>
          <w:color w:val="auto"/>
        </w:rPr>
      </w:pPr>
      <w:r>
        <w:rPr>
          <w:rFonts w:ascii="Arial" w:cs="Arial" w:eastAsia="Arial" w:hAnsi="Arial"/>
          <w:sz w:val="15"/>
          <w:szCs w:val="15"/>
          <w:color w:val="auto"/>
        </w:rPr>
        <w:t>DE</w:t>
      </w:r>
    </w:p>
    <w:p>
      <w:pPr>
        <w:spacing w:after="0" w:line="152" w:lineRule="exact"/>
        <w:rPr>
          <w:sz w:val="20"/>
          <w:szCs w:val="20"/>
          <w:color w:val="auto"/>
        </w:rPr>
      </w:pPr>
    </w:p>
    <w:p>
      <w:pPr>
        <w:ind w:left="40"/>
        <w:spacing w:after="0"/>
        <w:rPr>
          <w:sz w:val="20"/>
          <w:szCs w:val="20"/>
          <w:color w:val="auto"/>
        </w:rPr>
      </w:pPr>
      <w:r>
        <w:rPr>
          <w:rFonts w:ascii="Arial" w:cs="Arial" w:eastAsia="Arial" w:hAnsi="Arial"/>
          <w:sz w:val="15"/>
          <w:szCs w:val="15"/>
          <w:color w:val="auto"/>
        </w:rPr>
        <w:t>DE</w:t>
      </w:r>
    </w:p>
    <w:p>
      <w:pPr>
        <w:spacing w:after="0" w:line="152" w:lineRule="exact"/>
        <w:rPr>
          <w:sz w:val="20"/>
          <w:szCs w:val="20"/>
          <w:color w:val="auto"/>
        </w:rPr>
      </w:pPr>
    </w:p>
    <w:p>
      <w:pPr>
        <w:ind w:left="40"/>
        <w:spacing w:after="0"/>
        <w:rPr>
          <w:sz w:val="20"/>
          <w:szCs w:val="20"/>
          <w:color w:val="auto"/>
        </w:rPr>
      </w:pPr>
      <w:r>
        <w:rPr>
          <w:rFonts w:ascii="Arial" w:cs="Arial" w:eastAsia="Arial" w:hAnsi="Arial"/>
          <w:sz w:val="15"/>
          <w:szCs w:val="15"/>
          <w:color w:val="auto"/>
        </w:rPr>
        <w:t>DE</w:t>
      </w:r>
    </w:p>
    <w:p>
      <w:pPr>
        <w:spacing w:after="0" w:line="152" w:lineRule="exact"/>
        <w:rPr>
          <w:sz w:val="20"/>
          <w:szCs w:val="20"/>
          <w:color w:val="auto"/>
        </w:rPr>
      </w:pPr>
    </w:p>
    <w:p>
      <w:pPr>
        <w:ind w:left="40"/>
        <w:spacing w:after="0"/>
        <w:rPr>
          <w:sz w:val="20"/>
          <w:szCs w:val="20"/>
          <w:color w:val="auto"/>
        </w:rPr>
      </w:pPr>
      <w:r>
        <w:rPr>
          <w:rFonts w:ascii="Arial" w:cs="Arial" w:eastAsia="Arial" w:hAnsi="Arial"/>
          <w:sz w:val="15"/>
          <w:szCs w:val="15"/>
          <w:color w:val="auto"/>
        </w:rPr>
        <w:t>DE</w:t>
      </w:r>
    </w:p>
    <w:p>
      <w:pPr>
        <w:spacing w:after="0" w:line="152" w:lineRule="exact"/>
        <w:rPr>
          <w:sz w:val="20"/>
          <w:szCs w:val="20"/>
          <w:color w:val="auto"/>
        </w:rPr>
      </w:pPr>
    </w:p>
    <w:p>
      <w:pPr>
        <w:ind w:left="40"/>
        <w:spacing w:after="0"/>
        <w:rPr>
          <w:sz w:val="20"/>
          <w:szCs w:val="20"/>
          <w:color w:val="auto"/>
        </w:rPr>
      </w:pPr>
      <w:r>
        <w:rPr>
          <w:rFonts w:ascii="Arial" w:cs="Arial" w:eastAsia="Arial" w:hAnsi="Arial"/>
          <w:sz w:val="15"/>
          <w:szCs w:val="15"/>
          <w:color w:val="auto"/>
        </w:rPr>
        <w:t>DE</w:t>
      </w:r>
    </w:p>
    <w:p>
      <w:pPr>
        <w:spacing w:after="0" w:line="152" w:lineRule="exact"/>
        <w:rPr>
          <w:sz w:val="20"/>
          <w:szCs w:val="20"/>
          <w:color w:val="auto"/>
        </w:rPr>
      </w:pPr>
    </w:p>
    <w:p>
      <w:pPr>
        <w:ind w:left="60"/>
        <w:spacing w:after="0"/>
        <w:rPr>
          <w:sz w:val="20"/>
          <w:szCs w:val="20"/>
          <w:color w:val="auto"/>
        </w:rPr>
      </w:pPr>
      <w:r>
        <w:rPr>
          <w:rFonts w:ascii="Arial" w:cs="Arial" w:eastAsia="Arial" w:hAnsi="Arial"/>
          <w:sz w:val="14"/>
          <w:szCs w:val="14"/>
          <w:color w:val="auto"/>
        </w:rPr>
        <w:t>PA</w:t>
      </w:r>
    </w:p>
    <w:p>
      <w:pPr>
        <w:spacing w:after="0" w:line="163" w:lineRule="exact"/>
        <w:rPr>
          <w:sz w:val="20"/>
          <w:szCs w:val="20"/>
          <w:color w:val="auto"/>
        </w:rPr>
      </w:pPr>
    </w:p>
    <w:p>
      <w:pPr>
        <w:ind w:left="40"/>
        <w:spacing w:after="0"/>
        <w:rPr>
          <w:sz w:val="20"/>
          <w:szCs w:val="20"/>
          <w:color w:val="auto"/>
        </w:rPr>
      </w:pPr>
      <w:r>
        <w:rPr>
          <w:rFonts w:ascii="Arial" w:cs="Arial" w:eastAsia="Arial" w:hAnsi="Arial"/>
          <w:sz w:val="15"/>
          <w:szCs w:val="15"/>
          <w:color w:val="auto"/>
        </w:rPr>
        <w:t>DE</w:t>
      </w:r>
    </w:p>
    <w:p>
      <w:pPr>
        <w:spacing w:after="0" w:line="152" w:lineRule="exact"/>
        <w:rPr>
          <w:sz w:val="20"/>
          <w:szCs w:val="20"/>
          <w:color w:val="auto"/>
        </w:rPr>
      </w:pPr>
    </w:p>
    <w:p>
      <w:pPr>
        <w:ind w:left="20"/>
        <w:spacing w:after="0"/>
        <w:rPr>
          <w:sz w:val="20"/>
          <w:szCs w:val="20"/>
          <w:color w:val="auto"/>
        </w:rPr>
      </w:pPr>
      <w:r>
        <w:rPr>
          <w:rFonts w:ascii="Arial" w:cs="Arial" w:eastAsia="Arial" w:hAnsi="Arial"/>
          <w:sz w:val="16"/>
          <w:szCs w:val="16"/>
          <w:color w:val="auto"/>
        </w:rPr>
        <w:t>CA</w:t>
      </w:r>
    </w:p>
    <w:p>
      <w:pPr>
        <w:sectPr>
          <w:pgSz w:w="11900" w:h="16838" w:orient="portrait"/>
          <w:cols w:equalWidth="0" w:num="2">
            <w:col w:w="7520" w:space="720"/>
            <w:col w:w="779"/>
          </w:cols>
          <w:pgMar w:left="1440" w:top="388" w:right="1440" w:bottom="0" w:gutter="0" w:footer="0" w:header="0"/>
        </w:sectPr>
      </w:pPr>
    </w:p>
    <w:bookmarkStart w:id="184" w:name="page185"/>
    <w:bookmarkEnd w:id="184"/>
    <w:p>
      <w:pPr>
        <w:ind w:left="520"/>
        <w:spacing w:after="0"/>
        <w:rPr>
          <w:sz w:val="20"/>
          <w:szCs w:val="20"/>
          <w:color w:val="auto"/>
        </w:rPr>
      </w:pPr>
      <w:r>
        <w:rPr>
          <w:rFonts w:ascii="Arial" w:cs="Arial" w:eastAsia="Arial" w:hAnsi="Arial"/>
          <w:sz w:val="16"/>
          <w:szCs w:val="16"/>
          <w:color w:val="auto"/>
        </w:rPr>
        <w:t>Command Cable of Eastern Illinois Limited Partnership</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Arial" w:cs="Arial" w:eastAsia="Arial" w:hAnsi="Arial"/>
          <w:sz w:val="16"/>
          <w:szCs w:val="16"/>
          <w:color w:val="auto"/>
        </w:rPr>
        <w:t>NJ</w:t>
      </w:r>
    </w:p>
    <w:p>
      <w:pPr>
        <w:spacing w:after="0" w:line="140" w:lineRule="exact"/>
        <w:rPr>
          <w:sz w:val="20"/>
          <w:szCs w:val="20"/>
          <w:color w:val="auto"/>
        </w:rPr>
      </w:pPr>
    </w:p>
    <w:p>
      <w:pPr>
        <w:sectPr>
          <w:pgSz w:w="11900" w:h="16838" w:orient="portrait"/>
          <w:cols w:equalWidth="0" w:num="2">
            <w:col w:w="7580" w:space="720"/>
            <w:col w:w="719"/>
          </w:cols>
          <w:pgMar w:left="1440" w:top="131" w:right="1440" w:bottom="1440" w:gutter="0" w:footer="0" w:header="0"/>
        </w:sectPr>
      </w:pPr>
    </w:p>
    <w:p>
      <w:pPr>
        <w:ind w:left="520"/>
        <w:spacing w:after="0"/>
        <w:rPr>
          <w:sz w:val="20"/>
          <w:szCs w:val="20"/>
          <w:color w:val="auto"/>
        </w:rPr>
      </w:pPr>
      <w:r>
        <w:rPr>
          <w:rFonts w:ascii="Arial" w:cs="Arial" w:eastAsia="Arial" w:hAnsi="Arial"/>
          <w:sz w:val="16"/>
          <w:szCs w:val="16"/>
          <w:color w:val="auto"/>
        </w:rPr>
        <w:t>Commercial Funding, Inc.</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Arial" w:cs="Arial" w:eastAsia="Arial" w:hAnsi="Arial"/>
          <w:sz w:val="16"/>
          <w:szCs w:val="16"/>
          <w:color w:val="auto"/>
        </w:rPr>
        <w:t>NY</w:t>
      </w:r>
    </w:p>
    <w:p>
      <w:pPr>
        <w:sectPr>
          <w:pgSz w:w="11900" w:h="16838" w:orient="portrait"/>
          <w:cols w:equalWidth="0" w:num="2">
            <w:col w:w="7540" w:space="720"/>
            <w:col w:w="759"/>
          </w:cols>
          <w:pgMar w:left="1440" w:top="131" w:right="1440" w:bottom="1440" w:gutter="0" w:footer="0" w:header="0"/>
          <w:type w:val="continuous"/>
        </w:sectPr>
      </w:pPr>
    </w:p>
    <w:bookmarkStart w:id="185" w:name="page186"/>
    <w:bookmarkEnd w:id="185"/>
    <w:p>
      <w:pPr>
        <w:ind w:left="520"/>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248" name="Picture 2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8"/>
                    <pic:cNvPicPr>
                      <a:picLocks noChangeAspect="1" noChangeArrowheads="1"/>
                    </pic:cNvPicPr>
                  </pic:nvPicPr>
                  <pic:blipFill>
                    <a:blip r:embed="rId255">
                      <a:extLst>
                        <a:ext uri="{28A0092B-C50C-407E-A947-70E740481C1C}"/>
                      </a:extLst>
                    </a:blip>
                    <a:srcRect/>
                    <a:stretch>
                      <a:fillRect/>
                    </a:stretch>
                  </pic:blipFill>
                  <pic:spPr bwMode="auto">
                    <a:xfrm>
                      <a:off x="0" y="0"/>
                      <a:ext cx="7267575" cy="27940"/>
                    </a:xfrm>
                    <a:prstGeom prst="rect">
                      <a:avLst/>
                    </a:prstGeom>
                    <a:noFill/>
                  </pic:spPr>
                </pic:pic>
              </a:graphicData>
            </a:graphic>
          </wp:anchor>
        </w:drawing>
        <w:t>Communication Investment Corporation</w:t>
      </w:r>
    </w:p>
    <w:p>
      <w:pPr>
        <w:spacing w:after="0" w:line="117" w:lineRule="exact"/>
        <w:rPr>
          <w:sz w:val="20"/>
          <w:szCs w:val="20"/>
          <w:color w:val="auto"/>
        </w:rPr>
      </w:pPr>
    </w:p>
    <w:p>
      <w:pPr>
        <w:ind w:left="520"/>
        <w:spacing w:after="0"/>
        <w:rPr>
          <w:sz w:val="20"/>
          <w:szCs w:val="20"/>
          <w:color w:val="auto"/>
        </w:rPr>
      </w:pPr>
      <w:r>
        <w:rPr>
          <w:rFonts w:ascii="Arial" w:cs="Arial" w:eastAsia="Arial" w:hAnsi="Arial"/>
          <w:sz w:val="18"/>
          <w:szCs w:val="18"/>
          <w:color w:val="auto"/>
        </w:rPr>
        <w:t>Community Realty, Inc.</w:t>
      </w:r>
    </w:p>
    <w:p>
      <w:pPr>
        <w:spacing w:after="0" w:line="117" w:lineRule="exact"/>
        <w:rPr>
          <w:sz w:val="20"/>
          <w:szCs w:val="20"/>
          <w:color w:val="auto"/>
        </w:rPr>
      </w:pPr>
    </w:p>
    <w:p>
      <w:pPr>
        <w:ind w:left="520"/>
        <w:spacing w:after="0"/>
        <w:rPr>
          <w:sz w:val="20"/>
          <w:szCs w:val="20"/>
          <w:color w:val="auto"/>
        </w:rPr>
      </w:pPr>
      <w:r>
        <w:rPr>
          <w:rFonts w:ascii="Arial" w:cs="Arial" w:eastAsia="Arial" w:hAnsi="Arial"/>
          <w:sz w:val="18"/>
          <w:szCs w:val="18"/>
          <w:color w:val="auto"/>
        </w:rPr>
        <w:t>Community Telecable of Seattle, Inc.</w:t>
      </w:r>
    </w:p>
    <w:p>
      <w:pPr>
        <w:spacing w:after="0" w:line="117" w:lineRule="exact"/>
        <w:rPr>
          <w:sz w:val="20"/>
          <w:szCs w:val="20"/>
          <w:color w:val="auto"/>
        </w:rPr>
      </w:pPr>
    </w:p>
    <w:p>
      <w:pPr>
        <w:ind w:left="520"/>
        <w:spacing w:after="0"/>
        <w:rPr>
          <w:sz w:val="20"/>
          <w:szCs w:val="20"/>
          <w:color w:val="auto"/>
        </w:rPr>
      </w:pPr>
      <w:r>
        <w:rPr>
          <w:rFonts w:ascii="Arial" w:cs="Arial" w:eastAsia="Arial" w:hAnsi="Arial"/>
          <w:sz w:val="18"/>
          <w:szCs w:val="18"/>
          <w:color w:val="auto"/>
        </w:rPr>
        <w:t>Conditional Access Licensing, LLC</w:t>
      </w:r>
    </w:p>
    <w:p>
      <w:pPr>
        <w:spacing w:after="0" w:line="117" w:lineRule="exact"/>
        <w:rPr>
          <w:sz w:val="20"/>
          <w:szCs w:val="20"/>
          <w:color w:val="auto"/>
        </w:rPr>
      </w:pPr>
    </w:p>
    <w:p>
      <w:pPr>
        <w:ind w:left="520"/>
        <w:spacing w:after="0"/>
        <w:rPr>
          <w:sz w:val="20"/>
          <w:szCs w:val="20"/>
          <w:color w:val="auto"/>
        </w:rPr>
      </w:pPr>
      <w:r>
        <w:rPr>
          <w:rFonts w:ascii="Arial" w:cs="Arial" w:eastAsia="Arial" w:hAnsi="Arial"/>
          <w:sz w:val="18"/>
          <w:szCs w:val="18"/>
          <w:color w:val="auto"/>
        </w:rPr>
        <w:t>Continental Australia Programming, Inc.</w:t>
      </w:r>
    </w:p>
    <w:p>
      <w:pPr>
        <w:spacing w:after="0" w:line="117" w:lineRule="exact"/>
        <w:rPr>
          <w:sz w:val="20"/>
          <w:szCs w:val="20"/>
          <w:color w:val="auto"/>
        </w:rPr>
      </w:pPr>
    </w:p>
    <w:p>
      <w:pPr>
        <w:ind w:left="520"/>
        <w:spacing w:after="0"/>
        <w:rPr>
          <w:sz w:val="20"/>
          <w:szCs w:val="20"/>
          <w:color w:val="auto"/>
        </w:rPr>
      </w:pPr>
      <w:r>
        <w:rPr>
          <w:rFonts w:ascii="Arial" w:cs="Arial" w:eastAsia="Arial" w:hAnsi="Arial"/>
          <w:sz w:val="18"/>
          <w:szCs w:val="18"/>
          <w:color w:val="auto"/>
        </w:rPr>
        <w:t>Continental Cablevision Asia Pacific, Inc.</w:t>
      </w:r>
    </w:p>
    <w:p>
      <w:pPr>
        <w:spacing w:after="0" w:line="117" w:lineRule="exact"/>
        <w:rPr>
          <w:sz w:val="20"/>
          <w:szCs w:val="20"/>
          <w:color w:val="auto"/>
        </w:rPr>
      </w:pPr>
    </w:p>
    <w:p>
      <w:pPr>
        <w:ind w:left="520"/>
        <w:spacing w:after="0"/>
        <w:rPr>
          <w:sz w:val="20"/>
          <w:szCs w:val="20"/>
          <w:color w:val="auto"/>
        </w:rPr>
      </w:pPr>
      <w:r>
        <w:rPr>
          <w:rFonts w:ascii="Arial" w:cs="Arial" w:eastAsia="Arial" w:hAnsi="Arial"/>
          <w:sz w:val="16"/>
          <w:szCs w:val="16"/>
          <w:color w:val="auto"/>
        </w:rPr>
        <w:t>Continental Programming Australia Limited Partnership</w:t>
      </w:r>
    </w:p>
    <w:p>
      <w:pPr>
        <w:spacing w:after="0" w:line="140" w:lineRule="exact"/>
        <w:rPr>
          <w:sz w:val="20"/>
          <w:szCs w:val="20"/>
          <w:color w:val="auto"/>
        </w:rPr>
      </w:pPr>
    </w:p>
    <w:p>
      <w:pPr>
        <w:ind w:left="520"/>
        <w:spacing w:after="0"/>
        <w:rPr>
          <w:sz w:val="20"/>
          <w:szCs w:val="20"/>
          <w:color w:val="auto"/>
        </w:rPr>
      </w:pPr>
      <w:r>
        <w:rPr>
          <w:rFonts w:ascii="Arial" w:cs="Arial" w:eastAsia="Arial" w:hAnsi="Arial"/>
          <w:sz w:val="18"/>
          <w:szCs w:val="18"/>
          <w:color w:val="auto"/>
        </w:rPr>
        <w:t>Continental Telecommunications Corp. of Virginia</w:t>
      </w:r>
    </w:p>
    <w:p>
      <w:pPr>
        <w:spacing w:after="0" w:line="117" w:lineRule="exact"/>
        <w:rPr>
          <w:sz w:val="20"/>
          <w:szCs w:val="20"/>
          <w:color w:val="auto"/>
        </w:rPr>
      </w:pPr>
    </w:p>
    <w:p>
      <w:pPr>
        <w:ind w:left="520"/>
        <w:spacing w:after="0"/>
        <w:rPr>
          <w:sz w:val="20"/>
          <w:szCs w:val="20"/>
          <w:color w:val="auto"/>
        </w:rPr>
      </w:pPr>
      <w:r>
        <w:rPr>
          <w:rFonts w:ascii="Arial" w:cs="Arial" w:eastAsia="Arial" w:hAnsi="Arial"/>
          <w:sz w:val="18"/>
          <w:szCs w:val="18"/>
          <w:color w:val="auto"/>
        </w:rPr>
        <w:t>Continental Teleport Partners, Inc.</w:t>
      </w:r>
    </w:p>
    <w:p>
      <w:pPr>
        <w:spacing w:after="0" w:line="117" w:lineRule="exact"/>
        <w:rPr>
          <w:sz w:val="20"/>
          <w:szCs w:val="20"/>
          <w:color w:val="auto"/>
        </w:rPr>
      </w:pPr>
    </w:p>
    <w:p>
      <w:pPr>
        <w:ind w:left="520"/>
        <w:spacing w:after="0"/>
        <w:rPr>
          <w:sz w:val="20"/>
          <w:szCs w:val="20"/>
          <w:color w:val="auto"/>
        </w:rPr>
      </w:pPr>
      <w:r>
        <w:rPr>
          <w:rFonts w:ascii="Arial" w:cs="Arial" w:eastAsia="Arial" w:hAnsi="Arial"/>
          <w:sz w:val="18"/>
          <w:szCs w:val="18"/>
          <w:color w:val="auto"/>
        </w:rPr>
        <w:t>CSLP Ballpark Services, LLC</w:t>
      </w:r>
    </w:p>
    <w:p>
      <w:pPr>
        <w:spacing w:after="0" w:line="117" w:lineRule="exact"/>
        <w:rPr>
          <w:sz w:val="20"/>
          <w:szCs w:val="20"/>
          <w:color w:val="auto"/>
        </w:rPr>
      </w:pPr>
    </w:p>
    <w:p>
      <w:pPr>
        <w:ind w:left="520"/>
        <w:spacing w:after="0"/>
        <w:rPr>
          <w:sz w:val="20"/>
          <w:szCs w:val="20"/>
          <w:color w:val="auto"/>
        </w:rPr>
      </w:pPr>
      <w:r>
        <w:rPr>
          <w:rFonts w:ascii="Arial" w:cs="Arial" w:eastAsia="Arial" w:hAnsi="Arial"/>
          <w:sz w:val="18"/>
          <w:szCs w:val="18"/>
          <w:color w:val="auto"/>
        </w:rPr>
        <w:t>CSLP Baysox Club, LLC</w:t>
      </w:r>
    </w:p>
    <w:p>
      <w:pPr>
        <w:spacing w:after="0" w:line="117" w:lineRule="exact"/>
        <w:rPr>
          <w:sz w:val="20"/>
          <w:szCs w:val="20"/>
          <w:color w:val="auto"/>
        </w:rPr>
      </w:pPr>
    </w:p>
    <w:p>
      <w:pPr>
        <w:ind w:left="520"/>
        <w:spacing w:after="0"/>
        <w:rPr>
          <w:sz w:val="20"/>
          <w:szCs w:val="20"/>
          <w:color w:val="auto"/>
        </w:rPr>
      </w:pPr>
      <w:r>
        <w:rPr>
          <w:rFonts w:ascii="Arial" w:cs="Arial" w:eastAsia="Arial" w:hAnsi="Arial"/>
          <w:sz w:val="18"/>
          <w:szCs w:val="18"/>
          <w:color w:val="auto"/>
        </w:rPr>
        <w:t>CSLP Keys Club, LLC</w:t>
      </w:r>
    </w:p>
    <w:p>
      <w:pPr>
        <w:spacing w:after="0" w:line="117" w:lineRule="exact"/>
        <w:rPr>
          <w:sz w:val="20"/>
          <w:szCs w:val="20"/>
          <w:color w:val="auto"/>
        </w:rPr>
      </w:pPr>
    </w:p>
    <w:p>
      <w:pPr>
        <w:ind w:left="520"/>
        <w:spacing w:after="0"/>
        <w:rPr>
          <w:sz w:val="20"/>
          <w:szCs w:val="20"/>
          <w:color w:val="auto"/>
        </w:rPr>
      </w:pPr>
      <w:r>
        <w:rPr>
          <w:rFonts w:ascii="Arial" w:cs="Arial" w:eastAsia="Arial" w:hAnsi="Arial"/>
          <w:sz w:val="18"/>
          <w:szCs w:val="18"/>
          <w:color w:val="auto"/>
        </w:rPr>
        <w:t>CSLP London, LLC</w:t>
      </w:r>
    </w:p>
    <w:p>
      <w:pPr>
        <w:spacing w:after="0" w:line="117" w:lineRule="exact"/>
        <w:rPr>
          <w:sz w:val="20"/>
          <w:szCs w:val="20"/>
          <w:color w:val="auto"/>
        </w:rPr>
      </w:pPr>
    </w:p>
    <w:p>
      <w:pPr>
        <w:ind w:left="520"/>
        <w:spacing w:after="0"/>
        <w:rPr>
          <w:sz w:val="20"/>
          <w:szCs w:val="20"/>
          <w:color w:val="auto"/>
        </w:rPr>
      </w:pPr>
      <w:r>
        <w:rPr>
          <w:rFonts w:ascii="Arial" w:cs="Arial" w:eastAsia="Arial" w:hAnsi="Arial"/>
          <w:sz w:val="18"/>
          <w:szCs w:val="18"/>
          <w:color w:val="auto"/>
        </w:rPr>
        <w:t>CSLP Shorebirds Club, LLC</w:t>
      </w:r>
    </w:p>
    <w:p>
      <w:pPr>
        <w:spacing w:after="0" w:line="117" w:lineRule="exact"/>
        <w:rPr>
          <w:sz w:val="20"/>
          <w:szCs w:val="20"/>
          <w:color w:val="auto"/>
        </w:rPr>
      </w:pPr>
    </w:p>
    <w:p>
      <w:pPr>
        <w:ind w:left="520"/>
        <w:spacing w:after="0"/>
        <w:rPr>
          <w:sz w:val="20"/>
          <w:szCs w:val="20"/>
          <w:color w:val="auto"/>
        </w:rPr>
      </w:pPr>
      <w:r>
        <w:rPr>
          <w:rFonts w:ascii="Arial" w:cs="Arial" w:eastAsia="Arial" w:hAnsi="Arial"/>
          <w:sz w:val="18"/>
          <w:szCs w:val="18"/>
          <w:color w:val="auto"/>
        </w:rPr>
        <w:t>CSLP Soccer, LLC</w:t>
      </w:r>
    </w:p>
    <w:p>
      <w:pPr>
        <w:spacing w:after="0" w:line="117" w:lineRule="exact"/>
        <w:rPr>
          <w:sz w:val="20"/>
          <w:szCs w:val="20"/>
          <w:color w:val="auto"/>
        </w:rPr>
      </w:pPr>
    </w:p>
    <w:p>
      <w:pPr>
        <w:ind w:left="520"/>
        <w:spacing w:after="0"/>
        <w:rPr>
          <w:sz w:val="20"/>
          <w:szCs w:val="20"/>
          <w:color w:val="auto"/>
        </w:rPr>
      </w:pPr>
      <w:r>
        <w:rPr>
          <w:rFonts w:ascii="Arial" w:cs="Arial" w:eastAsia="Arial" w:hAnsi="Arial"/>
          <w:sz w:val="18"/>
          <w:szCs w:val="18"/>
          <w:color w:val="auto"/>
        </w:rPr>
        <w:t>CVC Keep Well LLC</w:t>
      </w:r>
    </w:p>
    <w:p>
      <w:pPr>
        <w:spacing w:after="0" w:line="117" w:lineRule="exact"/>
        <w:rPr>
          <w:sz w:val="20"/>
          <w:szCs w:val="20"/>
          <w:color w:val="auto"/>
        </w:rPr>
      </w:pPr>
    </w:p>
    <w:p>
      <w:pPr>
        <w:ind w:left="520"/>
        <w:spacing w:after="0"/>
        <w:rPr>
          <w:sz w:val="20"/>
          <w:szCs w:val="20"/>
          <w:color w:val="auto"/>
        </w:rPr>
      </w:pPr>
      <w:r>
        <w:rPr>
          <w:rFonts w:ascii="Arial" w:cs="Arial" w:eastAsia="Arial" w:hAnsi="Arial"/>
          <w:sz w:val="18"/>
          <w:szCs w:val="18"/>
          <w:color w:val="auto"/>
        </w:rPr>
        <w:t>DigiVentures, LLC</w:t>
      </w:r>
    </w:p>
    <w:p>
      <w:pPr>
        <w:spacing w:after="0" w:line="117" w:lineRule="exact"/>
        <w:rPr>
          <w:sz w:val="20"/>
          <w:szCs w:val="20"/>
          <w:color w:val="auto"/>
        </w:rPr>
      </w:pPr>
    </w:p>
    <w:p>
      <w:pPr>
        <w:ind w:left="520"/>
        <w:spacing w:after="0"/>
        <w:rPr>
          <w:sz w:val="20"/>
          <w:szCs w:val="20"/>
          <w:color w:val="auto"/>
        </w:rPr>
      </w:pPr>
      <w:r>
        <w:rPr>
          <w:rFonts w:ascii="Arial" w:cs="Arial" w:eastAsia="Arial" w:hAnsi="Arial"/>
          <w:sz w:val="18"/>
          <w:szCs w:val="18"/>
          <w:color w:val="auto"/>
        </w:rPr>
        <w:t>E Entertainment UK Limited</w:t>
      </w:r>
    </w:p>
    <w:p>
      <w:pPr>
        <w:spacing w:after="0" w:line="117" w:lineRule="exact"/>
        <w:rPr>
          <w:sz w:val="20"/>
          <w:szCs w:val="20"/>
          <w:color w:val="auto"/>
        </w:rPr>
      </w:pPr>
    </w:p>
    <w:p>
      <w:pPr>
        <w:ind w:left="520"/>
        <w:spacing w:after="0"/>
        <w:rPr>
          <w:sz w:val="20"/>
          <w:szCs w:val="20"/>
          <w:color w:val="auto"/>
        </w:rPr>
      </w:pPr>
      <w:r>
        <w:rPr>
          <w:rFonts w:ascii="Arial" w:cs="Arial" w:eastAsia="Arial" w:hAnsi="Arial"/>
          <w:sz w:val="18"/>
          <w:szCs w:val="18"/>
          <w:color w:val="auto"/>
        </w:rPr>
        <w:t>E! Entertainment Europe BV</w:t>
      </w:r>
    </w:p>
    <w:p>
      <w:pPr>
        <w:spacing w:after="0" w:line="117" w:lineRule="exact"/>
        <w:rPr>
          <w:sz w:val="20"/>
          <w:szCs w:val="20"/>
          <w:color w:val="auto"/>
        </w:rPr>
      </w:pPr>
    </w:p>
    <w:p>
      <w:pPr>
        <w:ind w:left="520"/>
        <w:spacing w:after="0"/>
        <w:rPr>
          <w:sz w:val="20"/>
          <w:szCs w:val="20"/>
          <w:color w:val="auto"/>
        </w:rPr>
      </w:pPr>
      <w:r>
        <w:rPr>
          <w:rFonts w:ascii="Arial" w:cs="Arial" w:eastAsia="Arial" w:hAnsi="Arial"/>
          <w:sz w:val="18"/>
          <w:szCs w:val="18"/>
          <w:color w:val="auto"/>
        </w:rPr>
        <w:t>E! Entertainment Hong Kong Limited</w:t>
      </w:r>
    </w:p>
    <w:p>
      <w:pPr>
        <w:spacing w:after="0" w:line="117" w:lineRule="exact"/>
        <w:rPr>
          <w:sz w:val="20"/>
          <w:szCs w:val="20"/>
          <w:color w:val="auto"/>
        </w:rPr>
      </w:pPr>
    </w:p>
    <w:p>
      <w:pPr>
        <w:ind w:left="520"/>
        <w:spacing w:after="0"/>
        <w:rPr>
          <w:sz w:val="20"/>
          <w:szCs w:val="20"/>
          <w:color w:val="auto"/>
        </w:rPr>
      </w:pPr>
      <w:r>
        <w:rPr>
          <w:rFonts w:ascii="Arial" w:cs="Arial" w:eastAsia="Arial" w:hAnsi="Arial"/>
          <w:sz w:val="16"/>
          <w:szCs w:val="16"/>
          <w:color w:val="auto"/>
        </w:rPr>
        <w:t>E! Entertainment Television International Holdings, Inc.</w:t>
      </w:r>
    </w:p>
    <w:p>
      <w:pPr>
        <w:spacing w:after="0" w:line="140" w:lineRule="exact"/>
        <w:rPr>
          <w:sz w:val="20"/>
          <w:szCs w:val="20"/>
          <w:color w:val="auto"/>
        </w:rPr>
      </w:pPr>
    </w:p>
    <w:p>
      <w:pPr>
        <w:ind w:left="520"/>
        <w:spacing w:after="0"/>
        <w:rPr>
          <w:sz w:val="20"/>
          <w:szCs w:val="20"/>
          <w:color w:val="auto"/>
        </w:rPr>
      </w:pPr>
      <w:r>
        <w:rPr>
          <w:rFonts w:ascii="Arial" w:cs="Arial" w:eastAsia="Arial" w:hAnsi="Arial"/>
          <w:sz w:val="18"/>
          <w:szCs w:val="18"/>
          <w:color w:val="auto"/>
        </w:rPr>
        <w:t>E! Entertainment Television, Inc.</w:t>
      </w:r>
    </w:p>
    <w:p>
      <w:pPr>
        <w:spacing w:after="0" w:line="117" w:lineRule="exact"/>
        <w:rPr>
          <w:sz w:val="20"/>
          <w:szCs w:val="20"/>
          <w:color w:val="auto"/>
        </w:rPr>
      </w:pPr>
    </w:p>
    <w:p>
      <w:pPr>
        <w:ind w:left="520"/>
        <w:spacing w:after="0"/>
        <w:rPr>
          <w:sz w:val="20"/>
          <w:szCs w:val="20"/>
          <w:color w:val="auto"/>
        </w:rPr>
      </w:pPr>
      <w:r>
        <w:rPr>
          <w:rFonts w:ascii="Arial" w:cs="Arial" w:eastAsia="Arial" w:hAnsi="Arial"/>
          <w:sz w:val="18"/>
          <w:szCs w:val="18"/>
          <w:color w:val="auto"/>
        </w:rPr>
        <w:t>E! Networks Productions, Inc.</w:t>
      </w:r>
    </w:p>
    <w:p>
      <w:pPr>
        <w:spacing w:after="0" w:line="117" w:lineRule="exact"/>
        <w:rPr>
          <w:sz w:val="20"/>
          <w:szCs w:val="20"/>
          <w:color w:val="auto"/>
        </w:rPr>
      </w:pPr>
    </w:p>
    <w:p>
      <w:pPr>
        <w:ind w:left="520"/>
        <w:spacing w:after="0"/>
        <w:rPr>
          <w:sz w:val="20"/>
          <w:szCs w:val="20"/>
          <w:color w:val="auto"/>
        </w:rPr>
      </w:pPr>
      <w:r>
        <w:rPr>
          <w:rFonts w:ascii="Arial" w:cs="Arial" w:eastAsia="Arial" w:hAnsi="Arial"/>
          <w:sz w:val="18"/>
          <w:szCs w:val="18"/>
          <w:color w:val="auto"/>
        </w:rPr>
        <w:t>E! Networks Sales &amp; Distribution, Inc.</w:t>
      </w:r>
    </w:p>
    <w:p>
      <w:pPr>
        <w:spacing w:after="0" w:line="117" w:lineRule="exact"/>
        <w:rPr>
          <w:sz w:val="20"/>
          <w:szCs w:val="20"/>
          <w:color w:val="auto"/>
        </w:rPr>
      </w:pPr>
    </w:p>
    <w:p>
      <w:pPr>
        <w:ind w:left="520"/>
        <w:spacing w:after="0"/>
        <w:rPr>
          <w:sz w:val="20"/>
          <w:szCs w:val="20"/>
          <w:color w:val="auto"/>
        </w:rPr>
      </w:pPr>
      <w:r>
        <w:rPr>
          <w:rFonts w:ascii="Arial" w:cs="Arial" w:eastAsia="Arial" w:hAnsi="Arial"/>
          <w:sz w:val="18"/>
          <w:szCs w:val="18"/>
          <w:color w:val="auto"/>
        </w:rPr>
        <w:t>East Rutherford Realty, Inc.</w:t>
      </w:r>
    </w:p>
    <w:p>
      <w:pPr>
        <w:spacing w:after="0" w:line="117" w:lineRule="exact"/>
        <w:rPr>
          <w:sz w:val="20"/>
          <w:szCs w:val="20"/>
          <w:color w:val="auto"/>
        </w:rPr>
      </w:pPr>
    </w:p>
    <w:p>
      <w:pPr>
        <w:ind w:left="520"/>
        <w:spacing w:after="0"/>
        <w:rPr>
          <w:sz w:val="20"/>
          <w:szCs w:val="20"/>
          <w:color w:val="auto"/>
        </w:rPr>
      </w:pPr>
      <w:r>
        <w:rPr>
          <w:rFonts w:ascii="Arial" w:cs="Arial" w:eastAsia="Arial" w:hAnsi="Arial"/>
          <w:sz w:val="18"/>
          <w:szCs w:val="18"/>
          <w:color w:val="auto"/>
        </w:rPr>
        <w:t>Elbert County Cable Partners, L.P.</w:t>
      </w:r>
    </w:p>
    <w:p>
      <w:pPr>
        <w:spacing w:after="0" w:line="117" w:lineRule="exact"/>
        <w:rPr>
          <w:sz w:val="20"/>
          <w:szCs w:val="20"/>
          <w:color w:val="auto"/>
        </w:rPr>
      </w:pPr>
    </w:p>
    <w:p>
      <w:pPr>
        <w:ind w:left="520"/>
        <w:spacing w:after="0"/>
        <w:rPr>
          <w:sz w:val="20"/>
          <w:szCs w:val="20"/>
          <w:color w:val="auto"/>
        </w:rPr>
      </w:pPr>
      <w:r>
        <w:rPr>
          <w:rFonts w:ascii="Arial" w:cs="Arial" w:eastAsia="Arial" w:hAnsi="Arial"/>
          <w:sz w:val="18"/>
          <w:szCs w:val="18"/>
          <w:color w:val="auto"/>
        </w:rPr>
        <w:t>Equity Resources Venture</w:t>
      </w:r>
    </w:p>
    <w:p>
      <w:pPr>
        <w:spacing w:after="0" w:line="117" w:lineRule="exact"/>
        <w:rPr>
          <w:sz w:val="20"/>
          <w:szCs w:val="20"/>
          <w:color w:val="auto"/>
        </w:rPr>
      </w:pPr>
    </w:p>
    <w:p>
      <w:pPr>
        <w:ind w:left="520"/>
        <w:spacing w:after="0"/>
        <w:rPr>
          <w:sz w:val="20"/>
          <w:szCs w:val="20"/>
          <w:color w:val="auto"/>
        </w:rPr>
      </w:pPr>
      <w:r>
        <w:rPr>
          <w:rFonts w:ascii="Arial" w:cs="Arial" w:eastAsia="Arial" w:hAnsi="Arial"/>
          <w:sz w:val="18"/>
          <w:szCs w:val="18"/>
          <w:color w:val="auto"/>
        </w:rPr>
        <w:t>Exclamation Music, Inc.</w:t>
      </w:r>
    </w:p>
    <w:p>
      <w:pPr>
        <w:spacing w:after="0" w:line="117" w:lineRule="exact"/>
        <w:rPr>
          <w:sz w:val="20"/>
          <w:szCs w:val="20"/>
          <w:color w:val="auto"/>
        </w:rPr>
      </w:pPr>
    </w:p>
    <w:p>
      <w:pPr>
        <w:ind w:left="520"/>
        <w:spacing w:after="0"/>
        <w:rPr>
          <w:sz w:val="20"/>
          <w:szCs w:val="20"/>
          <w:color w:val="auto"/>
        </w:rPr>
      </w:pPr>
      <w:r>
        <w:rPr>
          <w:rFonts w:ascii="Arial" w:cs="Arial" w:eastAsia="Arial" w:hAnsi="Arial"/>
          <w:sz w:val="18"/>
          <w:szCs w:val="18"/>
          <w:color w:val="auto"/>
        </w:rPr>
        <w:t>Exclamation Productions, Inc.</w:t>
      </w:r>
    </w:p>
    <w:p>
      <w:pPr>
        <w:spacing w:after="0" w:line="117" w:lineRule="exact"/>
        <w:rPr>
          <w:sz w:val="20"/>
          <w:szCs w:val="20"/>
          <w:color w:val="auto"/>
        </w:rPr>
      </w:pPr>
    </w:p>
    <w:p>
      <w:pPr>
        <w:ind w:left="520"/>
        <w:spacing w:after="0"/>
        <w:rPr>
          <w:sz w:val="20"/>
          <w:szCs w:val="20"/>
          <w:color w:val="auto"/>
        </w:rPr>
      </w:pPr>
      <w:r>
        <w:rPr>
          <w:rFonts w:ascii="Arial" w:cs="Arial" w:eastAsia="Arial" w:hAnsi="Arial"/>
          <w:sz w:val="18"/>
          <w:szCs w:val="18"/>
          <w:color w:val="auto"/>
        </w:rPr>
        <w:t>Exercise TV LLC</w:t>
      </w:r>
    </w:p>
    <w:p>
      <w:pPr>
        <w:spacing w:after="0" w:line="117" w:lineRule="exact"/>
        <w:rPr>
          <w:sz w:val="20"/>
          <w:szCs w:val="20"/>
          <w:color w:val="auto"/>
        </w:rPr>
      </w:pPr>
    </w:p>
    <w:p>
      <w:pPr>
        <w:ind w:left="520"/>
        <w:spacing w:after="0"/>
        <w:rPr>
          <w:sz w:val="20"/>
          <w:szCs w:val="20"/>
          <w:color w:val="auto"/>
        </w:rPr>
      </w:pPr>
      <w:r>
        <w:rPr>
          <w:rFonts w:ascii="Arial" w:cs="Arial" w:eastAsia="Arial" w:hAnsi="Arial"/>
          <w:sz w:val="18"/>
          <w:szCs w:val="18"/>
          <w:color w:val="auto"/>
        </w:rPr>
        <w:t>FAB Communications, Inc.</w:t>
      </w:r>
    </w:p>
    <w:p>
      <w:pPr>
        <w:spacing w:after="0" w:line="117" w:lineRule="exact"/>
        <w:rPr>
          <w:sz w:val="20"/>
          <w:szCs w:val="20"/>
          <w:color w:val="auto"/>
        </w:rPr>
      </w:pPr>
    </w:p>
    <w:p>
      <w:pPr>
        <w:ind w:left="520"/>
        <w:spacing w:after="0"/>
        <w:rPr>
          <w:sz w:val="20"/>
          <w:szCs w:val="20"/>
          <w:color w:val="auto"/>
        </w:rPr>
      </w:pPr>
      <w:r>
        <w:rPr>
          <w:rFonts w:ascii="Arial" w:cs="Arial" w:eastAsia="Arial" w:hAnsi="Arial"/>
          <w:sz w:val="18"/>
          <w:szCs w:val="18"/>
          <w:color w:val="auto"/>
        </w:rPr>
        <w:t>First Television Corporation</w:t>
      </w:r>
    </w:p>
    <w:p>
      <w:pPr>
        <w:spacing w:after="0" w:line="117" w:lineRule="exact"/>
        <w:rPr>
          <w:sz w:val="20"/>
          <w:szCs w:val="20"/>
          <w:color w:val="auto"/>
        </w:rPr>
      </w:pPr>
    </w:p>
    <w:p>
      <w:pPr>
        <w:ind w:left="520"/>
        <w:spacing w:after="0"/>
        <w:rPr>
          <w:sz w:val="20"/>
          <w:szCs w:val="20"/>
          <w:color w:val="auto"/>
        </w:rPr>
      </w:pPr>
      <w:r>
        <w:rPr>
          <w:rFonts w:ascii="Arial" w:cs="Arial" w:eastAsia="Arial" w:hAnsi="Arial"/>
          <w:sz w:val="18"/>
          <w:szCs w:val="18"/>
          <w:color w:val="auto"/>
        </w:rPr>
        <w:t>Flyers Skate Zone, L.P.</w:t>
      </w:r>
    </w:p>
    <w:p>
      <w:pPr>
        <w:spacing w:after="0" w:line="117" w:lineRule="exact"/>
        <w:rPr>
          <w:sz w:val="20"/>
          <w:szCs w:val="20"/>
          <w:color w:val="auto"/>
        </w:rPr>
      </w:pPr>
    </w:p>
    <w:p>
      <w:pPr>
        <w:ind w:left="520"/>
        <w:spacing w:after="0"/>
        <w:rPr>
          <w:sz w:val="20"/>
          <w:szCs w:val="20"/>
          <w:color w:val="auto"/>
        </w:rPr>
      </w:pPr>
      <w:r>
        <w:rPr>
          <w:rFonts w:ascii="Arial" w:cs="Arial" w:eastAsia="Arial" w:hAnsi="Arial"/>
          <w:sz w:val="18"/>
          <w:szCs w:val="18"/>
          <w:color w:val="auto"/>
        </w:rPr>
        <w:t>For Games Music, LLC</w:t>
      </w:r>
    </w:p>
    <w:p>
      <w:pPr>
        <w:spacing w:after="0" w:line="117" w:lineRule="exact"/>
        <w:rPr>
          <w:sz w:val="20"/>
          <w:szCs w:val="20"/>
          <w:color w:val="auto"/>
        </w:rPr>
      </w:pPr>
    </w:p>
    <w:p>
      <w:pPr>
        <w:ind w:left="520"/>
        <w:spacing w:after="0"/>
        <w:rPr>
          <w:sz w:val="20"/>
          <w:szCs w:val="20"/>
          <w:color w:val="auto"/>
        </w:rPr>
      </w:pPr>
      <w:r>
        <w:rPr>
          <w:rFonts w:ascii="Arial" w:cs="Arial" w:eastAsia="Arial" w:hAnsi="Arial"/>
          <w:sz w:val="18"/>
          <w:szCs w:val="18"/>
          <w:color w:val="auto"/>
        </w:rPr>
        <w:t>Four Flags Cable TV</w:t>
      </w:r>
    </w:p>
    <w:p>
      <w:pPr>
        <w:spacing w:after="0" w:line="117" w:lineRule="exact"/>
        <w:rPr>
          <w:sz w:val="20"/>
          <w:szCs w:val="20"/>
          <w:color w:val="auto"/>
        </w:rPr>
      </w:pPr>
    </w:p>
    <w:p>
      <w:pPr>
        <w:ind w:left="520"/>
        <w:spacing w:after="0"/>
        <w:rPr>
          <w:sz w:val="20"/>
          <w:szCs w:val="20"/>
          <w:color w:val="auto"/>
        </w:rPr>
      </w:pPr>
      <w:r>
        <w:rPr>
          <w:rFonts w:ascii="Arial" w:cs="Arial" w:eastAsia="Arial" w:hAnsi="Arial"/>
          <w:sz w:val="18"/>
          <w:szCs w:val="18"/>
          <w:color w:val="auto"/>
        </w:rPr>
        <w:t>Four Flags Cablevision</w:t>
      </w:r>
    </w:p>
    <w:p>
      <w:pPr>
        <w:spacing w:after="0" w:line="117" w:lineRule="exact"/>
        <w:rPr>
          <w:sz w:val="20"/>
          <w:szCs w:val="20"/>
          <w:color w:val="auto"/>
        </w:rPr>
      </w:pPr>
    </w:p>
    <w:p>
      <w:pPr>
        <w:ind w:left="520"/>
        <w:spacing w:after="0"/>
        <w:rPr>
          <w:sz w:val="20"/>
          <w:szCs w:val="20"/>
          <w:color w:val="auto"/>
        </w:rPr>
      </w:pPr>
      <w:r>
        <w:rPr>
          <w:rFonts w:ascii="Arial" w:cs="Arial" w:eastAsia="Arial" w:hAnsi="Arial"/>
          <w:sz w:val="18"/>
          <w:szCs w:val="18"/>
          <w:color w:val="auto"/>
        </w:rPr>
        <w:t>FPS Rink, Inc.</w:t>
      </w:r>
    </w:p>
    <w:p>
      <w:pPr>
        <w:spacing w:after="0" w:line="117" w:lineRule="exact"/>
        <w:rPr>
          <w:sz w:val="20"/>
          <w:szCs w:val="20"/>
          <w:color w:val="auto"/>
        </w:rPr>
      </w:pPr>
    </w:p>
    <w:p>
      <w:pPr>
        <w:ind w:left="520"/>
        <w:spacing w:after="0"/>
        <w:rPr>
          <w:sz w:val="20"/>
          <w:szCs w:val="20"/>
          <w:color w:val="auto"/>
        </w:rPr>
      </w:pPr>
      <w:r>
        <w:rPr>
          <w:rFonts w:ascii="Arial" w:cs="Arial" w:eastAsia="Arial" w:hAnsi="Arial"/>
          <w:sz w:val="18"/>
          <w:szCs w:val="18"/>
          <w:color w:val="auto"/>
        </w:rPr>
        <w:t>FPS Rink, L.P.</w:t>
      </w:r>
    </w:p>
    <w:p>
      <w:pPr>
        <w:spacing w:after="0" w:line="117" w:lineRule="exact"/>
        <w:rPr>
          <w:sz w:val="20"/>
          <w:szCs w:val="20"/>
          <w:color w:val="auto"/>
        </w:rPr>
      </w:pPr>
    </w:p>
    <w:p>
      <w:pPr>
        <w:ind w:left="520"/>
        <w:spacing w:after="0"/>
        <w:rPr>
          <w:sz w:val="20"/>
          <w:szCs w:val="20"/>
          <w:color w:val="auto"/>
        </w:rPr>
      </w:pPr>
      <w:r>
        <w:rPr>
          <w:rFonts w:ascii="Arial" w:cs="Arial" w:eastAsia="Arial" w:hAnsi="Arial"/>
          <w:sz w:val="18"/>
          <w:szCs w:val="18"/>
          <w:color w:val="auto"/>
        </w:rPr>
        <w:t>G4 Holding Company</w:t>
      </w:r>
    </w:p>
    <w:p>
      <w:pPr>
        <w:spacing w:after="0" w:line="117" w:lineRule="exact"/>
        <w:rPr>
          <w:sz w:val="20"/>
          <w:szCs w:val="20"/>
          <w:color w:val="auto"/>
        </w:rPr>
      </w:pPr>
    </w:p>
    <w:p>
      <w:pPr>
        <w:ind w:left="520"/>
        <w:spacing w:after="0"/>
        <w:rPr>
          <w:sz w:val="20"/>
          <w:szCs w:val="20"/>
          <w:color w:val="auto"/>
        </w:rPr>
      </w:pPr>
      <w:r>
        <w:rPr>
          <w:rFonts w:ascii="Arial" w:cs="Arial" w:eastAsia="Arial" w:hAnsi="Arial"/>
          <w:sz w:val="18"/>
          <w:szCs w:val="18"/>
          <w:color w:val="auto"/>
        </w:rPr>
        <w:t>G4 Media, Inc.</w:t>
      </w:r>
    </w:p>
    <w:p>
      <w:pPr>
        <w:spacing w:after="0" w:line="117" w:lineRule="exact"/>
        <w:rPr>
          <w:sz w:val="20"/>
          <w:szCs w:val="20"/>
          <w:color w:val="auto"/>
        </w:rPr>
      </w:pPr>
    </w:p>
    <w:p>
      <w:pPr>
        <w:ind w:left="520"/>
        <w:spacing w:after="0"/>
        <w:rPr>
          <w:sz w:val="20"/>
          <w:szCs w:val="20"/>
          <w:color w:val="auto"/>
        </w:rPr>
      </w:pPr>
      <w:r>
        <w:rPr>
          <w:rFonts w:ascii="Arial" w:cs="Arial" w:eastAsia="Arial" w:hAnsi="Arial"/>
          <w:sz w:val="18"/>
          <w:szCs w:val="18"/>
          <w:color w:val="auto"/>
        </w:rPr>
        <w:t>Garden State Telecommunications LLC</w:t>
      </w:r>
    </w:p>
    <w:p>
      <w:pPr>
        <w:spacing w:after="0" w:line="117" w:lineRule="exact"/>
        <w:rPr>
          <w:sz w:val="20"/>
          <w:szCs w:val="20"/>
          <w:color w:val="auto"/>
        </w:rPr>
      </w:pPr>
    </w:p>
    <w:p>
      <w:pPr>
        <w:ind w:left="520"/>
        <w:spacing w:after="0"/>
        <w:rPr>
          <w:sz w:val="20"/>
          <w:szCs w:val="20"/>
          <w:color w:val="auto"/>
        </w:rPr>
      </w:pPr>
      <w:r>
        <w:rPr>
          <w:rFonts w:ascii="Arial" w:cs="Arial" w:eastAsia="Arial" w:hAnsi="Arial"/>
          <w:sz w:val="18"/>
          <w:szCs w:val="18"/>
          <w:color w:val="auto"/>
        </w:rPr>
        <w:t>Gateway/Jones Communications, Ltd.</w:t>
      </w:r>
    </w:p>
    <w:p>
      <w:pPr>
        <w:spacing w:after="0" w:line="117" w:lineRule="exact"/>
        <w:rPr>
          <w:sz w:val="20"/>
          <w:szCs w:val="20"/>
          <w:color w:val="auto"/>
        </w:rPr>
      </w:pPr>
    </w:p>
    <w:p>
      <w:pPr>
        <w:ind w:left="520"/>
        <w:spacing w:after="0"/>
        <w:rPr>
          <w:sz w:val="20"/>
          <w:szCs w:val="20"/>
          <w:color w:val="auto"/>
        </w:rPr>
      </w:pPr>
      <w:r>
        <w:rPr>
          <w:rFonts w:ascii="Arial" w:cs="Arial" w:eastAsia="Arial" w:hAnsi="Arial"/>
          <w:sz w:val="18"/>
          <w:szCs w:val="18"/>
          <w:color w:val="auto"/>
        </w:rPr>
        <w:t>Global London, Inc.</w:t>
      </w:r>
    </w:p>
    <w:p>
      <w:pPr>
        <w:spacing w:after="0" w:line="117" w:lineRule="exact"/>
        <w:rPr>
          <w:sz w:val="20"/>
          <w:szCs w:val="20"/>
          <w:color w:val="auto"/>
        </w:rPr>
      </w:pPr>
    </w:p>
    <w:p>
      <w:pPr>
        <w:ind w:left="520"/>
        <w:spacing w:after="0"/>
        <w:rPr>
          <w:sz w:val="20"/>
          <w:szCs w:val="20"/>
          <w:color w:val="auto"/>
        </w:rPr>
      </w:pPr>
      <w:r>
        <w:rPr>
          <w:rFonts w:ascii="Arial" w:cs="Arial" w:eastAsia="Arial" w:hAnsi="Arial"/>
          <w:sz w:val="18"/>
          <w:szCs w:val="18"/>
          <w:color w:val="auto"/>
        </w:rPr>
        <w:t>Global London, L.P.</w:t>
      </w:r>
    </w:p>
    <w:p>
      <w:pPr>
        <w:spacing w:after="0" w:line="117" w:lineRule="exact"/>
        <w:rPr>
          <w:sz w:val="20"/>
          <w:szCs w:val="20"/>
          <w:color w:val="auto"/>
        </w:rPr>
      </w:pPr>
    </w:p>
    <w:p>
      <w:pPr>
        <w:ind w:left="520"/>
        <w:spacing w:after="0"/>
        <w:rPr>
          <w:sz w:val="20"/>
          <w:szCs w:val="20"/>
          <w:color w:val="auto"/>
        </w:rPr>
      </w:pPr>
      <w:r>
        <w:rPr>
          <w:rFonts w:ascii="Arial" w:cs="Arial" w:eastAsia="Arial" w:hAnsi="Arial"/>
          <w:sz w:val="18"/>
          <w:szCs w:val="18"/>
          <w:color w:val="auto"/>
        </w:rPr>
        <w:t>Global Spectrum, Inc.</w:t>
      </w:r>
    </w:p>
    <w:p>
      <w:pPr>
        <w:spacing w:after="0" w:line="117" w:lineRule="exact"/>
        <w:rPr>
          <w:sz w:val="20"/>
          <w:szCs w:val="20"/>
          <w:color w:val="auto"/>
        </w:rPr>
      </w:pPr>
    </w:p>
    <w:p>
      <w:pPr>
        <w:ind w:left="520"/>
        <w:spacing w:after="0"/>
        <w:rPr>
          <w:sz w:val="20"/>
          <w:szCs w:val="20"/>
          <w:color w:val="auto"/>
        </w:rPr>
      </w:pPr>
      <w:r>
        <w:rPr>
          <w:rFonts w:ascii="Arial" w:cs="Arial" w:eastAsia="Arial" w:hAnsi="Arial"/>
          <w:sz w:val="18"/>
          <w:szCs w:val="18"/>
          <w:color w:val="auto"/>
        </w:rPr>
        <w:t>Global Spectrum, L.P.</w:t>
      </w:r>
    </w:p>
    <w:p>
      <w:pPr>
        <w:spacing w:after="0" w:line="117" w:lineRule="exact"/>
        <w:rPr>
          <w:sz w:val="20"/>
          <w:szCs w:val="20"/>
          <w:color w:val="auto"/>
        </w:rPr>
      </w:pPr>
    </w:p>
    <w:p>
      <w:pPr>
        <w:ind w:left="520"/>
        <w:spacing w:after="0"/>
        <w:rPr>
          <w:sz w:val="20"/>
          <w:szCs w:val="20"/>
          <w:color w:val="auto"/>
        </w:rPr>
      </w:pPr>
      <w:r>
        <w:rPr>
          <w:rFonts w:ascii="Arial" w:cs="Arial" w:eastAsia="Arial" w:hAnsi="Arial"/>
          <w:sz w:val="18"/>
          <w:szCs w:val="18"/>
          <w:color w:val="auto"/>
        </w:rPr>
        <w:t>GlobalCom Holding Company, Inc.</w:t>
      </w:r>
    </w:p>
    <w:p>
      <w:pPr>
        <w:spacing w:after="0" w:line="117" w:lineRule="exact"/>
        <w:rPr>
          <w:sz w:val="20"/>
          <w:szCs w:val="20"/>
          <w:color w:val="auto"/>
        </w:rPr>
      </w:pPr>
    </w:p>
    <w:p>
      <w:pPr>
        <w:ind w:left="520"/>
        <w:spacing w:after="0"/>
        <w:rPr>
          <w:sz w:val="20"/>
          <w:szCs w:val="20"/>
          <w:color w:val="auto"/>
        </w:rPr>
      </w:pPr>
      <w:r>
        <w:rPr>
          <w:rFonts w:ascii="Arial" w:cs="Arial" w:eastAsia="Arial" w:hAnsi="Arial"/>
          <w:sz w:val="18"/>
          <w:szCs w:val="18"/>
          <w:color w:val="auto"/>
        </w:rPr>
        <w:t>Greater Boston Cable Advertising</w:t>
      </w:r>
    </w:p>
    <w:p>
      <w:pPr>
        <w:spacing w:after="0" w:line="117" w:lineRule="exact"/>
        <w:rPr>
          <w:sz w:val="20"/>
          <w:szCs w:val="20"/>
          <w:color w:val="auto"/>
        </w:rPr>
      </w:pPr>
    </w:p>
    <w:p>
      <w:pPr>
        <w:ind w:left="520"/>
        <w:spacing w:after="0"/>
        <w:rPr>
          <w:sz w:val="20"/>
          <w:szCs w:val="20"/>
          <w:color w:val="auto"/>
        </w:rPr>
      </w:pPr>
      <w:r>
        <w:rPr>
          <w:rFonts w:ascii="Arial" w:cs="Arial" w:eastAsia="Arial" w:hAnsi="Arial"/>
          <w:sz w:val="18"/>
          <w:szCs w:val="18"/>
          <w:color w:val="auto"/>
        </w:rPr>
        <w:t>Guide Investments, Inc.</w:t>
      </w:r>
    </w:p>
    <w:p>
      <w:pPr>
        <w:spacing w:after="0" w:line="117" w:lineRule="exact"/>
        <w:rPr>
          <w:sz w:val="20"/>
          <w:szCs w:val="20"/>
          <w:color w:val="auto"/>
        </w:rPr>
      </w:pPr>
    </w:p>
    <w:p>
      <w:pPr>
        <w:ind w:left="520"/>
        <w:spacing w:after="0"/>
        <w:rPr>
          <w:sz w:val="20"/>
          <w:szCs w:val="20"/>
          <w:color w:val="auto"/>
        </w:rPr>
      </w:pPr>
      <w:r>
        <w:rPr>
          <w:rFonts w:ascii="Arial" w:cs="Arial" w:eastAsia="Arial" w:hAnsi="Arial"/>
          <w:sz w:val="18"/>
          <w:szCs w:val="18"/>
          <w:color w:val="auto"/>
        </w:rPr>
        <w:t>GuideWorks, LLC</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Arial" w:cs="Arial" w:eastAsia="Arial" w:hAnsi="Arial"/>
          <w:sz w:val="18"/>
          <w:szCs w:val="18"/>
          <w:color w:val="auto"/>
        </w:rPr>
        <w:t>VA</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color w:val="auto"/>
        </w:rPr>
        <w:t>NV</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color w:val="auto"/>
        </w:rPr>
        <w:t>WA</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color w:val="auto"/>
        </w:rPr>
        <w:t>DE</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color w:val="auto"/>
        </w:rPr>
        <w:t>MA</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color w:val="auto"/>
        </w:rPr>
        <w:t>MA</w:t>
      </w:r>
    </w:p>
    <w:p>
      <w:pPr>
        <w:spacing w:after="0" w:line="117" w:lineRule="exact"/>
        <w:rPr>
          <w:sz w:val="20"/>
          <w:szCs w:val="20"/>
          <w:color w:val="auto"/>
        </w:rPr>
      </w:pPr>
    </w:p>
    <w:p>
      <w:pPr>
        <w:spacing w:after="0"/>
        <w:rPr>
          <w:sz w:val="20"/>
          <w:szCs w:val="20"/>
          <w:color w:val="auto"/>
        </w:rPr>
      </w:pPr>
      <w:r>
        <w:rPr>
          <w:rFonts w:ascii="Arial" w:cs="Arial" w:eastAsia="Arial" w:hAnsi="Arial"/>
          <w:sz w:val="16"/>
          <w:szCs w:val="16"/>
          <w:color w:val="auto"/>
        </w:rPr>
        <w:t>New South Wales</w:t>
      </w:r>
    </w:p>
    <w:p>
      <w:pPr>
        <w:spacing w:after="0" w:line="140" w:lineRule="exact"/>
        <w:rPr>
          <w:sz w:val="20"/>
          <w:szCs w:val="20"/>
          <w:color w:val="auto"/>
        </w:rPr>
      </w:pPr>
    </w:p>
    <w:p>
      <w:pPr>
        <w:spacing w:after="0"/>
        <w:rPr>
          <w:sz w:val="20"/>
          <w:szCs w:val="20"/>
          <w:color w:val="auto"/>
        </w:rPr>
      </w:pPr>
      <w:r>
        <w:rPr>
          <w:rFonts w:ascii="Arial" w:cs="Arial" w:eastAsia="Arial" w:hAnsi="Arial"/>
          <w:sz w:val="18"/>
          <w:szCs w:val="18"/>
          <w:color w:val="auto"/>
        </w:rPr>
        <w:t>VA</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color w:val="auto"/>
        </w:rPr>
        <w:t>MA</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color w:val="auto"/>
        </w:rPr>
        <w:t>DE</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color w:val="auto"/>
        </w:rPr>
        <w:t>MD</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color w:val="auto"/>
        </w:rPr>
        <w:t>MD</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color w:val="auto"/>
        </w:rPr>
        <w:t>DE</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color w:val="auto"/>
        </w:rPr>
        <w:t>MD</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color w:val="auto"/>
        </w:rPr>
        <w:t>PA</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color w:val="auto"/>
        </w:rPr>
        <w:t>DE</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color w:val="auto"/>
        </w:rPr>
        <w:t>DE</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color w:val="auto"/>
        </w:rPr>
        <w:t>UK</w:t>
      </w:r>
    </w:p>
    <w:p>
      <w:pPr>
        <w:spacing w:after="0" w:line="117" w:lineRule="exact"/>
        <w:rPr>
          <w:sz w:val="20"/>
          <w:szCs w:val="20"/>
          <w:color w:val="auto"/>
        </w:rPr>
      </w:pPr>
    </w:p>
    <w:p>
      <w:pPr>
        <w:spacing w:after="0"/>
        <w:rPr>
          <w:sz w:val="20"/>
          <w:szCs w:val="20"/>
          <w:color w:val="auto"/>
        </w:rPr>
      </w:pPr>
      <w:r>
        <w:rPr>
          <w:rFonts w:ascii="Arial" w:cs="Arial" w:eastAsia="Arial" w:hAnsi="Arial"/>
          <w:sz w:val="16"/>
          <w:szCs w:val="16"/>
          <w:color w:val="auto"/>
        </w:rPr>
        <w:t>Netherland Antilles</w:t>
      </w:r>
    </w:p>
    <w:p>
      <w:pPr>
        <w:spacing w:after="0" w:line="140" w:lineRule="exact"/>
        <w:rPr>
          <w:sz w:val="20"/>
          <w:szCs w:val="20"/>
          <w:color w:val="auto"/>
        </w:rPr>
      </w:pPr>
    </w:p>
    <w:p>
      <w:pPr>
        <w:spacing w:after="0"/>
        <w:rPr>
          <w:sz w:val="20"/>
          <w:szCs w:val="20"/>
          <w:color w:val="auto"/>
        </w:rPr>
      </w:pPr>
      <w:r>
        <w:rPr>
          <w:rFonts w:ascii="Arial" w:cs="Arial" w:eastAsia="Arial" w:hAnsi="Arial"/>
          <w:sz w:val="18"/>
          <w:szCs w:val="18"/>
          <w:color w:val="auto"/>
        </w:rPr>
        <w:t>Hong Kong</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color w:val="auto"/>
        </w:rPr>
        <w:t>DE</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color w:val="auto"/>
        </w:rPr>
        <w:t>DE</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color w:val="auto"/>
        </w:rPr>
        <w:t>DE</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color w:val="auto"/>
        </w:rPr>
        <w:t>DE</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color w:val="auto"/>
        </w:rPr>
        <w:t>NJ</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color w:val="auto"/>
        </w:rPr>
        <w:t>CO</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color w:val="auto"/>
        </w:rPr>
        <w:t>CO</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color w:val="auto"/>
        </w:rPr>
        <w:t>CA</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color w:val="auto"/>
        </w:rPr>
        <w:t>CA</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color w:val="auto"/>
        </w:rPr>
        <w:t>DE</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color w:val="auto"/>
        </w:rPr>
        <w:t>OK</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color w:val="auto"/>
        </w:rPr>
        <w:t>DE</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color w:val="auto"/>
        </w:rPr>
        <w:t>PA</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color w:val="auto"/>
        </w:rPr>
        <w:t>DE</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color w:val="auto"/>
        </w:rPr>
        <w:t>MI</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color w:val="auto"/>
        </w:rPr>
        <w:t>MI</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color w:val="auto"/>
        </w:rPr>
        <w:t>PA</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color w:val="auto"/>
        </w:rPr>
        <w:t>PA</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color w:val="auto"/>
        </w:rPr>
        <w:t>DE</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color w:val="auto"/>
        </w:rPr>
        <w:t>DE</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color w:val="auto"/>
        </w:rPr>
        <w:t>DE</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color w:val="auto"/>
        </w:rPr>
        <w:t>CO</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color w:val="auto"/>
        </w:rPr>
        <w:t>Ontario</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color w:val="auto"/>
        </w:rPr>
        <w:t>Ontario</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color w:val="auto"/>
        </w:rPr>
        <w:t>PA</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color w:val="auto"/>
        </w:rPr>
        <w:t>DE</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color w:val="auto"/>
        </w:rPr>
        <w:t>DE</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color w:val="auto"/>
        </w:rPr>
        <w:t>MA</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color w:val="auto"/>
        </w:rPr>
        <w:t>CO</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color w:val="auto"/>
        </w:rPr>
        <w:t>DE</w:t>
      </w:r>
    </w:p>
    <w:p>
      <w:pPr>
        <w:sectPr>
          <w:pgSz w:w="11900" w:h="16838" w:orient="portrait"/>
          <w:cols w:equalWidth="0" w:num="2">
            <w:col w:w="6400" w:space="720"/>
            <w:col w:w="1899"/>
          </w:cols>
          <w:pgMar w:left="1440" w:top="388" w:right="1440" w:bottom="0" w:gutter="0" w:footer="0" w:header="0"/>
        </w:sectPr>
      </w:pPr>
    </w:p>
    <w:bookmarkStart w:id="186" w:name="page187"/>
    <w:bookmarkEnd w:id="186"/>
    <w:p>
      <w:pPr>
        <w:ind w:left="520"/>
        <w:spacing w:after="0"/>
        <w:rPr>
          <w:sz w:val="20"/>
          <w:szCs w:val="20"/>
          <w:color w:val="auto"/>
        </w:rPr>
      </w:pPr>
      <w:r>
        <w:rPr>
          <w:rFonts w:ascii="Arial" w:cs="Arial" w:eastAsia="Arial" w:hAnsi="Arial"/>
          <w:sz w:val="16"/>
          <w:szCs w:val="16"/>
          <w:color w:val="auto"/>
        </w:rPr>
        <w:t>Hawkeye Communications of Clinton, Inc.</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Arial" w:cs="Arial" w:eastAsia="Arial" w:hAnsi="Arial"/>
          <w:sz w:val="18"/>
          <w:szCs w:val="18"/>
          <w:color w:val="auto"/>
        </w:rPr>
        <w:t>IA</w:t>
      </w:r>
    </w:p>
    <w:p>
      <w:pPr>
        <w:spacing w:after="0" w:line="117" w:lineRule="exact"/>
        <w:rPr>
          <w:sz w:val="20"/>
          <w:szCs w:val="20"/>
          <w:color w:val="auto"/>
        </w:rPr>
      </w:pPr>
    </w:p>
    <w:p>
      <w:pPr>
        <w:sectPr>
          <w:pgSz w:w="11900" w:h="16838" w:orient="portrait"/>
          <w:cols w:equalWidth="0" w:num="2">
            <w:col w:w="6400" w:space="720"/>
            <w:col w:w="1899"/>
          </w:cols>
          <w:pgMar w:left="1440" w:top="131" w:right="1440" w:bottom="1440" w:gutter="0" w:footer="0" w:header="0"/>
        </w:sectPr>
      </w:pPr>
    </w:p>
    <w:p>
      <w:pPr>
        <w:ind w:left="520"/>
        <w:spacing w:after="0"/>
        <w:rPr>
          <w:sz w:val="20"/>
          <w:szCs w:val="20"/>
          <w:color w:val="auto"/>
        </w:rPr>
      </w:pPr>
      <w:r>
        <w:rPr>
          <w:rFonts w:ascii="Arial" w:cs="Arial" w:eastAsia="Arial" w:hAnsi="Arial"/>
          <w:sz w:val="15"/>
          <w:szCs w:val="15"/>
          <w:color w:val="auto"/>
        </w:rPr>
        <w:t>Headend In The Sky, Inc.</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Arial" w:cs="Arial" w:eastAsia="Arial" w:hAnsi="Arial"/>
          <w:sz w:val="16"/>
          <w:szCs w:val="16"/>
          <w:color w:val="auto"/>
        </w:rPr>
        <w:t>CO</w:t>
      </w:r>
    </w:p>
    <w:p>
      <w:pPr>
        <w:sectPr>
          <w:pgSz w:w="11900" w:h="16838" w:orient="portrait"/>
          <w:cols w:equalWidth="0" w:num="2">
            <w:col w:w="6400" w:space="720"/>
            <w:col w:w="1899"/>
          </w:cols>
          <w:pgMar w:left="1440" w:top="131" w:right="1440" w:bottom="1440" w:gutter="0" w:footer="0" w:header="0"/>
          <w:type w:val="continuous"/>
        </w:sectPr>
      </w:pPr>
    </w:p>
    <w:bookmarkStart w:id="187" w:name="page188"/>
    <w:bookmarkEnd w:id="187"/>
    <w:p>
      <w:pPr>
        <w:ind w:left="520"/>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249" name="Picture 2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9"/>
                    <pic:cNvPicPr>
                      <a:picLocks noChangeAspect="1" noChangeArrowheads="1"/>
                    </pic:cNvPicPr>
                  </pic:nvPicPr>
                  <pic:blipFill>
                    <a:blip r:embed="rId256">
                      <a:extLst>
                        <a:ext uri="{28A0092B-C50C-407E-A947-70E740481C1C}"/>
                      </a:extLst>
                    </a:blip>
                    <a:srcRect/>
                    <a:stretch>
                      <a:fillRect/>
                    </a:stretch>
                  </pic:blipFill>
                  <pic:spPr bwMode="auto">
                    <a:xfrm>
                      <a:off x="0" y="0"/>
                      <a:ext cx="7267575" cy="27940"/>
                    </a:xfrm>
                    <a:prstGeom prst="rect">
                      <a:avLst/>
                    </a:prstGeom>
                    <a:noFill/>
                  </pic:spPr>
                </pic:pic>
              </a:graphicData>
            </a:graphic>
          </wp:anchor>
        </w:drawing>
        <w:t>Heritage Cablevision of Massachusetts, Inc.</w:t>
      </w:r>
    </w:p>
    <w:p>
      <w:pPr>
        <w:spacing w:after="0" w:line="117" w:lineRule="exact"/>
        <w:rPr>
          <w:sz w:val="20"/>
          <w:szCs w:val="20"/>
          <w:color w:val="auto"/>
        </w:rPr>
      </w:pPr>
    </w:p>
    <w:p>
      <w:pPr>
        <w:ind w:left="520"/>
        <w:spacing w:after="0"/>
        <w:rPr>
          <w:sz w:val="20"/>
          <w:szCs w:val="20"/>
          <w:color w:val="auto"/>
        </w:rPr>
      </w:pPr>
      <w:r>
        <w:rPr>
          <w:rFonts w:ascii="Arial" w:cs="Arial" w:eastAsia="Arial" w:hAnsi="Arial"/>
          <w:sz w:val="15"/>
          <w:szCs w:val="15"/>
          <w:color w:val="auto"/>
        </w:rPr>
        <w:t>Heritage Cablevision of South East Massachusetts, Inc.</w:t>
      </w:r>
    </w:p>
    <w:p>
      <w:pPr>
        <w:spacing w:after="0" w:line="152" w:lineRule="exact"/>
        <w:rPr>
          <w:sz w:val="20"/>
          <w:szCs w:val="20"/>
          <w:color w:val="auto"/>
        </w:rPr>
      </w:pPr>
    </w:p>
    <w:p>
      <w:pPr>
        <w:ind w:left="520"/>
        <w:spacing w:after="0"/>
        <w:rPr>
          <w:sz w:val="20"/>
          <w:szCs w:val="20"/>
          <w:color w:val="auto"/>
        </w:rPr>
      </w:pPr>
      <w:r>
        <w:rPr>
          <w:rFonts w:ascii="Arial" w:cs="Arial" w:eastAsia="Arial" w:hAnsi="Arial"/>
          <w:sz w:val="18"/>
          <w:szCs w:val="18"/>
          <w:color w:val="auto"/>
        </w:rPr>
        <w:t>Home Sports Network, Inc.</w:t>
      </w:r>
    </w:p>
    <w:p>
      <w:pPr>
        <w:spacing w:after="0" w:line="117" w:lineRule="exact"/>
        <w:rPr>
          <w:sz w:val="20"/>
          <w:szCs w:val="20"/>
          <w:color w:val="auto"/>
        </w:rPr>
      </w:pPr>
    </w:p>
    <w:p>
      <w:pPr>
        <w:ind w:left="520"/>
        <w:spacing w:after="0"/>
        <w:rPr>
          <w:sz w:val="20"/>
          <w:szCs w:val="20"/>
          <w:color w:val="auto"/>
        </w:rPr>
      </w:pPr>
      <w:r>
        <w:rPr>
          <w:rFonts w:ascii="Arial" w:cs="Arial" w:eastAsia="Arial" w:hAnsi="Arial"/>
          <w:sz w:val="18"/>
          <w:szCs w:val="18"/>
          <w:color w:val="auto"/>
        </w:rPr>
        <w:t>IEC License Holdings, Inc.</w:t>
      </w:r>
    </w:p>
    <w:p>
      <w:pPr>
        <w:spacing w:after="0" w:line="117" w:lineRule="exact"/>
        <w:rPr>
          <w:sz w:val="20"/>
          <w:szCs w:val="20"/>
          <w:color w:val="auto"/>
        </w:rPr>
      </w:pPr>
    </w:p>
    <w:p>
      <w:pPr>
        <w:ind w:left="520"/>
        <w:spacing w:after="0"/>
        <w:rPr>
          <w:sz w:val="20"/>
          <w:szCs w:val="20"/>
          <w:color w:val="auto"/>
        </w:rPr>
      </w:pPr>
      <w:r>
        <w:rPr>
          <w:rFonts w:ascii="Arial" w:cs="Arial" w:eastAsia="Arial" w:hAnsi="Arial"/>
          <w:sz w:val="18"/>
          <w:szCs w:val="18"/>
          <w:color w:val="auto"/>
        </w:rPr>
        <w:t>In Demand, L.L.C.</w:t>
      </w:r>
    </w:p>
    <w:p>
      <w:pPr>
        <w:spacing w:after="0" w:line="117" w:lineRule="exact"/>
        <w:rPr>
          <w:sz w:val="20"/>
          <w:szCs w:val="20"/>
          <w:color w:val="auto"/>
        </w:rPr>
      </w:pPr>
    </w:p>
    <w:p>
      <w:pPr>
        <w:ind w:left="520"/>
        <w:spacing w:after="0"/>
        <w:rPr>
          <w:sz w:val="20"/>
          <w:szCs w:val="20"/>
          <w:color w:val="auto"/>
        </w:rPr>
      </w:pPr>
      <w:r>
        <w:rPr>
          <w:rFonts w:ascii="Arial" w:cs="Arial" w:eastAsia="Arial" w:hAnsi="Arial"/>
          <w:sz w:val="18"/>
          <w:szCs w:val="18"/>
          <w:color w:val="auto"/>
        </w:rPr>
        <w:t>Interactive Technology Services, Inc.</w:t>
      </w:r>
    </w:p>
    <w:p>
      <w:pPr>
        <w:spacing w:after="0" w:line="117" w:lineRule="exact"/>
        <w:rPr>
          <w:sz w:val="20"/>
          <w:szCs w:val="20"/>
          <w:color w:val="auto"/>
        </w:rPr>
      </w:pPr>
    </w:p>
    <w:p>
      <w:pPr>
        <w:ind w:left="520"/>
        <w:spacing w:after="0"/>
        <w:rPr>
          <w:sz w:val="20"/>
          <w:szCs w:val="20"/>
          <w:color w:val="auto"/>
        </w:rPr>
      </w:pPr>
      <w:r>
        <w:rPr>
          <w:rFonts w:ascii="Arial" w:cs="Arial" w:eastAsia="Arial" w:hAnsi="Arial"/>
          <w:sz w:val="18"/>
          <w:szCs w:val="18"/>
          <w:color w:val="auto"/>
        </w:rPr>
        <w:t>Intermedia Cable Investors, LLC</w:t>
      </w:r>
    </w:p>
    <w:p>
      <w:pPr>
        <w:spacing w:after="0" w:line="117" w:lineRule="exact"/>
        <w:rPr>
          <w:sz w:val="20"/>
          <w:szCs w:val="20"/>
          <w:color w:val="auto"/>
        </w:rPr>
      </w:pPr>
    </w:p>
    <w:p>
      <w:pPr>
        <w:ind w:left="520"/>
        <w:spacing w:after="0"/>
        <w:rPr>
          <w:sz w:val="20"/>
          <w:szCs w:val="20"/>
          <w:color w:val="auto"/>
        </w:rPr>
      </w:pPr>
      <w:r>
        <w:rPr>
          <w:rFonts w:ascii="Arial" w:cs="Arial" w:eastAsia="Arial" w:hAnsi="Arial"/>
          <w:sz w:val="18"/>
          <w:szCs w:val="18"/>
          <w:color w:val="auto"/>
        </w:rPr>
        <w:t>International Networks, LLC</w:t>
      </w:r>
    </w:p>
    <w:p>
      <w:pPr>
        <w:spacing w:after="0" w:line="117" w:lineRule="exact"/>
        <w:rPr>
          <w:sz w:val="20"/>
          <w:szCs w:val="20"/>
          <w:color w:val="auto"/>
        </w:rPr>
      </w:pPr>
    </w:p>
    <w:p>
      <w:pPr>
        <w:ind w:left="520"/>
        <w:spacing w:after="0"/>
        <w:rPr>
          <w:sz w:val="20"/>
          <w:szCs w:val="20"/>
          <w:color w:val="auto"/>
        </w:rPr>
      </w:pPr>
      <w:r>
        <w:rPr>
          <w:rFonts w:ascii="Arial" w:cs="Arial" w:eastAsia="Arial" w:hAnsi="Arial"/>
          <w:sz w:val="18"/>
          <w:szCs w:val="18"/>
          <w:color w:val="auto"/>
        </w:rPr>
        <w:t>Jones Cable Corporation</w:t>
      </w:r>
    </w:p>
    <w:p>
      <w:pPr>
        <w:spacing w:after="0" w:line="117" w:lineRule="exact"/>
        <w:rPr>
          <w:sz w:val="20"/>
          <w:szCs w:val="20"/>
          <w:color w:val="auto"/>
        </w:rPr>
      </w:pPr>
    </w:p>
    <w:p>
      <w:pPr>
        <w:ind w:left="520"/>
        <w:spacing w:after="0"/>
        <w:rPr>
          <w:sz w:val="20"/>
          <w:szCs w:val="20"/>
          <w:color w:val="auto"/>
        </w:rPr>
      </w:pPr>
      <w:r>
        <w:rPr>
          <w:rFonts w:ascii="Arial" w:cs="Arial" w:eastAsia="Arial" w:hAnsi="Arial"/>
          <w:sz w:val="18"/>
          <w:szCs w:val="18"/>
          <w:color w:val="auto"/>
        </w:rPr>
        <w:t>Jones Cable Holdings, Inc.</w:t>
      </w:r>
    </w:p>
    <w:p>
      <w:pPr>
        <w:spacing w:after="0" w:line="117" w:lineRule="exact"/>
        <w:rPr>
          <w:sz w:val="20"/>
          <w:szCs w:val="20"/>
          <w:color w:val="auto"/>
        </w:rPr>
      </w:pPr>
    </w:p>
    <w:p>
      <w:pPr>
        <w:ind w:left="520"/>
        <w:spacing w:after="0"/>
        <w:rPr>
          <w:sz w:val="20"/>
          <w:szCs w:val="20"/>
          <w:color w:val="auto"/>
        </w:rPr>
      </w:pPr>
      <w:r>
        <w:rPr>
          <w:rFonts w:ascii="Arial" w:cs="Arial" w:eastAsia="Arial" w:hAnsi="Arial"/>
          <w:sz w:val="18"/>
          <w:szCs w:val="18"/>
          <w:color w:val="auto"/>
        </w:rPr>
        <w:t>Jones Communications, Inc.</w:t>
      </w:r>
    </w:p>
    <w:p>
      <w:pPr>
        <w:spacing w:after="0" w:line="117" w:lineRule="exact"/>
        <w:rPr>
          <w:sz w:val="20"/>
          <w:szCs w:val="20"/>
          <w:color w:val="auto"/>
        </w:rPr>
      </w:pPr>
    </w:p>
    <w:p>
      <w:pPr>
        <w:ind w:left="520"/>
        <w:spacing w:after="0"/>
        <w:rPr>
          <w:sz w:val="20"/>
          <w:szCs w:val="20"/>
          <w:color w:val="auto"/>
        </w:rPr>
      </w:pPr>
      <w:r>
        <w:rPr>
          <w:rFonts w:ascii="Arial" w:cs="Arial" w:eastAsia="Arial" w:hAnsi="Arial"/>
          <w:sz w:val="18"/>
          <w:szCs w:val="18"/>
          <w:color w:val="auto"/>
        </w:rPr>
        <w:t>Jones Intercable Funds, Inc.</w:t>
      </w:r>
    </w:p>
    <w:p>
      <w:pPr>
        <w:spacing w:after="0" w:line="117" w:lineRule="exact"/>
        <w:rPr>
          <w:sz w:val="20"/>
          <w:szCs w:val="20"/>
          <w:color w:val="auto"/>
        </w:rPr>
      </w:pPr>
    </w:p>
    <w:p>
      <w:pPr>
        <w:ind w:left="520"/>
        <w:spacing w:after="0"/>
        <w:rPr>
          <w:sz w:val="20"/>
          <w:szCs w:val="20"/>
          <w:color w:val="auto"/>
        </w:rPr>
      </w:pPr>
      <w:r>
        <w:rPr>
          <w:rFonts w:ascii="Arial" w:cs="Arial" w:eastAsia="Arial" w:hAnsi="Arial"/>
          <w:sz w:val="18"/>
          <w:szCs w:val="18"/>
          <w:color w:val="auto"/>
        </w:rPr>
        <w:t>Jones Panorama Properties, LLC</w:t>
      </w:r>
    </w:p>
    <w:p>
      <w:pPr>
        <w:spacing w:after="0" w:line="117" w:lineRule="exact"/>
        <w:rPr>
          <w:sz w:val="20"/>
          <w:szCs w:val="20"/>
          <w:color w:val="auto"/>
        </w:rPr>
      </w:pPr>
    </w:p>
    <w:p>
      <w:pPr>
        <w:ind w:left="520"/>
        <w:spacing w:after="0"/>
        <w:rPr>
          <w:sz w:val="20"/>
          <w:szCs w:val="20"/>
          <w:color w:val="auto"/>
        </w:rPr>
      </w:pPr>
      <w:r>
        <w:rPr>
          <w:rFonts w:ascii="Arial" w:cs="Arial" w:eastAsia="Arial" w:hAnsi="Arial"/>
          <w:sz w:val="18"/>
          <w:szCs w:val="18"/>
          <w:color w:val="auto"/>
        </w:rPr>
        <w:t>Jones Programming Services, Inc.</w:t>
      </w:r>
    </w:p>
    <w:p>
      <w:pPr>
        <w:spacing w:after="0" w:line="117" w:lineRule="exact"/>
        <w:rPr>
          <w:sz w:val="20"/>
          <w:szCs w:val="20"/>
          <w:color w:val="auto"/>
        </w:rPr>
      </w:pPr>
    </w:p>
    <w:p>
      <w:pPr>
        <w:ind w:left="520"/>
        <w:spacing w:after="0"/>
        <w:rPr>
          <w:sz w:val="20"/>
          <w:szCs w:val="20"/>
          <w:color w:val="auto"/>
        </w:rPr>
      </w:pPr>
      <w:r>
        <w:rPr>
          <w:rFonts w:ascii="Arial" w:cs="Arial" w:eastAsia="Arial" w:hAnsi="Arial"/>
          <w:sz w:val="18"/>
          <w:szCs w:val="18"/>
          <w:color w:val="auto"/>
        </w:rPr>
        <w:t>Jones Spacelink Cable Corporation</w:t>
      </w:r>
    </w:p>
    <w:p>
      <w:pPr>
        <w:spacing w:after="0" w:line="117" w:lineRule="exact"/>
        <w:rPr>
          <w:sz w:val="20"/>
          <w:szCs w:val="20"/>
          <w:color w:val="auto"/>
        </w:rPr>
      </w:pPr>
    </w:p>
    <w:p>
      <w:pPr>
        <w:ind w:left="520"/>
        <w:spacing w:after="0"/>
        <w:rPr>
          <w:sz w:val="20"/>
          <w:szCs w:val="20"/>
          <w:color w:val="auto"/>
        </w:rPr>
      </w:pPr>
      <w:r>
        <w:rPr>
          <w:rFonts w:ascii="Arial" w:cs="Arial" w:eastAsia="Arial" w:hAnsi="Arial"/>
          <w:sz w:val="18"/>
          <w:szCs w:val="18"/>
          <w:color w:val="auto"/>
        </w:rPr>
        <w:t>Jones Telecommunications of California, LLC</w:t>
      </w:r>
    </w:p>
    <w:p>
      <w:pPr>
        <w:spacing w:after="0" w:line="117" w:lineRule="exact"/>
        <w:rPr>
          <w:sz w:val="20"/>
          <w:szCs w:val="20"/>
          <w:color w:val="auto"/>
        </w:rPr>
      </w:pPr>
    </w:p>
    <w:p>
      <w:pPr>
        <w:ind w:left="520"/>
        <w:spacing w:after="0"/>
        <w:rPr>
          <w:sz w:val="20"/>
          <w:szCs w:val="20"/>
          <w:color w:val="auto"/>
        </w:rPr>
      </w:pPr>
      <w:r>
        <w:rPr>
          <w:rFonts w:ascii="Arial" w:cs="Arial" w:eastAsia="Arial" w:hAnsi="Arial"/>
          <w:sz w:val="18"/>
          <w:szCs w:val="18"/>
          <w:color w:val="auto"/>
        </w:rPr>
        <w:t>LCNI II, Inc.</w:t>
      </w:r>
    </w:p>
    <w:p>
      <w:pPr>
        <w:spacing w:after="0" w:line="117" w:lineRule="exact"/>
        <w:rPr>
          <w:sz w:val="20"/>
          <w:szCs w:val="20"/>
          <w:color w:val="auto"/>
        </w:rPr>
      </w:pPr>
    </w:p>
    <w:p>
      <w:pPr>
        <w:ind w:left="520"/>
        <w:spacing w:after="0"/>
        <w:rPr>
          <w:sz w:val="20"/>
          <w:szCs w:val="20"/>
          <w:color w:val="auto"/>
        </w:rPr>
      </w:pPr>
      <w:r>
        <w:rPr>
          <w:rFonts w:ascii="Arial" w:cs="Arial" w:eastAsia="Arial" w:hAnsi="Arial"/>
          <w:sz w:val="18"/>
          <w:szCs w:val="18"/>
          <w:color w:val="auto"/>
        </w:rPr>
        <w:t>Lenfest Atlantic Communications, Inc.</w:t>
      </w:r>
    </w:p>
    <w:p>
      <w:pPr>
        <w:spacing w:after="0" w:line="117" w:lineRule="exact"/>
        <w:rPr>
          <w:sz w:val="20"/>
          <w:szCs w:val="20"/>
          <w:color w:val="auto"/>
        </w:rPr>
      </w:pPr>
    </w:p>
    <w:p>
      <w:pPr>
        <w:ind w:left="520"/>
        <w:spacing w:after="0"/>
        <w:rPr>
          <w:sz w:val="20"/>
          <w:szCs w:val="20"/>
          <w:color w:val="auto"/>
        </w:rPr>
      </w:pPr>
      <w:r>
        <w:rPr>
          <w:rFonts w:ascii="Arial" w:cs="Arial" w:eastAsia="Arial" w:hAnsi="Arial"/>
          <w:sz w:val="18"/>
          <w:szCs w:val="18"/>
          <w:color w:val="auto"/>
        </w:rPr>
        <w:t>Lenfest Australia Group Pty Ltd.</w:t>
      </w:r>
    </w:p>
    <w:p>
      <w:pPr>
        <w:spacing w:after="0" w:line="117" w:lineRule="exact"/>
        <w:rPr>
          <w:sz w:val="20"/>
          <w:szCs w:val="20"/>
          <w:color w:val="auto"/>
        </w:rPr>
      </w:pPr>
    </w:p>
    <w:p>
      <w:pPr>
        <w:ind w:left="520"/>
        <w:spacing w:after="0"/>
        <w:rPr>
          <w:sz w:val="20"/>
          <w:szCs w:val="20"/>
          <w:color w:val="auto"/>
        </w:rPr>
      </w:pPr>
      <w:r>
        <w:rPr>
          <w:rFonts w:ascii="Arial" w:cs="Arial" w:eastAsia="Arial" w:hAnsi="Arial"/>
          <w:sz w:val="18"/>
          <w:szCs w:val="18"/>
          <w:color w:val="auto"/>
        </w:rPr>
        <w:t>Lenfest Australia Investment Pty Ltd.</w:t>
      </w:r>
    </w:p>
    <w:p>
      <w:pPr>
        <w:spacing w:after="0" w:line="117" w:lineRule="exact"/>
        <w:rPr>
          <w:sz w:val="20"/>
          <w:szCs w:val="20"/>
          <w:color w:val="auto"/>
        </w:rPr>
      </w:pPr>
    </w:p>
    <w:p>
      <w:pPr>
        <w:ind w:left="520"/>
        <w:spacing w:after="0"/>
        <w:rPr>
          <w:sz w:val="20"/>
          <w:szCs w:val="20"/>
          <w:color w:val="auto"/>
        </w:rPr>
      </w:pPr>
      <w:r>
        <w:rPr>
          <w:rFonts w:ascii="Arial" w:cs="Arial" w:eastAsia="Arial" w:hAnsi="Arial"/>
          <w:sz w:val="18"/>
          <w:szCs w:val="18"/>
          <w:color w:val="auto"/>
        </w:rPr>
        <w:t>Lenfest Australia, Inc.</w:t>
      </w:r>
    </w:p>
    <w:p>
      <w:pPr>
        <w:spacing w:after="0" w:line="117" w:lineRule="exact"/>
        <w:rPr>
          <w:sz w:val="20"/>
          <w:szCs w:val="20"/>
          <w:color w:val="auto"/>
        </w:rPr>
      </w:pPr>
    </w:p>
    <w:p>
      <w:pPr>
        <w:ind w:left="520"/>
        <w:spacing w:after="0"/>
        <w:rPr>
          <w:sz w:val="20"/>
          <w:szCs w:val="20"/>
          <w:color w:val="auto"/>
        </w:rPr>
      </w:pPr>
      <w:r>
        <w:rPr>
          <w:rFonts w:ascii="Arial" w:cs="Arial" w:eastAsia="Arial" w:hAnsi="Arial"/>
          <w:sz w:val="18"/>
          <w:szCs w:val="18"/>
          <w:color w:val="auto"/>
        </w:rPr>
        <w:t>Lenfest Clearview, Inc.</w:t>
      </w:r>
    </w:p>
    <w:p>
      <w:pPr>
        <w:spacing w:after="0" w:line="117" w:lineRule="exact"/>
        <w:rPr>
          <w:sz w:val="20"/>
          <w:szCs w:val="20"/>
          <w:color w:val="auto"/>
        </w:rPr>
      </w:pPr>
    </w:p>
    <w:p>
      <w:pPr>
        <w:ind w:left="520"/>
        <w:spacing w:after="0"/>
        <w:rPr>
          <w:sz w:val="20"/>
          <w:szCs w:val="20"/>
          <w:color w:val="auto"/>
        </w:rPr>
      </w:pPr>
      <w:r>
        <w:rPr>
          <w:rFonts w:ascii="Arial" w:cs="Arial" w:eastAsia="Arial" w:hAnsi="Arial"/>
          <w:sz w:val="18"/>
          <w:szCs w:val="18"/>
          <w:color w:val="auto"/>
        </w:rPr>
        <w:t>Lenfest Delaware Properties, Inc.</w:t>
      </w:r>
    </w:p>
    <w:p>
      <w:pPr>
        <w:spacing w:after="0" w:line="117" w:lineRule="exact"/>
        <w:rPr>
          <w:sz w:val="20"/>
          <w:szCs w:val="20"/>
          <w:color w:val="auto"/>
        </w:rPr>
      </w:pPr>
    </w:p>
    <w:p>
      <w:pPr>
        <w:ind w:left="520"/>
        <w:spacing w:after="0"/>
        <w:rPr>
          <w:sz w:val="20"/>
          <w:szCs w:val="20"/>
          <w:color w:val="auto"/>
        </w:rPr>
      </w:pPr>
      <w:r>
        <w:rPr>
          <w:rFonts w:ascii="Arial" w:cs="Arial" w:eastAsia="Arial" w:hAnsi="Arial"/>
          <w:sz w:val="18"/>
          <w:szCs w:val="18"/>
          <w:color w:val="auto"/>
        </w:rPr>
        <w:t>Lenfest International Holdings, Inc.</w:t>
      </w:r>
    </w:p>
    <w:p>
      <w:pPr>
        <w:spacing w:after="0" w:line="117" w:lineRule="exact"/>
        <w:rPr>
          <w:sz w:val="20"/>
          <w:szCs w:val="20"/>
          <w:color w:val="auto"/>
        </w:rPr>
      </w:pPr>
    </w:p>
    <w:p>
      <w:pPr>
        <w:ind w:left="520"/>
        <w:spacing w:after="0"/>
        <w:rPr>
          <w:sz w:val="20"/>
          <w:szCs w:val="20"/>
          <w:color w:val="auto"/>
        </w:rPr>
      </w:pPr>
      <w:r>
        <w:rPr>
          <w:rFonts w:ascii="Arial" w:cs="Arial" w:eastAsia="Arial" w:hAnsi="Arial"/>
          <w:sz w:val="18"/>
          <w:szCs w:val="18"/>
          <w:color w:val="auto"/>
        </w:rPr>
        <w:t>Lenfest International, Inc.</w:t>
      </w:r>
    </w:p>
    <w:p>
      <w:pPr>
        <w:spacing w:after="0" w:line="117" w:lineRule="exact"/>
        <w:rPr>
          <w:sz w:val="20"/>
          <w:szCs w:val="20"/>
          <w:color w:val="auto"/>
        </w:rPr>
      </w:pPr>
    </w:p>
    <w:p>
      <w:pPr>
        <w:ind w:left="520"/>
        <w:spacing w:after="0"/>
        <w:rPr>
          <w:sz w:val="20"/>
          <w:szCs w:val="20"/>
          <w:color w:val="auto"/>
        </w:rPr>
      </w:pPr>
      <w:r>
        <w:rPr>
          <w:rFonts w:ascii="Arial" w:cs="Arial" w:eastAsia="Arial" w:hAnsi="Arial"/>
          <w:sz w:val="18"/>
          <w:szCs w:val="18"/>
          <w:color w:val="auto"/>
        </w:rPr>
        <w:t>Lenfest Investments, Inc.</w:t>
      </w:r>
    </w:p>
    <w:p>
      <w:pPr>
        <w:spacing w:after="0" w:line="117" w:lineRule="exact"/>
        <w:rPr>
          <w:sz w:val="20"/>
          <w:szCs w:val="20"/>
          <w:color w:val="auto"/>
        </w:rPr>
      </w:pPr>
    </w:p>
    <w:p>
      <w:pPr>
        <w:ind w:left="520"/>
        <w:spacing w:after="0"/>
        <w:rPr>
          <w:sz w:val="20"/>
          <w:szCs w:val="20"/>
          <w:color w:val="auto"/>
        </w:rPr>
      </w:pPr>
      <w:r>
        <w:rPr>
          <w:rFonts w:ascii="Arial" w:cs="Arial" w:eastAsia="Arial" w:hAnsi="Arial"/>
          <w:sz w:val="18"/>
          <w:szCs w:val="18"/>
          <w:color w:val="auto"/>
        </w:rPr>
        <w:t>Lenfest Jersey, LLC</w:t>
      </w:r>
    </w:p>
    <w:p>
      <w:pPr>
        <w:spacing w:after="0" w:line="117" w:lineRule="exact"/>
        <w:rPr>
          <w:sz w:val="20"/>
          <w:szCs w:val="20"/>
          <w:color w:val="auto"/>
        </w:rPr>
      </w:pPr>
    </w:p>
    <w:p>
      <w:pPr>
        <w:ind w:left="520"/>
        <w:spacing w:after="0"/>
        <w:rPr>
          <w:sz w:val="20"/>
          <w:szCs w:val="20"/>
          <w:color w:val="auto"/>
        </w:rPr>
      </w:pPr>
      <w:r>
        <w:rPr>
          <w:rFonts w:ascii="Arial" w:cs="Arial" w:eastAsia="Arial" w:hAnsi="Arial"/>
          <w:sz w:val="18"/>
          <w:szCs w:val="18"/>
          <w:color w:val="auto"/>
        </w:rPr>
        <w:t>Lenfest MCN, Inc.</w:t>
      </w:r>
    </w:p>
    <w:p>
      <w:pPr>
        <w:spacing w:after="0" w:line="117" w:lineRule="exact"/>
        <w:rPr>
          <w:sz w:val="20"/>
          <w:szCs w:val="20"/>
          <w:color w:val="auto"/>
        </w:rPr>
      </w:pPr>
    </w:p>
    <w:p>
      <w:pPr>
        <w:ind w:left="520"/>
        <w:spacing w:after="0"/>
        <w:rPr>
          <w:sz w:val="20"/>
          <w:szCs w:val="20"/>
          <w:color w:val="auto"/>
        </w:rPr>
      </w:pPr>
      <w:r>
        <w:rPr>
          <w:rFonts w:ascii="Arial" w:cs="Arial" w:eastAsia="Arial" w:hAnsi="Arial"/>
          <w:sz w:val="18"/>
          <w:szCs w:val="18"/>
          <w:color w:val="auto"/>
        </w:rPr>
        <w:t>Lenfest Oaks, Inc.</w:t>
      </w:r>
    </w:p>
    <w:p>
      <w:pPr>
        <w:spacing w:after="0" w:line="117" w:lineRule="exact"/>
        <w:rPr>
          <w:sz w:val="20"/>
          <w:szCs w:val="20"/>
          <w:color w:val="auto"/>
        </w:rPr>
      </w:pPr>
    </w:p>
    <w:p>
      <w:pPr>
        <w:ind w:left="520"/>
        <w:spacing w:after="0"/>
        <w:rPr>
          <w:sz w:val="20"/>
          <w:szCs w:val="20"/>
          <w:color w:val="auto"/>
        </w:rPr>
      </w:pPr>
      <w:r>
        <w:rPr>
          <w:rFonts w:ascii="Arial" w:cs="Arial" w:eastAsia="Arial" w:hAnsi="Arial"/>
          <w:sz w:val="18"/>
          <w:szCs w:val="18"/>
          <w:color w:val="auto"/>
        </w:rPr>
        <w:t>Lenfest Telephony, Inc.</w:t>
      </w:r>
    </w:p>
    <w:p>
      <w:pPr>
        <w:spacing w:after="0" w:line="117" w:lineRule="exact"/>
        <w:rPr>
          <w:sz w:val="20"/>
          <w:szCs w:val="20"/>
          <w:color w:val="auto"/>
        </w:rPr>
      </w:pPr>
    </w:p>
    <w:p>
      <w:pPr>
        <w:ind w:left="520"/>
        <w:spacing w:after="0"/>
        <w:rPr>
          <w:sz w:val="20"/>
          <w:szCs w:val="20"/>
          <w:color w:val="auto"/>
        </w:rPr>
      </w:pPr>
      <w:r>
        <w:rPr>
          <w:rFonts w:ascii="Arial" w:cs="Arial" w:eastAsia="Arial" w:hAnsi="Arial"/>
          <w:sz w:val="18"/>
          <w:szCs w:val="18"/>
          <w:color w:val="auto"/>
        </w:rPr>
        <w:t>Lenfest Videopole Holdings, Inc.</w:t>
      </w:r>
    </w:p>
    <w:p>
      <w:pPr>
        <w:spacing w:after="0" w:line="117" w:lineRule="exact"/>
        <w:rPr>
          <w:sz w:val="20"/>
          <w:szCs w:val="20"/>
          <w:color w:val="auto"/>
        </w:rPr>
      </w:pPr>
    </w:p>
    <w:p>
      <w:pPr>
        <w:ind w:left="520"/>
        <w:spacing w:after="0"/>
        <w:rPr>
          <w:sz w:val="20"/>
          <w:szCs w:val="20"/>
          <w:color w:val="auto"/>
        </w:rPr>
      </w:pPr>
      <w:r>
        <w:rPr>
          <w:rFonts w:ascii="Arial" w:cs="Arial" w:eastAsia="Arial" w:hAnsi="Arial"/>
          <w:sz w:val="18"/>
          <w:szCs w:val="18"/>
          <w:color w:val="auto"/>
        </w:rPr>
        <w:t>Lenfest York, Inc.</w:t>
      </w:r>
    </w:p>
    <w:p>
      <w:pPr>
        <w:spacing w:after="0" w:line="117" w:lineRule="exact"/>
        <w:rPr>
          <w:sz w:val="20"/>
          <w:szCs w:val="20"/>
          <w:color w:val="auto"/>
        </w:rPr>
      </w:pPr>
    </w:p>
    <w:p>
      <w:pPr>
        <w:ind w:left="520"/>
        <w:spacing w:after="0"/>
        <w:rPr>
          <w:sz w:val="20"/>
          <w:szCs w:val="20"/>
          <w:color w:val="auto"/>
        </w:rPr>
      </w:pPr>
      <w:r>
        <w:rPr>
          <w:rFonts w:ascii="Arial" w:cs="Arial" w:eastAsia="Arial" w:hAnsi="Arial"/>
          <w:sz w:val="18"/>
          <w:szCs w:val="18"/>
          <w:color w:val="auto"/>
        </w:rPr>
        <w:t>Liberty City Funding Corporation</w:t>
      </w:r>
    </w:p>
    <w:p>
      <w:pPr>
        <w:spacing w:after="0" w:line="117" w:lineRule="exact"/>
        <w:rPr>
          <w:sz w:val="20"/>
          <w:szCs w:val="20"/>
          <w:color w:val="auto"/>
        </w:rPr>
      </w:pPr>
    </w:p>
    <w:p>
      <w:pPr>
        <w:ind w:left="520"/>
        <w:spacing w:after="0"/>
        <w:rPr>
          <w:sz w:val="20"/>
          <w:szCs w:val="20"/>
          <w:color w:val="auto"/>
        </w:rPr>
      </w:pPr>
      <w:r>
        <w:rPr>
          <w:rFonts w:ascii="Arial" w:cs="Arial" w:eastAsia="Arial" w:hAnsi="Arial"/>
          <w:sz w:val="18"/>
          <w:szCs w:val="18"/>
          <w:color w:val="auto"/>
        </w:rPr>
        <w:t>Liberty Ventures Group LLC</w:t>
      </w:r>
    </w:p>
    <w:p>
      <w:pPr>
        <w:spacing w:after="0" w:line="117" w:lineRule="exact"/>
        <w:rPr>
          <w:sz w:val="20"/>
          <w:szCs w:val="20"/>
          <w:color w:val="auto"/>
        </w:rPr>
      </w:pPr>
    </w:p>
    <w:p>
      <w:pPr>
        <w:ind w:left="520"/>
        <w:spacing w:after="0"/>
        <w:rPr>
          <w:sz w:val="20"/>
          <w:szCs w:val="20"/>
          <w:color w:val="auto"/>
        </w:rPr>
      </w:pPr>
      <w:r>
        <w:rPr>
          <w:rFonts w:ascii="Arial" w:cs="Arial" w:eastAsia="Arial" w:hAnsi="Arial"/>
          <w:sz w:val="18"/>
          <w:szCs w:val="18"/>
          <w:color w:val="auto"/>
        </w:rPr>
        <w:t>L-TCI Associates</w:t>
      </w:r>
    </w:p>
    <w:p>
      <w:pPr>
        <w:spacing w:after="0" w:line="117" w:lineRule="exact"/>
        <w:rPr>
          <w:sz w:val="20"/>
          <w:szCs w:val="20"/>
          <w:color w:val="auto"/>
        </w:rPr>
      </w:pPr>
    </w:p>
    <w:p>
      <w:pPr>
        <w:ind w:left="520"/>
        <w:spacing w:after="0"/>
        <w:rPr>
          <w:sz w:val="20"/>
          <w:szCs w:val="20"/>
          <w:color w:val="auto"/>
        </w:rPr>
      </w:pPr>
      <w:r>
        <w:rPr>
          <w:rFonts w:ascii="Arial" w:cs="Arial" w:eastAsia="Arial" w:hAnsi="Arial"/>
          <w:sz w:val="18"/>
          <w:szCs w:val="18"/>
          <w:color w:val="auto"/>
        </w:rPr>
        <w:t>LVO Cable Properties, Inc.</w:t>
      </w:r>
    </w:p>
    <w:p>
      <w:pPr>
        <w:spacing w:after="0" w:line="117" w:lineRule="exact"/>
        <w:rPr>
          <w:sz w:val="20"/>
          <w:szCs w:val="20"/>
          <w:color w:val="auto"/>
        </w:rPr>
      </w:pPr>
    </w:p>
    <w:p>
      <w:pPr>
        <w:ind w:left="520"/>
        <w:spacing w:after="0"/>
        <w:rPr>
          <w:sz w:val="20"/>
          <w:szCs w:val="20"/>
          <w:color w:val="auto"/>
        </w:rPr>
      </w:pPr>
      <w:r>
        <w:rPr>
          <w:rFonts w:ascii="Arial" w:cs="Arial" w:eastAsia="Arial" w:hAnsi="Arial"/>
          <w:sz w:val="18"/>
          <w:szCs w:val="18"/>
          <w:color w:val="auto"/>
        </w:rPr>
        <w:t>M H Lightnet, LLC</w:t>
      </w:r>
    </w:p>
    <w:p>
      <w:pPr>
        <w:spacing w:after="0" w:line="117" w:lineRule="exact"/>
        <w:rPr>
          <w:sz w:val="20"/>
          <w:szCs w:val="20"/>
          <w:color w:val="auto"/>
        </w:rPr>
      </w:pPr>
    </w:p>
    <w:p>
      <w:pPr>
        <w:ind w:left="520"/>
        <w:spacing w:after="0"/>
        <w:rPr>
          <w:sz w:val="20"/>
          <w:szCs w:val="20"/>
          <w:color w:val="auto"/>
        </w:rPr>
      </w:pPr>
      <w:r>
        <w:rPr>
          <w:rFonts w:ascii="Arial" w:cs="Arial" w:eastAsia="Arial" w:hAnsi="Arial"/>
          <w:sz w:val="18"/>
          <w:szCs w:val="18"/>
          <w:color w:val="auto"/>
        </w:rPr>
        <w:t>MarketLink Indianapolis Cable Advertising, LLC</w:t>
      </w:r>
    </w:p>
    <w:p>
      <w:pPr>
        <w:spacing w:after="0" w:line="117" w:lineRule="exact"/>
        <w:rPr>
          <w:sz w:val="20"/>
          <w:szCs w:val="20"/>
          <w:color w:val="auto"/>
        </w:rPr>
      </w:pPr>
    </w:p>
    <w:p>
      <w:pPr>
        <w:ind w:left="520"/>
        <w:spacing w:after="0"/>
        <w:rPr>
          <w:sz w:val="20"/>
          <w:szCs w:val="20"/>
          <w:color w:val="auto"/>
        </w:rPr>
      </w:pPr>
      <w:r>
        <w:rPr>
          <w:rFonts w:ascii="Arial" w:cs="Arial" w:eastAsia="Arial" w:hAnsi="Arial"/>
          <w:sz w:val="18"/>
          <w:szCs w:val="18"/>
          <w:color w:val="auto"/>
        </w:rPr>
        <w:t>MediaOne Brasil Comercio e Participacoes Ltda.</w:t>
      </w:r>
    </w:p>
    <w:p>
      <w:pPr>
        <w:spacing w:after="0" w:line="117" w:lineRule="exact"/>
        <w:rPr>
          <w:sz w:val="20"/>
          <w:szCs w:val="20"/>
          <w:color w:val="auto"/>
        </w:rPr>
      </w:pPr>
    </w:p>
    <w:p>
      <w:pPr>
        <w:ind w:left="520"/>
        <w:spacing w:after="0"/>
        <w:rPr>
          <w:sz w:val="20"/>
          <w:szCs w:val="20"/>
          <w:color w:val="auto"/>
        </w:rPr>
      </w:pPr>
      <w:r>
        <w:rPr>
          <w:rFonts w:ascii="Arial" w:cs="Arial" w:eastAsia="Arial" w:hAnsi="Arial"/>
          <w:sz w:val="18"/>
          <w:szCs w:val="18"/>
          <w:color w:val="auto"/>
        </w:rPr>
        <w:t>Mile Hi Cable Partners, L.P.</w:t>
      </w:r>
    </w:p>
    <w:p>
      <w:pPr>
        <w:spacing w:after="0" w:line="117" w:lineRule="exact"/>
        <w:rPr>
          <w:sz w:val="20"/>
          <w:szCs w:val="20"/>
          <w:color w:val="auto"/>
        </w:rPr>
      </w:pPr>
    </w:p>
    <w:p>
      <w:pPr>
        <w:ind w:left="520"/>
        <w:spacing w:after="0"/>
        <w:rPr>
          <w:sz w:val="20"/>
          <w:szCs w:val="20"/>
          <w:color w:val="auto"/>
        </w:rPr>
      </w:pPr>
      <w:r>
        <w:rPr>
          <w:rFonts w:ascii="Arial" w:cs="Arial" w:eastAsia="Arial" w:hAnsi="Arial"/>
          <w:sz w:val="18"/>
          <w:szCs w:val="18"/>
          <w:color w:val="auto"/>
        </w:rPr>
        <w:t>Mobile Enterprises, Inc.</w:t>
      </w:r>
    </w:p>
    <w:p>
      <w:pPr>
        <w:spacing w:after="0" w:line="117" w:lineRule="exact"/>
        <w:rPr>
          <w:sz w:val="20"/>
          <w:szCs w:val="20"/>
          <w:color w:val="auto"/>
        </w:rPr>
      </w:pPr>
    </w:p>
    <w:p>
      <w:pPr>
        <w:ind w:left="520"/>
        <w:spacing w:after="0"/>
        <w:rPr>
          <w:sz w:val="20"/>
          <w:szCs w:val="20"/>
          <w:color w:val="auto"/>
        </w:rPr>
      </w:pPr>
      <w:r>
        <w:rPr>
          <w:rFonts w:ascii="Arial" w:cs="Arial" w:eastAsia="Arial" w:hAnsi="Arial"/>
          <w:sz w:val="18"/>
          <w:szCs w:val="18"/>
          <w:color w:val="auto"/>
        </w:rPr>
        <w:t>MOC Holdco I, LLC</w:t>
      </w:r>
    </w:p>
    <w:p>
      <w:pPr>
        <w:spacing w:after="0" w:line="117" w:lineRule="exact"/>
        <w:rPr>
          <w:sz w:val="20"/>
          <w:szCs w:val="20"/>
          <w:color w:val="auto"/>
        </w:rPr>
      </w:pPr>
    </w:p>
    <w:p>
      <w:pPr>
        <w:ind w:left="520"/>
        <w:spacing w:after="0"/>
        <w:rPr>
          <w:sz w:val="20"/>
          <w:szCs w:val="20"/>
          <w:color w:val="auto"/>
        </w:rPr>
      </w:pPr>
      <w:r>
        <w:rPr>
          <w:rFonts w:ascii="Arial" w:cs="Arial" w:eastAsia="Arial" w:hAnsi="Arial"/>
          <w:sz w:val="18"/>
          <w:szCs w:val="18"/>
          <w:color w:val="auto"/>
        </w:rPr>
        <w:t>MOC Holdco II, Inc.</w:t>
      </w:r>
    </w:p>
    <w:p>
      <w:pPr>
        <w:spacing w:after="0" w:line="117" w:lineRule="exact"/>
        <w:rPr>
          <w:sz w:val="20"/>
          <w:szCs w:val="20"/>
          <w:color w:val="auto"/>
        </w:rPr>
      </w:pPr>
    </w:p>
    <w:p>
      <w:pPr>
        <w:ind w:left="520"/>
        <w:spacing w:after="0"/>
        <w:rPr>
          <w:sz w:val="20"/>
          <w:szCs w:val="20"/>
          <w:color w:val="auto"/>
        </w:rPr>
      </w:pPr>
      <w:r>
        <w:rPr>
          <w:rFonts w:ascii="Arial" w:cs="Arial" w:eastAsia="Arial" w:hAnsi="Arial"/>
          <w:sz w:val="18"/>
          <w:szCs w:val="18"/>
          <w:color w:val="auto"/>
        </w:rPr>
        <w:t>Mountain Cable Network, Inc.</w:t>
      </w:r>
    </w:p>
    <w:p>
      <w:pPr>
        <w:spacing w:after="0" w:line="117" w:lineRule="exact"/>
        <w:rPr>
          <w:sz w:val="20"/>
          <w:szCs w:val="20"/>
          <w:color w:val="auto"/>
        </w:rPr>
      </w:pPr>
    </w:p>
    <w:p>
      <w:pPr>
        <w:ind w:left="520"/>
        <w:spacing w:after="0"/>
        <w:rPr>
          <w:sz w:val="20"/>
          <w:szCs w:val="20"/>
          <w:color w:val="auto"/>
        </w:rPr>
      </w:pPr>
      <w:r>
        <w:rPr>
          <w:rFonts w:ascii="Arial" w:cs="Arial" w:eastAsia="Arial" w:hAnsi="Arial"/>
          <w:sz w:val="18"/>
          <w:szCs w:val="18"/>
          <w:color w:val="auto"/>
        </w:rPr>
        <w:t>Mountain States General Partner, LLC</w:t>
      </w:r>
    </w:p>
    <w:p>
      <w:pPr>
        <w:spacing w:after="0" w:line="117" w:lineRule="exact"/>
        <w:rPr>
          <w:sz w:val="20"/>
          <w:szCs w:val="20"/>
          <w:color w:val="auto"/>
        </w:rPr>
      </w:pPr>
    </w:p>
    <w:p>
      <w:pPr>
        <w:ind w:left="520"/>
        <w:spacing w:after="0"/>
        <w:rPr>
          <w:sz w:val="20"/>
          <w:szCs w:val="20"/>
          <w:color w:val="auto"/>
        </w:rPr>
      </w:pPr>
      <w:r>
        <w:rPr>
          <w:rFonts w:ascii="Arial" w:cs="Arial" w:eastAsia="Arial" w:hAnsi="Arial"/>
          <w:sz w:val="18"/>
          <w:szCs w:val="18"/>
          <w:color w:val="auto"/>
        </w:rPr>
        <w:t>Mountain States Limited Partner, LLC</w:t>
      </w:r>
    </w:p>
    <w:p>
      <w:pPr>
        <w:spacing w:after="0" w:line="117" w:lineRule="exact"/>
        <w:rPr>
          <w:sz w:val="20"/>
          <w:szCs w:val="20"/>
          <w:color w:val="auto"/>
        </w:rPr>
      </w:pPr>
    </w:p>
    <w:p>
      <w:pPr>
        <w:ind w:left="520"/>
        <w:spacing w:after="0"/>
        <w:rPr>
          <w:sz w:val="20"/>
          <w:szCs w:val="20"/>
          <w:color w:val="auto"/>
        </w:rPr>
      </w:pPr>
      <w:r>
        <w:rPr>
          <w:rFonts w:ascii="Arial" w:cs="Arial" w:eastAsia="Arial" w:hAnsi="Arial"/>
          <w:sz w:val="18"/>
          <w:szCs w:val="18"/>
          <w:color w:val="auto"/>
        </w:rPr>
        <w:t>Mt. Clemens Cable TV Investors, Inc.</w:t>
      </w:r>
    </w:p>
    <w:p>
      <w:pPr>
        <w:spacing w:after="0" w:line="117" w:lineRule="exact"/>
        <w:rPr>
          <w:sz w:val="20"/>
          <w:szCs w:val="20"/>
          <w:color w:val="auto"/>
        </w:rPr>
      </w:pPr>
    </w:p>
    <w:p>
      <w:pPr>
        <w:ind w:left="520"/>
        <w:spacing w:after="0"/>
        <w:rPr>
          <w:sz w:val="20"/>
          <w:szCs w:val="20"/>
          <w:color w:val="auto"/>
        </w:rPr>
      </w:pPr>
      <w:r>
        <w:rPr>
          <w:rFonts w:ascii="Arial" w:cs="Arial" w:eastAsia="Arial" w:hAnsi="Arial"/>
          <w:sz w:val="18"/>
          <w:szCs w:val="18"/>
          <w:color w:val="auto"/>
        </w:rPr>
        <w:t>MTCB S.A.</w:t>
      </w:r>
    </w:p>
    <w:p>
      <w:pPr>
        <w:spacing w:after="0" w:line="117" w:lineRule="exact"/>
        <w:rPr>
          <w:sz w:val="20"/>
          <w:szCs w:val="20"/>
          <w:color w:val="auto"/>
        </w:rPr>
      </w:pPr>
    </w:p>
    <w:p>
      <w:pPr>
        <w:ind w:left="520"/>
        <w:spacing w:after="0"/>
        <w:rPr>
          <w:sz w:val="20"/>
          <w:szCs w:val="20"/>
          <w:color w:val="auto"/>
        </w:rPr>
      </w:pPr>
      <w:r>
        <w:rPr>
          <w:rFonts w:ascii="Arial" w:cs="Arial" w:eastAsia="Arial" w:hAnsi="Arial"/>
          <w:sz w:val="18"/>
          <w:szCs w:val="18"/>
          <w:color w:val="auto"/>
        </w:rPr>
        <w:t>MW Sports Holdings, LLC</w:t>
      </w:r>
    </w:p>
    <w:p>
      <w:pPr>
        <w:spacing w:after="0" w:line="117" w:lineRule="exact"/>
        <w:rPr>
          <w:sz w:val="20"/>
          <w:szCs w:val="20"/>
          <w:color w:val="auto"/>
        </w:rPr>
      </w:pPr>
    </w:p>
    <w:p>
      <w:pPr>
        <w:ind w:left="520"/>
        <w:spacing w:after="0"/>
        <w:rPr>
          <w:sz w:val="20"/>
          <w:szCs w:val="20"/>
          <w:color w:val="auto"/>
        </w:rPr>
      </w:pPr>
      <w:r>
        <w:rPr>
          <w:rFonts w:ascii="Arial" w:cs="Arial" w:eastAsia="Arial" w:hAnsi="Arial"/>
          <w:sz w:val="18"/>
          <w:szCs w:val="18"/>
          <w:color w:val="auto"/>
        </w:rPr>
        <w:t>National Cable Communications LLC</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Arial" w:cs="Arial" w:eastAsia="Arial" w:hAnsi="Arial"/>
          <w:sz w:val="18"/>
          <w:szCs w:val="18"/>
          <w:color w:val="auto"/>
        </w:rPr>
        <w:t>MA</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color w:val="auto"/>
        </w:rPr>
        <w:t>MA</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color w:val="auto"/>
        </w:rPr>
        <w:t>CO</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color w:val="auto"/>
        </w:rPr>
        <w:t>DE</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color w:val="auto"/>
        </w:rPr>
        <w:t>DE</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color w:val="auto"/>
        </w:rPr>
        <w:t>PA</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color w:val="auto"/>
        </w:rPr>
        <w:t>CA</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color w:val="auto"/>
        </w:rPr>
        <w:t>CO</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color w:val="auto"/>
        </w:rPr>
        <w:t>CO</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color w:val="auto"/>
        </w:rPr>
        <w:t>CO</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color w:val="auto"/>
        </w:rPr>
        <w:t>CO</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color w:val="auto"/>
        </w:rPr>
        <w:t>CO</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color w:val="auto"/>
        </w:rPr>
        <w:t>DE</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color w:val="auto"/>
        </w:rPr>
        <w:t>CO</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color w:val="auto"/>
        </w:rPr>
        <w:t>CO</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color w:val="auto"/>
        </w:rPr>
        <w:t>CO</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color w:val="auto"/>
        </w:rPr>
        <w:t>DE</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color w:val="auto"/>
        </w:rPr>
        <w:t>DE</w:t>
      </w:r>
    </w:p>
    <w:p>
      <w:pPr>
        <w:spacing w:after="0" w:line="117" w:lineRule="exact"/>
        <w:rPr>
          <w:sz w:val="20"/>
          <w:szCs w:val="20"/>
          <w:color w:val="auto"/>
        </w:rPr>
      </w:pPr>
    </w:p>
    <w:p>
      <w:pPr>
        <w:spacing w:after="0"/>
        <w:rPr>
          <w:sz w:val="20"/>
          <w:szCs w:val="20"/>
          <w:color w:val="auto"/>
        </w:rPr>
      </w:pPr>
      <w:r>
        <w:rPr>
          <w:rFonts w:ascii="Arial" w:cs="Arial" w:eastAsia="Arial" w:hAnsi="Arial"/>
          <w:sz w:val="16"/>
          <w:szCs w:val="16"/>
          <w:color w:val="auto"/>
        </w:rPr>
        <w:t>Australia</w:t>
      </w:r>
    </w:p>
    <w:p>
      <w:pPr>
        <w:spacing w:after="0" w:line="140" w:lineRule="exact"/>
        <w:rPr>
          <w:sz w:val="20"/>
          <w:szCs w:val="20"/>
          <w:color w:val="auto"/>
        </w:rPr>
      </w:pPr>
    </w:p>
    <w:p>
      <w:pPr>
        <w:spacing w:after="0"/>
        <w:rPr>
          <w:sz w:val="20"/>
          <w:szCs w:val="20"/>
          <w:color w:val="auto"/>
        </w:rPr>
      </w:pPr>
      <w:r>
        <w:rPr>
          <w:rFonts w:ascii="Arial" w:cs="Arial" w:eastAsia="Arial" w:hAnsi="Arial"/>
          <w:sz w:val="16"/>
          <w:szCs w:val="16"/>
          <w:color w:val="auto"/>
        </w:rPr>
        <w:t>Australia</w:t>
      </w:r>
    </w:p>
    <w:p>
      <w:pPr>
        <w:spacing w:after="0" w:line="140" w:lineRule="exact"/>
        <w:rPr>
          <w:sz w:val="20"/>
          <w:szCs w:val="20"/>
          <w:color w:val="auto"/>
        </w:rPr>
      </w:pPr>
    </w:p>
    <w:p>
      <w:pPr>
        <w:spacing w:after="0"/>
        <w:rPr>
          <w:sz w:val="20"/>
          <w:szCs w:val="20"/>
          <w:color w:val="auto"/>
        </w:rPr>
      </w:pPr>
      <w:r>
        <w:rPr>
          <w:rFonts w:ascii="Arial" w:cs="Arial" w:eastAsia="Arial" w:hAnsi="Arial"/>
          <w:sz w:val="18"/>
          <w:szCs w:val="18"/>
          <w:color w:val="auto"/>
        </w:rPr>
        <w:t>DE</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color w:val="auto"/>
        </w:rPr>
        <w:t>DE</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color w:val="auto"/>
        </w:rPr>
        <w:t>DE</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color w:val="auto"/>
        </w:rPr>
        <w:t>DE</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color w:val="auto"/>
        </w:rPr>
        <w:t>DE</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color w:val="auto"/>
        </w:rPr>
        <w:t>DE</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color w:val="auto"/>
        </w:rPr>
        <w:t>DE</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color w:val="auto"/>
        </w:rPr>
        <w:t>DE</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color w:val="auto"/>
        </w:rPr>
        <w:t>PA</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color w:val="auto"/>
        </w:rPr>
        <w:t>DE</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color w:val="auto"/>
        </w:rPr>
        <w:t>DE</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color w:val="auto"/>
        </w:rPr>
        <w:t>DE</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color w:val="auto"/>
        </w:rPr>
        <w:t>FL</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color w:val="auto"/>
        </w:rPr>
        <w:t>DE</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color w:val="auto"/>
        </w:rPr>
        <w:t>DE</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color w:val="auto"/>
        </w:rPr>
        <w:t>OK</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color w:val="auto"/>
        </w:rPr>
        <w:t>DE</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color w:val="auto"/>
        </w:rPr>
        <w:t>DE</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color w:val="auto"/>
        </w:rPr>
        <w:t>Brazil</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color w:val="auto"/>
        </w:rPr>
        <w:t>CO</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color w:val="auto"/>
        </w:rPr>
        <w:t>DE</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color w:val="auto"/>
        </w:rPr>
        <w:t>DE</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color w:val="auto"/>
        </w:rPr>
        <w:t>DE</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color w:val="auto"/>
        </w:rPr>
        <w:t>NV</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color w:val="auto"/>
        </w:rPr>
        <w:t>CO</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color w:val="auto"/>
        </w:rPr>
        <w:t>CO</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color w:val="auto"/>
        </w:rPr>
        <w:t>MI</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color w:val="auto"/>
        </w:rPr>
        <w:t>Brazil</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color w:val="auto"/>
        </w:rPr>
        <w:t>DE</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color w:val="auto"/>
        </w:rPr>
        <w:t>DE</w:t>
      </w:r>
    </w:p>
    <w:p>
      <w:pPr>
        <w:sectPr>
          <w:pgSz w:w="11900" w:h="16838" w:orient="portrait"/>
          <w:cols w:equalWidth="0" w:num="2">
            <w:col w:w="7140" w:space="720"/>
            <w:col w:w="1159"/>
          </w:cols>
          <w:pgMar w:left="1440" w:top="388" w:right="1440" w:bottom="0" w:gutter="0" w:footer="0" w:header="0"/>
        </w:sectPr>
      </w:pPr>
    </w:p>
    <w:bookmarkStart w:id="188" w:name="page189"/>
    <w:bookmarkEnd w:id="188"/>
    <w:p>
      <w:pPr>
        <w:ind w:left="520"/>
        <w:spacing w:after="0"/>
        <w:rPr>
          <w:sz w:val="20"/>
          <w:szCs w:val="20"/>
          <w:color w:val="auto"/>
        </w:rPr>
      </w:pPr>
      <w:r>
        <w:rPr>
          <w:rFonts w:ascii="Arial" w:cs="Arial" w:eastAsia="Arial" w:hAnsi="Arial"/>
          <w:sz w:val="16"/>
          <w:szCs w:val="16"/>
          <w:color w:val="auto"/>
        </w:rPr>
        <w:t>National Digital Television Center, Inc.</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Arial" w:cs="Arial" w:eastAsia="Arial" w:hAnsi="Arial"/>
          <w:sz w:val="16"/>
          <w:szCs w:val="16"/>
          <w:color w:val="auto"/>
        </w:rPr>
        <w:t>CO</w:t>
      </w:r>
    </w:p>
    <w:p>
      <w:pPr>
        <w:spacing w:after="0" w:line="140" w:lineRule="exact"/>
        <w:rPr>
          <w:sz w:val="20"/>
          <w:szCs w:val="20"/>
          <w:color w:val="auto"/>
        </w:rPr>
      </w:pPr>
    </w:p>
    <w:p>
      <w:pPr>
        <w:sectPr>
          <w:pgSz w:w="11900" w:h="16838" w:orient="portrait"/>
          <w:cols w:equalWidth="0" w:num="2">
            <w:col w:w="7140" w:space="720"/>
            <w:col w:w="1159"/>
          </w:cols>
          <w:pgMar w:left="1440" w:top="131" w:right="1440" w:bottom="1440" w:gutter="0" w:footer="0" w:header="0"/>
        </w:sectPr>
      </w:pPr>
    </w:p>
    <w:p>
      <w:pPr>
        <w:ind w:left="520"/>
        <w:spacing w:after="0"/>
        <w:rPr>
          <w:sz w:val="20"/>
          <w:szCs w:val="20"/>
          <w:color w:val="auto"/>
        </w:rPr>
      </w:pPr>
      <w:r>
        <w:rPr>
          <w:rFonts w:ascii="Arial" w:cs="Arial" w:eastAsia="Arial" w:hAnsi="Arial"/>
          <w:sz w:val="16"/>
          <w:szCs w:val="16"/>
          <w:color w:val="auto"/>
        </w:rPr>
        <w:t>NDTC Technology, Inc.</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Arial" w:cs="Arial" w:eastAsia="Arial" w:hAnsi="Arial"/>
          <w:sz w:val="16"/>
          <w:szCs w:val="16"/>
          <w:color w:val="auto"/>
        </w:rPr>
        <w:t>CO</w:t>
      </w:r>
    </w:p>
    <w:p>
      <w:pPr>
        <w:sectPr>
          <w:pgSz w:w="11900" w:h="16838" w:orient="portrait"/>
          <w:cols w:equalWidth="0" w:num="2">
            <w:col w:w="7140" w:space="720"/>
            <w:col w:w="1159"/>
          </w:cols>
          <w:pgMar w:left="1440" w:top="131" w:right="1440" w:bottom="1440" w:gutter="0" w:footer="0" w:header="0"/>
          <w:type w:val="continuous"/>
        </w:sectPr>
      </w:pPr>
    </w:p>
    <w:bookmarkStart w:id="189" w:name="page190"/>
    <w:bookmarkEnd w:id="189"/>
    <w:p>
      <w:pPr>
        <w:ind w:left="520"/>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250" name="Picture 2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0"/>
                    <pic:cNvPicPr>
                      <a:picLocks noChangeAspect="1" noChangeArrowheads="1"/>
                    </pic:cNvPicPr>
                  </pic:nvPicPr>
                  <pic:blipFill>
                    <a:blip r:embed="rId257">
                      <a:extLst>
                        <a:ext uri="{28A0092B-C50C-407E-A947-70E740481C1C}"/>
                      </a:extLst>
                    </a:blip>
                    <a:srcRect/>
                    <a:stretch>
                      <a:fillRect/>
                    </a:stretch>
                  </pic:blipFill>
                  <pic:spPr bwMode="auto">
                    <a:xfrm>
                      <a:off x="0" y="0"/>
                      <a:ext cx="7267575" cy="27940"/>
                    </a:xfrm>
                    <a:prstGeom prst="rect">
                      <a:avLst/>
                    </a:prstGeom>
                    <a:noFill/>
                  </pic:spPr>
                </pic:pic>
              </a:graphicData>
            </a:graphic>
          </wp:anchor>
        </w:drawing>
        <w:t>New England Microwave, Inc.</w:t>
      </w:r>
    </w:p>
    <w:p>
      <w:pPr>
        <w:spacing w:after="0" w:line="117" w:lineRule="exact"/>
        <w:rPr>
          <w:sz w:val="20"/>
          <w:szCs w:val="20"/>
          <w:color w:val="auto"/>
        </w:rPr>
      </w:pPr>
    </w:p>
    <w:p>
      <w:pPr>
        <w:ind w:left="520"/>
        <w:spacing w:after="0"/>
        <w:rPr>
          <w:sz w:val="20"/>
          <w:szCs w:val="20"/>
          <w:color w:val="auto"/>
        </w:rPr>
      </w:pPr>
      <w:r>
        <w:rPr>
          <w:rFonts w:ascii="Arial" w:cs="Arial" w:eastAsia="Arial" w:hAnsi="Arial"/>
          <w:sz w:val="18"/>
          <w:szCs w:val="18"/>
          <w:color w:val="auto"/>
        </w:rPr>
        <w:t>New Hope Cable TV, Inc.</w:t>
      </w:r>
    </w:p>
    <w:p>
      <w:pPr>
        <w:spacing w:after="0" w:line="117" w:lineRule="exact"/>
        <w:rPr>
          <w:sz w:val="20"/>
          <w:szCs w:val="20"/>
          <w:color w:val="auto"/>
        </w:rPr>
      </w:pPr>
    </w:p>
    <w:p>
      <w:pPr>
        <w:ind w:left="520"/>
        <w:spacing w:after="0"/>
        <w:rPr>
          <w:sz w:val="20"/>
          <w:szCs w:val="20"/>
          <w:color w:val="auto"/>
        </w:rPr>
      </w:pPr>
      <w:r>
        <w:rPr>
          <w:rFonts w:ascii="Arial" w:cs="Arial" w:eastAsia="Arial" w:hAnsi="Arial"/>
          <w:sz w:val="18"/>
          <w:szCs w:val="18"/>
          <w:color w:val="auto"/>
        </w:rPr>
        <w:t>Northwest Illinois Cable Corporation</w:t>
      </w:r>
    </w:p>
    <w:p>
      <w:pPr>
        <w:spacing w:after="0" w:line="117" w:lineRule="exact"/>
        <w:rPr>
          <w:sz w:val="20"/>
          <w:szCs w:val="20"/>
          <w:color w:val="auto"/>
        </w:rPr>
      </w:pPr>
    </w:p>
    <w:p>
      <w:pPr>
        <w:ind w:left="520"/>
        <w:spacing w:after="0"/>
        <w:rPr>
          <w:sz w:val="20"/>
          <w:szCs w:val="20"/>
          <w:color w:val="auto"/>
        </w:rPr>
      </w:pPr>
      <w:r>
        <w:rPr>
          <w:rFonts w:ascii="Arial" w:cs="Arial" w:eastAsia="Arial" w:hAnsi="Arial"/>
          <w:sz w:val="18"/>
          <w:szCs w:val="18"/>
          <w:color w:val="auto"/>
        </w:rPr>
        <w:t>Northwest Illinois TV Cable Co.</w:t>
      </w:r>
    </w:p>
    <w:p>
      <w:pPr>
        <w:spacing w:after="0" w:line="117" w:lineRule="exact"/>
        <w:rPr>
          <w:sz w:val="20"/>
          <w:szCs w:val="20"/>
          <w:color w:val="auto"/>
        </w:rPr>
      </w:pPr>
    </w:p>
    <w:p>
      <w:pPr>
        <w:ind w:left="520"/>
        <w:spacing w:after="0"/>
        <w:rPr>
          <w:sz w:val="20"/>
          <w:szCs w:val="20"/>
          <w:color w:val="auto"/>
        </w:rPr>
      </w:pPr>
      <w:r>
        <w:rPr>
          <w:rFonts w:ascii="Arial" w:cs="Arial" w:eastAsia="Arial" w:hAnsi="Arial"/>
          <w:sz w:val="18"/>
          <w:szCs w:val="18"/>
          <w:color w:val="auto"/>
        </w:rPr>
        <w:t>Nroca Holdings, Inc.</w:t>
      </w:r>
    </w:p>
    <w:p>
      <w:pPr>
        <w:spacing w:after="0" w:line="117" w:lineRule="exact"/>
        <w:rPr>
          <w:sz w:val="20"/>
          <w:szCs w:val="20"/>
          <w:color w:val="auto"/>
        </w:rPr>
      </w:pPr>
    </w:p>
    <w:p>
      <w:pPr>
        <w:ind w:left="520"/>
        <w:spacing w:after="0"/>
        <w:rPr>
          <w:sz w:val="20"/>
          <w:szCs w:val="20"/>
          <w:color w:val="auto"/>
        </w:rPr>
      </w:pPr>
      <w:r>
        <w:rPr>
          <w:rFonts w:ascii="Arial" w:cs="Arial" w:eastAsia="Arial" w:hAnsi="Arial"/>
          <w:sz w:val="18"/>
          <w:szCs w:val="18"/>
          <w:color w:val="auto"/>
        </w:rPr>
        <w:t>Outdoor Life Network, L.L.C.</w:t>
      </w:r>
    </w:p>
    <w:p>
      <w:pPr>
        <w:spacing w:after="0" w:line="117" w:lineRule="exact"/>
        <w:rPr>
          <w:sz w:val="20"/>
          <w:szCs w:val="20"/>
          <w:color w:val="auto"/>
        </w:rPr>
      </w:pPr>
    </w:p>
    <w:p>
      <w:pPr>
        <w:ind w:left="520"/>
        <w:spacing w:after="0"/>
        <w:rPr>
          <w:sz w:val="20"/>
          <w:szCs w:val="20"/>
          <w:color w:val="auto"/>
        </w:rPr>
      </w:pPr>
      <w:r>
        <w:rPr>
          <w:rFonts w:ascii="Arial" w:cs="Arial" w:eastAsia="Arial" w:hAnsi="Arial"/>
          <w:sz w:val="18"/>
          <w:szCs w:val="18"/>
          <w:color w:val="auto"/>
        </w:rPr>
        <w:t>Ovations Fanfare, L.P.</w:t>
      </w:r>
    </w:p>
    <w:p>
      <w:pPr>
        <w:spacing w:after="0" w:line="117" w:lineRule="exact"/>
        <w:rPr>
          <w:sz w:val="20"/>
          <w:szCs w:val="20"/>
          <w:color w:val="auto"/>
        </w:rPr>
      </w:pPr>
    </w:p>
    <w:p>
      <w:pPr>
        <w:ind w:left="520"/>
        <w:spacing w:after="0"/>
        <w:rPr>
          <w:sz w:val="20"/>
          <w:szCs w:val="20"/>
          <w:color w:val="auto"/>
        </w:rPr>
      </w:pPr>
      <w:r>
        <w:rPr>
          <w:rFonts w:ascii="Arial" w:cs="Arial" w:eastAsia="Arial" w:hAnsi="Arial"/>
          <w:sz w:val="18"/>
          <w:szCs w:val="18"/>
          <w:color w:val="auto"/>
        </w:rPr>
        <w:t>Ovations Food Services, Inc.</w:t>
      </w:r>
    </w:p>
    <w:p>
      <w:pPr>
        <w:spacing w:after="0" w:line="117" w:lineRule="exact"/>
        <w:rPr>
          <w:sz w:val="20"/>
          <w:szCs w:val="20"/>
          <w:color w:val="auto"/>
        </w:rPr>
      </w:pPr>
    </w:p>
    <w:p>
      <w:pPr>
        <w:ind w:left="520"/>
        <w:spacing w:after="0"/>
        <w:rPr>
          <w:sz w:val="20"/>
          <w:szCs w:val="20"/>
          <w:color w:val="auto"/>
        </w:rPr>
      </w:pPr>
      <w:r>
        <w:rPr>
          <w:rFonts w:ascii="Arial" w:cs="Arial" w:eastAsia="Arial" w:hAnsi="Arial"/>
          <w:sz w:val="18"/>
          <w:szCs w:val="18"/>
          <w:color w:val="auto"/>
        </w:rPr>
        <w:t>Ovations Food Services, L.P.</w:t>
      </w:r>
    </w:p>
    <w:p>
      <w:pPr>
        <w:spacing w:after="0" w:line="117" w:lineRule="exact"/>
        <w:rPr>
          <w:sz w:val="20"/>
          <w:szCs w:val="20"/>
          <w:color w:val="auto"/>
        </w:rPr>
      </w:pPr>
    </w:p>
    <w:p>
      <w:pPr>
        <w:ind w:left="520"/>
        <w:spacing w:after="0"/>
        <w:rPr>
          <w:sz w:val="20"/>
          <w:szCs w:val="20"/>
          <w:color w:val="auto"/>
        </w:rPr>
      </w:pPr>
      <w:r>
        <w:rPr>
          <w:rFonts w:ascii="Arial" w:cs="Arial" w:eastAsia="Arial" w:hAnsi="Arial"/>
          <w:sz w:val="18"/>
          <w:szCs w:val="18"/>
          <w:color w:val="auto"/>
        </w:rPr>
        <w:t>Ovations Ontario Food Services, Inc.</w:t>
      </w:r>
    </w:p>
    <w:p>
      <w:pPr>
        <w:spacing w:after="0" w:line="117" w:lineRule="exact"/>
        <w:rPr>
          <w:sz w:val="20"/>
          <w:szCs w:val="20"/>
          <w:color w:val="auto"/>
        </w:rPr>
      </w:pPr>
    </w:p>
    <w:p>
      <w:pPr>
        <w:ind w:left="520"/>
        <w:spacing w:after="0"/>
        <w:rPr>
          <w:sz w:val="20"/>
          <w:szCs w:val="20"/>
          <w:color w:val="auto"/>
        </w:rPr>
      </w:pPr>
      <w:r>
        <w:rPr>
          <w:rFonts w:ascii="Arial" w:cs="Arial" w:eastAsia="Arial" w:hAnsi="Arial"/>
          <w:sz w:val="18"/>
          <w:szCs w:val="18"/>
          <w:color w:val="auto"/>
        </w:rPr>
        <w:t>Ovations Ontario Food Services, LP</w:t>
      </w:r>
    </w:p>
    <w:p>
      <w:pPr>
        <w:spacing w:after="0" w:line="117" w:lineRule="exact"/>
        <w:rPr>
          <w:sz w:val="20"/>
          <w:szCs w:val="20"/>
          <w:color w:val="auto"/>
        </w:rPr>
      </w:pPr>
    </w:p>
    <w:p>
      <w:pPr>
        <w:ind w:left="520"/>
        <w:spacing w:after="0"/>
        <w:rPr>
          <w:sz w:val="20"/>
          <w:szCs w:val="20"/>
          <w:color w:val="auto"/>
        </w:rPr>
      </w:pPr>
      <w:r>
        <w:rPr>
          <w:rFonts w:ascii="Arial" w:cs="Arial" w:eastAsia="Arial" w:hAnsi="Arial"/>
          <w:sz w:val="16"/>
          <w:szCs w:val="16"/>
          <w:color w:val="auto"/>
        </w:rPr>
        <w:t>Owner Trusts UT 1-3, 7-12, 15-27, 29, 33, 34</w:t>
      </w:r>
    </w:p>
    <w:p>
      <w:pPr>
        <w:spacing w:after="0" w:line="140" w:lineRule="exact"/>
        <w:rPr>
          <w:sz w:val="20"/>
          <w:szCs w:val="20"/>
          <w:color w:val="auto"/>
        </w:rPr>
      </w:pPr>
    </w:p>
    <w:p>
      <w:pPr>
        <w:ind w:left="520"/>
        <w:spacing w:after="0"/>
        <w:rPr>
          <w:sz w:val="20"/>
          <w:szCs w:val="20"/>
          <w:color w:val="auto"/>
        </w:rPr>
      </w:pPr>
      <w:r>
        <w:rPr>
          <w:rFonts w:ascii="Arial" w:cs="Arial" w:eastAsia="Arial" w:hAnsi="Arial"/>
          <w:sz w:val="18"/>
          <w:szCs w:val="18"/>
          <w:color w:val="auto"/>
        </w:rPr>
        <w:t>Pacific Northwest Interconnect</w:t>
      </w:r>
    </w:p>
    <w:p>
      <w:pPr>
        <w:spacing w:after="0" w:line="117" w:lineRule="exact"/>
        <w:rPr>
          <w:sz w:val="20"/>
          <w:szCs w:val="20"/>
          <w:color w:val="auto"/>
        </w:rPr>
      </w:pPr>
    </w:p>
    <w:p>
      <w:pPr>
        <w:ind w:left="520"/>
        <w:spacing w:after="0"/>
        <w:rPr>
          <w:sz w:val="20"/>
          <w:szCs w:val="20"/>
          <w:color w:val="auto"/>
        </w:rPr>
      </w:pPr>
      <w:r>
        <w:rPr>
          <w:rFonts w:ascii="Arial" w:cs="Arial" w:eastAsia="Arial" w:hAnsi="Arial"/>
          <w:sz w:val="18"/>
          <w:szCs w:val="18"/>
          <w:color w:val="auto"/>
        </w:rPr>
        <w:t>Parnassos Communications, L.P.</w:t>
      </w:r>
    </w:p>
    <w:p>
      <w:pPr>
        <w:spacing w:after="0" w:line="117" w:lineRule="exact"/>
        <w:rPr>
          <w:sz w:val="20"/>
          <w:szCs w:val="20"/>
          <w:color w:val="auto"/>
        </w:rPr>
      </w:pPr>
    </w:p>
    <w:p>
      <w:pPr>
        <w:ind w:left="520"/>
        <w:spacing w:after="0"/>
        <w:rPr>
          <w:sz w:val="20"/>
          <w:szCs w:val="20"/>
          <w:color w:val="auto"/>
        </w:rPr>
      </w:pPr>
      <w:r>
        <w:rPr>
          <w:rFonts w:ascii="Arial" w:cs="Arial" w:eastAsia="Arial" w:hAnsi="Arial"/>
          <w:sz w:val="18"/>
          <w:szCs w:val="18"/>
          <w:color w:val="auto"/>
        </w:rPr>
        <w:t>Parnassos Holdings, LLC</w:t>
      </w:r>
    </w:p>
    <w:p>
      <w:pPr>
        <w:spacing w:after="0" w:line="117" w:lineRule="exact"/>
        <w:rPr>
          <w:sz w:val="20"/>
          <w:szCs w:val="20"/>
          <w:color w:val="auto"/>
        </w:rPr>
      </w:pPr>
    </w:p>
    <w:p>
      <w:pPr>
        <w:ind w:left="520"/>
        <w:spacing w:after="0"/>
        <w:rPr>
          <w:sz w:val="20"/>
          <w:szCs w:val="20"/>
          <w:color w:val="auto"/>
        </w:rPr>
      </w:pPr>
      <w:r>
        <w:rPr>
          <w:rFonts w:ascii="Arial" w:cs="Arial" w:eastAsia="Arial" w:hAnsi="Arial"/>
          <w:sz w:val="18"/>
          <w:szCs w:val="18"/>
          <w:color w:val="auto"/>
        </w:rPr>
        <w:t>Patron Solutions L.P.</w:t>
      </w:r>
    </w:p>
    <w:p>
      <w:pPr>
        <w:spacing w:after="0" w:line="117" w:lineRule="exact"/>
        <w:rPr>
          <w:sz w:val="20"/>
          <w:szCs w:val="20"/>
          <w:color w:val="auto"/>
        </w:rPr>
      </w:pPr>
    </w:p>
    <w:p>
      <w:pPr>
        <w:ind w:left="520"/>
        <w:spacing w:after="0"/>
        <w:rPr>
          <w:sz w:val="20"/>
          <w:szCs w:val="20"/>
          <w:color w:val="auto"/>
        </w:rPr>
      </w:pPr>
      <w:r>
        <w:rPr>
          <w:rFonts w:ascii="Arial" w:cs="Arial" w:eastAsia="Arial" w:hAnsi="Arial"/>
          <w:sz w:val="18"/>
          <w:szCs w:val="18"/>
          <w:color w:val="auto"/>
        </w:rPr>
        <w:t>Patron Solutions, LLC</w:t>
      </w:r>
    </w:p>
    <w:p>
      <w:pPr>
        <w:spacing w:after="0" w:line="117" w:lineRule="exact"/>
        <w:rPr>
          <w:sz w:val="20"/>
          <w:szCs w:val="20"/>
          <w:color w:val="auto"/>
        </w:rPr>
      </w:pPr>
    </w:p>
    <w:p>
      <w:pPr>
        <w:ind w:left="520"/>
        <w:spacing w:after="0"/>
        <w:rPr>
          <w:sz w:val="20"/>
          <w:szCs w:val="20"/>
          <w:color w:val="auto"/>
        </w:rPr>
      </w:pPr>
      <w:r>
        <w:rPr>
          <w:rFonts w:ascii="Arial" w:cs="Arial" w:eastAsia="Arial" w:hAnsi="Arial"/>
          <w:sz w:val="18"/>
          <w:szCs w:val="18"/>
          <w:color w:val="auto"/>
        </w:rPr>
        <w:t>Pattison Development, Inc.</w:t>
      </w:r>
    </w:p>
    <w:p>
      <w:pPr>
        <w:spacing w:after="0" w:line="117" w:lineRule="exact"/>
        <w:rPr>
          <w:sz w:val="20"/>
          <w:szCs w:val="20"/>
          <w:color w:val="auto"/>
        </w:rPr>
      </w:pPr>
    </w:p>
    <w:p>
      <w:pPr>
        <w:ind w:left="520"/>
        <w:spacing w:after="0"/>
        <w:rPr>
          <w:sz w:val="20"/>
          <w:szCs w:val="20"/>
          <w:color w:val="auto"/>
        </w:rPr>
      </w:pPr>
      <w:r>
        <w:rPr>
          <w:rFonts w:ascii="Arial" w:cs="Arial" w:eastAsia="Arial" w:hAnsi="Arial"/>
          <w:sz w:val="18"/>
          <w:szCs w:val="18"/>
          <w:color w:val="auto"/>
        </w:rPr>
        <w:t>Pattison Realty, Inc.</w:t>
      </w:r>
    </w:p>
    <w:p>
      <w:pPr>
        <w:spacing w:after="0" w:line="117" w:lineRule="exact"/>
        <w:rPr>
          <w:sz w:val="20"/>
          <w:szCs w:val="20"/>
          <w:color w:val="auto"/>
        </w:rPr>
      </w:pPr>
    </w:p>
    <w:p>
      <w:pPr>
        <w:ind w:left="520"/>
        <w:spacing w:after="0"/>
        <w:rPr>
          <w:sz w:val="20"/>
          <w:szCs w:val="20"/>
          <w:color w:val="auto"/>
        </w:rPr>
      </w:pPr>
      <w:r>
        <w:rPr>
          <w:rFonts w:ascii="Arial" w:cs="Arial" w:eastAsia="Arial" w:hAnsi="Arial"/>
          <w:sz w:val="18"/>
          <w:szCs w:val="18"/>
          <w:color w:val="auto"/>
        </w:rPr>
        <w:t>Philadelphia 76ers, Inc.</w:t>
      </w:r>
    </w:p>
    <w:p>
      <w:pPr>
        <w:spacing w:after="0" w:line="117" w:lineRule="exact"/>
        <w:rPr>
          <w:sz w:val="20"/>
          <w:szCs w:val="20"/>
          <w:color w:val="auto"/>
        </w:rPr>
      </w:pPr>
    </w:p>
    <w:p>
      <w:pPr>
        <w:ind w:left="520"/>
        <w:spacing w:after="0"/>
        <w:rPr>
          <w:sz w:val="20"/>
          <w:szCs w:val="20"/>
          <w:color w:val="auto"/>
        </w:rPr>
      </w:pPr>
      <w:r>
        <w:rPr>
          <w:rFonts w:ascii="Arial" w:cs="Arial" w:eastAsia="Arial" w:hAnsi="Arial"/>
          <w:sz w:val="18"/>
          <w:szCs w:val="18"/>
          <w:color w:val="auto"/>
        </w:rPr>
        <w:t>Philadelphia 76ers, L.P.</w:t>
      </w:r>
    </w:p>
    <w:p>
      <w:pPr>
        <w:spacing w:after="0" w:line="117" w:lineRule="exact"/>
        <w:rPr>
          <w:sz w:val="20"/>
          <w:szCs w:val="20"/>
          <w:color w:val="auto"/>
        </w:rPr>
      </w:pPr>
    </w:p>
    <w:p>
      <w:pPr>
        <w:ind w:left="520"/>
        <w:spacing w:after="0"/>
        <w:rPr>
          <w:sz w:val="20"/>
          <w:szCs w:val="20"/>
          <w:color w:val="auto"/>
        </w:rPr>
      </w:pPr>
      <w:r>
        <w:rPr>
          <w:rFonts w:ascii="Arial" w:cs="Arial" w:eastAsia="Arial" w:hAnsi="Arial"/>
          <w:sz w:val="18"/>
          <w:szCs w:val="18"/>
          <w:color w:val="auto"/>
        </w:rPr>
        <w:t>Philadelphia Flyers Enterprises Co.</w:t>
      </w:r>
    </w:p>
    <w:p>
      <w:pPr>
        <w:spacing w:after="0" w:line="117" w:lineRule="exact"/>
        <w:rPr>
          <w:sz w:val="20"/>
          <w:szCs w:val="20"/>
          <w:color w:val="auto"/>
        </w:rPr>
      </w:pPr>
    </w:p>
    <w:p>
      <w:pPr>
        <w:ind w:left="520"/>
        <w:spacing w:after="0"/>
        <w:rPr>
          <w:sz w:val="20"/>
          <w:szCs w:val="20"/>
          <w:color w:val="auto"/>
        </w:rPr>
      </w:pPr>
      <w:r>
        <w:rPr>
          <w:rFonts w:ascii="Arial" w:cs="Arial" w:eastAsia="Arial" w:hAnsi="Arial"/>
          <w:sz w:val="18"/>
          <w:szCs w:val="18"/>
          <w:color w:val="auto"/>
        </w:rPr>
        <w:t>Philadelphia Flyers, L.P.</w:t>
      </w:r>
    </w:p>
    <w:p>
      <w:pPr>
        <w:spacing w:after="0" w:line="117" w:lineRule="exact"/>
        <w:rPr>
          <w:sz w:val="20"/>
          <w:szCs w:val="20"/>
          <w:color w:val="auto"/>
        </w:rPr>
      </w:pPr>
    </w:p>
    <w:p>
      <w:pPr>
        <w:ind w:left="520"/>
        <w:spacing w:after="0"/>
        <w:rPr>
          <w:sz w:val="20"/>
          <w:szCs w:val="20"/>
          <w:color w:val="auto"/>
        </w:rPr>
      </w:pPr>
      <w:r>
        <w:rPr>
          <w:rFonts w:ascii="Arial" w:cs="Arial" w:eastAsia="Arial" w:hAnsi="Arial"/>
          <w:sz w:val="18"/>
          <w:szCs w:val="18"/>
          <w:color w:val="auto"/>
        </w:rPr>
        <w:t>Philadelphia Flyers, LLC</w:t>
      </w:r>
    </w:p>
    <w:p>
      <w:pPr>
        <w:spacing w:after="0" w:line="117" w:lineRule="exact"/>
        <w:rPr>
          <w:sz w:val="20"/>
          <w:szCs w:val="20"/>
          <w:color w:val="auto"/>
        </w:rPr>
      </w:pPr>
    </w:p>
    <w:p>
      <w:pPr>
        <w:ind w:left="520"/>
        <w:spacing w:after="0"/>
        <w:rPr>
          <w:sz w:val="20"/>
          <w:szCs w:val="20"/>
          <w:color w:val="auto"/>
        </w:rPr>
      </w:pPr>
      <w:r>
        <w:rPr>
          <w:rFonts w:ascii="Arial" w:cs="Arial" w:eastAsia="Arial" w:hAnsi="Arial"/>
          <w:sz w:val="18"/>
          <w:szCs w:val="18"/>
          <w:color w:val="auto"/>
        </w:rPr>
        <w:t>Philadelphia Phantoms, Inc.</w:t>
      </w:r>
    </w:p>
    <w:p>
      <w:pPr>
        <w:spacing w:after="0" w:line="117" w:lineRule="exact"/>
        <w:rPr>
          <w:sz w:val="20"/>
          <w:szCs w:val="20"/>
          <w:color w:val="auto"/>
        </w:rPr>
      </w:pPr>
    </w:p>
    <w:p>
      <w:pPr>
        <w:ind w:left="520"/>
        <w:spacing w:after="0"/>
        <w:rPr>
          <w:sz w:val="20"/>
          <w:szCs w:val="20"/>
          <w:color w:val="auto"/>
        </w:rPr>
      </w:pPr>
      <w:r>
        <w:rPr>
          <w:rFonts w:ascii="Arial" w:cs="Arial" w:eastAsia="Arial" w:hAnsi="Arial"/>
          <w:sz w:val="18"/>
          <w:szCs w:val="18"/>
          <w:color w:val="auto"/>
        </w:rPr>
        <w:t>Philadelphia Phantoms, L.P.</w:t>
      </w:r>
    </w:p>
    <w:p>
      <w:pPr>
        <w:spacing w:after="0" w:line="117" w:lineRule="exact"/>
        <w:rPr>
          <w:sz w:val="20"/>
          <w:szCs w:val="20"/>
          <w:color w:val="auto"/>
        </w:rPr>
      </w:pPr>
    </w:p>
    <w:p>
      <w:pPr>
        <w:ind w:left="520"/>
        <w:spacing w:after="0"/>
        <w:rPr>
          <w:sz w:val="20"/>
          <w:szCs w:val="20"/>
          <w:color w:val="auto"/>
        </w:rPr>
      </w:pPr>
      <w:r>
        <w:rPr>
          <w:rFonts w:ascii="Arial" w:cs="Arial" w:eastAsia="Arial" w:hAnsi="Arial"/>
          <w:sz w:val="18"/>
          <w:szCs w:val="18"/>
          <w:color w:val="auto"/>
        </w:rPr>
        <w:t>Preview Magazine Corporation</w:t>
      </w:r>
    </w:p>
    <w:p>
      <w:pPr>
        <w:spacing w:after="0" w:line="117" w:lineRule="exact"/>
        <w:rPr>
          <w:sz w:val="20"/>
          <w:szCs w:val="20"/>
          <w:color w:val="auto"/>
        </w:rPr>
      </w:pPr>
    </w:p>
    <w:p>
      <w:pPr>
        <w:ind w:left="520"/>
        <w:spacing w:after="0"/>
        <w:rPr>
          <w:sz w:val="20"/>
          <w:szCs w:val="20"/>
          <w:color w:val="auto"/>
        </w:rPr>
      </w:pPr>
      <w:r>
        <w:rPr>
          <w:rFonts w:ascii="Arial" w:cs="Arial" w:eastAsia="Arial" w:hAnsi="Arial"/>
          <w:sz w:val="18"/>
          <w:szCs w:val="18"/>
          <w:color w:val="auto"/>
        </w:rPr>
        <w:t>Preview Magazine Corporation</w:t>
      </w:r>
    </w:p>
    <w:p>
      <w:pPr>
        <w:spacing w:after="0" w:line="117" w:lineRule="exact"/>
        <w:rPr>
          <w:sz w:val="20"/>
          <w:szCs w:val="20"/>
          <w:color w:val="auto"/>
        </w:rPr>
      </w:pPr>
    </w:p>
    <w:p>
      <w:pPr>
        <w:ind w:left="520"/>
        <w:spacing w:after="0"/>
        <w:rPr>
          <w:sz w:val="20"/>
          <w:szCs w:val="20"/>
          <w:color w:val="auto"/>
        </w:rPr>
      </w:pPr>
      <w:r>
        <w:rPr>
          <w:rFonts w:ascii="Arial" w:cs="Arial" w:eastAsia="Arial" w:hAnsi="Arial"/>
          <w:sz w:val="18"/>
          <w:szCs w:val="18"/>
          <w:color w:val="auto"/>
        </w:rPr>
        <w:t>Prime Telecom Potomac, LLC</w:t>
      </w:r>
    </w:p>
    <w:p>
      <w:pPr>
        <w:spacing w:after="0" w:line="117" w:lineRule="exact"/>
        <w:rPr>
          <w:sz w:val="20"/>
          <w:szCs w:val="20"/>
          <w:color w:val="auto"/>
        </w:rPr>
      </w:pPr>
    </w:p>
    <w:p>
      <w:pPr>
        <w:ind w:left="520"/>
        <w:spacing w:after="0"/>
        <w:rPr>
          <w:sz w:val="20"/>
          <w:szCs w:val="20"/>
          <w:color w:val="auto"/>
        </w:rPr>
      </w:pPr>
      <w:r>
        <w:rPr>
          <w:rFonts w:ascii="Arial" w:cs="Arial" w:eastAsia="Arial" w:hAnsi="Arial"/>
          <w:sz w:val="18"/>
          <w:szCs w:val="18"/>
          <w:color w:val="auto"/>
        </w:rPr>
        <w:t>QCOM TV Partners</w:t>
      </w:r>
    </w:p>
    <w:p>
      <w:pPr>
        <w:spacing w:after="0" w:line="117" w:lineRule="exact"/>
        <w:rPr>
          <w:sz w:val="20"/>
          <w:szCs w:val="20"/>
          <w:color w:val="auto"/>
        </w:rPr>
      </w:pPr>
    </w:p>
    <w:p>
      <w:pPr>
        <w:ind w:left="520"/>
        <w:spacing w:after="0"/>
        <w:rPr>
          <w:sz w:val="20"/>
          <w:szCs w:val="20"/>
          <w:color w:val="auto"/>
        </w:rPr>
      </w:pPr>
      <w:r>
        <w:rPr>
          <w:rFonts w:ascii="Arial" w:cs="Arial" w:eastAsia="Arial" w:hAnsi="Arial"/>
          <w:sz w:val="18"/>
          <w:szCs w:val="18"/>
          <w:color w:val="auto"/>
        </w:rPr>
        <w:t>Roberts Broadcasting Corporation</w:t>
      </w:r>
    </w:p>
    <w:p>
      <w:pPr>
        <w:spacing w:after="0" w:line="117" w:lineRule="exact"/>
        <w:rPr>
          <w:sz w:val="20"/>
          <w:szCs w:val="20"/>
          <w:color w:val="auto"/>
        </w:rPr>
      </w:pPr>
    </w:p>
    <w:p>
      <w:pPr>
        <w:ind w:left="520"/>
        <w:spacing w:after="0"/>
        <w:rPr>
          <w:sz w:val="20"/>
          <w:szCs w:val="20"/>
          <w:color w:val="auto"/>
        </w:rPr>
      </w:pPr>
      <w:r>
        <w:rPr>
          <w:rFonts w:ascii="Arial" w:cs="Arial" w:eastAsia="Arial" w:hAnsi="Arial"/>
          <w:sz w:val="18"/>
          <w:szCs w:val="18"/>
          <w:color w:val="auto"/>
        </w:rPr>
        <w:t>Satellite Services, Inc.</w:t>
      </w:r>
    </w:p>
    <w:p>
      <w:pPr>
        <w:spacing w:after="0" w:line="117" w:lineRule="exact"/>
        <w:rPr>
          <w:sz w:val="20"/>
          <w:szCs w:val="20"/>
          <w:color w:val="auto"/>
        </w:rPr>
      </w:pPr>
    </w:p>
    <w:p>
      <w:pPr>
        <w:ind w:left="520"/>
        <w:spacing w:after="0"/>
        <w:rPr>
          <w:sz w:val="20"/>
          <w:szCs w:val="20"/>
          <w:color w:val="auto"/>
        </w:rPr>
      </w:pPr>
      <w:r>
        <w:rPr>
          <w:rFonts w:ascii="Arial" w:cs="Arial" w:eastAsia="Arial" w:hAnsi="Arial"/>
          <w:sz w:val="18"/>
          <w:szCs w:val="18"/>
          <w:color w:val="auto"/>
        </w:rPr>
        <w:t>Saturn Cable TV, Inc.</w:t>
      </w:r>
    </w:p>
    <w:p>
      <w:pPr>
        <w:spacing w:after="0" w:line="117" w:lineRule="exact"/>
        <w:rPr>
          <w:sz w:val="20"/>
          <w:szCs w:val="20"/>
          <w:color w:val="auto"/>
        </w:rPr>
      </w:pPr>
    </w:p>
    <w:p>
      <w:pPr>
        <w:ind w:left="520"/>
        <w:spacing w:after="0"/>
        <w:rPr>
          <w:sz w:val="20"/>
          <w:szCs w:val="20"/>
          <w:color w:val="auto"/>
        </w:rPr>
      </w:pPr>
      <w:r>
        <w:rPr>
          <w:rFonts w:ascii="Arial" w:cs="Arial" w:eastAsia="Arial" w:hAnsi="Arial"/>
          <w:sz w:val="18"/>
          <w:szCs w:val="18"/>
          <w:color w:val="auto"/>
        </w:rPr>
        <w:t>SCI 34, Inc.</w:t>
      </w:r>
    </w:p>
    <w:p>
      <w:pPr>
        <w:spacing w:after="0" w:line="117" w:lineRule="exact"/>
        <w:rPr>
          <w:sz w:val="20"/>
          <w:szCs w:val="20"/>
          <w:color w:val="auto"/>
        </w:rPr>
      </w:pPr>
    </w:p>
    <w:p>
      <w:pPr>
        <w:ind w:left="520"/>
        <w:spacing w:after="0"/>
        <w:rPr>
          <w:sz w:val="20"/>
          <w:szCs w:val="20"/>
          <w:color w:val="auto"/>
        </w:rPr>
      </w:pPr>
      <w:r>
        <w:rPr>
          <w:rFonts w:ascii="Arial" w:cs="Arial" w:eastAsia="Arial" w:hAnsi="Arial"/>
          <w:sz w:val="18"/>
          <w:szCs w:val="18"/>
          <w:color w:val="auto"/>
        </w:rPr>
        <w:t>SCI 36, Inc.</w:t>
      </w:r>
    </w:p>
    <w:p>
      <w:pPr>
        <w:spacing w:after="0" w:line="117" w:lineRule="exact"/>
        <w:rPr>
          <w:sz w:val="20"/>
          <w:szCs w:val="20"/>
          <w:color w:val="auto"/>
        </w:rPr>
      </w:pPr>
    </w:p>
    <w:p>
      <w:pPr>
        <w:ind w:left="520"/>
        <w:spacing w:after="0"/>
        <w:rPr>
          <w:sz w:val="20"/>
          <w:szCs w:val="20"/>
          <w:color w:val="auto"/>
        </w:rPr>
      </w:pPr>
      <w:r>
        <w:rPr>
          <w:rFonts w:ascii="Arial" w:cs="Arial" w:eastAsia="Arial" w:hAnsi="Arial"/>
          <w:sz w:val="18"/>
          <w:szCs w:val="18"/>
          <w:color w:val="auto"/>
        </w:rPr>
        <w:t>SCI 37, Inc.</w:t>
      </w:r>
    </w:p>
    <w:p>
      <w:pPr>
        <w:spacing w:after="0" w:line="117" w:lineRule="exact"/>
        <w:rPr>
          <w:sz w:val="20"/>
          <w:szCs w:val="20"/>
          <w:color w:val="auto"/>
        </w:rPr>
      </w:pPr>
    </w:p>
    <w:p>
      <w:pPr>
        <w:ind w:left="520"/>
        <w:spacing w:after="0"/>
        <w:rPr>
          <w:sz w:val="20"/>
          <w:szCs w:val="20"/>
          <w:color w:val="auto"/>
        </w:rPr>
      </w:pPr>
      <w:r>
        <w:rPr>
          <w:rFonts w:ascii="Arial" w:cs="Arial" w:eastAsia="Arial" w:hAnsi="Arial"/>
          <w:sz w:val="18"/>
          <w:szCs w:val="18"/>
          <w:color w:val="auto"/>
        </w:rPr>
        <w:t>SCI 38, Inc.</w:t>
      </w:r>
    </w:p>
    <w:p>
      <w:pPr>
        <w:spacing w:after="0" w:line="117" w:lineRule="exact"/>
        <w:rPr>
          <w:sz w:val="20"/>
          <w:szCs w:val="20"/>
          <w:color w:val="auto"/>
        </w:rPr>
      </w:pPr>
    </w:p>
    <w:p>
      <w:pPr>
        <w:ind w:left="520"/>
        <w:spacing w:after="0"/>
        <w:rPr>
          <w:sz w:val="20"/>
          <w:szCs w:val="20"/>
          <w:color w:val="auto"/>
        </w:rPr>
      </w:pPr>
      <w:r>
        <w:rPr>
          <w:rFonts w:ascii="Arial" w:cs="Arial" w:eastAsia="Arial" w:hAnsi="Arial"/>
          <w:sz w:val="18"/>
          <w:szCs w:val="18"/>
          <w:color w:val="auto"/>
        </w:rPr>
        <w:t>SCI 48, Inc.</w:t>
      </w:r>
    </w:p>
    <w:p>
      <w:pPr>
        <w:spacing w:after="0" w:line="117" w:lineRule="exact"/>
        <w:rPr>
          <w:sz w:val="20"/>
          <w:szCs w:val="20"/>
          <w:color w:val="auto"/>
        </w:rPr>
      </w:pPr>
    </w:p>
    <w:p>
      <w:pPr>
        <w:ind w:left="520"/>
        <w:spacing w:after="0"/>
        <w:rPr>
          <w:sz w:val="20"/>
          <w:szCs w:val="20"/>
          <w:color w:val="auto"/>
        </w:rPr>
      </w:pPr>
      <w:r>
        <w:rPr>
          <w:rFonts w:ascii="Arial" w:cs="Arial" w:eastAsia="Arial" w:hAnsi="Arial"/>
          <w:sz w:val="18"/>
          <w:szCs w:val="18"/>
          <w:color w:val="auto"/>
        </w:rPr>
        <w:t>SCI 55, Inc.</w:t>
      </w:r>
    </w:p>
    <w:p>
      <w:pPr>
        <w:spacing w:after="0" w:line="117" w:lineRule="exact"/>
        <w:rPr>
          <w:sz w:val="20"/>
          <w:szCs w:val="20"/>
          <w:color w:val="auto"/>
        </w:rPr>
      </w:pPr>
    </w:p>
    <w:p>
      <w:pPr>
        <w:ind w:left="520"/>
        <w:spacing w:after="0"/>
        <w:rPr>
          <w:sz w:val="20"/>
          <w:szCs w:val="20"/>
          <w:color w:val="auto"/>
        </w:rPr>
      </w:pPr>
      <w:r>
        <w:rPr>
          <w:rFonts w:ascii="Arial" w:cs="Arial" w:eastAsia="Arial" w:hAnsi="Arial"/>
          <w:sz w:val="16"/>
          <w:szCs w:val="16"/>
          <w:color w:val="auto"/>
        </w:rPr>
        <w:t>Selkirk Communications (Delaware) Corporation</w:t>
      </w:r>
    </w:p>
    <w:p>
      <w:pPr>
        <w:spacing w:after="0" w:line="140" w:lineRule="exact"/>
        <w:rPr>
          <w:sz w:val="20"/>
          <w:szCs w:val="20"/>
          <w:color w:val="auto"/>
        </w:rPr>
      </w:pPr>
    </w:p>
    <w:p>
      <w:pPr>
        <w:ind w:left="520"/>
        <w:spacing w:after="0"/>
        <w:rPr>
          <w:sz w:val="20"/>
          <w:szCs w:val="20"/>
          <w:color w:val="auto"/>
        </w:rPr>
      </w:pPr>
      <w:r>
        <w:rPr>
          <w:rFonts w:ascii="Arial" w:cs="Arial" w:eastAsia="Arial" w:hAnsi="Arial"/>
          <w:sz w:val="18"/>
          <w:szCs w:val="18"/>
          <w:color w:val="auto"/>
        </w:rPr>
        <w:t>Selkirk Systems, Inc.</w:t>
      </w:r>
    </w:p>
    <w:p>
      <w:pPr>
        <w:spacing w:after="0" w:line="117" w:lineRule="exact"/>
        <w:rPr>
          <w:sz w:val="20"/>
          <w:szCs w:val="20"/>
          <w:color w:val="auto"/>
        </w:rPr>
      </w:pPr>
    </w:p>
    <w:p>
      <w:pPr>
        <w:ind w:left="520"/>
        <w:spacing w:after="0"/>
        <w:rPr>
          <w:sz w:val="20"/>
          <w:szCs w:val="20"/>
          <w:color w:val="auto"/>
        </w:rPr>
      </w:pPr>
      <w:r>
        <w:rPr>
          <w:rFonts w:ascii="Arial" w:cs="Arial" w:eastAsia="Arial" w:hAnsi="Arial"/>
          <w:sz w:val="18"/>
          <w:szCs w:val="18"/>
          <w:color w:val="auto"/>
        </w:rPr>
        <w:t>Shorebirds, L.P.</w:t>
      </w:r>
    </w:p>
    <w:p>
      <w:pPr>
        <w:spacing w:after="0" w:line="117" w:lineRule="exact"/>
        <w:rPr>
          <w:sz w:val="20"/>
          <w:szCs w:val="20"/>
          <w:color w:val="auto"/>
        </w:rPr>
      </w:pPr>
    </w:p>
    <w:p>
      <w:pPr>
        <w:ind w:left="520"/>
        <w:spacing w:after="0"/>
        <w:rPr>
          <w:sz w:val="20"/>
          <w:szCs w:val="20"/>
          <w:color w:val="auto"/>
        </w:rPr>
      </w:pPr>
      <w:r>
        <w:rPr>
          <w:rFonts w:ascii="Arial" w:cs="Arial" w:eastAsia="Arial" w:hAnsi="Arial"/>
          <w:sz w:val="18"/>
          <w:szCs w:val="18"/>
          <w:color w:val="auto"/>
        </w:rPr>
        <w:t>SIFD One, Ltd.</w:t>
      </w:r>
    </w:p>
    <w:p>
      <w:pPr>
        <w:spacing w:after="0" w:line="117" w:lineRule="exact"/>
        <w:rPr>
          <w:sz w:val="20"/>
          <w:szCs w:val="20"/>
          <w:color w:val="auto"/>
        </w:rPr>
      </w:pPr>
    </w:p>
    <w:p>
      <w:pPr>
        <w:ind w:left="520"/>
        <w:spacing w:after="0"/>
        <w:rPr>
          <w:sz w:val="20"/>
          <w:szCs w:val="20"/>
          <w:color w:val="auto"/>
        </w:rPr>
      </w:pPr>
      <w:r>
        <w:rPr>
          <w:rFonts w:ascii="Arial" w:cs="Arial" w:eastAsia="Arial" w:hAnsi="Arial"/>
          <w:sz w:val="18"/>
          <w:szCs w:val="18"/>
          <w:color w:val="auto"/>
        </w:rPr>
        <w:t>SIFD Three, Ltd.</w:t>
      </w:r>
    </w:p>
    <w:p>
      <w:pPr>
        <w:spacing w:after="0" w:line="117" w:lineRule="exact"/>
        <w:rPr>
          <w:sz w:val="20"/>
          <w:szCs w:val="20"/>
          <w:color w:val="auto"/>
        </w:rPr>
      </w:pPr>
    </w:p>
    <w:p>
      <w:pPr>
        <w:ind w:left="520"/>
        <w:spacing w:after="0"/>
        <w:rPr>
          <w:sz w:val="20"/>
          <w:szCs w:val="20"/>
          <w:color w:val="auto"/>
        </w:rPr>
      </w:pPr>
      <w:r>
        <w:rPr>
          <w:rFonts w:ascii="Arial" w:cs="Arial" w:eastAsia="Arial" w:hAnsi="Arial"/>
          <w:sz w:val="18"/>
          <w:szCs w:val="18"/>
          <w:color w:val="auto"/>
        </w:rPr>
        <w:t>SIFD Two, Ltd.</w:t>
      </w:r>
    </w:p>
    <w:p>
      <w:pPr>
        <w:spacing w:after="0" w:line="117" w:lineRule="exact"/>
        <w:rPr>
          <w:sz w:val="20"/>
          <w:szCs w:val="20"/>
          <w:color w:val="auto"/>
        </w:rPr>
      </w:pPr>
    </w:p>
    <w:p>
      <w:pPr>
        <w:ind w:left="520"/>
        <w:spacing w:after="0"/>
        <w:rPr>
          <w:sz w:val="20"/>
          <w:szCs w:val="20"/>
          <w:color w:val="auto"/>
        </w:rPr>
      </w:pPr>
      <w:r>
        <w:rPr>
          <w:rFonts w:ascii="Arial" w:cs="Arial" w:eastAsia="Arial" w:hAnsi="Arial"/>
          <w:sz w:val="18"/>
          <w:szCs w:val="18"/>
          <w:color w:val="auto"/>
        </w:rPr>
        <w:t>South Florida Cable Advertising</w:t>
      </w:r>
    </w:p>
    <w:p>
      <w:pPr>
        <w:spacing w:after="0" w:line="117" w:lineRule="exact"/>
        <w:rPr>
          <w:sz w:val="20"/>
          <w:szCs w:val="20"/>
          <w:color w:val="auto"/>
        </w:rPr>
      </w:pPr>
    </w:p>
    <w:p>
      <w:pPr>
        <w:ind w:left="520"/>
        <w:spacing w:after="0"/>
        <w:rPr>
          <w:sz w:val="20"/>
          <w:szCs w:val="20"/>
          <w:color w:val="auto"/>
        </w:rPr>
      </w:pPr>
      <w:r>
        <w:rPr>
          <w:rFonts w:ascii="Arial" w:cs="Arial" w:eastAsia="Arial" w:hAnsi="Arial"/>
          <w:sz w:val="18"/>
          <w:szCs w:val="18"/>
          <w:color w:val="auto"/>
        </w:rPr>
        <w:t>Southwest Washington Cable, Inc.</w:t>
      </w:r>
    </w:p>
    <w:p>
      <w:pPr>
        <w:spacing w:after="0" w:line="117" w:lineRule="exact"/>
        <w:rPr>
          <w:sz w:val="20"/>
          <w:szCs w:val="20"/>
          <w:color w:val="auto"/>
        </w:rPr>
      </w:pPr>
    </w:p>
    <w:p>
      <w:pPr>
        <w:ind w:left="520"/>
        <w:spacing w:after="0"/>
        <w:rPr>
          <w:sz w:val="20"/>
          <w:szCs w:val="20"/>
          <w:color w:val="auto"/>
        </w:rPr>
      </w:pPr>
      <w:r>
        <w:rPr>
          <w:rFonts w:ascii="Arial" w:cs="Arial" w:eastAsia="Arial" w:hAnsi="Arial"/>
          <w:sz w:val="15"/>
          <w:szCs w:val="15"/>
          <w:color w:val="auto"/>
        </w:rPr>
        <w:t>Spectacor Adjoining Real Estate New Arena, L.P.</w:t>
      </w:r>
    </w:p>
    <w:p>
      <w:pPr>
        <w:spacing w:after="0" w:line="152" w:lineRule="exact"/>
        <w:rPr>
          <w:sz w:val="20"/>
          <w:szCs w:val="20"/>
          <w:color w:val="auto"/>
        </w:rPr>
      </w:pPr>
    </w:p>
    <w:p>
      <w:pPr>
        <w:ind w:left="520"/>
        <w:spacing w:after="0"/>
        <w:rPr>
          <w:sz w:val="20"/>
          <w:szCs w:val="20"/>
          <w:color w:val="auto"/>
        </w:rPr>
      </w:pPr>
      <w:r>
        <w:rPr>
          <w:rFonts w:ascii="Arial" w:cs="Arial" w:eastAsia="Arial" w:hAnsi="Arial"/>
          <w:sz w:val="18"/>
          <w:szCs w:val="18"/>
          <w:color w:val="auto"/>
        </w:rPr>
        <w:t>Spectrum Arena Limited Partnership</w:t>
      </w:r>
    </w:p>
    <w:p>
      <w:pPr>
        <w:spacing w:after="0" w:line="117" w:lineRule="exact"/>
        <w:rPr>
          <w:sz w:val="20"/>
          <w:szCs w:val="20"/>
          <w:color w:val="auto"/>
        </w:rPr>
      </w:pPr>
    </w:p>
    <w:p>
      <w:pPr>
        <w:ind w:left="520"/>
        <w:spacing w:after="0"/>
        <w:rPr>
          <w:sz w:val="20"/>
          <w:szCs w:val="20"/>
          <w:color w:val="auto"/>
        </w:rPr>
      </w:pPr>
      <w:r>
        <w:rPr>
          <w:rFonts w:ascii="Arial" w:cs="Arial" w:eastAsia="Arial" w:hAnsi="Arial"/>
          <w:sz w:val="18"/>
          <w:szCs w:val="18"/>
          <w:color w:val="auto"/>
        </w:rPr>
        <w:t>SpectrumCo, LLC</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Arial" w:cs="Arial" w:eastAsia="Arial" w:hAnsi="Arial"/>
          <w:sz w:val="18"/>
          <w:szCs w:val="18"/>
          <w:color w:val="auto"/>
        </w:rPr>
        <w:t>CT</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color w:val="auto"/>
        </w:rPr>
        <w:t>PA</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color w:val="auto"/>
        </w:rPr>
        <w:t>DE</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color w:val="auto"/>
        </w:rPr>
        <w:t>DE</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color w:val="auto"/>
        </w:rPr>
        <w:t>DE</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color w:val="auto"/>
        </w:rPr>
        <w:t>DE</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color w:val="auto"/>
        </w:rPr>
        <w:t>PA</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color w:val="auto"/>
        </w:rPr>
        <w:t>PA</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color w:val="auto"/>
        </w:rPr>
        <w:t>PA</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color w:val="auto"/>
        </w:rPr>
        <w:t>Ontario</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color w:val="auto"/>
        </w:rPr>
        <w:t>Ontario</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color w:val="auto"/>
        </w:rPr>
        <w:t>DE</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color w:val="auto"/>
        </w:rPr>
        <w:t>NY</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color w:val="auto"/>
        </w:rPr>
        <w:t>DE</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color w:val="auto"/>
        </w:rPr>
        <w:t>DE</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color w:val="auto"/>
        </w:rPr>
        <w:t>PA</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color w:val="auto"/>
        </w:rPr>
        <w:t>PA</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color w:val="auto"/>
        </w:rPr>
        <w:t>PA</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color w:val="auto"/>
        </w:rPr>
        <w:t>PA</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color w:val="auto"/>
        </w:rPr>
        <w:t>DE</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color w:val="auto"/>
        </w:rPr>
        <w:t>DE</w:t>
      </w:r>
    </w:p>
    <w:p>
      <w:pPr>
        <w:spacing w:after="0" w:line="117" w:lineRule="exact"/>
        <w:rPr>
          <w:sz w:val="20"/>
          <w:szCs w:val="20"/>
          <w:color w:val="auto"/>
        </w:rPr>
      </w:pPr>
    </w:p>
    <w:p>
      <w:pPr>
        <w:spacing w:after="0"/>
        <w:rPr>
          <w:sz w:val="20"/>
          <w:szCs w:val="20"/>
          <w:color w:val="auto"/>
        </w:rPr>
      </w:pPr>
      <w:r>
        <w:rPr>
          <w:rFonts w:ascii="Arial" w:cs="Arial" w:eastAsia="Arial" w:hAnsi="Arial"/>
          <w:sz w:val="15"/>
          <w:szCs w:val="15"/>
          <w:color w:val="auto"/>
        </w:rPr>
        <w:t>Nova Scotia</w:t>
      </w:r>
    </w:p>
    <w:p>
      <w:pPr>
        <w:spacing w:after="0" w:line="152" w:lineRule="exact"/>
        <w:rPr>
          <w:sz w:val="20"/>
          <w:szCs w:val="20"/>
          <w:color w:val="auto"/>
        </w:rPr>
      </w:pPr>
    </w:p>
    <w:p>
      <w:pPr>
        <w:spacing w:after="0"/>
        <w:rPr>
          <w:sz w:val="20"/>
          <w:szCs w:val="20"/>
          <w:color w:val="auto"/>
        </w:rPr>
      </w:pPr>
      <w:r>
        <w:rPr>
          <w:rFonts w:ascii="Arial" w:cs="Arial" w:eastAsia="Arial" w:hAnsi="Arial"/>
          <w:sz w:val="18"/>
          <w:szCs w:val="18"/>
          <w:color w:val="auto"/>
        </w:rPr>
        <w:t>DE</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color w:val="auto"/>
        </w:rPr>
        <w:t>DE</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color w:val="auto"/>
        </w:rPr>
        <w:t>PA</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color w:val="auto"/>
        </w:rPr>
        <w:t>PA</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color w:val="auto"/>
        </w:rPr>
        <w:t>NY</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color w:val="auto"/>
        </w:rPr>
        <w:t>DE</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color w:val="auto"/>
        </w:rPr>
        <w:t>DE</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color w:val="auto"/>
        </w:rPr>
        <w:t>PA</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color w:val="auto"/>
        </w:rPr>
        <w:t>PA</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color w:val="auto"/>
        </w:rPr>
        <w:t>DE</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color w:val="auto"/>
        </w:rPr>
        <w:t>CO</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color w:val="auto"/>
        </w:rPr>
        <w:t>DE</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color w:val="auto"/>
        </w:rPr>
        <w:t>DE</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color w:val="auto"/>
        </w:rPr>
        <w:t>DE</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color w:val="auto"/>
        </w:rPr>
        <w:t>DE</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color w:val="auto"/>
        </w:rPr>
        <w:t>DE</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color w:val="auto"/>
        </w:rPr>
        <w:t>DE</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color w:val="auto"/>
        </w:rPr>
        <w:t>DE</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color w:val="auto"/>
        </w:rPr>
        <w:t>FL</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color w:val="auto"/>
        </w:rPr>
        <w:t>MD</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color w:val="auto"/>
        </w:rPr>
        <w:t>DE</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color w:val="auto"/>
        </w:rPr>
        <w:t>DE</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color w:val="auto"/>
        </w:rPr>
        <w:t>DE</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color w:val="auto"/>
        </w:rPr>
        <w:t>FL</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color w:val="auto"/>
        </w:rPr>
        <w:t>WA</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color w:val="auto"/>
        </w:rPr>
        <w:t>DE</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color w:val="auto"/>
        </w:rPr>
        <w:t>PA</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color w:val="auto"/>
        </w:rPr>
        <w:t>DE</w:t>
      </w:r>
    </w:p>
    <w:p>
      <w:pPr>
        <w:sectPr>
          <w:pgSz w:w="11900" w:h="16838" w:orient="portrait"/>
          <w:cols w:equalWidth="0" w:num="2">
            <w:col w:w="6920" w:space="720"/>
            <w:col w:w="1379"/>
          </w:cols>
          <w:pgMar w:left="1440" w:top="388" w:right="1440" w:bottom="0" w:gutter="0" w:footer="0" w:header="0"/>
        </w:sectPr>
      </w:pPr>
    </w:p>
    <w:bookmarkStart w:id="190" w:name="page191"/>
    <w:bookmarkEnd w:id="190"/>
    <w:p>
      <w:pPr>
        <w:ind w:left="520"/>
        <w:spacing w:after="0"/>
        <w:rPr>
          <w:sz w:val="20"/>
          <w:szCs w:val="20"/>
          <w:color w:val="auto"/>
        </w:rPr>
      </w:pPr>
      <w:r>
        <w:rPr>
          <w:rFonts w:ascii="Arial" w:cs="Arial" w:eastAsia="Arial" w:hAnsi="Arial"/>
          <w:sz w:val="16"/>
          <w:szCs w:val="16"/>
          <w:color w:val="auto"/>
        </w:rPr>
        <w:t>St. Louis Tele-Communications, Inc.</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Arial" w:cs="Arial" w:eastAsia="Arial" w:hAnsi="Arial"/>
          <w:sz w:val="16"/>
          <w:szCs w:val="16"/>
          <w:color w:val="auto"/>
        </w:rPr>
        <w:t>MO</w:t>
      </w:r>
    </w:p>
    <w:p>
      <w:pPr>
        <w:spacing w:after="0" w:line="140" w:lineRule="exact"/>
        <w:rPr>
          <w:sz w:val="20"/>
          <w:szCs w:val="20"/>
          <w:color w:val="auto"/>
        </w:rPr>
      </w:pPr>
    </w:p>
    <w:p>
      <w:pPr>
        <w:sectPr>
          <w:pgSz w:w="11900" w:h="16838" w:orient="portrait"/>
          <w:cols w:equalWidth="0" w:num="2">
            <w:col w:w="6920" w:space="720"/>
            <w:col w:w="1379"/>
          </w:cols>
          <w:pgMar w:left="1440" w:top="131" w:right="1440" w:bottom="1440" w:gutter="0" w:footer="0" w:header="0"/>
        </w:sectPr>
      </w:pPr>
    </w:p>
    <w:p>
      <w:pPr>
        <w:ind w:left="520"/>
        <w:spacing w:after="0"/>
        <w:rPr>
          <w:sz w:val="20"/>
          <w:szCs w:val="20"/>
          <w:color w:val="auto"/>
        </w:rPr>
      </w:pPr>
      <w:r>
        <w:rPr>
          <w:rFonts w:ascii="Arial" w:cs="Arial" w:eastAsia="Arial" w:hAnsi="Arial"/>
          <w:sz w:val="15"/>
          <w:szCs w:val="15"/>
          <w:color w:val="auto"/>
        </w:rPr>
        <w:t>Stage II, L.P.</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Arial" w:cs="Arial" w:eastAsia="Arial" w:hAnsi="Arial"/>
          <w:sz w:val="14"/>
          <w:szCs w:val="14"/>
          <w:color w:val="auto"/>
        </w:rPr>
        <w:t>PA</w:t>
      </w:r>
    </w:p>
    <w:p>
      <w:pPr>
        <w:sectPr>
          <w:pgSz w:w="11900" w:h="16838" w:orient="portrait"/>
          <w:cols w:equalWidth="0" w:num="2">
            <w:col w:w="6920" w:space="720"/>
            <w:col w:w="1379"/>
          </w:cols>
          <w:pgMar w:left="1440" w:top="131" w:right="1440" w:bottom="1440" w:gutter="0" w:footer="0" w:header="0"/>
          <w:type w:val="continuous"/>
        </w:sectPr>
      </w:pPr>
    </w:p>
    <w:bookmarkStart w:id="191" w:name="page192"/>
    <w:bookmarkEnd w:id="191"/>
    <w:p>
      <w:pPr>
        <w:ind w:left="520"/>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251" name="Picture 2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1"/>
                    <pic:cNvPicPr>
                      <a:picLocks noChangeAspect="1" noChangeArrowheads="1"/>
                    </pic:cNvPicPr>
                  </pic:nvPicPr>
                  <pic:blipFill>
                    <a:blip r:embed="rId258">
                      <a:extLst>
                        <a:ext uri="{28A0092B-C50C-407E-A947-70E740481C1C}"/>
                      </a:extLst>
                    </a:blip>
                    <a:srcRect/>
                    <a:stretch>
                      <a:fillRect/>
                    </a:stretch>
                  </pic:blipFill>
                  <pic:spPr bwMode="auto">
                    <a:xfrm>
                      <a:off x="0" y="0"/>
                      <a:ext cx="7267575" cy="27940"/>
                    </a:xfrm>
                    <a:prstGeom prst="rect">
                      <a:avLst/>
                    </a:prstGeom>
                    <a:noFill/>
                  </pic:spPr>
                </pic:pic>
              </a:graphicData>
            </a:graphic>
          </wp:anchor>
        </w:drawing>
        <w:t>Storer Administration, Inc.</w:t>
      </w:r>
    </w:p>
    <w:p>
      <w:pPr>
        <w:spacing w:after="0" w:line="117" w:lineRule="exact"/>
        <w:rPr>
          <w:sz w:val="20"/>
          <w:szCs w:val="20"/>
          <w:color w:val="auto"/>
        </w:rPr>
      </w:pPr>
    </w:p>
    <w:p>
      <w:pPr>
        <w:ind w:left="520"/>
        <w:spacing w:after="0"/>
        <w:rPr>
          <w:sz w:val="20"/>
          <w:szCs w:val="20"/>
          <w:color w:val="auto"/>
        </w:rPr>
      </w:pPr>
      <w:r>
        <w:rPr>
          <w:rFonts w:ascii="Arial" w:cs="Arial" w:eastAsia="Arial" w:hAnsi="Arial"/>
          <w:sz w:val="18"/>
          <w:szCs w:val="18"/>
          <w:color w:val="auto"/>
        </w:rPr>
        <w:t>Storer Cable TV of Radnor, Inc.</w:t>
      </w:r>
    </w:p>
    <w:p>
      <w:pPr>
        <w:spacing w:after="0" w:line="117" w:lineRule="exact"/>
        <w:rPr>
          <w:sz w:val="20"/>
          <w:szCs w:val="20"/>
          <w:color w:val="auto"/>
        </w:rPr>
      </w:pPr>
    </w:p>
    <w:p>
      <w:pPr>
        <w:ind w:left="520"/>
        <w:spacing w:after="0"/>
        <w:rPr>
          <w:sz w:val="20"/>
          <w:szCs w:val="20"/>
          <w:color w:val="auto"/>
        </w:rPr>
      </w:pPr>
      <w:r>
        <w:rPr>
          <w:rFonts w:ascii="Arial" w:cs="Arial" w:eastAsia="Arial" w:hAnsi="Arial"/>
          <w:sz w:val="18"/>
          <w:szCs w:val="18"/>
          <w:color w:val="auto"/>
        </w:rPr>
        <w:t>Storer Disbursments, Inc.</w:t>
      </w:r>
    </w:p>
    <w:p>
      <w:pPr>
        <w:spacing w:after="0" w:line="117" w:lineRule="exact"/>
        <w:rPr>
          <w:sz w:val="20"/>
          <w:szCs w:val="20"/>
          <w:color w:val="auto"/>
        </w:rPr>
      </w:pPr>
    </w:p>
    <w:p>
      <w:pPr>
        <w:ind w:left="520"/>
        <w:spacing w:after="0"/>
        <w:rPr>
          <w:sz w:val="20"/>
          <w:szCs w:val="20"/>
          <w:color w:val="auto"/>
        </w:rPr>
      </w:pPr>
      <w:r>
        <w:rPr>
          <w:rFonts w:ascii="Arial" w:cs="Arial" w:eastAsia="Arial" w:hAnsi="Arial"/>
          <w:sz w:val="18"/>
          <w:szCs w:val="18"/>
          <w:color w:val="auto"/>
        </w:rPr>
        <w:t>Strata Marketing, Inc.</w:t>
      </w:r>
    </w:p>
    <w:p>
      <w:pPr>
        <w:spacing w:after="0" w:line="117" w:lineRule="exact"/>
        <w:rPr>
          <w:sz w:val="20"/>
          <w:szCs w:val="20"/>
          <w:color w:val="auto"/>
        </w:rPr>
      </w:pPr>
    </w:p>
    <w:p>
      <w:pPr>
        <w:ind w:left="520"/>
        <w:spacing w:after="0"/>
        <w:rPr>
          <w:sz w:val="20"/>
          <w:szCs w:val="20"/>
          <w:color w:val="auto"/>
        </w:rPr>
      </w:pPr>
      <w:r>
        <w:rPr>
          <w:rFonts w:ascii="Arial" w:cs="Arial" w:eastAsia="Arial" w:hAnsi="Arial"/>
          <w:sz w:val="18"/>
          <w:szCs w:val="18"/>
          <w:color w:val="auto"/>
        </w:rPr>
        <w:t>StreamSage, Inc.</w:t>
      </w:r>
    </w:p>
    <w:p>
      <w:pPr>
        <w:spacing w:after="0" w:line="117" w:lineRule="exact"/>
        <w:rPr>
          <w:sz w:val="20"/>
          <w:szCs w:val="20"/>
          <w:color w:val="auto"/>
        </w:rPr>
      </w:pPr>
    </w:p>
    <w:p>
      <w:pPr>
        <w:ind w:left="520"/>
        <w:spacing w:after="0"/>
        <w:rPr>
          <w:sz w:val="20"/>
          <w:szCs w:val="20"/>
          <w:color w:val="auto"/>
        </w:rPr>
      </w:pPr>
      <w:r>
        <w:rPr>
          <w:rFonts w:ascii="Arial" w:cs="Arial" w:eastAsia="Arial" w:hAnsi="Arial"/>
          <w:sz w:val="18"/>
          <w:szCs w:val="18"/>
          <w:color w:val="auto"/>
        </w:rPr>
        <w:t>Sural LLC</w:t>
      </w:r>
    </w:p>
    <w:p>
      <w:pPr>
        <w:spacing w:after="0" w:line="117" w:lineRule="exact"/>
        <w:rPr>
          <w:sz w:val="20"/>
          <w:szCs w:val="20"/>
          <w:color w:val="auto"/>
        </w:rPr>
      </w:pPr>
    </w:p>
    <w:p>
      <w:pPr>
        <w:ind w:left="520"/>
        <w:spacing w:after="0"/>
        <w:rPr>
          <w:sz w:val="20"/>
          <w:szCs w:val="20"/>
          <w:color w:val="auto"/>
        </w:rPr>
      </w:pPr>
      <w:r>
        <w:rPr>
          <w:rFonts w:ascii="Arial" w:cs="Arial" w:eastAsia="Arial" w:hAnsi="Arial"/>
          <w:sz w:val="18"/>
          <w:szCs w:val="18"/>
          <w:color w:val="auto"/>
        </w:rPr>
        <w:t>Susquehanna Cable Co.</w:t>
      </w:r>
    </w:p>
    <w:p>
      <w:pPr>
        <w:spacing w:after="0" w:line="117" w:lineRule="exact"/>
        <w:rPr>
          <w:sz w:val="20"/>
          <w:szCs w:val="20"/>
          <w:color w:val="auto"/>
        </w:rPr>
      </w:pPr>
    </w:p>
    <w:p>
      <w:pPr>
        <w:ind w:left="520"/>
        <w:spacing w:after="0"/>
        <w:rPr>
          <w:sz w:val="20"/>
          <w:szCs w:val="20"/>
          <w:color w:val="auto"/>
        </w:rPr>
      </w:pPr>
      <w:r>
        <w:rPr>
          <w:rFonts w:ascii="Arial" w:cs="Arial" w:eastAsia="Arial" w:hAnsi="Arial"/>
          <w:sz w:val="18"/>
          <w:szCs w:val="18"/>
          <w:color w:val="auto"/>
        </w:rPr>
        <w:t>Susquehanna Cable Investment Co.</w:t>
      </w:r>
    </w:p>
    <w:p>
      <w:pPr>
        <w:spacing w:after="0" w:line="117" w:lineRule="exact"/>
        <w:rPr>
          <w:sz w:val="20"/>
          <w:szCs w:val="20"/>
          <w:color w:val="auto"/>
        </w:rPr>
      </w:pPr>
    </w:p>
    <w:p>
      <w:pPr>
        <w:ind w:left="520"/>
        <w:spacing w:after="0"/>
        <w:rPr>
          <w:sz w:val="20"/>
          <w:szCs w:val="20"/>
          <w:color w:val="auto"/>
        </w:rPr>
      </w:pPr>
      <w:r>
        <w:rPr>
          <w:rFonts w:ascii="Arial" w:cs="Arial" w:eastAsia="Arial" w:hAnsi="Arial"/>
          <w:sz w:val="18"/>
          <w:szCs w:val="18"/>
          <w:color w:val="auto"/>
        </w:rPr>
        <w:t>Taurus Properties, LLC</w:t>
      </w:r>
    </w:p>
    <w:p>
      <w:pPr>
        <w:spacing w:after="0" w:line="117" w:lineRule="exact"/>
        <w:rPr>
          <w:sz w:val="20"/>
          <w:szCs w:val="20"/>
          <w:color w:val="auto"/>
        </w:rPr>
      </w:pPr>
    </w:p>
    <w:p>
      <w:pPr>
        <w:ind w:left="520"/>
        <w:spacing w:after="0"/>
        <w:rPr>
          <w:sz w:val="20"/>
          <w:szCs w:val="20"/>
          <w:color w:val="auto"/>
        </w:rPr>
      </w:pPr>
      <w:r>
        <w:rPr>
          <w:rFonts w:ascii="Arial" w:cs="Arial" w:eastAsia="Arial" w:hAnsi="Arial"/>
          <w:sz w:val="18"/>
          <w:szCs w:val="18"/>
          <w:color w:val="auto"/>
        </w:rPr>
        <w:t>TCI Adelphia Holdings, LLC</w:t>
      </w:r>
    </w:p>
    <w:p>
      <w:pPr>
        <w:spacing w:after="0" w:line="117" w:lineRule="exact"/>
        <w:rPr>
          <w:sz w:val="20"/>
          <w:szCs w:val="20"/>
          <w:color w:val="auto"/>
        </w:rPr>
      </w:pPr>
    </w:p>
    <w:p>
      <w:pPr>
        <w:ind w:left="520"/>
        <w:spacing w:after="0"/>
        <w:rPr>
          <w:sz w:val="20"/>
          <w:szCs w:val="20"/>
          <w:color w:val="auto"/>
        </w:rPr>
      </w:pPr>
      <w:r>
        <w:rPr>
          <w:rFonts w:ascii="Arial" w:cs="Arial" w:eastAsia="Arial" w:hAnsi="Arial"/>
          <w:sz w:val="18"/>
          <w:szCs w:val="18"/>
          <w:color w:val="auto"/>
        </w:rPr>
        <w:t>TCI Atlantic, LLC</w:t>
      </w:r>
    </w:p>
    <w:p>
      <w:pPr>
        <w:spacing w:after="0" w:line="117" w:lineRule="exact"/>
        <w:rPr>
          <w:sz w:val="20"/>
          <w:szCs w:val="20"/>
          <w:color w:val="auto"/>
        </w:rPr>
      </w:pPr>
    </w:p>
    <w:p>
      <w:pPr>
        <w:ind w:left="520"/>
        <w:spacing w:after="0"/>
        <w:rPr>
          <w:sz w:val="20"/>
          <w:szCs w:val="20"/>
          <w:color w:val="auto"/>
        </w:rPr>
      </w:pPr>
      <w:r>
        <w:rPr>
          <w:rFonts w:ascii="Arial" w:cs="Arial" w:eastAsia="Arial" w:hAnsi="Arial"/>
          <w:sz w:val="18"/>
          <w:szCs w:val="18"/>
          <w:color w:val="auto"/>
        </w:rPr>
        <w:t>TCI Bay, Inc.</w:t>
      </w:r>
    </w:p>
    <w:p>
      <w:pPr>
        <w:spacing w:after="0" w:line="117" w:lineRule="exact"/>
        <w:rPr>
          <w:sz w:val="20"/>
          <w:szCs w:val="20"/>
          <w:color w:val="auto"/>
        </w:rPr>
      </w:pPr>
    </w:p>
    <w:p>
      <w:pPr>
        <w:ind w:left="520"/>
        <w:spacing w:after="0"/>
        <w:rPr>
          <w:sz w:val="20"/>
          <w:szCs w:val="20"/>
          <w:color w:val="auto"/>
        </w:rPr>
      </w:pPr>
      <w:r>
        <w:rPr>
          <w:rFonts w:ascii="Arial" w:cs="Arial" w:eastAsia="Arial" w:hAnsi="Arial"/>
          <w:sz w:val="18"/>
          <w:szCs w:val="18"/>
          <w:color w:val="auto"/>
        </w:rPr>
        <w:t>TCI Cable Investments, LLC</w:t>
      </w:r>
    </w:p>
    <w:p>
      <w:pPr>
        <w:spacing w:after="0" w:line="117" w:lineRule="exact"/>
        <w:rPr>
          <w:sz w:val="20"/>
          <w:szCs w:val="20"/>
          <w:color w:val="auto"/>
        </w:rPr>
      </w:pPr>
    </w:p>
    <w:p>
      <w:pPr>
        <w:ind w:left="520"/>
        <w:spacing w:after="0"/>
        <w:rPr>
          <w:sz w:val="20"/>
          <w:szCs w:val="20"/>
          <w:color w:val="auto"/>
        </w:rPr>
      </w:pPr>
      <w:r>
        <w:rPr>
          <w:rFonts w:ascii="Arial" w:cs="Arial" w:eastAsia="Arial" w:hAnsi="Arial"/>
          <w:sz w:val="18"/>
          <w:szCs w:val="18"/>
          <w:color w:val="auto"/>
        </w:rPr>
        <w:t>TCI Cablevision Associates Inc.</w:t>
      </w:r>
    </w:p>
    <w:p>
      <w:pPr>
        <w:spacing w:after="0" w:line="117" w:lineRule="exact"/>
        <w:rPr>
          <w:sz w:val="20"/>
          <w:szCs w:val="20"/>
          <w:color w:val="auto"/>
        </w:rPr>
      </w:pPr>
    </w:p>
    <w:p>
      <w:pPr>
        <w:ind w:left="520"/>
        <w:spacing w:after="0"/>
        <w:rPr>
          <w:sz w:val="20"/>
          <w:szCs w:val="20"/>
          <w:color w:val="auto"/>
        </w:rPr>
      </w:pPr>
      <w:r>
        <w:rPr>
          <w:rFonts w:ascii="Arial" w:cs="Arial" w:eastAsia="Arial" w:hAnsi="Arial"/>
          <w:sz w:val="16"/>
          <w:szCs w:val="16"/>
          <w:color w:val="auto"/>
        </w:rPr>
        <w:t>TCI Cablevision of California Century Holdings, LLC</w:t>
      </w:r>
    </w:p>
    <w:p>
      <w:pPr>
        <w:spacing w:after="0" w:line="140" w:lineRule="exact"/>
        <w:rPr>
          <w:sz w:val="20"/>
          <w:szCs w:val="20"/>
          <w:color w:val="auto"/>
        </w:rPr>
      </w:pPr>
    </w:p>
    <w:p>
      <w:pPr>
        <w:ind w:left="520"/>
        <w:spacing w:after="0"/>
        <w:rPr>
          <w:sz w:val="20"/>
          <w:szCs w:val="20"/>
          <w:color w:val="auto"/>
        </w:rPr>
      </w:pPr>
      <w:r>
        <w:rPr>
          <w:rFonts w:ascii="Arial" w:cs="Arial" w:eastAsia="Arial" w:hAnsi="Arial"/>
          <w:sz w:val="18"/>
          <w:szCs w:val="18"/>
          <w:color w:val="auto"/>
        </w:rPr>
        <w:t>TCI Cablevision of Kentucky, Inc.</w:t>
      </w:r>
    </w:p>
    <w:p>
      <w:pPr>
        <w:spacing w:after="0" w:line="117" w:lineRule="exact"/>
        <w:rPr>
          <w:sz w:val="20"/>
          <w:szCs w:val="20"/>
          <w:color w:val="auto"/>
        </w:rPr>
      </w:pPr>
    </w:p>
    <w:p>
      <w:pPr>
        <w:ind w:left="520"/>
        <w:spacing w:after="0"/>
        <w:rPr>
          <w:sz w:val="20"/>
          <w:szCs w:val="20"/>
          <w:color w:val="auto"/>
        </w:rPr>
      </w:pPr>
      <w:r>
        <w:rPr>
          <w:rFonts w:ascii="Arial" w:cs="Arial" w:eastAsia="Arial" w:hAnsi="Arial"/>
          <w:sz w:val="18"/>
          <w:szCs w:val="18"/>
          <w:color w:val="auto"/>
        </w:rPr>
        <w:t>TCI Cablevision of Massachusetts, Inc.</w:t>
      </w:r>
    </w:p>
    <w:p>
      <w:pPr>
        <w:spacing w:after="0" w:line="117" w:lineRule="exact"/>
        <w:rPr>
          <w:sz w:val="20"/>
          <w:szCs w:val="20"/>
          <w:color w:val="auto"/>
        </w:rPr>
      </w:pPr>
    </w:p>
    <w:p>
      <w:pPr>
        <w:ind w:left="520"/>
        <w:spacing w:after="0"/>
        <w:rPr>
          <w:sz w:val="20"/>
          <w:szCs w:val="20"/>
          <w:color w:val="auto"/>
        </w:rPr>
      </w:pPr>
      <w:r>
        <w:rPr>
          <w:rFonts w:ascii="Arial" w:cs="Arial" w:eastAsia="Arial" w:hAnsi="Arial"/>
          <w:sz w:val="18"/>
          <w:szCs w:val="18"/>
          <w:color w:val="auto"/>
        </w:rPr>
        <w:t>TCI Cablevision of Michigan, Inc.</w:t>
      </w:r>
    </w:p>
    <w:p>
      <w:pPr>
        <w:spacing w:after="0" w:line="117" w:lineRule="exact"/>
        <w:rPr>
          <w:sz w:val="20"/>
          <w:szCs w:val="20"/>
          <w:color w:val="auto"/>
        </w:rPr>
      </w:pPr>
    </w:p>
    <w:p>
      <w:pPr>
        <w:ind w:left="520"/>
        <w:spacing w:after="0"/>
        <w:rPr>
          <w:sz w:val="20"/>
          <w:szCs w:val="20"/>
          <w:color w:val="auto"/>
        </w:rPr>
      </w:pPr>
      <w:r>
        <w:rPr>
          <w:rFonts w:ascii="Arial" w:cs="Arial" w:eastAsia="Arial" w:hAnsi="Arial"/>
          <w:sz w:val="18"/>
          <w:szCs w:val="18"/>
          <w:color w:val="auto"/>
        </w:rPr>
        <w:t>TCI Cablevision of Minnesota, Inc.</w:t>
      </w:r>
    </w:p>
    <w:p>
      <w:pPr>
        <w:spacing w:after="0" w:line="117" w:lineRule="exact"/>
        <w:rPr>
          <w:sz w:val="20"/>
          <w:szCs w:val="20"/>
          <w:color w:val="auto"/>
        </w:rPr>
      </w:pPr>
    </w:p>
    <w:p>
      <w:pPr>
        <w:ind w:left="520"/>
        <w:spacing w:after="0"/>
        <w:rPr>
          <w:sz w:val="20"/>
          <w:szCs w:val="20"/>
          <w:color w:val="auto"/>
        </w:rPr>
      </w:pPr>
      <w:r>
        <w:rPr>
          <w:rFonts w:ascii="Arial" w:cs="Arial" w:eastAsia="Arial" w:hAnsi="Arial"/>
          <w:sz w:val="18"/>
          <w:szCs w:val="18"/>
          <w:color w:val="auto"/>
        </w:rPr>
        <w:t>TCI Cablevision of Nebraska, Inc.</w:t>
      </w:r>
    </w:p>
    <w:p>
      <w:pPr>
        <w:spacing w:after="0" w:line="117" w:lineRule="exact"/>
        <w:rPr>
          <w:sz w:val="20"/>
          <w:szCs w:val="20"/>
          <w:color w:val="auto"/>
        </w:rPr>
      </w:pPr>
    </w:p>
    <w:p>
      <w:pPr>
        <w:ind w:left="520"/>
        <w:spacing w:after="0"/>
        <w:rPr>
          <w:sz w:val="20"/>
          <w:szCs w:val="20"/>
          <w:color w:val="auto"/>
        </w:rPr>
      </w:pPr>
      <w:r>
        <w:rPr>
          <w:rFonts w:ascii="Arial" w:cs="Arial" w:eastAsia="Arial" w:hAnsi="Arial"/>
          <w:sz w:val="18"/>
          <w:szCs w:val="18"/>
          <w:color w:val="auto"/>
        </w:rPr>
        <w:t>TCI Cablevision of North Central Kentucky, Inc.</w:t>
      </w:r>
    </w:p>
    <w:p>
      <w:pPr>
        <w:spacing w:after="0" w:line="117" w:lineRule="exact"/>
        <w:rPr>
          <w:sz w:val="20"/>
          <w:szCs w:val="20"/>
          <w:color w:val="auto"/>
        </w:rPr>
      </w:pPr>
    </w:p>
    <w:p>
      <w:pPr>
        <w:ind w:left="520"/>
        <w:spacing w:after="0"/>
        <w:rPr>
          <w:sz w:val="20"/>
          <w:szCs w:val="20"/>
          <w:color w:val="auto"/>
        </w:rPr>
      </w:pPr>
      <w:r>
        <w:rPr>
          <w:rFonts w:ascii="Arial" w:cs="Arial" w:eastAsia="Arial" w:hAnsi="Arial"/>
          <w:sz w:val="18"/>
          <w:szCs w:val="18"/>
          <w:color w:val="auto"/>
        </w:rPr>
        <w:t>TCI Cablevision of Sierra Vista, Inc.</w:t>
      </w:r>
    </w:p>
    <w:p>
      <w:pPr>
        <w:spacing w:after="0" w:line="117" w:lineRule="exact"/>
        <w:rPr>
          <w:sz w:val="20"/>
          <w:szCs w:val="20"/>
          <w:color w:val="auto"/>
        </w:rPr>
      </w:pPr>
    </w:p>
    <w:p>
      <w:pPr>
        <w:ind w:left="520"/>
        <w:spacing w:after="0"/>
        <w:rPr>
          <w:sz w:val="20"/>
          <w:szCs w:val="20"/>
          <w:color w:val="auto"/>
        </w:rPr>
      </w:pPr>
      <w:r>
        <w:rPr>
          <w:rFonts w:ascii="Arial" w:cs="Arial" w:eastAsia="Arial" w:hAnsi="Arial"/>
          <w:sz w:val="18"/>
          <w:szCs w:val="18"/>
          <w:color w:val="auto"/>
        </w:rPr>
        <w:t>TCI Cablevision of South Dakota, Inc.</w:t>
      </w:r>
    </w:p>
    <w:p>
      <w:pPr>
        <w:spacing w:after="0" w:line="117" w:lineRule="exact"/>
        <w:rPr>
          <w:sz w:val="20"/>
          <w:szCs w:val="20"/>
          <w:color w:val="auto"/>
        </w:rPr>
      </w:pPr>
    </w:p>
    <w:p>
      <w:pPr>
        <w:ind w:left="520"/>
        <w:spacing w:after="0"/>
        <w:rPr>
          <w:sz w:val="20"/>
          <w:szCs w:val="20"/>
          <w:color w:val="auto"/>
        </w:rPr>
      </w:pPr>
      <w:r>
        <w:rPr>
          <w:rFonts w:ascii="Arial" w:cs="Arial" w:eastAsia="Arial" w:hAnsi="Arial"/>
          <w:sz w:val="18"/>
          <w:szCs w:val="18"/>
          <w:color w:val="auto"/>
        </w:rPr>
        <w:t>TCI Cablevision of St. Bernard, Inc.</w:t>
      </w:r>
    </w:p>
    <w:p>
      <w:pPr>
        <w:spacing w:after="0" w:line="117" w:lineRule="exact"/>
        <w:rPr>
          <w:sz w:val="20"/>
          <w:szCs w:val="20"/>
          <w:color w:val="auto"/>
        </w:rPr>
      </w:pPr>
    </w:p>
    <w:p>
      <w:pPr>
        <w:ind w:left="520"/>
        <w:spacing w:after="0"/>
        <w:rPr>
          <w:sz w:val="20"/>
          <w:szCs w:val="20"/>
          <w:color w:val="auto"/>
        </w:rPr>
      </w:pPr>
      <w:r>
        <w:rPr>
          <w:rFonts w:ascii="Arial" w:cs="Arial" w:eastAsia="Arial" w:hAnsi="Arial"/>
          <w:sz w:val="18"/>
          <w:szCs w:val="18"/>
          <w:color w:val="auto"/>
        </w:rPr>
        <w:t>TCI Cablevision of Vermont, Inc.</w:t>
      </w:r>
    </w:p>
    <w:p>
      <w:pPr>
        <w:spacing w:after="0" w:line="117" w:lineRule="exact"/>
        <w:rPr>
          <w:sz w:val="20"/>
          <w:szCs w:val="20"/>
          <w:color w:val="auto"/>
        </w:rPr>
      </w:pPr>
    </w:p>
    <w:p>
      <w:pPr>
        <w:ind w:left="520"/>
        <w:spacing w:after="0"/>
        <w:rPr>
          <w:sz w:val="20"/>
          <w:szCs w:val="20"/>
          <w:color w:val="auto"/>
        </w:rPr>
      </w:pPr>
      <w:r>
        <w:rPr>
          <w:rFonts w:ascii="Arial" w:cs="Arial" w:eastAsia="Arial" w:hAnsi="Arial"/>
          <w:sz w:val="18"/>
          <w:szCs w:val="18"/>
          <w:color w:val="auto"/>
        </w:rPr>
        <w:t>TCI California Holdings, LLC</w:t>
      </w:r>
    </w:p>
    <w:p>
      <w:pPr>
        <w:spacing w:after="0" w:line="117" w:lineRule="exact"/>
        <w:rPr>
          <w:sz w:val="20"/>
          <w:szCs w:val="20"/>
          <w:color w:val="auto"/>
        </w:rPr>
      </w:pPr>
    </w:p>
    <w:p>
      <w:pPr>
        <w:ind w:left="520"/>
        <w:spacing w:after="0"/>
        <w:rPr>
          <w:sz w:val="20"/>
          <w:szCs w:val="20"/>
          <w:color w:val="auto"/>
        </w:rPr>
      </w:pPr>
      <w:r>
        <w:rPr>
          <w:rFonts w:ascii="Arial" w:cs="Arial" w:eastAsia="Arial" w:hAnsi="Arial"/>
          <w:sz w:val="18"/>
          <w:szCs w:val="18"/>
          <w:color w:val="auto"/>
        </w:rPr>
        <w:t>TCI Capital Corp.</w:t>
      </w:r>
    </w:p>
    <w:p>
      <w:pPr>
        <w:spacing w:after="0" w:line="117" w:lineRule="exact"/>
        <w:rPr>
          <w:sz w:val="20"/>
          <w:szCs w:val="20"/>
          <w:color w:val="auto"/>
        </w:rPr>
      </w:pPr>
    </w:p>
    <w:p>
      <w:pPr>
        <w:ind w:left="520"/>
        <w:spacing w:after="0"/>
        <w:rPr>
          <w:sz w:val="20"/>
          <w:szCs w:val="20"/>
          <w:color w:val="auto"/>
        </w:rPr>
      </w:pPr>
      <w:r>
        <w:rPr>
          <w:rFonts w:ascii="Arial" w:cs="Arial" w:eastAsia="Arial" w:hAnsi="Arial"/>
          <w:sz w:val="18"/>
          <w:szCs w:val="18"/>
          <w:color w:val="auto"/>
        </w:rPr>
        <w:t>TCI Central, LLC</w:t>
      </w:r>
    </w:p>
    <w:p>
      <w:pPr>
        <w:spacing w:after="0" w:line="117" w:lineRule="exact"/>
        <w:rPr>
          <w:sz w:val="20"/>
          <w:szCs w:val="20"/>
          <w:color w:val="auto"/>
        </w:rPr>
      </w:pPr>
    </w:p>
    <w:p>
      <w:pPr>
        <w:ind w:left="520"/>
        <w:spacing w:after="0"/>
        <w:rPr>
          <w:sz w:val="20"/>
          <w:szCs w:val="20"/>
          <w:color w:val="auto"/>
        </w:rPr>
      </w:pPr>
      <w:r>
        <w:rPr>
          <w:rFonts w:ascii="Arial" w:cs="Arial" w:eastAsia="Arial" w:hAnsi="Arial"/>
          <w:sz w:val="18"/>
          <w:szCs w:val="18"/>
          <w:color w:val="auto"/>
        </w:rPr>
        <w:t>TCI Command II, LLC</w:t>
      </w:r>
    </w:p>
    <w:p>
      <w:pPr>
        <w:spacing w:after="0" w:line="117" w:lineRule="exact"/>
        <w:rPr>
          <w:sz w:val="20"/>
          <w:szCs w:val="20"/>
          <w:color w:val="auto"/>
        </w:rPr>
      </w:pPr>
    </w:p>
    <w:p>
      <w:pPr>
        <w:ind w:left="520"/>
        <w:spacing w:after="0"/>
        <w:rPr>
          <w:sz w:val="20"/>
          <w:szCs w:val="20"/>
          <w:color w:val="auto"/>
        </w:rPr>
      </w:pPr>
      <w:r>
        <w:rPr>
          <w:rFonts w:ascii="Arial" w:cs="Arial" w:eastAsia="Arial" w:hAnsi="Arial"/>
          <w:sz w:val="18"/>
          <w:szCs w:val="18"/>
          <w:color w:val="auto"/>
        </w:rPr>
        <w:t>TCI Command, Inc.</w:t>
      </w:r>
    </w:p>
    <w:p>
      <w:pPr>
        <w:spacing w:after="0" w:line="117" w:lineRule="exact"/>
        <w:rPr>
          <w:sz w:val="20"/>
          <w:szCs w:val="20"/>
          <w:color w:val="auto"/>
        </w:rPr>
      </w:pPr>
    </w:p>
    <w:p>
      <w:pPr>
        <w:ind w:left="520"/>
        <w:spacing w:after="0"/>
        <w:rPr>
          <w:sz w:val="20"/>
          <w:szCs w:val="20"/>
          <w:color w:val="auto"/>
        </w:rPr>
      </w:pPr>
      <w:r>
        <w:rPr>
          <w:rFonts w:ascii="Arial" w:cs="Arial" w:eastAsia="Arial" w:hAnsi="Arial"/>
          <w:sz w:val="18"/>
          <w:szCs w:val="18"/>
          <w:color w:val="auto"/>
        </w:rPr>
        <w:t>TCI Communications Financing I</w:t>
      </w:r>
    </w:p>
    <w:p>
      <w:pPr>
        <w:spacing w:after="0" w:line="117" w:lineRule="exact"/>
        <w:rPr>
          <w:sz w:val="20"/>
          <w:szCs w:val="20"/>
          <w:color w:val="auto"/>
        </w:rPr>
      </w:pPr>
    </w:p>
    <w:p>
      <w:pPr>
        <w:ind w:left="520"/>
        <w:spacing w:after="0"/>
        <w:rPr>
          <w:sz w:val="20"/>
          <w:szCs w:val="20"/>
          <w:color w:val="auto"/>
        </w:rPr>
      </w:pPr>
      <w:r>
        <w:rPr>
          <w:rFonts w:ascii="Arial" w:cs="Arial" w:eastAsia="Arial" w:hAnsi="Arial"/>
          <w:sz w:val="18"/>
          <w:szCs w:val="18"/>
          <w:color w:val="auto"/>
        </w:rPr>
        <w:t>TCI Communications Financing II</w:t>
      </w:r>
    </w:p>
    <w:p>
      <w:pPr>
        <w:spacing w:after="0" w:line="117" w:lineRule="exact"/>
        <w:rPr>
          <w:sz w:val="20"/>
          <w:szCs w:val="20"/>
          <w:color w:val="auto"/>
        </w:rPr>
      </w:pPr>
    </w:p>
    <w:p>
      <w:pPr>
        <w:ind w:left="520"/>
        <w:spacing w:after="0"/>
        <w:rPr>
          <w:sz w:val="20"/>
          <w:szCs w:val="20"/>
          <w:color w:val="auto"/>
        </w:rPr>
      </w:pPr>
      <w:r>
        <w:rPr>
          <w:rFonts w:ascii="Arial" w:cs="Arial" w:eastAsia="Arial" w:hAnsi="Arial"/>
          <w:sz w:val="18"/>
          <w:szCs w:val="18"/>
          <w:color w:val="auto"/>
        </w:rPr>
        <w:t>TCI Communications Financing III</w:t>
      </w:r>
    </w:p>
    <w:p>
      <w:pPr>
        <w:spacing w:after="0" w:line="117" w:lineRule="exact"/>
        <w:rPr>
          <w:sz w:val="20"/>
          <w:szCs w:val="20"/>
          <w:color w:val="auto"/>
        </w:rPr>
      </w:pPr>
    </w:p>
    <w:p>
      <w:pPr>
        <w:ind w:left="520"/>
        <w:spacing w:after="0"/>
        <w:rPr>
          <w:sz w:val="20"/>
          <w:szCs w:val="20"/>
          <w:color w:val="auto"/>
        </w:rPr>
      </w:pPr>
      <w:r>
        <w:rPr>
          <w:rFonts w:ascii="Arial" w:cs="Arial" w:eastAsia="Arial" w:hAnsi="Arial"/>
          <w:sz w:val="18"/>
          <w:szCs w:val="18"/>
          <w:color w:val="auto"/>
        </w:rPr>
        <w:t>TCI Communications Financing IV</w:t>
      </w:r>
    </w:p>
    <w:p>
      <w:pPr>
        <w:spacing w:after="0" w:line="117" w:lineRule="exact"/>
        <w:rPr>
          <w:sz w:val="20"/>
          <w:szCs w:val="20"/>
          <w:color w:val="auto"/>
        </w:rPr>
      </w:pPr>
    </w:p>
    <w:p>
      <w:pPr>
        <w:ind w:left="520"/>
        <w:spacing w:after="0"/>
        <w:rPr>
          <w:sz w:val="20"/>
          <w:szCs w:val="20"/>
          <w:color w:val="auto"/>
        </w:rPr>
      </w:pPr>
      <w:r>
        <w:rPr>
          <w:rFonts w:ascii="Arial" w:cs="Arial" w:eastAsia="Arial" w:hAnsi="Arial"/>
          <w:sz w:val="18"/>
          <w:szCs w:val="18"/>
          <w:color w:val="auto"/>
        </w:rPr>
        <w:t>TCI CSC II, Inc.</w:t>
      </w:r>
    </w:p>
    <w:p>
      <w:pPr>
        <w:spacing w:after="0" w:line="117" w:lineRule="exact"/>
        <w:rPr>
          <w:sz w:val="20"/>
          <w:szCs w:val="20"/>
          <w:color w:val="auto"/>
        </w:rPr>
      </w:pPr>
    </w:p>
    <w:p>
      <w:pPr>
        <w:ind w:left="520"/>
        <w:spacing w:after="0"/>
        <w:rPr>
          <w:sz w:val="20"/>
          <w:szCs w:val="20"/>
          <w:color w:val="auto"/>
        </w:rPr>
      </w:pPr>
      <w:r>
        <w:rPr>
          <w:rFonts w:ascii="Arial" w:cs="Arial" w:eastAsia="Arial" w:hAnsi="Arial"/>
          <w:sz w:val="18"/>
          <w:szCs w:val="18"/>
          <w:color w:val="auto"/>
        </w:rPr>
        <w:t>TCI CSC III, Inc.</w:t>
      </w:r>
    </w:p>
    <w:p>
      <w:pPr>
        <w:spacing w:after="0" w:line="117" w:lineRule="exact"/>
        <w:rPr>
          <w:sz w:val="20"/>
          <w:szCs w:val="20"/>
          <w:color w:val="auto"/>
        </w:rPr>
      </w:pPr>
    </w:p>
    <w:p>
      <w:pPr>
        <w:ind w:left="520"/>
        <w:spacing w:after="0"/>
        <w:rPr>
          <w:sz w:val="20"/>
          <w:szCs w:val="20"/>
          <w:color w:val="auto"/>
        </w:rPr>
      </w:pPr>
      <w:r>
        <w:rPr>
          <w:rFonts w:ascii="Arial" w:cs="Arial" w:eastAsia="Arial" w:hAnsi="Arial"/>
          <w:sz w:val="18"/>
          <w:szCs w:val="18"/>
          <w:color w:val="auto"/>
        </w:rPr>
        <w:t>TCI CSC IV, Inc.</w:t>
      </w:r>
    </w:p>
    <w:p>
      <w:pPr>
        <w:spacing w:after="0" w:line="117" w:lineRule="exact"/>
        <w:rPr>
          <w:sz w:val="20"/>
          <w:szCs w:val="20"/>
          <w:color w:val="auto"/>
        </w:rPr>
      </w:pPr>
    </w:p>
    <w:p>
      <w:pPr>
        <w:ind w:left="520"/>
        <w:spacing w:after="0"/>
        <w:rPr>
          <w:sz w:val="20"/>
          <w:szCs w:val="20"/>
          <w:color w:val="auto"/>
        </w:rPr>
      </w:pPr>
      <w:r>
        <w:rPr>
          <w:rFonts w:ascii="Arial" w:cs="Arial" w:eastAsia="Arial" w:hAnsi="Arial"/>
          <w:sz w:val="18"/>
          <w:szCs w:val="18"/>
          <w:color w:val="auto"/>
        </w:rPr>
        <w:t>TCI CSC IX, Inc.</w:t>
      </w:r>
    </w:p>
    <w:p>
      <w:pPr>
        <w:spacing w:after="0" w:line="117" w:lineRule="exact"/>
        <w:rPr>
          <w:sz w:val="20"/>
          <w:szCs w:val="20"/>
          <w:color w:val="auto"/>
        </w:rPr>
      </w:pPr>
    </w:p>
    <w:p>
      <w:pPr>
        <w:ind w:left="520"/>
        <w:spacing w:after="0"/>
        <w:rPr>
          <w:sz w:val="20"/>
          <w:szCs w:val="20"/>
          <w:color w:val="auto"/>
        </w:rPr>
      </w:pPr>
      <w:r>
        <w:rPr>
          <w:rFonts w:ascii="Arial" w:cs="Arial" w:eastAsia="Arial" w:hAnsi="Arial"/>
          <w:sz w:val="18"/>
          <w:szCs w:val="18"/>
          <w:color w:val="auto"/>
        </w:rPr>
        <w:t>TCI CSC V, Inc.</w:t>
      </w:r>
    </w:p>
    <w:p>
      <w:pPr>
        <w:spacing w:after="0" w:line="117" w:lineRule="exact"/>
        <w:rPr>
          <w:sz w:val="20"/>
          <w:szCs w:val="20"/>
          <w:color w:val="auto"/>
        </w:rPr>
      </w:pPr>
    </w:p>
    <w:p>
      <w:pPr>
        <w:ind w:left="520"/>
        <w:spacing w:after="0"/>
        <w:rPr>
          <w:sz w:val="20"/>
          <w:szCs w:val="20"/>
          <w:color w:val="auto"/>
        </w:rPr>
      </w:pPr>
      <w:r>
        <w:rPr>
          <w:rFonts w:ascii="Arial" w:cs="Arial" w:eastAsia="Arial" w:hAnsi="Arial"/>
          <w:sz w:val="18"/>
          <w:szCs w:val="18"/>
          <w:color w:val="auto"/>
        </w:rPr>
        <w:t>TCI CSC VI, Inc.</w:t>
      </w:r>
    </w:p>
    <w:p>
      <w:pPr>
        <w:spacing w:after="0" w:line="117" w:lineRule="exact"/>
        <w:rPr>
          <w:sz w:val="20"/>
          <w:szCs w:val="20"/>
          <w:color w:val="auto"/>
        </w:rPr>
      </w:pPr>
    </w:p>
    <w:p>
      <w:pPr>
        <w:ind w:left="520"/>
        <w:spacing w:after="0"/>
        <w:rPr>
          <w:sz w:val="20"/>
          <w:szCs w:val="20"/>
          <w:color w:val="auto"/>
        </w:rPr>
      </w:pPr>
      <w:r>
        <w:rPr>
          <w:rFonts w:ascii="Arial" w:cs="Arial" w:eastAsia="Arial" w:hAnsi="Arial"/>
          <w:sz w:val="18"/>
          <w:szCs w:val="18"/>
          <w:color w:val="auto"/>
        </w:rPr>
        <w:t>TCI CSC VII, Inc.</w:t>
      </w:r>
    </w:p>
    <w:p>
      <w:pPr>
        <w:spacing w:after="0" w:line="117" w:lineRule="exact"/>
        <w:rPr>
          <w:sz w:val="20"/>
          <w:szCs w:val="20"/>
          <w:color w:val="auto"/>
        </w:rPr>
      </w:pPr>
    </w:p>
    <w:p>
      <w:pPr>
        <w:ind w:left="520"/>
        <w:spacing w:after="0"/>
        <w:rPr>
          <w:sz w:val="20"/>
          <w:szCs w:val="20"/>
          <w:color w:val="auto"/>
        </w:rPr>
      </w:pPr>
      <w:r>
        <w:rPr>
          <w:rFonts w:ascii="Arial" w:cs="Arial" w:eastAsia="Arial" w:hAnsi="Arial"/>
          <w:sz w:val="18"/>
          <w:szCs w:val="18"/>
          <w:color w:val="auto"/>
        </w:rPr>
        <w:t>TCI CSC VIII, Inc.</w:t>
      </w:r>
    </w:p>
    <w:p>
      <w:pPr>
        <w:spacing w:after="0" w:line="117" w:lineRule="exact"/>
        <w:rPr>
          <w:sz w:val="20"/>
          <w:szCs w:val="20"/>
          <w:color w:val="auto"/>
        </w:rPr>
      </w:pPr>
    </w:p>
    <w:p>
      <w:pPr>
        <w:ind w:left="520"/>
        <w:spacing w:after="0"/>
        <w:rPr>
          <w:sz w:val="20"/>
          <w:szCs w:val="20"/>
          <w:color w:val="auto"/>
        </w:rPr>
      </w:pPr>
      <w:r>
        <w:rPr>
          <w:rFonts w:ascii="Arial" w:cs="Arial" w:eastAsia="Arial" w:hAnsi="Arial"/>
          <w:sz w:val="18"/>
          <w:szCs w:val="18"/>
          <w:color w:val="auto"/>
        </w:rPr>
        <w:t>TCI CSC X, Inc.</w:t>
      </w:r>
    </w:p>
    <w:p>
      <w:pPr>
        <w:spacing w:after="0" w:line="117" w:lineRule="exact"/>
        <w:rPr>
          <w:sz w:val="20"/>
          <w:szCs w:val="20"/>
          <w:color w:val="auto"/>
        </w:rPr>
      </w:pPr>
    </w:p>
    <w:p>
      <w:pPr>
        <w:ind w:left="520"/>
        <w:spacing w:after="0"/>
        <w:rPr>
          <w:sz w:val="20"/>
          <w:szCs w:val="20"/>
          <w:color w:val="auto"/>
        </w:rPr>
      </w:pPr>
      <w:r>
        <w:rPr>
          <w:rFonts w:ascii="Arial" w:cs="Arial" w:eastAsia="Arial" w:hAnsi="Arial"/>
          <w:sz w:val="18"/>
          <w:szCs w:val="18"/>
          <w:color w:val="auto"/>
        </w:rPr>
        <w:t>TCI CSC XI, Inc.</w:t>
      </w:r>
    </w:p>
    <w:p>
      <w:pPr>
        <w:spacing w:after="0" w:line="117" w:lineRule="exact"/>
        <w:rPr>
          <w:sz w:val="20"/>
          <w:szCs w:val="20"/>
          <w:color w:val="auto"/>
        </w:rPr>
      </w:pPr>
    </w:p>
    <w:p>
      <w:pPr>
        <w:ind w:left="520"/>
        <w:spacing w:after="0"/>
        <w:rPr>
          <w:sz w:val="20"/>
          <w:szCs w:val="20"/>
          <w:color w:val="auto"/>
        </w:rPr>
      </w:pPr>
      <w:r>
        <w:rPr>
          <w:rFonts w:ascii="Arial" w:cs="Arial" w:eastAsia="Arial" w:hAnsi="Arial"/>
          <w:sz w:val="18"/>
          <w:szCs w:val="18"/>
          <w:color w:val="auto"/>
        </w:rPr>
        <w:t>TCI Development, LLC</w:t>
      </w:r>
    </w:p>
    <w:p>
      <w:pPr>
        <w:spacing w:after="0" w:line="117" w:lineRule="exact"/>
        <w:rPr>
          <w:sz w:val="20"/>
          <w:szCs w:val="20"/>
          <w:color w:val="auto"/>
        </w:rPr>
      </w:pPr>
    </w:p>
    <w:p>
      <w:pPr>
        <w:ind w:left="520"/>
        <w:spacing w:after="0"/>
        <w:rPr>
          <w:sz w:val="20"/>
          <w:szCs w:val="20"/>
          <w:color w:val="auto"/>
        </w:rPr>
      </w:pPr>
      <w:r>
        <w:rPr>
          <w:rFonts w:ascii="Arial" w:cs="Arial" w:eastAsia="Arial" w:hAnsi="Arial"/>
          <w:sz w:val="18"/>
          <w:szCs w:val="18"/>
          <w:color w:val="auto"/>
        </w:rPr>
        <w:t>TCI Evangola, Inc.</w:t>
      </w:r>
    </w:p>
    <w:p>
      <w:pPr>
        <w:spacing w:after="0" w:line="117" w:lineRule="exact"/>
        <w:rPr>
          <w:sz w:val="20"/>
          <w:szCs w:val="20"/>
          <w:color w:val="auto"/>
        </w:rPr>
      </w:pPr>
    </w:p>
    <w:p>
      <w:pPr>
        <w:ind w:left="520"/>
        <w:spacing w:after="0"/>
        <w:rPr>
          <w:sz w:val="20"/>
          <w:szCs w:val="20"/>
          <w:color w:val="auto"/>
        </w:rPr>
      </w:pPr>
      <w:r>
        <w:rPr>
          <w:rFonts w:ascii="Arial" w:cs="Arial" w:eastAsia="Arial" w:hAnsi="Arial"/>
          <w:sz w:val="18"/>
          <w:szCs w:val="18"/>
          <w:color w:val="auto"/>
        </w:rPr>
        <w:t>TCI Falcon Holdings, LLC</w:t>
      </w:r>
    </w:p>
    <w:p>
      <w:pPr>
        <w:spacing w:after="0" w:line="117" w:lineRule="exact"/>
        <w:rPr>
          <w:sz w:val="20"/>
          <w:szCs w:val="20"/>
          <w:color w:val="auto"/>
        </w:rPr>
      </w:pPr>
    </w:p>
    <w:p>
      <w:pPr>
        <w:ind w:left="520"/>
        <w:spacing w:after="0"/>
        <w:rPr>
          <w:sz w:val="20"/>
          <w:szCs w:val="20"/>
          <w:color w:val="auto"/>
        </w:rPr>
      </w:pPr>
      <w:r>
        <w:rPr>
          <w:rFonts w:ascii="Arial" w:cs="Arial" w:eastAsia="Arial" w:hAnsi="Arial"/>
          <w:sz w:val="18"/>
          <w:szCs w:val="18"/>
          <w:color w:val="auto"/>
        </w:rPr>
        <w:t>TCI FCLP Alabama, LLC</w:t>
      </w:r>
    </w:p>
    <w:p>
      <w:pPr>
        <w:spacing w:after="0" w:line="117" w:lineRule="exact"/>
        <w:rPr>
          <w:sz w:val="20"/>
          <w:szCs w:val="20"/>
          <w:color w:val="auto"/>
        </w:rPr>
      </w:pPr>
    </w:p>
    <w:p>
      <w:pPr>
        <w:ind w:left="520"/>
        <w:spacing w:after="0"/>
        <w:rPr>
          <w:sz w:val="20"/>
          <w:szCs w:val="20"/>
          <w:color w:val="auto"/>
        </w:rPr>
      </w:pPr>
      <w:r>
        <w:rPr>
          <w:rFonts w:ascii="Arial" w:cs="Arial" w:eastAsia="Arial" w:hAnsi="Arial"/>
          <w:sz w:val="18"/>
          <w:szCs w:val="18"/>
          <w:color w:val="auto"/>
        </w:rPr>
        <w:t>TCI FCLP California, LLC</w:t>
      </w:r>
    </w:p>
    <w:p>
      <w:pPr>
        <w:spacing w:after="0" w:line="117" w:lineRule="exact"/>
        <w:rPr>
          <w:sz w:val="20"/>
          <w:szCs w:val="20"/>
          <w:color w:val="auto"/>
        </w:rPr>
      </w:pPr>
    </w:p>
    <w:p>
      <w:pPr>
        <w:ind w:left="520"/>
        <w:spacing w:after="0"/>
        <w:rPr>
          <w:sz w:val="20"/>
          <w:szCs w:val="20"/>
          <w:color w:val="auto"/>
        </w:rPr>
      </w:pPr>
      <w:r>
        <w:rPr>
          <w:rFonts w:ascii="Arial" w:cs="Arial" w:eastAsia="Arial" w:hAnsi="Arial"/>
          <w:sz w:val="18"/>
          <w:szCs w:val="18"/>
          <w:color w:val="auto"/>
        </w:rPr>
        <w:t>TCI FCLP Missouri, LLC</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Arial" w:cs="Arial" w:eastAsia="Arial" w:hAnsi="Arial"/>
          <w:sz w:val="18"/>
          <w:szCs w:val="18"/>
          <w:color w:val="auto"/>
        </w:rPr>
        <w:t>DE</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color w:val="auto"/>
        </w:rPr>
        <w:t>PA</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color w:val="auto"/>
        </w:rPr>
        <w:t>FL</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color w:val="auto"/>
        </w:rPr>
        <w:t>DE</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color w:val="auto"/>
        </w:rPr>
        <w:t>DE</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color w:val="auto"/>
        </w:rPr>
        <w:t>DE</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color w:val="auto"/>
        </w:rPr>
        <w:t>PA</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color w:val="auto"/>
        </w:rPr>
        <w:t>DE</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color w:val="auto"/>
        </w:rPr>
        <w:t>CO</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color w:val="auto"/>
        </w:rPr>
        <w:t>DE</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color w:val="auto"/>
        </w:rPr>
        <w:t>CO</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color w:val="auto"/>
        </w:rPr>
        <w:t>DE</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color w:val="auto"/>
        </w:rPr>
        <w:t>DE</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color w:val="auto"/>
        </w:rPr>
        <w:t>DE</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color w:val="auto"/>
        </w:rPr>
        <w:t>CO</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color w:val="auto"/>
        </w:rPr>
        <w:t>DE</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color w:val="auto"/>
        </w:rPr>
        <w:t>MA</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color w:val="auto"/>
        </w:rPr>
        <w:t>MI</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color w:val="auto"/>
        </w:rPr>
        <w:t>MN</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color w:val="auto"/>
        </w:rPr>
        <w:t>NE</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color w:val="auto"/>
        </w:rPr>
        <w:t>DE</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color w:val="auto"/>
        </w:rPr>
        <w:t>CO</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color w:val="auto"/>
        </w:rPr>
        <w:t>SD</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color w:val="auto"/>
        </w:rPr>
        <w:t>DE</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color w:val="auto"/>
        </w:rPr>
        <w:t>DE</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color w:val="auto"/>
        </w:rPr>
        <w:t>CO</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color w:val="auto"/>
        </w:rPr>
        <w:t>WY</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color w:val="auto"/>
        </w:rPr>
        <w:t>DE</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color w:val="auto"/>
        </w:rPr>
        <w:t>CO</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color w:val="auto"/>
        </w:rPr>
        <w:t>CO</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color w:val="auto"/>
        </w:rPr>
        <w:t>DE</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color w:val="auto"/>
        </w:rPr>
        <w:t>DE</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color w:val="auto"/>
        </w:rPr>
        <w:t>DE</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color w:val="auto"/>
        </w:rPr>
        <w:t>DE</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color w:val="auto"/>
        </w:rPr>
        <w:t>NY</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color w:val="auto"/>
        </w:rPr>
        <w:t>CO</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color w:val="auto"/>
        </w:rPr>
        <w:t>CO</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color w:val="auto"/>
        </w:rPr>
        <w:t>CO</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color w:val="auto"/>
        </w:rPr>
        <w:t>CO</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color w:val="auto"/>
        </w:rPr>
        <w:t>CO</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color w:val="auto"/>
        </w:rPr>
        <w:t>CO</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color w:val="auto"/>
        </w:rPr>
        <w:t>CO</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color w:val="auto"/>
        </w:rPr>
        <w:t>CO</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color w:val="auto"/>
        </w:rPr>
        <w:t>CO</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color w:val="auto"/>
        </w:rPr>
        <w:t>DE</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color w:val="auto"/>
        </w:rPr>
        <w:t>WY</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color w:val="auto"/>
        </w:rPr>
        <w:t>DE</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color w:val="auto"/>
        </w:rPr>
        <w:t>DE</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color w:val="auto"/>
        </w:rPr>
        <w:t>DE</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color w:val="auto"/>
        </w:rPr>
        <w:t>DE</w:t>
      </w:r>
    </w:p>
    <w:p>
      <w:pPr>
        <w:sectPr>
          <w:pgSz w:w="11900" w:h="16838" w:orient="portrait"/>
          <w:cols w:equalWidth="0" w:num="2">
            <w:col w:w="7480" w:space="720"/>
            <w:col w:w="819"/>
          </w:cols>
          <w:pgMar w:left="1440" w:top="388" w:right="1440" w:bottom="0" w:gutter="0" w:footer="0" w:header="0"/>
        </w:sectPr>
      </w:pPr>
    </w:p>
    <w:bookmarkStart w:id="192" w:name="page193"/>
    <w:bookmarkEnd w:id="192"/>
    <w:p>
      <w:pPr>
        <w:ind w:left="520"/>
        <w:spacing w:after="0"/>
        <w:rPr>
          <w:sz w:val="20"/>
          <w:szCs w:val="20"/>
          <w:color w:val="auto"/>
        </w:rPr>
      </w:pPr>
      <w:r>
        <w:rPr>
          <w:rFonts w:ascii="Arial" w:cs="Arial" w:eastAsia="Arial" w:hAnsi="Arial"/>
          <w:sz w:val="16"/>
          <w:szCs w:val="16"/>
          <w:color w:val="auto"/>
        </w:rPr>
        <w:t>TCI FCLP Northern California, LLC</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Arial" w:cs="Arial" w:eastAsia="Arial" w:hAnsi="Arial"/>
          <w:sz w:val="16"/>
          <w:szCs w:val="16"/>
          <w:color w:val="auto"/>
        </w:rPr>
        <w:t>DE</w:t>
      </w:r>
    </w:p>
    <w:p>
      <w:pPr>
        <w:spacing w:after="0" w:line="140" w:lineRule="exact"/>
        <w:rPr>
          <w:sz w:val="20"/>
          <w:szCs w:val="20"/>
          <w:color w:val="auto"/>
        </w:rPr>
      </w:pPr>
    </w:p>
    <w:p>
      <w:pPr>
        <w:sectPr>
          <w:pgSz w:w="11900" w:h="16838" w:orient="portrait"/>
          <w:cols w:equalWidth="0" w:num="2">
            <w:col w:w="7480" w:space="720"/>
            <w:col w:w="819"/>
          </w:cols>
          <w:pgMar w:left="1440" w:top="131" w:right="1440" w:bottom="1440" w:gutter="0" w:footer="0" w:header="0"/>
        </w:sectPr>
      </w:pPr>
    </w:p>
    <w:p>
      <w:pPr>
        <w:ind w:left="520"/>
        <w:spacing w:after="0"/>
        <w:rPr>
          <w:sz w:val="20"/>
          <w:szCs w:val="20"/>
          <w:color w:val="auto"/>
        </w:rPr>
      </w:pPr>
      <w:r>
        <w:rPr>
          <w:rFonts w:ascii="Arial" w:cs="Arial" w:eastAsia="Arial" w:hAnsi="Arial"/>
          <w:sz w:val="16"/>
          <w:szCs w:val="16"/>
          <w:color w:val="auto"/>
        </w:rPr>
        <w:t>TCI FCLP Northwest, LLC</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Arial" w:cs="Arial" w:eastAsia="Arial" w:hAnsi="Arial"/>
          <w:sz w:val="16"/>
          <w:szCs w:val="16"/>
          <w:color w:val="auto"/>
        </w:rPr>
        <w:t>DE</w:t>
      </w:r>
    </w:p>
    <w:p>
      <w:pPr>
        <w:sectPr>
          <w:pgSz w:w="11900" w:h="16838" w:orient="portrait"/>
          <w:cols w:equalWidth="0" w:num="2">
            <w:col w:w="7480" w:space="720"/>
            <w:col w:w="819"/>
          </w:cols>
          <w:pgMar w:left="1440" w:top="131" w:right="1440" w:bottom="1440" w:gutter="0" w:footer="0" w:header="0"/>
          <w:type w:val="continuous"/>
        </w:sectPr>
      </w:pPr>
    </w:p>
    <w:bookmarkStart w:id="193" w:name="page194"/>
    <w:bookmarkEnd w:id="193"/>
    <w:p>
      <w:pPr>
        <w:ind w:left="520"/>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252" name="Picture 2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2"/>
                    <pic:cNvPicPr>
                      <a:picLocks noChangeAspect="1" noChangeArrowheads="1"/>
                    </pic:cNvPicPr>
                  </pic:nvPicPr>
                  <pic:blipFill>
                    <a:blip r:embed="rId259">
                      <a:extLst>
                        <a:ext uri="{28A0092B-C50C-407E-A947-70E740481C1C}"/>
                      </a:extLst>
                    </a:blip>
                    <a:srcRect/>
                    <a:stretch>
                      <a:fillRect/>
                    </a:stretch>
                  </pic:blipFill>
                  <pic:spPr bwMode="auto">
                    <a:xfrm>
                      <a:off x="0" y="0"/>
                      <a:ext cx="7267575" cy="27940"/>
                    </a:xfrm>
                    <a:prstGeom prst="rect">
                      <a:avLst/>
                    </a:prstGeom>
                    <a:noFill/>
                  </pic:spPr>
                </pic:pic>
              </a:graphicData>
            </a:graphic>
          </wp:anchor>
        </w:drawing>
        <w:t>TCI FCLP Oregon, LLC</w:t>
      </w:r>
    </w:p>
    <w:p>
      <w:pPr>
        <w:spacing w:after="0" w:line="117" w:lineRule="exact"/>
        <w:rPr>
          <w:sz w:val="20"/>
          <w:szCs w:val="20"/>
          <w:color w:val="auto"/>
        </w:rPr>
      </w:pPr>
    </w:p>
    <w:p>
      <w:pPr>
        <w:ind w:left="520"/>
        <w:spacing w:after="0"/>
        <w:rPr>
          <w:sz w:val="20"/>
          <w:szCs w:val="20"/>
          <w:color w:val="auto"/>
        </w:rPr>
      </w:pPr>
      <w:r>
        <w:rPr>
          <w:rFonts w:ascii="Arial" w:cs="Arial" w:eastAsia="Arial" w:hAnsi="Arial"/>
          <w:sz w:val="18"/>
          <w:szCs w:val="18"/>
          <w:color w:val="auto"/>
        </w:rPr>
        <w:t>TCI FCLP Redding, LLC</w:t>
      </w:r>
    </w:p>
    <w:p>
      <w:pPr>
        <w:spacing w:after="0" w:line="117" w:lineRule="exact"/>
        <w:rPr>
          <w:sz w:val="20"/>
          <w:szCs w:val="20"/>
          <w:color w:val="auto"/>
        </w:rPr>
      </w:pPr>
    </w:p>
    <w:p>
      <w:pPr>
        <w:ind w:left="520"/>
        <w:spacing w:after="0"/>
        <w:rPr>
          <w:sz w:val="20"/>
          <w:szCs w:val="20"/>
          <w:color w:val="auto"/>
        </w:rPr>
      </w:pPr>
      <w:r>
        <w:rPr>
          <w:rFonts w:ascii="Arial" w:cs="Arial" w:eastAsia="Arial" w:hAnsi="Arial"/>
          <w:sz w:val="18"/>
          <w:szCs w:val="18"/>
          <w:color w:val="auto"/>
        </w:rPr>
        <w:t>TCI FCLP Wenatchee, LLC</w:t>
      </w:r>
    </w:p>
    <w:p>
      <w:pPr>
        <w:spacing w:after="0" w:line="117" w:lineRule="exact"/>
        <w:rPr>
          <w:sz w:val="20"/>
          <w:szCs w:val="20"/>
          <w:color w:val="auto"/>
        </w:rPr>
      </w:pPr>
    </w:p>
    <w:p>
      <w:pPr>
        <w:ind w:left="520"/>
        <w:spacing w:after="0"/>
        <w:rPr>
          <w:sz w:val="20"/>
          <w:szCs w:val="20"/>
          <w:color w:val="auto"/>
        </w:rPr>
      </w:pPr>
      <w:r>
        <w:rPr>
          <w:rFonts w:ascii="Arial" w:cs="Arial" w:eastAsia="Arial" w:hAnsi="Arial"/>
          <w:sz w:val="18"/>
          <w:szCs w:val="18"/>
          <w:color w:val="auto"/>
        </w:rPr>
        <w:t>TCI Fleet Services, Inc.</w:t>
      </w:r>
    </w:p>
    <w:p>
      <w:pPr>
        <w:spacing w:after="0" w:line="117" w:lineRule="exact"/>
        <w:rPr>
          <w:sz w:val="20"/>
          <w:szCs w:val="20"/>
          <w:color w:val="auto"/>
        </w:rPr>
      </w:pPr>
    </w:p>
    <w:p>
      <w:pPr>
        <w:ind w:left="520"/>
        <w:spacing w:after="0"/>
        <w:rPr>
          <w:sz w:val="20"/>
          <w:szCs w:val="20"/>
          <w:color w:val="auto"/>
        </w:rPr>
      </w:pPr>
      <w:r>
        <w:rPr>
          <w:rFonts w:ascii="Arial" w:cs="Arial" w:eastAsia="Arial" w:hAnsi="Arial"/>
          <w:sz w:val="18"/>
          <w:szCs w:val="18"/>
          <w:color w:val="auto"/>
        </w:rPr>
        <w:t>TCI Gilbert Uplink, Inc.</w:t>
      </w:r>
    </w:p>
    <w:p>
      <w:pPr>
        <w:spacing w:after="0" w:line="117" w:lineRule="exact"/>
        <w:rPr>
          <w:sz w:val="20"/>
          <w:szCs w:val="20"/>
          <w:color w:val="auto"/>
        </w:rPr>
      </w:pPr>
    </w:p>
    <w:p>
      <w:pPr>
        <w:ind w:left="520"/>
        <w:spacing w:after="0"/>
        <w:rPr>
          <w:sz w:val="20"/>
          <w:szCs w:val="20"/>
          <w:color w:val="auto"/>
        </w:rPr>
      </w:pPr>
      <w:r>
        <w:rPr>
          <w:rFonts w:ascii="Arial" w:cs="Arial" w:eastAsia="Arial" w:hAnsi="Arial"/>
          <w:sz w:val="18"/>
          <w:szCs w:val="18"/>
          <w:color w:val="auto"/>
        </w:rPr>
        <w:t>TCI Great Lakes, Inc.</w:t>
      </w:r>
    </w:p>
    <w:p>
      <w:pPr>
        <w:spacing w:after="0" w:line="117" w:lineRule="exact"/>
        <w:rPr>
          <w:sz w:val="20"/>
          <w:szCs w:val="20"/>
          <w:color w:val="auto"/>
        </w:rPr>
      </w:pPr>
    </w:p>
    <w:p>
      <w:pPr>
        <w:ind w:left="520"/>
        <w:spacing w:after="0"/>
        <w:rPr>
          <w:sz w:val="20"/>
          <w:szCs w:val="20"/>
          <w:color w:val="auto"/>
        </w:rPr>
      </w:pPr>
      <w:r>
        <w:rPr>
          <w:rFonts w:ascii="Arial" w:cs="Arial" w:eastAsia="Arial" w:hAnsi="Arial"/>
          <w:sz w:val="18"/>
          <w:szCs w:val="18"/>
          <w:color w:val="auto"/>
        </w:rPr>
        <w:t>TCI Hits At Home, Inc.</w:t>
      </w:r>
    </w:p>
    <w:p>
      <w:pPr>
        <w:spacing w:after="0" w:line="117" w:lineRule="exact"/>
        <w:rPr>
          <w:sz w:val="20"/>
          <w:szCs w:val="20"/>
          <w:color w:val="auto"/>
        </w:rPr>
      </w:pPr>
    </w:p>
    <w:p>
      <w:pPr>
        <w:ind w:left="520"/>
        <w:spacing w:after="0"/>
        <w:rPr>
          <w:sz w:val="20"/>
          <w:szCs w:val="20"/>
          <w:color w:val="auto"/>
        </w:rPr>
      </w:pPr>
      <w:r>
        <w:rPr>
          <w:rFonts w:ascii="Arial" w:cs="Arial" w:eastAsia="Arial" w:hAnsi="Arial"/>
          <w:sz w:val="18"/>
          <w:szCs w:val="18"/>
          <w:color w:val="auto"/>
        </w:rPr>
        <w:t>TCI Holdings, Inc.</w:t>
      </w:r>
    </w:p>
    <w:p>
      <w:pPr>
        <w:spacing w:after="0" w:line="117" w:lineRule="exact"/>
        <w:rPr>
          <w:sz w:val="20"/>
          <w:szCs w:val="20"/>
          <w:color w:val="auto"/>
        </w:rPr>
      </w:pPr>
    </w:p>
    <w:p>
      <w:pPr>
        <w:ind w:left="520"/>
        <w:spacing w:after="0"/>
        <w:rPr>
          <w:sz w:val="20"/>
          <w:szCs w:val="20"/>
          <w:color w:val="auto"/>
        </w:rPr>
      </w:pPr>
      <w:r>
        <w:rPr>
          <w:rFonts w:ascii="Arial" w:cs="Arial" w:eastAsia="Arial" w:hAnsi="Arial"/>
          <w:sz w:val="18"/>
          <w:szCs w:val="18"/>
          <w:color w:val="auto"/>
        </w:rPr>
        <w:t>TCI Holdings, LLC</w:t>
      </w:r>
    </w:p>
    <w:p>
      <w:pPr>
        <w:spacing w:after="0" w:line="117" w:lineRule="exact"/>
        <w:rPr>
          <w:sz w:val="20"/>
          <w:szCs w:val="20"/>
          <w:color w:val="auto"/>
        </w:rPr>
      </w:pPr>
    </w:p>
    <w:p>
      <w:pPr>
        <w:ind w:left="520"/>
        <w:spacing w:after="0"/>
        <w:rPr>
          <w:sz w:val="20"/>
          <w:szCs w:val="20"/>
          <w:color w:val="auto"/>
        </w:rPr>
      </w:pPr>
      <w:r>
        <w:rPr>
          <w:rFonts w:ascii="Arial" w:cs="Arial" w:eastAsia="Arial" w:hAnsi="Arial"/>
          <w:sz w:val="18"/>
          <w:szCs w:val="18"/>
          <w:color w:val="auto"/>
        </w:rPr>
        <w:t>TCI ICM VI, Inc.</w:t>
      </w:r>
    </w:p>
    <w:p>
      <w:pPr>
        <w:spacing w:after="0" w:line="117" w:lineRule="exact"/>
        <w:rPr>
          <w:sz w:val="20"/>
          <w:szCs w:val="20"/>
          <w:color w:val="auto"/>
        </w:rPr>
      </w:pPr>
    </w:p>
    <w:p>
      <w:pPr>
        <w:ind w:left="520"/>
        <w:spacing w:after="0"/>
        <w:rPr>
          <w:sz w:val="20"/>
          <w:szCs w:val="20"/>
          <w:color w:val="auto"/>
        </w:rPr>
      </w:pPr>
      <w:r>
        <w:rPr>
          <w:rFonts w:ascii="Arial" w:cs="Arial" w:eastAsia="Arial" w:hAnsi="Arial"/>
          <w:sz w:val="18"/>
          <w:szCs w:val="18"/>
          <w:color w:val="auto"/>
        </w:rPr>
        <w:t>TCI IL-Holdings II, LLC</w:t>
      </w:r>
    </w:p>
    <w:p>
      <w:pPr>
        <w:spacing w:after="0" w:line="117" w:lineRule="exact"/>
        <w:rPr>
          <w:sz w:val="20"/>
          <w:szCs w:val="20"/>
          <w:color w:val="auto"/>
        </w:rPr>
      </w:pPr>
    </w:p>
    <w:p>
      <w:pPr>
        <w:ind w:left="520"/>
        <w:spacing w:after="0"/>
        <w:rPr>
          <w:sz w:val="20"/>
          <w:szCs w:val="20"/>
          <w:color w:val="auto"/>
        </w:rPr>
      </w:pPr>
      <w:r>
        <w:rPr>
          <w:rFonts w:ascii="Arial" w:cs="Arial" w:eastAsia="Arial" w:hAnsi="Arial"/>
          <w:sz w:val="18"/>
          <w:szCs w:val="18"/>
          <w:color w:val="auto"/>
        </w:rPr>
        <w:t>TCI IL-Holdings, Inc.</w:t>
      </w:r>
    </w:p>
    <w:p>
      <w:pPr>
        <w:spacing w:after="0" w:line="117" w:lineRule="exact"/>
        <w:rPr>
          <w:sz w:val="20"/>
          <w:szCs w:val="20"/>
          <w:color w:val="auto"/>
        </w:rPr>
      </w:pPr>
    </w:p>
    <w:p>
      <w:pPr>
        <w:ind w:left="520"/>
        <w:spacing w:after="0"/>
        <w:rPr>
          <w:sz w:val="20"/>
          <w:szCs w:val="20"/>
          <w:color w:val="auto"/>
        </w:rPr>
      </w:pPr>
      <w:r>
        <w:rPr>
          <w:rFonts w:ascii="Arial" w:cs="Arial" w:eastAsia="Arial" w:hAnsi="Arial"/>
          <w:sz w:val="18"/>
          <w:szCs w:val="18"/>
          <w:color w:val="auto"/>
        </w:rPr>
        <w:t>TCI Internet Holdings, Inc.</w:t>
      </w:r>
    </w:p>
    <w:p>
      <w:pPr>
        <w:spacing w:after="0" w:line="117" w:lineRule="exact"/>
        <w:rPr>
          <w:sz w:val="20"/>
          <w:szCs w:val="20"/>
          <w:color w:val="auto"/>
        </w:rPr>
      </w:pPr>
    </w:p>
    <w:p>
      <w:pPr>
        <w:ind w:left="520"/>
        <w:spacing w:after="0"/>
        <w:rPr>
          <w:sz w:val="20"/>
          <w:szCs w:val="20"/>
          <w:color w:val="auto"/>
        </w:rPr>
      </w:pPr>
      <w:r>
        <w:rPr>
          <w:rFonts w:ascii="Arial" w:cs="Arial" w:eastAsia="Arial" w:hAnsi="Arial"/>
          <w:sz w:val="18"/>
          <w:szCs w:val="18"/>
          <w:color w:val="auto"/>
        </w:rPr>
        <w:t>TCI Internet Services, LLC</w:t>
      </w:r>
    </w:p>
    <w:p>
      <w:pPr>
        <w:spacing w:after="0" w:line="117" w:lineRule="exact"/>
        <w:rPr>
          <w:sz w:val="20"/>
          <w:szCs w:val="20"/>
          <w:color w:val="auto"/>
        </w:rPr>
      </w:pPr>
    </w:p>
    <w:p>
      <w:pPr>
        <w:ind w:left="520"/>
        <w:spacing w:after="0"/>
        <w:rPr>
          <w:sz w:val="20"/>
          <w:szCs w:val="20"/>
          <w:color w:val="auto"/>
        </w:rPr>
      </w:pPr>
      <w:r>
        <w:rPr>
          <w:rFonts w:ascii="Arial" w:cs="Arial" w:eastAsia="Arial" w:hAnsi="Arial"/>
          <w:sz w:val="18"/>
          <w:szCs w:val="18"/>
          <w:color w:val="auto"/>
        </w:rPr>
        <w:t>TCI IP-VI, LLC</w:t>
      </w:r>
    </w:p>
    <w:p>
      <w:pPr>
        <w:spacing w:after="0" w:line="117" w:lineRule="exact"/>
        <w:rPr>
          <w:sz w:val="20"/>
          <w:szCs w:val="20"/>
          <w:color w:val="auto"/>
        </w:rPr>
      </w:pPr>
    </w:p>
    <w:p>
      <w:pPr>
        <w:ind w:left="520"/>
        <w:spacing w:after="0"/>
        <w:rPr>
          <w:sz w:val="20"/>
          <w:szCs w:val="20"/>
          <w:color w:val="auto"/>
        </w:rPr>
      </w:pPr>
      <w:r>
        <w:rPr>
          <w:rFonts w:ascii="Arial" w:cs="Arial" w:eastAsia="Arial" w:hAnsi="Arial"/>
          <w:sz w:val="18"/>
          <w:szCs w:val="18"/>
          <w:color w:val="auto"/>
        </w:rPr>
        <w:t>TCI IT Holdings, Inc.</w:t>
      </w:r>
    </w:p>
    <w:p>
      <w:pPr>
        <w:spacing w:after="0" w:line="117" w:lineRule="exact"/>
        <w:rPr>
          <w:sz w:val="20"/>
          <w:szCs w:val="20"/>
          <w:color w:val="auto"/>
        </w:rPr>
      </w:pPr>
    </w:p>
    <w:p>
      <w:pPr>
        <w:ind w:left="520"/>
        <w:spacing w:after="0"/>
        <w:rPr>
          <w:sz w:val="20"/>
          <w:szCs w:val="20"/>
          <w:color w:val="auto"/>
        </w:rPr>
      </w:pPr>
      <w:r>
        <w:rPr>
          <w:rFonts w:ascii="Arial" w:cs="Arial" w:eastAsia="Arial" w:hAnsi="Arial"/>
          <w:sz w:val="18"/>
          <w:szCs w:val="18"/>
          <w:color w:val="auto"/>
        </w:rPr>
        <w:t>TCI Lake II, LLC</w:t>
      </w:r>
    </w:p>
    <w:p>
      <w:pPr>
        <w:spacing w:after="0" w:line="117" w:lineRule="exact"/>
        <w:rPr>
          <w:sz w:val="20"/>
          <w:szCs w:val="20"/>
          <w:color w:val="auto"/>
        </w:rPr>
      </w:pPr>
    </w:p>
    <w:p>
      <w:pPr>
        <w:ind w:left="520"/>
        <w:spacing w:after="0"/>
        <w:rPr>
          <w:sz w:val="20"/>
          <w:szCs w:val="20"/>
          <w:color w:val="auto"/>
        </w:rPr>
      </w:pPr>
      <w:r>
        <w:rPr>
          <w:rFonts w:ascii="Arial" w:cs="Arial" w:eastAsia="Arial" w:hAnsi="Arial"/>
          <w:sz w:val="18"/>
          <w:szCs w:val="18"/>
          <w:color w:val="auto"/>
        </w:rPr>
        <w:t>TCI Lake, Inc.</w:t>
      </w:r>
    </w:p>
    <w:p>
      <w:pPr>
        <w:spacing w:after="0" w:line="117" w:lineRule="exact"/>
        <w:rPr>
          <w:sz w:val="20"/>
          <w:szCs w:val="20"/>
          <w:color w:val="auto"/>
        </w:rPr>
      </w:pPr>
    </w:p>
    <w:p>
      <w:pPr>
        <w:ind w:left="520"/>
        <w:spacing w:after="0"/>
        <w:rPr>
          <w:sz w:val="20"/>
          <w:szCs w:val="20"/>
          <w:color w:val="auto"/>
        </w:rPr>
      </w:pPr>
      <w:r>
        <w:rPr>
          <w:rFonts w:ascii="Arial" w:cs="Arial" w:eastAsia="Arial" w:hAnsi="Arial"/>
          <w:sz w:val="18"/>
          <w:szCs w:val="18"/>
          <w:color w:val="auto"/>
        </w:rPr>
        <w:t>TCI Lenfest, Inc.</w:t>
      </w:r>
    </w:p>
    <w:p>
      <w:pPr>
        <w:spacing w:after="0" w:line="117" w:lineRule="exact"/>
        <w:rPr>
          <w:sz w:val="20"/>
          <w:szCs w:val="20"/>
          <w:color w:val="auto"/>
        </w:rPr>
      </w:pPr>
    </w:p>
    <w:p>
      <w:pPr>
        <w:ind w:left="520"/>
        <w:spacing w:after="0"/>
        <w:rPr>
          <w:sz w:val="20"/>
          <w:szCs w:val="20"/>
          <w:color w:val="auto"/>
        </w:rPr>
      </w:pPr>
      <w:r>
        <w:rPr>
          <w:rFonts w:ascii="Arial" w:cs="Arial" w:eastAsia="Arial" w:hAnsi="Arial"/>
          <w:sz w:val="18"/>
          <w:szCs w:val="18"/>
          <w:color w:val="auto"/>
        </w:rPr>
        <w:t>TCI Magma Holdings, Inc.</w:t>
      </w:r>
    </w:p>
    <w:p>
      <w:pPr>
        <w:spacing w:after="0" w:line="117" w:lineRule="exact"/>
        <w:rPr>
          <w:sz w:val="20"/>
          <w:szCs w:val="20"/>
          <w:color w:val="auto"/>
        </w:rPr>
      </w:pPr>
    </w:p>
    <w:p>
      <w:pPr>
        <w:ind w:left="520"/>
        <w:spacing w:after="0"/>
        <w:rPr>
          <w:sz w:val="20"/>
          <w:szCs w:val="20"/>
          <w:color w:val="auto"/>
        </w:rPr>
      </w:pPr>
      <w:r>
        <w:rPr>
          <w:rFonts w:ascii="Arial" w:cs="Arial" w:eastAsia="Arial" w:hAnsi="Arial"/>
          <w:sz w:val="18"/>
          <w:szCs w:val="18"/>
          <w:color w:val="auto"/>
        </w:rPr>
        <w:t>TCI Materials Management, Inc.</w:t>
      </w:r>
    </w:p>
    <w:p>
      <w:pPr>
        <w:spacing w:after="0" w:line="117" w:lineRule="exact"/>
        <w:rPr>
          <w:sz w:val="20"/>
          <w:szCs w:val="20"/>
          <w:color w:val="auto"/>
        </w:rPr>
      </w:pPr>
    </w:p>
    <w:p>
      <w:pPr>
        <w:ind w:left="520"/>
        <w:spacing w:after="0"/>
        <w:rPr>
          <w:sz w:val="20"/>
          <w:szCs w:val="20"/>
          <w:color w:val="auto"/>
        </w:rPr>
      </w:pPr>
      <w:r>
        <w:rPr>
          <w:rFonts w:ascii="Arial" w:cs="Arial" w:eastAsia="Arial" w:hAnsi="Arial"/>
          <w:sz w:val="18"/>
          <w:szCs w:val="18"/>
          <w:color w:val="auto"/>
        </w:rPr>
        <w:t>TCI Michigan, Inc.</w:t>
      </w:r>
    </w:p>
    <w:p>
      <w:pPr>
        <w:spacing w:after="0" w:line="117" w:lineRule="exact"/>
        <w:rPr>
          <w:sz w:val="20"/>
          <w:szCs w:val="20"/>
          <w:color w:val="auto"/>
        </w:rPr>
      </w:pPr>
    </w:p>
    <w:p>
      <w:pPr>
        <w:ind w:left="520"/>
        <w:spacing w:after="0"/>
        <w:rPr>
          <w:sz w:val="20"/>
          <w:szCs w:val="20"/>
          <w:color w:val="auto"/>
        </w:rPr>
      </w:pPr>
      <w:r>
        <w:rPr>
          <w:rFonts w:ascii="Arial" w:cs="Arial" w:eastAsia="Arial" w:hAnsi="Arial"/>
          <w:sz w:val="18"/>
          <w:szCs w:val="18"/>
          <w:color w:val="auto"/>
        </w:rPr>
        <w:t>TCI Microwave, Inc.</w:t>
      </w:r>
    </w:p>
    <w:p>
      <w:pPr>
        <w:spacing w:after="0" w:line="117" w:lineRule="exact"/>
        <w:rPr>
          <w:sz w:val="20"/>
          <w:szCs w:val="20"/>
          <w:color w:val="auto"/>
        </w:rPr>
      </w:pPr>
    </w:p>
    <w:p>
      <w:pPr>
        <w:ind w:left="520"/>
        <w:spacing w:after="0"/>
        <w:rPr>
          <w:sz w:val="20"/>
          <w:szCs w:val="20"/>
          <w:color w:val="auto"/>
        </w:rPr>
      </w:pPr>
      <w:r>
        <w:rPr>
          <w:rFonts w:ascii="Arial" w:cs="Arial" w:eastAsia="Arial" w:hAnsi="Arial"/>
          <w:sz w:val="18"/>
          <w:szCs w:val="18"/>
          <w:color w:val="auto"/>
        </w:rPr>
        <w:t>TCI Midcontinent, LLC</w:t>
      </w:r>
    </w:p>
    <w:p>
      <w:pPr>
        <w:spacing w:after="0" w:line="117" w:lineRule="exact"/>
        <w:rPr>
          <w:sz w:val="20"/>
          <w:szCs w:val="20"/>
          <w:color w:val="auto"/>
        </w:rPr>
      </w:pPr>
    </w:p>
    <w:p>
      <w:pPr>
        <w:ind w:left="520"/>
        <w:spacing w:after="0"/>
        <w:rPr>
          <w:sz w:val="20"/>
          <w:szCs w:val="20"/>
          <w:color w:val="auto"/>
        </w:rPr>
      </w:pPr>
      <w:r>
        <w:rPr>
          <w:rFonts w:ascii="Arial" w:cs="Arial" w:eastAsia="Arial" w:hAnsi="Arial"/>
          <w:sz w:val="16"/>
          <w:szCs w:val="16"/>
          <w:color w:val="auto"/>
        </w:rPr>
        <w:t>TCI National Digital Television Center - Hong Kong, Inc.</w:t>
      </w:r>
    </w:p>
    <w:p>
      <w:pPr>
        <w:spacing w:after="0" w:line="140" w:lineRule="exact"/>
        <w:rPr>
          <w:sz w:val="20"/>
          <w:szCs w:val="20"/>
          <w:color w:val="auto"/>
        </w:rPr>
      </w:pPr>
    </w:p>
    <w:p>
      <w:pPr>
        <w:ind w:left="520"/>
        <w:spacing w:after="0"/>
        <w:rPr>
          <w:sz w:val="20"/>
          <w:szCs w:val="20"/>
          <w:color w:val="auto"/>
        </w:rPr>
      </w:pPr>
      <w:r>
        <w:rPr>
          <w:rFonts w:ascii="Arial" w:cs="Arial" w:eastAsia="Arial" w:hAnsi="Arial"/>
          <w:sz w:val="18"/>
          <w:szCs w:val="18"/>
          <w:color w:val="auto"/>
        </w:rPr>
        <w:t>TCI New York Holdings, Inc.</w:t>
      </w:r>
    </w:p>
    <w:p>
      <w:pPr>
        <w:spacing w:after="0" w:line="117" w:lineRule="exact"/>
        <w:rPr>
          <w:sz w:val="20"/>
          <w:szCs w:val="20"/>
          <w:color w:val="auto"/>
        </w:rPr>
      </w:pPr>
    </w:p>
    <w:p>
      <w:pPr>
        <w:ind w:left="520"/>
        <w:spacing w:after="0"/>
        <w:rPr>
          <w:sz w:val="20"/>
          <w:szCs w:val="20"/>
          <w:color w:val="auto"/>
        </w:rPr>
      </w:pPr>
      <w:r>
        <w:rPr>
          <w:rFonts w:ascii="Arial" w:cs="Arial" w:eastAsia="Arial" w:hAnsi="Arial"/>
          <w:sz w:val="18"/>
          <w:szCs w:val="18"/>
          <w:color w:val="auto"/>
        </w:rPr>
        <w:t>TCI Northeast, Inc.</w:t>
      </w:r>
    </w:p>
    <w:p>
      <w:pPr>
        <w:spacing w:after="0" w:line="117" w:lineRule="exact"/>
        <w:rPr>
          <w:sz w:val="20"/>
          <w:szCs w:val="20"/>
          <w:color w:val="auto"/>
        </w:rPr>
      </w:pPr>
    </w:p>
    <w:p>
      <w:pPr>
        <w:ind w:left="520"/>
        <w:spacing w:after="0"/>
        <w:rPr>
          <w:sz w:val="20"/>
          <w:szCs w:val="20"/>
          <w:color w:val="auto"/>
        </w:rPr>
      </w:pPr>
      <w:r>
        <w:rPr>
          <w:rFonts w:ascii="Arial" w:cs="Arial" w:eastAsia="Arial" w:hAnsi="Arial"/>
          <w:sz w:val="18"/>
          <w:szCs w:val="18"/>
          <w:color w:val="auto"/>
        </w:rPr>
        <w:t>TCI Northwest, Inc.</w:t>
      </w:r>
    </w:p>
    <w:p>
      <w:pPr>
        <w:spacing w:after="0" w:line="117" w:lineRule="exact"/>
        <w:rPr>
          <w:sz w:val="20"/>
          <w:szCs w:val="20"/>
          <w:color w:val="auto"/>
        </w:rPr>
      </w:pPr>
    </w:p>
    <w:p>
      <w:pPr>
        <w:ind w:left="520"/>
        <w:spacing w:after="0"/>
        <w:rPr>
          <w:sz w:val="20"/>
          <w:szCs w:val="20"/>
          <w:color w:val="auto"/>
        </w:rPr>
      </w:pPr>
      <w:r>
        <w:rPr>
          <w:rFonts w:ascii="Arial" w:cs="Arial" w:eastAsia="Arial" w:hAnsi="Arial"/>
          <w:sz w:val="18"/>
          <w:szCs w:val="18"/>
          <w:color w:val="auto"/>
        </w:rPr>
        <w:t>TCI of Bloomington/Normal, Inc.</w:t>
      </w:r>
    </w:p>
    <w:p>
      <w:pPr>
        <w:spacing w:after="0" w:line="117" w:lineRule="exact"/>
        <w:rPr>
          <w:sz w:val="20"/>
          <w:szCs w:val="20"/>
          <w:color w:val="auto"/>
        </w:rPr>
      </w:pPr>
    </w:p>
    <w:p>
      <w:pPr>
        <w:ind w:left="520"/>
        <w:spacing w:after="0"/>
        <w:rPr>
          <w:sz w:val="20"/>
          <w:szCs w:val="20"/>
          <w:color w:val="auto"/>
        </w:rPr>
      </w:pPr>
      <w:r>
        <w:rPr>
          <w:rFonts w:ascii="Arial" w:cs="Arial" w:eastAsia="Arial" w:hAnsi="Arial"/>
          <w:sz w:val="18"/>
          <w:szCs w:val="18"/>
          <w:color w:val="auto"/>
        </w:rPr>
        <w:t>TCI of Council Bluffs, Inc.</w:t>
      </w:r>
    </w:p>
    <w:p>
      <w:pPr>
        <w:spacing w:after="0" w:line="117" w:lineRule="exact"/>
        <w:rPr>
          <w:sz w:val="20"/>
          <w:szCs w:val="20"/>
          <w:color w:val="auto"/>
        </w:rPr>
      </w:pPr>
    </w:p>
    <w:p>
      <w:pPr>
        <w:ind w:left="520"/>
        <w:spacing w:after="0"/>
        <w:rPr>
          <w:sz w:val="20"/>
          <w:szCs w:val="20"/>
          <w:color w:val="auto"/>
        </w:rPr>
      </w:pPr>
      <w:r>
        <w:rPr>
          <w:rFonts w:ascii="Arial" w:cs="Arial" w:eastAsia="Arial" w:hAnsi="Arial"/>
          <w:sz w:val="18"/>
          <w:szCs w:val="18"/>
          <w:color w:val="auto"/>
        </w:rPr>
        <w:t>TCI of Greenwich, Inc.</w:t>
      </w:r>
    </w:p>
    <w:p>
      <w:pPr>
        <w:spacing w:after="0" w:line="117" w:lineRule="exact"/>
        <w:rPr>
          <w:sz w:val="20"/>
          <w:szCs w:val="20"/>
          <w:color w:val="auto"/>
        </w:rPr>
      </w:pPr>
    </w:p>
    <w:p>
      <w:pPr>
        <w:ind w:left="520"/>
        <w:spacing w:after="0"/>
        <w:rPr>
          <w:sz w:val="20"/>
          <w:szCs w:val="20"/>
          <w:color w:val="auto"/>
        </w:rPr>
      </w:pPr>
      <w:r>
        <w:rPr>
          <w:rFonts w:ascii="Arial" w:cs="Arial" w:eastAsia="Arial" w:hAnsi="Arial"/>
          <w:sz w:val="18"/>
          <w:szCs w:val="18"/>
          <w:color w:val="auto"/>
        </w:rPr>
        <w:t>TCI of Indiana Holdings, LLC</w:t>
      </w:r>
    </w:p>
    <w:p>
      <w:pPr>
        <w:spacing w:after="0" w:line="117" w:lineRule="exact"/>
        <w:rPr>
          <w:sz w:val="20"/>
          <w:szCs w:val="20"/>
          <w:color w:val="auto"/>
        </w:rPr>
      </w:pPr>
    </w:p>
    <w:p>
      <w:pPr>
        <w:ind w:left="520"/>
        <w:spacing w:after="0"/>
        <w:rPr>
          <w:sz w:val="20"/>
          <w:szCs w:val="20"/>
          <w:color w:val="auto"/>
        </w:rPr>
      </w:pPr>
      <w:r>
        <w:rPr>
          <w:rFonts w:ascii="Arial" w:cs="Arial" w:eastAsia="Arial" w:hAnsi="Arial"/>
          <w:sz w:val="18"/>
          <w:szCs w:val="18"/>
          <w:color w:val="auto"/>
        </w:rPr>
        <w:t>TCI of Indiana Insgt Holdings, LLC</w:t>
      </w:r>
    </w:p>
    <w:p>
      <w:pPr>
        <w:spacing w:after="0" w:line="117" w:lineRule="exact"/>
        <w:rPr>
          <w:sz w:val="20"/>
          <w:szCs w:val="20"/>
          <w:color w:val="auto"/>
        </w:rPr>
      </w:pPr>
    </w:p>
    <w:p>
      <w:pPr>
        <w:ind w:left="520"/>
        <w:spacing w:after="0"/>
        <w:rPr>
          <w:sz w:val="20"/>
          <w:szCs w:val="20"/>
          <w:color w:val="auto"/>
        </w:rPr>
      </w:pPr>
      <w:r>
        <w:rPr>
          <w:rFonts w:ascii="Arial" w:cs="Arial" w:eastAsia="Arial" w:hAnsi="Arial"/>
          <w:sz w:val="18"/>
          <w:szCs w:val="18"/>
          <w:color w:val="auto"/>
        </w:rPr>
        <w:t>TCI of Kokomo, Inc.</w:t>
      </w:r>
    </w:p>
    <w:p>
      <w:pPr>
        <w:spacing w:after="0" w:line="117" w:lineRule="exact"/>
        <w:rPr>
          <w:sz w:val="20"/>
          <w:szCs w:val="20"/>
          <w:color w:val="auto"/>
        </w:rPr>
      </w:pPr>
    </w:p>
    <w:p>
      <w:pPr>
        <w:ind w:left="520"/>
        <w:spacing w:after="0"/>
        <w:rPr>
          <w:sz w:val="20"/>
          <w:szCs w:val="20"/>
          <w:color w:val="auto"/>
        </w:rPr>
      </w:pPr>
      <w:r>
        <w:rPr>
          <w:rFonts w:ascii="Arial" w:cs="Arial" w:eastAsia="Arial" w:hAnsi="Arial"/>
          <w:sz w:val="18"/>
          <w:szCs w:val="18"/>
          <w:color w:val="auto"/>
        </w:rPr>
        <w:t>TCI of Lee County, Inc.</w:t>
      </w:r>
    </w:p>
    <w:p>
      <w:pPr>
        <w:spacing w:after="0" w:line="117" w:lineRule="exact"/>
        <w:rPr>
          <w:sz w:val="20"/>
          <w:szCs w:val="20"/>
          <w:color w:val="auto"/>
        </w:rPr>
      </w:pPr>
    </w:p>
    <w:p>
      <w:pPr>
        <w:ind w:left="520"/>
        <w:spacing w:after="0"/>
        <w:rPr>
          <w:sz w:val="20"/>
          <w:szCs w:val="20"/>
          <w:color w:val="auto"/>
        </w:rPr>
      </w:pPr>
      <w:r>
        <w:rPr>
          <w:rFonts w:ascii="Arial" w:cs="Arial" w:eastAsia="Arial" w:hAnsi="Arial"/>
          <w:sz w:val="18"/>
          <w:szCs w:val="18"/>
          <w:color w:val="auto"/>
        </w:rPr>
        <w:t>TCI of Lexington, Inc.</w:t>
      </w:r>
    </w:p>
    <w:p>
      <w:pPr>
        <w:spacing w:after="0" w:line="117" w:lineRule="exact"/>
        <w:rPr>
          <w:sz w:val="20"/>
          <w:szCs w:val="20"/>
          <w:color w:val="auto"/>
        </w:rPr>
      </w:pPr>
    </w:p>
    <w:p>
      <w:pPr>
        <w:ind w:left="520"/>
        <w:spacing w:after="0"/>
        <w:rPr>
          <w:sz w:val="20"/>
          <w:szCs w:val="20"/>
          <w:color w:val="auto"/>
        </w:rPr>
      </w:pPr>
      <w:r>
        <w:rPr>
          <w:rFonts w:ascii="Arial" w:cs="Arial" w:eastAsia="Arial" w:hAnsi="Arial"/>
          <w:sz w:val="18"/>
          <w:szCs w:val="18"/>
          <w:color w:val="auto"/>
        </w:rPr>
        <w:t>TCI of Maine, Inc.</w:t>
      </w:r>
    </w:p>
    <w:p>
      <w:pPr>
        <w:spacing w:after="0" w:line="117" w:lineRule="exact"/>
        <w:rPr>
          <w:sz w:val="20"/>
          <w:szCs w:val="20"/>
          <w:color w:val="auto"/>
        </w:rPr>
      </w:pPr>
    </w:p>
    <w:p>
      <w:pPr>
        <w:ind w:left="520"/>
        <w:spacing w:after="0"/>
        <w:rPr>
          <w:sz w:val="20"/>
          <w:szCs w:val="20"/>
          <w:color w:val="auto"/>
        </w:rPr>
      </w:pPr>
      <w:r>
        <w:rPr>
          <w:rFonts w:ascii="Arial" w:cs="Arial" w:eastAsia="Arial" w:hAnsi="Arial"/>
          <w:sz w:val="18"/>
          <w:szCs w:val="18"/>
          <w:color w:val="auto"/>
        </w:rPr>
        <w:t>TCI of Missouri, Inc.</w:t>
      </w:r>
    </w:p>
    <w:p>
      <w:pPr>
        <w:spacing w:after="0" w:line="117" w:lineRule="exact"/>
        <w:rPr>
          <w:sz w:val="20"/>
          <w:szCs w:val="20"/>
          <w:color w:val="auto"/>
        </w:rPr>
      </w:pPr>
    </w:p>
    <w:p>
      <w:pPr>
        <w:ind w:left="520"/>
        <w:spacing w:after="0"/>
        <w:rPr>
          <w:sz w:val="20"/>
          <w:szCs w:val="20"/>
          <w:color w:val="auto"/>
        </w:rPr>
      </w:pPr>
      <w:r>
        <w:rPr>
          <w:rFonts w:ascii="Arial" w:cs="Arial" w:eastAsia="Arial" w:hAnsi="Arial"/>
          <w:sz w:val="18"/>
          <w:szCs w:val="18"/>
          <w:color w:val="auto"/>
        </w:rPr>
        <w:t>TCI of North Central Kentucky, Inc.</w:t>
      </w:r>
    </w:p>
    <w:p>
      <w:pPr>
        <w:spacing w:after="0" w:line="117" w:lineRule="exact"/>
        <w:rPr>
          <w:sz w:val="20"/>
          <w:szCs w:val="20"/>
          <w:color w:val="auto"/>
        </w:rPr>
      </w:pPr>
    </w:p>
    <w:p>
      <w:pPr>
        <w:ind w:left="520"/>
        <w:spacing w:after="0"/>
        <w:rPr>
          <w:sz w:val="20"/>
          <w:szCs w:val="20"/>
          <w:color w:val="auto"/>
        </w:rPr>
      </w:pPr>
      <w:r>
        <w:rPr>
          <w:rFonts w:ascii="Arial" w:cs="Arial" w:eastAsia="Arial" w:hAnsi="Arial"/>
          <w:sz w:val="18"/>
          <w:szCs w:val="18"/>
          <w:color w:val="auto"/>
        </w:rPr>
        <w:t>TCI of North Dakota, Inc.</w:t>
      </w:r>
    </w:p>
    <w:p>
      <w:pPr>
        <w:spacing w:after="0" w:line="117" w:lineRule="exact"/>
        <w:rPr>
          <w:sz w:val="20"/>
          <w:szCs w:val="20"/>
          <w:color w:val="auto"/>
        </w:rPr>
      </w:pPr>
    </w:p>
    <w:p>
      <w:pPr>
        <w:ind w:left="520"/>
        <w:spacing w:after="0"/>
        <w:rPr>
          <w:sz w:val="20"/>
          <w:szCs w:val="20"/>
          <w:color w:val="auto"/>
        </w:rPr>
      </w:pPr>
      <w:r>
        <w:rPr>
          <w:rFonts w:ascii="Arial" w:cs="Arial" w:eastAsia="Arial" w:hAnsi="Arial"/>
          <w:sz w:val="18"/>
          <w:szCs w:val="18"/>
          <w:color w:val="auto"/>
        </w:rPr>
        <w:t>TCI of Overland Park, Inc.</w:t>
      </w:r>
    </w:p>
    <w:p>
      <w:pPr>
        <w:spacing w:after="0" w:line="117" w:lineRule="exact"/>
        <w:rPr>
          <w:sz w:val="20"/>
          <w:szCs w:val="20"/>
          <w:color w:val="auto"/>
        </w:rPr>
      </w:pPr>
    </w:p>
    <w:p>
      <w:pPr>
        <w:ind w:left="520"/>
        <w:spacing w:after="0"/>
        <w:rPr>
          <w:sz w:val="20"/>
          <w:szCs w:val="20"/>
          <w:color w:val="auto"/>
        </w:rPr>
      </w:pPr>
      <w:r>
        <w:rPr>
          <w:rFonts w:ascii="Arial" w:cs="Arial" w:eastAsia="Arial" w:hAnsi="Arial"/>
          <w:sz w:val="18"/>
          <w:szCs w:val="18"/>
          <w:color w:val="auto"/>
        </w:rPr>
        <w:t>TCI of Paterson, Inc.</w:t>
      </w:r>
    </w:p>
    <w:p>
      <w:pPr>
        <w:spacing w:after="0" w:line="117" w:lineRule="exact"/>
        <w:rPr>
          <w:sz w:val="20"/>
          <w:szCs w:val="20"/>
          <w:color w:val="auto"/>
        </w:rPr>
      </w:pPr>
    </w:p>
    <w:p>
      <w:pPr>
        <w:ind w:left="520"/>
        <w:spacing w:after="0"/>
        <w:rPr>
          <w:sz w:val="20"/>
          <w:szCs w:val="20"/>
          <w:color w:val="auto"/>
        </w:rPr>
      </w:pPr>
      <w:r>
        <w:rPr>
          <w:rFonts w:ascii="Arial" w:cs="Arial" w:eastAsia="Arial" w:hAnsi="Arial"/>
          <w:sz w:val="18"/>
          <w:szCs w:val="18"/>
          <w:color w:val="auto"/>
        </w:rPr>
        <w:t>TCI of Radcliff, Inc.</w:t>
      </w:r>
    </w:p>
    <w:p>
      <w:pPr>
        <w:spacing w:after="0" w:line="117" w:lineRule="exact"/>
        <w:rPr>
          <w:sz w:val="20"/>
          <w:szCs w:val="20"/>
          <w:color w:val="auto"/>
        </w:rPr>
      </w:pPr>
    </w:p>
    <w:p>
      <w:pPr>
        <w:ind w:left="520"/>
        <w:spacing w:after="0"/>
        <w:rPr>
          <w:sz w:val="20"/>
          <w:szCs w:val="20"/>
          <w:color w:val="auto"/>
        </w:rPr>
      </w:pPr>
      <w:r>
        <w:rPr>
          <w:rFonts w:ascii="Arial" w:cs="Arial" w:eastAsia="Arial" w:hAnsi="Arial"/>
          <w:sz w:val="18"/>
          <w:szCs w:val="18"/>
          <w:color w:val="auto"/>
        </w:rPr>
        <w:t>TCI of South Dakota, Inc.</w:t>
      </w:r>
    </w:p>
    <w:p>
      <w:pPr>
        <w:spacing w:after="0" w:line="117" w:lineRule="exact"/>
        <w:rPr>
          <w:sz w:val="20"/>
          <w:szCs w:val="20"/>
          <w:color w:val="auto"/>
        </w:rPr>
      </w:pPr>
    </w:p>
    <w:p>
      <w:pPr>
        <w:ind w:left="520"/>
        <w:spacing w:after="0"/>
        <w:rPr>
          <w:sz w:val="20"/>
          <w:szCs w:val="20"/>
          <w:color w:val="auto"/>
        </w:rPr>
      </w:pPr>
      <w:r>
        <w:rPr>
          <w:rFonts w:ascii="Arial" w:cs="Arial" w:eastAsia="Arial" w:hAnsi="Arial"/>
          <w:sz w:val="18"/>
          <w:szCs w:val="18"/>
          <w:color w:val="auto"/>
        </w:rPr>
        <w:t>TCI of Southern Minnesota, Inc.</w:t>
      </w:r>
    </w:p>
    <w:p>
      <w:pPr>
        <w:spacing w:after="0" w:line="117" w:lineRule="exact"/>
        <w:rPr>
          <w:sz w:val="20"/>
          <w:szCs w:val="20"/>
          <w:color w:val="auto"/>
        </w:rPr>
      </w:pPr>
    </w:p>
    <w:p>
      <w:pPr>
        <w:ind w:left="520"/>
        <w:spacing w:after="0"/>
        <w:rPr>
          <w:sz w:val="20"/>
          <w:szCs w:val="20"/>
          <w:color w:val="auto"/>
        </w:rPr>
      </w:pPr>
      <w:r>
        <w:rPr>
          <w:rFonts w:ascii="Arial" w:cs="Arial" w:eastAsia="Arial" w:hAnsi="Arial"/>
          <w:sz w:val="18"/>
          <w:szCs w:val="18"/>
          <w:color w:val="auto"/>
        </w:rPr>
        <w:t>TCI of Springfield, Inc.</w:t>
      </w:r>
    </w:p>
    <w:p>
      <w:pPr>
        <w:spacing w:after="0" w:line="117" w:lineRule="exact"/>
        <w:rPr>
          <w:sz w:val="20"/>
          <w:szCs w:val="20"/>
          <w:color w:val="auto"/>
        </w:rPr>
      </w:pPr>
    </w:p>
    <w:p>
      <w:pPr>
        <w:ind w:left="520"/>
        <w:spacing w:after="0"/>
        <w:rPr>
          <w:sz w:val="20"/>
          <w:szCs w:val="20"/>
          <w:color w:val="auto"/>
        </w:rPr>
      </w:pPr>
      <w:r>
        <w:rPr>
          <w:rFonts w:ascii="Arial" w:cs="Arial" w:eastAsia="Arial" w:hAnsi="Arial"/>
          <w:sz w:val="18"/>
          <w:szCs w:val="18"/>
          <w:color w:val="auto"/>
        </w:rPr>
        <w:t>TCI of Watertown, Inc.</w:t>
      </w:r>
    </w:p>
    <w:p>
      <w:pPr>
        <w:spacing w:after="0" w:line="117" w:lineRule="exact"/>
        <w:rPr>
          <w:sz w:val="20"/>
          <w:szCs w:val="20"/>
          <w:color w:val="auto"/>
        </w:rPr>
      </w:pPr>
    </w:p>
    <w:p>
      <w:pPr>
        <w:ind w:left="520"/>
        <w:spacing w:after="0"/>
        <w:rPr>
          <w:sz w:val="20"/>
          <w:szCs w:val="20"/>
          <w:color w:val="auto"/>
        </w:rPr>
      </w:pPr>
      <w:r>
        <w:rPr>
          <w:rFonts w:ascii="Arial" w:cs="Arial" w:eastAsia="Arial" w:hAnsi="Arial"/>
          <w:sz w:val="18"/>
          <w:szCs w:val="18"/>
          <w:color w:val="auto"/>
        </w:rPr>
        <w:t>TCI Ohio Holdings, Inc.</w:t>
      </w:r>
    </w:p>
    <w:p>
      <w:pPr>
        <w:spacing w:after="0" w:line="117" w:lineRule="exact"/>
        <w:rPr>
          <w:sz w:val="20"/>
          <w:szCs w:val="20"/>
          <w:color w:val="auto"/>
        </w:rPr>
      </w:pPr>
    </w:p>
    <w:p>
      <w:pPr>
        <w:ind w:left="520"/>
        <w:spacing w:after="0"/>
        <w:rPr>
          <w:sz w:val="20"/>
          <w:szCs w:val="20"/>
          <w:color w:val="auto"/>
        </w:rPr>
      </w:pPr>
      <w:r>
        <w:rPr>
          <w:rFonts w:ascii="Arial" w:cs="Arial" w:eastAsia="Arial" w:hAnsi="Arial"/>
          <w:sz w:val="18"/>
          <w:szCs w:val="18"/>
          <w:color w:val="auto"/>
        </w:rPr>
        <w:t>TCI Pacific Communications, Inc.</w:t>
      </w:r>
    </w:p>
    <w:p>
      <w:pPr>
        <w:spacing w:after="0" w:line="117" w:lineRule="exact"/>
        <w:rPr>
          <w:sz w:val="20"/>
          <w:szCs w:val="20"/>
          <w:color w:val="auto"/>
        </w:rPr>
      </w:pPr>
    </w:p>
    <w:p>
      <w:pPr>
        <w:ind w:left="520"/>
        <w:spacing w:after="0"/>
        <w:rPr>
          <w:sz w:val="20"/>
          <w:szCs w:val="20"/>
          <w:color w:val="auto"/>
        </w:rPr>
      </w:pPr>
      <w:r>
        <w:rPr>
          <w:rFonts w:ascii="Arial" w:cs="Arial" w:eastAsia="Arial" w:hAnsi="Arial"/>
          <w:sz w:val="18"/>
          <w:szCs w:val="18"/>
          <w:color w:val="auto"/>
        </w:rPr>
        <w:t>TCI Pennsylvania Holdings, Inc.</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Arial" w:cs="Arial" w:eastAsia="Arial" w:hAnsi="Arial"/>
          <w:sz w:val="18"/>
          <w:szCs w:val="18"/>
          <w:color w:val="auto"/>
        </w:rPr>
        <w:t>DE</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color w:val="auto"/>
        </w:rPr>
        <w:t>DE</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color w:val="auto"/>
        </w:rPr>
        <w:t>DE</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color w:val="auto"/>
        </w:rPr>
        <w:t>CO</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color w:val="auto"/>
        </w:rPr>
        <w:t>CO</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color w:val="auto"/>
        </w:rPr>
        <w:t>DE</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color w:val="auto"/>
        </w:rPr>
        <w:t>CO</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color w:val="auto"/>
        </w:rPr>
        <w:t>DE</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color w:val="auto"/>
        </w:rPr>
        <w:t>DE</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color w:val="auto"/>
        </w:rPr>
        <w:t>DE</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color w:val="auto"/>
        </w:rPr>
        <w:t>CO</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color w:val="auto"/>
        </w:rPr>
        <w:t>CO</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color w:val="auto"/>
        </w:rPr>
        <w:t>CO</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color w:val="auto"/>
        </w:rPr>
        <w:t>DE</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color w:val="auto"/>
        </w:rPr>
        <w:t>DE</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color w:val="auto"/>
        </w:rPr>
        <w:t>CO</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color w:val="auto"/>
        </w:rPr>
        <w:t>CO</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color w:val="auto"/>
        </w:rPr>
        <w:t>WY</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color w:val="auto"/>
        </w:rPr>
        <w:t>CO</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color w:val="auto"/>
        </w:rPr>
        <w:t>CO</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color w:val="auto"/>
        </w:rPr>
        <w:t>CO</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color w:val="auto"/>
        </w:rPr>
        <w:t>DE</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color w:val="auto"/>
        </w:rPr>
        <w:t>DE</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color w:val="auto"/>
        </w:rPr>
        <w:t>DE</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color w:val="auto"/>
        </w:rPr>
        <w:t>DE</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color w:val="auto"/>
        </w:rPr>
        <w:t>CO</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color w:val="auto"/>
        </w:rPr>
        <w:t>DE</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color w:val="auto"/>
        </w:rPr>
        <w:t>CO</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color w:val="auto"/>
        </w:rPr>
        <w:t>VA</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color w:val="auto"/>
        </w:rPr>
        <w:t>IA</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color w:val="auto"/>
        </w:rPr>
        <w:t>CO</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color w:val="auto"/>
        </w:rPr>
        <w:t>CO</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color w:val="auto"/>
        </w:rPr>
        <w:t>CO</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color w:val="auto"/>
        </w:rPr>
        <w:t>CO</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color w:val="auto"/>
        </w:rPr>
        <w:t>AL</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color w:val="auto"/>
        </w:rPr>
        <w:t>DE</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color w:val="auto"/>
        </w:rPr>
        <w:t>ME</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color w:val="auto"/>
        </w:rPr>
        <w:t>MO</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color w:val="auto"/>
        </w:rPr>
        <w:t>DE</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color w:val="auto"/>
        </w:rPr>
        <w:t>ND</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color w:val="auto"/>
        </w:rPr>
        <w:t>DE</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color w:val="auto"/>
        </w:rPr>
        <w:t>NV</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color w:val="auto"/>
        </w:rPr>
        <w:t>DE</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color w:val="auto"/>
        </w:rPr>
        <w:t>CO</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color w:val="auto"/>
        </w:rPr>
        <w:t>DE</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color w:val="auto"/>
        </w:rPr>
        <w:t>MO</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color w:val="auto"/>
        </w:rPr>
        <w:t>IA</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color w:val="auto"/>
        </w:rPr>
        <w:t>CO</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color w:val="auto"/>
        </w:rPr>
        <w:t>DE</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color w:val="auto"/>
        </w:rPr>
        <w:t>CO</w:t>
      </w:r>
    </w:p>
    <w:p>
      <w:pPr>
        <w:sectPr>
          <w:pgSz w:w="11900" w:h="16838" w:orient="portrait"/>
          <w:cols w:equalWidth="0" w:num="2">
            <w:col w:w="7480" w:space="720"/>
            <w:col w:w="819"/>
          </w:cols>
          <w:pgMar w:left="1440" w:top="388" w:right="1440" w:bottom="0" w:gutter="0" w:footer="0" w:header="0"/>
        </w:sectPr>
      </w:pPr>
    </w:p>
    <w:bookmarkStart w:id="194" w:name="page195"/>
    <w:bookmarkEnd w:id="194"/>
    <w:p>
      <w:pPr>
        <w:ind w:left="520"/>
        <w:spacing w:after="0"/>
        <w:rPr>
          <w:sz w:val="20"/>
          <w:szCs w:val="20"/>
          <w:color w:val="auto"/>
        </w:rPr>
      </w:pPr>
      <w:r>
        <w:rPr>
          <w:rFonts w:ascii="Arial" w:cs="Arial" w:eastAsia="Arial" w:hAnsi="Arial"/>
          <w:sz w:val="16"/>
          <w:szCs w:val="16"/>
          <w:color w:val="auto"/>
        </w:rPr>
        <w:t>TCI Programming Holding Company III</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Arial" w:cs="Arial" w:eastAsia="Arial" w:hAnsi="Arial"/>
          <w:sz w:val="16"/>
          <w:szCs w:val="16"/>
          <w:color w:val="auto"/>
        </w:rPr>
        <w:t>DE</w:t>
      </w:r>
    </w:p>
    <w:p>
      <w:pPr>
        <w:spacing w:after="0" w:line="140" w:lineRule="exact"/>
        <w:rPr>
          <w:sz w:val="20"/>
          <w:szCs w:val="20"/>
          <w:color w:val="auto"/>
        </w:rPr>
      </w:pPr>
    </w:p>
    <w:p>
      <w:pPr>
        <w:sectPr>
          <w:pgSz w:w="11900" w:h="16838" w:orient="portrait"/>
          <w:cols w:equalWidth="0" w:num="2">
            <w:col w:w="7480" w:space="720"/>
            <w:col w:w="819"/>
          </w:cols>
          <w:pgMar w:left="1440" w:top="131" w:right="1440" w:bottom="1440" w:gutter="0" w:footer="0" w:header="0"/>
        </w:sectPr>
      </w:pPr>
    </w:p>
    <w:p>
      <w:pPr>
        <w:ind w:left="520"/>
        <w:spacing w:after="0"/>
        <w:rPr>
          <w:sz w:val="20"/>
          <w:szCs w:val="20"/>
          <w:color w:val="auto"/>
        </w:rPr>
      </w:pPr>
      <w:r>
        <w:rPr>
          <w:rFonts w:ascii="Arial" w:cs="Arial" w:eastAsia="Arial" w:hAnsi="Arial"/>
          <w:sz w:val="16"/>
          <w:szCs w:val="16"/>
          <w:color w:val="auto"/>
        </w:rPr>
        <w:t>TCI Realty, LLC</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Arial" w:cs="Arial" w:eastAsia="Arial" w:hAnsi="Arial"/>
          <w:sz w:val="16"/>
          <w:szCs w:val="16"/>
          <w:color w:val="auto"/>
        </w:rPr>
        <w:t>DE</w:t>
      </w:r>
    </w:p>
    <w:p>
      <w:pPr>
        <w:sectPr>
          <w:pgSz w:w="11900" w:h="16838" w:orient="portrait"/>
          <w:cols w:equalWidth="0" w:num="2">
            <w:col w:w="7480" w:space="720"/>
            <w:col w:w="819"/>
          </w:cols>
          <w:pgMar w:left="1440" w:top="131" w:right="1440" w:bottom="1440" w:gutter="0" w:footer="0" w:header="0"/>
          <w:type w:val="continuous"/>
        </w:sectPr>
      </w:pPr>
    </w:p>
    <w:bookmarkStart w:id="195" w:name="page196"/>
    <w:bookmarkEnd w:id="195"/>
    <w:p>
      <w:pPr>
        <w:ind w:left="520"/>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253" name="Picture 2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3"/>
                    <pic:cNvPicPr>
                      <a:picLocks noChangeAspect="1" noChangeArrowheads="1"/>
                    </pic:cNvPicPr>
                  </pic:nvPicPr>
                  <pic:blipFill>
                    <a:blip r:embed="rId260">
                      <a:extLst>
                        <a:ext uri="{28A0092B-C50C-407E-A947-70E740481C1C}"/>
                      </a:extLst>
                    </a:blip>
                    <a:srcRect/>
                    <a:stretch>
                      <a:fillRect/>
                    </a:stretch>
                  </pic:blipFill>
                  <pic:spPr bwMode="auto">
                    <a:xfrm>
                      <a:off x="0" y="0"/>
                      <a:ext cx="7267575" cy="27940"/>
                    </a:xfrm>
                    <a:prstGeom prst="rect">
                      <a:avLst/>
                    </a:prstGeom>
                    <a:noFill/>
                  </pic:spPr>
                </pic:pic>
              </a:graphicData>
            </a:graphic>
          </wp:anchor>
        </w:drawing>
        <w:t>TCI South Carolina IP-I, LLC</w:t>
      </w:r>
    </w:p>
    <w:p>
      <w:pPr>
        <w:spacing w:after="0" w:line="117" w:lineRule="exact"/>
        <w:rPr>
          <w:sz w:val="20"/>
          <w:szCs w:val="20"/>
          <w:color w:val="auto"/>
        </w:rPr>
      </w:pPr>
    </w:p>
    <w:p>
      <w:pPr>
        <w:ind w:left="520"/>
        <w:spacing w:after="0"/>
        <w:rPr>
          <w:sz w:val="20"/>
          <w:szCs w:val="20"/>
          <w:color w:val="auto"/>
        </w:rPr>
      </w:pPr>
      <w:r>
        <w:rPr>
          <w:rFonts w:ascii="Arial" w:cs="Arial" w:eastAsia="Arial" w:hAnsi="Arial"/>
          <w:sz w:val="18"/>
          <w:szCs w:val="18"/>
          <w:color w:val="auto"/>
        </w:rPr>
        <w:t>TCI Southeast, Inc.</w:t>
      </w:r>
    </w:p>
    <w:p>
      <w:pPr>
        <w:spacing w:after="0" w:line="117" w:lineRule="exact"/>
        <w:rPr>
          <w:sz w:val="20"/>
          <w:szCs w:val="20"/>
          <w:color w:val="auto"/>
        </w:rPr>
      </w:pPr>
    </w:p>
    <w:p>
      <w:pPr>
        <w:ind w:left="520"/>
        <w:spacing w:after="0"/>
        <w:rPr>
          <w:sz w:val="20"/>
          <w:szCs w:val="20"/>
          <w:color w:val="auto"/>
        </w:rPr>
      </w:pPr>
      <w:r>
        <w:rPr>
          <w:rFonts w:ascii="Arial" w:cs="Arial" w:eastAsia="Arial" w:hAnsi="Arial"/>
          <w:sz w:val="18"/>
          <w:szCs w:val="18"/>
          <w:color w:val="auto"/>
        </w:rPr>
        <w:t>TCI Spartanburg IP-IV, LLC</w:t>
      </w:r>
    </w:p>
    <w:p>
      <w:pPr>
        <w:spacing w:after="0" w:line="117" w:lineRule="exact"/>
        <w:rPr>
          <w:sz w:val="20"/>
          <w:szCs w:val="20"/>
          <w:color w:val="auto"/>
        </w:rPr>
      </w:pPr>
    </w:p>
    <w:p>
      <w:pPr>
        <w:ind w:left="520"/>
        <w:spacing w:after="0"/>
        <w:rPr>
          <w:sz w:val="20"/>
          <w:szCs w:val="20"/>
          <w:color w:val="auto"/>
        </w:rPr>
      </w:pPr>
      <w:r>
        <w:rPr>
          <w:rFonts w:ascii="Arial" w:cs="Arial" w:eastAsia="Arial" w:hAnsi="Arial"/>
          <w:sz w:val="18"/>
          <w:szCs w:val="18"/>
          <w:color w:val="auto"/>
        </w:rPr>
        <w:t>TCI Starz, Inc.</w:t>
      </w:r>
    </w:p>
    <w:p>
      <w:pPr>
        <w:spacing w:after="0" w:line="117" w:lineRule="exact"/>
        <w:rPr>
          <w:sz w:val="20"/>
          <w:szCs w:val="20"/>
          <w:color w:val="auto"/>
        </w:rPr>
      </w:pPr>
    </w:p>
    <w:p>
      <w:pPr>
        <w:ind w:left="520"/>
        <w:spacing w:after="0"/>
        <w:rPr>
          <w:sz w:val="20"/>
          <w:szCs w:val="20"/>
          <w:color w:val="auto"/>
        </w:rPr>
      </w:pPr>
      <w:r>
        <w:rPr>
          <w:rFonts w:ascii="Arial" w:cs="Arial" w:eastAsia="Arial" w:hAnsi="Arial"/>
          <w:sz w:val="16"/>
          <w:szCs w:val="16"/>
          <w:color w:val="auto"/>
        </w:rPr>
        <w:t>TCI Technology Management, LLC</w:t>
      </w:r>
    </w:p>
    <w:p>
      <w:pPr>
        <w:spacing w:after="0" w:line="140" w:lineRule="exact"/>
        <w:rPr>
          <w:sz w:val="20"/>
          <w:szCs w:val="20"/>
          <w:color w:val="auto"/>
        </w:rPr>
      </w:pPr>
    </w:p>
    <w:p>
      <w:pPr>
        <w:ind w:left="520"/>
        <w:spacing w:after="0"/>
        <w:rPr>
          <w:sz w:val="20"/>
          <w:szCs w:val="20"/>
          <w:color w:val="auto"/>
        </w:rPr>
      </w:pPr>
      <w:r>
        <w:rPr>
          <w:rFonts w:ascii="Arial" w:cs="Arial" w:eastAsia="Arial" w:hAnsi="Arial"/>
          <w:sz w:val="18"/>
          <w:szCs w:val="18"/>
          <w:color w:val="auto"/>
        </w:rPr>
        <w:t>TCI Telecom, Inc.</w:t>
      </w:r>
    </w:p>
    <w:p>
      <w:pPr>
        <w:spacing w:after="0" w:line="117" w:lineRule="exact"/>
        <w:rPr>
          <w:sz w:val="20"/>
          <w:szCs w:val="20"/>
          <w:color w:val="auto"/>
        </w:rPr>
      </w:pPr>
    </w:p>
    <w:p>
      <w:pPr>
        <w:ind w:left="520"/>
        <w:spacing w:after="0"/>
        <w:rPr>
          <w:sz w:val="20"/>
          <w:szCs w:val="20"/>
          <w:color w:val="auto"/>
        </w:rPr>
      </w:pPr>
      <w:r>
        <w:rPr>
          <w:rFonts w:ascii="Arial" w:cs="Arial" w:eastAsia="Arial" w:hAnsi="Arial"/>
          <w:sz w:val="18"/>
          <w:szCs w:val="18"/>
          <w:color w:val="auto"/>
        </w:rPr>
        <w:t>TCI Texas Cable Holdings LLC</w:t>
      </w:r>
    </w:p>
    <w:p>
      <w:pPr>
        <w:spacing w:after="0" w:line="117" w:lineRule="exact"/>
        <w:rPr>
          <w:sz w:val="20"/>
          <w:szCs w:val="20"/>
          <w:color w:val="auto"/>
        </w:rPr>
      </w:pPr>
    </w:p>
    <w:p>
      <w:pPr>
        <w:ind w:left="520"/>
        <w:spacing w:after="0"/>
        <w:rPr>
          <w:sz w:val="20"/>
          <w:szCs w:val="20"/>
          <w:color w:val="auto"/>
        </w:rPr>
      </w:pPr>
      <w:r>
        <w:rPr>
          <w:rFonts w:ascii="Arial" w:cs="Arial" w:eastAsia="Arial" w:hAnsi="Arial"/>
          <w:sz w:val="18"/>
          <w:szCs w:val="18"/>
          <w:color w:val="auto"/>
        </w:rPr>
        <w:t>TCI Texas Cable, LLC</w:t>
      </w:r>
    </w:p>
    <w:p>
      <w:pPr>
        <w:spacing w:after="0" w:line="117" w:lineRule="exact"/>
        <w:rPr>
          <w:sz w:val="20"/>
          <w:szCs w:val="20"/>
          <w:color w:val="auto"/>
        </w:rPr>
      </w:pPr>
    </w:p>
    <w:p>
      <w:pPr>
        <w:ind w:left="520"/>
        <w:spacing w:after="0"/>
        <w:rPr>
          <w:sz w:val="20"/>
          <w:szCs w:val="20"/>
          <w:color w:val="auto"/>
        </w:rPr>
      </w:pPr>
      <w:r>
        <w:rPr>
          <w:rFonts w:ascii="Arial" w:cs="Arial" w:eastAsia="Arial" w:hAnsi="Arial"/>
          <w:sz w:val="18"/>
          <w:szCs w:val="18"/>
          <w:color w:val="auto"/>
        </w:rPr>
        <w:t>TCI TKR Cable II, Inc.</w:t>
      </w:r>
    </w:p>
    <w:p>
      <w:pPr>
        <w:spacing w:after="0" w:line="117" w:lineRule="exact"/>
        <w:rPr>
          <w:sz w:val="20"/>
          <w:szCs w:val="20"/>
          <w:color w:val="auto"/>
        </w:rPr>
      </w:pPr>
    </w:p>
    <w:p>
      <w:pPr>
        <w:ind w:left="520"/>
        <w:spacing w:after="0"/>
        <w:rPr>
          <w:sz w:val="20"/>
          <w:szCs w:val="20"/>
          <w:color w:val="auto"/>
        </w:rPr>
      </w:pPr>
      <w:r>
        <w:rPr>
          <w:rFonts w:ascii="Arial" w:cs="Arial" w:eastAsia="Arial" w:hAnsi="Arial"/>
          <w:sz w:val="18"/>
          <w:szCs w:val="18"/>
          <w:color w:val="auto"/>
        </w:rPr>
        <w:t>TCI TKR of Houston, Inc.</w:t>
      </w:r>
    </w:p>
    <w:p>
      <w:pPr>
        <w:spacing w:after="0" w:line="117" w:lineRule="exact"/>
        <w:rPr>
          <w:sz w:val="20"/>
          <w:szCs w:val="20"/>
          <w:color w:val="auto"/>
        </w:rPr>
      </w:pPr>
    </w:p>
    <w:p>
      <w:pPr>
        <w:ind w:left="520"/>
        <w:spacing w:after="0"/>
        <w:rPr>
          <w:sz w:val="20"/>
          <w:szCs w:val="20"/>
          <w:color w:val="auto"/>
        </w:rPr>
      </w:pPr>
      <w:r>
        <w:rPr>
          <w:rFonts w:ascii="Arial" w:cs="Arial" w:eastAsia="Arial" w:hAnsi="Arial"/>
          <w:sz w:val="18"/>
          <w:szCs w:val="18"/>
          <w:color w:val="auto"/>
        </w:rPr>
        <w:t>TCI TKR of Jefferson County, Inc.</w:t>
      </w:r>
    </w:p>
    <w:p>
      <w:pPr>
        <w:spacing w:after="0" w:line="117" w:lineRule="exact"/>
        <w:rPr>
          <w:sz w:val="20"/>
          <w:szCs w:val="20"/>
          <w:color w:val="auto"/>
        </w:rPr>
      </w:pPr>
    </w:p>
    <w:p>
      <w:pPr>
        <w:ind w:left="520"/>
        <w:spacing w:after="0"/>
        <w:rPr>
          <w:sz w:val="20"/>
          <w:szCs w:val="20"/>
          <w:color w:val="auto"/>
        </w:rPr>
      </w:pPr>
      <w:r>
        <w:rPr>
          <w:rFonts w:ascii="Arial" w:cs="Arial" w:eastAsia="Arial" w:hAnsi="Arial"/>
          <w:sz w:val="18"/>
          <w:szCs w:val="18"/>
          <w:color w:val="auto"/>
        </w:rPr>
        <w:t>TCI TKR of Metro Dade, LLC</w:t>
      </w:r>
    </w:p>
    <w:p>
      <w:pPr>
        <w:spacing w:after="0" w:line="117" w:lineRule="exact"/>
        <w:rPr>
          <w:sz w:val="20"/>
          <w:szCs w:val="20"/>
          <w:color w:val="auto"/>
        </w:rPr>
      </w:pPr>
    </w:p>
    <w:p>
      <w:pPr>
        <w:ind w:left="520"/>
        <w:spacing w:after="0"/>
        <w:rPr>
          <w:sz w:val="20"/>
          <w:szCs w:val="20"/>
          <w:color w:val="auto"/>
        </w:rPr>
      </w:pPr>
      <w:r>
        <w:rPr>
          <w:rFonts w:ascii="Arial" w:cs="Arial" w:eastAsia="Arial" w:hAnsi="Arial"/>
          <w:sz w:val="18"/>
          <w:szCs w:val="18"/>
          <w:color w:val="auto"/>
        </w:rPr>
        <w:t>TCI TKR of Southeast Texas, Inc.</w:t>
      </w:r>
    </w:p>
    <w:p>
      <w:pPr>
        <w:spacing w:after="0" w:line="117" w:lineRule="exact"/>
        <w:rPr>
          <w:sz w:val="20"/>
          <w:szCs w:val="20"/>
          <w:color w:val="auto"/>
        </w:rPr>
      </w:pPr>
    </w:p>
    <w:p>
      <w:pPr>
        <w:ind w:left="520"/>
        <w:spacing w:after="0"/>
        <w:rPr>
          <w:sz w:val="20"/>
          <w:szCs w:val="20"/>
          <w:color w:val="auto"/>
        </w:rPr>
      </w:pPr>
      <w:r>
        <w:rPr>
          <w:rFonts w:ascii="Arial" w:cs="Arial" w:eastAsia="Arial" w:hAnsi="Arial"/>
          <w:sz w:val="18"/>
          <w:szCs w:val="18"/>
          <w:color w:val="auto"/>
        </w:rPr>
        <w:t>TCI TKR of Wyoming, Inc.</w:t>
      </w:r>
    </w:p>
    <w:p>
      <w:pPr>
        <w:spacing w:after="0" w:line="117" w:lineRule="exact"/>
        <w:rPr>
          <w:sz w:val="20"/>
          <w:szCs w:val="20"/>
          <w:color w:val="auto"/>
        </w:rPr>
      </w:pPr>
    </w:p>
    <w:p>
      <w:pPr>
        <w:ind w:left="520"/>
        <w:spacing w:after="0"/>
        <w:rPr>
          <w:sz w:val="20"/>
          <w:szCs w:val="20"/>
          <w:color w:val="auto"/>
        </w:rPr>
      </w:pPr>
      <w:r>
        <w:rPr>
          <w:rFonts w:ascii="Arial" w:cs="Arial" w:eastAsia="Arial" w:hAnsi="Arial"/>
          <w:sz w:val="18"/>
          <w:szCs w:val="18"/>
          <w:color w:val="auto"/>
        </w:rPr>
        <w:t>TCI TW Texas JV Holdings II, Inc.</w:t>
      </w:r>
    </w:p>
    <w:p>
      <w:pPr>
        <w:spacing w:after="0" w:line="117" w:lineRule="exact"/>
        <w:rPr>
          <w:sz w:val="20"/>
          <w:szCs w:val="20"/>
          <w:color w:val="auto"/>
        </w:rPr>
      </w:pPr>
    </w:p>
    <w:p>
      <w:pPr>
        <w:ind w:left="520"/>
        <w:spacing w:after="0"/>
        <w:rPr>
          <w:sz w:val="20"/>
          <w:szCs w:val="20"/>
          <w:color w:val="auto"/>
        </w:rPr>
      </w:pPr>
      <w:r>
        <w:rPr>
          <w:rFonts w:ascii="Arial" w:cs="Arial" w:eastAsia="Arial" w:hAnsi="Arial"/>
          <w:sz w:val="18"/>
          <w:szCs w:val="18"/>
          <w:color w:val="auto"/>
        </w:rPr>
        <w:t>TCI TW Texas JV Holdings III, Inc.</w:t>
      </w:r>
    </w:p>
    <w:p>
      <w:pPr>
        <w:spacing w:after="0" w:line="117" w:lineRule="exact"/>
        <w:rPr>
          <w:sz w:val="20"/>
          <w:szCs w:val="20"/>
          <w:color w:val="auto"/>
        </w:rPr>
      </w:pPr>
    </w:p>
    <w:p>
      <w:pPr>
        <w:ind w:left="520"/>
        <w:spacing w:after="0"/>
        <w:rPr>
          <w:sz w:val="20"/>
          <w:szCs w:val="20"/>
          <w:color w:val="auto"/>
        </w:rPr>
      </w:pPr>
      <w:r>
        <w:rPr>
          <w:rFonts w:ascii="Arial" w:cs="Arial" w:eastAsia="Arial" w:hAnsi="Arial"/>
          <w:sz w:val="18"/>
          <w:szCs w:val="18"/>
          <w:color w:val="auto"/>
        </w:rPr>
        <w:t>TCI TW Texas JV Holdings IV, Inc.</w:t>
      </w:r>
    </w:p>
    <w:p>
      <w:pPr>
        <w:spacing w:after="0" w:line="117" w:lineRule="exact"/>
        <w:rPr>
          <w:sz w:val="20"/>
          <w:szCs w:val="20"/>
          <w:color w:val="auto"/>
        </w:rPr>
      </w:pPr>
    </w:p>
    <w:p>
      <w:pPr>
        <w:ind w:left="520"/>
        <w:spacing w:after="0"/>
        <w:rPr>
          <w:sz w:val="20"/>
          <w:szCs w:val="20"/>
          <w:color w:val="auto"/>
        </w:rPr>
      </w:pPr>
      <w:r>
        <w:rPr>
          <w:rFonts w:ascii="Arial" w:cs="Arial" w:eastAsia="Arial" w:hAnsi="Arial"/>
          <w:sz w:val="18"/>
          <w:szCs w:val="18"/>
          <w:color w:val="auto"/>
        </w:rPr>
        <w:t>TCI TW Texas JV Holdings V, Inc.</w:t>
      </w:r>
    </w:p>
    <w:p>
      <w:pPr>
        <w:spacing w:after="0" w:line="117" w:lineRule="exact"/>
        <w:rPr>
          <w:sz w:val="20"/>
          <w:szCs w:val="20"/>
          <w:color w:val="auto"/>
        </w:rPr>
      </w:pPr>
    </w:p>
    <w:p>
      <w:pPr>
        <w:ind w:left="520"/>
        <w:spacing w:after="0"/>
        <w:rPr>
          <w:sz w:val="20"/>
          <w:szCs w:val="20"/>
          <w:color w:val="auto"/>
        </w:rPr>
      </w:pPr>
      <w:r>
        <w:rPr>
          <w:rFonts w:ascii="Arial" w:cs="Arial" w:eastAsia="Arial" w:hAnsi="Arial"/>
          <w:sz w:val="18"/>
          <w:szCs w:val="18"/>
          <w:color w:val="auto"/>
        </w:rPr>
        <w:t>TCI USC, Inc.</w:t>
      </w:r>
    </w:p>
    <w:p>
      <w:pPr>
        <w:spacing w:after="0" w:line="117" w:lineRule="exact"/>
        <w:rPr>
          <w:sz w:val="20"/>
          <w:szCs w:val="20"/>
          <w:color w:val="auto"/>
        </w:rPr>
      </w:pPr>
    </w:p>
    <w:p>
      <w:pPr>
        <w:ind w:left="520"/>
        <w:spacing w:after="0"/>
        <w:rPr>
          <w:sz w:val="20"/>
          <w:szCs w:val="20"/>
          <w:color w:val="auto"/>
        </w:rPr>
      </w:pPr>
      <w:r>
        <w:rPr>
          <w:rFonts w:ascii="Arial" w:cs="Arial" w:eastAsia="Arial" w:hAnsi="Arial"/>
          <w:sz w:val="18"/>
          <w:szCs w:val="18"/>
          <w:color w:val="auto"/>
        </w:rPr>
        <w:t>TCI Ventures Five, Inc.</w:t>
      </w:r>
    </w:p>
    <w:p>
      <w:pPr>
        <w:spacing w:after="0" w:line="117" w:lineRule="exact"/>
        <w:rPr>
          <w:sz w:val="20"/>
          <w:szCs w:val="20"/>
          <w:color w:val="auto"/>
        </w:rPr>
      </w:pPr>
    </w:p>
    <w:p>
      <w:pPr>
        <w:ind w:left="520"/>
        <w:spacing w:after="0"/>
        <w:rPr>
          <w:sz w:val="20"/>
          <w:szCs w:val="20"/>
          <w:color w:val="auto"/>
        </w:rPr>
      </w:pPr>
      <w:r>
        <w:rPr>
          <w:rFonts w:ascii="Arial" w:cs="Arial" w:eastAsia="Arial" w:hAnsi="Arial"/>
          <w:sz w:val="18"/>
          <w:szCs w:val="18"/>
          <w:color w:val="auto"/>
        </w:rPr>
        <w:t>TCI Washington Associates, L.P.</w:t>
      </w:r>
    </w:p>
    <w:p>
      <w:pPr>
        <w:spacing w:after="0" w:line="117" w:lineRule="exact"/>
        <w:rPr>
          <w:sz w:val="20"/>
          <w:szCs w:val="20"/>
          <w:color w:val="auto"/>
        </w:rPr>
      </w:pPr>
    </w:p>
    <w:p>
      <w:pPr>
        <w:ind w:left="520"/>
        <w:spacing w:after="0"/>
        <w:rPr>
          <w:sz w:val="20"/>
          <w:szCs w:val="20"/>
          <w:color w:val="auto"/>
        </w:rPr>
      </w:pPr>
      <w:r>
        <w:rPr>
          <w:rFonts w:ascii="Arial" w:cs="Arial" w:eastAsia="Arial" w:hAnsi="Arial"/>
          <w:sz w:val="18"/>
          <w:szCs w:val="18"/>
          <w:color w:val="auto"/>
        </w:rPr>
        <w:t>TCI West, Inc.</w:t>
      </w:r>
    </w:p>
    <w:p>
      <w:pPr>
        <w:spacing w:after="0" w:line="117" w:lineRule="exact"/>
        <w:rPr>
          <w:sz w:val="20"/>
          <w:szCs w:val="20"/>
          <w:color w:val="auto"/>
        </w:rPr>
      </w:pPr>
    </w:p>
    <w:p>
      <w:pPr>
        <w:ind w:left="520"/>
        <w:spacing w:after="0"/>
        <w:rPr>
          <w:sz w:val="20"/>
          <w:szCs w:val="20"/>
          <w:color w:val="auto"/>
        </w:rPr>
      </w:pPr>
      <w:r>
        <w:rPr>
          <w:rFonts w:ascii="Arial" w:cs="Arial" w:eastAsia="Arial" w:hAnsi="Arial"/>
          <w:sz w:val="18"/>
          <w:szCs w:val="18"/>
          <w:color w:val="auto"/>
        </w:rPr>
        <w:t>TCI.NET, Inc.</w:t>
      </w:r>
    </w:p>
    <w:p>
      <w:pPr>
        <w:spacing w:after="0" w:line="117" w:lineRule="exact"/>
        <w:rPr>
          <w:sz w:val="20"/>
          <w:szCs w:val="20"/>
          <w:color w:val="auto"/>
        </w:rPr>
      </w:pPr>
    </w:p>
    <w:p>
      <w:pPr>
        <w:ind w:left="520"/>
        <w:spacing w:after="0"/>
        <w:rPr>
          <w:sz w:val="20"/>
          <w:szCs w:val="20"/>
          <w:color w:val="auto"/>
        </w:rPr>
      </w:pPr>
      <w:r>
        <w:rPr>
          <w:rFonts w:ascii="Arial" w:cs="Arial" w:eastAsia="Arial" w:hAnsi="Arial"/>
          <w:sz w:val="18"/>
          <w:szCs w:val="18"/>
          <w:color w:val="auto"/>
        </w:rPr>
        <w:t>TCI/CA Acquisition Sub LLC</w:t>
      </w:r>
    </w:p>
    <w:p>
      <w:pPr>
        <w:spacing w:after="0" w:line="117" w:lineRule="exact"/>
        <w:rPr>
          <w:sz w:val="20"/>
          <w:szCs w:val="20"/>
          <w:color w:val="auto"/>
        </w:rPr>
      </w:pPr>
    </w:p>
    <w:p>
      <w:pPr>
        <w:ind w:left="520"/>
        <w:spacing w:after="0"/>
        <w:rPr>
          <w:sz w:val="20"/>
          <w:szCs w:val="20"/>
          <w:color w:val="auto"/>
        </w:rPr>
      </w:pPr>
      <w:r>
        <w:rPr>
          <w:rFonts w:ascii="Arial" w:cs="Arial" w:eastAsia="Arial" w:hAnsi="Arial"/>
          <w:sz w:val="18"/>
          <w:szCs w:val="18"/>
          <w:color w:val="auto"/>
        </w:rPr>
        <w:t>TCI/CI Merger Sub, LLC</w:t>
      </w:r>
    </w:p>
    <w:p>
      <w:pPr>
        <w:spacing w:after="0" w:line="117" w:lineRule="exact"/>
        <w:rPr>
          <w:sz w:val="20"/>
          <w:szCs w:val="20"/>
          <w:color w:val="auto"/>
        </w:rPr>
      </w:pPr>
    </w:p>
    <w:p>
      <w:pPr>
        <w:ind w:left="520"/>
        <w:spacing w:after="0"/>
        <w:rPr>
          <w:sz w:val="20"/>
          <w:szCs w:val="20"/>
          <w:color w:val="auto"/>
        </w:rPr>
      </w:pPr>
      <w:r>
        <w:rPr>
          <w:rFonts w:ascii="Arial" w:cs="Arial" w:eastAsia="Arial" w:hAnsi="Arial"/>
          <w:sz w:val="18"/>
          <w:szCs w:val="18"/>
          <w:color w:val="auto"/>
        </w:rPr>
        <w:t>TCID Data Transport, Inc.</w:t>
      </w:r>
    </w:p>
    <w:p>
      <w:pPr>
        <w:spacing w:after="0" w:line="117" w:lineRule="exact"/>
        <w:rPr>
          <w:sz w:val="20"/>
          <w:szCs w:val="20"/>
          <w:color w:val="auto"/>
        </w:rPr>
      </w:pPr>
    </w:p>
    <w:p>
      <w:pPr>
        <w:ind w:left="520"/>
        <w:spacing w:after="0"/>
        <w:rPr>
          <w:sz w:val="20"/>
          <w:szCs w:val="20"/>
          <w:color w:val="auto"/>
        </w:rPr>
      </w:pPr>
      <w:r>
        <w:rPr>
          <w:rFonts w:ascii="Arial" w:cs="Arial" w:eastAsia="Arial" w:hAnsi="Arial"/>
          <w:sz w:val="18"/>
          <w:szCs w:val="18"/>
          <w:color w:val="auto"/>
        </w:rPr>
        <w:t>TCID of Chicago, Inc.</w:t>
      </w:r>
    </w:p>
    <w:p>
      <w:pPr>
        <w:spacing w:after="0" w:line="117" w:lineRule="exact"/>
        <w:rPr>
          <w:sz w:val="20"/>
          <w:szCs w:val="20"/>
          <w:color w:val="auto"/>
        </w:rPr>
      </w:pPr>
    </w:p>
    <w:p>
      <w:pPr>
        <w:ind w:left="520"/>
        <w:spacing w:after="0"/>
        <w:rPr>
          <w:sz w:val="20"/>
          <w:szCs w:val="20"/>
          <w:color w:val="auto"/>
        </w:rPr>
      </w:pPr>
      <w:r>
        <w:rPr>
          <w:rFonts w:ascii="Arial" w:cs="Arial" w:eastAsia="Arial" w:hAnsi="Arial"/>
          <w:sz w:val="18"/>
          <w:szCs w:val="18"/>
          <w:color w:val="auto"/>
        </w:rPr>
        <w:t>TCID of Florida, LLC</w:t>
      </w:r>
    </w:p>
    <w:p>
      <w:pPr>
        <w:spacing w:after="0" w:line="117" w:lineRule="exact"/>
        <w:rPr>
          <w:sz w:val="20"/>
          <w:szCs w:val="20"/>
          <w:color w:val="auto"/>
        </w:rPr>
      </w:pPr>
    </w:p>
    <w:p>
      <w:pPr>
        <w:ind w:left="520"/>
        <w:spacing w:after="0"/>
        <w:rPr>
          <w:sz w:val="20"/>
          <w:szCs w:val="20"/>
          <w:color w:val="auto"/>
        </w:rPr>
      </w:pPr>
      <w:r>
        <w:rPr>
          <w:rFonts w:ascii="Arial" w:cs="Arial" w:eastAsia="Arial" w:hAnsi="Arial"/>
          <w:sz w:val="18"/>
          <w:szCs w:val="18"/>
          <w:color w:val="auto"/>
        </w:rPr>
        <w:t>TCID of Michigan, Inc.</w:t>
      </w:r>
    </w:p>
    <w:p>
      <w:pPr>
        <w:spacing w:after="0" w:line="117" w:lineRule="exact"/>
        <w:rPr>
          <w:sz w:val="20"/>
          <w:szCs w:val="20"/>
          <w:color w:val="auto"/>
        </w:rPr>
      </w:pPr>
    </w:p>
    <w:p>
      <w:pPr>
        <w:ind w:left="520"/>
        <w:spacing w:after="0"/>
        <w:rPr>
          <w:sz w:val="20"/>
          <w:szCs w:val="20"/>
          <w:color w:val="auto"/>
        </w:rPr>
      </w:pPr>
      <w:r>
        <w:rPr>
          <w:rFonts w:ascii="Arial" w:cs="Arial" w:eastAsia="Arial" w:hAnsi="Arial"/>
          <w:sz w:val="18"/>
          <w:szCs w:val="18"/>
          <w:color w:val="auto"/>
        </w:rPr>
        <w:t>TCID of South Chicago, Inc.</w:t>
      </w:r>
    </w:p>
    <w:p>
      <w:pPr>
        <w:spacing w:after="0" w:line="117" w:lineRule="exact"/>
        <w:rPr>
          <w:sz w:val="20"/>
          <w:szCs w:val="20"/>
          <w:color w:val="auto"/>
        </w:rPr>
      </w:pPr>
    </w:p>
    <w:p>
      <w:pPr>
        <w:ind w:left="520"/>
        <w:spacing w:after="0"/>
        <w:rPr>
          <w:sz w:val="20"/>
          <w:szCs w:val="20"/>
          <w:color w:val="auto"/>
        </w:rPr>
      </w:pPr>
      <w:r>
        <w:rPr>
          <w:rFonts w:ascii="Arial" w:cs="Arial" w:eastAsia="Arial" w:hAnsi="Arial"/>
          <w:sz w:val="18"/>
          <w:szCs w:val="18"/>
          <w:color w:val="auto"/>
        </w:rPr>
        <w:t>TCID Partners II, Inc.</w:t>
      </w:r>
    </w:p>
    <w:p>
      <w:pPr>
        <w:spacing w:after="0" w:line="117" w:lineRule="exact"/>
        <w:rPr>
          <w:sz w:val="20"/>
          <w:szCs w:val="20"/>
          <w:color w:val="auto"/>
        </w:rPr>
      </w:pPr>
    </w:p>
    <w:p>
      <w:pPr>
        <w:ind w:left="520"/>
        <w:spacing w:after="0"/>
        <w:rPr>
          <w:sz w:val="20"/>
          <w:szCs w:val="20"/>
          <w:color w:val="auto"/>
        </w:rPr>
      </w:pPr>
      <w:r>
        <w:rPr>
          <w:rFonts w:ascii="Arial" w:cs="Arial" w:eastAsia="Arial" w:hAnsi="Arial"/>
          <w:sz w:val="18"/>
          <w:szCs w:val="18"/>
          <w:color w:val="auto"/>
        </w:rPr>
        <w:t>TCID Partners, Inc.</w:t>
      </w:r>
    </w:p>
    <w:p>
      <w:pPr>
        <w:spacing w:after="0" w:line="117" w:lineRule="exact"/>
        <w:rPr>
          <w:sz w:val="20"/>
          <w:szCs w:val="20"/>
          <w:color w:val="auto"/>
        </w:rPr>
      </w:pPr>
    </w:p>
    <w:p>
      <w:pPr>
        <w:ind w:left="520"/>
        <w:spacing w:after="0"/>
        <w:rPr>
          <w:sz w:val="20"/>
          <w:szCs w:val="20"/>
          <w:color w:val="auto"/>
        </w:rPr>
      </w:pPr>
      <w:r>
        <w:rPr>
          <w:rFonts w:ascii="Arial" w:cs="Arial" w:eastAsia="Arial" w:hAnsi="Arial"/>
          <w:sz w:val="18"/>
          <w:szCs w:val="18"/>
          <w:color w:val="auto"/>
        </w:rPr>
        <w:t>TCID X*press, Inc.</w:t>
      </w:r>
    </w:p>
    <w:p>
      <w:pPr>
        <w:spacing w:after="0" w:line="117" w:lineRule="exact"/>
        <w:rPr>
          <w:sz w:val="20"/>
          <w:szCs w:val="20"/>
          <w:color w:val="auto"/>
        </w:rPr>
      </w:pPr>
    </w:p>
    <w:p>
      <w:pPr>
        <w:ind w:left="520"/>
        <w:spacing w:after="0"/>
        <w:rPr>
          <w:sz w:val="20"/>
          <w:szCs w:val="20"/>
          <w:color w:val="auto"/>
        </w:rPr>
      </w:pPr>
      <w:r>
        <w:rPr>
          <w:rFonts w:ascii="Arial" w:cs="Arial" w:eastAsia="Arial" w:hAnsi="Arial"/>
          <w:sz w:val="18"/>
          <w:szCs w:val="18"/>
          <w:color w:val="auto"/>
        </w:rPr>
        <w:t>TCID-Commercial Music, Inc.</w:t>
      </w:r>
    </w:p>
    <w:p>
      <w:pPr>
        <w:spacing w:after="0" w:line="117" w:lineRule="exact"/>
        <w:rPr>
          <w:sz w:val="20"/>
          <w:szCs w:val="20"/>
          <w:color w:val="auto"/>
        </w:rPr>
      </w:pPr>
    </w:p>
    <w:p>
      <w:pPr>
        <w:ind w:left="520"/>
        <w:spacing w:after="0"/>
        <w:rPr>
          <w:sz w:val="20"/>
          <w:szCs w:val="20"/>
          <w:color w:val="auto"/>
        </w:rPr>
      </w:pPr>
      <w:r>
        <w:rPr>
          <w:rFonts w:ascii="Arial" w:cs="Arial" w:eastAsia="Arial" w:hAnsi="Arial"/>
          <w:sz w:val="16"/>
          <w:szCs w:val="16"/>
          <w:color w:val="auto"/>
        </w:rPr>
        <w:t>Tele-Communications of Colorado, Inc.</w:t>
      </w:r>
    </w:p>
    <w:p>
      <w:pPr>
        <w:spacing w:after="0" w:line="140" w:lineRule="exact"/>
        <w:rPr>
          <w:sz w:val="20"/>
          <w:szCs w:val="20"/>
          <w:color w:val="auto"/>
        </w:rPr>
      </w:pPr>
    </w:p>
    <w:p>
      <w:pPr>
        <w:ind w:left="520"/>
        <w:spacing w:after="0"/>
        <w:rPr>
          <w:sz w:val="20"/>
          <w:szCs w:val="20"/>
          <w:color w:val="auto"/>
        </w:rPr>
      </w:pPr>
      <w:r>
        <w:rPr>
          <w:rFonts w:ascii="Arial" w:cs="Arial" w:eastAsia="Arial" w:hAnsi="Arial"/>
          <w:sz w:val="18"/>
          <w:szCs w:val="18"/>
          <w:color w:val="auto"/>
        </w:rPr>
        <w:t>Tele-Link Telecomunicacoes S.A.</w:t>
      </w:r>
    </w:p>
    <w:p>
      <w:pPr>
        <w:spacing w:after="0" w:line="117" w:lineRule="exact"/>
        <w:rPr>
          <w:sz w:val="20"/>
          <w:szCs w:val="20"/>
          <w:color w:val="auto"/>
        </w:rPr>
      </w:pPr>
    </w:p>
    <w:p>
      <w:pPr>
        <w:ind w:left="520"/>
        <w:spacing w:after="0"/>
        <w:rPr>
          <w:sz w:val="20"/>
          <w:szCs w:val="20"/>
          <w:color w:val="auto"/>
        </w:rPr>
      </w:pPr>
      <w:r>
        <w:rPr>
          <w:rFonts w:ascii="Arial" w:cs="Arial" w:eastAsia="Arial" w:hAnsi="Arial"/>
          <w:sz w:val="18"/>
          <w:szCs w:val="18"/>
          <w:color w:val="auto"/>
        </w:rPr>
        <w:t>Televents Group Joint Venture</w:t>
      </w:r>
    </w:p>
    <w:p>
      <w:pPr>
        <w:spacing w:after="0" w:line="117" w:lineRule="exact"/>
        <w:rPr>
          <w:sz w:val="20"/>
          <w:szCs w:val="20"/>
          <w:color w:val="auto"/>
        </w:rPr>
      </w:pPr>
    </w:p>
    <w:p>
      <w:pPr>
        <w:ind w:left="520"/>
        <w:spacing w:after="0"/>
        <w:rPr>
          <w:sz w:val="20"/>
          <w:szCs w:val="20"/>
          <w:color w:val="auto"/>
        </w:rPr>
      </w:pPr>
      <w:r>
        <w:rPr>
          <w:rFonts w:ascii="Arial" w:cs="Arial" w:eastAsia="Arial" w:hAnsi="Arial"/>
          <w:sz w:val="18"/>
          <w:szCs w:val="18"/>
          <w:color w:val="auto"/>
        </w:rPr>
        <w:t>Televents Group, Inc.</w:t>
      </w:r>
    </w:p>
    <w:p>
      <w:pPr>
        <w:spacing w:after="0" w:line="117" w:lineRule="exact"/>
        <w:rPr>
          <w:sz w:val="20"/>
          <w:szCs w:val="20"/>
          <w:color w:val="auto"/>
        </w:rPr>
      </w:pPr>
    </w:p>
    <w:p>
      <w:pPr>
        <w:ind w:left="520"/>
        <w:spacing w:after="0"/>
        <w:rPr>
          <w:sz w:val="20"/>
          <w:szCs w:val="20"/>
          <w:color w:val="auto"/>
        </w:rPr>
      </w:pPr>
      <w:r>
        <w:rPr>
          <w:rFonts w:ascii="Arial" w:cs="Arial" w:eastAsia="Arial" w:hAnsi="Arial"/>
          <w:sz w:val="18"/>
          <w:szCs w:val="18"/>
          <w:color w:val="auto"/>
        </w:rPr>
        <w:t>Televents of Colorado, LLC</w:t>
      </w:r>
    </w:p>
    <w:p>
      <w:pPr>
        <w:spacing w:after="0" w:line="117" w:lineRule="exact"/>
        <w:rPr>
          <w:sz w:val="20"/>
          <w:szCs w:val="20"/>
          <w:color w:val="auto"/>
        </w:rPr>
      </w:pPr>
    </w:p>
    <w:p>
      <w:pPr>
        <w:ind w:left="520"/>
        <w:spacing w:after="0"/>
        <w:rPr>
          <w:sz w:val="20"/>
          <w:szCs w:val="20"/>
          <w:color w:val="auto"/>
        </w:rPr>
      </w:pPr>
      <w:r>
        <w:rPr>
          <w:rFonts w:ascii="Arial" w:cs="Arial" w:eastAsia="Arial" w:hAnsi="Arial"/>
          <w:sz w:val="18"/>
          <w:szCs w:val="18"/>
          <w:color w:val="auto"/>
        </w:rPr>
        <w:t>Televents of Florida, LLC</w:t>
      </w:r>
    </w:p>
    <w:p>
      <w:pPr>
        <w:spacing w:after="0" w:line="117" w:lineRule="exact"/>
        <w:rPr>
          <w:sz w:val="20"/>
          <w:szCs w:val="20"/>
          <w:color w:val="auto"/>
        </w:rPr>
      </w:pPr>
    </w:p>
    <w:p>
      <w:pPr>
        <w:ind w:left="520"/>
        <w:spacing w:after="0"/>
        <w:rPr>
          <w:sz w:val="20"/>
          <w:szCs w:val="20"/>
          <w:color w:val="auto"/>
        </w:rPr>
      </w:pPr>
      <w:r>
        <w:rPr>
          <w:rFonts w:ascii="Arial" w:cs="Arial" w:eastAsia="Arial" w:hAnsi="Arial"/>
          <w:sz w:val="18"/>
          <w:szCs w:val="18"/>
          <w:color w:val="auto"/>
        </w:rPr>
        <w:t>Televents of Powder River, LLC</w:t>
      </w:r>
    </w:p>
    <w:p>
      <w:pPr>
        <w:spacing w:after="0" w:line="117" w:lineRule="exact"/>
        <w:rPr>
          <w:sz w:val="20"/>
          <w:szCs w:val="20"/>
          <w:color w:val="auto"/>
        </w:rPr>
      </w:pPr>
    </w:p>
    <w:p>
      <w:pPr>
        <w:ind w:left="520"/>
        <w:spacing w:after="0"/>
        <w:rPr>
          <w:sz w:val="20"/>
          <w:szCs w:val="20"/>
          <w:color w:val="auto"/>
        </w:rPr>
      </w:pPr>
      <w:r>
        <w:rPr>
          <w:rFonts w:ascii="Arial" w:cs="Arial" w:eastAsia="Arial" w:hAnsi="Arial"/>
          <w:sz w:val="18"/>
          <w:szCs w:val="18"/>
          <w:color w:val="auto"/>
        </w:rPr>
        <w:t>Televents of Wyoming, LLC</w:t>
      </w:r>
    </w:p>
    <w:p>
      <w:pPr>
        <w:spacing w:after="0" w:line="117" w:lineRule="exact"/>
        <w:rPr>
          <w:sz w:val="20"/>
          <w:szCs w:val="20"/>
          <w:color w:val="auto"/>
        </w:rPr>
      </w:pPr>
    </w:p>
    <w:p>
      <w:pPr>
        <w:ind w:left="520"/>
        <w:spacing w:after="0"/>
        <w:rPr>
          <w:sz w:val="20"/>
          <w:szCs w:val="20"/>
          <w:color w:val="auto"/>
        </w:rPr>
      </w:pPr>
      <w:r>
        <w:rPr>
          <w:rFonts w:ascii="Arial" w:cs="Arial" w:eastAsia="Arial" w:hAnsi="Arial"/>
          <w:sz w:val="18"/>
          <w:szCs w:val="18"/>
          <w:color w:val="auto"/>
        </w:rPr>
        <w:t>Televester, Inc.</w:t>
      </w:r>
    </w:p>
    <w:p>
      <w:pPr>
        <w:spacing w:after="0" w:line="117" w:lineRule="exact"/>
        <w:rPr>
          <w:sz w:val="20"/>
          <w:szCs w:val="20"/>
          <w:color w:val="auto"/>
        </w:rPr>
      </w:pPr>
    </w:p>
    <w:p>
      <w:pPr>
        <w:ind w:left="520"/>
        <w:spacing w:after="0"/>
        <w:rPr>
          <w:sz w:val="20"/>
          <w:szCs w:val="20"/>
          <w:color w:val="auto"/>
        </w:rPr>
      </w:pPr>
      <w:r>
        <w:rPr>
          <w:rFonts w:ascii="Arial" w:cs="Arial" w:eastAsia="Arial" w:hAnsi="Arial"/>
          <w:sz w:val="18"/>
          <w:szCs w:val="18"/>
          <w:color w:val="auto"/>
        </w:rPr>
        <w:t>Tempo DBS, Inc.</w:t>
      </w:r>
    </w:p>
    <w:p>
      <w:pPr>
        <w:spacing w:after="0" w:line="117" w:lineRule="exact"/>
        <w:rPr>
          <w:sz w:val="20"/>
          <w:szCs w:val="20"/>
          <w:color w:val="auto"/>
        </w:rPr>
      </w:pPr>
    </w:p>
    <w:p>
      <w:pPr>
        <w:ind w:left="520"/>
        <w:spacing w:after="0"/>
        <w:rPr>
          <w:sz w:val="20"/>
          <w:szCs w:val="20"/>
          <w:color w:val="auto"/>
        </w:rPr>
      </w:pPr>
      <w:r>
        <w:rPr>
          <w:rFonts w:ascii="Arial" w:cs="Arial" w:eastAsia="Arial" w:hAnsi="Arial"/>
          <w:sz w:val="18"/>
          <w:szCs w:val="18"/>
          <w:color w:val="auto"/>
        </w:rPr>
        <w:t>Tempo Development Corporation</w:t>
      </w:r>
    </w:p>
    <w:p>
      <w:pPr>
        <w:spacing w:after="0" w:line="117" w:lineRule="exact"/>
        <w:rPr>
          <w:sz w:val="20"/>
          <w:szCs w:val="20"/>
          <w:color w:val="auto"/>
        </w:rPr>
      </w:pPr>
    </w:p>
    <w:p>
      <w:pPr>
        <w:ind w:left="520"/>
        <w:spacing w:after="0"/>
        <w:rPr>
          <w:sz w:val="20"/>
          <w:szCs w:val="20"/>
          <w:color w:val="auto"/>
        </w:rPr>
      </w:pPr>
      <w:r>
        <w:rPr>
          <w:rFonts w:ascii="Arial" w:cs="Arial" w:eastAsia="Arial" w:hAnsi="Arial"/>
          <w:sz w:val="18"/>
          <w:szCs w:val="18"/>
          <w:color w:val="auto"/>
        </w:rPr>
        <w:t>TEMPO Television, Inc.</w:t>
      </w:r>
    </w:p>
    <w:p>
      <w:pPr>
        <w:spacing w:after="0" w:line="117" w:lineRule="exact"/>
        <w:rPr>
          <w:sz w:val="20"/>
          <w:szCs w:val="20"/>
          <w:color w:val="auto"/>
        </w:rPr>
      </w:pPr>
    </w:p>
    <w:p>
      <w:pPr>
        <w:ind w:left="520"/>
        <w:spacing w:after="0"/>
        <w:rPr>
          <w:sz w:val="20"/>
          <w:szCs w:val="20"/>
          <w:color w:val="auto"/>
        </w:rPr>
      </w:pPr>
      <w:r>
        <w:rPr>
          <w:rFonts w:ascii="Arial" w:cs="Arial" w:eastAsia="Arial" w:hAnsi="Arial"/>
          <w:sz w:val="18"/>
          <w:szCs w:val="18"/>
          <w:color w:val="auto"/>
        </w:rPr>
        <w:t>TGC, Inc.</w:t>
      </w:r>
    </w:p>
    <w:p>
      <w:pPr>
        <w:spacing w:after="0" w:line="117" w:lineRule="exact"/>
        <w:rPr>
          <w:sz w:val="20"/>
          <w:szCs w:val="20"/>
          <w:color w:val="auto"/>
        </w:rPr>
      </w:pPr>
    </w:p>
    <w:p>
      <w:pPr>
        <w:ind w:left="520"/>
        <w:spacing w:after="0"/>
        <w:rPr>
          <w:sz w:val="20"/>
          <w:szCs w:val="20"/>
          <w:color w:val="auto"/>
        </w:rPr>
      </w:pPr>
      <w:r>
        <w:rPr>
          <w:rFonts w:ascii="Arial" w:cs="Arial" w:eastAsia="Arial" w:hAnsi="Arial"/>
          <w:sz w:val="18"/>
          <w:szCs w:val="18"/>
          <w:color w:val="auto"/>
        </w:rPr>
        <w:t>TGW Telecomunicacoes S.A.</w:t>
      </w:r>
    </w:p>
    <w:p>
      <w:pPr>
        <w:spacing w:after="0" w:line="117" w:lineRule="exact"/>
        <w:rPr>
          <w:sz w:val="20"/>
          <w:szCs w:val="20"/>
          <w:color w:val="auto"/>
        </w:rPr>
      </w:pPr>
    </w:p>
    <w:p>
      <w:pPr>
        <w:ind w:left="520"/>
        <w:spacing w:after="0"/>
        <w:rPr>
          <w:sz w:val="20"/>
          <w:szCs w:val="20"/>
          <w:color w:val="auto"/>
        </w:rPr>
      </w:pPr>
      <w:r>
        <w:rPr>
          <w:rFonts w:ascii="Arial" w:cs="Arial" w:eastAsia="Arial" w:hAnsi="Arial"/>
          <w:sz w:val="18"/>
          <w:szCs w:val="18"/>
          <w:color w:val="auto"/>
        </w:rPr>
        <w:t>The Comcast Foundation</w:t>
      </w:r>
    </w:p>
    <w:p>
      <w:pPr>
        <w:spacing w:after="0" w:line="117" w:lineRule="exact"/>
        <w:rPr>
          <w:sz w:val="20"/>
          <w:szCs w:val="20"/>
          <w:color w:val="auto"/>
        </w:rPr>
      </w:pPr>
    </w:p>
    <w:p>
      <w:pPr>
        <w:ind w:left="520"/>
        <w:spacing w:after="0"/>
        <w:rPr>
          <w:sz w:val="20"/>
          <w:szCs w:val="20"/>
          <w:color w:val="auto"/>
        </w:rPr>
      </w:pPr>
      <w:r>
        <w:rPr>
          <w:rFonts w:ascii="Arial" w:cs="Arial" w:eastAsia="Arial" w:hAnsi="Arial"/>
          <w:sz w:val="18"/>
          <w:szCs w:val="18"/>
          <w:color w:val="auto"/>
        </w:rPr>
        <w:t>The Intercable Group, Ltd.</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Arial" w:cs="Arial" w:eastAsia="Arial" w:hAnsi="Arial"/>
          <w:sz w:val="18"/>
          <w:szCs w:val="18"/>
          <w:color w:val="auto"/>
        </w:rPr>
        <w:t>DE</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color w:val="auto"/>
        </w:rPr>
        <w:t>DE</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color w:val="auto"/>
        </w:rPr>
        <w:t>DE</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color w:val="auto"/>
        </w:rPr>
        <w:t>CO</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color w:val="auto"/>
        </w:rPr>
        <w:t>DE</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color w:val="auto"/>
        </w:rPr>
        <w:t>DE</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color w:val="auto"/>
        </w:rPr>
        <w:t>CO</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color w:val="auto"/>
        </w:rPr>
        <w:t>CO</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color w:val="auto"/>
        </w:rPr>
        <w:t>DE</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color w:val="auto"/>
        </w:rPr>
        <w:t>DE</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color w:val="auto"/>
        </w:rPr>
        <w:t>DE</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color w:val="auto"/>
        </w:rPr>
        <w:t>DE</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color w:val="auto"/>
        </w:rPr>
        <w:t>DE</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color w:val="auto"/>
        </w:rPr>
        <w:t>WY</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color w:val="auto"/>
        </w:rPr>
        <w:t>CO</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color w:val="auto"/>
        </w:rPr>
        <w:t>CO</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color w:val="auto"/>
        </w:rPr>
        <w:t>CO</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color w:val="auto"/>
        </w:rPr>
        <w:t>CO</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color w:val="auto"/>
        </w:rPr>
        <w:t>CO</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color w:val="auto"/>
        </w:rPr>
        <w:t>CO</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color w:val="auto"/>
        </w:rPr>
        <w:t>DE</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color w:val="auto"/>
        </w:rPr>
        <w:t>DE</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color w:val="auto"/>
        </w:rPr>
        <w:t>DE</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color w:val="auto"/>
        </w:rPr>
        <w:t>CO</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color w:val="auto"/>
        </w:rPr>
        <w:t>DE</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color w:val="auto"/>
        </w:rPr>
        <w:t>CO</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color w:val="auto"/>
        </w:rPr>
        <w:t>IL</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color w:val="auto"/>
        </w:rPr>
        <w:t>FL</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color w:val="auto"/>
        </w:rPr>
        <w:t>NV</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color w:val="auto"/>
        </w:rPr>
        <w:t>IL</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color w:val="auto"/>
        </w:rPr>
        <w:t>CO</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color w:val="auto"/>
        </w:rPr>
        <w:t>CO</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color w:val="auto"/>
        </w:rPr>
        <w:t>CO</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color w:val="auto"/>
        </w:rPr>
        <w:t>CO</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color w:val="auto"/>
        </w:rPr>
        <w:t>CO</w:t>
      </w:r>
    </w:p>
    <w:p>
      <w:pPr>
        <w:spacing w:after="0" w:line="117" w:lineRule="exact"/>
        <w:rPr>
          <w:sz w:val="20"/>
          <w:szCs w:val="20"/>
          <w:color w:val="auto"/>
        </w:rPr>
      </w:pPr>
    </w:p>
    <w:p>
      <w:pPr>
        <w:spacing w:after="0"/>
        <w:rPr>
          <w:sz w:val="20"/>
          <w:szCs w:val="20"/>
          <w:color w:val="auto"/>
        </w:rPr>
      </w:pPr>
      <w:r>
        <w:rPr>
          <w:rFonts w:ascii="Arial" w:cs="Arial" w:eastAsia="Arial" w:hAnsi="Arial"/>
          <w:sz w:val="16"/>
          <w:szCs w:val="16"/>
          <w:color w:val="auto"/>
        </w:rPr>
        <w:t>Brazil</w:t>
      </w:r>
    </w:p>
    <w:p>
      <w:pPr>
        <w:spacing w:after="0" w:line="140" w:lineRule="exact"/>
        <w:rPr>
          <w:sz w:val="20"/>
          <w:szCs w:val="20"/>
          <w:color w:val="auto"/>
        </w:rPr>
      </w:pPr>
    </w:p>
    <w:p>
      <w:pPr>
        <w:spacing w:after="0"/>
        <w:rPr>
          <w:sz w:val="20"/>
          <w:szCs w:val="20"/>
          <w:color w:val="auto"/>
        </w:rPr>
      </w:pPr>
      <w:r>
        <w:rPr>
          <w:rFonts w:ascii="Arial" w:cs="Arial" w:eastAsia="Arial" w:hAnsi="Arial"/>
          <w:sz w:val="18"/>
          <w:szCs w:val="18"/>
          <w:color w:val="auto"/>
        </w:rPr>
        <w:t>CO</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color w:val="auto"/>
        </w:rPr>
        <w:t>NV</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color w:val="auto"/>
        </w:rPr>
        <w:t>CO</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color w:val="auto"/>
        </w:rPr>
        <w:t>DE</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color w:val="auto"/>
        </w:rPr>
        <w:t>DE</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color w:val="auto"/>
        </w:rPr>
        <w:t>DE</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color w:val="auto"/>
        </w:rPr>
        <w:t>DE</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color w:val="auto"/>
        </w:rPr>
        <w:t>CO</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color w:val="auto"/>
        </w:rPr>
        <w:t>OK</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color w:val="auto"/>
        </w:rPr>
        <w:t>OK</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color w:val="auto"/>
        </w:rPr>
        <w:t>DE</w:t>
      </w:r>
    </w:p>
    <w:p>
      <w:pPr>
        <w:spacing w:after="0" w:line="117" w:lineRule="exact"/>
        <w:rPr>
          <w:sz w:val="20"/>
          <w:szCs w:val="20"/>
          <w:color w:val="auto"/>
        </w:rPr>
      </w:pPr>
    </w:p>
    <w:p>
      <w:pPr>
        <w:spacing w:after="0"/>
        <w:rPr>
          <w:sz w:val="20"/>
          <w:szCs w:val="20"/>
          <w:color w:val="auto"/>
        </w:rPr>
      </w:pPr>
      <w:r>
        <w:rPr>
          <w:rFonts w:ascii="Arial" w:cs="Arial" w:eastAsia="Arial" w:hAnsi="Arial"/>
          <w:sz w:val="16"/>
          <w:szCs w:val="16"/>
          <w:color w:val="auto"/>
        </w:rPr>
        <w:t>Brazil</w:t>
      </w:r>
    </w:p>
    <w:p>
      <w:pPr>
        <w:spacing w:after="0" w:line="140" w:lineRule="exact"/>
        <w:rPr>
          <w:sz w:val="20"/>
          <w:szCs w:val="20"/>
          <w:color w:val="auto"/>
        </w:rPr>
      </w:pPr>
    </w:p>
    <w:p>
      <w:pPr>
        <w:spacing w:after="0"/>
        <w:rPr>
          <w:sz w:val="20"/>
          <w:szCs w:val="20"/>
          <w:color w:val="auto"/>
        </w:rPr>
      </w:pPr>
      <w:r>
        <w:rPr>
          <w:rFonts w:ascii="Arial" w:cs="Arial" w:eastAsia="Arial" w:hAnsi="Arial"/>
          <w:sz w:val="18"/>
          <w:szCs w:val="18"/>
          <w:color w:val="auto"/>
        </w:rPr>
        <w:t>DE</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color w:val="auto"/>
        </w:rPr>
        <w:t>CO</w:t>
      </w:r>
    </w:p>
    <w:p>
      <w:pPr>
        <w:sectPr>
          <w:pgSz w:w="11900" w:h="16838" w:orient="portrait"/>
          <w:cols w:equalWidth="0" w:num="2">
            <w:col w:w="7360" w:space="720"/>
            <w:col w:w="939"/>
          </w:cols>
          <w:pgMar w:left="1440" w:top="388" w:right="1440" w:bottom="0" w:gutter="0" w:footer="0" w:header="0"/>
        </w:sectPr>
      </w:pPr>
    </w:p>
    <w:bookmarkStart w:id="196" w:name="page197"/>
    <w:bookmarkEnd w:id="196"/>
    <w:p>
      <w:pPr>
        <w:ind w:left="520"/>
        <w:spacing w:after="0"/>
        <w:rPr>
          <w:sz w:val="20"/>
          <w:szCs w:val="20"/>
          <w:color w:val="auto"/>
        </w:rPr>
      </w:pPr>
      <w:r>
        <w:rPr>
          <w:rFonts w:ascii="Arial" w:cs="Arial" w:eastAsia="Arial" w:hAnsi="Arial"/>
          <w:sz w:val="16"/>
          <w:szCs w:val="16"/>
          <w:color w:val="auto"/>
        </w:rPr>
        <w:t>thePlatform for Media, Inc.</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Arial" w:cs="Arial" w:eastAsia="Arial" w:hAnsi="Arial"/>
          <w:sz w:val="15"/>
          <w:szCs w:val="15"/>
          <w:color w:val="auto"/>
        </w:rPr>
        <w:t>DE</w:t>
      </w:r>
    </w:p>
    <w:p>
      <w:pPr>
        <w:spacing w:after="0" w:line="151" w:lineRule="exact"/>
        <w:rPr>
          <w:sz w:val="20"/>
          <w:szCs w:val="20"/>
          <w:color w:val="auto"/>
        </w:rPr>
      </w:pPr>
    </w:p>
    <w:p>
      <w:pPr>
        <w:sectPr>
          <w:pgSz w:w="11900" w:h="16838" w:orient="portrait"/>
          <w:cols w:equalWidth="0" w:num="2">
            <w:col w:w="7360" w:space="720"/>
            <w:col w:w="939"/>
          </w:cols>
          <w:pgMar w:left="1440" w:top="131" w:right="1440" w:bottom="1440" w:gutter="0" w:footer="0" w:header="0"/>
        </w:sectPr>
      </w:pPr>
    </w:p>
    <w:p>
      <w:pPr>
        <w:ind w:left="520"/>
        <w:spacing w:after="0"/>
        <w:rPr>
          <w:sz w:val="20"/>
          <w:szCs w:val="20"/>
          <w:color w:val="auto"/>
        </w:rPr>
      </w:pPr>
      <w:r>
        <w:rPr>
          <w:rFonts w:ascii="Arial" w:cs="Arial" w:eastAsia="Arial" w:hAnsi="Arial"/>
          <w:sz w:val="16"/>
          <w:szCs w:val="16"/>
          <w:color w:val="auto"/>
        </w:rPr>
        <w:t>thePlatform, Inc.</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Arial" w:cs="Arial" w:eastAsia="Arial" w:hAnsi="Arial"/>
          <w:sz w:val="15"/>
          <w:szCs w:val="15"/>
          <w:color w:val="auto"/>
        </w:rPr>
        <w:t>DE</w:t>
      </w:r>
    </w:p>
    <w:p>
      <w:pPr>
        <w:sectPr>
          <w:pgSz w:w="11900" w:h="16838" w:orient="portrait"/>
          <w:cols w:equalWidth="0" w:num="2">
            <w:col w:w="7360" w:space="720"/>
            <w:col w:w="939"/>
          </w:cols>
          <w:pgMar w:left="1440" w:top="131" w:right="1440" w:bottom="1440" w:gutter="0" w:footer="0" w:header="0"/>
          <w:type w:val="continuous"/>
        </w:sectPr>
      </w:pPr>
    </w:p>
    <w:bookmarkStart w:id="197" w:name="page198"/>
    <w:bookmarkEnd w:id="197"/>
    <w:p>
      <w:pPr>
        <w:ind w:left="520"/>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254" name="Picture 2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4"/>
                    <pic:cNvPicPr>
                      <a:picLocks noChangeAspect="1" noChangeArrowheads="1"/>
                    </pic:cNvPicPr>
                  </pic:nvPicPr>
                  <pic:blipFill>
                    <a:blip r:embed="rId261">
                      <a:extLst>
                        <a:ext uri="{28A0092B-C50C-407E-A947-70E740481C1C}"/>
                      </a:extLst>
                    </a:blip>
                    <a:srcRect/>
                    <a:stretch>
                      <a:fillRect/>
                    </a:stretch>
                  </pic:blipFill>
                  <pic:spPr bwMode="auto">
                    <a:xfrm>
                      <a:off x="0" y="0"/>
                      <a:ext cx="7267575" cy="27940"/>
                    </a:xfrm>
                    <a:prstGeom prst="rect">
                      <a:avLst/>
                    </a:prstGeom>
                    <a:noFill/>
                  </pic:spPr>
                </pic:pic>
              </a:graphicData>
            </a:graphic>
          </wp:anchor>
        </w:drawing>
        <w:t>THOG Productions, LLC</w:t>
      </w:r>
    </w:p>
    <w:p>
      <w:pPr>
        <w:spacing w:after="0" w:line="117" w:lineRule="exact"/>
        <w:rPr>
          <w:sz w:val="20"/>
          <w:szCs w:val="20"/>
          <w:color w:val="auto"/>
        </w:rPr>
      </w:pPr>
    </w:p>
    <w:p>
      <w:pPr>
        <w:ind w:left="520"/>
        <w:spacing w:after="0"/>
        <w:rPr>
          <w:sz w:val="20"/>
          <w:szCs w:val="20"/>
          <w:color w:val="auto"/>
        </w:rPr>
      </w:pPr>
      <w:r>
        <w:rPr>
          <w:rFonts w:ascii="Arial" w:cs="Arial" w:eastAsia="Arial" w:hAnsi="Arial"/>
          <w:sz w:val="18"/>
          <w:szCs w:val="18"/>
          <w:color w:val="auto"/>
        </w:rPr>
        <w:t>Trans-Muskingum, Incorporated</w:t>
      </w:r>
    </w:p>
    <w:p>
      <w:pPr>
        <w:spacing w:after="0" w:line="117" w:lineRule="exact"/>
        <w:rPr>
          <w:sz w:val="20"/>
          <w:szCs w:val="20"/>
          <w:color w:val="auto"/>
        </w:rPr>
      </w:pPr>
    </w:p>
    <w:p>
      <w:pPr>
        <w:ind w:left="520"/>
        <w:spacing w:after="0"/>
        <w:rPr>
          <w:sz w:val="20"/>
          <w:szCs w:val="20"/>
          <w:color w:val="auto"/>
        </w:rPr>
      </w:pPr>
      <w:r>
        <w:rPr>
          <w:rFonts w:ascii="Arial" w:cs="Arial" w:eastAsia="Arial" w:hAnsi="Arial"/>
          <w:sz w:val="18"/>
          <w:szCs w:val="18"/>
          <w:color w:val="auto"/>
        </w:rPr>
        <w:t>Tribune-United Cable of Oakland County</w:t>
      </w:r>
    </w:p>
    <w:p>
      <w:pPr>
        <w:spacing w:after="0" w:line="117" w:lineRule="exact"/>
        <w:rPr>
          <w:sz w:val="20"/>
          <w:szCs w:val="20"/>
          <w:color w:val="auto"/>
        </w:rPr>
      </w:pPr>
    </w:p>
    <w:p>
      <w:pPr>
        <w:ind w:left="520"/>
        <w:spacing w:after="0"/>
        <w:rPr>
          <w:sz w:val="20"/>
          <w:szCs w:val="20"/>
          <w:color w:val="auto"/>
        </w:rPr>
      </w:pPr>
      <w:r>
        <w:rPr>
          <w:rFonts w:ascii="Arial" w:cs="Arial" w:eastAsia="Arial" w:hAnsi="Arial"/>
          <w:sz w:val="18"/>
          <w:szCs w:val="18"/>
          <w:color w:val="auto"/>
        </w:rPr>
        <w:t>TVWorks Canada, Inc.</w:t>
      </w:r>
    </w:p>
    <w:p>
      <w:pPr>
        <w:spacing w:after="0" w:line="117" w:lineRule="exact"/>
        <w:rPr>
          <w:sz w:val="20"/>
          <w:szCs w:val="20"/>
          <w:color w:val="auto"/>
        </w:rPr>
      </w:pPr>
    </w:p>
    <w:p>
      <w:pPr>
        <w:ind w:left="520"/>
        <w:spacing w:after="0"/>
        <w:rPr>
          <w:sz w:val="20"/>
          <w:szCs w:val="20"/>
          <w:color w:val="auto"/>
        </w:rPr>
      </w:pPr>
      <w:r>
        <w:rPr>
          <w:rFonts w:ascii="Arial" w:cs="Arial" w:eastAsia="Arial" w:hAnsi="Arial"/>
          <w:sz w:val="18"/>
          <w:szCs w:val="18"/>
          <w:color w:val="auto"/>
        </w:rPr>
        <w:t>TVWorks Holdings, Inc.</w:t>
      </w:r>
    </w:p>
    <w:p>
      <w:pPr>
        <w:spacing w:after="0" w:line="117" w:lineRule="exact"/>
        <w:rPr>
          <w:sz w:val="20"/>
          <w:szCs w:val="20"/>
          <w:color w:val="auto"/>
        </w:rPr>
      </w:pPr>
    </w:p>
    <w:p>
      <w:pPr>
        <w:ind w:left="520"/>
        <w:spacing w:after="0"/>
        <w:rPr>
          <w:sz w:val="20"/>
          <w:szCs w:val="20"/>
          <w:color w:val="auto"/>
        </w:rPr>
      </w:pPr>
      <w:r>
        <w:rPr>
          <w:rFonts w:ascii="Arial" w:cs="Arial" w:eastAsia="Arial" w:hAnsi="Arial"/>
          <w:sz w:val="18"/>
          <w:szCs w:val="18"/>
          <w:color w:val="auto"/>
        </w:rPr>
        <w:t>TVWorks, LLC</w:t>
      </w:r>
    </w:p>
    <w:p>
      <w:pPr>
        <w:spacing w:after="0" w:line="117" w:lineRule="exact"/>
        <w:rPr>
          <w:sz w:val="20"/>
          <w:szCs w:val="20"/>
          <w:color w:val="auto"/>
        </w:rPr>
      </w:pPr>
    </w:p>
    <w:p>
      <w:pPr>
        <w:ind w:left="520"/>
        <w:spacing w:after="0"/>
        <w:rPr>
          <w:sz w:val="20"/>
          <w:szCs w:val="20"/>
          <w:color w:val="auto"/>
        </w:rPr>
      </w:pPr>
      <w:r>
        <w:rPr>
          <w:rFonts w:ascii="Arial" w:cs="Arial" w:eastAsia="Arial" w:hAnsi="Arial"/>
          <w:sz w:val="18"/>
          <w:szCs w:val="18"/>
          <w:color w:val="auto"/>
        </w:rPr>
        <w:t>TWE Holdings I Trust</w:t>
      </w:r>
    </w:p>
    <w:p>
      <w:pPr>
        <w:spacing w:after="0" w:line="117" w:lineRule="exact"/>
        <w:rPr>
          <w:sz w:val="20"/>
          <w:szCs w:val="20"/>
          <w:color w:val="auto"/>
        </w:rPr>
      </w:pPr>
    </w:p>
    <w:p>
      <w:pPr>
        <w:ind w:left="520"/>
        <w:spacing w:after="0"/>
        <w:rPr>
          <w:sz w:val="20"/>
          <w:szCs w:val="20"/>
          <w:color w:val="auto"/>
        </w:rPr>
      </w:pPr>
      <w:r>
        <w:rPr>
          <w:rFonts w:ascii="Arial" w:cs="Arial" w:eastAsia="Arial" w:hAnsi="Arial"/>
          <w:sz w:val="18"/>
          <w:szCs w:val="18"/>
          <w:color w:val="auto"/>
        </w:rPr>
        <w:t>TWE Holdings II Trust</w:t>
      </w:r>
    </w:p>
    <w:p>
      <w:pPr>
        <w:spacing w:after="0" w:line="117" w:lineRule="exact"/>
        <w:rPr>
          <w:sz w:val="20"/>
          <w:szCs w:val="20"/>
          <w:color w:val="auto"/>
        </w:rPr>
      </w:pPr>
    </w:p>
    <w:p>
      <w:pPr>
        <w:ind w:left="520"/>
        <w:spacing w:after="0"/>
        <w:rPr>
          <w:sz w:val="20"/>
          <w:szCs w:val="20"/>
          <w:color w:val="auto"/>
        </w:rPr>
      </w:pPr>
      <w:r>
        <w:rPr>
          <w:rFonts w:ascii="Arial" w:cs="Arial" w:eastAsia="Arial" w:hAnsi="Arial"/>
          <w:sz w:val="18"/>
          <w:szCs w:val="18"/>
          <w:color w:val="auto"/>
        </w:rPr>
        <w:t>U S West (India) Private Limited</w:t>
      </w:r>
    </w:p>
    <w:p>
      <w:pPr>
        <w:spacing w:after="0" w:line="117" w:lineRule="exact"/>
        <w:rPr>
          <w:sz w:val="20"/>
          <w:szCs w:val="20"/>
          <w:color w:val="auto"/>
        </w:rPr>
      </w:pPr>
    </w:p>
    <w:p>
      <w:pPr>
        <w:ind w:left="520"/>
        <w:spacing w:after="0"/>
        <w:rPr>
          <w:sz w:val="20"/>
          <w:szCs w:val="20"/>
          <w:color w:val="auto"/>
        </w:rPr>
      </w:pPr>
      <w:r>
        <w:rPr>
          <w:rFonts w:ascii="Arial" w:cs="Arial" w:eastAsia="Arial" w:hAnsi="Arial"/>
          <w:sz w:val="18"/>
          <w:szCs w:val="18"/>
          <w:color w:val="auto"/>
        </w:rPr>
        <w:t>UACC Midwest Insgt Holdings, LLC</w:t>
      </w:r>
    </w:p>
    <w:p>
      <w:pPr>
        <w:spacing w:after="0" w:line="117" w:lineRule="exact"/>
        <w:rPr>
          <w:sz w:val="20"/>
          <w:szCs w:val="20"/>
          <w:color w:val="auto"/>
        </w:rPr>
      </w:pPr>
    </w:p>
    <w:p>
      <w:pPr>
        <w:ind w:left="520"/>
        <w:spacing w:after="0"/>
        <w:rPr>
          <w:sz w:val="20"/>
          <w:szCs w:val="20"/>
          <w:color w:val="auto"/>
        </w:rPr>
      </w:pPr>
      <w:r>
        <w:rPr>
          <w:rFonts w:ascii="Arial" w:cs="Arial" w:eastAsia="Arial" w:hAnsi="Arial"/>
          <w:sz w:val="16"/>
          <w:szCs w:val="16"/>
          <w:color w:val="auto"/>
        </w:rPr>
        <w:t>UA-Columbia Cablevision of Massachusetts, Inc.</w:t>
      </w:r>
    </w:p>
    <w:p>
      <w:pPr>
        <w:spacing w:after="0" w:line="140" w:lineRule="exact"/>
        <w:rPr>
          <w:sz w:val="20"/>
          <w:szCs w:val="20"/>
          <w:color w:val="auto"/>
        </w:rPr>
      </w:pPr>
    </w:p>
    <w:p>
      <w:pPr>
        <w:ind w:left="520"/>
        <w:spacing w:after="0"/>
        <w:rPr>
          <w:sz w:val="20"/>
          <w:szCs w:val="20"/>
          <w:color w:val="auto"/>
        </w:rPr>
      </w:pPr>
      <w:r>
        <w:rPr>
          <w:rFonts w:ascii="Arial" w:cs="Arial" w:eastAsia="Arial" w:hAnsi="Arial"/>
          <w:sz w:val="18"/>
          <w:szCs w:val="18"/>
          <w:color w:val="auto"/>
        </w:rPr>
        <w:t>UATC Merger Corp.</w:t>
      </w:r>
    </w:p>
    <w:p>
      <w:pPr>
        <w:spacing w:after="0" w:line="117" w:lineRule="exact"/>
        <w:rPr>
          <w:sz w:val="20"/>
          <w:szCs w:val="20"/>
          <w:color w:val="auto"/>
        </w:rPr>
      </w:pPr>
    </w:p>
    <w:p>
      <w:pPr>
        <w:ind w:left="520"/>
        <w:spacing w:after="0"/>
        <w:rPr>
          <w:sz w:val="20"/>
          <w:szCs w:val="20"/>
          <w:color w:val="auto"/>
        </w:rPr>
      </w:pPr>
      <w:r>
        <w:rPr>
          <w:rFonts w:ascii="Arial" w:cs="Arial" w:eastAsia="Arial" w:hAnsi="Arial"/>
          <w:sz w:val="18"/>
          <w:szCs w:val="18"/>
          <w:color w:val="auto"/>
        </w:rPr>
        <w:t>UCTC LP Company</w:t>
      </w:r>
    </w:p>
    <w:p>
      <w:pPr>
        <w:spacing w:after="0" w:line="117" w:lineRule="exact"/>
        <w:rPr>
          <w:sz w:val="20"/>
          <w:szCs w:val="20"/>
          <w:color w:val="auto"/>
        </w:rPr>
      </w:pPr>
    </w:p>
    <w:p>
      <w:pPr>
        <w:ind w:left="520"/>
        <w:spacing w:after="0"/>
        <w:rPr>
          <w:sz w:val="20"/>
          <w:szCs w:val="20"/>
          <w:color w:val="auto"/>
        </w:rPr>
      </w:pPr>
      <w:r>
        <w:rPr>
          <w:rFonts w:ascii="Arial" w:cs="Arial" w:eastAsia="Arial" w:hAnsi="Arial"/>
          <w:sz w:val="18"/>
          <w:szCs w:val="18"/>
          <w:color w:val="auto"/>
        </w:rPr>
        <w:t>UCTC of Los Angeles County, Inc.</w:t>
      </w:r>
    </w:p>
    <w:p>
      <w:pPr>
        <w:spacing w:after="0" w:line="117" w:lineRule="exact"/>
        <w:rPr>
          <w:sz w:val="20"/>
          <w:szCs w:val="20"/>
          <w:color w:val="auto"/>
        </w:rPr>
      </w:pPr>
    </w:p>
    <w:p>
      <w:pPr>
        <w:ind w:left="520"/>
        <w:spacing w:after="0"/>
        <w:rPr>
          <w:sz w:val="20"/>
          <w:szCs w:val="20"/>
          <w:color w:val="auto"/>
        </w:rPr>
      </w:pPr>
      <w:r>
        <w:rPr>
          <w:rFonts w:ascii="Arial" w:cs="Arial" w:eastAsia="Arial" w:hAnsi="Arial"/>
          <w:sz w:val="18"/>
          <w:szCs w:val="18"/>
          <w:color w:val="auto"/>
        </w:rPr>
        <w:t>United Artists Holdings, Inc.</w:t>
      </w:r>
    </w:p>
    <w:p>
      <w:pPr>
        <w:spacing w:after="0" w:line="117" w:lineRule="exact"/>
        <w:rPr>
          <w:sz w:val="20"/>
          <w:szCs w:val="20"/>
          <w:color w:val="auto"/>
        </w:rPr>
      </w:pPr>
    </w:p>
    <w:p>
      <w:pPr>
        <w:ind w:left="520"/>
        <w:spacing w:after="0"/>
        <w:rPr>
          <w:sz w:val="20"/>
          <w:szCs w:val="20"/>
          <w:color w:val="auto"/>
        </w:rPr>
      </w:pPr>
      <w:r>
        <w:rPr>
          <w:rFonts w:ascii="Arial" w:cs="Arial" w:eastAsia="Arial" w:hAnsi="Arial"/>
          <w:sz w:val="18"/>
          <w:szCs w:val="18"/>
          <w:color w:val="auto"/>
        </w:rPr>
        <w:t>United Artists Holdings, LLC</w:t>
      </w:r>
    </w:p>
    <w:p>
      <w:pPr>
        <w:spacing w:after="0" w:line="117" w:lineRule="exact"/>
        <w:rPr>
          <w:sz w:val="20"/>
          <w:szCs w:val="20"/>
          <w:color w:val="auto"/>
        </w:rPr>
      </w:pPr>
    </w:p>
    <w:p>
      <w:pPr>
        <w:ind w:left="520"/>
        <w:spacing w:after="0"/>
        <w:rPr>
          <w:sz w:val="20"/>
          <w:szCs w:val="20"/>
          <w:color w:val="auto"/>
        </w:rPr>
      </w:pPr>
      <w:r>
        <w:rPr>
          <w:rFonts w:ascii="Arial" w:cs="Arial" w:eastAsia="Arial" w:hAnsi="Arial"/>
          <w:sz w:val="18"/>
          <w:szCs w:val="18"/>
          <w:color w:val="auto"/>
        </w:rPr>
        <w:t>United Cable Investment of Baltimore, Inc.</w:t>
      </w:r>
    </w:p>
    <w:p>
      <w:pPr>
        <w:spacing w:after="0" w:line="117" w:lineRule="exact"/>
        <w:rPr>
          <w:sz w:val="20"/>
          <w:szCs w:val="20"/>
          <w:color w:val="auto"/>
        </w:rPr>
      </w:pPr>
    </w:p>
    <w:p>
      <w:pPr>
        <w:ind w:left="520"/>
        <w:spacing w:after="0"/>
        <w:rPr>
          <w:sz w:val="20"/>
          <w:szCs w:val="20"/>
          <w:color w:val="auto"/>
        </w:rPr>
      </w:pPr>
      <w:r>
        <w:rPr>
          <w:rFonts w:ascii="Arial" w:cs="Arial" w:eastAsia="Arial" w:hAnsi="Arial"/>
          <w:sz w:val="16"/>
          <w:szCs w:val="16"/>
          <w:color w:val="auto"/>
        </w:rPr>
        <w:t>United Cable Television Corporation of Michigan</w:t>
      </w:r>
    </w:p>
    <w:p>
      <w:pPr>
        <w:spacing w:after="0" w:line="140" w:lineRule="exact"/>
        <w:rPr>
          <w:sz w:val="20"/>
          <w:szCs w:val="20"/>
          <w:color w:val="auto"/>
        </w:rPr>
      </w:pPr>
    </w:p>
    <w:p>
      <w:pPr>
        <w:ind w:left="520"/>
        <w:spacing w:after="0"/>
        <w:rPr>
          <w:sz w:val="20"/>
          <w:szCs w:val="20"/>
          <w:color w:val="auto"/>
        </w:rPr>
      </w:pPr>
      <w:r>
        <w:rPr>
          <w:rFonts w:ascii="Arial" w:cs="Arial" w:eastAsia="Arial" w:hAnsi="Arial"/>
          <w:sz w:val="16"/>
          <w:szCs w:val="16"/>
          <w:color w:val="auto"/>
        </w:rPr>
        <w:t>United Cable Television of Baldwin Park, Inc.</w:t>
      </w:r>
    </w:p>
    <w:p>
      <w:pPr>
        <w:spacing w:after="0" w:line="140" w:lineRule="exact"/>
        <w:rPr>
          <w:sz w:val="20"/>
          <w:szCs w:val="20"/>
          <w:color w:val="auto"/>
        </w:rPr>
      </w:pPr>
    </w:p>
    <w:p>
      <w:pPr>
        <w:ind w:left="520"/>
        <w:spacing w:after="0"/>
        <w:rPr>
          <w:sz w:val="20"/>
          <w:szCs w:val="20"/>
          <w:color w:val="auto"/>
        </w:rPr>
      </w:pPr>
      <w:r>
        <w:rPr>
          <w:rFonts w:ascii="Arial" w:cs="Arial" w:eastAsia="Arial" w:hAnsi="Arial"/>
          <w:sz w:val="16"/>
          <w:szCs w:val="16"/>
          <w:color w:val="auto"/>
        </w:rPr>
        <w:t>United Cable Television of Illinois Valley, Inc.</w:t>
      </w:r>
    </w:p>
    <w:p>
      <w:pPr>
        <w:spacing w:after="0" w:line="140" w:lineRule="exact"/>
        <w:rPr>
          <w:sz w:val="20"/>
          <w:szCs w:val="20"/>
          <w:color w:val="auto"/>
        </w:rPr>
      </w:pPr>
    </w:p>
    <w:p>
      <w:pPr>
        <w:ind w:left="520"/>
        <w:spacing w:after="0"/>
        <w:rPr>
          <w:sz w:val="20"/>
          <w:szCs w:val="20"/>
          <w:color w:val="auto"/>
        </w:rPr>
      </w:pPr>
      <w:r>
        <w:rPr>
          <w:rFonts w:ascii="Arial" w:cs="Arial" w:eastAsia="Arial" w:hAnsi="Arial"/>
          <w:sz w:val="18"/>
          <w:szCs w:val="18"/>
          <w:color w:val="auto"/>
        </w:rPr>
        <w:t>United Cable Television of Los Angeles, LLC</w:t>
      </w:r>
    </w:p>
    <w:p>
      <w:pPr>
        <w:spacing w:after="0" w:line="117" w:lineRule="exact"/>
        <w:rPr>
          <w:sz w:val="20"/>
          <w:szCs w:val="20"/>
          <w:color w:val="auto"/>
        </w:rPr>
      </w:pPr>
    </w:p>
    <w:p>
      <w:pPr>
        <w:ind w:left="520"/>
        <w:spacing w:after="0"/>
        <w:rPr>
          <w:sz w:val="20"/>
          <w:szCs w:val="20"/>
          <w:color w:val="auto"/>
        </w:rPr>
      </w:pPr>
      <w:r>
        <w:rPr>
          <w:rFonts w:ascii="Arial" w:cs="Arial" w:eastAsia="Arial" w:hAnsi="Arial"/>
          <w:sz w:val="16"/>
          <w:szCs w:val="16"/>
          <w:color w:val="auto"/>
        </w:rPr>
        <w:t>United Cable Television of Oakland County, Ltd.</w:t>
      </w:r>
    </w:p>
    <w:p>
      <w:pPr>
        <w:spacing w:after="0" w:line="140" w:lineRule="exact"/>
        <w:rPr>
          <w:sz w:val="20"/>
          <w:szCs w:val="20"/>
          <w:color w:val="auto"/>
        </w:rPr>
      </w:pPr>
    </w:p>
    <w:p>
      <w:pPr>
        <w:ind w:left="520"/>
        <w:spacing w:after="0"/>
        <w:rPr>
          <w:sz w:val="20"/>
          <w:szCs w:val="20"/>
          <w:color w:val="auto"/>
        </w:rPr>
      </w:pPr>
      <w:r>
        <w:rPr>
          <w:rFonts w:ascii="Arial" w:cs="Arial" w:eastAsia="Arial" w:hAnsi="Arial"/>
          <w:sz w:val="16"/>
          <w:szCs w:val="16"/>
          <w:color w:val="auto"/>
        </w:rPr>
        <w:t>United Cable Television of Sarpy County, Inc.</w:t>
      </w:r>
    </w:p>
    <w:p>
      <w:pPr>
        <w:spacing w:after="0" w:line="140" w:lineRule="exact"/>
        <w:rPr>
          <w:sz w:val="20"/>
          <w:szCs w:val="20"/>
          <w:color w:val="auto"/>
        </w:rPr>
      </w:pPr>
    </w:p>
    <w:p>
      <w:pPr>
        <w:ind w:left="520"/>
        <w:spacing w:after="0"/>
        <w:rPr>
          <w:sz w:val="20"/>
          <w:szCs w:val="20"/>
          <w:color w:val="auto"/>
        </w:rPr>
      </w:pPr>
      <w:r>
        <w:rPr>
          <w:rFonts w:ascii="Arial" w:cs="Arial" w:eastAsia="Arial" w:hAnsi="Arial"/>
          <w:sz w:val="18"/>
          <w:szCs w:val="18"/>
          <w:color w:val="auto"/>
        </w:rPr>
        <w:t>United Cable Television of Scottsdale, Inc.</w:t>
      </w:r>
    </w:p>
    <w:p>
      <w:pPr>
        <w:spacing w:after="0" w:line="117" w:lineRule="exact"/>
        <w:rPr>
          <w:sz w:val="20"/>
          <w:szCs w:val="20"/>
          <w:color w:val="auto"/>
        </w:rPr>
      </w:pPr>
    </w:p>
    <w:p>
      <w:pPr>
        <w:ind w:left="520"/>
        <w:spacing w:after="0"/>
        <w:rPr>
          <w:sz w:val="20"/>
          <w:szCs w:val="20"/>
          <w:color w:val="auto"/>
        </w:rPr>
      </w:pPr>
      <w:r>
        <w:rPr>
          <w:rFonts w:ascii="Arial" w:cs="Arial" w:eastAsia="Arial" w:hAnsi="Arial"/>
          <w:sz w:val="16"/>
          <w:szCs w:val="16"/>
          <w:color w:val="auto"/>
        </w:rPr>
        <w:t>United Cable Television Services of Colorado, Inc.</w:t>
      </w:r>
    </w:p>
    <w:p>
      <w:pPr>
        <w:spacing w:after="0" w:line="140" w:lineRule="exact"/>
        <w:rPr>
          <w:sz w:val="20"/>
          <w:szCs w:val="20"/>
          <w:color w:val="auto"/>
        </w:rPr>
      </w:pPr>
    </w:p>
    <w:p>
      <w:pPr>
        <w:ind w:left="520"/>
        <w:spacing w:after="0"/>
        <w:rPr>
          <w:sz w:val="20"/>
          <w:szCs w:val="20"/>
          <w:color w:val="auto"/>
        </w:rPr>
      </w:pPr>
      <w:r>
        <w:rPr>
          <w:rFonts w:ascii="Arial" w:cs="Arial" w:eastAsia="Arial" w:hAnsi="Arial"/>
          <w:sz w:val="18"/>
          <w:szCs w:val="18"/>
          <w:color w:val="auto"/>
        </w:rPr>
        <w:t>United of Oakland, Inc.</w:t>
      </w:r>
    </w:p>
    <w:p>
      <w:pPr>
        <w:spacing w:after="0" w:line="117" w:lineRule="exact"/>
        <w:rPr>
          <w:sz w:val="20"/>
          <w:szCs w:val="20"/>
          <w:color w:val="auto"/>
        </w:rPr>
      </w:pPr>
    </w:p>
    <w:p>
      <w:pPr>
        <w:ind w:left="520"/>
        <w:spacing w:after="0"/>
        <w:rPr>
          <w:sz w:val="20"/>
          <w:szCs w:val="20"/>
          <w:color w:val="auto"/>
        </w:rPr>
      </w:pPr>
      <w:r>
        <w:rPr>
          <w:rFonts w:ascii="Arial" w:cs="Arial" w:eastAsia="Arial" w:hAnsi="Arial"/>
          <w:sz w:val="18"/>
          <w:szCs w:val="18"/>
          <w:color w:val="auto"/>
        </w:rPr>
        <w:t>US West Deutschland GmbH</w:t>
      </w:r>
    </w:p>
    <w:p>
      <w:pPr>
        <w:spacing w:after="0" w:line="117" w:lineRule="exact"/>
        <w:rPr>
          <w:sz w:val="20"/>
          <w:szCs w:val="20"/>
          <w:color w:val="auto"/>
        </w:rPr>
      </w:pPr>
    </w:p>
    <w:p>
      <w:pPr>
        <w:ind w:left="520"/>
        <w:spacing w:after="0"/>
        <w:rPr>
          <w:sz w:val="20"/>
          <w:szCs w:val="20"/>
          <w:color w:val="auto"/>
        </w:rPr>
      </w:pPr>
      <w:r>
        <w:rPr>
          <w:rFonts w:ascii="Arial" w:cs="Arial" w:eastAsia="Arial" w:hAnsi="Arial"/>
          <w:sz w:val="18"/>
          <w:szCs w:val="18"/>
          <w:color w:val="auto"/>
        </w:rPr>
        <w:t>USWFS Borrower Trust</w:t>
      </w:r>
    </w:p>
    <w:p>
      <w:pPr>
        <w:spacing w:after="0" w:line="117" w:lineRule="exact"/>
        <w:rPr>
          <w:sz w:val="20"/>
          <w:szCs w:val="20"/>
          <w:color w:val="auto"/>
        </w:rPr>
      </w:pPr>
    </w:p>
    <w:p>
      <w:pPr>
        <w:ind w:left="520"/>
        <w:spacing w:after="0"/>
        <w:rPr>
          <w:sz w:val="20"/>
          <w:szCs w:val="20"/>
          <w:color w:val="auto"/>
        </w:rPr>
      </w:pPr>
      <w:r>
        <w:rPr>
          <w:rFonts w:ascii="Arial" w:cs="Arial" w:eastAsia="Arial" w:hAnsi="Arial"/>
          <w:sz w:val="18"/>
          <w:szCs w:val="18"/>
          <w:color w:val="auto"/>
        </w:rPr>
        <w:t>USWFS Direct Trust Beazer</w:t>
      </w:r>
    </w:p>
    <w:p>
      <w:pPr>
        <w:spacing w:after="0" w:line="117" w:lineRule="exact"/>
        <w:rPr>
          <w:sz w:val="20"/>
          <w:szCs w:val="20"/>
          <w:color w:val="auto"/>
        </w:rPr>
      </w:pPr>
    </w:p>
    <w:p>
      <w:pPr>
        <w:ind w:left="520"/>
        <w:spacing w:after="0"/>
        <w:rPr>
          <w:sz w:val="20"/>
          <w:szCs w:val="20"/>
          <w:color w:val="auto"/>
        </w:rPr>
      </w:pPr>
      <w:r>
        <w:rPr>
          <w:rFonts w:ascii="Arial" w:cs="Arial" w:eastAsia="Arial" w:hAnsi="Arial"/>
          <w:sz w:val="18"/>
          <w:szCs w:val="18"/>
          <w:color w:val="auto"/>
        </w:rPr>
        <w:t>USWFS Direct Trust Grand Trunk</w:t>
      </w:r>
    </w:p>
    <w:p>
      <w:pPr>
        <w:spacing w:after="0" w:line="117" w:lineRule="exact"/>
        <w:rPr>
          <w:sz w:val="20"/>
          <w:szCs w:val="20"/>
          <w:color w:val="auto"/>
        </w:rPr>
      </w:pPr>
    </w:p>
    <w:p>
      <w:pPr>
        <w:ind w:left="520"/>
        <w:spacing w:after="0"/>
        <w:rPr>
          <w:sz w:val="20"/>
          <w:szCs w:val="20"/>
          <w:color w:val="auto"/>
        </w:rPr>
      </w:pPr>
      <w:r>
        <w:rPr>
          <w:rFonts w:ascii="Arial" w:cs="Arial" w:eastAsia="Arial" w:hAnsi="Arial"/>
          <w:sz w:val="18"/>
          <w:szCs w:val="18"/>
          <w:color w:val="auto"/>
        </w:rPr>
        <w:t>USWFS Direct Trust United No. 13</w:t>
      </w:r>
    </w:p>
    <w:p>
      <w:pPr>
        <w:spacing w:after="0" w:line="117" w:lineRule="exact"/>
        <w:rPr>
          <w:sz w:val="20"/>
          <w:szCs w:val="20"/>
          <w:color w:val="auto"/>
        </w:rPr>
      </w:pPr>
    </w:p>
    <w:p>
      <w:pPr>
        <w:ind w:left="520"/>
        <w:spacing w:after="0"/>
        <w:rPr>
          <w:sz w:val="20"/>
          <w:szCs w:val="20"/>
          <w:color w:val="auto"/>
        </w:rPr>
      </w:pPr>
      <w:r>
        <w:rPr>
          <w:rFonts w:ascii="Arial" w:cs="Arial" w:eastAsia="Arial" w:hAnsi="Arial"/>
          <w:sz w:val="18"/>
          <w:szCs w:val="18"/>
          <w:color w:val="auto"/>
        </w:rPr>
        <w:t>USWFS Direct Trust United No. 14</w:t>
      </w:r>
    </w:p>
    <w:p>
      <w:pPr>
        <w:spacing w:after="0" w:line="117" w:lineRule="exact"/>
        <w:rPr>
          <w:sz w:val="20"/>
          <w:szCs w:val="20"/>
          <w:color w:val="auto"/>
        </w:rPr>
      </w:pPr>
    </w:p>
    <w:p>
      <w:pPr>
        <w:ind w:left="520"/>
        <w:spacing w:after="0"/>
        <w:rPr>
          <w:sz w:val="20"/>
          <w:szCs w:val="20"/>
          <w:color w:val="auto"/>
        </w:rPr>
      </w:pPr>
      <w:r>
        <w:rPr>
          <w:rFonts w:ascii="Arial" w:cs="Arial" w:eastAsia="Arial" w:hAnsi="Arial"/>
          <w:sz w:val="18"/>
          <w:szCs w:val="18"/>
          <w:color w:val="auto"/>
        </w:rPr>
        <w:t>USWFS Intermediary Trust</w:t>
      </w:r>
    </w:p>
    <w:p>
      <w:pPr>
        <w:spacing w:after="0" w:line="117" w:lineRule="exact"/>
        <w:rPr>
          <w:sz w:val="20"/>
          <w:szCs w:val="20"/>
          <w:color w:val="auto"/>
        </w:rPr>
      </w:pPr>
    </w:p>
    <w:p>
      <w:pPr>
        <w:ind w:left="520"/>
        <w:spacing w:after="0"/>
        <w:rPr>
          <w:sz w:val="20"/>
          <w:szCs w:val="20"/>
          <w:color w:val="auto"/>
        </w:rPr>
      </w:pPr>
      <w:r>
        <w:rPr>
          <w:rFonts w:ascii="Arial" w:cs="Arial" w:eastAsia="Arial" w:hAnsi="Arial"/>
          <w:sz w:val="18"/>
          <w:szCs w:val="18"/>
          <w:color w:val="auto"/>
        </w:rPr>
        <w:t>UTI Purchase Company</w:t>
      </w:r>
    </w:p>
    <w:p>
      <w:pPr>
        <w:spacing w:after="0" w:line="117" w:lineRule="exact"/>
        <w:rPr>
          <w:sz w:val="20"/>
          <w:szCs w:val="20"/>
          <w:color w:val="auto"/>
        </w:rPr>
      </w:pPr>
    </w:p>
    <w:p>
      <w:pPr>
        <w:ind w:left="520"/>
        <w:spacing w:after="0"/>
        <w:rPr>
          <w:sz w:val="20"/>
          <w:szCs w:val="20"/>
          <w:color w:val="auto"/>
        </w:rPr>
      </w:pPr>
      <w:r>
        <w:rPr>
          <w:rFonts w:ascii="Arial" w:cs="Arial" w:eastAsia="Arial" w:hAnsi="Arial"/>
          <w:sz w:val="18"/>
          <w:szCs w:val="18"/>
          <w:color w:val="auto"/>
        </w:rPr>
        <w:t>Valertex, Inc.</w:t>
      </w:r>
    </w:p>
    <w:p>
      <w:pPr>
        <w:spacing w:after="0" w:line="117" w:lineRule="exact"/>
        <w:rPr>
          <w:sz w:val="20"/>
          <w:szCs w:val="20"/>
          <w:color w:val="auto"/>
        </w:rPr>
      </w:pPr>
    </w:p>
    <w:p>
      <w:pPr>
        <w:ind w:left="520"/>
        <w:spacing w:after="0"/>
        <w:rPr>
          <w:sz w:val="20"/>
          <w:szCs w:val="20"/>
          <w:color w:val="auto"/>
        </w:rPr>
      </w:pPr>
      <w:r>
        <w:rPr>
          <w:rFonts w:ascii="Arial" w:cs="Arial" w:eastAsia="Arial" w:hAnsi="Arial"/>
          <w:sz w:val="18"/>
          <w:szCs w:val="18"/>
          <w:color w:val="auto"/>
        </w:rPr>
        <w:t>Waltham Tele-Communications</w:t>
      </w:r>
    </w:p>
    <w:p>
      <w:pPr>
        <w:spacing w:after="0" w:line="117" w:lineRule="exact"/>
        <w:rPr>
          <w:sz w:val="20"/>
          <w:szCs w:val="20"/>
          <w:color w:val="auto"/>
        </w:rPr>
      </w:pPr>
    </w:p>
    <w:p>
      <w:pPr>
        <w:ind w:left="520"/>
        <w:spacing w:after="0"/>
        <w:rPr>
          <w:sz w:val="20"/>
          <w:szCs w:val="20"/>
          <w:color w:val="auto"/>
        </w:rPr>
      </w:pPr>
      <w:r>
        <w:rPr>
          <w:rFonts w:ascii="Arial" w:cs="Arial" w:eastAsia="Arial" w:hAnsi="Arial"/>
          <w:sz w:val="18"/>
          <w:szCs w:val="18"/>
          <w:color w:val="auto"/>
        </w:rPr>
        <w:t>Waltham Tele-Communications, LLC</w:t>
      </w:r>
    </w:p>
    <w:p>
      <w:pPr>
        <w:spacing w:after="0" w:line="117" w:lineRule="exact"/>
        <w:rPr>
          <w:sz w:val="20"/>
          <w:szCs w:val="20"/>
          <w:color w:val="auto"/>
        </w:rPr>
      </w:pPr>
    </w:p>
    <w:p>
      <w:pPr>
        <w:ind w:left="520"/>
        <w:spacing w:after="0"/>
        <w:rPr>
          <w:sz w:val="20"/>
          <w:szCs w:val="20"/>
          <w:color w:val="auto"/>
        </w:rPr>
      </w:pPr>
      <w:r>
        <w:rPr>
          <w:rFonts w:ascii="Arial" w:cs="Arial" w:eastAsia="Arial" w:hAnsi="Arial"/>
          <w:sz w:val="18"/>
          <w:szCs w:val="18"/>
          <w:color w:val="auto"/>
        </w:rPr>
        <w:t>Watch What You Play Music, LLC</w:t>
      </w:r>
    </w:p>
    <w:p>
      <w:pPr>
        <w:spacing w:after="0" w:line="117" w:lineRule="exact"/>
        <w:rPr>
          <w:sz w:val="20"/>
          <w:szCs w:val="20"/>
          <w:color w:val="auto"/>
        </w:rPr>
      </w:pPr>
    </w:p>
    <w:p>
      <w:pPr>
        <w:ind w:left="520"/>
        <w:spacing w:after="0"/>
        <w:rPr>
          <w:sz w:val="20"/>
          <w:szCs w:val="20"/>
          <w:color w:val="auto"/>
        </w:rPr>
      </w:pPr>
      <w:r>
        <w:rPr>
          <w:rFonts w:ascii="Arial" w:cs="Arial" w:eastAsia="Arial" w:hAnsi="Arial"/>
          <w:sz w:val="18"/>
          <w:szCs w:val="18"/>
          <w:color w:val="auto"/>
        </w:rPr>
        <w:t>Western NY Cablevision, L.P.</w:t>
      </w:r>
    </w:p>
    <w:p>
      <w:pPr>
        <w:spacing w:after="0" w:line="117" w:lineRule="exact"/>
        <w:rPr>
          <w:sz w:val="20"/>
          <w:szCs w:val="20"/>
          <w:color w:val="auto"/>
        </w:rPr>
      </w:pPr>
    </w:p>
    <w:p>
      <w:pPr>
        <w:ind w:left="520"/>
        <w:spacing w:after="0"/>
        <w:rPr>
          <w:sz w:val="20"/>
          <w:szCs w:val="20"/>
          <w:color w:val="auto"/>
        </w:rPr>
      </w:pPr>
      <w:r>
        <w:rPr>
          <w:rFonts w:ascii="Arial" w:cs="Arial" w:eastAsia="Arial" w:hAnsi="Arial"/>
          <w:sz w:val="18"/>
          <w:szCs w:val="18"/>
          <w:color w:val="auto"/>
        </w:rPr>
        <w:t>Western Range Insurance Co.</w:t>
      </w:r>
    </w:p>
    <w:p>
      <w:pPr>
        <w:spacing w:after="0" w:line="117" w:lineRule="exact"/>
        <w:rPr>
          <w:sz w:val="20"/>
          <w:szCs w:val="20"/>
          <w:color w:val="auto"/>
        </w:rPr>
      </w:pPr>
    </w:p>
    <w:p>
      <w:pPr>
        <w:ind w:left="520"/>
        <w:spacing w:after="0"/>
        <w:rPr>
          <w:sz w:val="20"/>
          <w:szCs w:val="20"/>
          <w:color w:val="auto"/>
        </w:rPr>
      </w:pPr>
      <w:r>
        <w:rPr>
          <w:rFonts w:ascii="Arial" w:cs="Arial" w:eastAsia="Arial" w:hAnsi="Arial"/>
          <w:sz w:val="18"/>
          <w:szCs w:val="18"/>
          <w:color w:val="auto"/>
        </w:rPr>
        <w:t>Western Satellite 2, Inc.</w:t>
      </w:r>
    </w:p>
    <w:p>
      <w:pPr>
        <w:spacing w:after="0" w:line="117" w:lineRule="exact"/>
        <w:rPr>
          <w:sz w:val="20"/>
          <w:szCs w:val="20"/>
          <w:color w:val="auto"/>
        </w:rPr>
      </w:pPr>
    </w:p>
    <w:p>
      <w:pPr>
        <w:ind w:left="520"/>
        <w:spacing w:after="0"/>
        <w:rPr>
          <w:sz w:val="20"/>
          <w:szCs w:val="20"/>
          <w:color w:val="auto"/>
        </w:rPr>
      </w:pPr>
      <w:r>
        <w:rPr>
          <w:rFonts w:ascii="Arial" w:cs="Arial" w:eastAsia="Arial" w:hAnsi="Arial"/>
          <w:sz w:val="18"/>
          <w:szCs w:val="18"/>
          <w:color w:val="auto"/>
        </w:rPr>
        <w:t>Westmarc Cable Group, Inc.</w:t>
      </w:r>
    </w:p>
    <w:p>
      <w:pPr>
        <w:spacing w:after="0" w:line="117" w:lineRule="exact"/>
        <w:rPr>
          <w:sz w:val="20"/>
          <w:szCs w:val="20"/>
          <w:color w:val="auto"/>
        </w:rPr>
      </w:pPr>
    </w:p>
    <w:p>
      <w:pPr>
        <w:ind w:left="520"/>
        <w:spacing w:after="0"/>
        <w:rPr>
          <w:sz w:val="20"/>
          <w:szCs w:val="20"/>
          <w:color w:val="auto"/>
        </w:rPr>
      </w:pPr>
      <w:r>
        <w:rPr>
          <w:rFonts w:ascii="Arial" w:cs="Arial" w:eastAsia="Arial" w:hAnsi="Arial"/>
          <w:sz w:val="18"/>
          <w:szCs w:val="18"/>
          <w:color w:val="auto"/>
        </w:rPr>
        <w:t>Westmarc Cable Holding, Inc.</w:t>
      </w:r>
    </w:p>
    <w:p>
      <w:pPr>
        <w:spacing w:after="0" w:line="117" w:lineRule="exact"/>
        <w:rPr>
          <w:sz w:val="20"/>
          <w:szCs w:val="20"/>
          <w:color w:val="auto"/>
        </w:rPr>
      </w:pPr>
    </w:p>
    <w:p>
      <w:pPr>
        <w:ind w:left="520"/>
        <w:spacing w:after="0"/>
        <w:rPr>
          <w:sz w:val="20"/>
          <w:szCs w:val="20"/>
          <w:color w:val="auto"/>
        </w:rPr>
      </w:pPr>
      <w:r>
        <w:rPr>
          <w:rFonts w:ascii="Arial" w:cs="Arial" w:eastAsia="Arial" w:hAnsi="Arial"/>
          <w:sz w:val="18"/>
          <w:szCs w:val="18"/>
          <w:color w:val="auto"/>
        </w:rPr>
        <w:t>Westmarc Development II, Inc.</w:t>
      </w:r>
    </w:p>
    <w:p>
      <w:pPr>
        <w:spacing w:after="0" w:line="117" w:lineRule="exact"/>
        <w:rPr>
          <w:sz w:val="20"/>
          <w:szCs w:val="20"/>
          <w:color w:val="auto"/>
        </w:rPr>
      </w:pPr>
    </w:p>
    <w:p>
      <w:pPr>
        <w:ind w:left="520"/>
        <w:spacing w:after="0"/>
        <w:rPr>
          <w:sz w:val="20"/>
          <w:szCs w:val="20"/>
          <w:color w:val="auto"/>
        </w:rPr>
      </w:pPr>
      <w:r>
        <w:rPr>
          <w:rFonts w:ascii="Arial" w:cs="Arial" w:eastAsia="Arial" w:hAnsi="Arial"/>
          <w:sz w:val="18"/>
          <w:szCs w:val="18"/>
          <w:color w:val="auto"/>
        </w:rPr>
        <w:t>Westmarc Development III, LLC</w:t>
      </w:r>
    </w:p>
    <w:p>
      <w:pPr>
        <w:spacing w:after="0" w:line="117" w:lineRule="exact"/>
        <w:rPr>
          <w:sz w:val="20"/>
          <w:szCs w:val="20"/>
          <w:color w:val="auto"/>
        </w:rPr>
      </w:pPr>
    </w:p>
    <w:p>
      <w:pPr>
        <w:ind w:left="520"/>
        <w:spacing w:after="0"/>
        <w:rPr>
          <w:sz w:val="20"/>
          <w:szCs w:val="20"/>
          <w:color w:val="auto"/>
        </w:rPr>
      </w:pPr>
      <w:r>
        <w:rPr>
          <w:rFonts w:ascii="Arial" w:cs="Arial" w:eastAsia="Arial" w:hAnsi="Arial"/>
          <w:sz w:val="18"/>
          <w:szCs w:val="18"/>
          <w:color w:val="auto"/>
        </w:rPr>
        <w:t>Westmarc Development IV, LLC</w:t>
      </w:r>
    </w:p>
    <w:p>
      <w:pPr>
        <w:spacing w:after="0" w:line="117" w:lineRule="exact"/>
        <w:rPr>
          <w:sz w:val="20"/>
          <w:szCs w:val="20"/>
          <w:color w:val="auto"/>
        </w:rPr>
      </w:pPr>
    </w:p>
    <w:p>
      <w:pPr>
        <w:ind w:left="520"/>
        <w:spacing w:after="0"/>
        <w:rPr>
          <w:sz w:val="20"/>
          <w:szCs w:val="20"/>
          <w:color w:val="auto"/>
        </w:rPr>
      </w:pPr>
      <w:r>
        <w:rPr>
          <w:rFonts w:ascii="Arial" w:cs="Arial" w:eastAsia="Arial" w:hAnsi="Arial"/>
          <w:sz w:val="18"/>
          <w:szCs w:val="18"/>
          <w:color w:val="auto"/>
        </w:rPr>
        <w:t>Westmarc Development, LLC</w:t>
      </w:r>
    </w:p>
    <w:p>
      <w:pPr>
        <w:spacing w:after="0" w:line="117" w:lineRule="exact"/>
        <w:rPr>
          <w:sz w:val="20"/>
          <w:szCs w:val="20"/>
          <w:color w:val="auto"/>
        </w:rPr>
      </w:pPr>
    </w:p>
    <w:p>
      <w:pPr>
        <w:ind w:left="520"/>
        <w:spacing w:after="0"/>
        <w:rPr>
          <w:sz w:val="20"/>
          <w:szCs w:val="20"/>
          <w:color w:val="auto"/>
        </w:rPr>
      </w:pPr>
      <w:r>
        <w:rPr>
          <w:rFonts w:ascii="Arial" w:cs="Arial" w:eastAsia="Arial" w:hAnsi="Arial"/>
          <w:sz w:val="18"/>
          <w:szCs w:val="18"/>
          <w:color w:val="auto"/>
        </w:rPr>
        <w:t>Westmarc Realty, Inc.</w:t>
      </w:r>
    </w:p>
    <w:p>
      <w:pPr>
        <w:spacing w:after="0" w:line="117" w:lineRule="exact"/>
        <w:rPr>
          <w:sz w:val="20"/>
          <w:szCs w:val="20"/>
          <w:color w:val="auto"/>
        </w:rPr>
      </w:pPr>
    </w:p>
    <w:p>
      <w:pPr>
        <w:ind w:left="520"/>
        <w:spacing w:after="0"/>
        <w:rPr>
          <w:sz w:val="20"/>
          <w:szCs w:val="20"/>
          <w:color w:val="auto"/>
        </w:rPr>
      </w:pPr>
      <w:r>
        <w:rPr>
          <w:rFonts w:ascii="Arial" w:cs="Arial" w:eastAsia="Arial" w:hAnsi="Arial"/>
          <w:sz w:val="18"/>
          <w:szCs w:val="18"/>
          <w:color w:val="auto"/>
        </w:rPr>
        <w:t>Westmoreland Financial Corporation</w:t>
      </w:r>
    </w:p>
    <w:p>
      <w:pPr>
        <w:spacing w:after="0" w:line="117" w:lineRule="exact"/>
        <w:rPr>
          <w:sz w:val="20"/>
          <w:szCs w:val="20"/>
          <w:color w:val="auto"/>
        </w:rPr>
      </w:pPr>
    </w:p>
    <w:p>
      <w:pPr>
        <w:ind w:left="520"/>
        <w:spacing w:after="0"/>
        <w:rPr>
          <w:sz w:val="20"/>
          <w:szCs w:val="20"/>
          <w:color w:val="auto"/>
        </w:rPr>
      </w:pPr>
      <w:r>
        <w:rPr>
          <w:rFonts w:ascii="Arial" w:cs="Arial" w:eastAsia="Arial" w:hAnsi="Arial"/>
          <w:sz w:val="16"/>
          <w:szCs w:val="16"/>
          <w:color w:val="auto"/>
        </w:rPr>
        <w:t>Wilmington Cellular Telephone Company LLC</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Arial" w:cs="Arial" w:eastAsia="Arial" w:hAnsi="Arial"/>
          <w:sz w:val="18"/>
          <w:szCs w:val="18"/>
          <w:color w:val="auto"/>
        </w:rPr>
        <w:t>DE</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color w:val="auto"/>
        </w:rPr>
        <w:t>WV</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color w:val="auto"/>
        </w:rPr>
        <w:t>MI</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color w:val="auto"/>
        </w:rPr>
        <w:t>Canada</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color w:val="auto"/>
        </w:rPr>
        <w:t>DE</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color w:val="auto"/>
        </w:rPr>
        <w:t>DE</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color w:val="auto"/>
        </w:rPr>
        <w:t>DE</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color w:val="auto"/>
        </w:rPr>
        <w:t>DE</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color w:val="auto"/>
        </w:rPr>
        <w:t>India</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color w:val="auto"/>
        </w:rPr>
        <w:t>CO</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color w:val="auto"/>
        </w:rPr>
        <w:t>MA</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color w:val="auto"/>
        </w:rPr>
        <w:t>DE</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color w:val="auto"/>
        </w:rPr>
        <w:t>DE</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color w:val="auto"/>
        </w:rPr>
        <w:t>DE</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color w:val="auto"/>
        </w:rPr>
        <w:t>DE</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color w:val="auto"/>
        </w:rPr>
        <w:t>DE</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color w:val="auto"/>
        </w:rPr>
        <w:t>MD</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color w:val="auto"/>
        </w:rPr>
        <w:t>MI</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color w:val="auto"/>
        </w:rPr>
        <w:t>CO</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color w:val="auto"/>
        </w:rPr>
        <w:t>IL</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color w:val="auto"/>
        </w:rPr>
        <w:t>CA</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color w:val="auto"/>
        </w:rPr>
        <w:t>CO</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color w:val="auto"/>
        </w:rPr>
        <w:t>NE</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color w:val="auto"/>
        </w:rPr>
        <w:t>AZ</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color w:val="auto"/>
        </w:rPr>
        <w:t>CO</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color w:val="auto"/>
        </w:rPr>
        <w:t>DE</w:t>
      </w:r>
    </w:p>
    <w:p>
      <w:pPr>
        <w:spacing w:after="0" w:line="117" w:lineRule="exact"/>
        <w:rPr>
          <w:sz w:val="20"/>
          <w:szCs w:val="20"/>
          <w:color w:val="auto"/>
        </w:rPr>
      </w:pPr>
    </w:p>
    <w:p>
      <w:pPr>
        <w:spacing w:after="0"/>
        <w:rPr>
          <w:sz w:val="20"/>
          <w:szCs w:val="20"/>
          <w:color w:val="auto"/>
        </w:rPr>
      </w:pPr>
      <w:r>
        <w:rPr>
          <w:rFonts w:ascii="Arial" w:cs="Arial" w:eastAsia="Arial" w:hAnsi="Arial"/>
          <w:sz w:val="16"/>
          <w:szCs w:val="16"/>
          <w:color w:val="auto"/>
        </w:rPr>
        <w:t>Germany</w:t>
      </w:r>
    </w:p>
    <w:p>
      <w:pPr>
        <w:spacing w:after="0" w:line="140" w:lineRule="exact"/>
        <w:rPr>
          <w:sz w:val="20"/>
          <w:szCs w:val="20"/>
          <w:color w:val="auto"/>
        </w:rPr>
      </w:pPr>
    </w:p>
    <w:p>
      <w:pPr>
        <w:spacing w:after="0"/>
        <w:rPr>
          <w:sz w:val="20"/>
          <w:szCs w:val="20"/>
          <w:color w:val="auto"/>
        </w:rPr>
      </w:pPr>
      <w:r>
        <w:rPr>
          <w:rFonts w:ascii="Arial" w:cs="Arial" w:eastAsia="Arial" w:hAnsi="Arial"/>
          <w:sz w:val="18"/>
          <w:szCs w:val="18"/>
          <w:color w:val="auto"/>
        </w:rPr>
        <w:t>DE</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color w:val="auto"/>
        </w:rPr>
        <w:t>DE</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color w:val="auto"/>
        </w:rPr>
        <w:t>DE</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color w:val="auto"/>
        </w:rPr>
        <w:t>DE</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color w:val="auto"/>
        </w:rPr>
        <w:t>DE</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color w:val="auto"/>
        </w:rPr>
        <w:t>DE</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color w:val="auto"/>
        </w:rPr>
        <w:t>CO</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color w:val="auto"/>
        </w:rPr>
        <w:t>TX</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color w:val="auto"/>
        </w:rPr>
        <w:t>MA</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color w:val="auto"/>
        </w:rPr>
        <w:t>CO</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color w:val="auto"/>
        </w:rPr>
        <w:t>DE</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color w:val="auto"/>
        </w:rPr>
        <w:t>DE</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color w:val="auto"/>
        </w:rPr>
        <w:t>VT</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color w:val="auto"/>
        </w:rPr>
        <w:t>CO</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color w:val="auto"/>
        </w:rPr>
        <w:t>DE</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color w:val="auto"/>
        </w:rPr>
        <w:t>DE</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color w:val="auto"/>
        </w:rPr>
        <w:t>CO</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color w:val="auto"/>
        </w:rPr>
        <w:t>CO</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color w:val="auto"/>
        </w:rPr>
        <w:t>CO</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color w:val="auto"/>
        </w:rPr>
        <w:t>CO</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color w:val="auto"/>
        </w:rPr>
        <w:t>CO</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color w:val="auto"/>
        </w:rPr>
        <w:t>DE</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color w:val="auto"/>
        </w:rPr>
        <w:t>DE</w:t>
      </w:r>
    </w:p>
    <w:p>
      <w:pPr>
        <w:sectPr>
          <w:pgSz w:w="11900" w:h="16838" w:orient="portrait"/>
          <w:cols w:equalWidth="0" w:num="2">
            <w:col w:w="7120" w:space="720"/>
            <w:col w:w="1179"/>
          </w:cols>
          <w:pgMar w:left="1440" w:top="388" w:right="1440" w:bottom="0" w:gutter="0" w:footer="0" w:header="0"/>
        </w:sectPr>
      </w:pPr>
    </w:p>
    <w:bookmarkStart w:id="198" w:name="page199"/>
    <w:bookmarkEnd w:id="198"/>
    <w:p>
      <w:pPr>
        <w:ind w:left="520"/>
        <w:spacing w:after="0"/>
        <w:tabs>
          <w:tab w:leader="none" w:pos="7820" w:val="left"/>
        </w:tabs>
        <w:rPr>
          <w:sz w:val="20"/>
          <w:szCs w:val="20"/>
          <w:color w:val="auto"/>
        </w:rPr>
      </w:pPr>
      <w:r>
        <w:rPr>
          <w:rFonts w:ascii="Arial" w:cs="Arial" w:eastAsia="Arial" w:hAnsi="Arial"/>
          <w:sz w:val="18"/>
          <w:szCs w:val="18"/>
          <w:color w:val="auto"/>
        </w:rPr>
        <w:t>York Cable Television, Inc.</w:t>
      </w:r>
      <w:r>
        <w:rPr>
          <w:sz w:val="20"/>
          <w:szCs w:val="20"/>
          <w:color w:val="auto"/>
        </w:rPr>
        <w:tab/>
      </w:r>
      <w:r>
        <w:rPr>
          <w:rFonts w:ascii="Arial" w:cs="Arial" w:eastAsia="Arial" w:hAnsi="Arial"/>
          <w:sz w:val="16"/>
          <w:szCs w:val="16"/>
          <w:color w:val="auto"/>
        </w:rPr>
        <w:t>DE</w:t>
      </w:r>
    </w:p>
    <w:p>
      <w:pPr>
        <w:sectPr>
          <w:pgSz w:w="11900" w:h="16838" w:orient="portrait"/>
          <w:cols w:equalWidth="0" w:num="1">
            <w:col w:w="9019"/>
          </w:cols>
          <w:pgMar w:left="1440" w:top="131" w:right="1440" w:bottom="1440" w:gutter="0" w:footer="0" w:header="0"/>
        </w:sectPr>
      </w:pPr>
    </w:p>
    <w:bookmarkStart w:id="199" w:name="page200"/>
    <w:bookmarkEnd w:id="199"/>
    <w:p>
      <w:pPr>
        <w:jc w:val="right"/>
        <w:spacing w:after="0"/>
        <w:rPr>
          <w:sz w:val="20"/>
          <w:szCs w:val="20"/>
          <w:color w:val="auto"/>
        </w:rPr>
      </w:pPr>
      <w:r>
        <w:rPr>
          <w:rFonts w:ascii="Arial" w:cs="Arial" w:eastAsia="Arial" w:hAnsi="Arial"/>
          <w:sz w:val="18"/>
          <w:szCs w:val="18"/>
          <w:b w:val="1"/>
          <w:bCs w:val="1"/>
          <w:color w:val="auto"/>
        </w:rPr>
        <w:t>Exhibit 23.1</w:t>
      </w:r>
    </w:p>
    <w:p>
      <w:pPr>
        <w:spacing w:after="0" w:line="17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CONSENT OF INDEPENDENT REGISTERED PUBLIC ACCOUNTING FIRM</w:t>
      </w:r>
    </w:p>
    <w:p>
      <w:pPr>
        <w:spacing w:after="0" w:line="177" w:lineRule="exact"/>
        <w:rPr>
          <w:sz w:val="20"/>
          <w:szCs w:val="20"/>
          <w:color w:val="auto"/>
        </w:rPr>
      </w:pPr>
    </w:p>
    <w:p>
      <w:pPr>
        <w:ind w:right="120" w:firstLine="456"/>
        <w:spacing w:after="0" w:line="291" w:lineRule="auto"/>
        <w:rPr>
          <w:sz w:val="20"/>
          <w:szCs w:val="20"/>
          <w:color w:val="auto"/>
        </w:rPr>
      </w:pPr>
      <w:r>
        <w:rPr>
          <w:rFonts w:ascii="Arial" w:cs="Arial" w:eastAsia="Arial" w:hAnsi="Arial"/>
          <w:sz w:val="16"/>
          <w:szCs w:val="16"/>
          <w:color w:val="auto"/>
        </w:rPr>
        <w:t>We consent to the incorporation by reference in Registration Statements of Comcast Corporation on Form S-8 (Nos. 333-101645, 333-101295, 333-104385, 333-121082, 333-123059, 333-130844, 333-130845, and 333-130847), Form S-3 (Nos. 333-132750, 333-101861, 333-119161 and 333-104034), and Form S-4 (Nos. 333-101264 and 333-102883) of our reports dated February 23, 2007 (which reports express unqualified opinions and include an explanatory paragraph relating to the adoption of a new accounting pronouncement in 2006), relating to the financial statements and financial statement schedule of Comcast Corporation and management’s report on the effectiveness of internal control over financial reporting, appearing in and incorporated by reference in this Annual Report on Form 10-K of Comcast Corporation for the year ended December 31, 2006.</w:t>
      </w:r>
    </w:p>
    <w:p>
      <w:pPr>
        <w:spacing w:after="0" w:line="120" w:lineRule="exact"/>
        <w:rPr>
          <w:sz w:val="20"/>
          <w:szCs w:val="20"/>
          <w:color w:val="auto"/>
        </w:rPr>
      </w:pPr>
    </w:p>
    <w:p>
      <w:pPr>
        <w:spacing w:after="0"/>
        <w:rPr>
          <w:sz w:val="20"/>
          <w:szCs w:val="20"/>
          <w:color w:val="auto"/>
        </w:rPr>
      </w:pPr>
      <w:r>
        <w:rPr>
          <w:rFonts w:ascii="Arial" w:cs="Arial" w:eastAsia="Arial" w:hAnsi="Arial"/>
          <w:sz w:val="18"/>
          <w:szCs w:val="18"/>
          <w:color w:val="auto"/>
        </w:rPr>
        <w:t>/s/ Deloitte &amp; Touche LLP</w:t>
      </w:r>
    </w:p>
    <w:p>
      <w:pPr>
        <w:spacing w:after="0" w:line="15" w:lineRule="exact"/>
        <w:rPr>
          <w:sz w:val="20"/>
          <w:szCs w:val="20"/>
          <w:color w:val="auto"/>
        </w:rPr>
      </w:pPr>
    </w:p>
    <w:p>
      <w:pPr>
        <w:spacing w:after="0"/>
        <w:rPr>
          <w:sz w:val="20"/>
          <w:szCs w:val="20"/>
          <w:color w:val="auto"/>
        </w:rPr>
      </w:pPr>
      <w:r>
        <w:rPr>
          <w:rFonts w:ascii="Arial" w:cs="Arial" w:eastAsia="Arial" w:hAnsi="Arial"/>
          <w:sz w:val="18"/>
          <w:szCs w:val="18"/>
          <w:color w:val="auto"/>
        </w:rPr>
        <w:t>Philadelphia, Pennsylvania</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February 23, 2007</w:t>
      </w:r>
    </w:p>
    <w:p>
      <w:pPr>
        <w:sectPr>
          <w:pgSz w:w="11900" w:h="16838" w:orient="portrait"/>
          <w:cols w:equalWidth="0" w:num="1">
            <w:col w:w="11420"/>
          </w:cols>
          <w:pgMar w:left="240" w:top="125" w:right="239" w:bottom="1440" w:gutter="0" w:footer="0" w:header="0"/>
        </w:sectPr>
      </w:pPr>
    </w:p>
    <w:bookmarkStart w:id="200" w:name="page201"/>
    <w:bookmarkEnd w:id="200"/>
    <w:p>
      <w:pPr>
        <w:jc w:val="right"/>
        <w:spacing w:after="0"/>
        <w:rPr>
          <w:sz w:val="20"/>
          <w:szCs w:val="20"/>
          <w:color w:val="auto"/>
        </w:rPr>
      </w:pPr>
      <w:r>
        <w:rPr>
          <w:rFonts w:ascii="Arial" w:cs="Arial" w:eastAsia="Arial" w:hAnsi="Arial"/>
          <w:sz w:val="18"/>
          <w:szCs w:val="18"/>
          <w:b w:val="1"/>
          <w:bCs w:val="1"/>
          <w:color w:val="auto"/>
        </w:rPr>
        <w:t>Exhibit 31</w:t>
      </w:r>
    </w:p>
    <w:p>
      <w:pPr>
        <w:spacing w:after="0" w:line="17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CERTIFICATIONS</w:t>
      </w:r>
    </w:p>
    <w:p>
      <w:pPr>
        <w:spacing w:after="0" w:line="177" w:lineRule="exact"/>
        <w:rPr>
          <w:sz w:val="20"/>
          <w:szCs w:val="20"/>
          <w:color w:val="auto"/>
        </w:rPr>
      </w:pPr>
    </w:p>
    <w:p>
      <w:pPr>
        <w:spacing w:after="0"/>
        <w:rPr>
          <w:sz w:val="20"/>
          <w:szCs w:val="20"/>
          <w:color w:val="auto"/>
        </w:rPr>
      </w:pPr>
      <w:r>
        <w:rPr>
          <w:rFonts w:ascii="Arial" w:cs="Arial" w:eastAsia="Arial" w:hAnsi="Arial"/>
          <w:sz w:val="18"/>
          <w:szCs w:val="18"/>
          <w:color w:val="auto"/>
        </w:rPr>
        <w:t>I, Brian L. Roberts, certify that:</w:t>
      </w:r>
    </w:p>
    <w:p>
      <w:pPr>
        <w:spacing w:after="0" w:line="90" w:lineRule="exact"/>
        <w:rPr>
          <w:sz w:val="20"/>
          <w:szCs w:val="20"/>
          <w:color w:val="auto"/>
        </w:rPr>
      </w:pPr>
    </w:p>
    <w:p>
      <w:pPr>
        <w:ind w:left="460" w:hanging="452"/>
        <w:spacing w:after="0"/>
        <w:tabs>
          <w:tab w:leader="none" w:pos="460" w:val="left"/>
        </w:tabs>
        <w:numPr>
          <w:ilvl w:val="0"/>
          <w:numId w:val="100"/>
        </w:numPr>
        <w:rPr>
          <w:rFonts w:ascii="Arial" w:cs="Arial" w:eastAsia="Arial" w:hAnsi="Arial"/>
          <w:sz w:val="18"/>
          <w:szCs w:val="18"/>
          <w:color w:val="auto"/>
        </w:rPr>
      </w:pPr>
      <w:r>
        <w:rPr>
          <w:rFonts w:ascii="Arial" w:cs="Arial" w:eastAsia="Arial" w:hAnsi="Arial"/>
          <w:sz w:val="18"/>
          <w:szCs w:val="18"/>
          <w:color w:val="auto"/>
        </w:rPr>
        <w:t>I have reviewed this annual report on Form 10-K of Comcast Corporation;</w:t>
      </w:r>
    </w:p>
    <w:p>
      <w:pPr>
        <w:spacing w:after="0" w:line="90" w:lineRule="exact"/>
        <w:rPr>
          <w:rFonts w:ascii="Arial" w:cs="Arial" w:eastAsia="Arial" w:hAnsi="Arial"/>
          <w:sz w:val="18"/>
          <w:szCs w:val="18"/>
          <w:color w:val="auto"/>
        </w:rPr>
      </w:pPr>
    </w:p>
    <w:p>
      <w:pPr>
        <w:ind w:left="460" w:right="260" w:hanging="452"/>
        <w:spacing w:after="0" w:line="357" w:lineRule="auto"/>
        <w:tabs>
          <w:tab w:leader="none" w:pos="460" w:val="left"/>
        </w:tabs>
        <w:numPr>
          <w:ilvl w:val="0"/>
          <w:numId w:val="100"/>
        </w:numPr>
        <w:rPr>
          <w:rFonts w:ascii="Arial" w:cs="Arial" w:eastAsia="Arial" w:hAnsi="Arial"/>
          <w:sz w:val="15"/>
          <w:szCs w:val="15"/>
          <w:color w:val="auto"/>
        </w:rPr>
      </w:pPr>
      <w:r>
        <w:rPr>
          <w:rFonts w:ascii="Arial" w:cs="Arial" w:eastAsia="Arial" w:hAnsi="Arial"/>
          <w:sz w:val="15"/>
          <w:szCs w:val="15"/>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ind w:left="460" w:right="60" w:hanging="452"/>
        <w:spacing w:after="0" w:line="268" w:lineRule="auto"/>
        <w:tabs>
          <w:tab w:leader="none" w:pos="460" w:val="left"/>
        </w:tabs>
        <w:numPr>
          <w:ilvl w:val="0"/>
          <w:numId w:val="100"/>
        </w:numPr>
        <w:rPr>
          <w:rFonts w:ascii="Arial" w:cs="Arial" w:eastAsia="Arial" w:hAnsi="Arial"/>
          <w:sz w:val="18"/>
          <w:szCs w:val="18"/>
          <w:color w:val="auto"/>
        </w:rPr>
      </w:pPr>
      <w:r>
        <w:rPr>
          <w:rFonts w:ascii="Arial" w:cs="Arial" w:eastAsia="Arial" w:hAnsi="Arial"/>
          <w:sz w:val="18"/>
          <w:szCs w:val="18"/>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50" w:lineRule="exact"/>
        <w:rPr>
          <w:rFonts w:ascii="Arial" w:cs="Arial" w:eastAsia="Arial" w:hAnsi="Arial"/>
          <w:sz w:val="18"/>
          <w:szCs w:val="18"/>
          <w:color w:val="auto"/>
        </w:rPr>
      </w:pPr>
    </w:p>
    <w:p>
      <w:pPr>
        <w:ind w:left="460" w:right="140" w:hanging="452"/>
        <w:spacing w:after="0" w:line="259" w:lineRule="auto"/>
        <w:tabs>
          <w:tab w:leader="none" w:pos="460" w:val="left"/>
        </w:tabs>
        <w:numPr>
          <w:ilvl w:val="0"/>
          <w:numId w:val="100"/>
        </w:numPr>
        <w:rPr>
          <w:rFonts w:ascii="Arial" w:cs="Arial" w:eastAsia="Arial" w:hAnsi="Arial"/>
          <w:sz w:val="18"/>
          <w:szCs w:val="18"/>
          <w:color w:val="auto"/>
        </w:rPr>
      </w:pPr>
      <w:r>
        <w:rPr>
          <w:rFonts w:ascii="Arial" w:cs="Arial" w:eastAsia="Arial" w:hAnsi="Arial"/>
          <w:sz w:val="18"/>
          <w:szCs w:val="18"/>
          <w:color w:val="auto"/>
        </w:rPr>
        <w:t>The registrant’s other certifying officers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59" w:lineRule="exact"/>
        <w:rPr>
          <w:rFonts w:ascii="Arial" w:cs="Arial" w:eastAsia="Arial" w:hAnsi="Arial"/>
          <w:sz w:val="18"/>
          <w:szCs w:val="18"/>
          <w:color w:val="auto"/>
        </w:rPr>
      </w:pPr>
    </w:p>
    <w:p>
      <w:pPr>
        <w:ind w:left="900" w:right="100" w:hanging="446"/>
        <w:spacing w:after="0" w:line="259" w:lineRule="auto"/>
        <w:tabs>
          <w:tab w:leader="none" w:pos="900" w:val="left"/>
        </w:tabs>
        <w:numPr>
          <w:ilvl w:val="1"/>
          <w:numId w:val="100"/>
        </w:numPr>
        <w:rPr>
          <w:rFonts w:ascii="Arial" w:cs="Arial" w:eastAsia="Arial" w:hAnsi="Arial"/>
          <w:sz w:val="18"/>
          <w:szCs w:val="18"/>
          <w:color w:val="auto"/>
        </w:rPr>
      </w:pPr>
      <w:r>
        <w:rPr>
          <w:rFonts w:ascii="Arial" w:cs="Arial" w:eastAsia="Arial" w:hAnsi="Arial"/>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59" w:lineRule="exact"/>
        <w:rPr>
          <w:rFonts w:ascii="Arial" w:cs="Arial" w:eastAsia="Arial" w:hAnsi="Arial"/>
          <w:sz w:val="18"/>
          <w:szCs w:val="18"/>
          <w:color w:val="auto"/>
        </w:rPr>
      </w:pPr>
    </w:p>
    <w:p>
      <w:pPr>
        <w:ind w:left="900" w:right="80" w:hanging="446"/>
        <w:spacing w:after="0" w:line="259" w:lineRule="auto"/>
        <w:tabs>
          <w:tab w:leader="none" w:pos="900" w:val="left"/>
        </w:tabs>
        <w:numPr>
          <w:ilvl w:val="1"/>
          <w:numId w:val="100"/>
        </w:numPr>
        <w:rPr>
          <w:rFonts w:ascii="Arial" w:cs="Arial" w:eastAsia="Arial" w:hAnsi="Arial"/>
          <w:sz w:val="18"/>
          <w:szCs w:val="18"/>
          <w:color w:val="auto"/>
        </w:rPr>
      </w:pPr>
      <w:r>
        <w:rPr>
          <w:rFonts w:ascii="Arial" w:cs="Arial" w:eastAsia="Arial" w:hAnsi="Arial"/>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59" w:lineRule="exact"/>
        <w:rPr>
          <w:rFonts w:ascii="Arial" w:cs="Arial" w:eastAsia="Arial" w:hAnsi="Arial"/>
          <w:sz w:val="18"/>
          <w:szCs w:val="18"/>
          <w:color w:val="auto"/>
        </w:rPr>
      </w:pPr>
    </w:p>
    <w:p>
      <w:pPr>
        <w:ind w:left="900" w:right="120" w:hanging="446"/>
        <w:spacing w:after="0" w:line="332" w:lineRule="auto"/>
        <w:tabs>
          <w:tab w:leader="none" w:pos="900" w:val="left"/>
        </w:tabs>
        <w:numPr>
          <w:ilvl w:val="1"/>
          <w:numId w:val="100"/>
        </w:numPr>
        <w:rPr>
          <w:rFonts w:ascii="Arial" w:cs="Arial" w:eastAsia="Arial" w:hAnsi="Arial"/>
          <w:sz w:val="16"/>
          <w:szCs w:val="16"/>
          <w:color w:val="auto"/>
        </w:rPr>
      </w:pPr>
      <w:r>
        <w:rPr>
          <w:rFonts w:ascii="Arial" w:cs="Arial" w:eastAsia="Arial" w:hAnsi="Arial"/>
          <w:sz w:val="16"/>
          <w:szCs w:val="16"/>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4" w:lineRule="exact"/>
        <w:rPr>
          <w:rFonts w:ascii="Arial" w:cs="Arial" w:eastAsia="Arial" w:hAnsi="Arial"/>
          <w:sz w:val="16"/>
          <w:szCs w:val="16"/>
          <w:color w:val="auto"/>
        </w:rPr>
      </w:pPr>
    </w:p>
    <w:p>
      <w:pPr>
        <w:jc w:val="both"/>
        <w:ind w:left="900" w:right="180" w:hanging="446"/>
        <w:spacing w:after="0" w:line="259" w:lineRule="auto"/>
        <w:tabs>
          <w:tab w:leader="none" w:pos="900" w:val="left"/>
        </w:tabs>
        <w:numPr>
          <w:ilvl w:val="1"/>
          <w:numId w:val="100"/>
        </w:numPr>
        <w:rPr>
          <w:rFonts w:ascii="Arial" w:cs="Arial" w:eastAsia="Arial" w:hAnsi="Arial"/>
          <w:sz w:val="18"/>
          <w:szCs w:val="18"/>
          <w:color w:val="auto"/>
        </w:rPr>
      </w:pPr>
      <w:r>
        <w:rPr>
          <w:rFonts w:ascii="Arial" w:cs="Arial" w:eastAsia="Arial" w:hAnsi="Arial"/>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59" w:lineRule="exact"/>
        <w:rPr>
          <w:rFonts w:ascii="Arial" w:cs="Arial" w:eastAsia="Arial" w:hAnsi="Arial"/>
          <w:sz w:val="18"/>
          <w:szCs w:val="18"/>
          <w:color w:val="auto"/>
        </w:rPr>
      </w:pPr>
    </w:p>
    <w:p>
      <w:pPr>
        <w:ind w:left="460" w:right="580" w:hanging="452"/>
        <w:spacing w:after="0" w:line="332" w:lineRule="auto"/>
        <w:tabs>
          <w:tab w:leader="none" w:pos="460" w:val="left"/>
        </w:tabs>
        <w:numPr>
          <w:ilvl w:val="0"/>
          <w:numId w:val="100"/>
        </w:numPr>
        <w:rPr>
          <w:rFonts w:ascii="Arial" w:cs="Arial" w:eastAsia="Arial" w:hAnsi="Arial"/>
          <w:sz w:val="16"/>
          <w:szCs w:val="16"/>
          <w:color w:val="auto"/>
        </w:rPr>
      </w:pPr>
      <w:r>
        <w:rPr>
          <w:rFonts w:ascii="Arial" w:cs="Arial" w:eastAsia="Arial" w:hAnsi="Arial"/>
          <w:sz w:val="16"/>
          <w:szCs w:val="16"/>
          <w:color w:val="auto"/>
        </w:rPr>
        <w:t>The registrant’s other certifying officers and I have disclosed, based on our most recent evaluation of internal control over financial reporting, to the registrant’s auditors and the audit committee of the registrant’s board of directors (or persons performing the equivalent functions):</w:t>
      </w:r>
    </w:p>
    <w:p>
      <w:pPr>
        <w:spacing w:after="0" w:line="4" w:lineRule="exact"/>
        <w:rPr>
          <w:rFonts w:ascii="Arial" w:cs="Arial" w:eastAsia="Arial" w:hAnsi="Arial"/>
          <w:sz w:val="16"/>
          <w:szCs w:val="16"/>
          <w:color w:val="auto"/>
        </w:rPr>
      </w:pPr>
    </w:p>
    <w:p>
      <w:pPr>
        <w:ind w:left="900" w:right="60" w:hanging="446"/>
        <w:spacing w:after="0" w:line="268" w:lineRule="auto"/>
        <w:tabs>
          <w:tab w:leader="none" w:pos="900" w:val="left"/>
        </w:tabs>
        <w:numPr>
          <w:ilvl w:val="1"/>
          <w:numId w:val="100"/>
        </w:numPr>
        <w:rPr>
          <w:rFonts w:ascii="Arial" w:cs="Arial" w:eastAsia="Arial" w:hAnsi="Arial"/>
          <w:sz w:val="18"/>
          <w:szCs w:val="18"/>
          <w:color w:val="auto"/>
        </w:rPr>
      </w:pPr>
      <w:r>
        <w:rPr>
          <w:rFonts w:ascii="Arial" w:cs="Arial" w:eastAsia="Arial" w:hAnsi="Arial"/>
          <w:sz w:val="18"/>
          <w:szCs w:val="18"/>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50" w:lineRule="exact"/>
        <w:rPr>
          <w:rFonts w:ascii="Arial" w:cs="Arial" w:eastAsia="Arial" w:hAnsi="Arial"/>
          <w:sz w:val="18"/>
          <w:szCs w:val="18"/>
          <w:color w:val="auto"/>
        </w:rPr>
      </w:pPr>
    </w:p>
    <w:p>
      <w:pPr>
        <w:ind w:left="900" w:right="120" w:hanging="446"/>
        <w:spacing w:after="0" w:line="268" w:lineRule="auto"/>
        <w:tabs>
          <w:tab w:leader="none" w:pos="900" w:val="left"/>
        </w:tabs>
        <w:numPr>
          <w:ilvl w:val="1"/>
          <w:numId w:val="100"/>
        </w:numPr>
        <w:rPr>
          <w:rFonts w:ascii="Arial" w:cs="Arial" w:eastAsia="Arial" w:hAnsi="Arial"/>
          <w:sz w:val="18"/>
          <w:szCs w:val="18"/>
          <w:color w:val="auto"/>
        </w:rPr>
      </w:pPr>
      <w:r>
        <w:rPr>
          <w:rFonts w:ascii="Arial" w:cs="Arial" w:eastAsia="Arial" w:hAnsi="Arial"/>
          <w:sz w:val="18"/>
          <w:szCs w:val="18"/>
          <w:color w:val="auto"/>
        </w:rPr>
        <w:t>any fraud, whether or not material, that involves management or other employees who have a significant role in the registrant’s internal control over financial reporting.</w:t>
      </w:r>
    </w:p>
    <w:p>
      <w:pPr>
        <w:spacing w:after="0" w:line="132" w:lineRule="exact"/>
        <w:rPr>
          <w:sz w:val="20"/>
          <w:szCs w:val="20"/>
          <w:color w:val="auto"/>
        </w:rPr>
      </w:pPr>
    </w:p>
    <w:p>
      <w:pPr>
        <w:spacing w:after="0"/>
        <w:rPr>
          <w:sz w:val="20"/>
          <w:szCs w:val="20"/>
          <w:color w:val="auto"/>
        </w:rPr>
      </w:pPr>
      <w:r>
        <w:rPr>
          <w:rFonts w:ascii="Arial" w:cs="Arial" w:eastAsia="Arial" w:hAnsi="Arial"/>
          <w:sz w:val="18"/>
          <w:szCs w:val="18"/>
          <w:color w:val="auto"/>
        </w:rPr>
        <w:t>Date: February 26, 2007</w:t>
      </w:r>
    </w:p>
    <w:p>
      <w:pPr>
        <w:spacing w:after="0" w:line="212" w:lineRule="exact"/>
        <w:rPr>
          <w:sz w:val="20"/>
          <w:szCs w:val="20"/>
          <w:color w:val="auto"/>
        </w:rPr>
      </w:pPr>
    </w:p>
    <w:tbl>
      <w:tblPr>
        <w:tblLayout w:type="fixed"/>
        <w:tblInd w:w="0" w:type="dxa"/>
        <w:tblCellMar>
          <w:top w:w="0" w:type="dxa"/>
          <w:left w:w="0" w:type="dxa"/>
          <w:bottom w:w="0" w:type="dxa"/>
          <w:right w:w="0" w:type="dxa"/>
        </w:tblCellMar>
      </w:tblPr>
      <w:tr>
        <w:trPr>
          <w:trHeight w:val="223"/>
        </w:trPr>
        <w:tc>
          <w:tcPr>
            <w:tcW w:w="560" w:type="dxa"/>
            <w:vAlign w:val="bottom"/>
          </w:tcPr>
          <w:p>
            <w:pPr>
              <w:spacing w:after="0"/>
              <w:rPr>
                <w:sz w:val="19"/>
                <w:szCs w:val="19"/>
                <w:color w:val="auto"/>
              </w:rPr>
            </w:pPr>
          </w:p>
        </w:tc>
        <w:tc>
          <w:tcPr>
            <w:tcW w:w="1260" w:type="dxa"/>
            <w:vAlign w:val="bottom"/>
            <w:tcBorders>
              <w:bottom w:val="single" w:sz="8" w:color="auto"/>
            </w:tcBorders>
          </w:tcPr>
          <w:p>
            <w:pPr>
              <w:ind w:left="1020"/>
              <w:spacing w:after="0"/>
              <w:rPr>
                <w:sz w:val="20"/>
                <w:szCs w:val="20"/>
                <w:color w:val="auto"/>
              </w:rPr>
            </w:pPr>
            <w:r>
              <w:rPr>
                <w:rFonts w:ascii="Arial" w:cs="Arial" w:eastAsia="Arial" w:hAnsi="Arial"/>
                <w:sz w:val="18"/>
                <w:szCs w:val="18"/>
                <w:color w:val="auto"/>
              </w:rPr>
              <w:t>/s/</w:t>
            </w:r>
          </w:p>
        </w:tc>
        <w:tc>
          <w:tcPr>
            <w:tcW w:w="2760" w:type="dxa"/>
            <w:vAlign w:val="bottom"/>
            <w:tcBorders>
              <w:bottom w:val="single" w:sz="8" w:color="auto"/>
            </w:tcBorders>
          </w:tcPr>
          <w:p>
            <w:pPr>
              <w:ind w:left="100"/>
              <w:spacing w:after="0"/>
              <w:rPr>
                <w:sz w:val="20"/>
                <w:szCs w:val="20"/>
                <w:color w:val="auto"/>
              </w:rPr>
            </w:pPr>
            <w:r>
              <w:rPr>
                <w:rFonts w:ascii="Arial" w:cs="Arial" w:eastAsia="Arial" w:hAnsi="Arial"/>
                <w:sz w:val="18"/>
                <w:szCs w:val="18"/>
                <w:color w:val="auto"/>
              </w:rPr>
              <w:t>B</w:t>
            </w:r>
            <w:r>
              <w:rPr>
                <w:rFonts w:ascii="Arial" w:cs="Arial" w:eastAsia="Arial" w:hAnsi="Arial"/>
                <w:sz w:val="14"/>
                <w:szCs w:val="14"/>
                <w:color w:val="auto"/>
              </w:rPr>
              <w:t>RIAN</w:t>
            </w:r>
            <w:r>
              <w:rPr>
                <w:rFonts w:ascii="Arial" w:cs="Arial" w:eastAsia="Arial" w:hAnsi="Arial"/>
                <w:sz w:val="18"/>
                <w:szCs w:val="18"/>
                <w:color w:val="auto"/>
              </w:rPr>
              <w:t xml:space="preserve"> L. R</w:t>
            </w:r>
            <w:r>
              <w:rPr>
                <w:rFonts w:ascii="Arial" w:cs="Arial" w:eastAsia="Arial" w:hAnsi="Arial"/>
                <w:sz w:val="14"/>
                <w:szCs w:val="14"/>
                <w:color w:val="auto"/>
              </w:rPr>
              <w:t>OBERTS</w:t>
            </w:r>
          </w:p>
        </w:tc>
      </w:tr>
      <w:tr>
        <w:trPr>
          <w:trHeight w:val="198"/>
        </w:trPr>
        <w:tc>
          <w:tcPr>
            <w:tcW w:w="560" w:type="dxa"/>
            <w:vAlign w:val="bottom"/>
          </w:tcPr>
          <w:p>
            <w:pPr>
              <w:spacing w:after="0" w:line="198" w:lineRule="exact"/>
              <w:rPr>
                <w:sz w:val="20"/>
                <w:szCs w:val="20"/>
                <w:color w:val="auto"/>
              </w:rPr>
            </w:pPr>
            <w:r>
              <w:rPr>
                <w:rFonts w:ascii="Arial" w:cs="Arial" w:eastAsia="Arial" w:hAnsi="Arial"/>
                <w:sz w:val="18"/>
                <w:szCs w:val="18"/>
                <w:color w:val="auto"/>
              </w:rPr>
              <w:t>Name:</w:t>
            </w:r>
          </w:p>
        </w:tc>
        <w:tc>
          <w:tcPr>
            <w:tcW w:w="1260" w:type="dxa"/>
            <w:vAlign w:val="bottom"/>
          </w:tcPr>
          <w:p>
            <w:pPr>
              <w:spacing w:after="0"/>
              <w:rPr>
                <w:sz w:val="17"/>
                <w:szCs w:val="17"/>
                <w:color w:val="auto"/>
              </w:rPr>
            </w:pPr>
          </w:p>
        </w:tc>
        <w:tc>
          <w:tcPr>
            <w:tcW w:w="2760" w:type="dxa"/>
            <w:vAlign w:val="bottom"/>
          </w:tcPr>
          <w:p>
            <w:pPr>
              <w:ind w:left="280"/>
              <w:spacing w:after="0"/>
              <w:rPr>
                <w:sz w:val="20"/>
                <w:szCs w:val="20"/>
                <w:color w:val="auto"/>
              </w:rPr>
            </w:pPr>
            <w:r>
              <w:rPr>
                <w:rFonts w:ascii="Arial" w:cs="Arial" w:eastAsia="Arial" w:hAnsi="Arial"/>
                <w:sz w:val="14"/>
                <w:szCs w:val="14"/>
                <w:b w:val="1"/>
                <w:bCs w:val="1"/>
                <w:color w:val="auto"/>
              </w:rPr>
              <w:t>Brian L. Roberts</w:t>
            </w:r>
          </w:p>
        </w:tc>
      </w:tr>
      <w:tr>
        <w:trPr>
          <w:trHeight w:val="174"/>
        </w:trPr>
        <w:tc>
          <w:tcPr>
            <w:tcW w:w="560" w:type="dxa"/>
            <w:vAlign w:val="bottom"/>
          </w:tcPr>
          <w:p>
            <w:pPr>
              <w:spacing w:after="0"/>
              <w:rPr>
                <w:sz w:val="15"/>
                <w:szCs w:val="15"/>
                <w:color w:val="auto"/>
              </w:rPr>
            </w:pPr>
          </w:p>
        </w:tc>
        <w:tc>
          <w:tcPr>
            <w:tcW w:w="1260" w:type="dxa"/>
            <w:vAlign w:val="bottom"/>
          </w:tcPr>
          <w:p>
            <w:pPr>
              <w:spacing w:after="0"/>
              <w:rPr>
                <w:sz w:val="15"/>
                <w:szCs w:val="15"/>
                <w:color w:val="auto"/>
              </w:rPr>
            </w:pPr>
          </w:p>
        </w:tc>
        <w:tc>
          <w:tcPr>
            <w:tcW w:w="2760" w:type="dxa"/>
            <w:vAlign w:val="bottom"/>
          </w:tcPr>
          <w:p>
            <w:pPr>
              <w:ind w:left="80"/>
              <w:spacing w:after="0"/>
              <w:rPr>
                <w:sz w:val="20"/>
                <w:szCs w:val="20"/>
                <w:color w:val="auto"/>
              </w:rPr>
            </w:pPr>
            <w:r>
              <w:rPr>
                <w:rFonts w:ascii="Arial" w:cs="Arial" w:eastAsia="Arial" w:hAnsi="Arial"/>
                <w:sz w:val="14"/>
                <w:szCs w:val="14"/>
                <w:b w:val="1"/>
                <w:bCs w:val="1"/>
                <w:color w:val="auto"/>
              </w:rPr>
              <w:t>Chief Executive Officer</w:t>
            </w:r>
          </w:p>
        </w:tc>
      </w:tr>
    </w:tbl>
    <w:p>
      <w:pPr>
        <w:sectPr>
          <w:pgSz w:w="11900" w:h="16838" w:orient="portrait"/>
          <w:cols w:equalWidth="0" w:num="1">
            <w:col w:w="11420"/>
          </w:cols>
          <w:pgMar w:left="240" w:top="125" w:right="239" w:bottom="1440" w:gutter="0" w:footer="0" w:header="0"/>
        </w:sectPr>
      </w:pPr>
    </w:p>
    <w:bookmarkStart w:id="201" w:name="page202"/>
    <w:bookmarkEnd w:id="201"/>
    <w:p>
      <w:pPr>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255" name="Picture 2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5"/>
                    <pic:cNvPicPr>
                      <a:picLocks noChangeAspect="1" noChangeArrowheads="1"/>
                    </pic:cNvPicPr>
                  </pic:nvPicPr>
                  <pic:blipFill>
                    <a:blip r:embed="rId262">
                      <a:extLst>
                        <a:ext uri="{28A0092B-C50C-407E-A947-70E740481C1C}"/>
                      </a:extLst>
                    </a:blip>
                    <a:srcRect/>
                    <a:stretch>
                      <a:fillRect/>
                    </a:stretch>
                  </pic:blipFill>
                  <pic:spPr bwMode="auto">
                    <a:xfrm>
                      <a:off x="0" y="0"/>
                      <a:ext cx="7267575" cy="27940"/>
                    </a:xfrm>
                    <a:prstGeom prst="rect">
                      <a:avLst/>
                    </a:prstGeom>
                    <a:noFill/>
                  </pic:spPr>
                </pic:pic>
              </a:graphicData>
            </a:graphic>
          </wp:anchor>
        </w:drawing>
        <w:t>I, Lawrence S. Smith, certify that:</w:t>
      </w:r>
    </w:p>
    <w:p>
      <w:pPr>
        <w:spacing w:after="0" w:line="90" w:lineRule="exact"/>
        <w:rPr>
          <w:sz w:val="20"/>
          <w:szCs w:val="20"/>
          <w:color w:val="auto"/>
        </w:rPr>
      </w:pPr>
    </w:p>
    <w:p>
      <w:pPr>
        <w:ind w:left="460" w:hanging="452"/>
        <w:spacing w:after="0"/>
        <w:tabs>
          <w:tab w:leader="none" w:pos="460" w:val="left"/>
        </w:tabs>
        <w:numPr>
          <w:ilvl w:val="0"/>
          <w:numId w:val="101"/>
        </w:numPr>
        <w:rPr>
          <w:rFonts w:ascii="Arial" w:cs="Arial" w:eastAsia="Arial" w:hAnsi="Arial"/>
          <w:sz w:val="18"/>
          <w:szCs w:val="18"/>
          <w:color w:val="auto"/>
        </w:rPr>
      </w:pPr>
      <w:r>
        <w:rPr>
          <w:rFonts w:ascii="Arial" w:cs="Arial" w:eastAsia="Arial" w:hAnsi="Arial"/>
          <w:sz w:val="18"/>
          <w:szCs w:val="18"/>
          <w:color w:val="auto"/>
        </w:rPr>
        <w:t>I have reviewed this annual report on Form 10-K of Comcast Corporation;</w:t>
      </w:r>
    </w:p>
    <w:p>
      <w:pPr>
        <w:spacing w:after="0" w:line="90" w:lineRule="exact"/>
        <w:rPr>
          <w:rFonts w:ascii="Arial" w:cs="Arial" w:eastAsia="Arial" w:hAnsi="Arial"/>
          <w:sz w:val="18"/>
          <w:szCs w:val="18"/>
          <w:color w:val="auto"/>
        </w:rPr>
      </w:pPr>
    </w:p>
    <w:p>
      <w:pPr>
        <w:ind w:left="460" w:right="200" w:hanging="452"/>
        <w:spacing w:after="0" w:line="357" w:lineRule="auto"/>
        <w:tabs>
          <w:tab w:leader="none" w:pos="460" w:val="left"/>
        </w:tabs>
        <w:numPr>
          <w:ilvl w:val="0"/>
          <w:numId w:val="101"/>
        </w:numPr>
        <w:rPr>
          <w:rFonts w:ascii="Arial" w:cs="Arial" w:eastAsia="Arial" w:hAnsi="Arial"/>
          <w:sz w:val="15"/>
          <w:szCs w:val="15"/>
          <w:color w:val="auto"/>
        </w:rPr>
      </w:pPr>
      <w:r>
        <w:rPr>
          <w:rFonts w:ascii="Arial" w:cs="Arial" w:eastAsia="Arial" w:hAnsi="Arial"/>
          <w:sz w:val="15"/>
          <w:szCs w:val="15"/>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ind w:left="460" w:hanging="452"/>
        <w:spacing w:after="0" w:line="268" w:lineRule="auto"/>
        <w:tabs>
          <w:tab w:leader="none" w:pos="460" w:val="left"/>
        </w:tabs>
        <w:numPr>
          <w:ilvl w:val="0"/>
          <w:numId w:val="101"/>
        </w:numPr>
        <w:rPr>
          <w:rFonts w:ascii="Arial" w:cs="Arial" w:eastAsia="Arial" w:hAnsi="Arial"/>
          <w:sz w:val="18"/>
          <w:szCs w:val="18"/>
          <w:color w:val="auto"/>
        </w:rPr>
      </w:pPr>
      <w:r>
        <w:rPr>
          <w:rFonts w:ascii="Arial" w:cs="Arial" w:eastAsia="Arial" w:hAnsi="Arial"/>
          <w:sz w:val="18"/>
          <w:szCs w:val="18"/>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50" w:lineRule="exact"/>
        <w:rPr>
          <w:rFonts w:ascii="Arial" w:cs="Arial" w:eastAsia="Arial" w:hAnsi="Arial"/>
          <w:sz w:val="18"/>
          <w:szCs w:val="18"/>
          <w:color w:val="auto"/>
        </w:rPr>
      </w:pPr>
    </w:p>
    <w:p>
      <w:pPr>
        <w:ind w:left="460" w:right="80" w:hanging="452"/>
        <w:spacing w:after="0" w:line="259" w:lineRule="auto"/>
        <w:tabs>
          <w:tab w:leader="none" w:pos="460" w:val="left"/>
        </w:tabs>
        <w:numPr>
          <w:ilvl w:val="0"/>
          <w:numId w:val="101"/>
        </w:numPr>
        <w:rPr>
          <w:rFonts w:ascii="Arial" w:cs="Arial" w:eastAsia="Arial" w:hAnsi="Arial"/>
          <w:sz w:val="18"/>
          <w:szCs w:val="18"/>
          <w:color w:val="auto"/>
        </w:rPr>
      </w:pPr>
      <w:r>
        <w:rPr>
          <w:rFonts w:ascii="Arial" w:cs="Arial" w:eastAsia="Arial" w:hAnsi="Arial"/>
          <w:sz w:val="18"/>
          <w:szCs w:val="18"/>
          <w:color w:val="auto"/>
        </w:rPr>
        <w:t>The registrant’s other certifying officers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59" w:lineRule="exact"/>
        <w:rPr>
          <w:rFonts w:ascii="Arial" w:cs="Arial" w:eastAsia="Arial" w:hAnsi="Arial"/>
          <w:sz w:val="18"/>
          <w:szCs w:val="18"/>
          <w:color w:val="auto"/>
        </w:rPr>
      </w:pPr>
    </w:p>
    <w:p>
      <w:pPr>
        <w:ind w:left="900" w:right="40" w:hanging="446"/>
        <w:spacing w:after="0" w:line="259" w:lineRule="auto"/>
        <w:tabs>
          <w:tab w:leader="none" w:pos="900" w:val="left"/>
        </w:tabs>
        <w:numPr>
          <w:ilvl w:val="1"/>
          <w:numId w:val="101"/>
        </w:numPr>
        <w:rPr>
          <w:rFonts w:ascii="Arial" w:cs="Arial" w:eastAsia="Arial" w:hAnsi="Arial"/>
          <w:sz w:val="18"/>
          <w:szCs w:val="18"/>
          <w:color w:val="auto"/>
        </w:rPr>
      </w:pPr>
      <w:r>
        <w:rPr>
          <w:rFonts w:ascii="Arial" w:cs="Arial" w:eastAsia="Arial" w:hAnsi="Arial"/>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59" w:lineRule="exact"/>
        <w:rPr>
          <w:rFonts w:ascii="Arial" w:cs="Arial" w:eastAsia="Arial" w:hAnsi="Arial"/>
          <w:sz w:val="18"/>
          <w:szCs w:val="18"/>
          <w:color w:val="auto"/>
        </w:rPr>
      </w:pPr>
    </w:p>
    <w:p>
      <w:pPr>
        <w:ind w:left="900" w:right="20" w:hanging="446"/>
        <w:spacing w:after="0" w:line="259" w:lineRule="auto"/>
        <w:tabs>
          <w:tab w:leader="none" w:pos="900" w:val="left"/>
        </w:tabs>
        <w:numPr>
          <w:ilvl w:val="1"/>
          <w:numId w:val="101"/>
        </w:numPr>
        <w:rPr>
          <w:rFonts w:ascii="Arial" w:cs="Arial" w:eastAsia="Arial" w:hAnsi="Arial"/>
          <w:sz w:val="18"/>
          <w:szCs w:val="18"/>
          <w:color w:val="auto"/>
        </w:rPr>
      </w:pPr>
      <w:r>
        <w:rPr>
          <w:rFonts w:ascii="Arial" w:cs="Arial" w:eastAsia="Arial" w:hAnsi="Arial"/>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59" w:lineRule="exact"/>
        <w:rPr>
          <w:rFonts w:ascii="Arial" w:cs="Arial" w:eastAsia="Arial" w:hAnsi="Arial"/>
          <w:sz w:val="18"/>
          <w:szCs w:val="18"/>
          <w:color w:val="auto"/>
        </w:rPr>
      </w:pPr>
    </w:p>
    <w:p>
      <w:pPr>
        <w:ind w:left="900" w:right="60" w:hanging="446"/>
        <w:spacing w:after="0" w:line="332" w:lineRule="auto"/>
        <w:tabs>
          <w:tab w:leader="none" w:pos="900" w:val="left"/>
        </w:tabs>
        <w:numPr>
          <w:ilvl w:val="1"/>
          <w:numId w:val="101"/>
        </w:numPr>
        <w:rPr>
          <w:rFonts w:ascii="Arial" w:cs="Arial" w:eastAsia="Arial" w:hAnsi="Arial"/>
          <w:sz w:val="16"/>
          <w:szCs w:val="16"/>
          <w:color w:val="auto"/>
        </w:rPr>
      </w:pPr>
      <w:r>
        <w:rPr>
          <w:rFonts w:ascii="Arial" w:cs="Arial" w:eastAsia="Arial" w:hAnsi="Arial"/>
          <w:sz w:val="16"/>
          <w:szCs w:val="16"/>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4" w:lineRule="exact"/>
        <w:rPr>
          <w:rFonts w:ascii="Arial" w:cs="Arial" w:eastAsia="Arial" w:hAnsi="Arial"/>
          <w:sz w:val="16"/>
          <w:szCs w:val="16"/>
          <w:color w:val="auto"/>
        </w:rPr>
      </w:pPr>
    </w:p>
    <w:p>
      <w:pPr>
        <w:jc w:val="both"/>
        <w:ind w:left="900" w:right="120" w:hanging="446"/>
        <w:spacing w:after="0" w:line="259" w:lineRule="auto"/>
        <w:tabs>
          <w:tab w:leader="none" w:pos="900" w:val="left"/>
        </w:tabs>
        <w:numPr>
          <w:ilvl w:val="1"/>
          <w:numId w:val="101"/>
        </w:numPr>
        <w:rPr>
          <w:rFonts w:ascii="Arial" w:cs="Arial" w:eastAsia="Arial" w:hAnsi="Arial"/>
          <w:sz w:val="18"/>
          <w:szCs w:val="18"/>
          <w:color w:val="auto"/>
        </w:rPr>
      </w:pPr>
      <w:r>
        <w:rPr>
          <w:rFonts w:ascii="Arial" w:cs="Arial" w:eastAsia="Arial" w:hAnsi="Arial"/>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59" w:lineRule="exact"/>
        <w:rPr>
          <w:rFonts w:ascii="Arial" w:cs="Arial" w:eastAsia="Arial" w:hAnsi="Arial"/>
          <w:sz w:val="18"/>
          <w:szCs w:val="18"/>
          <w:color w:val="auto"/>
        </w:rPr>
      </w:pPr>
    </w:p>
    <w:p>
      <w:pPr>
        <w:ind w:left="460" w:right="520" w:hanging="452"/>
        <w:spacing w:after="0" w:line="332" w:lineRule="auto"/>
        <w:tabs>
          <w:tab w:leader="none" w:pos="460" w:val="left"/>
        </w:tabs>
        <w:numPr>
          <w:ilvl w:val="0"/>
          <w:numId w:val="101"/>
        </w:numPr>
        <w:rPr>
          <w:rFonts w:ascii="Arial" w:cs="Arial" w:eastAsia="Arial" w:hAnsi="Arial"/>
          <w:sz w:val="16"/>
          <w:szCs w:val="16"/>
          <w:color w:val="auto"/>
        </w:rPr>
      </w:pPr>
      <w:r>
        <w:rPr>
          <w:rFonts w:ascii="Arial" w:cs="Arial" w:eastAsia="Arial" w:hAnsi="Arial"/>
          <w:sz w:val="16"/>
          <w:szCs w:val="16"/>
          <w:color w:val="auto"/>
        </w:rPr>
        <w:t>The registrant’s other certifying officers and I have disclosed, based on our most recent evaluation of internal control over financial reporting, to the registrant’s auditors and the audit committee of the registrant’s board of directors (or persons performing the equivalent functions):</w:t>
      </w:r>
    </w:p>
    <w:p>
      <w:pPr>
        <w:spacing w:after="0" w:line="4" w:lineRule="exact"/>
        <w:rPr>
          <w:rFonts w:ascii="Arial" w:cs="Arial" w:eastAsia="Arial" w:hAnsi="Arial"/>
          <w:sz w:val="16"/>
          <w:szCs w:val="16"/>
          <w:color w:val="auto"/>
        </w:rPr>
      </w:pPr>
    </w:p>
    <w:p>
      <w:pPr>
        <w:ind w:left="900" w:hanging="446"/>
        <w:spacing w:after="0" w:line="268" w:lineRule="auto"/>
        <w:tabs>
          <w:tab w:leader="none" w:pos="900" w:val="left"/>
        </w:tabs>
        <w:numPr>
          <w:ilvl w:val="1"/>
          <w:numId w:val="101"/>
        </w:numPr>
        <w:rPr>
          <w:rFonts w:ascii="Arial" w:cs="Arial" w:eastAsia="Arial" w:hAnsi="Arial"/>
          <w:sz w:val="18"/>
          <w:szCs w:val="18"/>
          <w:color w:val="auto"/>
        </w:rPr>
      </w:pPr>
      <w:r>
        <w:rPr>
          <w:rFonts w:ascii="Arial" w:cs="Arial" w:eastAsia="Arial" w:hAnsi="Arial"/>
          <w:sz w:val="18"/>
          <w:szCs w:val="18"/>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50" w:lineRule="exact"/>
        <w:rPr>
          <w:rFonts w:ascii="Arial" w:cs="Arial" w:eastAsia="Arial" w:hAnsi="Arial"/>
          <w:sz w:val="18"/>
          <w:szCs w:val="18"/>
          <w:color w:val="auto"/>
        </w:rPr>
      </w:pPr>
    </w:p>
    <w:p>
      <w:pPr>
        <w:ind w:left="900" w:right="60" w:hanging="446"/>
        <w:spacing w:after="0" w:line="268" w:lineRule="auto"/>
        <w:tabs>
          <w:tab w:leader="none" w:pos="900" w:val="left"/>
        </w:tabs>
        <w:numPr>
          <w:ilvl w:val="1"/>
          <w:numId w:val="101"/>
        </w:numPr>
        <w:rPr>
          <w:rFonts w:ascii="Arial" w:cs="Arial" w:eastAsia="Arial" w:hAnsi="Arial"/>
          <w:sz w:val="18"/>
          <w:szCs w:val="18"/>
          <w:color w:val="auto"/>
        </w:rPr>
      </w:pPr>
      <w:r>
        <w:rPr>
          <w:rFonts w:ascii="Arial" w:cs="Arial" w:eastAsia="Arial" w:hAnsi="Arial"/>
          <w:sz w:val="18"/>
          <w:szCs w:val="18"/>
          <w:color w:val="auto"/>
        </w:rPr>
        <w:t>any fraud, whether or not material, that involves management or other employees who have a significant role in the registrant’s internal control over financial reporting.</w:t>
      </w:r>
    </w:p>
    <w:p>
      <w:pPr>
        <w:spacing w:after="0" w:line="132" w:lineRule="exact"/>
        <w:rPr>
          <w:sz w:val="20"/>
          <w:szCs w:val="20"/>
          <w:color w:val="auto"/>
        </w:rPr>
      </w:pPr>
    </w:p>
    <w:p>
      <w:pPr>
        <w:spacing w:after="0"/>
        <w:rPr>
          <w:sz w:val="20"/>
          <w:szCs w:val="20"/>
          <w:color w:val="auto"/>
        </w:rPr>
      </w:pPr>
      <w:r>
        <w:rPr>
          <w:rFonts w:ascii="Arial" w:cs="Arial" w:eastAsia="Arial" w:hAnsi="Arial"/>
          <w:sz w:val="18"/>
          <w:szCs w:val="18"/>
          <w:color w:val="auto"/>
        </w:rPr>
        <w:t>Date: February 26, 2007</w:t>
      </w:r>
    </w:p>
    <w:p>
      <w:pPr>
        <w:spacing w:after="0" w:line="212" w:lineRule="exact"/>
        <w:rPr>
          <w:sz w:val="20"/>
          <w:szCs w:val="20"/>
          <w:color w:val="auto"/>
        </w:rPr>
      </w:pPr>
    </w:p>
    <w:tbl>
      <w:tblPr>
        <w:tblLayout w:type="fixed"/>
        <w:tblInd w:w="0" w:type="dxa"/>
        <w:tblCellMar>
          <w:top w:w="0" w:type="dxa"/>
          <w:left w:w="0" w:type="dxa"/>
          <w:bottom w:w="0" w:type="dxa"/>
          <w:right w:w="0" w:type="dxa"/>
        </w:tblCellMar>
      </w:tblPr>
      <w:tr>
        <w:trPr>
          <w:trHeight w:val="223"/>
        </w:trPr>
        <w:tc>
          <w:tcPr>
            <w:tcW w:w="560" w:type="dxa"/>
            <w:vAlign w:val="bottom"/>
          </w:tcPr>
          <w:p>
            <w:pPr>
              <w:spacing w:after="0"/>
              <w:rPr>
                <w:sz w:val="19"/>
                <w:szCs w:val="19"/>
                <w:color w:val="auto"/>
              </w:rPr>
            </w:pPr>
          </w:p>
        </w:tc>
        <w:tc>
          <w:tcPr>
            <w:tcW w:w="1180" w:type="dxa"/>
            <w:vAlign w:val="bottom"/>
            <w:tcBorders>
              <w:bottom w:val="single" w:sz="8" w:color="auto"/>
            </w:tcBorders>
          </w:tcPr>
          <w:p>
            <w:pPr>
              <w:ind w:left="960"/>
              <w:spacing w:after="0"/>
              <w:rPr>
                <w:sz w:val="20"/>
                <w:szCs w:val="20"/>
                <w:color w:val="auto"/>
              </w:rPr>
            </w:pPr>
            <w:r>
              <w:rPr>
                <w:rFonts w:ascii="Arial" w:cs="Arial" w:eastAsia="Arial" w:hAnsi="Arial"/>
                <w:sz w:val="18"/>
                <w:szCs w:val="18"/>
                <w:color w:val="auto"/>
              </w:rPr>
              <w:t>/s/</w:t>
            </w:r>
          </w:p>
        </w:tc>
        <w:tc>
          <w:tcPr>
            <w:tcW w:w="2840" w:type="dxa"/>
            <w:vAlign w:val="bottom"/>
            <w:tcBorders>
              <w:bottom w:val="single" w:sz="8" w:color="auto"/>
            </w:tcBorders>
          </w:tcPr>
          <w:p>
            <w:pPr>
              <w:jc w:val="center"/>
              <w:ind w:right="1006"/>
              <w:spacing w:after="0"/>
              <w:rPr>
                <w:sz w:val="20"/>
                <w:szCs w:val="20"/>
                <w:color w:val="auto"/>
              </w:rPr>
            </w:pPr>
            <w:r>
              <w:rPr>
                <w:rFonts w:ascii="Arial" w:cs="Arial" w:eastAsia="Arial" w:hAnsi="Arial"/>
                <w:sz w:val="18"/>
                <w:szCs w:val="18"/>
                <w:color w:val="auto"/>
                <w:w w:val="98"/>
              </w:rPr>
              <w:t>L</w:t>
            </w:r>
            <w:r>
              <w:rPr>
                <w:rFonts w:ascii="Arial" w:cs="Arial" w:eastAsia="Arial" w:hAnsi="Arial"/>
                <w:sz w:val="14"/>
                <w:szCs w:val="14"/>
                <w:color w:val="auto"/>
                <w:w w:val="98"/>
              </w:rPr>
              <w:t>AWRENCE</w:t>
            </w:r>
            <w:r>
              <w:rPr>
                <w:rFonts w:ascii="Arial" w:cs="Arial" w:eastAsia="Arial" w:hAnsi="Arial"/>
                <w:sz w:val="18"/>
                <w:szCs w:val="18"/>
                <w:color w:val="auto"/>
                <w:w w:val="98"/>
              </w:rPr>
              <w:t xml:space="preserve"> S. S</w:t>
            </w:r>
            <w:r>
              <w:rPr>
                <w:rFonts w:ascii="Arial" w:cs="Arial" w:eastAsia="Arial" w:hAnsi="Arial"/>
                <w:sz w:val="14"/>
                <w:szCs w:val="14"/>
                <w:color w:val="auto"/>
                <w:w w:val="98"/>
              </w:rPr>
              <w:t>MITH</w:t>
            </w:r>
          </w:p>
        </w:tc>
      </w:tr>
      <w:tr>
        <w:trPr>
          <w:trHeight w:val="198"/>
        </w:trPr>
        <w:tc>
          <w:tcPr>
            <w:tcW w:w="560" w:type="dxa"/>
            <w:vAlign w:val="bottom"/>
          </w:tcPr>
          <w:p>
            <w:pPr>
              <w:spacing w:after="0" w:line="198" w:lineRule="exact"/>
              <w:rPr>
                <w:sz w:val="20"/>
                <w:szCs w:val="20"/>
                <w:color w:val="auto"/>
              </w:rPr>
            </w:pPr>
            <w:r>
              <w:rPr>
                <w:rFonts w:ascii="Arial" w:cs="Arial" w:eastAsia="Arial" w:hAnsi="Arial"/>
                <w:sz w:val="18"/>
                <w:szCs w:val="18"/>
                <w:color w:val="auto"/>
              </w:rPr>
              <w:t>Name:</w:t>
            </w:r>
          </w:p>
        </w:tc>
        <w:tc>
          <w:tcPr>
            <w:tcW w:w="1180" w:type="dxa"/>
            <w:vAlign w:val="bottom"/>
          </w:tcPr>
          <w:p>
            <w:pPr>
              <w:spacing w:after="0"/>
              <w:rPr>
                <w:sz w:val="17"/>
                <w:szCs w:val="17"/>
                <w:color w:val="auto"/>
              </w:rPr>
            </w:pPr>
          </w:p>
        </w:tc>
        <w:tc>
          <w:tcPr>
            <w:tcW w:w="2840" w:type="dxa"/>
            <w:vAlign w:val="bottom"/>
          </w:tcPr>
          <w:p>
            <w:pPr>
              <w:jc w:val="center"/>
              <w:ind w:right="1066"/>
              <w:spacing w:after="0"/>
              <w:rPr>
                <w:sz w:val="20"/>
                <w:szCs w:val="20"/>
                <w:color w:val="auto"/>
              </w:rPr>
            </w:pPr>
            <w:r>
              <w:rPr>
                <w:rFonts w:ascii="Arial" w:cs="Arial" w:eastAsia="Arial" w:hAnsi="Arial"/>
                <w:sz w:val="14"/>
                <w:szCs w:val="14"/>
                <w:b w:val="1"/>
                <w:bCs w:val="1"/>
                <w:color w:val="auto"/>
                <w:w w:val="88"/>
              </w:rPr>
              <w:t>Lawrence S. Smith</w:t>
            </w:r>
          </w:p>
        </w:tc>
      </w:tr>
      <w:tr>
        <w:trPr>
          <w:trHeight w:val="174"/>
        </w:trPr>
        <w:tc>
          <w:tcPr>
            <w:tcW w:w="560" w:type="dxa"/>
            <w:vAlign w:val="bottom"/>
          </w:tcPr>
          <w:p>
            <w:pPr>
              <w:spacing w:after="0"/>
              <w:rPr>
                <w:sz w:val="15"/>
                <w:szCs w:val="15"/>
                <w:color w:val="auto"/>
              </w:rPr>
            </w:pPr>
          </w:p>
        </w:tc>
        <w:tc>
          <w:tcPr>
            <w:tcW w:w="1180" w:type="dxa"/>
            <w:vAlign w:val="bottom"/>
          </w:tcPr>
          <w:p>
            <w:pPr>
              <w:spacing w:after="0"/>
              <w:rPr>
                <w:sz w:val="15"/>
                <w:szCs w:val="15"/>
                <w:color w:val="auto"/>
              </w:rPr>
            </w:pPr>
          </w:p>
        </w:tc>
        <w:tc>
          <w:tcPr>
            <w:tcW w:w="2840" w:type="dxa"/>
            <w:vAlign w:val="bottom"/>
          </w:tcPr>
          <w:p>
            <w:pPr>
              <w:jc w:val="center"/>
              <w:ind w:right="1066"/>
              <w:spacing w:after="0"/>
              <w:rPr>
                <w:sz w:val="20"/>
                <w:szCs w:val="20"/>
                <w:color w:val="auto"/>
              </w:rPr>
            </w:pPr>
            <w:r>
              <w:rPr>
                <w:rFonts w:ascii="Arial" w:cs="Arial" w:eastAsia="Arial" w:hAnsi="Arial"/>
                <w:sz w:val="14"/>
                <w:szCs w:val="14"/>
                <w:b w:val="1"/>
                <w:bCs w:val="1"/>
                <w:color w:val="auto"/>
                <w:w w:val="89"/>
              </w:rPr>
              <w:t>Co-Chief Financial Officer</w:t>
            </w:r>
          </w:p>
        </w:tc>
      </w:tr>
    </w:tbl>
    <w:p>
      <w:pPr>
        <w:sectPr>
          <w:pgSz w:w="11900" w:h="16838" w:orient="portrait"/>
          <w:cols w:equalWidth="0" w:num="1">
            <w:col w:w="11360"/>
          </w:cols>
          <w:pgMar w:left="240" w:top="280" w:right="299" w:bottom="1440" w:gutter="0" w:footer="0" w:header="0"/>
        </w:sectPr>
      </w:pPr>
    </w:p>
    <w:bookmarkStart w:id="202" w:name="page203"/>
    <w:bookmarkEnd w:id="202"/>
    <w:p>
      <w:pPr>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256" name="Picture 2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6"/>
                    <pic:cNvPicPr>
                      <a:picLocks noChangeAspect="1" noChangeArrowheads="1"/>
                    </pic:cNvPicPr>
                  </pic:nvPicPr>
                  <pic:blipFill>
                    <a:blip r:embed="rId263">
                      <a:extLst>
                        <a:ext uri="{28A0092B-C50C-407E-A947-70E740481C1C}"/>
                      </a:extLst>
                    </a:blip>
                    <a:srcRect/>
                    <a:stretch>
                      <a:fillRect/>
                    </a:stretch>
                  </pic:blipFill>
                  <pic:spPr bwMode="auto">
                    <a:xfrm>
                      <a:off x="0" y="0"/>
                      <a:ext cx="7267575" cy="27940"/>
                    </a:xfrm>
                    <a:prstGeom prst="rect">
                      <a:avLst/>
                    </a:prstGeom>
                    <a:noFill/>
                  </pic:spPr>
                </pic:pic>
              </a:graphicData>
            </a:graphic>
          </wp:anchor>
        </w:drawing>
        <w:t>I, John R. Alchin, certify that:</w:t>
      </w:r>
    </w:p>
    <w:p>
      <w:pPr>
        <w:spacing w:after="0" w:line="90" w:lineRule="exact"/>
        <w:rPr>
          <w:sz w:val="20"/>
          <w:szCs w:val="20"/>
          <w:color w:val="auto"/>
        </w:rPr>
      </w:pPr>
    </w:p>
    <w:p>
      <w:pPr>
        <w:ind w:left="460" w:hanging="452"/>
        <w:spacing w:after="0"/>
        <w:tabs>
          <w:tab w:leader="none" w:pos="460" w:val="left"/>
        </w:tabs>
        <w:numPr>
          <w:ilvl w:val="0"/>
          <w:numId w:val="102"/>
        </w:numPr>
        <w:rPr>
          <w:rFonts w:ascii="Arial" w:cs="Arial" w:eastAsia="Arial" w:hAnsi="Arial"/>
          <w:sz w:val="18"/>
          <w:szCs w:val="18"/>
          <w:color w:val="auto"/>
        </w:rPr>
      </w:pPr>
      <w:r>
        <w:rPr>
          <w:rFonts w:ascii="Arial" w:cs="Arial" w:eastAsia="Arial" w:hAnsi="Arial"/>
          <w:sz w:val="18"/>
          <w:szCs w:val="18"/>
          <w:color w:val="auto"/>
        </w:rPr>
        <w:t>I have reviewed this annual report on Form 10-K of Comcast Corporation;</w:t>
      </w:r>
    </w:p>
    <w:p>
      <w:pPr>
        <w:spacing w:after="0" w:line="90" w:lineRule="exact"/>
        <w:rPr>
          <w:rFonts w:ascii="Arial" w:cs="Arial" w:eastAsia="Arial" w:hAnsi="Arial"/>
          <w:sz w:val="18"/>
          <w:szCs w:val="18"/>
          <w:color w:val="auto"/>
        </w:rPr>
      </w:pPr>
    </w:p>
    <w:p>
      <w:pPr>
        <w:ind w:left="460" w:right="200" w:hanging="452"/>
        <w:spacing w:after="0" w:line="357" w:lineRule="auto"/>
        <w:tabs>
          <w:tab w:leader="none" w:pos="460" w:val="left"/>
        </w:tabs>
        <w:numPr>
          <w:ilvl w:val="0"/>
          <w:numId w:val="102"/>
        </w:numPr>
        <w:rPr>
          <w:rFonts w:ascii="Arial" w:cs="Arial" w:eastAsia="Arial" w:hAnsi="Arial"/>
          <w:sz w:val="15"/>
          <w:szCs w:val="15"/>
          <w:color w:val="auto"/>
        </w:rPr>
      </w:pPr>
      <w:r>
        <w:rPr>
          <w:rFonts w:ascii="Arial" w:cs="Arial" w:eastAsia="Arial" w:hAnsi="Arial"/>
          <w:sz w:val="15"/>
          <w:szCs w:val="15"/>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ind w:left="460" w:hanging="452"/>
        <w:spacing w:after="0" w:line="268" w:lineRule="auto"/>
        <w:tabs>
          <w:tab w:leader="none" w:pos="460" w:val="left"/>
        </w:tabs>
        <w:numPr>
          <w:ilvl w:val="0"/>
          <w:numId w:val="102"/>
        </w:numPr>
        <w:rPr>
          <w:rFonts w:ascii="Arial" w:cs="Arial" w:eastAsia="Arial" w:hAnsi="Arial"/>
          <w:sz w:val="18"/>
          <w:szCs w:val="18"/>
          <w:color w:val="auto"/>
        </w:rPr>
      </w:pPr>
      <w:r>
        <w:rPr>
          <w:rFonts w:ascii="Arial" w:cs="Arial" w:eastAsia="Arial" w:hAnsi="Arial"/>
          <w:sz w:val="18"/>
          <w:szCs w:val="18"/>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50" w:lineRule="exact"/>
        <w:rPr>
          <w:rFonts w:ascii="Arial" w:cs="Arial" w:eastAsia="Arial" w:hAnsi="Arial"/>
          <w:sz w:val="18"/>
          <w:szCs w:val="18"/>
          <w:color w:val="auto"/>
        </w:rPr>
      </w:pPr>
    </w:p>
    <w:p>
      <w:pPr>
        <w:ind w:left="460" w:right="80" w:hanging="452"/>
        <w:spacing w:after="0" w:line="259" w:lineRule="auto"/>
        <w:tabs>
          <w:tab w:leader="none" w:pos="460" w:val="left"/>
        </w:tabs>
        <w:numPr>
          <w:ilvl w:val="0"/>
          <w:numId w:val="102"/>
        </w:numPr>
        <w:rPr>
          <w:rFonts w:ascii="Arial" w:cs="Arial" w:eastAsia="Arial" w:hAnsi="Arial"/>
          <w:sz w:val="18"/>
          <w:szCs w:val="18"/>
          <w:color w:val="auto"/>
        </w:rPr>
      </w:pPr>
      <w:r>
        <w:rPr>
          <w:rFonts w:ascii="Arial" w:cs="Arial" w:eastAsia="Arial" w:hAnsi="Arial"/>
          <w:sz w:val="18"/>
          <w:szCs w:val="18"/>
          <w:color w:val="auto"/>
        </w:rPr>
        <w:t>The registrant’s other certifying officers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59" w:lineRule="exact"/>
        <w:rPr>
          <w:rFonts w:ascii="Arial" w:cs="Arial" w:eastAsia="Arial" w:hAnsi="Arial"/>
          <w:sz w:val="18"/>
          <w:szCs w:val="18"/>
          <w:color w:val="auto"/>
        </w:rPr>
      </w:pPr>
    </w:p>
    <w:p>
      <w:pPr>
        <w:ind w:left="900" w:right="40" w:hanging="446"/>
        <w:spacing w:after="0" w:line="259" w:lineRule="auto"/>
        <w:tabs>
          <w:tab w:leader="none" w:pos="900" w:val="left"/>
        </w:tabs>
        <w:numPr>
          <w:ilvl w:val="1"/>
          <w:numId w:val="102"/>
        </w:numPr>
        <w:rPr>
          <w:rFonts w:ascii="Arial" w:cs="Arial" w:eastAsia="Arial" w:hAnsi="Arial"/>
          <w:sz w:val="18"/>
          <w:szCs w:val="18"/>
          <w:color w:val="auto"/>
        </w:rPr>
      </w:pPr>
      <w:r>
        <w:rPr>
          <w:rFonts w:ascii="Arial" w:cs="Arial" w:eastAsia="Arial" w:hAnsi="Arial"/>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59" w:lineRule="exact"/>
        <w:rPr>
          <w:rFonts w:ascii="Arial" w:cs="Arial" w:eastAsia="Arial" w:hAnsi="Arial"/>
          <w:sz w:val="18"/>
          <w:szCs w:val="18"/>
          <w:color w:val="auto"/>
        </w:rPr>
      </w:pPr>
    </w:p>
    <w:p>
      <w:pPr>
        <w:ind w:left="900" w:right="20" w:hanging="446"/>
        <w:spacing w:after="0" w:line="259" w:lineRule="auto"/>
        <w:tabs>
          <w:tab w:leader="none" w:pos="900" w:val="left"/>
        </w:tabs>
        <w:numPr>
          <w:ilvl w:val="1"/>
          <w:numId w:val="102"/>
        </w:numPr>
        <w:rPr>
          <w:rFonts w:ascii="Arial" w:cs="Arial" w:eastAsia="Arial" w:hAnsi="Arial"/>
          <w:sz w:val="18"/>
          <w:szCs w:val="18"/>
          <w:color w:val="auto"/>
        </w:rPr>
      </w:pPr>
      <w:r>
        <w:rPr>
          <w:rFonts w:ascii="Arial" w:cs="Arial" w:eastAsia="Arial" w:hAnsi="Arial"/>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59" w:lineRule="exact"/>
        <w:rPr>
          <w:rFonts w:ascii="Arial" w:cs="Arial" w:eastAsia="Arial" w:hAnsi="Arial"/>
          <w:sz w:val="18"/>
          <w:szCs w:val="18"/>
          <w:color w:val="auto"/>
        </w:rPr>
      </w:pPr>
    </w:p>
    <w:p>
      <w:pPr>
        <w:ind w:left="900" w:right="60" w:hanging="446"/>
        <w:spacing w:after="0" w:line="332" w:lineRule="auto"/>
        <w:tabs>
          <w:tab w:leader="none" w:pos="900" w:val="left"/>
        </w:tabs>
        <w:numPr>
          <w:ilvl w:val="1"/>
          <w:numId w:val="102"/>
        </w:numPr>
        <w:rPr>
          <w:rFonts w:ascii="Arial" w:cs="Arial" w:eastAsia="Arial" w:hAnsi="Arial"/>
          <w:sz w:val="16"/>
          <w:szCs w:val="16"/>
          <w:color w:val="auto"/>
        </w:rPr>
      </w:pPr>
      <w:r>
        <w:rPr>
          <w:rFonts w:ascii="Arial" w:cs="Arial" w:eastAsia="Arial" w:hAnsi="Arial"/>
          <w:sz w:val="16"/>
          <w:szCs w:val="16"/>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4" w:lineRule="exact"/>
        <w:rPr>
          <w:rFonts w:ascii="Arial" w:cs="Arial" w:eastAsia="Arial" w:hAnsi="Arial"/>
          <w:sz w:val="16"/>
          <w:szCs w:val="16"/>
          <w:color w:val="auto"/>
        </w:rPr>
      </w:pPr>
    </w:p>
    <w:p>
      <w:pPr>
        <w:jc w:val="both"/>
        <w:ind w:left="900" w:right="120" w:hanging="446"/>
        <w:spacing w:after="0" w:line="259" w:lineRule="auto"/>
        <w:tabs>
          <w:tab w:leader="none" w:pos="900" w:val="left"/>
        </w:tabs>
        <w:numPr>
          <w:ilvl w:val="1"/>
          <w:numId w:val="102"/>
        </w:numPr>
        <w:rPr>
          <w:rFonts w:ascii="Arial" w:cs="Arial" w:eastAsia="Arial" w:hAnsi="Arial"/>
          <w:sz w:val="18"/>
          <w:szCs w:val="18"/>
          <w:color w:val="auto"/>
        </w:rPr>
      </w:pPr>
      <w:r>
        <w:rPr>
          <w:rFonts w:ascii="Arial" w:cs="Arial" w:eastAsia="Arial" w:hAnsi="Arial"/>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59" w:lineRule="exact"/>
        <w:rPr>
          <w:rFonts w:ascii="Arial" w:cs="Arial" w:eastAsia="Arial" w:hAnsi="Arial"/>
          <w:sz w:val="18"/>
          <w:szCs w:val="18"/>
          <w:color w:val="auto"/>
        </w:rPr>
      </w:pPr>
    </w:p>
    <w:p>
      <w:pPr>
        <w:ind w:left="460" w:right="520" w:hanging="452"/>
        <w:spacing w:after="0" w:line="332" w:lineRule="auto"/>
        <w:tabs>
          <w:tab w:leader="none" w:pos="460" w:val="left"/>
        </w:tabs>
        <w:numPr>
          <w:ilvl w:val="0"/>
          <w:numId w:val="102"/>
        </w:numPr>
        <w:rPr>
          <w:rFonts w:ascii="Arial" w:cs="Arial" w:eastAsia="Arial" w:hAnsi="Arial"/>
          <w:sz w:val="16"/>
          <w:szCs w:val="16"/>
          <w:color w:val="auto"/>
        </w:rPr>
      </w:pPr>
      <w:r>
        <w:rPr>
          <w:rFonts w:ascii="Arial" w:cs="Arial" w:eastAsia="Arial" w:hAnsi="Arial"/>
          <w:sz w:val="16"/>
          <w:szCs w:val="16"/>
          <w:color w:val="auto"/>
        </w:rPr>
        <w:t>The registrant’s other certifying officers and I have disclosed, based on our most recent evaluation of internal control over financial reporting, to the registrant’s auditors and the audit committee of the registrant’s board of directors (or persons performing the equivalent functions):</w:t>
      </w:r>
    </w:p>
    <w:p>
      <w:pPr>
        <w:spacing w:after="0" w:line="4" w:lineRule="exact"/>
        <w:rPr>
          <w:rFonts w:ascii="Arial" w:cs="Arial" w:eastAsia="Arial" w:hAnsi="Arial"/>
          <w:sz w:val="16"/>
          <w:szCs w:val="16"/>
          <w:color w:val="auto"/>
        </w:rPr>
      </w:pPr>
    </w:p>
    <w:p>
      <w:pPr>
        <w:ind w:left="900" w:hanging="446"/>
        <w:spacing w:after="0" w:line="268" w:lineRule="auto"/>
        <w:tabs>
          <w:tab w:leader="none" w:pos="900" w:val="left"/>
        </w:tabs>
        <w:numPr>
          <w:ilvl w:val="1"/>
          <w:numId w:val="102"/>
        </w:numPr>
        <w:rPr>
          <w:rFonts w:ascii="Arial" w:cs="Arial" w:eastAsia="Arial" w:hAnsi="Arial"/>
          <w:sz w:val="18"/>
          <w:szCs w:val="18"/>
          <w:color w:val="auto"/>
        </w:rPr>
      </w:pPr>
      <w:r>
        <w:rPr>
          <w:rFonts w:ascii="Arial" w:cs="Arial" w:eastAsia="Arial" w:hAnsi="Arial"/>
          <w:sz w:val="18"/>
          <w:szCs w:val="18"/>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50" w:lineRule="exact"/>
        <w:rPr>
          <w:rFonts w:ascii="Arial" w:cs="Arial" w:eastAsia="Arial" w:hAnsi="Arial"/>
          <w:sz w:val="18"/>
          <w:szCs w:val="18"/>
          <w:color w:val="auto"/>
        </w:rPr>
      </w:pPr>
    </w:p>
    <w:p>
      <w:pPr>
        <w:ind w:left="900" w:right="60" w:hanging="446"/>
        <w:spacing w:after="0" w:line="268" w:lineRule="auto"/>
        <w:tabs>
          <w:tab w:leader="none" w:pos="900" w:val="left"/>
        </w:tabs>
        <w:numPr>
          <w:ilvl w:val="1"/>
          <w:numId w:val="102"/>
        </w:numPr>
        <w:rPr>
          <w:rFonts w:ascii="Arial" w:cs="Arial" w:eastAsia="Arial" w:hAnsi="Arial"/>
          <w:sz w:val="18"/>
          <w:szCs w:val="18"/>
          <w:color w:val="auto"/>
        </w:rPr>
      </w:pPr>
      <w:r>
        <w:rPr>
          <w:rFonts w:ascii="Arial" w:cs="Arial" w:eastAsia="Arial" w:hAnsi="Arial"/>
          <w:sz w:val="18"/>
          <w:szCs w:val="18"/>
          <w:color w:val="auto"/>
        </w:rPr>
        <w:t>any fraud, whether or not material, that involves management or other employees who have a significant role in the registrant’s internal control over financial reporting.</w:t>
      </w:r>
    </w:p>
    <w:p>
      <w:pPr>
        <w:spacing w:after="0" w:line="132" w:lineRule="exact"/>
        <w:rPr>
          <w:sz w:val="20"/>
          <w:szCs w:val="20"/>
          <w:color w:val="auto"/>
        </w:rPr>
      </w:pPr>
    </w:p>
    <w:p>
      <w:pPr>
        <w:spacing w:after="0"/>
        <w:rPr>
          <w:sz w:val="20"/>
          <w:szCs w:val="20"/>
          <w:color w:val="auto"/>
        </w:rPr>
      </w:pPr>
      <w:r>
        <w:rPr>
          <w:rFonts w:ascii="Arial" w:cs="Arial" w:eastAsia="Arial" w:hAnsi="Arial"/>
          <w:sz w:val="18"/>
          <w:szCs w:val="18"/>
          <w:color w:val="auto"/>
        </w:rPr>
        <w:t>Date: February 26, 2007</w:t>
      </w:r>
    </w:p>
    <w:p>
      <w:pPr>
        <w:spacing w:after="0" w:line="212" w:lineRule="exact"/>
        <w:rPr>
          <w:sz w:val="20"/>
          <w:szCs w:val="20"/>
          <w:color w:val="auto"/>
        </w:rPr>
      </w:pPr>
    </w:p>
    <w:tbl>
      <w:tblPr>
        <w:tblLayout w:type="fixed"/>
        <w:tblInd w:w="0" w:type="dxa"/>
        <w:tblCellMar>
          <w:top w:w="0" w:type="dxa"/>
          <w:left w:w="0" w:type="dxa"/>
          <w:bottom w:w="0" w:type="dxa"/>
          <w:right w:w="0" w:type="dxa"/>
        </w:tblCellMar>
      </w:tblPr>
      <w:tr>
        <w:trPr>
          <w:trHeight w:val="223"/>
        </w:trPr>
        <w:tc>
          <w:tcPr>
            <w:tcW w:w="560" w:type="dxa"/>
            <w:vAlign w:val="bottom"/>
          </w:tcPr>
          <w:p>
            <w:pPr>
              <w:spacing w:after="0"/>
              <w:rPr>
                <w:sz w:val="19"/>
                <w:szCs w:val="19"/>
                <w:color w:val="auto"/>
              </w:rPr>
            </w:pPr>
          </w:p>
        </w:tc>
        <w:tc>
          <w:tcPr>
            <w:tcW w:w="1360" w:type="dxa"/>
            <w:vAlign w:val="bottom"/>
            <w:tcBorders>
              <w:bottom w:val="single" w:sz="8" w:color="auto"/>
            </w:tcBorders>
          </w:tcPr>
          <w:p>
            <w:pPr>
              <w:ind w:left="1100"/>
              <w:spacing w:after="0"/>
              <w:rPr>
                <w:sz w:val="20"/>
                <w:szCs w:val="20"/>
                <w:color w:val="auto"/>
              </w:rPr>
            </w:pPr>
            <w:r>
              <w:rPr>
                <w:rFonts w:ascii="Arial" w:cs="Arial" w:eastAsia="Arial" w:hAnsi="Arial"/>
                <w:sz w:val="18"/>
                <w:szCs w:val="18"/>
                <w:color w:val="auto"/>
              </w:rPr>
              <w:t>/s/</w:t>
            </w:r>
          </w:p>
        </w:tc>
        <w:tc>
          <w:tcPr>
            <w:tcW w:w="2660" w:type="dxa"/>
            <w:vAlign w:val="bottom"/>
            <w:tcBorders>
              <w:bottom w:val="single" w:sz="8" w:color="auto"/>
            </w:tcBorders>
          </w:tcPr>
          <w:p>
            <w:pPr>
              <w:jc w:val="center"/>
              <w:ind w:right="1202"/>
              <w:spacing w:after="0"/>
              <w:rPr>
                <w:sz w:val="20"/>
                <w:szCs w:val="20"/>
                <w:color w:val="auto"/>
              </w:rPr>
            </w:pPr>
            <w:r>
              <w:rPr>
                <w:rFonts w:ascii="Arial" w:cs="Arial" w:eastAsia="Arial" w:hAnsi="Arial"/>
                <w:sz w:val="18"/>
                <w:szCs w:val="18"/>
                <w:color w:val="auto"/>
                <w:w w:val="99"/>
              </w:rPr>
              <w:t>J</w:t>
            </w:r>
            <w:r>
              <w:rPr>
                <w:rFonts w:ascii="Arial" w:cs="Arial" w:eastAsia="Arial" w:hAnsi="Arial"/>
                <w:sz w:val="14"/>
                <w:szCs w:val="14"/>
                <w:color w:val="auto"/>
                <w:w w:val="99"/>
              </w:rPr>
              <w:t>OHN</w:t>
            </w:r>
            <w:r>
              <w:rPr>
                <w:rFonts w:ascii="Arial" w:cs="Arial" w:eastAsia="Arial" w:hAnsi="Arial"/>
                <w:sz w:val="18"/>
                <w:szCs w:val="18"/>
                <w:color w:val="auto"/>
                <w:w w:val="99"/>
              </w:rPr>
              <w:t xml:space="preserve"> R. A</w:t>
            </w:r>
            <w:r>
              <w:rPr>
                <w:rFonts w:ascii="Arial" w:cs="Arial" w:eastAsia="Arial" w:hAnsi="Arial"/>
                <w:sz w:val="14"/>
                <w:szCs w:val="14"/>
                <w:color w:val="auto"/>
                <w:w w:val="99"/>
              </w:rPr>
              <w:t>LCHIN</w:t>
            </w:r>
          </w:p>
        </w:tc>
      </w:tr>
      <w:tr>
        <w:trPr>
          <w:trHeight w:val="212"/>
        </w:trPr>
        <w:tc>
          <w:tcPr>
            <w:tcW w:w="560" w:type="dxa"/>
            <w:vAlign w:val="bottom"/>
          </w:tcPr>
          <w:p>
            <w:pPr>
              <w:spacing w:after="0"/>
              <w:rPr>
                <w:sz w:val="20"/>
                <w:szCs w:val="20"/>
                <w:color w:val="auto"/>
              </w:rPr>
            </w:pPr>
            <w:r>
              <w:rPr>
                <w:rFonts w:ascii="Arial" w:cs="Arial" w:eastAsia="Arial" w:hAnsi="Arial"/>
                <w:sz w:val="18"/>
                <w:szCs w:val="18"/>
                <w:color w:val="auto"/>
              </w:rPr>
              <w:t>Name:</w:t>
            </w:r>
          </w:p>
        </w:tc>
        <w:tc>
          <w:tcPr>
            <w:tcW w:w="1360" w:type="dxa"/>
            <w:vAlign w:val="bottom"/>
          </w:tcPr>
          <w:p>
            <w:pPr>
              <w:spacing w:after="0"/>
              <w:rPr>
                <w:sz w:val="18"/>
                <w:szCs w:val="18"/>
                <w:color w:val="auto"/>
              </w:rPr>
            </w:pPr>
          </w:p>
        </w:tc>
        <w:tc>
          <w:tcPr>
            <w:tcW w:w="2660" w:type="dxa"/>
            <w:vAlign w:val="bottom"/>
          </w:tcPr>
          <w:p>
            <w:pPr>
              <w:jc w:val="center"/>
              <w:ind w:right="1242"/>
              <w:spacing w:after="0"/>
              <w:rPr>
                <w:sz w:val="20"/>
                <w:szCs w:val="20"/>
                <w:color w:val="auto"/>
              </w:rPr>
            </w:pPr>
            <w:r>
              <w:rPr>
                <w:rFonts w:ascii="Arial" w:cs="Arial" w:eastAsia="Arial" w:hAnsi="Arial"/>
                <w:sz w:val="14"/>
                <w:szCs w:val="14"/>
                <w:b w:val="1"/>
                <w:bCs w:val="1"/>
                <w:color w:val="auto"/>
                <w:w w:val="87"/>
              </w:rPr>
              <w:t>John R. Alchin</w:t>
            </w:r>
          </w:p>
        </w:tc>
      </w:tr>
    </w:tbl>
    <w:p>
      <w:pPr>
        <w:ind w:left="1820"/>
        <w:spacing w:after="0"/>
        <w:rPr>
          <w:sz w:val="20"/>
          <w:szCs w:val="20"/>
          <w:color w:val="auto"/>
        </w:rPr>
      </w:pPr>
      <w:r>
        <w:rPr>
          <w:rFonts w:ascii="Arial" w:cs="Arial" w:eastAsia="Arial" w:hAnsi="Arial"/>
          <w:sz w:val="14"/>
          <w:szCs w:val="14"/>
          <w:b w:val="1"/>
          <w:bCs w:val="1"/>
          <w:color w:val="auto"/>
        </w:rPr>
        <w:t>Co-Chief Financial Officer</w:t>
      </w:r>
    </w:p>
    <w:p>
      <w:pPr>
        <w:sectPr>
          <w:pgSz w:w="11900" w:h="16838" w:orient="portrait"/>
          <w:cols w:equalWidth="0" w:num="1">
            <w:col w:w="11360"/>
          </w:cols>
          <w:pgMar w:left="240" w:top="280" w:right="299" w:bottom="1440" w:gutter="0" w:footer="0" w:header="0"/>
        </w:sectPr>
      </w:pPr>
    </w:p>
    <w:bookmarkStart w:id="203" w:name="page204"/>
    <w:bookmarkEnd w:id="203"/>
    <w:p>
      <w:pPr>
        <w:jc w:val="right"/>
        <w:spacing w:after="0"/>
        <w:rPr>
          <w:sz w:val="20"/>
          <w:szCs w:val="20"/>
          <w:color w:val="auto"/>
        </w:rPr>
      </w:pPr>
      <w:r>
        <w:rPr>
          <w:rFonts w:ascii="Arial" w:cs="Arial" w:eastAsia="Arial" w:hAnsi="Arial"/>
          <w:sz w:val="18"/>
          <w:szCs w:val="18"/>
          <w:b w:val="1"/>
          <w:bCs w:val="1"/>
          <w:color w:val="auto"/>
        </w:rPr>
        <w:t>Exhibit 32</w:t>
      </w:r>
    </w:p>
    <w:p>
      <w:pPr>
        <w:spacing w:after="0" w:line="17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Certification Pursuant to Section 906 of the Sarbanes-Oxley Act</w:t>
      </w:r>
    </w:p>
    <w:p>
      <w:pPr>
        <w:spacing w:after="0" w:line="177" w:lineRule="exact"/>
        <w:rPr>
          <w:sz w:val="20"/>
          <w:szCs w:val="20"/>
          <w:color w:val="auto"/>
        </w:rPr>
      </w:pPr>
    </w:p>
    <w:p>
      <w:pPr>
        <w:ind w:left="10120"/>
        <w:spacing w:after="0"/>
        <w:rPr>
          <w:sz w:val="20"/>
          <w:szCs w:val="20"/>
          <w:color w:val="auto"/>
        </w:rPr>
      </w:pPr>
      <w:r>
        <w:rPr>
          <w:rFonts w:ascii="Arial" w:cs="Arial" w:eastAsia="Arial" w:hAnsi="Arial"/>
          <w:sz w:val="15"/>
          <w:szCs w:val="15"/>
          <w:color w:val="auto"/>
        </w:rPr>
        <w:t>February 26, 2007</w:t>
      </w:r>
    </w:p>
    <w:p>
      <w:pPr>
        <w:spacing w:after="0" w:line="206" w:lineRule="exact"/>
        <w:rPr>
          <w:sz w:val="20"/>
          <w:szCs w:val="20"/>
          <w:color w:val="auto"/>
        </w:rPr>
      </w:pPr>
    </w:p>
    <w:p>
      <w:pPr>
        <w:spacing w:after="0"/>
        <w:rPr>
          <w:sz w:val="20"/>
          <w:szCs w:val="20"/>
          <w:color w:val="auto"/>
        </w:rPr>
      </w:pPr>
      <w:r>
        <w:rPr>
          <w:rFonts w:ascii="Arial" w:cs="Arial" w:eastAsia="Arial" w:hAnsi="Arial"/>
          <w:sz w:val="18"/>
          <w:szCs w:val="18"/>
          <w:color w:val="auto"/>
        </w:rPr>
        <w:t>Securities and Exchange Commission</w:t>
      </w:r>
    </w:p>
    <w:p>
      <w:pPr>
        <w:spacing w:after="0" w:line="15" w:lineRule="exact"/>
        <w:rPr>
          <w:sz w:val="20"/>
          <w:szCs w:val="20"/>
          <w:color w:val="auto"/>
        </w:rPr>
      </w:pPr>
    </w:p>
    <w:p>
      <w:pPr>
        <w:spacing w:after="0"/>
        <w:rPr>
          <w:sz w:val="20"/>
          <w:szCs w:val="20"/>
          <w:color w:val="auto"/>
        </w:rPr>
      </w:pPr>
      <w:r>
        <w:rPr>
          <w:rFonts w:ascii="Arial" w:cs="Arial" w:eastAsia="Arial" w:hAnsi="Arial"/>
          <w:sz w:val="18"/>
          <w:szCs w:val="18"/>
          <w:color w:val="auto"/>
        </w:rPr>
        <w:t>450 Fifth Street, N.W.</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Washington, D.C. 20549</w:t>
      </w:r>
    </w:p>
    <w:p>
      <w:pPr>
        <w:spacing w:after="0" w:line="165" w:lineRule="exact"/>
        <w:rPr>
          <w:sz w:val="20"/>
          <w:szCs w:val="20"/>
          <w:color w:val="auto"/>
        </w:rPr>
      </w:pPr>
    </w:p>
    <w:p>
      <w:pPr>
        <w:spacing w:after="0"/>
        <w:rPr>
          <w:sz w:val="20"/>
          <w:szCs w:val="20"/>
          <w:color w:val="auto"/>
        </w:rPr>
      </w:pPr>
      <w:r>
        <w:rPr>
          <w:rFonts w:ascii="Arial" w:cs="Arial" w:eastAsia="Arial" w:hAnsi="Arial"/>
          <w:sz w:val="18"/>
          <w:szCs w:val="18"/>
          <w:color w:val="auto"/>
        </w:rPr>
        <w:t>Ladies and Gentlemen:</w:t>
      </w:r>
    </w:p>
    <w:p>
      <w:pPr>
        <w:spacing w:after="0" w:line="90" w:lineRule="exact"/>
        <w:rPr>
          <w:sz w:val="20"/>
          <w:szCs w:val="20"/>
          <w:color w:val="auto"/>
        </w:rPr>
      </w:pPr>
    </w:p>
    <w:p>
      <w:pPr>
        <w:ind w:right="260" w:firstLine="456"/>
        <w:spacing w:after="0" w:line="259" w:lineRule="auto"/>
        <w:rPr>
          <w:sz w:val="20"/>
          <w:szCs w:val="20"/>
          <w:color w:val="auto"/>
        </w:rPr>
      </w:pPr>
      <w:r>
        <w:rPr>
          <w:rFonts w:ascii="Arial" w:cs="Arial" w:eastAsia="Arial" w:hAnsi="Arial"/>
          <w:sz w:val="18"/>
          <w:szCs w:val="18"/>
          <w:color w:val="auto"/>
        </w:rPr>
        <w:t>The certification set forth below is being submitted in connection with the annual report on Form 10-K of Comcast Corporation (the “Report”) for the purpose of complying with Rule 13a-14(b) or Rule 15d-14(b) of the Securities Exchange Act of 1934 (the “Exchange Act”) and Section 1350 of Chapter 63 of Title 18 of the United States Code.</w:t>
      </w:r>
    </w:p>
    <w:p>
      <w:pPr>
        <w:spacing w:after="0" w:line="140" w:lineRule="exact"/>
        <w:rPr>
          <w:sz w:val="20"/>
          <w:szCs w:val="20"/>
          <w:color w:val="auto"/>
        </w:rPr>
      </w:pPr>
    </w:p>
    <w:p>
      <w:pPr>
        <w:ind w:left="460"/>
        <w:spacing w:after="0"/>
        <w:rPr>
          <w:sz w:val="20"/>
          <w:szCs w:val="20"/>
          <w:color w:val="auto"/>
        </w:rPr>
      </w:pPr>
      <w:r>
        <w:rPr>
          <w:rFonts w:ascii="Arial" w:cs="Arial" w:eastAsia="Arial" w:hAnsi="Arial"/>
          <w:sz w:val="16"/>
          <w:szCs w:val="16"/>
          <w:color w:val="auto"/>
        </w:rPr>
        <w:t>Brian L. Roberts, the Chief Executive Officer, Lawrence S. Smith, the Co-Chief Financial Officer and John R. Alchin, the Co-Chief Financial Officer of</w:t>
      </w:r>
    </w:p>
    <w:p>
      <w:pPr>
        <w:spacing w:after="0" w:line="38" w:lineRule="exact"/>
        <w:rPr>
          <w:sz w:val="20"/>
          <w:szCs w:val="20"/>
          <w:color w:val="auto"/>
        </w:rPr>
      </w:pPr>
    </w:p>
    <w:p>
      <w:pPr>
        <w:spacing w:after="0"/>
        <w:rPr>
          <w:sz w:val="20"/>
          <w:szCs w:val="20"/>
          <w:color w:val="auto"/>
        </w:rPr>
      </w:pPr>
      <w:r>
        <w:rPr>
          <w:rFonts w:ascii="Arial" w:cs="Arial" w:eastAsia="Arial" w:hAnsi="Arial"/>
          <w:sz w:val="18"/>
          <w:szCs w:val="18"/>
          <w:color w:val="auto"/>
        </w:rPr>
        <w:t>Comcast Corporation, each certifies that, to the best of his knowledge:</w:t>
      </w:r>
    </w:p>
    <w:p>
      <w:pPr>
        <w:spacing w:after="0" w:line="84" w:lineRule="exact"/>
        <w:rPr>
          <w:sz w:val="20"/>
          <w:szCs w:val="20"/>
          <w:color w:val="auto"/>
        </w:rPr>
      </w:pPr>
    </w:p>
    <w:p>
      <w:pPr>
        <w:ind w:left="460" w:hanging="452"/>
        <w:spacing w:after="0"/>
        <w:tabs>
          <w:tab w:leader="none" w:pos="460" w:val="left"/>
        </w:tabs>
        <w:numPr>
          <w:ilvl w:val="0"/>
          <w:numId w:val="103"/>
        </w:numPr>
        <w:rPr>
          <w:rFonts w:ascii="Arial" w:cs="Arial" w:eastAsia="Arial" w:hAnsi="Arial"/>
          <w:sz w:val="18"/>
          <w:szCs w:val="18"/>
          <w:color w:val="auto"/>
        </w:rPr>
      </w:pPr>
      <w:r>
        <w:rPr>
          <w:rFonts w:ascii="Arial" w:cs="Arial" w:eastAsia="Arial" w:hAnsi="Arial"/>
          <w:sz w:val="18"/>
          <w:szCs w:val="18"/>
          <w:color w:val="auto"/>
        </w:rPr>
        <w:t>The Report fully complies with the requirements of Section 13(a) or 15(d) of the Exchange Act; and</w:t>
      </w:r>
    </w:p>
    <w:p>
      <w:pPr>
        <w:spacing w:after="0" w:line="90" w:lineRule="exact"/>
        <w:rPr>
          <w:rFonts w:ascii="Arial" w:cs="Arial" w:eastAsia="Arial" w:hAnsi="Arial"/>
          <w:sz w:val="18"/>
          <w:szCs w:val="18"/>
          <w:color w:val="auto"/>
        </w:rPr>
      </w:pPr>
    </w:p>
    <w:p>
      <w:pPr>
        <w:ind w:left="460" w:hanging="452"/>
        <w:spacing w:after="0"/>
        <w:tabs>
          <w:tab w:leader="none" w:pos="460" w:val="left"/>
        </w:tabs>
        <w:numPr>
          <w:ilvl w:val="0"/>
          <w:numId w:val="103"/>
        </w:numPr>
        <w:rPr>
          <w:rFonts w:ascii="Arial" w:cs="Arial" w:eastAsia="Arial" w:hAnsi="Arial"/>
          <w:sz w:val="16"/>
          <w:szCs w:val="16"/>
          <w:color w:val="auto"/>
        </w:rPr>
      </w:pPr>
      <w:r>
        <w:rPr>
          <w:rFonts w:ascii="Arial" w:cs="Arial" w:eastAsia="Arial" w:hAnsi="Arial"/>
          <w:sz w:val="16"/>
          <w:szCs w:val="16"/>
          <w:color w:val="auto"/>
        </w:rPr>
        <w:t>The information contained in the Report fairly presents, in all material respects, the financial condition and results of operations of Comcast Corporation.</w:t>
      </w:r>
    </w:p>
    <w:p>
      <w:pPr>
        <w:spacing w:after="0" w:line="235" w:lineRule="exact"/>
        <w:rPr>
          <w:sz w:val="20"/>
          <w:szCs w:val="20"/>
          <w:color w:val="auto"/>
        </w:rPr>
      </w:pPr>
    </w:p>
    <w:tbl>
      <w:tblPr>
        <w:tblLayout w:type="fixed"/>
        <w:tblInd w:w="6860" w:type="dxa"/>
        <w:tblCellMar>
          <w:top w:w="0" w:type="dxa"/>
          <w:left w:w="0" w:type="dxa"/>
          <w:bottom w:w="0" w:type="dxa"/>
          <w:right w:w="0" w:type="dxa"/>
        </w:tblCellMar>
      </w:tblPr>
      <w:tr>
        <w:trPr>
          <w:trHeight w:val="223"/>
        </w:trPr>
        <w:tc>
          <w:tcPr>
            <w:tcW w:w="540" w:type="dxa"/>
            <w:vAlign w:val="bottom"/>
          </w:tcPr>
          <w:p>
            <w:pPr>
              <w:spacing w:after="0"/>
              <w:rPr>
                <w:sz w:val="19"/>
                <w:szCs w:val="19"/>
                <w:color w:val="auto"/>
              </w:rPr>
            </w:pPr>
          </w:p>
        </w:tc>
        <w:tc>
          <w:tcPr>
            <w:tcW w:w="1300" w:type="dxa"/>
            <w:vAlign w:val="bottom"/>
            <w:tcBorders>
              <w:bottom w:val="single" w:sz="8" w:color="auto"/>
            </w:tcBorders>
          </w:tcPr>
          <w:p>
            <w:pPr>
              <w:ind w:left="1020"/>
              <w:spacing w:after="0"/>
              <w:rPr>
                <w:sz w:val="20"/>
                <w:szCs w:val="20"/>
                <w:color w:val="auto"/>
              </w:rPr>
            </w:pPr>
            <w:r>
              <w:rPr>
                <w:rFonts w:ascii="Arial" w:cs="Arial" w:eastAsia="Arial" w:hAnsi="Arial"/>
                <w:sz w:val="18"/>
                <w:szCs w:val="18"/>
                <w:color w:val="auto"/>
              </w:rPr>
              <w:t>/s/</w:t>
            </w:r>
          </w:p>
        </w:tc>
        <w:tc>
          <w:tcPr>
            <w:tcW w:w="2720" w:type="dxa"/>
            <w:vAlign w:val="bottom"/>
            <w:tcBorders>
              <w:bottom w:val="single" w:sz="8" w:color="auto"/>
            </w:tcBorders>
          </w:tcPr>
          <w:p>
            <w:pPr>
              <w:jc w:val="center"/>
              <w:ind w:right="1124"/>
              <w:spacing w:after="0"/>
              <w:rPr>
                <w:sz w:val="20"/>
                <w:szCs w:val="20"/>
                <w:color w:val="auto"/>
              </w:rPr>
            </w:pPr>
            <w:r>
              <w:rPr>
                <w:rFonts w:ascii="Arial" w:cs="Arial" w:eastAsia="Arial" w:hAnsi="Arial"/>
                <w:sz w:val="18"/>
                <w:szCs w:val="18"/>
                <w:color w:val="auto"/>
                <w:w w:val="99"/>
              </w:rPr>
              <w:t>B</w:t>
            </w:r>
            <w:r>
              <w:rPr>
                <w:rFonts w:ascii="Arial" w:cs="Arial" w:eastAsia="Arial" w:hAnsi="Arial"/>
                <w:sz w:val="14"/>
                <w:szCs w:val="14"/>
                <w:color w:val="auto"/>
                <w:w w:val="99"/>
              </w:rPr>
              <w:t>RIAN</w:t>
            </w:r>
            <w:r>
              <w:rPr>
                <w:rFonts w:ascii="Arial" w:cs="Arial" w:eastAsia="Arial" w:hAnsi="Arial"/>
                <w:sz w:val="18"/>
                <w:szCs w:val="18"/>
                <w:color w:val="auto"/>
                <w:w w:val="99"/>
              </w:rPr>
              <w:t xml:space="preserve"> L. R</w:t>
            </w:r>
            <w:r>
              <w:rPr>
                <w:rFonts w:ascii="Arial" w:cs="Arial" w:eastAsia="Arial" w:hAnsi="Arial"/>
                <w:sz w:val="14"/>
                <w:szCs w:val="14"/>
                <w:color w:val="auto"/>
                <w:w w:val="99"/>
              </w:rPr>
              <w:t>OBERTS</w:t>
            </w:r>
          </w:p>
        </w:tc>
      </w:tr>
      <w:tr>
        <w:trPr>
          <w:trHeight w:val="198"/>
        </w:trPr>
        <w:tc>
          <w:tcPr>
            <w:tcW w:w="540" w:type="dxa"/>
            <w:vAlign w:val="bottom"/>
          </w:tcPr>
          <w:p>
            <w:pPr>
              <w:spacing w:after="0" w:line="198" w:lineRule="exact"/>
              <w:rPr>
                <w:sz w:val="20"/>
                <w:szCs w:val="20"/>
                <w:color w:val="auto"/>
              </w:rPr>
            </w:pPr>
            <w:r>
              <w:rPr>
                <w:rFonts w:ascii="Arial" w:cs="Arial" w:eastAsia="Arial" w:hAnsi="Arial"/>
                <w:sz w:val="18"/>
                <w:szCs w:val="18"/>
                <w:color w:val="auto"/>
                <w:w w:val="98"/>
              </w:rPr>
              <w:t>Name:</w:t>
            </w:r>
          </w:p>
        </w:tc>
        <w:tc>
          <w:tcPr>
            <w:tcW w:w="1300" w:type="dxa"/>
            <w:vAlign w:val="bottom"/>
          </w:tcPr>
          <w:p>
            <w:pPr>
              <w:spacing w:after="0"/>
              <w:rPr>
                <w:sz w:val="17"/>
                <w:szCs w:val="17"/>
                <w:color w:val="auto"/>
              </w:rPr>
            </w:pPr>
          </w:p>
        </w:tc>
        <w:tc>
          <w:tcPr>
            <w:tcW w:w="2720" w:type="dxa"/>
            <w:vAlign w:val="bottom"/>
          </w:tcPr>
          <w:p>
            <w:pPr>
              <w:jc w:val="center"/>
              <w:ind w:right="1184"/>
              <w:spacing w:after="0"/>
              <w:rPr>
                <w:sz w:val="20"/>
                <w:szCs w:val="20"/>
                <w:color w:val="auto"/>
              </w:rPr>
            </w:pPr>
            <w:r>
              <w:rPr>
                <w:rFonts w:ascii="Arial" w:cs="Arial" w:eastAsia="Arial" w:hAnsi="Arial"/>
                <w:sz w:val="14"/>
                <w:szCs w:val="14"/>
                <w:b w:val="1"/>
                <w:bCs w:val="1"/>
                <w:color w:val="auto"/>
                <w:w w:val="89"/>
              </w:rPr>
              <w:t>Brian L. Roberts</w:t>
            </w:r>
          </w:p>
        </w:tc>
      </w:tr>
      <w:tr>
        <w:trPr>
          <w:trHeight w:val="174"/>
        </w:trPr>
        <w:tc>
          <w:tcPr>
            <w:tcW w:w="540" w:type="dxa"/>
            <w:vAlign w:val="bottom"/>
          </w:tcPr>
          <w:p>
            <w:pPr>
              <w:spacing w:after="0"/>
              <w:rPr>
                <w:sz w:val="15"/>
                <w:szCs w:val="15"/>
                <w:color w:val="auto"/>
              </w:rPr>
            </w:pPr>
          </w:p>
        </w:tc>
        <w:tc>
          <w:tcPr>
            <w:tcW w:w="1300" w:type="dxa"/>
            <w:vAlign w:val="bottom"/>
          </w:tcPr>
          <w:p>
            <w:pPr>
              <w:spacing w:after="0"/>
              <w:rPr>
                <w:sz w:val="15"/>
                <w:szCs w:val="15"/>
                <w:color w:val="auto"/>
              </w:rPr>
            </w:pPr>
          </w:p>
        </w:tc>
        <w:tc>
          <w:tcPr>
            <w:tcW w:w="2720" w:type="dxa"/>
            <w:vAlign w:val="bottom"/>
          </w:tcPr>
          <w:p>
            <w:pPr>
              <w:jc w:val="center"/>
              <w:ind w:right="1164"/>
              <w:spacing w:after="0"/>
              <w:rPr>
                <w:sz w:val="20"/>
                <w:szCs w:val="20"/>
                <w:color w:val="auto"/>
              </w:rPr>
            </w:pPr>
            <w:r>
              <w:rPr>
                <w:rFonts w:ascii="Arial" w:cs="Arial" w:eastAsia="Arial" w:hAnsi="Arial"/>
                <w:sz w:val="14"/>
                <w:szCs w:val="14"/>
                <w:b w:val="1"/>
                <w:bCs w:val="1"/>
                <w:color w:val="auto"/>
                <w:w w:val="88"/>
              </w:rPr>
              <w:t>Chief Executive Officer</w:t>
            </w:r>
          </w:p>
        </w:tc>
      </w:tr>
      <w:tr>
        <w:trPr>
          <w:trHeight w:val="418"/>
        </w:trPr>
        <w:tc>
          <w:tcPr>
            <w:tcW w:w="540" w:type="dxa"/>
            <w:vAlign w:val="bottom"/>
          </w:tcPr>
          <w:p>
            <w:pPr>
              <w:spacing w:after="0"/>
              <w:rPr>
                <w:sz w:val="24"/>
                <w:szCs w:val="24"/>
                <w:color w:val="auto"/>
              </w:rPr>
            </w:pPr>
          </w:p>
        </w:tc>
        <w:tc>
          <w:tcPr>
            <w:tcW w:w="1300" w:type="dxa"/>
            <w:vAlign w:val="bottom"/>
            <w:tcBorders>
              <w:bottom w:val="single" w:sz="8" w:color="auto"/>
            </w:tcBorders>
          </w:tcPr>
          <w:p>
            <w:pPr>
              <w:ind w:left="960"/>
              <w:spacing w:after="0"/>
              <w:rPr>
                <w:sz w:val="20"/>
                <w:szCs w:val="20"/>
                <w:color w:val="auto"/>
              </w:rPr>
            </w:pPr>
            <w:r>
              <w:rPr>
                <w:rFonts w:ascii="Arial" w:cs="Arial" w:eastAsia="Arial" w:hAnsi="Arial"/>
                <w:sz w:val="18"/>
                <w:szCs w:val="18"/>
                <w:color w:val="auto"/>
              </w:rPr>
              <w:t>/s/</w:t>
            </w:r>
          </w:p>
        </w:tc>
        <w:tc>
          <w:tcPr>
            <w:tcW w:w="2720" w:type="dxa"/>
            <w:vAlign w:val="bottom"/>
            <w:tcBorders>
              <w:bottom w:val="single" w:sz="8" w:color="auto"/>
            </w:tcBorders>
          </w:tcPr>
          <w:p>
            <w:pPr>
              <w:jc w:val="center"/>
              <w:ind w:right="1124"/>
              <w:spacing w:after="0"/>
              <w:rPr>
                <w:sz w:val="20"/>
                <w:szCs w:val="20"/>
                <w:color w:val="auto"/>
              </w:rPr>
            </w:pPr>
            <w:r>
              <w:rPr>
                <w:rFonts w:ascii="Arial" w:cs="Arial" w:eastAsia="Arial" w:hAnsi="Arial"/>
                <w:sz w:val="18"/>
                <w:szCs w:val="18"/>
                <w:color w:val="auto"/>
                <w:w w:val="98"/>
              </w:rPr>
              <w:t>L</w:t>
            </w:r>
            <w:r>
              <w:rPr>
                <w:rFonts w:ascii="Arial" w:cs="Arial" w:eastAsia="Arial" w:hAnsi="Arial"/>
                <w:sz w:val="14"/>
                <w:szCs w:val="14"/>
                <w:color w:val="auto"/>
                <w:w w:val="98"/>
              </w:rPr>
              <w:t>AWRENCE</w:t>
            </w:r>
            <w:r>
              <w:rPr>
                <w:rFonts w:ascii="Arial" w:cs="Arial" w:eastAsia="Arial" w:hAnsi="Arial"/>
                <w:sz w:val="18"/>
                <w:szCs w:val="18"/>
                <w:color w:val="auto"/>
                <w:w w:val="98"/>
              </w:rPr>
              <w:t xml:space="preserve"> S. S</w:t>
            </w:r>
            <w:r>
              <w:rPr>
                <w:rFonts w:ascii="Arial" w:cs="Arial" w:eastAsia="Arial" w:hAnsi="Arial"/>
                <w:sz w:val="14"/>
                <w:szCs w:val="14"/>
                <w:color w:val="auto"/>
                <w:w w:val="98"/>
              </w:rPr>
              <w:t>MITH</w:t>
            </w:r>
          </w:p>
        </w:tc>
      </w:tr>
      <w:tr>
        <w:trPr>
          <w:trHeight w:val="198"/>
        </w:trPr>
        <w:tc>
          <w:tcPr>
            <w:tcW w:w="540" w:type="dxa"/>
            <w:vAlign w:val="bottom"/>
          </w:tcPr>
          <w:p>
            <w:pPr>
              <w:spacing w:after="0" w:line="198" w:lineRule="exact"/>
              <w:rPr>
                <w:sz w:val="20"/>
                <w:szCs w:val="20"/>
                <w:color w:val="auto"/>
              </w:rPr>
            </w:pPr>
            <w:r>
              <w:rPr>
                <w:rFonts w:ascii="Arial" w:cs="Arial" w:eastAsia="Arial" w:hAnsi="Arial"/>
                <w:sz w:val="18"/>
                <w:szCs w:val="18"/>
                <w:color w:val="auto"/>
                <w:w w:val="98"/>
              </w:rPr>
              <w:t>Name:</w:t>
            </w:r>
          </w:p>
        </w:tc>
        <w:tc>
          <w:tcPr>
            <w:tcW w:w="1300" w:type="dxa"/>
            <w:vAlign w:val="bottom"/>
          </w:tcPr>
          <w:p>
            <w:pPr>
              <w:spacing w:after="0"/>
              <w:rPr>
                <w:sz w:val="17"/>
                <w:szCs w:val="17"/>
                <w:color w:val="auto"/>
              </w:rPr>
            </w:pPr>
          </w:p>
        </w:tc>
        <w:tc>
          <w:tcPr>
            <w:tcW w:w="2720" w:type="dxa"/>
            <w:vAlign w:val="bottom"/>
          </w:tcPr>
          <w:p>
            <w:pPr>
              <w:jc w:val="center"/>
              <w:ind w:right="1164"/>
              <w:spacing w:after="0"/>
              <w:rPr>
                <w:sz w:val="20"/>
                <w:szCs w:val="20"/>
                <w:color w:val="auto"/>
              </w:rPr>
            </w:pPr>
            <w:r>
              <w:rPr>
                <w:rFonts w:ascii="Arial" w:cs="Arial" w:eastAsia="Arial" w:hAnsi="Arial"/>
                <w:sz w:val="14"/>
                <w:szCs w:val="14"/>
                <w:b w:val="1"/>
                <w:bCs w:val="1"/>
                <w:color w:val="auto"/>
                <w:w w:val="86"/>
              </w:rPr>
              <w:t>Lawrence S. Smith</w:t>
            </w:r>
          </w:p>
        </w:tc>
      </w:tr>
      <w:tr>
        <w:trPr>
          <w:trHeight w:val="174"/>
        </w:trPr>
        <w:tc>
          <w:tcPr>
            <w:tcW w:w="540" w:type="dxa"/>
            <w:vAlign w:val="bottom"/>
          </w:tcPr>
          <w:p>
            <w:pPr>
              <w:spacing w:after="0"/>
              <w:rPr>
                <w:sz w:val="15"/>
                <w:szCs w:val="15"/>
                <w:color w:val="auto"/>
              </w:rPr>
            </w:pPr>
          </w:p>
        </w:tc>
        <w:tc>
          <w:tcPr>
            <w:tcW w:w="4020" w:type="dxa"/>
            <w:vAlign w:val="bottom"/>
            <w:gridSpan w:val="2"/>
          </w:tcPr>
          <w:p>
            <w:pPr>
              <w:jc w:val="center"/>
              <w:spacing w:after="0"/>
              <w:rPr>
                <w:sz w:val="20"/>
                <w:szCs w:val="20"/>
                <w:color w:val="auto"/>
              </w:rPr>
            </w:pPr>
            <w:r>
              <w:rPr>
                <w:rFonts w:ascii="Arial" w:cs="Arial" w:eastAsia="Arial" w:hAnsi="Arial"/>
                <w:sz w:val="14"/>
                <w:szCs w:val="14"/>
                <w:b w:val="1"/>
                <w:bCs w:val="1"/>
                <w:color w:val="auto"/>
                <w:w w:val="89"/>
              </w:rPr>
              <w:t>Co-Chief Financial Officer</w:t>
            </w:r>
          </w:p>
        </w:tc>
      </w:tr>
      <w:tr>
        <w:trPr>
          <w:trHeight w:val="418"/>
        </w:trPr>
        <w:tc>
          <w:tcPr>
            <w:tcW w:w="540" w:type="dxa"/>
            <w:vAlign w:val="bottom"/>
          </w:tcPr>
          <w:p>
            <w:pPr>
              <w:spacing w:after="0"/>
              <w:rPr>
                <w:sz w:val="24"/>
                <w:szCs w:val="24"/>
                <w:color w:val="auto"/>
              </w:rPr>
            </w:pPr>
          </w:p>
        </w:tc>
        <w:tc>
          <w:tcPr>
            <w:tcW w:w="1300" w:type="dxa"/>
            <w:vAlign w:val="bottom"/>
            <w:tcBorders>
              <w:bottom w:val="single" w:sz="8" w:color="auto"/>
            </w:tcBorders>
          </w:tcPr>
          <w:p>
            <w:pPr>
              <w:ind w:left="1120"/>
              <w:spacing w:after="0"/>
              <w:rPr>
                <w:sz w:val="20"/>
                <w:szCs w:val="20"/>
                <w:color w:val="auto"/>
              </w:rPr>
            </w:pPr>
            <w:r>
              <w:rPr>
                <w:rFonts w:ascii="Arial" w:cs="Arial" w:eastAsia="Arial" w:hAnsi="Arial"/>
                <w:sz w:val="18"/>
                <w:szCs w:val="18"/>
                <w:color w:val="auto"/>
                <w:w w:val="82"/>
              </w:rPr>
              <w:t>/</w:t>
            </w:r>
            <w:r>
              <w:rPr>
                <w:rFonts w:ascii="Arial" w:cs="Arial" w:eastAsia="Arial" w:hAnsi="Arial"/>
                <w:sz w:val="14"/>
                <w:szCs w:val="14"/>
                <w:color w:val="auto"/>
                <w:w w:val="82"/>
              </w:rPr>
              <w:t>S</w:t>
            </w:r>
            <w:r>
              <w:rPr>
                <w:rFonts w:ascii="Arial" w:cs="Arial" w:eastAsia="Arial" w:hAnsi="Arial"/>
                <w:sz w:val="18"/>
                <w:szCs w:val="18"/>
                <w:color w:val="auto"/>
                <w:w w:val="82"/>
              </w:rPr>
              <w:t>/</w:t>
            </w:r>
          </w:p>
        </w:tc>
        <w:tc>
          <w:tcPr>
            <w:tcW w:w="2720" w:type="dxa"/>
            <w:vAlign w:val="bottom"/>
            <w:tcBorders>
              <w:bottom w:val="single" w:sz="8" w:color="auto"/>
            </w:tcBorders>
          </w:tcPr>
          <w:p>
            <w:pPr>
              <w:jc w:val="center"/>
              <w:ind w:right="1124"/>
              <w:spacing w:after="0"/>
              <w:rPr>
                <w:sz w:val="20"/>
                <w:szCs w:val="20"/>
                <w:color w:val="auto"/>
              </w:rPr>
            </w:pPr>
            <w:r>
              <w:rPr>
                <w:rFonts w:ascii="Arial" w:cs="Arial" w:eastAsia="Arial" w:hAnsi="Arial"/>
                <w:sz w:val="18"/>
                <w:szCs w:val="18"/>
                <w:color w:val="auto"/>
                <w:w w:val="98"/>
              </w:rPr>
              <w:t>J</w:t>
            </w:r>
            <w:r>
              <w:rPr>
                <w:rFonts w:ascii="Arial" w:cs="Arial" w:eastAsia="Arial" w:hAnsi="Arial"/>
                <w:sz w:val="14"/>
                <w:szCs w:val="14"/>
                <w:color w:val="auto"/>
                <w:w w:val="98"/>
              </w:rPr>
              <w:t>OHN</w:t>
            </w:r>
            <w:r>
              <w:rPr>
                <w:rFonts w:ascii="Arial" w:cs="Arial" w:eastAsia="Arial" w:hAnsi="Arial"/>
                <w:sz w:val="18"/>
                <w:szCs w:val="18"/>
                <w:color w:val="auto"/>
                <w:w w:val="98"/>
              </w:rPr>
              <w:t xml:space="preserve"> R. A</w:t>
            </w:r>
            <w:r>
              <w:rPr>
                <w:rFonts w:ascii="Arial" w:cs="Arial" w:eastAsia="Arial" w:hAnsi="Arial"/>
                <w:sz w:val="14"/>
                <w:szCs w:val="14"/>
                <w:color w:val="auto"/>
                <w:w w:val="98"/>
              </w:rPr>
              <w:t>LCHIN</w:t>
            </w:r>
          </w:p>
        </w:tc>
      </w:tr>
      <w:tr>
        <w:trPr>
          <w:trHeight w:val="212"/>
        </w:trPr>
        <w:tc>
          <w:tcPr>
            <w:tcW w:w="540" w:type="dxa"/>
            <w:vAlign w:val="bottom"/>
          </w:tcPr>
          <w:p>
            <w:pPr>
              <w:spacing w:after="0"/>
              <w:rPr>
                <w:sz w:val="20"/>
                <w:szCs w:val="20"/>
                <w:color w:val="auto"/>
              </w:rPr>
            </w:pPr>
            <w:r>
              <w:rPr>
                <w:rFonts w:ascii="Arial" w:cs="Arial" w:eastAsia="Arial" w:hAnsi="Arial"/>
                <w:sz w:val="18"/>
                <w:szCs w:val="18"/>
                <w:color w:val="auto"/>
                <w:w w:val="98"/>
              </w:rPr>
              <w:t>Name:</w:t>
            </w:r>
          </w:p>
        </w:tc>
        <w:tc>
          <w:tcPr>
            <w:tcW w:w="1300" w:type="dxa"/>
            <w:vAlign w:val="bottom"/>
          </w:tcPr>
          <w:p>
            <w:pPr>
              <w:spacing w:after="0"/>
              <w:rPr>
                <w:sz w:val="18"/>
                <w:szCs w:val="18"/>
                <w:color w:val="auto"/>
              </w:rPr>
            </w:pPr>
          </w:p>
        </w:tc>
        <w:tc>
          <w:tcPr>
            <w:tcW w:w="2720" w:type="dxa"/>
            <w:vAlign w:val="bottom"/>
          </w:tcPr>
          <w:p>
            <w:pPr>
              <w:jc w:val="center"/>
              <w:ind w:right="1184"/>
              <w:spacing w:after="0"/>
              <w:rPr>
                <w:sz w:val="20"/>
                <w:szCs w:val="20"/>
                <w:color w:val="auto"/>
              </w:rPr>
            </w:pPr>
            <w:r>
              <w:rPr>
                <w:rFonts w:ascii="Arial" w:cs="Arial" w:eastAsia="Arial" w:hAnsi="Arial"/>
                <w:sz w:val="14"/>
                <w:szCs w:val="14"/>
                <w:b w:val="1"/>
                <w:bCs w:val="1"/>
                <w:color w:val="auto"/>
                <w:w w:val="87"/>
              </w:rPr>
              <w:t>John R. Alchin</w:t>
            </w:r>
          </w:p>
        </w:tc>
      </w:tr>
    </w:tbl>
    <w:p>
      <w:pPr>
        <w:ind w:left="8660"/>
        <w:spacing w:after="0"/>
        <w:rPr>
          <w:sz w:val="20"/>
          <w:szCs w:val="20"/>
          <w:color w:val="auto"/>
        </w:rPr>
      </w:pPr>
      <w:r>
        <w:rPr>
          <w:rFonts w:ascii="Arial" w:cs="Arial" w:eastAsia="Arial" w:hAnsi="Arial"/>
          <w:sz w:val="14"/>
          <w:szCs w:val="14"/>
          <w:b w:val="1"/>
          <w:bCs w:val="1"/>
          <w:color w:val="auto"/>
        </w:rPr>
        <w:t>Co-Chief Financial Officer</w:t>
      </w:r>
    </w:p>
    <w:sectPr>
      <w:pgSz w:w="11900" w:h="16838" w:orient="portrait"/>
      <w:cols w:equalWidth="0" w:num="1">
        <w:col w:w="11420"/>
      </w:cols>
      <w:pgMar w:left="240" w:top="125" w:right="2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75C6C33A"/>
    <w:multiLevelType w:val="hybridMultilevel"/>
    <w:lvl w:ilvl="0">
      <w:lvlJc w:val="left"/>
      <w:lvlText w:val="☒"/>
      <w:numFmt w:val="bullet"/>
      <w:start w:val="1"/>
    </w:lvl>
  </w:abstractNum>
  <w:abstractNum w:abstractNumId="1">
    <w:nsid w:val="12E685FB"/>
    <w:multiLevelType w:val="hybridMultilevel"/>
    <w:lvl w:ilvl="0">
      <w:lvlJc w:val="left"/>
      <w:lvlText w:val="☐"/>
      <w:numFmt w:val="bullet"/>
      <w:start w:val="1"/>
    </w:lvl>
  </w:abstractNum>
  <w:abstractNum w:abstractNumId="2">
    <w:nsid w:val="70C6A529"/>
    <w:multiLevelType w:val="hybridMultilevel"/>
    <w:lvl w:ilvl="0">
      <w:lvlJc w:val="left"/>
      <w:lvlText w:val="•"/>
      <w:numFmt w:val="bullet"/>
      <w:start w:val="1"/>
    </w:lvl>
  </w:abstractNum>
  <w:abstractNum w:abstractNumId="3">
    <w:nsid w:val="520EEDD1"/>
    <w:multiLevelType w:val="hybridMultilevel"/>
    <w:lvl w:ilvl="0">
      <w:lvlJc w:val="left"/>
      <w:lvlText w:val="(%1)"/>
      <w:numFmt w:val="lowerLetter"/>
      <w:start w:val="1"/>
    </w:lvl>
  </w:abstractNum>
  <w:abstractNum w:abstractNumId="4">
    <w:nsid w:val="374A3FE6"/>
    <w:multiLevelType w:val="hybridMultilevel"/>
    <w:lvl w:ilvl="0">
      <w:lvlJc w:val="left"/>
      <w:lvlText w:val="•"/>
      <w:numFmt w:val="bullet"/>
      <w:start w:val="1"/>
    </w:lvl>
  </w:abstractNum>
  <w:abstractNum w:abstractNumId="5">
    <w:nsid w:val="4F4EF005"/>
    <w:multiLevelType w:val="hybridMultilevel"/>
    <w:lvl w:ilvl="0">
      <w:lvlJc w:val="left"/>
      <w:lvlText w:val="•"/>
      <w:numFmt w:val="bullet"/>
      <w:start w:val="1"/>
    </w:lvl>
  </w:abstractNum>
  <w:abstractNum w:abstractNumId="6">
    <w:nsid w:val="23F9C13C"/>
    <w:multiLevelType w:val="hybridMultilevel"/>
    <w:lvl w:ilvl="0">
      <w:lvlJc w:val="left"/>
      <w:lvlText w:val="•"/>
      <w:numFmt w:val="bullet"/>
      <w:start w:val="1"/>
    </w:lvl>
  </w:abstractNum>
  <w:abstractNum w:abstractNumId="7">
    <w:nsid w:val="649BB77C"/>
    <w:multiLevelType w:val="hybridMultilevel"/>
    <w:lvl w:ilvl="0">
      <w:lvlJc w:val="left"/>
      <w:lvlText w:val="*"/>
      <w:numFmt w:val="bullet"/>
      <w:start w:val="1"/>
    </w:lvl>
    <w:lvl w:ilvl="1">
      <w:lvlJc w:val="left"/>
      <w:lvlText w:val="%2"/>
      <w:numFmt w:val="decimal"/>
      <w:start w:val="31"/>
    </w:lvl>
  </w:abstractNum>
  <w:abstractNum w:abstractNumId="8">
    <w:nsid w:val="275AC794"/>
    <w:multiLevelType w:val="hybridMultilevel"/>
    <w:lvl w:ilvl="0">
      <w:lvlJc w:val="left"/>
      <w:lvlText w:val="%1"/>
      <w:numFmt w:val="lowerRoman"/>
      <w:start w:val="1"/>
    </w:lvl>
    <w:lvl w:ilvl="1">
      <w:lvlJc w:val="left"/>
      <w:lvlText w:val="%2."/>
      <w:numFmt w:val="decimal"/>
      <w:start w:val="1"/>
    </w:lvl>
    <w:lvl w:ilvl="2">
      <w:lvlJc w:val="left"/>
      <w:lvlText w:val="(%3)"/>
      <w:numFmt w:val="lowerLetter"/>
      <w:start w:val="1"/>
    </w:lvl>
  </w:abstractNum>
  <w:abstractNum w:abstractNumId="9">
    <w:nsid w:val="39386575"/>
    <w:multiLevelType w:val="hybridMultilevel"/>
    <w:lvl w:ilvl="0">
      <w:lvlJc w:val="left"/>
      <w:lvlText w:val="(%1)"/>
      <w:numFmt w:val="lowerRoman"/>
      <w:start w:val="6"/>
    </w:lvl>
    <w:lvl w:ilvl="1">
      <w:lvlJc w:val="left"/>
      <w:lvlText w:val="%2"/>
      <w:numFmt w:val="decimal"/>
      <w:start w:val="1"/>
    </w:lvl>
    <w:lvl w:ilvl="2">
      <w:lvlJc w:val="left"/>
      <w:lvlText w:val="%3"/>
      <w:numFmt w:val="lowerLetter"/>
      <w:start w:val="1"/>
    </w:lvl>
  </w:abstractNum>
  <w:abstractNum w:abstractNumId="10">
    <w:nsid w:val="1CF10FD8"/>
    <w:multiLevelType w:val="hybridMultilevel"/>
    <w:lvl w:ilvl="0">
      <w:lvlJc w:val="left"/>
      <w:lvlText w:val="(%1)"/>
      <w:numFmt w:val="lowerLetter"/>
      <w:start w:val="6"/>
    </w:lvl>
    <w:lvl w:ilvl="1">
      <w:lvlJc w:val="left"/>
      <w:lvlText w:val="(%2)"/>
      <w:numFmt w:val="lowerRoman"/>
      <w:start w:val="1"/>
    </w:lvl>
  </w:abstractNum>
  <w:abstractNum w:abstractNumId="11">
    <w:nsid w:val="180115BE"/>
    <w:multiLevelType w:val="hybridMultilevel"/>
    <w:lvl w:ilvl="0">
      <w:lvlJc w:val="left"/>
      <w:lvlText w:val="(%1)"/>
      <w:numFmt w:val="lowerLetter"/>
      <w:start w:val="15"/>
    </w:lvl>
    <w:lvl w:ilvl="1">
      <w:lvlJc w:val="left"/>
      <w:lvlText w:val="(%2)"/>
      <w:numFmt w:val="lowerRoman"/>
      <w:start w:val="1"/>
    </w:lvl>
    <w:lvl w:ilvl="2">
      <w:lvlJc w:val="left"/>
      <w:lvlText w:val="(%3)"/>
      <w:numFmt w:val="upperLetter"/>
      <w:start w:val="1"/>
    </w:lvl>
  </w:abstractNum>
  <w:abstractNum w:abstractNumId="12">
    <w:nsid w:val="235BA861"/>
    <w:multiLevelType w:val="hybridMultilevel"/>
    <w:lvl w:ilvl="0">
      <w:lvlJc w:val="left"/>
      <w:lvlText w:val="(%1)"/>
      <w:numFmt w:val="upperLetter"/>
      <w:start w:val="2"/>
    </w:lvl>
    <w:lvl w:ilvl="1">
      <w:lvlJc w:val="left"/>
      <w:lvlText w:val="(%2)"/>
      <w:numFmt w:val="decimal"/>
      <w:start w:val="1"/>
    </w:lvl>
  </w:abstractNum>
  <w:abstractNum w:abstractNumId="13">
    <w:nsid w:val="47398C89"/>
    <w:multiLevelType w:val="hybridMultilevel"/>
    <w:lvl w:ilvl="0">
      <w:lvlJc w:val="left"/>
      <w:lvlText w:val="(%1)"/>
      <w:numFmt w:val="lowerLetter"/>
      <w:start w:val="23"/>
    </w:lvl>
    <w:lvl w:ilvl="1">
      <w:lvlJc w:val="left"/>
      <w:lvlText w:val="(%2)"/>
      <w:numFmt w:val="lowerRoman"/>
      <w:start w:val="1"/>
    </w:lvl>
  </w:abstractNum>
  <w:abstractNum w:abstractNumId="14">
    <w:nsid w:val="354FE9F9"/>
    <w:multiLevelType w:val="hybridMultilevel"/>
    <w:lvl w:ilvl="0">
      <w:lvlJc w:val="left"/>
      <w:lvlText w:val="%1"/>
      <w:numFmt w:val="lowerLetter"/>
      <w:start w:val="1"/>
    </w:lvl>
    <w:lvl w:ilvl="1">
      <w:lvlJc w:val="left"/>
      <w:lvlText w:val="(%2)"/>
      <w:numFmt w:val="lowerLetter"/>
      <w:start w:val="61"/>
    </w:lvl>
  </w:abstractNum>
  <w:abstractNum w:abstractNumId="15">
    <w:nsid w:val="15B5AF5C"/>
    <w:multiLevelType w:val="hybridMultilevel"/>
    <w:lvl w:ilvl="0">
      <w:lvlJc w:val="left"/>
      <w:lvlText w:val="(%1)"/>
      <w:numFmt w:val="lowerLetter"/>
      <w:start w:val="27"/>
    </w:lvl>
    <w:lvl w:ilvl="1">
      <w:lvlJc w:val="left"/>
      <w:lvlText w:val="(%2)"/>
      <w:numFmt w:val="lowerLetter"/>
      <w:start w:val="9"/>
    </w:lvl>
  </w:abstractNum>
  <w:abstractNum w:abstractNumId="16">
    <w:nsid w:val="741226BB"/>
    <w:multiLevelType w:val="hybridMultilevel"/>
    <w:lvl w:ilvl="0">
      <w:lvlJc w:val="left"/>
      <w:lvlText w:val="%1"/>
      <w:numFmt w:val="decimal"/>
      <w:start w:val="1"/>
    </w:lvl>
    <w:lvl w:ilvl="1">
      <w:lvlJc w:val="left"/>
      <w:lvlText w:val="%2"/>
      <w:numFmt w:val="lowerLetter"/>
      <w:start w:val="1"/>
    </w:lvl>
    <w:lvl w:ilvl="2">
      <w:lvlJc w:val="left"/>
      <w:lvlText w:val="(%3)"/>
      <w:numFmt w:val="lowerLetter"/>
      <w:start w:val="35"/>
    </w:lvl>
  </w:abstractNum>
  <w:abstractNum w:abstractNumId="17">
    <w:nsid w:val="D34B6A8"/>
    <w:multiLevelType w:val="hybridMultilevel"/>
    <w:lvl w:ilvl="0">
      <w:lvlJc w:val="left"/>
      <w:lvlText w:val="%1"/>
      <w:numFmt w:val="decimal"/>
      <w:start w:val="1"/>
    </w:lvl>
    <w:lvl w:ilvl="1">
      <w:lvlJc w:val="left"/>
      <w:lvlText w:val="(%2)"/>
      <w:numFmt w:val="lowerLetter"/>
      <w:start w:val="32"/>
    </w:lvl>
    <w:lvl w:ilvl="2">
      <w:lvlJc w:val="left"/>
      <w:lvlText w:val="%3"/>
      <w:numFmt w:val="lowerLetter"/>
      <w:start w:val="1"/>
    </w:lvl>
  </w:abstractNum>
  <w:abstractNum w:abstractNumId="18">
    <w:nsid w:val="10233C99"/>
    <w:multiLevelType w:val="hybridMultilevel"/>
    <w:lvl w:ilvl="0">
      <w:lvlJc w:val="left"/>
      <w:lvlText w:val="%1."/>
      <w:numFmt w:val="decimal"/>
      <w:start w:val="3"/>
    </w:lvl>
    <w:lvl w:ilvl="1">
      <w:lvlJc w:val="left"/>
      <w:lvlText w:val="(%2)"/>
      <w:numFmt w:val="lowerLetter"/>
      <w:start w:val="1"/>
    </w:lvl>
    <w:lvl w:ilvl="2">
      <w:lvlJc w:val="left"/>
      <w:lvlText w:val="%3"/>
      <w:numFmt w:val="lowerLetter"/>
      <w:start w:val="1"/>
    </w:lvl>
  </w:abstractNum>
  <w:abstractNum w:abstractNumId="19">
    <w:nsid w:val="3F6AB60F"/>
    <w:multiLevelType w:val="hybridMultilevel"/>
    <w:lvl w:ilvl="0">
      <w:lvlJc w:val="left"/>
      <w:lvlText w:val="(%1)"/>
      <w:numFmt w:val="lowerRoman"/>
      <w:start w:val="1"/>
    </w:lvl>
  </w:abstractNum>
  <w:abstractNum w:abstractNumId="20">
    <w:nsid w:val="61574095"/>
    <w:multiLevelType w:val="hybridMultilevel"/>
    <w:lvl w:ilvl="0">
      <w:lvlJc w:val="left"/>
      <w:lvlText w:val="%1"/>
      <w:numFmt w:val="lowerLetter"/>
      <w:start w:val="1"/>
    </w:lvl>
    <w:lvl w:ilvl="1">
      <w:lvlJc w:val="left"/>
      <w:lvlText w:val="(%2)"/>
      <w:numFmt w:val="lowerRoman"/>
      <w:start w:val="2"/>
    </w:lvl>
  </w:abstractNum>
  <w:abstractNum w:abstractNumId="21">
    <w:nsid w:val="7E0C57B1"/>
    <w:multiLevelType w:val="hybridMultilevel"/>
    <w:lvl w:ilvl="0">
      <w:lvlJc w:val="left"/>
      <w:lvlText w:val="(%1)"/>
      <w:numFmt w:val="lowerLetter"/>
      <w:start w:val="2"/>
    </w:lvl>
    <w:lvl w:ilvl="1">
      <w:lvlJc w:val="left"/>
      <w:lvlText w:val="%2"/>
      <w:numFmt w:val="lowerRoman"/>
      <w:start w:val="1"/>
    </w:lvl>
  </w:abstractNum>
  <w:abstractNum w:abstractNumId="22">
    <w:nsid w:val="77AE35EB"/>
    <w:multiLevelType w:val="hybridMultilevel"/>
    <w:lvl w:ilvl="0">
      <w:lvlJc w:val="left"/>
      <w:lvlText w:val="%1."/>
      <w:numFmt w:val="decimal"/>
      <w:start w:val="5"/>
    </w:lvl>
    <w:lvl w:ilvl="1">
      <w:lvlJc w:val="left"/>
      <w:lvlText w:val="(%2)"/>
      <w:numFmt w:val="lowerLetter"/>
      <w:start w:val="1"/>
    </w:lvl>
    <w:lvl w:ilvl="2">
      <w:lvlJc w:val="left"/>
      <w:lvlText w:val="(%3)"/>
      <w:numFmt w:val="lowerRoman"/>
      <w:start w:val="1"/>
    </w:lvl>
  </w:abstractNum>
  <w:abstractNum w:abstractNumId="23">
    <w:nsid w:val="579BE4F1"/>
    <w:multiLevelType w:val="hybridMultilevel"/>
    <w:lvl w:ilvl="0">
      <w:lvlJc w:val="left"/>
      <w:lvlText w:val="%1"/>
      <w:numFmt w:val="decimal"/>
      <w:start w:val="1"/>
    </w:lvl>
    <w:lvl w:ilvl="1">
      <w:lvlJc w:val="left"/>
      <w:lvlText w:val="%2"/>
      <w:numFmt w:val="lowerLetter"/>
      <w:start w:val="1"/>
    </w:lvl>
    <w:lvl w:ilvl="2">
      <w:lvlJc w:val="left"/>
      <w:lvlText w:val="(%3)"/>
      <w:numFmt w:val="lowerRoman"/>
      <w:start w:val="3"/>
    </w:lvl>
    <w:lvl w:ilvl="3">
      <w:lvlJc w:val="left"/>
      <w:lvlText w:val="(%4)"/>
      <w:numFmt w:val="lowerLetter"/>
      <w:start w:val="24"/>
    </w:lvl>
  </w:abstractNum>
  <w:abstractNum w:abstractNumId="24">
    <w:nsid w:val="310C50B3"/>
    <w:multiLevelType w:val="hybridMultilevel"/>
    <w:lvl w:ilvl="0">
      <w:lvlJc w:val="left"/>
      <w:lvlText w:val="%1"/>
      <w:numFmt w:val="decimal"/>
      <w:start w:val="1"/>
    </w:lvl>
    <w:lvl w:ilvl="1">
      <w:lvlJc w:val="left"/>
      <w:lvlText w:val="(%2)"/>
      <w:numFmt w:val="lowerLetter"/>
      <w:start w:val="3"/>
    </w:lvl>
    <w:lvl w:ilvl="2">
      <w:lvlJc w:val="left"/>
      <w:lvlText w:val="%3"/>
      <w:numFmt w:val="lowerRoman"/>
      <w:start w:val="1"/>
    </w:lvl>
    <w:lvl w:ilvl="3">
      <w:lvlJc w:val="left"/>
      <w:lvlText w:val="%4"/>
      <w:numFmt w:val="lowerLetter"/>
      <w:start w:val="1"/>
    </w:lvl>
  </w:abstractNum>
  <w:abstractNum w:abstractNumId="25">
    <w:nsid w:val="5FF87E05"/>
    <w:multiLevelType w:val="hybridMultilevel"/>
    <w:lvl w:ilvl="0">
      <w:lvlJc w:val="left"/>
      <w:lvlText w:val="%1."/>
      <w:numFmt w:val="decimal"/>
      <w:start w:val="6"/>
    </w:lvl>
    <w:lvl w:ilvl="1">
      <w:lvlJc w:val="left"/>
      <w:lvlText w:val="(%2)"/>
      <w:numFmt w:val="lowerLetter"/>
      <w:start w:val="1"/>
    </w:lvl>
    <w:lvl w:ilvl="2">
      <w:lvlJc w:val="left"/>
      <w:lvlText w:val="%3"/>
      <w:numFmt w:val="lowerRoman"/>
      <w:start w:val="1"/>
    </w:lvl>
    <w:lvl w:ilvl="3">
      <w:lvlJc w:val="left"/>
      <w:lvlText w:val="%4"/>
      <w:numFmt w:val="lowerLetter"/>
      <w:start w:val="1"/>
    </w:lvl>
  </w:abstractNum>
  <w:abstractNum w:abstractNumId="26">
    <w:nsid w:val="2F305DEF"/>
    <w:multiLevelType w:val="hybridMultilevel"/>
    <w:lvl w:ilvl="0">
      <w:lvlJc w:val="left"/>
      <w:lvlText w:val="%1"/>
      <w:numFmt w:val="decimal"/>
      <w:start w:val="1"/>
    </w:lvl>
    <w:lvl w:ilvl="1">
      <w:lvlJc w:val="left"/>
      <w:lvlText w:val="(%2)"/>
      <w:numFmt w:val="lowerLetter"/>
      <w:start w:val="2"/>
    </w:lvl>
  </w:abstractNum>
  <w:abstractNum w:abstractNumId="27">
    <w:nsid w:val="25A70BF7"/>
    <w:multiLevelType w:val="hybridMultilevel"/>
    <w:lvl w:ilvl="0">
      <w:lvlJc w:val="left"/>
      <w:lvlText w:val="%1."/>
      <w:numFmt w:val="decimal"/>
      <w:start w:val="7"/>
    </w:lvl>
    <w:lvl w:ilvl="1">
      <w:lvlJc w:val="left"/>
      <w:lvlText w:val="%2"/>
      <w:numFmt w:val="lowerLetter"/>
      <w:start w:val="1"/>
    </w:lvl>
  </w:abstractNum>
  <w:abstractNum w:abstractNumId="28">
    <w:nsid w:val="1DBABF00"/>
    <w:multiLevelType w:val="hybridMultilevel"/>
    <w:lvl w:ilvl="0">
      <w:lvlJc w:val="left"/>
      <w:lvlText w:val="(%1)"/>
      <w:numFmt w:val="lowerLetter"/>
      <w:start w:val="1"/>
    </w:lvl>
  </w:abstractNum>
  <w:abstractNum w:abstractNumId="29">
    <w:nsid w:val="4AD084E9"/>
    <w:multiLevelType w:val="hybridMultilevel"/>
    <w:lvl w:ilvl="0">
      <w:lvlJc w:val="left"/>
      <w:lvlText w:val="(%1)"/>
      <w:numFmt w:val="lowerLetter"/>
      <w:start w:val="4"/>
    </w:lvl>
  </w:abstractNum>
  <w:abstractNum w:abstractNumId="30">
    <w:nsid w:val="1F48EAA1"/>
    <w:multiLevelType w:val="hybridMultilevel"/>
    <w:lvl w:ilvl="0">
      <w:lvlJc w:val="left"/>
      <w:lvlText w:val="(%1)"/>
      <w:numFmt w:val="lowerLetter"/>
      <w:start w:val="7"/>
    </w:lvl>
    <w:lvl w:ilvl="1">
      <w:lvlJc w:val="left"/>
      <w:lvlText w:val="(%2)"/>
      <w:numFmt w:val="lowerRoman"/>
      <w:start w:val="1"/>
    </w:lvl>
  </w:abstractNum>
  <w:abstractNum w:abstractNumId="31">
    <w:nsid w:val="1381823A"/>
    <w:multiLevelType w:val="hybridMultilevel"/>
    <w:lvl w:ilvl="0">
      <w:lvlJc w:val="left"/>
      <w:lvlText w:val="(%1)"/>
      <w:numFmt w:val="lowerLetter"/>
      <w:start w:val="8"/>
    </w:lvl>
    <w:lvl w:ilvl="1">
      <w:lvlJc w:val="left"/>
      <w:lvlText w:val="(%2)"/>
      <w:numFmt w:val="lowerRoman"/>
      <w:start w:val="1"/>
    </w:lvl>
  </w:abstractNum>
  <w:abstractNum w:abstractNumId="32">
    <w:nsid w:val="5DB70AE5"/>
    <w:multiLevelType w:val="hybridMultilevel"/>
    <w:lvl w:ilvl="0">
      <w:lvlJc w:val="left"/>
      <w:lvlText w:val="%1."/>
      <w:numFmt w:val="decimal"/>
      <w:start w:val="11"/>
    </w:lvl>
    <w:lvl w:ilvl="1">
      <w:lvlJc w:val="left"/>
      <w:lvlText w:val="(%2)"/>
      <w:numFmt w:val="lowerLetter"/>
      <w:start w:val="1"/>
    </w:lvl>
  </w:abstractNum>
  <w:abstractNum w:abstractNumId="33">
    <w:nsid w:val="100F8FCA"/>
    <w:multiLevelType w:val="hybridMultilevel"/>
    <w:lvl w:ilvl="0">
      <w:lvlJc w:val="left"/>
      <w:lvlText w:val="%1."/>
      <w:numFmt w:val="decimal"/>
      <w:start w:val="13"/>
    </w:lvl>
    <w:lvl w:ilvl="1">
      <w:lvlJc w:val="left"/>
      <w:lvlText w:val="(%2)"/>
      <w:numFmt w:val="lowerLetter"/>
      <w:start w:val="1"/>
    </w:lvl>
    <w:lvl w:ilvl="2">
      <w:lvlJc w:val="left"/>
      <w:lvlText w:val="(%3)"/>
      <w:numFmt w:val="lowerLetter"/>
      <w:start w:val="9"/>
    </w:lvl>
  </w:abstractNum>
  <w:abstractNum w:abstractNumId="34">
    <w:nsid w:val="6590700B"/>
    <w:multiLevelType w:val="hybridMultilevel"/>
    <w:lvl w:ilvl="0">
      <w:lvlJc w:val="left"/>
      <w:lvlText w:val="%1"/>
      <w:numFmt w:val="decimal"/>
      <w:start w:val="1"/>
    </w:lvl>
    <w:lvl w:ilvl="1">
      <w:lvlJc w:val="left"/>
      <w:lvlText w:val="%2"/>
      <w:numFmt w:val="lowerLetter"/>
      <w:start w:val="1"/>
    </w:lvl>
    <w:lvl w:ilvl="2">
      <w:lvlJc w:val="left"/>
      <w:lvlText w:val="(%3)"/>
      <w:numFmt w:val="lowerRoman"/>
      <w:start w:val="2"/>
    </w:lvl>
  </w:abstractNum>
  <w:abstractNum w:abstractNumId="35">
    <w:nsid w:val="15014ACB"/>
    <w:multiLevelType w:val="hybridMultilevel"/>
    <w:lvl w:ilvl="0">
      <w:lvlJc w:val="left"/>
      <w:lvlText w:val="%1"/>
      <w:numFmt w:val="decimal"/>
      <w:start w:val="1"/>
    </w:lvl>
    <w:lvl w:ilvl="1">
      <w:lvlJc w:val="left"/>
      <w:lvlText w:val="(%2)"/>
      <w:numFmt w:val="lowerLetter"/>
      <w:start w:val="3"/>
    </w:lvl>
    <w:lvl w:ilvl="2">
      <w:lvlJc w:val="left"/>
      <w:lvlText w:val="%3"/>
      <w:numFmt w:val="lowerRoman"/>
      <w:start w:val="1"/>
    </w:lvl>
  </w:abstractNum>
  <w:abstractNum w:abstractNumId="36">
    <w:nsid w:val="5F5E7FD0"/>
    <w:multiLevelType w:val="hybridMultilevel"/>
    <w:lvl w:ilvl="0">
      <w:lvlJc w:val="left"/>
      <w:lvlText w:val="%1."/>
      <w:numFmt w:val="decimal"/>
      <w:start w:val="15"/>
    </w:lvl>
    <w:lvl w:ilvl="1">
      <w:lvlJc w:val="left"/>
      <w:lvlText w:val="(%2)"/>
      <w:numFmt w:val="lowerLetter"/>
      <w:start w:val="1"/>
    </w:lvl>
    <w:lvl w:ilvl="2">
      <w:lvlJc w:val="left"/>
      <w:lvlText w:val="%3"/>
      <w:numFmt w:val="lowerRoman"/>
      <w:start w:val="1"/>
    </w:lvl>
  </w:abstractNum>
  <w:abstractNum w:abstractNumId="37">
    <w:nsid w:val="98A3148"/>
    <w:multiLevelType w:val="hybridMultilevel"/>
    <w:lvl w:ilvl="0">
      <w:lvlJc w:val="left"/>
      <w:lvlText w:val="%1"/>
      <w:numFmt w:val="decimal"/>
      <w:start w:val="1"/>
    </w:lvl>
    <w:lvl w:ilvl="1">
      <w:lvlJc w:val="left"/>
      <w:lvlText w:val="(%2)"/>
      <w:numFmt w:val="lowerLetter"/>
      <w:start w:val="3"/>
    </w:lvl>
  </w:abstractNum>
  <w:abstractNum w:abstractNumId="38">
    <w:nsid w:val="799D0247"/>
    <w:multiLevelType w:val="hybridMultilevel"/>
    <w:lvl w:ilvl="0">
      <w:lvlJc w:val="left"/>
      <w:lvlText w:val="%1."/>
      <w:numFmt w:val="decimal"/>
      <w:start w:val="16"/>
    </w:lvl>
    <w:lvl w:ilvl="1">
      <w:lvlJc w:val="left"/>
      <w:lvlText w:val="%2"/>
      <w:numFmt w:val="lowerLetter"/>
      <w:start w:val="1"/>
    </w:lvl>
  </w:abstractNum>
  <w:abstractNum w:abstractNumId="39">
    <w:nsid w:val="6B94764"/>
    <w:multiLevelType w:val="hybridMultilevel"/>
    <w:lvl w:ilvl="0">
      <w:lvlJc w:val="left"/>
      <w:lvlText w:val="%1"/>
      <w:numFmt w:val="lowerLetter"/>
      <w:start w:val="1"/>
    </w:lvl>
    <w:lvl w:ilvl="1">
      <w:lvlJc w:val="left"/>
      <w:lvlText w:val="(%2)"/>
      <w:numFmt w:val="lowerLetter"/>
      <w:start w:val="1"/>
    </w:lvl>
  </w:abstractNum>
  <w:abstractNum w:abstractNumId="40">
    <w:nsid w:val="42C296BD"/>
    <w:multiLevelType w:val="hybridMultilevel"/>
    <w:lvl w:ilvl="0">
      <w:lvlJc w:val="left"/>
      <w:lvlText w:val="(%1)"/>
      <w:numFmt w:val="lowerLetter"/>
      <w:start w:val="35"/>
    </w:lvl>
    <w:lvl w:ilvl="1">
      <w:lvlJc w:val="left"/>
      <w:lvlText w:val="(%2)"/>
      <w:numFmt w:val="lowerLetter"/>
      <w:start w:val="3"/>
    </w:lvl>
  </w:abstractNum>
  <w:abstractNum w:abstractNumId="41">
    <w:nsid w:val="168E121F"/>
    <w:multiLevelType w:val="hybridMultilevel"/>
    <w:lvl w:ilvl="0">
      <w:lvlJc w:val="left"/>
      <w:lvlText w:val="(%1)"/>
      <w:numFmt w:val="lowerLetter"/>
      <w:start w:val="1"/>
    </w:lvl>
  </w:abstractNum>
  <w:abstractNum w:abstractNumId="42">
    <w:nsid w:val="1EBA5D23"/>
    <w:multiLevelType w:val="hybridMultilevel"/>
    <w:lvl w:ilvl="0">
      <w:lvlJc w:val="left"/>
      <w:lvlText w:val="(%1)"/>
      <w:numFmt w:val="lowerLetter"/>
      <w:start w:val="1"/>
    </w:lvl>
  </w:abstractNum>
  <w:abstractNum w:abstractNumId="43">
    <w:nsid w:val="661E3F1E"/>
    <w:multiLevelType w:val="hybridMultilevel"/>
    <w:lvl w:ilvl="0">
      <w:lvlJc w:val="left"/>
      <w:lvlText w:val="(%1)"/>
      <w:numFmt w:val="lowerLetter"/>
      <w:start w:val="3"/>
    </w:lvl>
  </w:abstractNum>
  <w:abstractNum w:abstractNumId="44">
    <w:nsid w:val="5DC79EA8"/>
    <w:multiLevelType w:val="hybridMultilevel"/>
    <w:lvl w:ilvl="0">
      <w:lvlJc w:val="left"/>
      <w:lvlText w:val="(%1)"/>
      <w:numFmt w:val="lowerLetter"/>
      <w:start w:val="1"/>
    </w:lvl>
  </w:abstractNum>
  <w:abstractNum w:abstractNumId="45">
    <w:nsid w:val="540A471C"/>
    <w:multiLevelType w:val="hybridMultilevel"/>
    <w:lvl w:ilvl="0">
      <w:lvlJc w:val="left"/>
      <w:lvlText w:val="(%1)"/>
      <w:numFmt w:val="lowerLetter"/>
      <w:start w:val="2"/>
    </w:lvl>
  </w:abstractNum>
  <w:abstractNum w:abstractNumId="46">
    <w:nsid w:val="7BD3EE7B"/>
    <w:multiLevelType w:val="hybridMultilevel"/>
    <w:lvl w:ilvl="0">
      <w:lvlJc w:val="left"/>
      <w:lvlText w:val="(%1)"/>
      <w:numFmt w:val="lowerLetter"/>
      <w:start w:val="1"/>
    </w:lvl>
  </w:abstractNum>
  <w:abstractNum w:abstractNumId="47">
    <w:nsid w:val="51D9C564"/>
    <w:multiLevelType w:val="hybridMultilevel"/>
    <w:lvl w:ilvl="0">
      <w:lvlJc w:val="left"/>
      <w:lvlText w:val="(%1)"/>
      <w:numFmt w:val="lowerLetter"/>
      <w:start w:val="1"/>
    </w:lvl>
  </w:abstractNum>
  <w:abstractNum w:abstractNumId="48">
    <w:nsid w:val="613EFDC5"/>
    <w:multiLevelType w:val="hybridMultilevel"/>
    <w:lvl w:ilvl="0">
      <w:lvlJc w:val="left"/>
      <w:lvlText w:val="(%1)"/>
      <w:numFmt w:val="lowerLetter"/>
      <w:start w:val="1"/>
    </w:lvl>
  </w:abstractNum>
  <w:abstractNum w:abstractNumId="49">
    <w:nsid w:val="BF72B14"/>
    <w:multiLevelType w:val="hybridMultilevel"/>
    <w:lvl w:ilvl="0">
      <w:lvlJc w:val="left"/>
      <w:lvlText w:val="(%1)"/>
      <w:numFmt w:val="lowerLetter"/>
      <w:start w:val="1"/>
    </w:lvl>
  </w:abstractNum>
  <w:abstractNum w:abstractNumId="50">
    <w:nsid w:val="11447B73"/>
    <w:multiLevelType w:val="hybridMultilevel"/>
    <w:lvl w:ilvl="0">
      <w:lvlJc w:val="left"/>
      <w:lvlText w:val="(%1)"/>
      <w:numFmt w:val="lowerLetter"/>
      <w:start w:val="1"/>
    </w:lvl>
  </w:abstractNum>
  <w:abstractNum w:abstractNumId="51">
    <w:nsid w:val="42963E5A"/>
    <w:multiLevelType w:val="hybridMultilevel"/>
    <w:lvl w:ilvl="0">
      <w:lvlJc w:val="left"/>
      <w:lvlText w:val="(%1)"/>
      <w:numFmt w:val="lowerLetter"/>
      <w:start w:val="1"/>
    </w:lvl>
  </w:abstractNum>
  <w:abstractNum w:abstractNumId="52">
    <w:nsid w:val="A0382C5"/>
    <w:multiLevelType w:val="hybridMultilevel"/>
    <w:lvl w:ilvl="0">
      <w:lvlJc w:val="left"/>
      <w:lvlText w:val="(%1)"/>
      <w:numFmt w:val="lowerLetter"/>
      <w:start w:val="1"/>
    </w:lvl>
  </w:abstractNum>
  <w:abstractNum w:abstractNumId="53">
    <w:nsid w:val="8F2B15E"/>
    <w:multiLevelType w:val="hybridMultilevel"/>
    <w:lvl w:ilvl="0">
      <w:lvlJc w:val="left"/>
      <w:lvlText w:val="(%1)"/>
      <w:numFmt w:val="lowerLetter"/>
      <w:start w:val="2"/>
    </w:lvl>
  </w:abstractNum>
  <w:abstractNum w:abstractNumId="54">
    <w:nsid w:val="1A32234B"/>
    <w:multiLevelType w:val="hybridMultilevel"/>
    <w:lvl w:ilvl="0">
      <w:lvlJc w:val="left"/>
      <w:lvlText w:val="(%1)"/>
      <w:numFmt w:val="lowerLetter"/>
      <w:start w:val="1"/>
    </w:lvl>
  </w:abstractNum>
  <w:abstractNum w:abstractNumId="55">
    <w:nsid w:val="3B0FD379"/>
    <w:multiLevelType w:val="hybridMultilevel"/>
    <w:lvl w:ilvl="0">
      <w:lvlJc w:val="left"/>
      <w:lvlText w:val="(%1)"/>
      <w:numFmt w:val="lowerLetter"/>
      <w:start w:val="1"/>
    </w:lvl>
  </w:abstractNum>
  <w:abstractNum w:abstractNumId="56">
    <w:nsid w:val="68EB2F63"/>
    <w:multiLevelType w:val="hybridMultilevel"/>
    <w:lvl w:ilvl="0">
      <w:lvlJc w:val="left"/>
      <w:lvlText w:val="(%1)"/>
      <w:numFmt w:val="lowerLetter"/>
      <w:start w:val="1"/>
    </w:lvl>
  </w:abstractNum>
  <w:abstractNum w:abstractNumId="57">
    <w:nsid w:val="4962813B"/>
    <w:multiLevelType w:val="hybridMultilevel"/>
    <w:lvl w:ilvl="0">
      <w:lvlJc w:val="left"/>
      <w:lvlText w:val="(%1)"/>
      <w:numFmt w:val="lowerLetter"/>
      <w:start w:val="2"/>
    </w:lvl>
  </w:abstractNum>
  <w:abstractNum w:abstractNumId="58">
    <w:nsid w:val="60B6DF70"/>
    <w:multiLevelType w:val="hybridMultilevel"/>
    <w:lvl w:ilvl="0">
      <w:lvlJc w:val="left"/>
      <w:lvlText w:val="(%1)"/>
      <w:numFmt w:val="lowerLetter"/>
      <w:start w:val="1"/>
    </w:lvl>
  </w:abstractNum>
  <w:abstractNum w:abstractNumId="59">
    <w:nsid w:val="6A5EE64"/>
    <w:multiLevelType w:val="hybridMultilevel"/>
    <w:lvl w:ilvl="0">
      <w:lvlJc w:val="left"/>
      <w:lvlText w:val="(%1)"/>
      <w:numFmt w:val="lowerLetter"/>
      <w:start w:val="1"/>
    </w:lvl>
  </w:abstractNum>
  <w:abstractNum w:abstractNumId="60">
    <w:nsid w:val="14330624"/>
    <w:multiLevelType w:val="hybridMultilevel"/>
    <w:lvl w:ilvl="0">
      <w:lvlJc w:val="left"/>
      <w:lvlText w:val="(%1)"/>
      <w:numFmt w:val="lowerLetter"/>
      <w:start w:val="1"/>
    </w:lvl>
    <w:lvl w:ilvl="1">
      <w:lvlJc w:val="left"/>
      <w:lvlText w:val="(%2)"/>
      <w:numFmt w:val="lowerLetter"/>
      <w:start w:val="9"/>
    </w:lvl>
  </w:abstractNum>
  <w:abstractNum w:abstractNumId="61">
    <w:nsid w:val="7FFFCA11"/>
    <w:multiLevelType w:val="hybridMultilevel"/>
    <w:lvl w:ilvl="0">
      <w:lvlJc w:val="left"/>
      <w:lvlText w:val="%1"/>
      <w:numFmt w:val="decimal"/>
      <w:start w:val="1"/>
    </w:lvl>
    <w:lvl w:ilvl="1">
      <w:lvlJc w:val="left"/>
      <w:lvlText w:val="%2"/>
      <w:numFmt w:val="lowerLetter"/>
      <w:start w:val="1"/>
    </w:lvl>
    <w:lvl w:ilvl="2">
      <w:lvlJc w:val="left"/>
      <w:lvlText w:val="(%3)"/>
      <w:numFmt w:val="lowerLetter"/>
      <w:start w:val="35"/>
    </w:lvl>
  </w:abstractNum>
  <w:abstractNum w:abstractNumId="62">
    <w:nsid w:val="1A27709E"/>
    <w:multiLevelType w:val="hybridMultilevel"/>
    <w:lvl w:ilvl="0">
      <w:lvlJc w:val="left"/>
      <w:lvlText w:val="(%1)"/>
      <w:numFmt w:val="decimal"/>
      <w:start w:val="60"/>
    </w:lvl>
    <w:lvl w:ilvl="1">
      <w:lvlJc w:val="left"/>
      <w:lvlText w:val="%2"/>
      <w:numFmt w:val="lowerLetter"/>
      <w:start w:val="1"/>
    </w:lvl>
    <w:lvl w:ilvl="2">
      <w:lvlJc w:val="left"/>
      <w:lvlText w:val="%3"/>
      <w:numFmt w:val="lowerLetter"/>
      <w:start w:val="1"/>
    </w:lvl>
  </w:abstractNum>
  <w:abstractNum w:abstractNumId="63">
    <w:nsid w:val="71EA1109"/>
    <w:multiLevelType w:val="hybridMultilevel"/>
    <w:lvl w:ilvl="0">
      <w:lvlJc w:val="left"/>
      <w:lvlText w:val="(%1)"/>
      <w:numFmt w:val="decimal"/>
      <w:start w:val="1"/>
    </w:lvl>
    <w:lvl w:ilvl="1">
      <w:lvlJc w:val="left"/>
      <w:lvlText w:val="(%2)"/>
      <w:numFmt w:val="lowerLetter"/>
      <w:start w:val="4"/>
    </w:lvl>
    <w:lvl w:ilvl="2">
      <w:lvlJc w:val="left"/>
      <w:lvlText w:val="(%3)"/>
      <w:numFmt w:val="lowerLetter"/>
      <w:start w:val="9"/>
    </w:lvl>
  </w:abstractNum>
  <w:abstractNum w:abstractNumId="64">
    <w:nsid w:val="100F59DC"/>
    <w:multiLevelType w:val="hybridMultilevel"/>
    <w:lvl w:ilvl="0">
      <w:lvlJc w:val="left"/>
      <w:lvlText w:val="(%1)"/>
      <w:numFmt w:val="lowerRoman"/>
      <w:start w:val="2"/>
    </w:lvl>
  </w:abstractNum>
  <w:abstractNum w:abstractNumId="65">
    <w:nsid w:val="7FB7E0AA"/>
    <w:multiLevelType w:val="hybridMultilevel"/>
    <w:lvl w:ilvl="0">
      <w:lvlJc w:val="left"/>
      <w:lvlText w:val="(%1)"/>
      <w:numFmt w:val="lowerLetter"/>
      <w:start w:val="5"/>
    </w:lvl>
    <w:lvl w:ilvl="1">
      <w:lvlJc w:val="left"/>
      <w:lvlText w:val="(%2)"/>
      <w:numFmt w:val="lowerRoman"/>
      <w:start w:val="1"/>
    </w:lvl>
  </w:abstractNum>
  <w:abstractNum w:abstractNumId="66">
    <w:nsid w:val="6EB5BD4"/>
    <w:multiLevelType w:val="hybridMultilevel"/>
    <w:lvl w:ilvl="0">
      <w:lvlJc w:val="left"/>
      <w:lvlText w:val="(%1)"/>
      <w:numFmt w:val="lowerLetter"/>
      <w:start w:val="6"/>
    </w:lvl>
  </w:abstractNum>
  <w:abstractNum w:abstractNumId="67">
    <w:nsid w:val="6F6DD9AC"/>
    <w:multiLevelType w:val="hybridMultilevel"/>
    <w:lvl w:ilvl="0">
      <w:lvlJc w:val="left"/>
      <w:lvlText w:val="(%1)"/>
      <w:numFmt w:val="lowerLetter"/>
      <w:start w:val="8"/>
    </w:lvl>
  </w:abstractNum>
  <w:abstractNum w:abstractNumId="68">
    <w:nsid w:val="94211F2"/>
    <w:multiLevelType w:val="hybridMultilevel"/>
    <w:lvl w:ilvl="0">
      <w:lvlJc w:val="left"/>
      <w:lvlText w:val="(%1)"/>
      <w:numFmt w:val="lowerLetter"/>
      <w:start w:val="1"/>
    </w:lvl>
  </w:abstractNum>
  <w:abstractNum w:abstractNumId="69">
    <w:nsid w:val="885E1B"/>
    <w:multiLevelType w:val="hybridMultilevel"/>
    <w:lvl w:ilvl="0">
      <w:lvlJc w:val="left"/>
      <w:lvlText w:val="(%1)"/>
      <w:numFmt w:val="lowerLetter"/>
      <w:start w:val="2"/>
    </w:lvl>
    <w:lvl w:ilvl="1">
      <w:lvlJc w:val="left"/>
      <w:lvlText w:val="(%2)"/>
      <w:numFmt w:val="lowerRoman"/>
      <w:start w:val="1"/>
    </w:lvl>
  </w:abstractNum>
  <w:abstractNum w:abstractNumId="70">
    <w:nsid w:val="76272110"/>
    <w:multiLevelType w:val="hybridMultilevel"/>
    <w:lvl w:ilvl="0">
      <w:lvlJc w:val="left"/>
      <w:lvlText w:val="%1"/>
      <w:numFmt w:val="lowerLetter"/>
      <w:start w:val="1"/>
    </w:lvl>
    <w:lvl w:ilvl="1">
      <w:lvlJc w:val="left"/>
      <w:lvlText w:val="(%2)"/>
      <w:numFmt w:val="lowerLetter"/>
      <w:start w:val="1"/>
    </w:lvl>
  </w:abstractNum>
  <w:abstractNum w:abstractNumId="71">
    <w:nsid w:val="4C04A8AF"/>
    <w:multiLevelType w:val="hybridMultilevel"/>
    <w:lvl w:ilvl="0">
      <w:lvlJc w:val="left"/>
      <w:lvlText w:val="(%1)"/>
      <w:numFmt w:val="lowerLetter"/>
      <w:start w:val="35"/>
    </w:lvl>
    <w:lvl w:ilvl="1">
      <w:lvlJc w:val="left"/>
      <w:lvlText w:val="%2"/>
      <w:numFmt w:val="lowerLetter"/>
      <w:start w:val="1"/>
    </w:lvl>
  </w:abstractNum>
  <w:abstractNum w:abstractNumId="72">
    <w:nsid w:val="1716703B"/>
    <w:multiLevelType w:val="hybridMultilevel"/>
    <w:lvl w:ilvl="0">
      <w:lvlJc w:val="left"/>
      <w:lvlText w:val="(%1)"/>
      <w:numFmt w:val="lowerLetter"/>
      <w:start w:val="2"/>
    </w:lvl>
    <w:lvl w:ilvl="1">
      <w:lvlJc w:val="left"/>
      <w:lvlText w:val="(%2)"/>
      <w:numFmt w:val="lowerRoman"/>
      <w:start w:val="1"/>
    </w:lvl>
  </w:abstractNum>
  <w:abstractNum w:abstractNumId="73">
    <w:nsid w:val="14E17E33"/>
    <w:multiLevelType w:val="hybridMultilevel"/>
    <w:lvl w:ilvl="0">
      <w:lvlJc w:val="left"/>
      <w:lvlText w:val="(%1)"/>
      <w:numFmt w:val="lowerLetter"/>
      <w:start w:val="1"/>
    </w:lvl>
  </w:abstractNum>
  <w:abstractNum w:abstractNumId="74">
    <w:nsid w:val="3222E7CD"/>
    <w:multiLevelType w:val="hybridMultilevel"/>
    <w:lvl w:ilvl="0">
      <w:lvlJc w:val="left"/>
      <w:lvlText w:val="(%1)"/>
      <w:numFmt w:val="lowerLetter"/>
      <w:start w:val="1"/>
    </w:lvl>
  </w:abstractNum>
  <w:abstractNum w:abstractNumId="75">
    <w:nsid w:val="74DE0EE3"/>
    <w:multiLevelType w:val="hybridMultilevel"/>
    <w:lvl w:ilvl="0">
      <w:lvlJc w:val="left"/>
      <w:lvlText w:val="(%1)"/>
      <w:numFmt w:val="lowerLetter"/>
      <w:start w:val="1"/>
    </w:lvl>
    <w:lvl w:ilvl="1">
      <w:lvlJc w:val="left"/>
      <w:lvlText w:val="(%2)"/>
      <w:numFmt w:val="lowerRoman"/>
      <w:start w:val="1"/>
    </w:lvl>
  </w:abstractNum>
  <w:abstractNum w:abstractNumId="76">
    <w:nsid w:val="68EBC550"/>
    <w:multiLevelType w:val="hybridMultilevel"/>
    <w:lvl w:ilvl="0">
      <w:lvlJc w:val="left"/>
      <w:lvlText w:val="%1"/>
      <w:numFmt w:val="lowerLetter"/>
      <w:start w:val="1"/>
    </w:lvl>
    <w:lvl w:ilvl="1">
      <w:lvlJc w:val="left"/>
      <w:lvlText w:val="(%2)"/>
      <w:numFmt w:val="lowerRoman"/>
      <w:start w:val="3"/>
    </w:lvl>
  </w:abstractNum>
  <w:abstractNum w:abstractNumId="77">
    <w:nsid w:val="2DF6D648"/>
    <w:multiLevelType w:val="hybridMultilevel"/>
    <w:lvl w:ilvl="0">
      <w:lvlJc w:val="left"/>
      <w:lvlText w:val="(%1)"/>
      <w:numFmt w:val="lowerLetter"/>
      <w:start w:val="3"/>
    </w:lvl>
    <w:lvl w:ilvl="1">
      <w:lvlJc w:val="left"/>
      <w:lvlText w:val="%2"/>
      <w:numFmt w:val="lowerRoman"/>
      <w:start w:val="1"/>
    </w:lvl>
  </w:abstractNum>
  <w:abstractNum w:abstractNumId="78">
    <w:nsid w:val="46B7D447"/>
    <w:multiLevelType w:val="hybridMultilevel"/>
    <w:lvl w:ilvl="0">
      <w:lvlJc w:val="left"/>
      <w:lvlText w:val="(%1)"/>
      <w:numFmt w:val="lowerLetter"/>
      <w:start w:val="1"/>
    </w:lvl>
  </w:abstractNum>
  <w:abstractNum w:abstractNumId="79">
    <w:nsid w:val="4A2AC315"/>
    <w:multiLevelType w:val="hybridMultilevel"/>
    <w:lvl w:ilvl="0">
      <w:lvlJc w:val="left"/>
      <w:lvlText w:val="•"/>
      <w:numFmt w:val="bullet"/>
      <w:start w:val="1"/>
    </w:lvl>
  </w:abstractNum>
  <w:abstractNum w:abstractNumId="80">
    <w:nsid w:val="39EE015C"/>
    <w:multiLevelType w:val="hybridMultilevel"/>
    <w:lvl w:ilvl="0">
      <w:lvlJc w:val="left"/>
      <w:lvlText w:val="•"/>
      <w:numFmt w:val="bullet"/>
      <w:start w:val="1"/>
    </w:lvl>
  </w:abstractNum>
  <w:abstractNum w:abstractNumId="81">
    <w:nsid w:val="57FC4FBB"/>
    <w:multiLevelType w:val="hybridMultilevel"/>
    <w:lvl w:ilvl="0">
      <w:lvlJc w:val="left"/>
      <w:lvlText w:val="•"/>
      <w:numFmt w:val="bullet"/>
      <w:start w:val="1"/>
    </w:lvl>
  </w:abstractNum>
  <w:abstractNum w:abstractNumId="82">
    <w:nsid w:val="CC1016F"/>
    <w:multiLevelType w:val="hybridMultilevel"/>
    <w:lvl w:ilvl="0">
      <w:lvlJc w:val="left"/>
      <w:lvlText w:val="•"/>
      <w:numFmt w:val="bullet"/>
      <w:start w:val="1"/>
    </w:lvl>
  </w:abstractNum>
  <w:abstractNum w:abstractNumId="83">
    <w:nsid w:val="43F18422"/>
    <w:multiLevelType w:val="hybridMultilevel"/>
    <w:lvl w:ilvl="0">
      <w:lvlJc w:val="left"/>
      <w:lvlText w:val="(%1)"/>
      <w:numFmt w:val="lowerLetter"/>
      <w:start w:val="1"/>
    </w:lvl>
  </w:abstractNum>
  <w:abstractNum w:abstractNumId="84">
    <w:nsid w:val="60EF0119"/>
    <w:multiLevelType w:val="hybridMultilevel"/>
    <w:lvl w:ilvl="0">
      <w:lvlJc w:val="left"/>
      <w:lvlText w:val="(%1)"/>
      <w:numFmt w:val="lowerLetter"/>
      <w:start w:val="1"/>
    </w:lvl>
  </w:abstractNum>
  <w:abstractNum w:abstractNumId="85">
    <w:nsid w:val="26F324BA"/>
    <w:multiLevelType w:val="hybridMultilevel"/>
    <w:lvl w:ilvl="0">
      <w:lvlJc w:val="left"/>
      <w:lvlText w:val="•"/>
      <w:numFmt w:val="bullet"/>
      <w:start w:val="1"/>
    </w:lvl>
  </w:abstractNum>
  <w:abstractNum w:abstractNumId="86">
    <w:nsid w:val="7F01579B"/>
    <w:multiLevelType w:val="hybridMultilevel"/>
    <w:lvl w:ilvl="0">
      <w:lvlJc w:val="left"/>
      <w:lvlText w:val="(%1)"/>
      <w:numFmt w:val="lowerRoman"/>
      <w:start w:val="2"/>
    </w:lvl>
  </w:abstractNum>
  <w:abstractNum w:abstractNumId="87">
    <w:nsid w:val="49DA307D"/>
    <w:multiLevelType w:val="hybridMultilevel"/>
    <w:lvl w:ilvl="0">
      <w:lvlJc w:val="left"/>
      <w:lvlText w:val="(%1)"/>
      <w:numFmt w:val="lowerRoman"/>
      <w:start w:val="2"/>
    </w:lvl>
  </w:abstractNum>
  <w:abstractNum w:abstractNumId="88">
    <w:nsid w:val="7055A5F5"/>
    <w:multiLevelType w:val="hybridMultilevel"/>
    <w:lvl w:ilvl="0">
      <w:lvlJc w:val="left"/>
      <w:lvlText w:val="•"/>
      <w:numFmt w:val="bullet"/>
      <w:start w:val="1"/>
    </w:lvl>
  </w:abstractNum>
  <w:abstractNum w:abstractNumId="89">
    <w:nsid w:val="5FB8370B"/>
    <w:multiLevelType w:val="hybridMultilevel"/>
    <w:lvl w:ilvl="0">
      <w:lvlJc w:val="left"/>
      <w:lvlText w:val="•"/>
      <w:numFmt w:val="bullet"/>
      <w:start w:val="1"/>
    </w:lvl>
  </w:abstractNum>
  <w:abstractNum w:abstractNumId="90">
    <w:nsid w:val="50801EE1"/>
    <w:multiLevelType w:val="hybridMultilevel"/>
    <w:lvl w:ilvl="0">
      <w:lvlJc w:val="left"/>
      <w:lvlText w:val="•"/>
      <w:numFmt w:val="bullet"/>
      <w:start w:val="1"/>
    </w:lvl>
  </w:abstractNum>
  <w:abstractNum w:abstractNumId="91">
    <w:nsid w:val="488AC1A"/>
    <w:multiLevelType w:val="hybridMultilevel"/>
    <w:lvl w:ilvl="0">
      <w:lvlJc w:val="left"/>
      <w:lvlText w:val="(%1)"/>
      <w:numFmt w:val="lowerLetter"/>
      <w:start w:val="2"/>
    </w:lvl>
  </w:abstractNum>
  <w:abstractNum w:abstractNumId="92">
    <w:nsid w:val="5FB8011C"/>
    <w:multiLevelType w:val="hybridMultilevel"/>
    <w:lvl w:ilvl="0">
      <w:lvlJc w:val="left"/>
      <w:lvlText w:val="•"/>
      <w:numFmt w:val="bullet"/>
      <w:start w:val="1"/>
    </w:lvl>
  </w:abstractNum>
  <w:abstractNum w:abstractNumId="93">
    <w:nsid w:val="6AA78F7F"/>
    <w:multiLevelType w:val="hybridMultilevel"/>
    <w:lvl w:ilvl="0">
      <w:lvlJc w:val="left"/>
      <w:lvlText w:val="(%1)"/>
      <w:numFmt w:val="lowerLetter"/>
      <w:start w:val="7"/>
    </w:lvl>
  </w:abstractNum>
  <w:abstractNum w:abstractNumId="94">
    <w:nsid w:val="7672BD23"/>
    <w:multiLevelType w:val="hybridMultilevel"/>
    <w:lvl w:ilvl="0">
      <w:lvlJc w:val="left"/>
      <w:lvlText w:val="(%1)"/>
      <w:numFmt w:val="lowerLetter"/>
      <w:start w:val="1"/>
    </w:lvl>
  </w:abstractNum>
  <w:abstractNum w:abstractNumId="95">
    <w:nsid w:val="6FC75AF8"/>
    <w:multiLevelType w:val="hybridMultilevel"/>
    <w:lvl w:ilvl="0">
      <w:lvlJc w:val="left"/>
      <w:lvlText w:val="(%1)"/>
      <w:numFmt w:val="lowerLetter"/>
      <w:start w:val="1"/>
    </w:lvl>
  </w:abstractNum>
  <w:abstractNum w:abstractNumId="96">
    <w:nsid w:val="6A5F7029"/>
    <w:multiLevelType w:val="hybridMultilevel"/>
    <w:lvl w:ilvl="0">
      <w:lvlJc w:val="left"/>
      <w:lvlText w:val="(%1)"/>
      <w:numFmt w:val="lowerLetter"/>
      <w:start w:val="1"/>
    </w:lvl>
  </w:abstractNum>
  <w:abstractNum w:abstractNumId="97">
    <w:nsid w:val="7D5E18F8"/>
    <w:multiLevelType w:val="hybridMultilevel"/>
    <w:lvl w:ilvl="0">
      <w:lvlJc w:val="left"/>
      <w:lvlText w:val="(%1)"/>
      <w:numFmt w:val="lowerLetter"/>
      <w:start w:val="1"/>
    </w:lvl>
  </w:abstractNum>
  <w:abstractNum w:abstractNumId="98">
    <w:nsid w:val="5F3534A4"/>
    <w:multiLevelType w:val="hybridMultilevel"/>
    <w:lvl w:ilvl="0">
      <w:lvlJc w:val="left"/>
      <w:lvlText w:val="(%1)"/>
      <w:numFmt w:val="lowerLetter"/>
      <w:start w:val="1"/>
    </w:lvl>
  </w:abstractNum>
  <w:abstractNum w:abstractNumId="99">
    <w:nsid w:val="73A1821B"/>
    <w:multiLevelType w:val="hybridMultilevel"/>
    <w:lvl w:ilvl="0">
      <w:lvlJc w:val="left"/>
      <w:lvlText w:val="%1."/>
      <w:numFmt w:val="decimal"/>
      <w:start w:val="1"/>
    </w:lvl>
    <w:lvl w:ilvl="1">
      <w:lvlJc w:val="left"/>
      <w:lvlText w:val="%2)"/>
      <w:numFmt w:val="lowerLetter"/>
      <w:start w:val="1"/>
    </w:lvl>
  </w:abstractNum>
  <w:abstractNum w:abstractNumId="100">
    <w:nsid w:val="7DE67713"/>
    <w:multiLevelType w:val="hybridMultilevel"/>
    <w:lvl w:ilvl="0">
      <w:lvlJc w:val="left"/>
      <w:lvlText w:val="%1."/>
      <w:numFmt w:val="decimal"/>
      <w:start w:val="1"/>
    </w:lvl>
    <w:lvl w:ilvl="1">
      <w:lvlJc w:val="left"/>
      <w:lvlText w:val="%2)"/>
      <w:numFmt w:val="lowerLetter"/>
      <w:start w:val="1"/>
    </w:lvl>
  </w:abstractNum>
  <w:abstractNum w:abstractNumId="101">
    <w:nsid w:val="555C55B5"/>
    <w:multiLevelType w:val="hybridMultilevel"/>
    <w:lvl w:ilvl="0">
      <w:lvlJc w:val="left"/>
      <w:lvlText w:val="%1."/>
      <w:numFmt w:val="decimal"/>
      <w:start w:val="1"/>
    </w:lvl>
    <w:lvl w:ilvl="1">
      <w:lvlJc w:val="left"/>
      <w:lvlText w:val="%2)"/>
      <w:numFmt w:val="lowerLetter"/>
      <w:start w:val="1"/>
    </w:lvl>
  </w:abstractNum>
  <w:abstractNum w:abstractNumId="102">
    <w:nsid w:val="3FA62ACA"/>
    <w:multiLevelType w:val="hybridMultilevel"/>
    <w:lvl w:ilvl="0">
      <w:lvlJc w:val="left"/>
      <w:lvlText w:val="%1."/>
      <w:numFmt w:val="decimal"/>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 w:numId="33">
    <w:abstractNumId w:val="32"/>
  </w:num>
  <w:num w:numId="34">
    <w:abstractNumId w:val="33"/>
  </w:num>
  <w:num w:numId="35">
    <w:abstractNumId w:val="34"/>
  </w:num>
  <w:num w:numId="36">
    <w:abstractNumId w:val="35"/>
  </w:num>
  <w:num w:numId="37">
    <w:abstractNumId w:val="36"/>
  </w:num>
  <w:num w:numId="38">
    <w:abstractNumId w:val="37"/>
  </w:num>
  <w:num w:numId="39">
    <w:abstractNumId w:val="38"/>
  </w:num>
  <w:num w:numId="40">
    <w:abstractNumId w:val="39"/>
  </w:num>
  <w:num w:numId="41">
    <w:abstractNumId w:val="40"/>
  </w:num>
  <w:num w:numId="42">
    <w:abstractNumId w:val="41"/>
  </w:num>
  <w:num w:numId="43">
    <w:abstractNumId w:val="42"/>
  </w:num>
  <w:num w:numId="44">
    <w:abstractNumId w:val="43"/>
  </w:num>
  <w:num w:numId="45">
    <w:abstractNumId w:val="44"/>
  </w:num>
  <w:num w:numId="46">
    <w:abstractNumId w:val="45"/>
  </w:num>
  <w:num w:numId="47">
    <w:abstractNumId w:val="46"/>
  </w:num>
  <w:num w:numId="48">
    <w:abstractNumId w:val="47"/>
  </w:num>
  <w:num w:numId="49">
    <w:abstractNumId w:val="48"/>
  </w:num>
  <w:num w:numId="50">
    <w:abstractNumId w:val="49"/>
  </w:num>
  <w:num w:numId="51">
    <w:abstractNumId w:val="50"/>
  </w:num>
  <w:num w:numId="52">
    <w:abstractNumId w:val="51"/>
  </w:num>
  <w:num w:numId="53">
    <w:abstractNumId w:val="52"/>
  </w:num>
  <w:num w:numId="54">
    <w:abstractNumId w:val="53"/>
  </w:num>
  <w:num w:numId="55">
    <w:abstractNumId w:val="54"/>
  </w:num>
  <w:num w:numId="56">
    <w:abstractNumId w:val="55"/>
  </w:num>
  <w:num w:numId="57">
    <w:abstractNumId w:val="56"/>
  </w:num>
  <w:num w:numId="58">
    <w:abstractNumId w:val="57"/>
  </w:num>
  <w:num w:numId="59">
    <w:abstractNumId w:val="58"/>
  </w:num>
  <w:num w:numId="60">
    <w:abstractNumId w:val="59"/>
  </w:num>
  <w:num w:numId="61">
    <w:abstractNumId w:val="60"/>
  </w:num>
  <w:num w:numId="62">
    <w:abstractNumId w:val="61"/>
  </w:num>
  <w:num w:numId="63">
    <w:abstractNumId w:val="62"/>
  </w:num>
  <w:num w:numId="64">
    <w:abstractNumId w:val="63"/>
  </w:num>
  <w:num w:numId="65">
    <w:abstractNumId w:val="64"/>
  </w:num>
  <w:num w:numId="66">
    <w:abstractNumId w:val="65"/>
  </w:num>
  <w:num w:numId="67">
    <w:abstractNumId w:val="66"/>
  </w:num>
  <w:num w:numId="68">
    <w:abstractNumId w:val="67"/>
  </w:num>
  <w:num w:numId="69">
    <w:abstractNumId w:val="68"/>
  </w:num>
  <w:num w:numId="70">
    <w:abstractNumId w:val="69"/>
  </w:num>
  <w:num w:numId="71">
    <w:abstractNumId w:val="70"/>
  </w:num>
  <w:num w:numId="72">
    <w:abstractNumId w:val="71"/>
  </w:num>
  <w:num w:numId="73">
    <w:abstractNumId w:val="72"/>
  </w:num>
  <w:num w:numId="74">
    <w:abstractNumId w:val="73"/>
  </w:num>
  <w:num w:numId="75">
    <w:abstractNumId w:val="74"/>
  </w:num>
  <w:num w:numId="76">
    <w:abstractNumId w:val="75"/>
  </w:num>
  <w:num w:numId="77">
    <w:abstractNumId w:val="76"/>
  </w:num>
  <w:num w:numId="78">
    <w:abstractNumId w:val="77"/>
  </w:num>
  <w:num w:numId="79">
    <w:abstractNumId w:val="78"/>
  </w:num>
  <w:num w:numId="80">
    <w:abstractNumId w:val="79"/>
  </w:num>
  <w:num w:numId="81">
    <w:abstractNumId w:val="80"/>
  </w:num>
  <w:num w:numId="82">
    <w:abstractNumId w:val="81"/>
  </w:num>
  <w:num w:numId="83">
    <w:abstractNumId w:val="82"/>
  </w:num>
  <w:num w:numId="84">
    <w:abstractNumId w:val="83"/>
  </w:num>
  <w:num w:numId="85">
    <w:abstractNumId w:val="84"/>
  </w:num>
  <w:num w:numId="86">
    <w:abstractNumId w:val="85"/>
  </w:num>
  <w:num w:numId="87">
    <w:abstractNumId w:val="86"/>
  </w:num>
  <w:num w:numId="88">
    <w:abstractNumId w:val="87"/>
  </w:num>
  <w:num w:numId="89">
    <w:abstractNumId w:val="88"/>
  </w:num>
  <w:num w:numId="90">
    <w:abstractNumId w:val="89"/>
  </w:num>
  <w:num w:numId="91">
    <w:abstractNumId w:val="90"/>
  </w:num>
  <w:num w:numId="92">
    <w:abstractNumId w:val="91"/>
  </w:num>
  <w:num w:numId="93">
    <w:abstractNumId w:val="92"/>
  </w:num>
  <w:num w:numId="94">
    <w:abstractNumId w:val="93"/>
  </w:num>
  <w:num w:numId="95">
    <w:abstractNumId w:val="94"/>
  </w:num>
  <w:num w:numId="96">
    <w:abstractNumId w:val="95"/>
  </w:num>
  <w:num w:numId="97">
    <w:abstractNumId w:val="96"/>
  </w:num>
  <w:num w:numId="98">
    <w:abstractNumId w:val="97"/>
  </w:num>
  <w:num w:numId="99">
    <w:abstractNumId w:val="98"/>
  </w:num>
  <w:num w:numId="100">
    <w:abstractNumId w:val="99"/>
  </w:num>
  <w:num w:numId="101">
    <w:abstractNumId w:val="100"/>
  </w:num>
  <w:num w:numId="102">
    <w:abstractNumId w:val="101"/>
  </w:num>
  <w:num w:numId="103">
    <w:abstractNumId w:val="10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jpe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png"/><Relationship Id="rId52" Type="http://schemas.openxmlformats.org/officeDocument/2006/relationships/image" Target="media/image45.png"/><Relationship Id="rId53" Type="http://schemas.openxmlformats.org/officeDocument/2006/relationships/image" Target="media/image46.png"/><Relationship Id="rId54" Type="http://schemas.openxmlformats.org/officeDocument/2006/relationships/image" Target="media/image47.png"/><Relationship Id="rId55" Type="http://schemas.openxmlformats.org/officeDocument/2006/relationships/image" Target="media/image48.png"/><Relationship Id="rId56" Type="http://schemas.openxmlformats.org/officeDocument/2006/relationships/image" Target="media/image49.png"/><Relationship Id="rId57" Type="http://schemas.openxmlformats.org/officeDocument/2006/relationships/image" Target="media/image50.png"/><Relationship Id="rId58" Type="http://schemas.openxmlformats.org/officeDocument/2006/relationships/image" Target="media/image51.png"/><Relationship Id="rId59" Type="http://schemas.openxmlformats.org/officeDocument/2006/relationships/image" Target="media/image52.png"/><Relationship Id="rId60" Type="http://schemas.openxmlformats.org/officeDocument/2006/relationships/image" Target="media/image53.png"/><Relationship Id="rId61" Type="http://schemas.openxmlformats.org/officeDocument/2006/relationships/image" Target="media/image54.png"/><Relationship Id="rId62" Type="http://schemas.openxmlformats.org/officeDocument/2006/relationships/image" Target="media/image55.png"/><Relationship Id="rId63" Type="http://schemas.openxmlformats.org/officeDocument/2006/relationships/image" Target="media/image56.png"/><Relationship Id="rId64" Type="http://schemas.openxmlformats.org/officeDocument/2006/relationships/image" Target="media/image57.png"/><Relationship Id="rId65" Type="http://schemas.openxmlformats.org/officeDocument/2006/relationships/image" Target="media/image58.png"/><Relationship Id="rId66" Type="http://schemas.openxmlformats.org/officeDocument/2006/relationships/image" Target="media/image59.png"/><Relationship Id="rId67" Type="http://schemas.openxmlformats.org/officeDocument/2006/relationships/image" Target="media/image60.png"/><Relationship Id="rId68" Type="http://schemas.openxmlformats.org/officeDocument/2006/relationships/image" Target="media/image61.png"/><Relationship Id="rId69" Type="http://schemas.openxmlformats.org/officeDocument/2006/relationships/image" Target="media/image62.png"/><Relationship Id="rId70" Type="http://schemas.openxmlformats.org/officeDocument/2006/relationships/image" Target="media/image63.png"/><Relationship Id="rId71" Type="http://schemas.openxmlformats.org/officeDocument/2006/relationships/image" Target="media/image64.png"/><Relationship Id="rId72" Type="http://schemas.openxmlformats.org/officeDocument/2006/relationships/image" Target="media/image65.png"/><Relationship Id="rId73" Type="http://schemas.openxmlformats.org/officeDocument/2006/relationships/image" Target="media/image66.png"/><Relationship Id="rId74" Type="http://schemas.openxmlformats.org/officeDocument/2006/relationships/image" Target="media/image67.png"/><Relationship Id="rId75" Type="http://schemas.openxmlformats.org/officeDocument/2006/relationships/image" Target="media/image68.png"/><Relationship Id="rId76" Type="http://schemas.openxmlformats.org/officeDocument/2006/relationships/image" Target="media/image69.png"/><Relationship Id="rId77" Type="http://schemas.openxmlformats.org/officeDocument/2006/relationships/image" Target="media/image70.png"/><Relationship Id="rId78" Type="http://schemas.openxmlformats.org/officeDocument/2006/relationships/image" Target="media/image71.png"/><Relationship Id="rId79" Type="http://schemas.openxmlformats.org/officeDocument/2006/relationships/image" Target="media/image72.png"/><Relationship Id="rId80" Type="http://schemas.openxmlformats.org/officeDocument/2006/relationships/image" Target="media/image73.png"/><Relationship Id="rId81" Type="http://schemas.openxmlformats.org/officeDocument/2006/relationships/image" Target="media/image74.png"/><Relationship Id="rId82" Type="http://schemas.openxmlformats.org/officeDocument/2006/relationships/image" Target="media/image75.png"/><Relationship Id="rId83" Type="http://schemas.openxmlformats.org/officeDocument/2006/relationships/image" Target="media/image76.png"/><Relationship Id="rId84" Type="http://schemas.openxmlformats.org/officeDocument/2006/relationships/image" Target="media/image77.png"/><Relationship Id="rId85" Type="http://schemas.openxmlformats.org/officeDocument/2006/relationships/image" Target="media/image78.png"/><Relationship Id="rId86" Type="http://schemas.openxmlformats.org/officeDocument/2006/relationships/image" Target="media/image79.png"/><Relationship Id="rId87" Type="http://schemas.openxmlformats.org/officeDocument/2006/relationships/image" Target="media/image80.png"/><Relationship Id="rId88" Type="http://schemas.openxmlformats.org/officeDocument/2006/relationships/image" Target="media/image81.png"/><Relationship Id="rId89" Type="http://schemas.openxmlformats.org/officeDocument/2006/relationships/image" Target="media/image82.png"/><Relationship Id="rId90" Type="http://schemas.openxmlformats.org/officeDocument/2006/relationships/image" Target="media/image83.png"/><Relationship Id="rId91" Type="http://schemas.openxmlformats.org/officeDocument/2006/relationships/image" Target="media/image84.png"/><Relationship Id="rId92" Type="http://schemas.openxmlformats.org/officeDocument/2006/relationships/image" Target="media/image85.png"/><Relationship Id="rId93" Type="http://schemas.openxmlformats.org/officeDocument/2006/relationships/image" Target="media/image86.png"/><Relationship Id="rId94" Type="http://schemas.openxmlformats.org/officeDocument/2006/relationships/image" Target="media/image87.jpeg"/><Relationship Id="rId95" Type="http://schemas.openxmlformats.org/officeDocument/2006/relationships/image" Target="media/image88.png"/><Relationship Id="rId96" Type="http://schemas.openxmlformats.org/officeDocument/2006/relationships/image" Target="media/image89.jpeg"/><Relationship Id="rId97" Type="http://schemas.openxmlformats.org/officeDocument/2006/relationships/image" Target="media/image90.png"/><Relationship Id="rId98" Type="http://schemas.openxmlformats.org/officeDocument/2006/relationships/image" Target="media/image91.jpeg"/><Relationship Id="rId99" Type="http://schemas.openxmlformats.org/officeDocument/2006/relationships/image" Target="media/image92.png"/><Relationship Id="rId100" Type="http://schemas.openxmlformats.org/officeDocument/2006/relationships/image" Target="media/image93.jpeg"/><Relationship Id="rId101" Type="http://schemas.openxmlformats.org/officeDocument/2006/relationships/image" Target="media/image94.png"/><Relationship Id="rId102" Type="http://schemas.openxmlformats.org/officeDocument/2006/relationships/image" Target="media/image95.jpeg"/><Relationship Id="rId103" Type="http://schemas.openxmlformats.org/officeDocument/2006/relationships/image" Target="media/image96.png"/><Relationship Id="rId104" Type="http://schemas.openxmlformats.org/officeDocument/2006/relationships/image" Target="media/image97.jpeg"/><Relationship Id="rId105" Type="http://schemas.openxmlformats.org/officeDocument/2006/relationships/image" Target="media/image98.png"/><Relationship Id="rId106" Type="http://schemas.openxmlformats.org/officeDocument/2006/relationships/image" Target="media/image99.jpeg"/><Relationship Id="rId107" Type="http://schemas.openxmlformats.org/officeDocument/2006/relationships/image" Target="media/image100.png"/><Relationship Id="rId108" Type="http://schemas.openxmlformats.org/officeDocument/2006/relationships/image" Target="media/image101.jpeg"/><Relationship Id="rId109" Type="http://schemas.openxmlformats.org/officeDocument/2006/relationships/image" Target="media/image102.png"/><Relationship Id="rId110" Type="http://schemas.openxmlformats.org/officeDocument/2006/relationships/image" Target="media/image103.jpeg"/><Relationship Id="rId111" Type="http://schemas.openxmlformats.org/officeDocument/2006/relationships/image" Target="media/image104.png"/><Relationship Id="rId112" Type="http://schemas.openxmlformats.org/officeDocument/2006/relationships/image" Target="media/image105.jpeg"/><Relationship Id="rId113" Type="http://schemas.openxmlformats.org/officeDocument/2006/relationships/image" Target="media/image106.png"/><Relationship Id="rId114" Type="http://schemas.openxmlformats.org/officeDocument/2006/relationships/image" Target="media/image107.jpeg"/><Relationship Id="rId115" Type="http://schemas.openxmlformats.org/officeDocument/2006/relationships/image" Target="media/image108.png"/><Relationship Id="rId116" Type="http://schemas.openxmlformats.org/officeDocument/2006/relationships/image" Target="media/image109.jpeg"/><Relationship Id="rId117" Type="http://schemas.openxmlformats.org/officeDocument/2006/relationships/image" Target="media/image110.png"/><Relationship Id="rId118" Type="http://schemas.openxmlformats.org/officeDocument/2006/relationships/image" Target="media/image111.jpeg"/><Relationship Id="rId119" Type="http://schemas.openxmlformats.org/officeDocument/2006/relationships/image" Target="media/image112.png"/><Relationship Id="rId120" Type="http://schemas.openxmlformats.org/officeDocument/2006/relationships/image" Target="media/image113.jpeg"/><Relationship Id="rId121" Type="http://schemas.openxmlformats.org/officeDocument/2006/relationships/image" Target="media/image114.png"/><Relationship Id="rId122" Type="http://schemas.openxmlformats.org/officeDocument/2006/relationships/image" Target="media/image115.jpeg"/><Relationship Id="rId123" Type="http://schemas.openxmlformats.org/officeDocument/2006/relationships/image" Target="media/image116.png"/><Relationship Id="rId124" Type="http://schemas.openxmlformats.org/officeDocument/2006/relationships/image" Target="media/image117.jpeg"/><Relationship Id="rId125" Type="http://schemas.openxmlformats.org/officeDocument/2006/relationships/image" Target="media/image118.png"/><Relationship Id="rId126" Type="http://schemas.openxmlformats.org/officeDocument/2006/relationships/image" Target="media/image119.jpeg"/><Relationship Id="rId127" Type="http://schemas.openxmlformats.org/officeDocument/2006/relationships/image" Target="media/image120.png"/><Relationship Id="rId128" Type="http://schemas.openxmlformats.org/officeDocument/2006/relationships/image" Target="media/image121.jpeg"/><Relationship Id="rId129" Type="http://schemas.openxmlformats.org/officeDocument/2006/relationships/image" Target="media/image122.png"/><Relationship Id="rId130" Type="http://schemas.openxmlformats.org/officeDocument/2006/relationships/image" Target="media/image123.jpeg"/><Relationship Id="rId131" Type="http://schemas.openxmlformats.org/officeDocument/2006/relationships/image" Target="media/image124.png"/><Relationship Id="rId132" Type="http://schemas.openxmlformats.org/officeDocument/2006/relationships/image" Target="media/image125.jpeg"/><Relationship Id="rId133" Type="http://schemas.openxmlformats.org/officeDocument/2006/relationships/image" Target="media/image126.png"/><Relationship Id="rId134" Type="http://schemas.openxmlformats.org/officeDocument/2006/relationships/image" Target="media/image127.jpeg"/><Relationship Id="rId135" Type="http://schemas.openxmlformats.org/officeDocument/2006/relationships/image" Target="media/image128.png"/><Relationship Id="rId136" Type="http://schemas.openxmlformats.org/officeDocument/2006/relationships/image" Target="media/image129.jpeg"/><Relationship Id="rId137" Type="http://schemas.openxmlformats.org/officeDocument/2006/relationships/image" Target="media/image130.png"/><Relationship Id="rId138" Type="http://schemas.openxmlformats.org/officeDocument/2006/relationships/image" Target="media/image131.jpeg"/><Relationship Id="rId139" Type="http://schemas.openxmlformats.org/officeDocument/2006/relationships/image" Target="media/image132.png"/><Relationship Id="rId140" Type="http://schemas.openxmlformats.org/officeDocument/2006/relationships/image" Target="media/image133.jpeg"/><Relationship Id="rId141" Type="http://schemas.openxmlformats.org/officeDocument/2006/relationships/image" Target="media/image134.png"/><Relationship Id="rId142" Type="http://schemas.openxmlformats.org/officeDocument/2006/relationships/image" Target="media/image135.jpeg"/><Relationship Id="rId143" Type="http://schemas.openxmlformats.org/officeDocument/2006/relationships/image" Target="media/image136.png"/><Relationship Id="rId144" Type="http://schemas.openxmlformats.org/officeDocument/2006/relationships/image" Target="media/image137.png"/><Relationship Id="rId145" Type="http://schemas.openxmlformats.org/officeDocument/2006/relationships/image" Target="media/image138.png"/><Relationship Id="rId146" Type="http://schemas.openxmlformats.org/officeDocument/2006/relationships/image" Target="media/image139.png"/><Relationship Id="rId147" Type="http://schemas.openxmlformats.org/officeDocument/2006/relationships/image" Target="media/image140.jpeg"/><Relationship Id="rId148" Type="http://schemas.openxmlformats.org/officeDocument/2006/relationships/image" Target="media/image141.png"/><Relationship Id="rId149" Type="http://schemas.openxmlformats.org/officeDocument/2006/relationships/image" Target="media/image142.png"/><Relationship Id="rId150" Type="http://schemas.openxmlformats.org/officeDocument/2006/relationships/image" Target="media/image143.png"/><Relationship Id="rId151" Type="http://schemas.openxmlformats.org/officeDocument/2006/relationships/image" Target="media/image144.jpeg"/><Relationship Id="rId152" Type="http://schemas.openxmlformats.org/officeDocument/2006/relationships/image" Target="media/image145.png"/><Relationship Id="rId153" Type="http://schemas.openxmlformats.org/officeDocument/2006/relationships/image" Target="media/image146.png"/><Relationship Id="rId154" Type="http://schemas.openxmlformats.org/officeDocument/2006/relationships/image" Target="media/image147.jpeg"/><Relationship Id="rId155" Type="http://schemas.openxmlformats.org/officeDocument/2006/relationships/image" Target="media/image148.jpeg"/><Relationship Id="rId156" Type="http://schemas.openxmlformats.org/officeDocument/2006/relationships/image" Target="media/image149.jpeg"/><Relationship Id="rId157" Type="http://schemas.openxmlformats.org/officeDocument/2006/relationships/image" Target="media/image150.jpeg"/><Relationship Id="rId158" Type="http://schemas.openxmlformats.org/officeDocument/2006/relationships/image" Target="media/image151.png"/><Relationship Id="rId159" Type="http://schemas.openxmlformats.org/officeDocument/2006/relationships/image" Target="media/image152.jpeg"/><Relationship Id="rId160" Type="http://schemas.openxmlformats.org/officeDocument/2006/relationships/image" Target="media/image153.png"/><Relationship Id="rId161" Type="http://schemas.openxmlformats.org/officeDocument/2006/relationships/image" Target="media/image154.png"/><Relationship Id="rId162" Type="http://schemas.openxmlformats.org/officeDocument/2006/relationships/image" Target="media/image155.png"/><Relationship Id="rId163" Type="http://schemas.openxmlformats.org/officeDocument/2006/relationships/image" Target="media/image156.png"/><Relationship Id="rId164" Type="http://schemas.openxmlformats.org/officeDocument/2006/relationships/image" Target="media/image157.png"/><Relationship Id="rId165" Type="http://schemas.openxmlformats.org/officeDocument/2006/relationships/image" Target="media/image158.jpeg"/><Relationship Id="rId166" Type="http://schemas.openxmlformats.org/officeDocument/2006/relationships/image" Target="media/image159.png"/><Relationship Id="rId167" Type="http://schemas.openxmlformats.org/officeDocument/2006/relationships/image" Target="media/image160.jpeg"/><Relationship Id="rId168" Type="http://schemas.openxmlformats.org/officeDocument/2006/relationships/image" Target="media/image161.png"/><Relationship Id="rId169" Type="http://schemas.openxmlformats.org/officeDocument/2006/relationships/image" Target="media/image162.png"/><Relationship Id="rId170" Type="http://schemas.openxmlformats.org/officeDocument/2006/relationships/image" Target="media/image163.png"/><Relationship Id="rId171" Type="http://schemas.openxmlformats.org/officeDocument/2006/relationships/image" Target="media/image164.png"/><Relationship Id="rId172" Type="http://schemas.openxmlformats.org/officeDocument/2006/relationships/image" Target="media/image165.png"/><Relationship Id="rId173" Type="http://schemas.openxmlformats.org/officeDocument/2006/relationships/image" Target="media/image166.png"/><Relationship Id="rId174" Type="http://schemas.openxmlformats.org/officeDocument/2006/relationships/image" Target="media/image167.png"/><Relationship Id="rId175" Type="http://schemas.openxmlformats.org/officeDocument/2006/relationships/image" Target="media/image168.png"/><Relationship Id="rId176" Type="http://schemas.openxmlformats.org/officeDocument/2006/relationships/image" Target="media/image169.png"/><Relationship Id="rId177" Type="http://schemas.openxmlformats.org/officeDocument/2006/relationships/image" Target="media/image170.png"/><Relationship Id="rId178" Type="http://schemas.openxmlformats.org/officeDocument/2006/relationships/image" Target="media/image171.png"/><Relationship Id="rId179" Type="http://schemas.openxmlformats.org/officeDocument/2006/relationships/image" Target="media/image172.jpeg"/><Relationship Id="rId180" Type="http://schemas.openxmlformats.org/officeDocument/2006/relationships/image" Target="media/image173.png"/><Relationship Id="rId181" Type="http://schemas.openxmlformats.org/officeDocument/2006/relationships/image" Target="media/image174.png"/><Relationship Id="rId182" Type="http://schemas.openxmlformats.org/officeDocument/2006/relationships/image" Target="media/image175.png"/><Relationship Id="rId183" Type="http://schemas.openxmlformats.org/officeDocument/2006/relationships/image" Target="media/image176.png"/><Relationship Id="rId184" Type="http://schemas.openxmlformats.org/officeDocument/2006/relationships/image" Target="media/image177.png"/><Relationship Id="rId185" Type="http://schemas.openxmlformats.org/officeDocument/2006/relationships/image" Target="media/image178.png"/><Relationship Id="rId186" Type="http://schemas.openxmlformats.org/officeDocument/2006/relationships/image" Target="media/image179.png"/><Relationship Id="rId187" Type="http://schemas.openxmlformats.org/officeDocument/2006/relationships/image" Target="media/image180.png"/><Relationship Id="rId188" Type="http://schemas.openxmlformats.org/officeDocument/2006/relationships/image" Target="media/image181.png"/><Relationship Id="rId189" Type="http://schemas.openxmlformats.org/officeDocument/2006/relationships/image" Target="media/image182.png"/><Relationship Id="rId190" Type="http://schemas.openxmlformats.org/officeDocument/2006/relationships/image" Target="media/image183.png"/><Relationship Id="rId191" Type="http://schemas.openxmlformats.org/officeDocument/2006/relationships/image" Target="media/image184.png"/><Relationship Id="rId192" Type="http://schemas.openxmlformats.org/officeDocument/2006/relationships/image" Target="media/image185.png"/><Relationship Id="rId193" Type="http://schemas.openxmlformats.org/officeDocument/2006/relationships/image" Target="media/image186.png"/><Relationship Id="rId194" Type="http://schemas.openxmlformats.org/officeDocument/2006/relationships/image" Target="media/image187.png"/><Relationship Id="rId195" Type="http://schemas.openxmlformats.org/officeDocument/2006/relationships/image" Target="media/image188.png"/><Relationship Id="rId196" Type="http://schemas.openxmlformats.org/officeDocument/2006/relationships/image" Target="media/image189.png"/><Relationship Id="rId197" Type="http://schemas.openxmlformats.org/officeDocument/2006/relationships/image" Target="media/image190.png"/><Relationship Id="rId198" Type="http://schemas.openxmlformats.org/officeDocument/2006/relationships/image" Target="media/image191.png"/><Relationship Id="rId199" Type="http://schemas.openxmlformats.org/officeDocument/2006/relationships/image" Target="media/image192.png"/><Relationship Id="rId200" Type="http://schemas.openxmlformats.org/officeDocument/2006/relationships/image" Target="media/image193.png"/><Relationship Id="rId201" Type="http://schemas.openxmlformats.org/officeDocument/2006/relationships/image" Target="media/image194.png"/><Relationship Id="rId202" Type="http://schemas.openxmlformats.org/officeDocument/2006/relationships/image" Target="media/image195.png"/><Relationship Id="rId203" Type="http://schemas.openxmlformats.org/officeDocument/2006/relationships/image" Target="media/image196.png"/><Relationship Id="rId204" Type="http://schemas.openxmlformats.org/officeDocument/2006/relationships/image" Target="media/image197.png"/><Relationship Id="rId205" Type="http://schemas.openxmlformats.org/officeDocument/2006/relationships/image" Target="media/image198.png"/><Relationship Id="rId206" Type="http://schemas.openxmlformats.org/officeDocument/2006/relationships/image" Target="media/image199.png"/><Relationship Id="rId207" Type="http://schemas.openxmlformats.org/officeDocument/2006/relationships/image" Target="media/image200.png"/><Relationship Id="rId208" Type="http://schemas.openxmlformats.org/officeDocument/2006/relationships/image" Target="media/image201.png"/><Relationship Id="rId209" Type="http://schemas.openxmlformats.org/officeDocument/2006/relationships/image" Target="media/image202.png"/><Relationship Id="rId210" Type="http://schemas.openxmlformats.org/officeDocument/2006/relationships/image" Target="media/image203.png"/><Relationship Id="rId211" Type="http://schemas.openxmlformats.org/officeDocument/2006/relationships/image" Target="media/image204.png"/><Relationship Id="rId212" Type="http://schemas.openxmlformats.org/officeDocument/2006/relationships/image" Target="media/image205.png"/><Relationship Id="rId213" Type="http://schemas.openxmlformats.org/officeDocument/2006/relationships/image" Target="media/image206.png"/><Relationship Id="rId214" Type="http://schemas.openxmlformats.org/officeDocument/2006/relationships/image" Target="media/image207.png"/><Relationship Id="rId215" Type="http://schemas.openxmlformats.org/officeDocument/2006/relationships/image" Target="media/image208.png"/><Relationship Id="rId216" Type="http://schemas.openxmlformats.org/officeDocument/2006/relationships/image" Target="media/image209.png"/><Relationship Id="rId217" Type="http://schemas.openxmlformats.org/officeDocument/2006/relationships/image" Target="media/image210.png"/><Relationship Id="rId218" Type="http://schemas.openxmlformats.org/officeDocument/2006/relationships/image" Target="media/image211.png"/><Relationship Id="rId219" Type="http://schemas.openxmlformats.org/officeDocument/2006/relationships/image" Target="media/image212.png"/><Relationship Id="rId220" Type="http://schemas.openxmlformats.org/officeDocument/2006/relationships/image" Target="media/image213.png"/><Relationship Id="rId221" Type="http://schemas.openxmlformats.org/officeDocument/2006/relationships/image" Target="media/image214.png"/><Relationship Id="rId222" Type="http://schemas.openxmlformats.org/officeDocument/2006/relationships/image" Target="media/image215.png"/><Relationship Id="rId223" Type="http://schemas.openxmlformats.org/officeDocument/2006/relationships/image" Target="media/image216.png"/><Relationship Id="rId224" Type="http://schemas.openxmlformats.org/officeDocument/2006/relationships/image" Target="media/image217.png"/><Relationship Id="rId225" Type="http://schemas.openxmlformats.org/officeDocument/2006/relationships/image" Target="media/image218.png"/><Relationship Id="rId226" Type="http://schemas.openxmlformats.org/officeDocument/2006/relationships/image" Target="media/image219.png"/><Relationship Id="rId227" Type="http://schemas.openxmlformats.org/officeDocument/2006/relationships/image" Target="media/image220.png"/><Relationship Id="rId228" Type="http://schemas.openxmlformats.org/officeDocument/2006/relationships/image" Target="media/image221.png"/><Relationship Id="rId229" Type="http://schemas.openxmlformats.org/officeDocument/2006/relationships/image" Target="media/image222.png"/><Relationship Id="rId230" Type="http://schemas.openxmlformats.org/officeDocument/2006/relationships/image" Target="media/image223.png"/><Relationship Id="rId231" Type="http://schemas.openxmlformats.org/officeDocument/2006/relationships/image" Target="media/image224.png"/><Relationship Id="rId232" Type="http://schemas.openxmlformats.org/officeDocument/2006/relationships/image" Target="media/image225.png"/><Relationship Id="rId233" Type="http://schemas.openxmlformats.org/officeDocument/2006/relationships/image" Target="media/image226.png"/><Relationship Id="rId234" Type="http://schemas.openxmlformats.org/officeDocument/2006/relationships/image" Target="media/image227.png"/><Relationship Id="rId235" Type="http://schemas.openxmlformats.org/officeDocument/2006/relationships/image" Target="media/image228.jpeg"/><Relationship Id="rId236" Type="http://schemas.openxmlformats.org/officeDocument/2006/relationships/image" Target="media/image229.png"/><Relationship Id="rId237" Type="http://schemas.openxmlformats.org/officeDocument/2006/relationships/image" Target="media/image230.png"/><Relationship Id="rId238" Type="http://schemas.openxmlformats.org/officeDocument/2006/relationships/image" Target="media/image231.png"/><Relationship Id="rId239" Type="http://schemas.openxmlformats.org/officeDocument/2006/relationships/image" Target="media/image232.png"/><Relationship Id="rId240" Type="http://schemas.openxmlformats.org/officeDocument/2006/relationships/image" Target="media/image233.jpeg"/><Relationship Id="rId241" Type="http://schemas.openxmlformats.org/officeDocument/2006/relationships/image" Target="media/image234.png"/><Relationship Id="rId242" Type="http://schemas.openxmlformats.org/officeDocument/2006/relationships/image" Target="media/image235.jpeg"/><Relationship Id="rId243" Type="http://schemas.openxmlformats.org/officeDocument/2006/relationships/image" Target="media/image236.png"/><Relationship Id="rId244" Type="http://schemas.openxmlformats.org/officeDocument/2006/relationships/image" Target="media/image237.png"/><Relationship Id="rId245" Type="http://schemas.openxmlformats.org/officeDocument/2006/relationships/image" Target="media/image238.png"/><Relationship Id="rId246" Type="http://schemas.openxmlformats.org/officeDocument/2006/relationships/image" Target="media/image239.png"/><Relationship Id="rId247" Type="http://schemas.openxmlformats.org/officeDocument/2006/relationships/image" Target="media/image240.png"/><Relationship Id="rId248" Type="http://schemas.openxmlformats.org/officeDocument/2006/relationships/image" Target="media/image241.png"/><Relationship Id="rId249" Type="http://schemas.openxmlformats.org/officeDocument/2006/relationships/image" Target="media/image242.png"/><Relationship Id="rId250" Type="http://schemas.openxmlformats.org/officeDocument/2006/relationships/image" Target="media/image243.png"/><Relationship Id="rId251" Type="http://schemas.openxmlformats.org/officeDocument/2006/relationships/image" Target="media/image244.png"/><Relationship Id="rId252" Type="http://schemas.openxmlformats.org/officeDocument/2006/relationships/image" Target="media/image245.png"/><Relationship Id="rId253" Type="http://schemas.openxmlformats.org/officeDocument/2006/relationships/image" Target="media/image246.png"/><Relationship Id="rId254" Type="http://schemas.openxmlformats.org/officeDocument/2006/relationships/image" Target="media/image247.png"/><Relationship Id="rId255" Type="http://schemas.openxmlformats.org/officeDocument/2006/relationships/image" Target="media/image248.png"/><Relationship Id="rId256" Type="http://schemas.openxmlformats.org/officeDocument/2006/relationships/image" Target="media/image249.png"/><Relationship Id="rId257" Type="http://schemas.openxmlformats.org/officeDocument/2006/relationships/image" Target="media/image250.png"/><Relationship Id="rId258" Type="http://schemas.openxmlformats.org/officeDocument/2006/relationships/image" Target="media/image251.png"/><Relationship Id="rId259" Type="http://schemas.openxmlformats.org/officeDocument/2006/relationships/image" Target="media/image252.png"/><Relationship Id="rId260" Type="http://schemas.openxmlformats.org/officeDocument/2006/relationships/image" Target="media/image253.png"/><Relationship Id="rId261" Type="http://schemas.openxmlformats.org/officeDocument/2006/relationships/image" Target="media/image254.png"/><Relationship Id="rId262" Type="http://schemas.openxmlformats.org/officeDocument/2006/relationships/image" Target="media/image255.png"/><Relationship Id="rId263" Type="http://schemas.openxmlformats.org/officeDocument/2006/relationships/image" Target="media/image256.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2019-12-15T05:15:13Z</dcterms:created>
  <dcterms:modified xsi:type="dcterms:W3CDTF">2019-12-15T05:15:13Z</dcterms:modified>
</cp:coreProperties>
</file>